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88FBC" w14:textId="77777777" w:rsidR="00625DC6" w:rsidRPr="00576D9E" w:rsidRDefault="00137FF4" w:rsidP="005B0C05">
      <w:pPr>
        <w:pStyle w:val="Encabezado"/>
        <w:tabs>
          <w:tab w:val="clear" w:pos="8504"/>
          <w:tab w:val="left" w:pos="0"/>
          <w:tab w:val="right" w:pos="9356"/>
        </w:tabs>
        <w:ind w:left="4252" w:hanging="4252"/>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2F06E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05pt;margin-top:-53.35pt;width:52.5pt;height:48.75pt;z-index:251657728" fillcolor="#0c9">
            <v:imagedata r:id="rId8" o:title=""/>
          </v:shape>
          <o:OLEObject Type="Embed" ProgID="PBrush" ShapeID="_x0000_s1026" DrawAspect="Content" ObjectID="_1633878009" r:id="rId9"/>
        </w:object>
      </w:r>
    </w:p>
    <w:p w14:paraId="5AAEC2D0" w14:textId="77777777" w:rsidR="00CA77FB" w:rsidRPr="00576D9E" w:rsidRDefault="00CA77FB" w:rsidP="005E20D0">
      <w:pPr>
        <w:pStyle w:val="Ttulo4"/>
        <w:tabs>
          <w:tab w:val="left" w:pos="0"/>
          <w:tab w:val="right" w:pos="9356"/>
        </w:tabs>
        <w:ind w:left="0"/>
        <w:rPr>
          <w:rFonts w:ascii="Bookman Old Style" w:hAnsi="Bookman Old Style"/>
          <w:b w:val="0"/>
          <w:bCs/>
          <w:noProof/>
          <w:sz w:val="24"/>
          <w:szCs w:val="24"/>
          <w:lang w:val="es-ES"/>
        </w:rPr>
      </w:pPr>
      <w:r w:rsidRPr="00576D9E">
        <w:rPr>
          <w:rFonts w:ascii="Bookman Old Style" w:hAnsi="Bookman Old Style"/>
          <w:b w:val="0"/>
          <w:bCs/>
          <w:sz w:val="24"/>
          <w:szCs w:val="24"/>
        </w:rPr>
        <w:t>Ministerio de Minas y Energía</w:t>
      </w:r>
    </w:p>
    <w:p w14:paraId="7D748325" w14:textId="77777777" w:rsidR="00CA77FB" w:rsidRPr="00576D9E" w:rsidRDefault="00CA77FB" w:rsidP="00896383">
      <w:pPr>
        <w:ind w:left="0"/>
      </w:pPr>
    </w:p>
    <w:p w14:paraId="79D82916" w14:textId="77777777" w:rsidR="00CA77FB" w:rsidRPr="00576D9E" w:rsidRDefault="00CA77FB" w:rsidP="00012259">
      <w:pPr>
        <w:pStyle w:val="Ttulo3"/>
        <w:tabs>
          <w:tab w:val="left" w:pos="0"/>
          <w:tab w:val="right" w:pos="9356"/>
        </w:tabs>
        <w:ind w:left="0"/>
        <w:rPr>
          <w:rFonts w:ascii="Bookman Old Style" w:hAnsi="Bookman Old Style" w:cs="Arial"/>
          <w:spacing w:val="20"/>
          <w:szCs w:val="24"/>
        </w:rPr>
      </w:pPr>
      <w:r w:rsidRPr="00576D9E">
        <w:rPr>
          <w:rFonts w:ascii="Bookman Old Style" w:hAnsi="Bookman Old Style" w:cs="Arial"/>
          <w:spacing w:val="20"/>
          <w:szCs w:val="24"/>
        </w:rPr>
        <w:t>COMISIÓN DE REGULACIÓN DE ENERGÍA Y GAS</w:t>
      </w:r>
    </w:p>
    <w:p w14:paraId="74AD1A90" w14:textId="77777777" w:rsidR="00CA77FB" w:rsidRPr="00576D9E" w:rsidRDefault="00CA77FB" w:rsidP="00012259">
      <w:pPr>
        <w:pStyle w:val="Ttulo5"/>
        <w:tabs>
          <w:tab w:val="left" w:pos="0"/>
          <w:tab w:val="right" w:pos="9356"/>
        </w:tabs>
        <w:ind w:left="0"/>
        <w:rPr>
          <w:rFonts w:ascii="Bookman Old Style" w:hAnsi="Bookman Old Style"/>
          <w:sz w:val="24"/>
          <w:szCs w:val="24"/>
        </w:rPr>
      </w:pPr>
    </w:p>
    <w:p w14:paraId="2FE103F8" w14:textId="77777777" w:rsidR="00CA77FB" w:rsidRPr="00576D9E" w:rsidRDefault="00CA77FB" w:rsidP="00012259">
      <w:pPr>
        <w:pStyle w:val="Ttulo5"/>
        <w:tabs>
          <w:tab w:val="left" w:pos="0"/>
          <w:tab w:val="right" w:pos="9356"/>
        </w:tabs>
        <w:ind w:left="0"/>
        <w:rPr>
          <w:rFonts w:ascii="Bookman Old Style" w:hAnsi="Bookman Old Style"/>
          <w:sz w:val="24"/>
          <w:szCs w:val="24"/>
        </w:rPr>
      </w:pPr>
    </w:p>
    <w:p w14:paraId="66620C18" w14:textId="77777777" w:rsidR="00CA77FB" w:rsidRPr="00576D9E" w:rsidRDefault="00CA77FB" w:rsidP="00012259">
      <w:pPr>
        <w:pStyle w:val="Ttulo5"/>
        <w:tabs>
          <w:tab w:val="left" w:pos="0"/>
          <w:tab w:val="right" w:pos="9356"/>
        </w:tabs>
        <w:ind w:left="0"/>
        <w:rPr>
          <w:rFonts w:ascii="Bookman Old Style" w:hAnsi="Bookman Old Style"/>
          <w:sz w:val="24"/>
          <w:szCs w:val="24"/>
        </w:rPr>
      </w:pPr>
      <w:r w:rsidRPr="00576D9E">
        <w:rPr>
          <w:rFonts w:ascii="Bookman Old Style" w:hAnsi="Bookman Old Style"/>
          <w:sz w:val="24"/>
          <w:szCs w:val="24"/>
        </w:rPr>
        <w:t xml:space="preserve">RESOLUCIÓN No. </w:t>
      </w:r>
      <w:r w:rsidR="00795BFB" w:rsidRPr="00576D9E">
        <w:rPr>
          <w:rFonts w:ascii="Bookman Old Style" w:hAnsi="Bookman Old Style"/>
          <w:sz w:val="24"/>
          <w:szCs w:val="24"/>
        </w:rPr>
        <w:t xml:space="preserve">                  </w:t>
      </w:r>
      <w:r w:rsidRPr="00576D9E">
        <w:rPr>
          <w:rFonts w:ascii="Bookman Old Style" w:hAnsi="Bookman Old Style"/>
          <w:sz w:val="24"/>
          <w:szCs w:val="24"/>
        </w:rPr>
        <w:t>DE 20</w:t>
      </w:r>
      <w:r w:rsidR="00795BFB" w:rsidRPr="00576D9E">
        <w:rPr>
          <w:rFonts w:ascii="Bookman Old Style" w:hAnsi="Bookman Old Style"/>
          <w:sz w:val="24"/>
          <w:szCs w:val="24"/>
        </w:rPr>
        <w:t>1</w:t>
      </w:r>
      <w:r w:rsidR="00F21C25">
        <w:rPr>
          <w:rFonts w:ascii="Bookman Old Style" w:hAnsi="Bookman Old Style"/>
          <w:sz w:val="24"/>
          <w:szCs w:val="24"/>
        </w:rPr>
        <w:t>9</w:t>
      </w:r>
    </w:p>
    <w:p w14:paraId="5A76EE1A" w14:textId="77777777" w:rsidR="00CA77FB" w:rsidRPr="00576D9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1F993F2D" w14:textId="77777777" w:rsidR="00CA77FB" w:rsidRPr="00576D9E" w:rsidRDefault="00CA77FB" w:rsidP="0069340F">
      <w:pPr>
        <w:ind w:left="0"/>
        <w:jc w:val="center"/>
        <w:rPr>
          <w:rFonts w:ascii="Bookman Old Style" w:hAnsi="Bookman Old Style"/>
        </w:rPr>
      </w:pPr>
      <w:r w:rsidRPr="00576D9E">
        <w:rPr>
          <w:rFonts w:ascii="Bookman Old Style" w:hAnsi="Bookman Old Style"/>
        </w:rPr>
        <w:t>(                                  )</w:t>
      </w:r>
    </w:p>
    <w:p w14:paraId="5519721F" w14:textId="77777777" w:rsidR="00CA77FB" w:rsidRPr="00576D9E" w:rsidRDefault="00CA77FB" w:rsidP="00012259">
      <w:pPr>
        <w:tabs>
          <w:tab w:val="left" w:pos="0"/>
          <w:tab w:val="right" w:pos="9356"/>
        </w:tabs>
        <w:ind w:left="0"/>
        <w:jc w:val="center"/>
        <w:rPr>
          <w:rFonts w:ascii="Bookman Old Style" w:hAnsi="Bookman Old Style"/>
          <w:lang w:val="es-ES_tradnl"/>
        </w:rPr>
      </w:pPr>
    </w:p>
    <w:p w14:paraId="4C3BE1C2" w14:textId="106BC50F" w:rsidR="005E20D0" w:rsidRDefault="005E20D0" w:rsidP="00012259">
      <w:pPr>
        <w:tabs>
          <w:tab w:val="left" w:pos="0"/>
          <w:tab w:val="right" w:pos="9356"/>
        </w:tabs>
        <w:ind w:left="0"/>
        <w:jc w:val="center"/>
        <w:rPr>
          <w:rFonts w:ascii="Bookman Old Style" w:hAnsi="Bookman Old Style"/>
          <w:lang w:val="es-ES_tradnl"/>
        </w:rPr>
      </w:pPr>
    </w:p>
    <w:p w14:paraId="117398FC" w14:textId="77777777" w:rsidR="002B13BB" w:rsidRPr="00576D9E" w:rsidRDefault="002B13BB" w:rsidP="00012259">
      <w:pPr>
        <w:tabs>
          <w:tab w:val="left" w:pos="0"/>
          <w:tab w:val="right" w:pos="9356"/>
        </w:tabs>
        <w:ind w:left="0"/>
        <w:jc w:val="center"/>
        <w:rPr>
          <w:rFonts w:ascii="Bookman Old Style" w:hAnsi="Bookman Old Style"/>
          <w:lang w:val="es-ES_tradnl"/>
        </w:rPr>
      </w:pPr>
    </w:p>
    <w:p w14:paraId="3050A8CB" w14:textId="0B1D27F2" w:rsidR="0008244E" w:rsidRPr="00791183" w:rsidRDefault="0022248D" w:rsidP="0008244E">
      <w:pPr>
        <w:ind w:left="0"/>
        <w:jc w:val="center"/>
        <w:rPr>
          <w:rFonts w:ascii="Bookman Old Style" w:hAnsi="Bookman Old Style" w:cs="Arial"/>
        </w:rPr>
      </w:pPr>
      <w:r w:rsidRPr="00576D9E">
        <w:rPr>
          <w:rFonts w:ascii="Bookman Old Style" w:hAnsi="Bookman Old Style" w:cs="Arial"/>
        </w:rPr>
        <w:t>Por la cual se ordena hacer público un proyecto de resolución</w:t>
      </w:r>
      <w:r>
        <w:rPr>
          <w:rFonts w:ascii="Bookman Old Style" w:hAnsi="Bookman Old Style" w:cs="Arial"/>
        </w:rPr>
        <w:t xml:space="preserve"> </w:t>
      </w:r>
      <w:r w:rsidR="00453AC7">
        <w:rPr>
          <w:rFonts w:ascii="Bookman Old Style" w:hAnsi="Bookman Old Style" w:cs="Arial"/>
        </w:rPr>
        <w:t>“</w:t>
      </w:r>
      <w:r w:rsidRPr="00791183">
        <w:rPr>
          <w:rFonts w:ascii="Bookman Old Style" w:hAnsi="Bookman Old Style" w:cs="Arial"/>
          <w:i/>
        </w:rPr>
        <w:t xml:space="preserve">Por </w:t>
      </w:r>
      <w:r w:rsidR="00F549E9">
        <w:rPr>
          <w:rFonts w:ascii="Bookman Old Style" w:hAnsi="Bookman Old Style" w:cs="Arial"/>
          <w:i/>
        </w:rPr>
        <w:t xml:space="preserve">medio de </w:t>
      </w:r>
      <w:r w:rsidRPr="00791183">
        <w:rPr>
          <w:rFonts w:ascii="Bookman Old Style" w:hAnsi="Bookman Old Style" w:cs="Arial"/>
          <w:i/>
        </w:rPr>
        <w:t xml:space="preserve">la cual se </w:t>
      </w:r>
      <w:r w:rsidR="00C914BB">
        <w:rPr>
          <w:rFonts w:ascii="Bookman Old Style" w:hAnsi="Bookman Old Style" w:cs="Arial"/>
          <w:i/>
        </w:rPr>
        <w:t>propone</w:t>
      </w:r>
      <w:r w:rsidRPr="00791183">
        <w:rPr>
          <w:rFonts w:ascii="Bookman Old Style" w:hAnsi="Bookman Old Style" w:cs="Arial"/>
          <w:i/>
        </w:rPr>
        <w:t xml:space="preserve"> modifica</w:t>
      </w:r>
      <w:r w:rsidR="00F45D7C">
        <w:rPr>
          <w:rFonts w:ascii="Bookman Old Style" w:hAnsi="Bookman Old Style" w:cs="Arial"/>
          <w:i/>
        </w:rPr>
        <w:t xml:space="preserve">r la </w:t>
      </w:r>
      <w:r w:rsidR="00475A34">
        <w:rPr>
          <w:rFonts w:ascii="Bookman Old Style" w:hAnsi="Bookman Old Style" w:cs="Arial"/>
          <w:i/>
        </w:rPr>
        <w:t xml:space="preserve">definición de la </w:t>
      </w:r>
      <w:r w:rsidR="00F45D7C">
        <w:rPr>
          <w:rFonts w:ascii="Bookman Old Style" w:hAnsi="Bookman Old Style" w:cs="Arial"/>
          <w:i/>
        </w:rPr>
        <w:t xml:space="preserve">variable </w:t>
      </w:r>
      <w:proofErr w:type="spellStart"/>
      <w:r w:rsidR="00F45D7C">
        <w:rPr>
          <w:rFonts w:ascii="Bookman Old Style" w:hAnsi="Bookman Old Style" w:cs="Arial"/>
          <w:i/>
        </w:rPr>
        <w:t>PRRj</w:t>
      </w:r>
      <w:proofErr w:type="spellEnd"/>
      <w:r w:rsidR="00F45D7C">
        <w:rPr>
          <w:rFonts w:ascii="Bookman Old Style" w:hAnsi="Bookman Old Style" w:cs="Arial"/>
          <w:i/>
        </w:rPr>
        <w:t xml:space="preserve"> de las Resoluciones CREG 004 de 2003 y CREG 014 de 2004</w:t>
      </w:r>
      <w:r w:rsidR="00C914BB">
        <w:rPr>
          <w:rFonts w:ascii="Bookman Old Style" w:hAnsi="Bookman Old Style" w:cs="Arial"/>
          <w:i/>
        </w:rPr>
        <w:t>”</w:t>
      </w:r>
    </w:p>
    <w:p w14:paraId="21683B01" w14:textId="77777777" w:rsidR="0008244E" w:rsidRPr="00791183" w:rsidRDefault="0008244E" w:rsidP="0008244E">
      <w:pPr>
        <w:ind w:right="51"/>
        <w:rPr>
          <w:rFonts w:ascii="Bookman Old Style" w:hAnsi="Bookman Old Style"/>
        </w:rPr>
      </w:pPr>
    </w:p>
    <w:p w14:paraId="36AC653D" w14:textId="77777777" w:rsidR="0008244E" w:rsidRPr="00791183" w:rsidRDefault="0008244E" w:rsidP="0008244E">
      <w:pPr>
        <w:ind w:right="51"/>
        <w:rPr>
          <w:rFonts w:ascii="Bookman Old Style" w:hAnsi="Bookman Old Style"/>
        </w:rPr>
      </w:pPr>
    </w:p>
    <w:p w14:paraId="0EB4A0C4" w14:textId="77777777" w:rsidR="0008244E" w:rsidRPr="00576D9E" w:rsidRDefault="0008244E" w:rsidP="0008244E">
      <w:pPr>
        <w:ind w:right="51"/>
        <w:jc w:val="center"/>
        <w:rPr>
          <w:rFonts w:ascii="Bookman Old Style" w:hAnsi="Bookman Old Style"/>
          <w:b/>
        </w:rPr>
      </w:pPr>
      <w:r w:rsidRPr="00791183">
        <w:rPr>
          <w:rFonts w:ascii="Bookman Old Style" w:hAnsi="Bookman Old Style"/>
          <w:b/>
        </w:rPr>
        <w:t>LA COMISIÓN DE REGULACIÓN</w:t>
      </w:r>
      <w:r w:rsidRPr="00576D9E">
        <w:rPr>
          <w:rFonts w:ascii="Bookman Old Style" w:hAnsi="Bookman Old Style"/>
          <w:b/>
        </w:rPr>
        <w:t xml:space="preserve"> DE ENERGÍA Y GAS</w:t>
      </w:r>
    </w:p>
    <w:p w14:paraId="7FA25CA5" w14:textId="77777777" w:rsidR="0008244E" w:rsidRPr="00576D9E" w:rsidRDefault="0008244E" w:rsidP="0008244E">
      <w:pPr>
        <w:ind w:left="0" w:right="51"/>
        <w:rPr>
          <w:rFonts w:ascii="Bookman Old Style" w:hAnsi="Bookman Old Style"/>
        </w:rPr>
      </w:pPr>
    </w:p>
    <w:p w14:paraId="12C92014" w14:textId="77777777" w:rsidR="0008244E" w:rsidRPr="00576D9E" w:rsidRDefault="0008244E" w:rsidP="0008244E">
      <w:pPr>
        <w:jc w:val="center"/>
        <w:rPr>
          <w:rFonts w:ascii="Bookman Old Style" w:hAnsi="Bookman Old Style"/>
          <w:b/>
        </w:rPr>
      </w:pPr>
      <w:r w:rsidRPr="00576D9E">
        <w:rPr>
          <w:rFonts w:ascii="Bookman Old Style" w:hAnsi="Bookman Old Style"/>
        </w:rPr>
        <w:t>En ejercicio de sus atribuciones constitucionales y legales, en especial las conferidas por las Leyes 142 y 143 de 1994, y en desarrollo de los Decretos 1524</w:t>
      </w:r>
      <w:r w:rsidR="00FD1DDC" w:rsidRPr="00576D9E">
        <w:rPr>
          <w:rFonts w:ascii="Bookman Old Style" w:hAnsi="Bookman Old Style"/>
        </w:rPr>
        <w:t xml:space="preserve"> y</w:t>
      </w:r>
      <w:r w:rsidRPr="00576D9E">
        <w:rPr>
          <w:rFonts w:ascii="Bookman Old Style" w:hAnsi="Bookman Old Style"/>
        </w:rPr>
        <w:t xml:space="preserve"> 2253 de 1994</w:t>
      </w:r>
      <w:r w:rsidR="00FD1DDC" w:rsidRPr="00576D9E">
        <w:rPr>
          <w:rFonts w:ascii="Bookman Old Style" w:hAnsi="Bookman Old Style"/>
        </w:rPr>
        <w:t>, y Decreto 1260 de 2013</w:t>
      </w:r>
    </w:p>
    <w:p w14:paraId="48E055BD" w14:textId="77777777" w:rsidR="0008244E" w:rsidRPr="00576D9E" w:rsidRDefault="0008244E" w:rsidP="0008244E">
      <w:pPr>
        <w:ind w:right="51"/>
        <w:rPr>
          <w:rFonts w:ascii="Bookman Old Style" w:hAnsi="Bookman Old Style"/>
        </w:rPr>
      </w:pPr>
    </w:p>
    <w:p w14:paraId="61460F85" w14:textId="77777777" w:rsidR="005E20D0" w:rsidRPr="00576D9E" w:rsidRDefault="005E20D0" w:rsidP="0008244E">
      <w:pPr>
        <w:ind w:right="51"/>
        <w:rPr>
          <w:rFonts w:ascii="Bookman Old Style" w:hAnsi="Bookman Old Style"/>
        </w:rPr>
      </w:pPr>
    </w:p>
    <w:p w14:paraId="57CE55AE" w14:textId="77777777" w:rsidR="0008244E" w:rsidRPr="00576D9E" w:rsidRDefault="0008244E" w:rsidP="0008244E">
      <w:pPr>
        <w:ind w:right="51"/>
        <w:jc w:val="center"/>
        <w:rPr>
          <w:rFonts w:ascii="Bookman Old Style" w:hAnsi="Bookman Old Style"/>
          <w:b/>
        </w:rPr>
      </w:pPr>
      <w:r w:rsidRPr="00576D9E">
        <w:rPr>
          <w:rFonts w:ascii="Bookman Old Style" w:hAnsi="Bookman Old Style"/>
          <w:b/>
        </w:rPr>
        <w:t xml:space="preserve">C O N S I D E R A N D O  </w:t>
      </w:r>
      <w:r w:rsidR="00405FB5">
        <w:rPr>
          <w:rFonts w:ascii="Bookman Old Style" w:hAnsi="Bookman Old Style"/>
          <w:b/>
        </w:rPr>
        <w:t xml:space="preserve"> </w:t>
      </w:r>
      <w:r w:rsidRPr="00576D9E">
        <w:rPr>
          <w:rFonts w:ascii="Bookman Old Style" w:hAnsi="Bookman Old Style"/>
          <w:b/>
        </w:rPr>
        <w:t>Q U E:</w:t>
      </w:r>
    </w:p>
    <w:p w14:paraId="21B9D16D" w14:textId="77777777" w:rsidR="0008244E" w:rsidRPr="00576D9E" w:rsidRDefault="0008244E" w:rsidP="0008244E">
      <w:pPr>
        <w:ind w:right="51"/>
        <w:jc w:val="center"/>
        <w:rPr>
          <w:rFonts w:ascii="Bookman Old Style" w:hAnsi="Bookman Old Style"/>
          <w:b/>
        </w:rPr>
      </w:pPr>
    </w:p>
    <w:p w14:paraId="70A3F492" w14:textId="77777777" w:rsidR="0008244E" w:rsidRPr="00576D9E" w:rsidRDefault="0008244E" w:rsidP="0008244E">
      <w:pPr>
        <w:ind w:right="51"/>
        <w:jc w:val="center"/>
        <w:rPr>
          <w:rFonts w:ascii="Bookman Old Style" w:hAnsi="Bookman Old Style"/>
          <w:b/>
        </w:rPr>
      </w:pPr>
    </w:p>
    <w:p w14:paraId="5CEA8B29" w14:textId="4FC78135" w:rsidR="0008244E" w:rsidRPr="00576D9E" w:rsidRDefault="0008244E" w:rsidP="0008244E">
      <w:pPr>
        <w:tabs>
          <w:tab w:val="left" w:pos="0"/>
        </w:tabs>
        <w:ind w:left="0"/>
        <w:jc w:val="both"/>
        <w:rPr>
          <w:rFonts w:ascii="Bookman Old Style" w:hAnsi="Bookman Old Style" w:cs="Arial"/>
        </w:rPr>
      </w:pPr>
      <w:r w:rsidRPr="00576D9E">
        <w:rPr>
          <w:rFonts w:ascii="Bookman Old Style" w:hAnsi="Bookman Old Style" w:cs="Arial"/>
        </w:rPr>
        <w:t>Conforme a lo dispuesto por el artículo 8 del Código de Procedimiento Administrativo y de lo Contencioso administrativo</w:t>
      </w:r>
      <w:r w:rsidR="00B033F3" w:rsidRPr="00576D9E">
        <w:rPr>
          <w:rFonts w:ascii="Bookman Old Style" w:hAnsi="Bookman Old Style" w:cs="Arial"/>
        </w:rPr>
        <w:t xml:space="preserve">, </w:t>
      </w:r>
      <w:r w:rsidR="00941B64">
        <w:rPr>
          <w:rFonts w:ascii="Bookman Old Style" w:hAnsi="Bookman Old Style" w:cs="Arial"/>
        </w:rPr>
        <w:t xml:space="preserve">así como lo establecido en el </w:t>
      </w:r>
      <w:r w:rsidR="00F549E9">
        <w:rPr>
          <w:rFonts w:ascii="Bookman Old Style" w:hAnsi="Bookman Old Style" w:cs="Arial"/>
        </w:rPr>
        <w:t xml:space="preserve">artículo 9 del </w:t>
      </w:r>
      <w:r w:rsidR="00941B64">
        <w:rPr>
          <w:rFonts w:ascii="Bookman Old Style" w:hAnsi="Bookman Old Style" w:cs="Arial"/>
        </w:rPr>
        <w:t xml:space="preserve">Decreto 2696 de 2004, compilado </w:t>
      </w:r>
      <w:r w:rsidR="00F549E9">
        <w:rPr>
          <w:rFonts w:ascii="Bookman Old Style" w:hAnsi="Bookman Old Style" w:cs="Arial"/>
        </w:rPr>
        <w:t>en</w:t>
      </w:r>
      <w:r w:rsidR="00941B64">
        <w:rPr>
          <w:rFonts w:ascii="Bookman Old Style" w:hAnsi="Bookman Old Style" w:cs="Arial"/>
        </w:rPr>
        <w:t xml:space="preserve"> el </w:t>
      </w:r>
      <w:r w:rsidR="00F549E9">
        <w:rPr>
          <w:rFonts w:ascii="Bookman Old Style" w:hAnsi="Bookman Old Style" w:cs="Arial"/>
        </w:rPr>
        <w:t xml:space="preserve">artículo </w:t>
      </w:r>
      <w:r w:rsidR="00F549E9" w:rsidRPr="00E60CE3">
        <w:rPr>
          <w:rFonts w:ascii="Bookman Old Style" w:hAnsi="Bookman Old Style" w:cs="Arial"/>
        </w:rPr>
        <w:t xml:space="preserve">2.2.13.3.2. del </w:t>
      </w:r>
      <w:r w:rsidR="00941B64">
        <w:rPr>
          <w:rFonts w:ascii="Bookman Old Style" w:hAnsi="Bookman Old Style" w:cs="Arial"/>
        </w:rPr>
        <w:t>Decreto 1078 de 2015</w:t>
      </w:r>
      <w:r w:rsidR="003C0B58">
        <w:rPr>
          <w:rFonts w:ascii="Bookman Old Style" w:hAnsi="Bookman Old Style" w:cs="Arial"/>
        </w:rPr>
        <w:t xml:space="preserve"> y el artículo 33</w:t>
      </w:r>
      <w:r w:rsidR="00941B64">
        <w:rPr>
          <w:rFonts w:ascii="Bookman Old Style" w:hAnsi="Bookman Old Style" w:cs="Arial"/>
        </w:rPr>
        <w:t xml:space="preserve"> </w:t>
      </w:r>
      <w:r w:rsidR="003C0B58">
        <w:rPr>
          <w:rFonts w:ascii="Bookman Old Style" w:hAnsi="Bookman Old Style" w:cs="Arial"/>
        </w:rPr>
        <w:t xml:space="preserve">de la Resolución CREG 039 de 2017, </w:t>
      </w:r>
      <w:r w:rsidRPr="00576D9E">
        <w:rPr>
          <w:rFonts w:ascii="Bookman Old Style" w:hAnsi="Bookman Old Style" w:cs="Arial"/>
        </w:rPr>
        <w:t>la Comisión debe hacer público en su página web todos los proyectos de resolución de carácter general que pretenda adoptar.</w:t>
      </w:r>
    </w:p>
    <w:p w14:paraId="2CE98321" w14:textId="78D5B96C" w:rsidR="003C0B58" w:rsidRDefault="003C0B58" w:rsidP="0008244E">
      <w:pPr>
        <w:tabs>
          <w:tab w:val="left" w:pos="0"/>
        </w:tabs>
        <w:ind w:left="0"/>
        <w:jc w:val="both"/>
        <w:rPr>
          <w:rFonts w:ascii="Bookman Old Style" w:hAnsi="Bookman Old Style" w:cs="Arial"/>
        </w:rPr>
      </w:pPr>
    </w:p>
    <w:p w14:paraId="3A376C01" w14:textId="1AA908CB" w:rsidR="002D56D6" w:rsidRDefault="002D56D6" w:rsidP="0008244E">
      <w:pPr>
        <w:tabs>
          <w:tab w:val="left" w:pos="0"/>
        </w:tabs>
        <w:ind w:left="0"/>
        <w:jc w:val="both"/>
        <w:rPr>
          <w:rFonts w:ascii="Bookman Old Style" w:hAnsi="Bookman Old Style" w:cs="Arial"/>
        </w:rPr>
      </w:pPr>
      <w:r>
        <w:rPr>
          <w:rFonts w:ascii="Bookman Old Style" w:hAnsi="Bookman Old Style" w:cs="Arial"/>
        </w:rPr>
        <w:t>De conformidad con el artículo 33, numeral 4, de la Resolución CREG 039 de 2017, se somete a una consulta menor a diez días hábiles en razón a que se está realizando una corrección de forma.</w:t>
      </w:r>
    </w:p>
    <w:p w14:paraId="11934452" w14:textId="77777777" w:rsidR="002D56D6" w:rsidRPr="00576D9E" w:rsidRDefault="002D56D6" w:rsidP="0008244E">
      <w:pPr>
        <w:tabs>
          <w:tab w:val="left" w:pos="0"/>
        </w:tabs>
        <w:ind w:left="0"/>
        <w:jc w:val="both"/>
        <w:rPr>
          <w:rFonts w:ascii="Bookman Old Style" w:hAnsi="Bookman Old Style" w:cs="Arial"/>
        </w:rPr>
      </w:pPr>
    </w:p>
    <w:p w14:paraId="15585DA9" w14:textId="75C1D6B6" w:rsidR="0022248D" w:rsidRDefault="0022248D" w:rsidP="0022248D">
      <w:pPr>
        <w:ind w:left="0"/>
        <w:jc w:val="both"/>
        <w:rPr>
          <w:rFonts w:ascii="Bookman Old Style" w:hAnsi="Bookman Old Style" w:cs="Arial"/>
          <w:i/>
        </w:rPr>
      </w:pPr>
      <w:r w:rsidRPr="00791183">
        <w:rPr>
          <w:rFonts w:ascii="Bookman Old Style" w:hAnsi="Bookman Old Style"/>
        </w:rPr>
        <w:t xml:space="preserve">La </w:t>
      </w:r>
      <w:r w:rsidRPr="00791183">
        <w:rPr>
          <w:rFonts w:ascii="Bookman Old Style" w:hAnsi="Bookman Old Style" w:cs="Arial"/>
        </w:rPr>
        <w:t>Comisión</w:t>
      </w:r>
      <w:r w:rsidRPr="00791183">
        <w:rPr>
          <w:rFonts w:ascii="Bookman Old Style" w:hAnsi="Bookman Old Style"/>
        </w:rPr>
        <w:t xml:space="preserve"> de Regulación de Energía y Gas, en su sesión No</w:t>
      </w:r>
      <w:r w:rsidRPr="00C11EC5">
        <w:rPr>
          <w:rFonts w:ascii="Bookman Old Style" w:hAnsi="Bookman Old Style"/>
        </w:rPr>
        <w:t>.</w:t>
      </w:r>
      <w:r w:rsidR="00453AC7">
        <w:rPr>
          <w:rFonts w:ascii="Bookman Old Style" w:hAnsi="Bookman Old Style"/>
        </w:rPr>
        <w:t xml:space="preserve"> </w:t>
      </w:r>
      <w:r w:rsidR="002D56D6">
        <w:rPr>
          <w:rFonts w:ascii="Bookman Old Style" w:hAnsi="Bookman Old Style"/>
        </w:rPr>
        <w:t>954</w:t>
      </w:r>
      <w:r w:rsidR="00957B9E">
        <w:rPr>
          <w:rFonts w:ascii="Bookman Old Style" w:hAnsi="Bookman Old Style"/>
        </w:rPr>
        <w:t xml:space="preserve"> </w:t>
      </w:r>
      <w:r w:rsidRPr="00C11EC5">
        <w:rPr>
          <w:rFonts w:ascii="Bookman Old Style" w:hAnsi="Bookman Old Style"/>
        </w:rPr>
        <w:t xml:space="preserve">del </w:t>
      </w:r>
      <w:r w:rsidR="002D56D6">
        <w:rPr>
          <w:rFonts w:ascii="Bookman Old Style" w:hAnsi="Bookman Old Style"/>
        </w:rPr>
        <w:t>29</w:t>
      </w:r>
      <w:r w:rsidR="0045363D" w:rsidRPr="00791183">
        <w:rPr>
          <w:rFonts w:ascii="Bookman Old Style" w:hAnsi="Bookman Old Style"/>
        </w:rPr>
        <w:t xml:space="preserve"> </w:t>
      </w:r>
      <w:r w:rsidRPr="00791183">
        <w:rPr>
          <w:rFonts w:ascii="Bookman Old Style" w:hAnsi="Bookman Old Style"/>
        </w:rPr>
        <w:t xml:space="preserve">de </w:t>
      </w:r>
      <w:r w:rsidR="00F45D7C">
        <w:rPr>
          <w:rFonts w:ascii="Bookman Old Style" w:hAnsi="Bookman Old Style"/>
        </w:rPr>
        <w:t xml:space="preserve">octubre </w:t>
      </w:r>
      <w:r w:rsidRPr="00791183">
        <w:rPr>
          <w:rFonts w:ascii="Bookman Old Style" w:hAnsi="Bookman Old Style"/>
        </w:rPr>
        <w:t>de 201</w:t>
      </w:r>
      <w:r w:rsidR="00957B9E">
        <w:rPr>
          <w:rFonts w:ascii="Bookman Old Style" w:hAnsi="Bookman Old Style"/>
        </w:rPr>
        <w:t>9</w:t>
      </w:r>
      <w:r w:rsidRPr="00791183">
        <w:rPr>
          <w:rFonts w:ascii="Bookman Old Style" w:hAnsi="Bookman Old Style"/>
        </w:rPr>
        <w:t xml:space="preserve">, aprobó hacer público el proyecto de resolución </w:t>
      </w:r>
      <w:r w:rsidR="00957B9E">
        <w:rPr>
          <w:rFonts w:ascii="Bookman Old Style" w:hAnsi="Bookman Old Style"/>
        </w:rPr>
        <w:t>“</w:t>
      </w:r>
      <w:r w:rsidR="00F45D7C" w:rsidRPr="00791183">
        <w:rPr>
          <w:rFonts w:ascii="Bookman Old Style" w:hAnsi="Bookman Old Style" w:cs="Arial"/>
          <w:i/>
        </w:rPr>
        <w:t xml:space="preserve">Por </w:t>
      </w:r>
      <w:r w:rsidR="00F45D7C">
        <w:rPr>
          <w:rFonts w:ascii="Bookman Old Style" w:hAnsi="Bookman Old Style" w:cs="Arial"/>
          <w:i/>
        </w:rPr>
        <w:t xml:space="preserve">medio de </w:t>
      </w:r>
      <w:r w:rsidR="00F45D7C" w:rsidRPr="00791183">
        <w:rPr>
          <w:rFonts w:ascii="Bookman Old Style" w:hAnsi="Bookman Old Style" w:cs="Arial"/>
          <w:i/>
        </w:rPr>
        <w:t xml:space="preserve">la cual se </w:t>
      </w:r>
      <w:r w:rsidR="00F45D7C">
        <w:rPr>
          <w:rFonts w:ascii="Bookman Old Style" w:hAnsi="Bookman Old Style" w:cs="Arial"/>
          <w:i/>
        </w:rPr>
        <w:t>propone</w:t>
      </w:r>
      <w:r w:rsidR="00F45D7C" w:rsidRPr="00791183">
        <w:rPr>
          <w:rFonts w:ascii="Bookman Old Style" w:hAnsi="Bookman Old Style" w:cs="Arial"/>
          <w:i/>
        </w:rPr>
        <w:t xml:space="preserve"> modifica</w:t>
      </w:r>
      <w:r w:rsidR="00F45D7C">
        <w:rPr>
          <w:rFonts w:ascii="Bookman Old Style" w:hAnsi="Bookman Old Style" w:cs="Arial"/>
          <w:i/>
        </w:rPr>
        <w:t xml:space="preserve">r la </w:t>
      </w:r>
      <w:r w:rsidR="00475A34">
        <w:rPr>
          <w:rFonts w:ascii="Bookman Old Style" w:hAnsi="Bookman Old Style" w:cs="Arial"/>
          <w:i/>
        </w:rPr>
        <w:t xml:space="preserve">definición de la </w:t>
      </w:r>
      <w:r w:rsidR="00F45D7C">
        <w:rPr>
          <w:rFonts w:ascii="Bookman Old Style" w:hAnsi="Bookman Old Style" w:cs="Arial"/>
          <w:i/>
        </w:rPr>
        <w:t xml:space="preserve">variable </w:t>
      </w:r>
      <w:proofErr w:type="spellStart"/>
      <w:r w:rsidR="00F45D7C">
        <w:rPr>
          <w:rFonts w:ascii="Bookman Old Style" w:hAnsi="Bookman Old Style" w:cs="Arial"/>
          <w:i/>
        </w:rPr>
        <w:t>PRRj</w:t>
      </w:r>
      <w:proofErr w:type="spellEnd"/>
      <w:r w:rsidR="00F45D7C">
        <w:rPr>
          <w:rFonts w:ascii="Bookman Old Style" w:hAnsi="Bookman Old Style" w:cs="Arial"/>
          <w:i/>
        </w:rPr>
        <w:t xml:space="preserve"> de las Resoluciones CREG 004 de 2003 y CREG 014 de 2004</w:t>
      </w:r>
      <w:r w:rsidR="00957B9E">
        <w:rPr>
          <w:rFonts w:ascii="Bookman Old Style" w:hAnsi="Bookman Old Style" w:cs="Arial"/>
          <w:i/>
        </w:rPr>
        <w:t>”</w:t>
      </w:r>
    </w:p>
    <w:p w14:paraId="33626854" w14:textId="49AF6E05" w:rsidR="002D56D6" w:rsidRDefault="002D56D6" w:rsidP="0022248D">
      <w:pPr>
        <w:ind w:left="0"/>
        <w:jc w:val="both"/>
        <w:rPr>
          <w:rFonts w:ascii="Bookman Old Style" w:hAnsi="Bookman Old Style" w:cs="Arial"/>
          <w:i/>
        </w:rPr>
      </w:pPr>
    </w:p>
    <w:p w14:paraId="00621EE0" w14:textId="77777777" w:rsidR="005E20D0" w:rsidRPr="00791183" w:rsidRDefault="005E20D0" w:rsidP="0008244E">
      <w:pPr>
        <w:pStyle w:val="Prrafodelista"/>
        <w:tabs>
          <w:tab w:val="left" w:pos="0"/>
        </w:tabs>
        <w:ind w:left="720"/>
        <w:jc w:val="both"/>
        <w:rPr>
          <w:rFonts w:ascii="Bookman Old Style" w:hAnsi="Bookman Old Style"/>
          <w:sz w:val="24"/>
          <w:szCs w:val="24"/>
        </w:rPr>
      </w:pPr>
    </w:p>
    <w:p w14:paraId="4F472BC0" w14:textId="77777777" w:rsidR="0008244E" w:rsidRPr="00576D9E" w:rsidRDefault="0008244E" w:rsidP="0008244E">
      <w:pPr>
        <w:suppressAutoHyphens/>
        <w:jc w:val="center"/>
        <w:rPr>
          <w:rFonts w:ascii="Bookman Old Style" w:hAnsi="Bookman Old Style"/>
          <w:spacing w:val="-3"/>
        </w:rPr>
      </w:pPr>
      <w:r w:rsidRPr="00791183">
        <w:rPr>
          <w:rFonts w:ascii="Bookman Old Style" w:hAnsi="Bookman Old Style"/>
          <w:b/>
          <w:spacing w:val="-3"/>
        </w:rPr>
        <w:t>R E S U E L V E:</w:t>
      </w:r>
    </w:p>
    <w:p w14:paraId="78663D50" w14:textId="758D371A" w:rsidR="0008244E" w:rsidRDefault="0008244E" w:rsidP="0008244E">
      <w:pPr>
        <w:jc w:val="center"/>
        <w:rPr>
          <w:rFonts w:ascii="Bookman Old Style" w:hAnsi="Bookman Old Style"/>
        </w:rPr>
      </w:pPr>
    </w:p>
    <w:p w14:paraId="4587E688" w14:textId="77777777" w:rsidR="00F45D7C" w:rsidRPr="00576D9E" w:rsidRDefault="00F45D7C" w:rsidP="0008244E">
      <w:pPr>
        <w:jc w:val="center"/>
        <w:rPr>
          <w:rFonts w:ascii="Bookman Old Style" w:hAnsi="Bookman Old Style"/>
        </w:rPr>
      </w:pPr>
    </w:p>
    <w:p w14:paraId="054B291E" w14:textId="7892247C" w:rsidR="0008244E" w:rsidRDefault="007E176F" w:rsidP="0008244E">
      <w:pPr>
        <w:tabs>
          <w:tab w:val="left" w:pos="0"/>
        </w:tabs>
        <w:ind w:left="0"/>
        <w:jc w:val="both"/>
        <w:rPr>
          <w:rFonts w:ascii="Bookman Old Style" w:hAnsi="Bookman Old Style"/>
        </w:rPr>
      </w:pPr>
      <w:r w:rsidRPr="00576D9E">
        <w:rPr>
          <w:rFonts w:ascii="Bookman Old Style" w:hAnsi="Bookman Old Style" w:cs="Arial"/>
          <w:b/>
          <w:bCs/>
        </w:rPr>
        <w:t xml:space="preserve">Artículo </w:t>
      </w:r>
      <w:r w:rsidR="0008244E" w:rsidRPr="00576D9E">
        <w:rPr>
          <w:rFonts w:ascii="Bookman Old Style" w:hAnsi="Bookman Old Style" w:cs="Arial"/>
          <w:b/>
          <w:bCs/>
        </w:rPr>
        <w:t>1</w:t>
      </w:r>
      <w:r w:rsidR="0008244E" w:rsidRPr="00576D9E">
        <w:rPr>
          <w:rFonts w:ascii="Bookman Old Style" w:hAnsi="Bookman Old Style" w:cs="Arial"/>
        </w:rPr>
        <w:t xml:space="preserve">. </w:t>
      </w:r>
      <w:r w:rsidR="0022248D" w:rsidRPr="00576D9E">
        <w:rPr>
          <w:rFonts w:ascii="Bookman Old Style" w:hAnsi="Bookman Old Style" w:cs="Arial"/>
        </w:rPr>
        <w:t xml:space="preserve">Hágase </w:t>
      </w:r>
      <w:r w:rsidR="0022248D" w:rsidRPr="00791183">
        <w:rPr>
          <w:rFonts w:ascii="Bookman Old Style" w:hAnsi="Bookman Old Style" w:cs="Arial"/>
        </w:rPr>
        <w:t xml:space="preserve">público el siguiente proyecto de resolución </w:t>
      </w:r>
      <w:r w:rsidR="00C914BB">
        <w:rPr>
          <w:rFonts w:ascii="Bookman Old Style" w:hAnsi="Bookman Old Style" w:cs="Arial"/>
        </w:rPr>
        <w:t>que propone modifica</w:t>
      </w:r>
      <w:r w:rsidR="00F45D7C">
        <w:rPr>
          <w:rFonts w:ascii="Bookman Old Style" w:hAnsi="Bookman Old Style" w:cs="Arial"/>
        </w:rPr>
        <w:t xml:space="preserve">r la variable </w:t>
      </w:r>
      <w:proofErr w:type="spellStart"/>
      <w:r w:rsidR="00F45D7C">
        <w:rPr>
          <w:rFonts w:ascii="Bookman Old Style" w:hAnsi="Bookman Old Style" w:cs="Arial"/>
        </w:rPr>
        <w:t>PRRj</w:t>
      </w:r>
      <w:proofErr w:type="spellEnd"/>
      <w:r w:rsidR="00C914BB">
        <w:rPr>
          <w:rFonts w:ascii="Bookman Old Style" w:hAnsi="Bookman Old Style" w:cs="Arial"/>
        </w:rPr>
        <w:t xml:space="preserve">, </w:t>
      </w:r>
      <w:r w:rsidR="00957B9E">
        <w:rPr>
          <w:rFonts w:ascii="Bookman Old Style" w:hAnsi="Bookman Old Style" w:cs="Arial"/>
        </w:rPr>
        <w:t>“</w:t>
      </w:r>
      <w:r w:rsidR="00F45D7C" w:rsidRPr="00791183">
        <w:rPr>
          <w:rFonts w:ascii="Bookman Old Style" w:hAnsi="Bookman Old Style" w:cs="Arial"/>
          <w:i/>
        </w:rPr>
        <w:t xml:space="preserve">Por </w:t>
      </w:r>
      <w:r w:rsidR="00F45D7C">
        <w:rPr>
          <w:rFonts w:ascii="Bookman Old Style" w:hAnsi="Bookman Old Style" w:cs="Arial"/>
          <w:i/>
        </w:rPr>
        <w:t xml:space="preserve">medio de </w:t>
      </w:r>
      <w:r w:rsidR="00F45D7C" w:rsidRPr="00791183">
        <w:rPr>
          <w:rFonts w:ascii="Bookman Old Style" w:hAnsi="Bookman Old Style" w:cs="Arial"/>
          <w:i/>
        </w:rPr>
        <w:t xml:space="preserve">la cual se </w:t>
      </w:r>
      <w:r w:rsidR="00F45D7C">
        <w:rPr>
          <w:rFonts w:ascii="Bookman Old Style" w:hAnsi="Bookman Old Style" w:cs="Arial"/>
          <w:i/>
        </w:rPr>
        <w:t>propone</w:t>
      </w:r>
      <w:r w:rsidR="00F45D7C" w:rsidRPr="00791183">
        <w:rPr>
          <w:rFonts w:ascii="Bookman Old Style" w:hAnsi="Bookman Old Style" w:cs="Arial"/>
          <w:i/>
        </w:rPr>
        <w:t xml:space="preserve"> modifica</w:t>
      </w:r>
      <w:r w:rsidR="00F45D7C">
        <w:rPr>
          <w:rFonts w:ascii="Bookman Old Style" w:hAnsi="Bookman Old Style" w:cs="Arial"/>
          <w:i/>
        </w:rPr>
        <w:t>r la</w:t>
      </w:r>
      <w:r w:rsidR="00475A34">
        <w:rPr>
          <w:rFonts w:ascii="Bookman Old Style" w:hAnsi="Bookman Old Style" w:cs="Arial"/>
          <w:i/>
        </w:rPr>
        <w:t xml:space="preserve"> definición de la </w:t>
      </w:r>
      <w:r w:rsidR="00F45D7C">
        <w:rPr>
          <w:rFonts w:ascii="Bookman Old Style" w:hAnsi="Bookman Old Style" w:cs="Arial"/>
          <w:i/>
        </w:rPr>
        <w:t xml:space="preserve">variable </w:t>
      </w:r>
      <w:proofErr w:type="spellStart"/>
      <w:r w:rsidR="00F45D7C">
        <w:rPr>
          <w:rFonts w:ascii="Bookman Old Style" w:hAnsi="Bookman Old Style" w:cs="Arial"/>
          <w:i/>
        </w:rPr>
        <w:t>PRRj</w:t>
      </w:r>
      <w:proofErr w:type="spellEnd"/>
      <w:r w:rsidR="00F45D7C">
        <w:rPr>
          <w:rFonts w:ascii="Bookman Old Style" w:hAnsi="Bookman Old Style" w:cs="Arial"/>
          <w:i/>
        </w:rPr>
        <w:t xml:space="preserve"> de las Resoluciones CREG 004 de 2003 y CREG 014 de 2004</w:t>
      </w:r>
      <w:r w:rsidR="0051546B">
        <w:rPr>
          <w:rFonts w:ascii="Bookman Old Style" w:hAnsi="Bookman Old Style" w:cs="Arial"/>
          <w:i/>
        </w:rPr>
        <w:t>”</w:t>
      </w:r>
      <w:r w:rsidR="00957B9E">
        <w:rPr>
          <w:rFonts w:ascii="Bookman Old Style" w:hAnsi="Bookman Old Style"/>
        </w:rPr>
        <w:t>.</w:t>
      </w:r>
    </w:p>
    <w:p w14:paraId="2F750B89" w14:textId="77777777" w:rsidR="0008244E" w:rsidRPr="00576D9E" w:rsidRDefault="0008244E" w:rsidP="0008244E">
      <w:pPr>
        <w:tabs>
          <w:tab w:val="left" w:pos="0"/>
        </w:tabs>
        <w:ind w:left="0" w:right="45"/>
        <w:jc w:val="both"/>
        <w:rPr>
          <w:rFonts w:ascii="Bookman Old Style" w:hAnsi="Bookman Old Style" w:cs="Arial"/>
          <w:b/>
          <w:bCs/>
        </w:rPr>
      </w:pPr>
    </w:p>
    <w:p w14:paraId="10CAA3A9" w14:textId="77777777" w:rsidR="002B13BB" w:rsidRDefault="002B13BB" w:rsidP="0022248D">
      <w:pPr>
        <w:tabs>
          <w:tab w:val="left" w:pos="0"/>
        </w:tabs>
        <w:ind w:left="0" w:right="45"/>
        <w:jc w:val="both"/>
        <w:rPr>
          <w:rFonts w:ascii="Bookman Old Style" w:hAnsi="Bookman Old Style" w:cs="Arial"/>
          <w:b/>
          <w:bCs/>
        </w:rPr>
      </w:pPr>
    </w:p>
    <w:p w14:paraId="384863FB" w14:textId="4C386A8D" w:rsidR="0008244E" w:rsidRPr="00576D9E" w:rsidRDefault="007E176F" w:rsidP="0022248D">
      <w:pPr>
        <w:tabs>
          <w:tab w:val="left" w:pos="0"/>
        </w:tabs>
        <w:ind w:left="0" w:right="45"/>
        <w:jc w:val="both"/>
        <w:rPr>
          <w:rFonts w:ascii="Bookman Old Style" w:hAnsi="Bookman Old Style" w:cs="Arial"/>
        </w:rPr>
      </w:pPr>
      <w:r w:rsidRPr="00576D9E">
        <w:rPr>
          <w:rFonts w:ascii="Bookman Old Style" w:hAnsi="Bookman Old Style" w:cs="Arial"/>
          <w:b/>
          <w:bCs/>
        </w:rPr>
        <w:t xml:space="preserve">Artículo </w:t>
      </w:r>
      <w:r w:rsidR="0008244E" w:rsidRPr="00576D9E">
        <w:rPr>
          <w:rFonts w:ascii="Bookman Old Style" w:hAnsi="Bookman Old Style" w:cs="Arial"/>
          <w:b/>
          <w:bCs/>
        </w:rPr>
        <w:t>2.</w:t>
      </w:r>
      <w:r w:rsidR="0008244E" w:rsidRPr="00576D9E">
        <w:rPr>
          <w:rFonts w:ascii="Bookman Old Style" w:hAnsi="Bookman Old Style" w:cs="Arial"/>
        </w:rPr>
        <w:t xml:space="preserve"> </w:t>
      </w:r>
      <w:r w:rsidR="0022248D" w:rsidRPr="00576D9E">
        <w:rPr>
          <w:rFonts w:ascii="Bookman Old Style" w:hAnsi="Bookman Old Style" w:cs="Arial"/>
          <w:lang w:val="es-CO" w:eastAsia="es-CO"/>
        </w:rPr>
        <w:t>Se invita a los agentes, a los usuarios, a las autoridades competentes, a la Superintendencia de Servicios Públicos Domiciliarios y a la Superintendencia de Industria y Comercio, para que remitan sus observaciones o sugerencias sobre la propuesta, dentro de</w:t>
      </w:r>
      <w:r w:rsidR="00CE5B97">
        <w:rPr>
          <w:rFonts w:ascii="Bookman Old Style" w:hAnsi="Bookman Old Style" w:cs="Arial"/>
          <w:lang w:val="es-CO" w:eastAsia="es-CO"/>
        </w:rPr>
        <w:t xml:space="preserve"> </w:t>
      </w:r>
      <w:r w:rsidR="001C65DC">
        <w:rPr>
          <w:rFonts w:ascii="Bookman Old Style" w:hAnsi="Bookman Old Style" w:cs="Arial"/>
          <w:lang w:val="es-CO" w:eastAsia="es-CO"/>
        </w:rPr>
        <w:t>l</w:t>
      </w:r>
      <w:r w:rsidR="00CE5B97">
        <w:rPr>
          <w:rFonts w:ascii="Bookman Old Style" w:hAnsi="Bookman Old Style" w:cs="Arial"/>
          <w:lang w:val="es-CO" w:eastAsia="es-CO"/>
        </w:rPr>
        <w:t>os dos (2)</w:t>
      </w:r>
      <w:r w:rsidR="001C65DC">
        <w:rPr>
          <w:rFonts w:ascii="Bookman Old Style" w:hAnsi="Bookman Old Style" w:cs="Arial"/>
          <w:lang w:val="es-CO" w:eastAsia="es-CO"/>
        </w:rPr>
        <w:t xml:space="preserve"> día</w:t>
      </w:r>
      <w:r w:rsidR="00CE5B97">
        <w:rPr>
          <w:rFonts w:ascii="Bookman Old Style" w:hAnsi="Bookman Old Style" w:cs="Arial"/>
          <w:lang w:val="es-CO" w:eastAsia="es-CO"/>
        </w:rPr>
        <w:t>s</w:t>
      </w:r>
      <w:r w:rsidR="001C65DC">
        <w:rPr>
          <w:rFonts w:ascii="Bookman Old Style" w:hAnsi="Bookman Old Style" w:cs="Arial"/>
          <w:lang w:val="es-CO" w:eastAsia="es-CO"/>
        </w:rPr>
        <w:t xml:space="preserve"> hábil</w:t>
      </w:r>
      <w:r w:rsidR="00CE5B97">
        <w:rPr>
          <w:rFonts w:ascii="Bookman Old Style" w:hAnsi="Bookman Old Style" w:cs="Arial"/>
          <w:lang w:val="es-CO" w:eastAsia="es-CO"/>
        </w:rPr>
        <w:t>es</w:t>
      </w:r>
      <w:r w:rsidR="001C65DC">
        <w:rPr>
          <w:rFonts w:ascii="Bookman Old Style" w:hAnsi="Bookman Old Style" w:cs="Arial"/>
          <w:lang w:val="es-CO" w:eastAsia="es-CO"/>
        </w:rPr>
        <w:t xml:space="preserve"> siguiente</w:t>
      </w:r>
      <w:r w:rsidR="00CE5B97">
        <w:rPr>
          <w:rFonts w:ascii="Bookman Old Style" w:hAnsi="Bookman Old Style" w:cs="Arial"/>
          <w:lang w:val="es-CO" w:eastAsia="es-CO"/>
        </w:rPr>
        <w:t>s</w:t>
      </w:r>
      <w:r w:rsidR="0022248D" w:rsidRPr="00576D9E">
        <w:rPr>
          <w:rFonts w:ascii="Bookman Old Style" w:hAnsi="Bookman Old Style" w:cs="Arial"/>
          <w:lang w:val="es-CO" w:eastAsia="es-CO"/>
        </w:rPr>
        <w:t xml:space="preserve"> a </w:t>
      </w:r>
      <w:r w:rsidR="0022248D">
        <w:rPr>
          <w:rFonts w:ascii="Bookman Old Style" w:hAnsi="Bookman Old Style" w:cs="Arial"/>
          <w:lang w:val="es-CO" w:eastAsia="es-CO"/>
        </w:rPr>
        <w:t xml:space="preserve">la </w:t>
      </w:r>
      <w:r w:rsidR="0022248D" w:rsidRPr="00576D9E">
        <w:rPr>
          <w:rFonts w:ascii="Bookman Old Style" w:hAnsi="Bookman Old Style" w:cs="Arial"/>
          <w:lang w:val="es-CO" w:eastAsia="es-CO"/>
        </w:rPr>
        <w:t>publicación del proyecto en la página Web de la Comisión de Regulación de Energía y Gas.</w:t>
      </w:r>
    </w:p>
    <w:p w14:paraId="4C306C86" w14:textId="77777777" w:rsidR="0008244E" w:rsidRPr="00576D9E" w:rsidRDefault="0008244E" w:rsidP="0008244E">
      <w:pPr>
        <w:tabs>
          <w:tab w:val="left" w:pos="0"/>
        </w:tabs>
        <w:ind w:left="0" w:right="45"/>
        <w:jc w:val="both"/>
        <w:rPr>
          <w:rFonts w:ascii="Bookman Old Style" w:hAnsi="Bookman Old Style" w:cs="Arial"/>
        </w:rPr>
      </w:pPr>
    </w:p>
    <w:p w14:paraId="5E0FCDBC" w14:textId="2E95CC52" w:rsidR="00957B9E" w:rsidRDefault="007E176F">
      <w:pPr>
        <w:tabs>
          <w:tab w:val="left" w:pos="0"/>
        </w:tabs>
        <w:ind w:left="0" w:right="47"/>
        <w:jc w:val="both"/>
        <w:rPr>
          <w:rFonts w:ascii="Bookman Old Style" w:hAnsi="Bookman Old Style" w:cs="Arial"/>
        </w:rPr>
      </w:pPr>
      <w:r w:rsidRPr="00576D9E">
        <w:rPr>
          <w:rFonts w:ascii="Bookman Old Style" w:hAnsi="Bookman Old Style" w:cs="Arial"/>
          <w:b/>
          <w:bCs/>
        </w:rPr>
        <w:t xml:space="preserve">Artículo </w:t>
      </w:r>
      <w:r w:rsidR="0008244E" w:rsidRPr="00576D9E">
        <w:rPr>
          <w:rFonts w:ascii="Bookman Old Style" w:hAnsi="Bookman Old Style" w:cs="Arial"/>
          <w:b/>
          <w:bCs/>
        </w:rPr>
        <w:t>3</w:t>
      </w:r>
      <w:r w:rsidR="00941B64">
        <w:rPr>
          <w:rFonts w:ascii="Bookman Old Style" w:hAnsi="Bookman Old Style" w:cs="Arial"/>
        </w:rPr>
        <w:t xml:space="preserve">. </w:t>
      </w:r>
      <w:r w:rsidR="00957B9E" w:rsidRPr="00E60CE3">
        <w:rPr>
          <w:rFonts w:ascii="Bookman Old Style" w:hAnsi="Bookman Old Style" w:cs="Arial"/>
        </w:rPr>
        <w:t>Infórmese en la página web la identificación de la dependencia administrativa y de las personas a quienes se podrá solicitar información sobre el proyecto y hacer llegar las observaciones, reparos o sugerencias, y los demás aspectos previstos en el artículo 2.2.13.3.3 del Decreto 1078 de 2015.</w:t>
      </w:r>
    </w:p>
    <w:p w14:paraId="1F549817" w14:textId="77777777" w:rsidR="00F549E9" w:rsidRPr="00E60CE3" w:rsidRDefault="00F549E9" w:rsidP="0008244E">
      <w:pPr>
        <w:tabs>
          <w:tab w:val="left" w:pos="0"/>
        </w:tabs>
        <w:ind w:left="0" w:right="47"/>
        <w:jc w:val="both"/>
        <w:rPr>
          <w:rFonts w:ascii="Bookman Old Style" w:hAnsi="Bookman Old Style" w:cs="Arial"/>
        </w:rPr>
      </w:pPr>
    </w:p>
    <w:p w14:paraId="0B5B75F6" w14:textId="369C37BB" w:rsidR="0008244E" w:rsidRDefault="007E176F" w:rsidP="0008244E">
      <w:pPr>
        <w:tabs>
          <w:tab w:val="left" w:pos="0"/>
        </w:tabs>
        <w:ind w:left="0" w:right="47"/>
        <w:jc w:val="both"/>
        <w:rPr>
          <w:rFonts w:ascii="Bookman Old Style" w:hAnsi="Bookman Old Style" w:cs="Arial"/>
        </w:rPr>
      </w:pPr>
      <w:r w:rsidRPr="00576D9E">
        <w:rPr>
          <w:rFonts w:ascii="Bookman Old Style" w:hAnsi="Bookman Old Style" w:cs="Arial"/>
          <w:b/>
          <w:bCs/>
        </w:rPr>
        <w:t xml:space="preserve">Artículo </w:t>
      </w:r>
      <w:r w:rsidR="00F549E9">
        <w:rPr>
          <w:rFonts w:ascii="Bookman Old Style" w:hAnsi="Bookman Old Style" w:cs="Arial"/>
          <w:b/>
          <w:bCs/>
        </w:rPr>
        <w:t>4</w:t>
      </w:r>
      <w:r w:rsidR="0008244E" w:rsidRPr="00576D9E">
        <w:rPr>
          <w:rFonts w:ascii="Bookman Old Style" w:hAnsi="Bookman Old Style" w:cs="Arial"/>
        </w:rPr>
        <w:t xml:space="preserve">. La presente </w:t>
      </w:r>
      <w:r w:rsidR="00A352D7">
        <w:rPr>
          <w:rFonts w:ascii="Bookman Old Style" w:hAnsi="Bookman Old Style" w:cs="Arial"/>
        </w:rPr>
        <w:t>r</w:t>
      </w:r>
      <w:r w:rsidR="00A352D7" w:rsidRPr="00576D9E">
        <w:rPr>
          <w:rFonts w:ascii="Bookman Old Style" w:hAnsi="Bookman Old Style" w:cs="Arial"/>
        </w:rPr>
        <w:t xml:space="preserve">esolución </w:t>
      </w:r>
      <w:r w:rsidR="0008244E" w:rsidRPr="00576D9E">
        <w:rPr>
          <w:rFonts w:ascii="Bookman Old Style" w:hAnsi="Bookman Old Style" w:cs="Arial"/>
        </w:rPr>
        <w:t>no deroga disposiciones vigentes por tratarse de un acto de trámite.</w:t>
      </w:r>
    </w:p>
    <w:p w14:paraId="2212DA2D" w14:textId="6887D3E6" w:rsidR="00574607" w:rsidRDefault="00574607" w:rsidP="0008244E">
      <w:pPr>
        <w:tabs>
          <w:tab w:val="left" w:pos="0"/>
        </w:tabs>
        <w:ind w:left="0" w:right="47"/>
        <w:jc w:val="both"/>
        <w:rPr>
          <w:rFonts w:ascii="Bookman Old Style" w:hAnsi="Bookman Old Style" w:cs="Arial"/>
        </w:rPr>
      </w:pPr>
    </w:p>
    <w:p w14:paraId="3DD91CF6" w14:textId="0932C9A9" w:rsidR="00574607" w:rsidRDefault="00574607" w:rsidP="00574607">
      <w:pPr>
        <w:tabs>
          <w:tab w:val="left" w:pos="0"/>
        </w:tabs>
        <w:ind w:left="0" w:right="47"/>
        <w:jc w:val="both"/>
        <w:rPr>
          <w:rFonts w:ascii="Bookman Old Style" w:hAnsi="Bookman Old Style" w:cs="Arial"/>
        </w:rPr>
      </w:pPr>
      <w:r w:rsidRPr="00576D9E">
        <w:rPr>
          <w:rFonts w:ascii="Bookman Old Style" w:hAnsi="Bookman Old Style" w:cs="Arial"/>
          <w:b/>
          <w:bCs/>
        </w:rPr>
        <w:t xml:space="preserve">Artículo </w:t>
      </w:r>
      <w:r>
        <w:rPr>
          <w:rFonts w:ascii="Bookman Old Style" w:hAnsi="Bookman Old Style" w:cs="Arial"/>
          <w:b/>
          <w:bCs/>
        </w:rPr>
        <w:t>5</w:t>
      </w:r>
      <w:r w:rsidRPr="00576D9E">
        <w:rPr>
          <w:rFonts w:ascii="Bookman Old Style" w:hAnsi="Bookman Old Style" w:cs="Arial"/>
        </w:rPr>
        <w:t>.</w:t>
      </w:r>
      <w:r>
        <w:rPr>
          <w:rFonts w:ascii="Bookman Old Style" w:hAnsi="Bookman Old Style" w:cs="Arial"/>
        </w:rPr>
        <w:t xml:space="preserve"> Contra la presente resolución no procede ningún recurso.</w:t>
      </w:r>
    </w:p>
    <w:p w14:paraId="4EC91C68" w14:textId="77777777" w:rsidR="00941B64" w:rsidRDefault="00941B64" w:rsidP="0008244E">
      <w:pPr>
        <w:tabs>
          <w:tab w:val="left" w:pos="0"/>
        </w:tabs>
        <w:ind w:left="0" w:right="47"/>
        <w:jc w:val="both"/>
        <w:rPr>
          <w:rFonts w:ascii="Bookman Old Style" w:hAnsi="Bookman Old Style" w:cs="Arial"/>
        </w:rPr>
      </w:pPr>
    </w:p>
    <w:p w14:paraId="1C1B8169" w14:textId="77777777" w:rsidR="0008244E" w:rsidRPr="00576D9E" w:rsidRDefault="0008244E" w:rsidP="0008244E">
      <w:pPr>
        <w:rPr>
          <w:rFonts w:ascii="Bookman Old Style" w:hAnsi="Bookman Old Style"/>
        </w:rPr>
      </w:pPr>
    </w:p>
    <w:p w14:paraId="66406711" w14:textId="77777777" w:rsidR="0008244E" w:rsidRPr="00576D9E" w:rsidRDefault="0008244E" w:rsidP="005E20D0">
      <w:pPr>
        <w:ind w:left="0"/>
        <w:jc w:val="center"/>
        <w:rPr>
          <w:rFonts w:ascii="Bookman Old Style" w:hAnsi="Bookman Old Style"/>
          <w:b/>
        </w:rPr>
      </w:pPr>
      <w:r w:rsidRPr="00576D9E">
        <w:rPr>
          <w:rFonts w:ascii="Bookman Old Style" w:hAnsi="Bookman Old Style"/>
          <w:b/>
        </w:rPr>
        <w:t>PUBLÍQUESE Y CÚMPLASE</w:t>
      </w:r>
    </w:p>
    <w:p w14:paraId="4FBEF3C8" w14:textId="77777777" w:rsidR="0008244E" w:rsidRPr="00576D9E" w:rsidRDefault="0008244E" w:rsidP="0008244E">
      <w:pPr>
        <w:rPr>
          <w:rFonts w:ascii="Bookman Old Style" w:hAnsi="Bookman Old Style"/>
        </w:rPr>
      </w:pPr>
    </w:p>
    <w:p w14:paraId="6B9B1C1E" w14:textId="77777777" w:rsidR="0008244E" w:rsidRPr="00576D9E" w:rsidRDefault="0008244E" w:rsidP="0008244E">
      <w:pPr>
        <w:rPr>
          <w:rFonts w:ascii="Bookman Old Style" w:hAnsi="Bookman Old Style"/>
        </w:rPr>
      </w:pPr>
    </w:p>
    <w:p w14:paraId="38928A48" w14:textId="77777777" w:rsidR="0008244E" w:rsidRPr="00576D9E" w:rsidRDefault="0008244E" w:rsidP="0008244E">
      <w:pPr>
        <w:ind w:left="0"/>
        <w:rPr>
          <w:rFonts w:ascii="Bookman Old Style" w:hAnsi="Bookman Old Style"/>
        </w:rPr>
      </w:pPr>
      <w:r w:rsidRPr="00576D9E">
        <w:rPr>
          <w:rFonts w:ascii="Bookman Old Style" w:hAnsi="Bookman Old Style"/>
        </w:rPr>
        <w:t xml:space="preserve">Dada en Bogotá DC, a </w:t>
      </w:r>
    </w:p>
    <w:p w14:paraId="68CFCED6" w14:textId="77777777" w:rsidR="0008244E" w:rsidRDefault="0008244E" w:rsidP="0008244E">
      <w:pPr>
        <w:ind w:left="0"/>
        <w:rPr>
          <w:rFonts w:ascii="Bookman Old Style" w:hAnsi="Bookman Old Style"/>
        </w:rPr>
      </w:pPr>
    </w:p>
    <w:p w14:paraId="073ECA0D" w14:textId="77777777" w:rsidR="00B25C2A" w:rsidRPr="00576D9E" w:rsidRDefault="00B25C2A" w:rsidP="0008244E">
      <w:pPr>
        <w:ind w:left="0"/>
        <w:rPr>
          <w:rFonts w:ascii="Bookman Old Style" w:hAnsi="Bookman Old Style"/>
        </w:rPr>
      </w:pPr>
    </w:p>
    <w:p w14:paraId="0EDA1431" w14:textId="77777777" w:rsidR="00544B06" w:rsidRPr="00576D9E" w:rsidRDefault="00544B06" w:rsidP="0008244E">
      <w:pPr>
        <w:ind w:left="0"/>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544B06" w:rsidRPr="00576D9E" w14:paraId="229E2CAE" w14:textId="77777777" w:rsidTr="00544B06">
        <w:trPr>
          <w:tblCellSpacing w:w="0" w:type="dxa"/>
          <w:jc w:val="center"/>
        </w:trPr>
        <w:tc>
          <w:tcPr>
            <w:tcW w:w="5033" w:type="dxa"/>
          </w:tcPr>
          <w:p w14:paraId="5F454981" w14:textId="77777777" w:rsidR="00544B06" w:rsidRPr="00576D9E" w:rsidRDefault="00544B06">
            <w:pPr>
              <w:rPr>
                <w:rFonts w:ascii="Bookman Old Style" w:hAnsi="Bookman Old Style" w:cs="Arial"/>
                <w:b/>
                <w:spacing w:val="-3"/>
              </w:rPr>
            </w:pPr>
          </w:p>
          <w:p w14:paraId="0021D26D" w14:textId="77777777" w:rsidR="00544B06" w:rsidRPr="00576D9E" w:rsidRDefault="00544B06">
            <w:pPr>
              <w:rPr>
                <w:rFonts w:ascii="Bookman Old Style" w:hAnsi="Bookman Old Style" w:cs="Arial"/>
                <w:b/>
                <w:spacing w:val="-3"/>
              </w:rPr>
            </w:pPr>
          </w:p>
          <w:p w14:paraId="2C925D0A" w14:textId="77777777" w:rsidR="00544B06" w:rsidRPr="00576D9E" w:rsidRDefault="00544B06">
            <w:pPr>
              <w:ind w:left="66"/>
              <w:jc w:val="center"/>
              <w:rPr>
                <w:rFonts w:ascii="Bookman Old Style" w:hAnsi="Bookman Old Style" w:cs="Arial"/>
                <w:b/>
                <w:spacing w:val="-3"/>
              </w:rPr>
            </w:pPr>
          </w:p>
          <w:p w14:paraId="06082061" w14:textId="7368742A" w:rsidR="00544B06" w:rsidRPr="00576D9E" w:rsidRDefault="002B13BB">
            <w:pPr>
              <w:ind w:left="66"/>
              <w:jc w:val="center"/>
              <w:rPr>
                <w:rFonts w:ascii="Bookman Old Style" w:hAnsi="Bookman Old Style" w:cs="Arial"/>
                <w:b/>
                <w:spacing w:val="-3"/>
              </w:rPr>
            </w:pPr>
            <w:r>
              <w:rPr>
                <w:rFonts w:ascii="Bookman Old Style" w:hAnsi="Bookman Old Style" w:cs="Arial"/>
                <w:b/>
              </w:rPr>
              <w:t>MARÍ</w:t>
            </w:r>
            <w:r w:rsidR="00C565B7">
              <w:rPr>
                <w:rFonts w:ascii="Bookman Old Style" w:hAnsi="Bookman Old Style" w:cs="Arial"/>
                <w:b/>
              </w:rPr>
              <w:t>A FERNANDA SUÁREZ LONDOÑO</w:t>
            </w:r>
          </w:p>
        </w:tc>
        <w:tc>
          <w:tcPr>
            <w:tcW w:w="4465" w:type="dxa"/>
          </w:tcPr>
          <w:p w14:paraId="00CEDFA4" w14:textId="77777777" w:rsidR="00544B06" w:rsidRPr="00576D9E" w:rsidRDefault="00544B06">
            <w:pPr>
              <w:ind w:left="89"/>
              <w:jc w:val="center"/>
              <w:rPr>
                <w:rFonts w:ascii="Bookman Old Style" w:hAnsi="Bookman Old Style" w:cs="Arial"/>
                <w:b/>
                <w:spacing w:val="-3"/>
              </w:rPr>
            </w:pPr>
          </w:p>
          <w:p w14:paraId="1B66451C" w14:textId="77777777" w:rsidR="00544B06" w:rsidRPr="00576D9E" w:rsidRDefault="00544B06">
            <w:pPr>
              <w:ind w:left="89"/>
              <w:jc w:val="center"/>
              <w:rPr>
                <w:rFonts w:ascii="Bookman Old Style" w:hAnsi="Bookman Old Style" w:cs="Arial"/>
                <w:b/>
                <w:spacing w:val="-3"/>
              </w:rPr>
            </w:pPr>
          </w:p>
          <w:p w14:paraId="3D76154C" w14:textId="77777777" w:rsidR="00544B06" w:rsidRPr="00576D9E" w:rsidRDefault="00544B06">
            <w:pPr>
              <w:ind w:left="89"/>
              <w:jc w:val="center"/>
              <w:rPr>
                <w:rFonts w:ascii="Bookman Old Style" w:hAnsi="Bookman Old Style" w:cs="Arial"/>
                <w:b/>
                <w:spacing w:val="-3"/>
              </w:rPr>
            </w:pPr>
          </w:p>
          <w:p w14:paraId="761BC695" w14:textId="77777777" w:rsidR="00544B06" w:rsidRPr="00576D9E" w:rsidRDefault="00AC4BBC" w:rsidP="00941B64">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544B06" w:rsidRPr="00D472A2" w14:paraId="728C3870" w14:textId="77777777" w:rsidTr="00544B06">
        <w:trPr>
          <w:tblCellSpacing w:w="0" w:type="dxa"/>
          <w:jc w:val="center"/>
        </w:trPr>
        <w:tc>
          <w:tcPr>
            <w:tcW w:w="5033" w:type="dxa"/>
            <w:hideMark/>
          </w:tcPr>
          <w:p w14:paraId="2924CE14" w14:textId="77777777" w:rsidR="00860320" w:rsidRPr="002B13BB" w:rsidRDefault="00860320" w:rsidP="00860320">
            <w:pPr>
              <w:ind w:left="66"/>
              <w:jc w:val="center"/>
              <w:rPr>
                <w:rFonts w:ascii="Bookman Old Style" w:eastAsia="Arial Unicode MS" w:hAnsi="Bookman Old Style" w:cs="Arial"/>
                <w:color w:val="000000"/>
              </w:rPr>
            </w:pPr>
            <w:r w:rsidRPr="002B13BB">
              <w:rPr>
                <w:rFonts w:ascii="Bookman Old Style" w:hAnsi="Bookman Old Style" w:cs="Arial"/>
                <w:spacing w:val="-3"/>
              </w:rPr>
              <w:t>Ministra de Minas y Energía</w:t>
            </w:r>
          </w:p>
        </w:tc>
        <w:tc>
          <w:tcPr>
            <w:tcW w:w="4465" w:type="dxa"/>
            <w:hideMark/>
          </w:tcPr>
          <w:p w14:paraId="040297F5" w14:textId="77777777" w:rsidR="00544B06" w:rsidRPr="002B13BB" w:rsidRDefault="00941B64">
            <w:pPr>
              <w:jc w:val="center"/>
              <w:rPr>
                <w:rFonts w:ascii="Bookman Old Style" w:eastAsia="Arial Unicode MS" w:hAnsi="Bookman Old Style" w:cs="Arial"/>
                <w:color w:val="000000"/>
              </w:rPr>
            </w:pPr>
            <w:r w:rsidRPr="002B13BB">
              <w:rPr>
                <w:rFonts w:ascii="Bookman Old Style" w:hAnsi="Bookman Old Style" w:cs="Arial"/>
                <w:spacing w:val="-3"/>
              </w:rPr>
              <w:t>Director Ejecutivo</w:t>
            </w:r>
          </w:p>
        </w:tc>
      </w:tr>
      <w:tr w:rsidR="00544B06" w:rsidRPr="00D472A2" w14:paraId="73B52BB8" w14:textId="77777777" w:rsidTr="00544B06">
        <w:trPr>
          <w:tblCellSpacing w:w="0" w:type="dxa"/>
          <w:jc w:val="center"/>
        </w:trPr>
        <w:tc>
          <w:tcPr>
            <w:tcW w:w="5033" w:type="dxa"/>
            <w:hideMark/>
          </w:tcPr>
          <w:p w14:paraId="085E27DD" w14:textId="77777777" w:rsidR="00544B06" w:rsidRPr="002B13BB" w:rsidRDefault="00544B06">
            <w:pPr>
              <w:ind w:left="66"/>
              <w:jc w:val="center"/>
              <w:rPr>
                <w:rFonts w:ascii="Bookman Old Style" w:eastAsia="Arial Unicode MS" w:hAnsi="Bookman Old Style" w:cs="Arial"/>
                <w:color w:val="000000"/>
              </w:rPr>
            </w:pPr>
            <w:r w:rsidRPr="002B13BB">
              <w:rPr>
                <w:rFonts w:ascii="Bookman Old Style" w:hAnsi="Bookman Old Style" w:cs="Arial"/>
                <w:spacing w:val="-3"/>
              </w:rPr>
              <w:t>Presidente</w:t>
            </w:r>
          </w:p>
        </w:tc>
        <w:tc>
          <w:tcPr>
            <w:tcW w:w="4465" w:type="dxa"/>
          </w:tcPr>
          <w:p w14:paraId="1F2BF07A" w14:textId="77777777" w:rsidR="00544B06" w:rsidRPr="002B13BB" w:rsidRDefault="00544B06">
            <w:pPr>
              <w:jc w:val="center"/>
              <w:rPr>
                <w:rFonts w:ascii="Bookman Old Style" w:eastAsia="Arial Unicode MS" w:hAnsi="Bookman Old Style" w:cs="Arial"/>
                <w:color w:val="000000"/>
              </w:rPr>
            </w:pPr>
          </w:p>
        </w:tc>
      </w:tr>
    </w:tbl>
    <w:p w14:paraId="085B22EA" w14:textId="77777777" w:rsidR="00544B06" w:rsidRPr="00D472A2" w:rsidRDefault="00544B06" w:rsidP="0008244E">
      <w:pPr>
        <w:ind w:left="0"/>
        <w:rPr>
          <w:rFonts w:ascii="Bookman Old Style" w:hAnsi="Bookman Old Style"/>
          <w:sz w:val="22"/>
        </w:rPr>
      </w:pPr>
    </w:p>
    <w:p w14:paraId="2B57223B" w14:textId="77777777" w:rsidR="0008244E" w:rsidRPr="00576D9E" w:rsidRDefault="0008244E" w:rsidP="0008244E">
      <w:pPr>
        <w:pStyle w:val="Encabezado"/>
        <w:tabs>
          <w:tab w:val="clear" w:pos="8504"/>
          <w:tab w:val="left" w:pos="0"/>
          <w:tab w:val="right" w:pos="9356"/>
        </w:tabs>
        <w:ind w:left="0"/>
        <w:jc w:val="both"/>
        <w:rPr>
          <w:rFonts w:ascii="Bookman Old Style" w:hAnsi="Bookman Old Style"/>
          <w:szCs w:val="24"/>
        </w:rPr>
      </w:pPr>
    </w:p>
    <w:p w14:paraId="48C90641" w14:textId="77777777" w:rsidR="0008244E" w:rsidRPr="00576D9E" w:rsidRDefault="0008244E" w:rsidP="009A463F">
      <w:pPr>
        <w:tabs>
          <w:tab w:val="left" w:pos="0"/>
          <w:tab w:val="right" w:pos="9356"/>
        </w:tabs>
        <w:ind w:left="0"/>
        <w:jc w:val="both"/>
        <w:rPr>
          <w:rFonts w:ascii="Bookman Old Style" w:hAnsi="Bookman Old Style"/>
          <w:lang w:val="es-ES_tradnl"/>
        </w:rPr>
      </w:pPr>
    </w:p>
    <w:p w14:paraId="6301B6C4" w14:textId="77777777" w:rsidR="0008244E" w:rsidRPr="00576D9E" w:rsidRDefault="0008244E" w:rsidP="009A463F">
      <w:pPr>
        <w:tabs>
          <w:tab w:val="left" w:pos="0"/>
          <w:tab w:val="right" w:pos="9356"/>
        </w:tabs>
        <w:ind w:left="0"/>
        <w:jc w:val="both"/>
        <w:rPr>
          <w:rFonts w:ascii="Bookman Old Style" w:hAnsi="Bookman Old Style"/>
          <w:lang w:val="es-ES_tradnl"/>
        </w:rPr>
      </w:pPr>
      <w:r w:rsidRPr="00576D9E">
        <w:rPr>
          <w:rFonts w:ascii="Bookman Old Style" w:hAnsi="Bookman Old Style"/>
          <w:lang w:val="es-ES_tradnl"/>
        </w:rPr>
        <w:br w:type="page"/>
      </w:r>
    </w:p>
    <w:p w14:paraId="53CD5E29" w14:textId="77777777" w:rsidR="0008244E" w:rsidRPr="00576D9E" w:rsidRDefault="0008244E" w:rsidP="00012259">
      <w:pPr>
        <w:tabs>
          <w:tab w:val="left" w:pos="0"/>
          <w:tab w:val="right" w:pos="9356"/>
        </w:tabs>
        <w:ind w:left="0"/>
        <w:jc w:val="center"/>
        <w:rPr>
          <w:rFonts w:ascii="Bookman Old Style" w:hAnsi="Bookman Old Style"/>
          <w:lang w:val="es-ES_tradnl"/>
        </w:rPr>
      </w:pPr>
    </w:p>
    <w:p w14:paraId="4FA74F1F" w14:textId="77777777" w:rsidR="0008244E" w:rsidRPr="00576D9E" w:rsidRDefault="0008244E" w:rsidP="00012259">
      <w:pPr>
        <w:tabs>
          <w:tab w:val="left" w:pos="0"/>
          <w:tab w:val="right" w:pos="9356"/>
        </w:tabs>
        <w:ind w:left="0"/>
        <w:jc w:val="center"/>
        <w:rPr>
          <w:rFonts w:ascii="Bookman Old Style" w:hAnsi="Bookman Old Style"/>
          <w:b/>
          <w:lang w:val="es-ES_tradnl"/>
        </w:rPr>
      </w:pPr>
      <w:r w:rsidRPr="00576D9E">
        <w:rPr>
          <w:rFonts w:ascii="Bookman Old Style" w:hAnsi="Bookman Old Style"/>
          <w:b/>
          <w:lang w:val="es-ES_tradnl"/>
        </w:rPr>
        <w:t>PROYECTO DE RESOLUCIÓN</w:t>
      </w:r>
    </w:p>
    <w:p w14:paraId="0D8DB7BC" w14:textId="77777777" w:rsidR="00F549E9" w:rsidRDefault="00F549E9" w:rsidP="00012259">
      <w:pPr>
        <w:ind w:left="0"/>
        <w:rPr>
          <w:rFonts w:ascii="Bookman Old Style" w:hAnsi="Bookman Old Style"/>
          <w:bCs/>
          <w:lang w:val="es-CO"/>
        </w:rPr>
      </w:pPr>
    </w:p>
    <w:p w14:paraId="5B03C6FE" w14:textId="77777777" w:rsidR="00B351B4" w:rsidRPr="00576D9E" w:rsidRDefault="00B351B4" w:rsidP="00012259">
      <w:pPr>
        <w:ind w:left="0"/>
        <w:rPr>
          <w:rFonts w:ascii="Bookman Old Style" w:hAnsi="Bookman Old Style"/>
          <w:bCs/>
          <w:lang w:val="es-CO"/>
        </w:rPr>
      </w:pPr>
    </w:p>
    <w:p w14:paraId="05EC1124" w14:textId="7D028E32" w:rsidR="00860320" w:rsidRPr="00F45D7C" w:rsidRDefault="00F45D7C" w:rsidP="0069340F">
      <w:pPr>
        <w:ind w:left="0"/>
        <w:jc w:val="center"/>
        <w:rPr>
          <w:rFonts w:ascii="Bookman Old Style" w:hAnsi="Bookman Old Style"/>
          <w:b/>
        </w:rPr>
      </w:pPr>
      <w:r w:rsidRPr="00F45D7C">
        <w:rPr>
          <w:rFonts w:ascii="Bookman Old Style" w:hAnsi="Bookman Old Style" w:cs="Arial"/>
        </w:rPr>
        <w:t>Por medio de la cual se propone modificar la</w:t>
      </w:r>
      <w:r w:rsidR="00475A34">
        <w:rPr>
          <w:rFonts w:ascii="Bookman Old Style" w:hAnsi="Bookman Old Style" w:cs="Arial"/>
        </w:rPr>
        <w:t xml:space="preserve"> definición de la</w:t>
      </w:r>
      <w:r w:rsidRPr="00F45D7C">
        <w:rPr>
          <w:rFonts w:ascii="Bookman Old Style" w:hAnsi="Bookman Old Style" w:cs="Arial"/>
        </w:rPr>
        <w:t xml:space="preserve"> variable </w:t>
      </w:r>
      <w:proofErr w:type="spellStart"/>
      <w:r w:rsidRPr="00F45D7C">
        <w:rPr>
          <w:rFonts w:ascii="Bookman Old Style" w:hAnsi="Bookman Old Style" w:cs="Arial"/>
        </w:rPr>
        <w:t>PRRj</w:t>
      </w:r>
      <w:proofErr w:type="spellEnd"/>
      <w:r w:rsidRPr="00F45D7C">
        <w:rPr>
          <w:rFonts w:ascii="Bookman Old Style" w:hAnsi="Bookman Old Style" w:cs="Arial"/>
        </w:rPr>
        <w:t xml:space="preserve"> de las Resoluciones CREG 004 de 2003 y CREG 014 de 2004</w:t>
      </w:r>
    </w:p>
    <w:p w14:paraId="4C5A3E36" w14:textId="7D6D5113" w:rsidR="00B25C2A" w:rsidRDefault="00B25C2A" w:rsidP="0069340F">
      <w:pPr>
        <w:ind w:left="0"/>
        <w:jc w:val="center"/>
        <w:rPr>
          <w:rFonts w:ascii="Bookman Old Style" w:hAnsi="Bookman Old Style"/>
          <w:b/>
        </w:rPr>
      </w:pPr>
    </w:p>
    <w:p w14:paraId="65CC40B5" w14:textId="77777777" w:rsidR="00F45D7C" w:rsidRDefault="00F45D7C" w:rsidP="0069340F">
      <w:pPr>
        <w:ind w:left="0"/>
        <w:jc w:val="center"/>
        <w:rPr>
          <w:rFonts w:ascii="Bookman Old Style" w:hAnsi="Bookman Old Style"/>
          <w:b/>
        </w:rPr>
      </w:pPr>
    </w:p>
    <w:p w14:paraId="3D1176EF" w14:textId="77777777" w:rsidR="00E01463" w:rsidRPr="00576D9E" w:rsidRDefault="00E01463" w:rsidP="0069340F">
      <w:pPr>
        <w:ind w:left="0"/>
        <w:jc w:val="center"/>
        <w:rPr>
          <w:rFonts w:ascii="Bookman Old Style" w:hAnsi="Bookman Old Style"/>
          <w:b/>
        </w:rPr>
      </w:pPr>
      <w:r w:rsidRPr="00576D9E">
        <w:rPr>
          <w:rFonts w:ascii="Bookman Old Style" w:hAnsi="Bookman Old Style"/>
          <w:b/>
        </w:rPr>
        <w:t>LA COMISIÓN DE REGULACIÓN DE ENERGÍA Y GAS</w:t>
      </w:r>
    </w:p>
    <w:p w14:paraId="620C7614" w14:textId="77777777" w:rsidR="00E01463" w:rsidRPr="00576D9E" w:rsidRDefault="00E01463" w:rsidP="00E01463">
      <w:pPr>
        <w:ind w:left="0"/>
        <w:jc w:val="both"/>
        <w:rPr>
          <w:rFonts w:ascii="Bookman Old Style" w:hAnsi="Bookman Old Style" w:cs="Arial"/>
          <w:b/>
          <w:bCs/>
        </w:rPr>
      </w:pPr>
    </w:p>
    <w:p w14:paraId="131AD381" w14:textId="77777777" w:rsidR="00E01463" w:rsidRPr="00576D9E" w:rsidRDefault="00E01463" w:rsidP="00E01463">
      <w:pPr>
        <w:ind w:left="0"/>
        <w:jc w:val="both"/>
        <w:rPr>
          <w:rFonts w:ascii="Bookman Old Style" w:hAnsi="Bookman Old Style" w:cs="Arial"/>
        </w:rPr>
      </w:pPr>
    </w:p>
    <w:p w14:paraId="0730C778" w14:textId="77777777" w:rsidR="0044703C" w:rsidRPr="00576D9E" w:rsidRDefault="0044703C" w:rsidP="0044703C">
      <w:pPr>
        <w:ind w:left="0"/>
        <w:jc w:val="center"/>
        <w:rPr>
          <w:rFonts w:ascii="Bookman Old Style" w:hAnsi="Bookman Old Style"/>
          <w:b/>
        </w:rPr>
      </w:pPr>
      <w:r w:rsidRPr="00576D9E">
        <w:rPr>
          <w:rFonts w:ascii="Bookman Old Style" w:hAnsi="Bookman Old Style"/>
        </w:rPr>
        <w:t>En ejercicio de sus atribuciones constitucionales y legales, en especial las conferidas por las Leyes 142 y 143 de 1994, y en desarrollo de los Decretos 1524, 2253 de 1994 y 1260 de 2013.</w:t>
      </w:r>
    </w:p>
    <w:p w14:paraId="756104A2" w14:textId="77777777" w:rsidR="00E01463" w:rsidRPr="00576D9E" w:rsidRDefault="00E01463" w:rsidP="00E01463">
      <w:pPr>
        <w:tabs>
          <w:tab w:val="left" w:pos="624"/>
        </w:tabs>
        <w:ind w:left="0"/>
        <w:jc w:val="both"/>
        <w:rPr>
          <w:rFonts w:ascii="Bookman Old Style" w:hAnsi="Bookman Old Style" w:cs="Arial"/>
        </w:rPr>
      </w:pPr>
    </w:p>
    <w:p w14:paraId="41CE81AA" w14:textId="77777777" w:rsidR="00860320" w:rsidRPr="00576D9E" w:rsidRDefault="00860320" w:rsidP="00E01463">
      <w:pPr>
        <w:ind w:left="0"/>
        <w:jc w:val="both"/>
        <w:rPr>
          <w:rFonts w:ascii="Bookman Old Style" w:hAnsi="Bookman Old Style" w:cs="Arial"/>
        </w:rPr>
      </w:pPr>
    </w:p>
    <w:p w14:paraId="2A513A6A" w14:textId="77777777" w:rsidR="00E01463" w:rsidRPr="00576D9E" w:rsidRDefault="00E01463" w:rsidP="00E01463">
      <w:pPr>
        <w:pStyle w:val="TableHeading"/>
        <w:suppressLineNumbers w:val="0"/>
        <w:rPr>
          <w:rFonts w:ascii="Bookman Old Style" w:hAnsi="Bookman Old Style" w:cs="Arial"/>
          <w:bCs w:val="0"/>
          <w:sz w:val="24"/>
        </w:rPr>
      </w:pPr>
      <w:r w:rsidRPr="00576D9E">
        <w:rPr>
          <w:rFonts w:ascii="Bookman Old Style" w:hAnsi="Bookman Old Style" w:cs="Arial"/>
          <w:bCs w:val="0"/>
          <w:sz w:val="24"/>
        </w:rPr>
        <w:t xml:space="preserve">C O N S I D E R A N D O  </w:t>
      </w:r>
      <w:r w:rsidR="00405FB5">
        <w:rPr>
          <w:rFonts w:ascii="Bookman Old Style" w:hAnsi="Bookman Old Style" w:cs="Arial"/>
          <w:bCs w:val="0"/>
          <w:sz w:val="24"/>
        </w:rPr>
        <w:t xml:space="preserve"> </w:t>
      </w:r>
      <w:r w:rsidRPr="00576D9E">
        <w:rPr>
          <w:rFonts w:ascii="Bookman Old Style" w:hAnsi="Bookman Old Style" w:cs="Arial"/>
          <w:bCs w:val="0"/>
          <w:sz w:val="24"/>
        </w:rPr>
        <w:t>Q U E:</w:t>
      </w:r>
    </w:p>
    <w:p w14:paraId="093ABE51" w14:textId="77777777" w:rsidR="00E01463" w:rsidRPr="00576D9E" w:rsidRDefault="00E01463" w:rsidP="00E01463">
      <w:pPr>
        <w:ind w:left="0"/>
        <w:jc w:val="both"/>
        <w:rPr>
          <w:rFonts w:ascii="Bookman Old Style" w:hAnsi="Bookman Old Style" w:cs="Arial"/>
        </w:rPr>
      </w:pPr>
    </w:p>
    <w:p w14:paraId="2DA3D9AE" w14:textId="77777777" w:rsidR="00E01463" w:rsidRPr="00576D9E" w:rsidRDefault="00E01463" w:rsidP="00E01463">
      <w:pPr>
        <w:ind w:left="0"/>
        <w:jc w:val="both"/>
        <w:rPr>
          <w:rFonts w:ascii="Bookman Old Style" w:hAnsi="Bookman Old Style" w:cs="Arial"/>
          <w:b/>
        </w:rPr>
      </w:pPr>
    </w:p>
    <w:p w14:paraId="6AA2B565" w14:textId="77777777" w:rsidR="00F45D7C" w:rsidRDefault="00F45D7C" w:rsidP="00F45D7C">
      <w:pPr>
        <w:ind w:left="0"/>
        <w:jc w:val="both"/>
        <w:rPr>
          <w:rFonts w:ascii="Bookman Old Style" w:hAnsi="Bookman Old Style"/>
          <w:shd w:val="clear" w:color="auto" w:fill="FFFFFF"/>
          <w:lang w:val="es-CO" w:eastAsia="es-CO"/>
        </w:rPr>
      </w:pPr>
      <w:r w:rsidRPr="00F45D7C">
        <w:rPr>
          <w:rFonts w:ascii="Bookman Old Style" w:hAnsi="Bookman Old Style"/>
          <w:shd w:val="clear" w:color="auto" w:fill="FFFFFF"/>
          <w:lang w:val="es-CO" w:eastAsia="es-CO"/>
        </w:rPr>
        <w:t>La Ley 143 de 1994 en su artículo 4, señala que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p>
    <w:p w14:paraId="168D58CE" w14:textId="77777777" w:rsidR="00F45D7C" w:rsidRDefault="00F45D7C" w:rsidP="00F45D7C">
      <w:pPr>
        <w:ind w:left="0"/>
        <w:jc w:val="both"/>
        <w:rPr>
          <w:rFonts w:ascii="Bookman Old Style" w:hAnsi="Bookman Old Style"/>
          <w:shd w:val="clear" w:color="auto" w:fill="FFFFFF"/>
          <w:lang w:val="es-CO" w:eastAsia="es-CO"/>
        </w:rPr>
      </w:pPr>
      <w:r w:rsidRPr="00F45D7C">
        <w:rPr>
          <w:rFonts w:ascii="Bookman Old Style" w:hAnsi="Bookman Old Style"/>
          <w:shd w:val="clear" w:color="auto" w:fill="FFFFFF"/>
          <w:lang w:val="es-CO" w:eastAsia="es-CO"/>
        </w:rPr>
        <w:br/>
        <w:t>El artículo 20 de la Ley 143 de 1994,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58526124" w14:textId="0E433499" w:rsidR="00F45D7C" w:rsidRDefault="00F45D7C" w:rsidP="00F45D7C">
      <w:pPr>
        <w:ind w:left="0"/>
        <w:jc w:val="both"/>
        <w:rPr>
          <w:rFonts w:ascii="Bookman Old Style" w:hAnsi="Bookman Old Style"/>
          <w:shd w:val="clear" w:color="auto" w:fill="FFFFFF"/>
          <w:lang w:val="es-CO" w:eastAsia="es-CO"/>
        </w:rPr>
      </w:pPr>
      <w:r w:rsidRPr="00F45D7C">
        <w:rPr>
          <w:rFonts w:ascii="Arial" w:hAnsi="Arial" w:cs="Arial"/>
          <w:lang w:val="es-CO" w:eastAsia="es-CO"/>
        </w:rPr>
        <w:br/>
      </w:r>
      <w:r w:rsidRPr="00F45D7C">
        <w:rPr>
          <w:rFonts w:ascii="Bookman Old Style" w:hAnsi="Bookman Old Style"/>
          <w:shd w:val="clear" w:color="auto" w:fill="FFFFFF"/>
          <w:lang w:val="es-CO" w:eastAsia="es-CO"/>
        </w:rPr>
        <w:t>Para el cumplimiento del objetivo señalado, la Ley 143 de 1994 en su artículo 23, le atribuyó a la Comisión de Regulación de Energía y Gas, entre otras, las funciones de definir y hacer operativos los criterios técnicos de calidad, confiabilidad y seguridad del servicio de energía y establecer el Reglamento de Operación para realizar el planeamiento y la coordinación de la operación del Sistema Interconectado Nacional, teniendo en cuenta los conceptos del Consejo Nacional de Operación.</w:t>
      </w:r>
    </w:p>
    <w:p w14:paraId="24814FFC" w14:textId="77777777" w:rsidR="00F45D7C" w:rsidRPr="00F45D7C" w:rsidRDefault="00F45D7C" w:rsidP="00F45D7C">
      <w:pPr>
        <w:ind w:left="0"/>
        <w:jc w:val="both"/>
        <w:rPr>
          <w:lang w:val="es-CO" w:eastAsia="es-CO"/>
        </w:rPr>
      </w:pPr>
    </w:p>
    <w:p w14:paraId="655B61FA" w14:textId="77777777" w:rsidR="00F45D7C" w:rsidRDefault="00F45D7C" w:rsidP="00F45D7C">
      <w:pPr>
        <w:ind w:left="0"/>
        <w:jc w:val="both"/>
        <w:rPr>
          <w:rFonts w:ascii="Bookman Old Style" w:hAnsi="Bookman Old Style"/>
          <w:shd w:val="clear" w:color="auto" w:fill="FFFFFF"/>
          <w:lang w:val="es-CO" w:eastAsia="es-CO"/>
        </w:rPr>
      </w:pPr>
      <w:r w:rsidRPr="00F45D7C">
        <w:rPr>
          <w:rFonts w:ascii="Bookman Old Style" w:hAnsi="Bookman Old Style"/>
          <w:shd w:val="clear" w:color="auto" w:fill="FFFFFF"/>
          <w:lang w:val="es-CO" w:eastAsia="es-CO"/>
        </w:rPr>
        <w:t>De acuerdo con lo establecido en el literal c) del artículo 74.1 de la ley 142 de 1994, le corresponde a la CREG establecer el Reglamento de Operación, para regular el funcionamiento del Mercado Mayorista de Energía.</w:t>
      </w:r>
    </w:p>
    <w:p w14:paraId="346C491D" w14:textId="4A643D44" w:rsidR="00F45D7C" w:rsidRDefault="00F45D7C" w:rsidP="00F45D7C">
      <w:pPr>
        <w:ind w:left="0"/>
        <w:jc w:val="both"/>
        <w:rPr>
          <w:rFonts w:ascii="Bookman Old Style" w:hAnsi="Bookman Old Style"/>
          <w:shd w:val="clear" w:color="auto" w:fill="FFFFFF"/>
          <w:lang w:val="es-CO" w:eastAsia="es-CO"/>
        </w:rPr>
      </w:pPr>
      <w:r w:rsidRPr="00F45D7C">
        <w:rPr>
          <w:rFonts w:ascii="Arial" w:hAnsi="Arial" w:cs="Arial"/>
          <w:lang w:val="es-CO" w:eastAsia="es-CO"/>
        </w:rPr>
        <w:br/>
      </w:r>
      <w:r w:rsidRPr="00F45D7C">
        <w:rPr>
          <w:rFonts w:ascii="Bookman Old Style" w:hAnsi="Bookman Old Style"/>
          <w:shd w:val="clear" w:color="auto" w:fill="FFFFFF"/>
          <w:lang w:val="es-CO" w:eastAsia="es-CO"/>
        </w:rPr>
        <w:t>Mediante Resolución CREG 024 de 1995 se reglamentan los aspectos comerciales del mercado mayorista de energía en el sistema interconectado nacional, que hacen parte del Reglamento de Operación.</w:t>
      </w:r>
    </w:p>
    <w:p w14:paraId="47F4B99D" w14:textId="4A3212A0" w:rsidR="00F45D7C" w:rsidRDefault="00F45D7C" w:rsidP="00F45D7C">
      <w:pPr>
        <w:ind w:left="0"/>
        <w:jc w:val="both"/>
        <w:rPr>
          <w:rFonts w:ascii="Bookman Old Style" w:hAnsi="Bookman Old Style"/>
          <w:shd w:val="clear" w:color="auto" w:fill="FFFFFF"/>
          <w:lang w:val="es-CO" w:eastAsia="es-CO"/>
        </w:rPr>
      </w:pPr>
      <w:r w:rsidRPr="00F45D7C">
        <w:rPr>
          <w:rFonts w:ascii="Arial" w:hAnsi="Arial" w:cs="Arial"/>
          <w:lang w:val="es-CO" w:eastAsia="es-CO"/>
        </w:rPr>
        <w:br/>
      </w:r>
      <w:r w:rsidRPr="00F45D7C">
        <w:rPr>
          <w:rFonts w:ascii="Bookman Old Style" w:hAnsi="Bookman Old Style"/>
          <w:shd w:val="clear" w:color="auto" w:fill="FFFFFF"/>
          <w:lang w:val="es-CO" w:eastAsia="es-CO"/>
        </w:rPr>
        <w:t xml:space="preserve">Mediante Resolución CREG 025 de 1995 se estableció el Código de Redes, como parte del Reglamento de Operación del Sistema Interconectado Nacional que </w:t>
      </w:r>
      <w:r w:rsidRPr="00F45D7C">
        <w:rPr>
          <w:rFonts w:ascii="Bookman Old Style" w:hAnsi="Bookman Old Style"/>
          <w:shd w:val="clear" w:color="auto" w:fill="FFFFFF"/>
          <w:lang w:val="es-CO" w:eastAsia="es-CO"/>
        </w:rPr>
        <w:lastRenderedPageBreak/>
        <w:t>contiene los reglamentos de Código de Planeamiento, Código de Conexión, Código de Medida y Código de Operación.</w:t>
      </w:r>
    </w:p>
    <w:p w14:paraId="7265347B" w14:textId="77777777" w:rsidR="00F45D7C" w:rsidRDefault="00F45D7C" w:rsidP="00F45D7C">
      <w:pPr>
        <w:ind w:left="0"/>
        <w:jc w:val="both"/>
        <w:rPr>
          <w:rFonts w:ascii="Bookman Old Style" w:hAnsi="Bookman Old Style"/>
          <w:shd w:val="clear" w:color="auto" w:fill="FFFFFF"/>
          <w:lang w:val="es-CO" w:eastAsia="es-CO"/>
        </w:rPr>
      </w:pPr>
      <w:r w:rsidRPr="00F45D7C">
        <w:rPr>
          <w:rFonts w:ascii="Arial" w:hAnsi="Arial" w:cs="Arial"/>
          <w:lang w:val="es-CO" w:eastAsia="es-CO"/>
        </w:rPr>
        <w:br/>
      </w:r>
      <w:r w:rsidRPr="00F45D7C">
        <w:rPr>
          <w:rFonts w:ascii="Bookman Old Style" w:hAnsi="Bookman Old Style"/>
          <w:shd w:val="clear" w:color="auto" w:fill="FFFFFF"/>
          <w:lang w:val="es-CO" w:eastAsia="es-CO"/>
        </w:rPr>
        <w:t>La Comisión identifica, de acuerdo a la normativa nacional vigente Ley 1715 de 2014 y a las reuniones que se han concertado con la UPME en cuanto a nuevos proyectos de generación en el SIN, que se debe contar con una actualización del Reglamento de Operación en temas relacionados con la planeación, la conexión, y algunos aspectos comerciales y de operación de las redes del SIN, considerando la integración de fuentes no convencionales de energía y las nuevas tecnologías de transporte y almacenamiento de energía.</w:t>
      </w:r>
    </w:p>
    <w:p w14:paraId="7771EEC3" w14:textId="77F8C3C8" w:rsidR="00F45D7C" w:rsidRDefault="00F45D7C" w:rsidP="00036858">
      <w:pPr>
        <w:ind w:left="0"/>
        <w:jc w:val="both"/>
        <w:rPr>
          <w:rFonts w:ascii="Bookman Old Style" w:hAnsi="Bookman Old Style" w:cs="Arial"/>
          <w:lang w:val="es-CO" w:eastAsia="es-CO"/>
        </w:rPr>
      </w:pPr>
      <w:r w:rsidRPr="00F45D7C">
        <w:rPr>
          <w:rFonts w:ascii="Arial" w:hAnsi="Arial" w:cs="Arial"/>
          <w:lang w:val="es-CO" w:eastAsia="es-CO"/>
        </w:rPr>
        <w:br/>
      </w:r>
      <w:r>
        <w:rPr>
          <w:rFonts w:ascii="Bookman Old Style" w:hAnsi="Bookman Old Style" w:cs="Arial"/>
          <w:lang w:val="es-CO" w:eastAsia="es-CO"/>
        </w:rPr>
        <w:t xml:space="preserve">La Comisión de Regulación de Energía y Gas, en su sesión 926 del 20 de junio de 2019 acordó expedir la Resolución CREG 060 de 2019 “Por lo cual se hacen modificaciones y adiciones transitorias al Reglamento de Operación </w:t>
      </w:r>
      <w:r w:rsidR="004527F4">
        <w:rPr>
          <w:rFonts w:ascii="Bookman Old Style" w:hAnsi="Bookman Old Style" w:cs="Arial"/>
          <w:lang w:val="es-CO" w:eastAsia="es-CO"/>
        </w:rPr>
        <w:t>para permitir la conexión y operación de plantas solares fotovoltaicas y eólicas en el SIN y se dictan otras disposiciones.</w:t>
      </w:r>
    </w:p>
    <w:p w14:paraId="421872C0" w14:textId="761ABEC2" w:rsidR="00E351A1" w:rsidRDefault="004527F4" w:rsidP="00D558BC">
      <w:pPr>
        <w:ind w:left="0"/>
        <w:jc w:val="both"/>
        <w:rPr>
          <w:rFonts w:ascii="Bookman Old Style" w:hAnsi="Bookman Old Style" w:cs="Arial"/>
          <w:bCs/>
        </w:rPr>
      </w:pPr>
      <w:r>
        <w:rPr>
          <w:rFonts w:ascii="Bookman Old Style" w:hAnsi="Bookman Old Style" w:cs="Arial"/>
          <w:bCs/>
        </w:rPr>
        <w:t xml:space="preserve">Se recibió comunicación de XM S.A. E.S.P., </w:t>
      </w:r>
      <w:r w:rsidR="00B26D44">
        <w:rPr>
          <w:rFonts w:ascii="Bookman Old Style" w:hAnsi="Bookman Old Style" w:cs="Arial"/>
          <w:bCs/>
        </w:rPr>
        <w:t xml:space="preserve">Radicado </w:t>
      </w:r>
      <w:r w:rsidR="00CE5B97">
        <w:rPr>
          <w:rFonts w:ascii="Bookman Old Style" w:hAnsi="Bookman Old Style" w:cs="Arial"/>
          <w:bCs/>
        </w:rPr>
        <w:t>CREG E-2019-008564</w:t>
      </w:r>
      <w:r w:rsidR="00B26D44">
        <w:rPr>
          <w:rFonts w:ascii="Bookman Old Style" w:hAnsi="Bookman Old Style" w:cs="Arial"/>
          <w:bCs/>
        </w:rPr>
        <w:t xml:space="preserve">, </w:t>
      </w:r>
      <w:r>
        <w:rPr>
          <w:rFonts w:ascii="Bookman Old Style" w:hAnsi="Bookman Old Style" w:cs="Arial"/>
          <w:bCs/>
        </w:rPr>
        <w:t xml:space="preserve">mediante la cual </w:t>
      </w:r>
      <w:r w:rsidR="00B26D44">
        <w:rPr>
          <w:rFonts w:ascii="Bookman Old Style" w:hAnsi="Bookman Old Style" w:cs="Arial"/>
          <w:bCs/>
        </w:rPr>
        <w:t xml:space="preserve">informó </w:t>
      </w:r>
      <w:r>
        <w:rPr>
          <w:rFonts w:ascii="Bookman Old Style" w:hAnsi="Bookman Old Style" w:cs="Arial"/>
          <w:bCs/>
        </w:rPr>
        <w:t xml:space="preserve">que la modificación de la variable </w:t>
      </w:r>
      <w:proofErr w:type="spellStart"/>
      <w:r>
        <w:rPr>
          <w:rFonts w:ascii="Bookman Old Style" w:hAnsi="Bookman Old Style" w:cs="Arial"/>
          <w:bCs/>
        </w:rPr>
        <w:t>PRRj</w:t>
      </w:r>
      <w:proofErr w:type="spellEnd"/>
      <w:r>
        <w:rPr>
          <w:rFonts w:ascii="Bookman Old Style" w:hAnsi="Bookman Old Style" w:cs="Arial"/>
          <w:bCs/>
        </w:rPr>
        <w:t xml:space="preserve"> del artículo 40 de la Resolución CREG 060 de 2019, no </w:t>
      </w:r>
      <w:r w:rsidR="00475A34">
        <w:rPr>
          <w:rFonts w:ascii="Bookman Old Style" w:hAnsi="Bookman Old Style" w:cs="Arial"/>
          <w:bCs/>
        </w:rPr>
        <w:t xml:space="preserve">tiene </w:t>
      </w:r>
      <w:r>
        <w:rPr>
          <w:rFonts w:ascii="Bookman Old Style" w:hAnsi="Bookman Old Style" w:cs="Arial"/>
          <w:bCs/>
        </w:rPr>
        <w:t xml:space="preserve">en cuenta la última modificación </w:t>
      </w:r>
      <w:r w:rsidR="002D56D6">
        <w:rPr>
          <w:rFonts w:ascii="Bookman Old Style" w:hAnsi="Bookman Old Style" w:cs="Arial"/>
          <w:bCs/>
        </w:rPr>
        <w:t>realizad</w:t>
      </w:r>
      <w:r w:rsidR="00475A34">
        <w:rPr>
          <w:rFonts w:ascii="Bookman Old Style" w:hAnsi="Bookman Old Style" w:cs="Arial"/>
          <w:bCs/>
        </w:rPr>
        <w:t>a</w:t>
      </w:r>
      <w:r w:rsidR="002D56D6">
        <w:rPr>
          <w:rFonts w:ascii="Bookman Old Style" w:hAnsi="Bookman Old Style" w:cs="Arial"/>
          <w:bCs/>
        </w:rPr>
        <w:t xml:space="preserve"> a la citada variable en la Resolución CREG 186 de 2009.</w:t>
      </w:r>
      <w:r w:rsidR="00B26D44">
        <w:rPr>
          <w:rFonts w:ascii="Bookman Old Style" w:hAnsi="Bookman Old Style" w:cs="Arial"/>
          <w:bCs/>
        </w:rPr>
        <w:t xml:space="preserve"> </w:t>
      </w:r>
    </w:p>
    <w:p w14:paraId="11BCEDEA" w14:textId="7F03A078" w:rsidR="00B26D44" w:rsidRDefault="00B26D44" w:rsidP="00D558BC">
      <w:pPr>
        <w:ind w:left="0"/>
        <w:jc w:val="both"/>
        <w:rPr>
          <w:rFonts w:ascii="Bookman Old Style" w:hAnsi="Bookman Old Style" w:cs="Arial"/>
          <w:bCs/>
        </w:rPr>
      </w:pPr>
    </w:p>
    <w:p w14:paraId="276B59D6" w14:textId="60731B8B" w:rsidR="00CE5B97" w:rsidRDefault="00475A34" w:rsidP="00CE5B97">
      <w:pPr>
        <w:ind w:left="0"/>
        <w:jc w:val="both"/>
        <w:rPr>
          <w:rFonts w:ascii="Bookman Old Style" w:hAnsi="Bookman Old Style" w:cs="Arial"/>
          <w:bCs/>
          <w:lang w:val="es-CO"/>
        </w:rPr>
      </w:pPr>
      <w:r>
        <w:rPr>
          <w:rFonts w:ascii="Bookman Old Style" w:hAnsi="Bookman Old Style" w:cs="Arial"/>
          <w:bCs/>
          <w:lang w:val="es-CO"/>
        </w:rPr>
        <w:t>Efectivamente, e</w:t>
      </w:r>
      <w:r w:rsidR="00CE5B97" w:rsidRPr="00CE5B97">
        <w:rPr>
          <w:rFonts w:ascii="Bookman Old Style" w:hAnsi="Bookman Old Style" w:cs="Arial"/>
          <w:bCs/>
          <w:lang w:val="es-CO"/>
        </w:rPr>
        <w:t>l art</w:t>
      </w:r>
      <w:r w:rsidR="00CE5B97">
        <w:rPr>
          <w:rFonts w:ascii="Bookman Old Style" w:hAnsi="Bookman Old Style" w:cs="Arial"/>
          <w:bCs/>
          <w:lang w:val="es-CO"/>
        </w:rPr>
        <w:t xml:space="preserve">ículo </w:t>
      </w:r>
      <w:r w:rsidR="00CE5B97" w:rsidRPr="00CE5B97">
        <w:rPr>
          <w:rFonts w:ascii="Bookman Old Style" w:hAnsi="Bookman Old Style" w:cs="Arial"/>
          <w:bCs/>
          <w:lang w:val="es-CO"/>
        </w:rPr>
        <w:t xml:space="preserve">40 de la Resolución CREG 060 de 2019 modificó la </w:t>
      </w:r>
      <w:r>
        <w:rPr>
          <w:rFonts w:ascii="Bookman Old Style" w:hAnsi="Bookman Old Style" w:cs="Arial"/>
          <w:bCs/>
          <w:lang w:val="es-CO"/>
        </w:rPr>
        <w:t xml:space="preserve">definición de la </w:t>
      </w:r>
      <w:r w:rsidR="00CE5B97" w:rsidRPr="00CE5B97">
        <w:rPr>
          <w:rFonts w:ascii="Bookman Old Style" w:hAnsi="Bookman Old Style" w:cs="Arial"/>
          <w:bCs/>
          <w:lang w:val="es-CO"/>
        </w:rPr>
        <w:t xml:space="preserve">variable </w:t>
      </w:r>
      <w:proofErr w:type="spellStart"/>
      <w:r w:rsidR="00CE5B97" w:rsidRPr="00CE5B97">
        <w:rPr>
          <w:rFonts w:ascii="Bookman Old Style" w:hAnsi="Bookman Old Style" w:cs="Arial"/>
          <w:bCs/>
          <w:lang w:val="es-CO"/>
        </w:rPr>
        <w:t>PRR</w:t>
      </w:r>
      <w:r>
        <w:rPr>
          <w:rFonts w:ascii="Bookman Old Style" w:hAnsi="Bookman Old Style" w:cs="Arial"/>
          <w:bCs/>
          <w:lang w:val="es-CO"/>
        </w:rPr>
        <w:t>j</w:t>
      </w:r>
      <w:proofErr w:type="spellEnd"/>
      <w:r w:rsidR="00CE5B97" w:rsidRPr="00CE5B97">
        <w:rPr>
          <w:rFonts w:ascii="Bookman Old Style" w:hAnsi="Bookman Old Style" w:cs="Arial"/>
          <w:bCs/>
          <w:lang w:val="es-CO"/>
        </w:rPr>
        <w:t xml:space="preserve"> (Promedio ponderado del precio de reconciliación positiva) </w:t>
      </w:r>
      <w:r>
        <w:rPr>
          <w:rFonts w:ascii="Bookman Old Style" w:hAnsi="Bookman Old Style" w:cs="Arial"/>
          <w:bCs/>
          <w:lang w:val="es-CO"/>
        </w:rPr>
        <w:t xml:space="preserve">de la </w:t>
      </w:r>
      <w:r w:rsidRPr="00CE5B97">
        <w:rPr>
          <w:rFonts w:ascii="Bookman Old Style" w:hAnsi="Bookman Old Style" w:cs="Arial"/>
          <w:bCs/>
          <w:lang w:val="es-CO"/>
        </w:rPr>
        <w:t>Resolución CREG 014 de 2004</w:t>
      </w:r>
      <w:r>
        <w:rPr>
          <w:rFonts w:ascii="Bookman Old Style" w:hAnsi="Bookman Old Style" w:cs="Arial"/>
          <w:bCs/>
          <w:lang w:val="es-CO"/>
        </w:rPr>
        <w:t xml:space="preserve"> </w:t>
      </w:r>
      <w:r w:rsidR="00CE5B97" w:rsidRPr="00CE5B97">
        <w:rPr>
          <w:rFonts w:ascii="Bookman Old Style" w:hAnsi="Bookman Old Style" w:cs="Arial"/>
          <w:bCs/>
          <w:lang w:val="es-CO"/>
        </w:rPr>
        <w:t>para las transacciones TIE</w:t>
      </w:r>
      <w:r>
        <w:rPr>
          <w:rFonts w:ascii="Bookman Old Style" w:hAnsi="Bookman Old Style" w:cs="Arial"/>
          <w:bCs/>
          <w:lang w:val="es-CO"/>
        </w:rPr>
        <w:t>, pero debió haber considerado la definición contenida en la</w:t>
      </w:r>
      <w:r w:rsidR="00CE5B97" w:rsidRPr="00CE5B97">
        <w:rPr>
          <w:rFonts w:ascii="Bookman Old Style" w:hAnsi="Bookman Old Style" w:cs="Arial"/>
          <w:bCs/>
          <w:lang w:val="es-CO"/>
        </w:rPr>
        <w:t xml:space="preserve"> Resolución CREG 186 de 2009</w:t>
      </w:r>
      <w:r>
        <w:rPr>
          <w:rFonts w:ascii="Bookman Old Style" w:hAnsi="Bookman Old Style" w:cs="Arial"/>
          <w:bCs/>
          <w:lang w:val="es-CO"/>
        </w:rPr>
        <w:t xml:space="preserve">, última modificación vigente de la correspondiente definición de la variable </w:t>
      </w:r>
      <w:proofErr w:type="spellStart"/>
      <w:r w:rsidRPr="00CE5B97">
        <w:rPr>
          <w:rFonts w:ascii="Bookman Old Style" w:hAnsi="Bookman Old Style" w:cs="Arial"/>
          <w:bCs/>
          <w:lang w:val="es-CO"/>
        </w:rPr>
        <w:t>PRR</w:t>
      </w:r>
      <w:r>
        <w:rPr>
          <w:rFonts w:ascii="Bookman Old Style" w:hAnsi="Bookman Old Style" w:cs="Arial"/>
          <w:bCs/>
          <w:lang w:val="es-CO"/>
        </w:rPr>
        <w:t>j</w:t>
      </w:r>
      <w:proofErr w:type="spellEnd"/>
      <w:r w:rsidR="00CE5B97" w:rsidRPr="00CE5B97">
        <w:rPr>
          <w:rFonts w:ascii="Bookman Old Style" w:hAnsi="Bookman Old Style" w:cs="Arial"/>
          <w:bCs/>
          <w:lang w:val="es-CO"/>
        </w:rPr>
        <w:t>.</w:t>
      </w:r>
    </w:p>
    <w:p w14:paraId="11125753" w14:textId="77777777" w:rsidR="00475A34" w:rsidRPr="00CE5B97" w:rsidRDefault="00475A34" w:rsidP="00CE5B97">
      <w:pPr>
        <w:ind w:left="0"/>
        <w:jc w:val="both"/>
        <w:rPr>
          <w:rFonts w:ascii="Bookman Old Style" w:hAnsi="Bookman Old Style" w:cs="Arial"/>
          <w:bCs/>
          <w:lang w:val="es-CO"/>
        </w:rPr>
      </w:pPr>
    </w:p>
    <w:p w14:paraId="6E5B0DA1" w14:textId="3AB68EB0" w:rsidR="00CE5B97" w:rsidRDefault="00CE5B97" w:rsidP="00D558BC">
      <w:pPr>
        <w:ind w:left="0"/>
        <w:jc w:val="both"/>
        <w:rPr>
          <w:rFonts w:ascii="Bookman Old Style" w:hAnsi="Bookman Old Style" w:cs="Arial"/>
          <w:bCs/>
        </w:rPr>
      </w:pPr>
      <w:r>
        <w:rPr>
          <w:rFonts w:ascii="Bookman Old Style" w:hAnsi="Bookman Old Style" w:cs="Arial"/>
          <w:bCs/>
        </w:rPr>
        <w:t xml:space="preserve">Se encontró </w:t>
      </w:r>
      <w:r w:rsidR="00475A34">
        <w:rPr>
          <w:rFonts w:ascii="Bookman Old Style" w:hAnsi="Bookman Old Style" w:cs="Arial"/>
          <w:bCs/>
        </w:rPr>
        <w:t xml:space="preserve">además </w:t>
      </w:r>
      <w:r>
        <w:rPr>
          <w:rFonts w:ascii="Bookman Old Style" w:hAnsi="Bookman Old Style" w:cs="Arial"/>
          <w:bCs/>
        </w:rPr>
        <w:t xml:space="preserve">conveniente aclarar que los recursos de generación hidráulicos y los recursos </w:t>
      </w:r>
      <w:r w:rsidR="00475A34">
        <w:rPr>
          <w:rFonts w:ascii="Bookman Old Style" w:hAnsi="Bookman Old Style" w:cs="Arial"/>
          <w:bCs/>
        </w:rPr>
        <w:t xml:space="preserve">de generación </w:t>
      </w:r>
      <w:r>
        <w:rPr>
          <w:rFonts w:ascii="Bookman Old Style" w:hAnsi="Bookman Old Style" w:cs="Arial"/>
          <w:bCs/>
        </w:rPr>
        <w:t>variable son declarados por planta ante el Mercado de Energía Mayorista (MEM)</w:t>
      </w:r>
      <w:r w:rsidR="00475A34">
        <w:rPr>
          <w:rFonts w:ascii="Bookman Old Style" w:hAnsi="Bookman Old Style" w:cs="Arial"/>
          <w:bCs/>
        </w:rPr>
        <w:t xml:space="preserve"> y no por unidad</w:t>
      </w:r>
      <w:r w:rsidR="00A27D84">
        <w:rPr>
          <w:rFonts w:ascii="Bookman Old Style" w:hAnsi="Bookman Old Style" w:cs="Arial"/>
          <w:bCs/>
        </w:rPr>
        <w:t>.</w:t>
      </w:r>
    </w:p>
    <w:p w14:paraId="06760CCC" w14:textId="157B3818" w:rsidR="004527F4" w:rsidRDefault="004527F4" w:rsidP="00347FA3">
      <w:pPr>
        <w:ind w:left="0"/>
        <w:rPr>
          <w:rFonts w:ascii="Bookman Old Style" w:hAnsi="Bookman Old Style" w:cs="Arial"/>
          <w:bCs/>
        </w:rPr>
      </w:pPr>
    </w:p>
    <w:p w14:paraId="3323B880" w14:textId="5F2E8959" w:rsidR="004527F4" w:rsidRDefault="004527F4" w:rsidP="002D56D6">
      <w:pPr>
        <w:ind w:left="0"/>
        <w:jc w:val="both"/>
        <w:rPr>
          <w:rFonts w:ascii="Bookman Old Style" w:hAnsi="Bookman Old Style" w:cs="Arial"/>
          <w:bCs/>
        </w:rPr>
      </w:pPr>
      <w:r>
        <w:rPr>
          <w:rFonts w:ascii="Bookman Old Style" w:hAnsi="Bookman Old Style" w:cs="Arial"/>
          <w:bCs/>
        </w:rPr>
        <w:t xml:space="preserve">La Comisión encontró conveniente hacer el ajuste de la variable </w:t>
      </w:r>
      <w:proofErr w:type="spellStart"/>
      <w:r>
        <w:rPr>
          <w:rFonts w:ascii="Bookman Old Style" w:hAnsi="Bookman Old Style" w:cs="Arial"/>
          <w:bCs/>
        </w:rPr>
        <w:t>PRRj</w:t>
      </w:r>
      <w:proofErr w:type="spellEnd"/>
      <w:r>
        <w:rPr>
          <w:rFonts w:ascii="Bookman Old Style" w:hAnsi="Bookman Old Style" w:cs="Arial"/>
          <w:bCs/>
        </w:rPr>
        <w:t xml:space="preserve"> </w:t>
      </w:r>
      <w:r w:rsidR="002D56D6">
        <w:rPr>
          <w:rFonts w:ascii="Bookman Old Style" w:hAnsi="Bookman Old Style" w:cs="Arial"/>
          <w:bCs/>
        </w:rPr>
        <w:t>por las razones anteriormente señaladas.</w:t>
      </w:r>
    </w:p>
    <w:p w14:paraId="2082EDFE" w14:textId="77777777" w:rsidR="004527F4" w:rsidRDefault="004527F4" w:rsidP="00347FA3">
      <w:pPr>
        <w:ind w:left="0"/>
        <w:rPr>
          <w:rFonts w:ascii="Bookman Old Style" w:hAnsi="Bookman Old Style" w:cs="Arial"/>
          <w:bCs/>
        </w:rPr>
      </w:pPr>
    </w:p>
    <w:p w14:paraId="5CA609C3" w14:textId="77777777" w:rsidR="004527F4" w:rsidRPr="00576D9E" w:rsidRDefault="004527F4" w:rsidP="00347FA3">
      <w:pPr>
        <w:ind w:left="0"/>
        <w:rPr>
          <w:rFonts w:ascii="Bookman Old Style" w:hAnsi="Bookman Old Style" w:cs="Arial"/>
          <w:bCs/>
        </w:rPr>
      </w:pPr>
    </w:p>
    <w:p w14:paraId="34151A3A" w14:textId="77777777" w:rsidR="00E01463" w:rsidRPr="00576D9E" w:rsidRDefault="00E01463" w:rsidP="00E01463">
      <w:pPr>
        <w:jc w:val="center"/>
        <w:rPr>
          <w:rFonts w:ascii="Bookman Old Style" w:hAnsi="Bookman Old Style"/>
          <w:b/>
        </w:rPr>
      </w:pPr>
      <w:r w:rsidRPr="00576D9E">
        <w:rPr>
          <w:rFonts w:ascii="Bookman Old Style" w:hAnsi="Bookman Old Style"/>
          <w:b/>
        </w:rPr>
        <w:t>R E S U E L V E:</w:t>
      </w:r>
    </w:p>
    <w:p w14:paraId="289C04B4" w14:textId="07856FC1" w:rsidR="007D0798" w:rsidRDefault="007D0798" w:rsidP="0025775B">
      <w:pPr>
        <w:ind w:left="0"/>
        <w:rPr>
          <w:rFonts w:ascii="Bookman Old Style" w:hAnsi="Bookman Old Style"/>
          <w:b/>
        </w:rPr>
      </w:pPr>
    </w:p>
    <w:p w14:paraId="64D09211" w14:textId="535163A3" w:rsidR="004527F4" w:rsidRDefault="004527F4" w:rsidP="00D558BC">
      <w:pPr>
        <w:pStyle w:val="Ttulo1"/>
        <w:numPr>
          <w:ilvl w:val="0"/>
          <w:numId w:val="2"/>
        </w:numPr>
        <w:tabs>
          <w:tab w:val="left" w:pos="1418"/>
        </w:tabs>
        <w:suppressAutoHyphens/>
        <w:ind w:left="0" w:firstLine="0"/>
        <w:jc w:val="both"/>
        <w:rPr>
          <w:rFonts w:ascii="Bookman Old Style" w:hAnsi="Bookman Old Style" w:cs="Arial"/>
          <w:b w:val="0"/>
          <w:bCs/>
          <w:szCs w:val="24"/>
          <w:lang w:val="es-ES"/>
        </w:rPr>
      </w:pPr>
      <w:r w:rsidRPr="004527F4">
        <w:rPr>
          <w:rFonts w:ascii="Bookman Old Style" w:hAnsi="Bookman Old Style" w:cs="Arial"/>
          <w:b w:val="0"/>
          <w:bCs/>
          <w:szCs w:val="24"/>
          <w:lang w:val="es-ES"/>
        </w:rPr>
        <w:t> </w:t>
      </w:r>
      <w:r w:rsidRPr="004527F4">
        <w:rPr>
          <w:rFonts w:ascii="Bookman Old Style" w:hAnsi="Bookman Old Style" w:cs="Arial"/>
          <w:bCs/>
          <w:szCs w:val="24"/>
          <w:lang w:val="es-ES"/>
        </w:rPr>
        <w:t xml:space="preserve">Modifíquese la variable </w:t>
      </w:r>
      <w:proofErr w:type="spellStart"/>
      <w:r w:rsidRPr="004527F4">
        <w:rPr>
          <w:rFonts w:ascii="Bookman Old Style" w:hAnsi="Bookman Old Style" w:cs="Arial"/>
          <w:bCs/>
          <w:szCs w:val="24"/>
          <w:lang w:val="es-ES"/>
        </w:rPr>
        <w:t>PRRj</w:t>
      </w:r>
      <w:proofErr w:type="spellEnd"/>
      <w:r w:rsidRPr="004527F4">
        <w:rPr>
          <w:rFonts w:ascii="Bookman Old Style" w:hAnsi="Bookman Old Style" w:cs="Arial"/>
          <w:bCs/>
          <w:szCs w:val="24"/>
          <w:lang w:val="es-ES"/>
        </w:rPr>
        <w:t> de los anexos 3 y 4 de la Resolución CREG-004 de 2003, y el anexo 4 de la Resolución CREG 014 de 2004. </w:t>
      </w:r>
      <w:r w:rsidRPr="004527F4">
        <w:rPr>
          <w:rFonts w:ascii="Bookman Old Style" w:hAnsi="Bookman Old Style" w:cs="Arial"/>
          <w:b w:val="0"/>
          <w:bCs/>
          <w:szCs w:val="24"/>
          <w:lang w:val="es-ES"/>
        </w:rPr>
        <w:t xml:space="preserve">La variable </w:t>
      </w:r>
      <w:proofErr w:type="spellStart"/>
      <w:r w:rsidRPr="004527F4">
        <w:rPr>
          <w:rFonts w:ascii="Bookman Old Style" w:hAnsi="Bookman Old Style" w:cs="Arial"/>
          <w:b w:val="0"/>
          <w:bCs/>
          <w:szCs w:val="24"/>
          <w:lang w:val="es-ES"/>
        </w:rPr>
        <w:t>PRRj</w:t>
      </w:r>
      <w:proofErr w:type="spellEnd"/>
      <w:r w:rsidRPr="004527F4">
        <w:rPr>
          <w:rFonts w:ascii="Bookman Old Style" w:hAnsi="Bookman Old Style" w:cs="Arial"/>
          <w:b w:val="0"/>
          <w:bCs/>
          <w:szCs w:val="24"/>
          <w:lang w:val="es-ES"/>
        </w:rPr>
        <w:t> del anexo 3 de la Resolución CREG-004 de 2003, modificado por la Resolución CREG 076 de 2009, y del anexo 4 de la Resolución CREG 004 de 2003, modificado por la</w:t>
      </w:r>
      <w:r w:rsidR="000669F2" w:rsidRPr="00D558BC">
        <w:rPr>
          <w:rFonts w:ascii="Bookman Old Style" w:hAnsi="Bookman Old Style" w:cs="Arial"/>
          <w:b w:val="0"/>
          <w:bCs/>
        </w:rPr>
        <w:t>s</w:t>
      </w:r>
      <w:r w:rsidRPr="004527F4">
        <w:rPr>
          <w:rFonts w:ascii="Bookman Old Style" w:hAnsi="Bookman Old Style" w:cs="Arial"/>
          <w:b w:val="0"/>
          <w:bCs/>
          <w:szCs w:val="24"/>
          <w:lang w:val="es-ES"/>
        </w:rPr>
        <w:t xml:space="preserve"> Resoluci</w:t>
      </w:r>
      <w:r w:rsidR="000669F2" w:rsidRPr="00D558BC">
        <w:rPr>
          <w:rFonts w:ascii="Bookman Old Style" w:hAnsi="Bookman Old Style" w:cs="Arial"/>
          <w:b w:val="0"/>
          <w:bCs/>
        </w:rPr>
        <w:t xml:space="preserve">ones </w:t>
      </w:r>
      <w:r w:rsidRPr="004527F4">
        <w:rPr>
          <w:rFonts w:ascii="Bookman Old Style" w:hAnsi="Bookman Old Style" w:cs="Arial"/>
          <w:b w:val="0"/>
          <w:bCs/>
          <w:szCs w:val="24"/>
          <w:lang w:val="es-ES"/>
        </w:rPr>
        <w:t>CREG 051 de 2009</w:t>
      </w:r>
      <w:r w:rsidR="000669F2" w:rsidRPr="00D558BC">
        <w:rPr>
          <w:rFonts w:ascii="Bookman Old Style" w:hAnsi="Bookman Old Style" w:cs="Arial"/>
          <w:b w:val="0"/>
          <w:bCs/>
        </w:rPr>
        <w:t xml:space="preserve"> y CREG 186 de 2009</w:t>
      </w:r>
      <w:r w:rsidRPr="004527F4">
        <w:rPr>
          <w:rFonts w:ascii="Bookman Old Style" w:hAnsi="Bookman Old Style" w:cs="Arial"/>
          <w:b w:val="0"/>
          <w:bCs/>
          <w:szCs w:val="24"/>
          <w:lang w:val="es-ES"/>
        </w:rPr>
        <w:t>, y el anexo 4 de la Resolución CREG 014 de 2004, quedará así:</w:t>
      </w:r>
    </w:p>
    <w:p w14:paraId="00D274F0" w14:textId="22767287" w:rsidR="004527F4" w:rsidRPr="004527F4" w:rsidRDefault="004527F4" w:rsidP="004527F4">
      <w:pPr>
        <w:ind w:left="0"/>
        <w:jc w:val="both"/>
        <w:rPr>
          <w:rFonts w:ascii="Bookman Old Style" w:hAnsi="Bookman Old Style" w:cs="Arial"/>
          <w:bCs/>
        </w:rPr>
      </w:pPr>
    </w:p>
    <w:p w14:paraId="24DCD45C" w14:textId="3BD6DFF4" w:rsidR="004527F4" w:rsidRPr="004527F4" w:rsidRDefault="004527F4" w:rsidP="004527F4">
      <w:pPr>
        <w:ind w:left="708"/>
        <w:jc w:val="both"/>
        <w:rPr>
          <w:rFonts w:ascii="Bookman Old Style" w:hAnsi="Bookman Old Style" w:cs="Arial"/>
          <w:bCs/>
          <w:i/>
        </w:rPr>
      </w:pPr>
      <w:proofErr w:type="spellStart"/>
      <w:r w:rsidRPr="004527F4">
        <w:rPr>
          <w:rFonts w:ascii="Bookman Old Style" w:hAnsi="Bookman Old Style" w:cs="Arial"/>
          <w:bCs/>
          <w:i/>
        </w:rPr>
        <w:t>PRRj</w:t>
      </w:r>
      <w:proofErr w:type="spellEnd"/>
      <w:r w:rsidRPr="004527F4">
        <w:rPr>
          <w:rFonts w:ascii="Bookman Old Style" w:hAnsi="Bookman Old Style" w:cs="Arial"/>
          <w:bCs/>
          <w:i/>
        </w:rPr>
        <w:t xml:space="preserve">: Promedio ponderado horario del precio de reconciliación positiva, informado por el ASIC al CND. Para cada planta de generación hidráulica y de generación variable, se tomará el periodo correspondiente a la última semana de liquidación para cada recurso, en la que se hayan aplicado dichos valores. Para cada generador térmico se tomarán las variables CSC, CTC, COM y OCV de la última semana de liquidación. Para la variable </w:t>
      </w:r>
      <w:r w:rsidR="00D558BC">
        <w:rPr>
          <w:rFonts w:ascii="Bookman Old Style" w:hAnsi="Bookman Old Style" w:cs="Arial"/>
          <w:bCs/>
          <w:i/>
        </w:rPr>
        <w:t>P</w:t>
      </w:r>
      <w:r w:rsidRPr="004527F4">
        <w:rPr>
          <w:rFonts w:ascii="Bookman Old Style" w:hAnsi="Bookman Old Style" w:cs="Arial"/>
          <w:bCs/>
          <w:i/>
        </w:rPr>
        <w:t xml:space="preserve">CAP, </w:t>
      </w:r>
      <w:r w:rsidRPr="004527F4">
        <w:rPr>
          <w:rFonts w:ascii="Bookman Old Style" w:hAnsi="Bookman Old Style" w:cs="Arial"/>
          <w:bCs/>
          <w:i/>
        </w:rPr>
        <w:lastRenderedPageBreak/>
        <w:t xml:space="preserve">aplicada a la máxima disponibilidad declarada para el despacho programado, cuyo valor se distribuirá entre la generación de seguridad resultante del despacho programado. El </w:t>
      </w:r>
      <w:proofErr w:type="spellStart"/>
      <w:r w:rsidRPr="004527F4">
        <w:rPr>
          <w:rFonts w:ascii="Bookman Old Style" w:hAnsi="Bookman Old Style" w:cs="Arial"/>
          <w:bCs/>
          <w:i/>
        </w:rPr>
        <w:t>PRRj</w:t>
      </w:r>
      <w:proofErr w:type="spellEnd"/>
      <w:r w:rsidRPr="004527F4">
        <w:rPr>
          <w:rFonts w:ascii="Bookman Old Style" w:hAnsi="Bookman Old Style" w:cs="Arial"/>
          <w:bCs/>
          <w:i/>
        </w:rPr>
        <w:t xml:space="preserve"> a aplicar deberá ser el menor valor entre el calculado con este procedimiento y el Precio de Oferta </w:t>
      </w:r>
      <w:r w:rsidR="00D558BC">
        <w:rPr>
          <w:rFonts w:ascii="Bookman Old Style" w:hAnsi="Bookman Old Style" w:cs="Arial"/>
          <w:bCs/>
          <w:i/>
        </w:rPr>
        <w:t xml:space="preserve">incrementado por los precios de arranque-parada </w:t>
      </w:r>
      <w:proofErr w:type="spellStart"/>
      <w:r w:rsidR="00D558BC">
        <w:rPr>
          <w:rFonts w:ascii="Bookman Old Style" w:hAnsi="Bookman Old Style" w:cs="Arial"/>
          <w:bCs/>
          <w:i/>
        </w:rPr>
        <w:t>variabilizados</w:t>
      </w:r>
      <w:proofErr w:type="spellEnd"/>
      <w:r w:rsidR="00D558BC">
        <w:rPr>
          <w:rFonts w:ascii="Bookman Old Style" w:hAnsi="Bookman Old Style" w:cs="Arial"/>
          <w:bCs/>
          <w:i/>
        </w:rPr>
        <w:t xml:space="preserve"> con la generación programada </w:t>
      </w:r>
      <w:r w:rsidRPr="004527F4">
        <w:rPr>
          <w:rFonts w:ascii="Bookman Old Style" w:hAnsi="Bookman Old Style" w:cs="Arial"/>
          <w:bCs/>
          <w:i/>
        </w:rPr>
        <w:t>para el recurso j</w:t>
      </w:r>
      <w:r w:rsidR="00D558BC">
        <w:rPr>
          <w:rFonts w:ascii="Bookman Old Style" w:hAnsi="Bookman Old Style" w:cs="Arial"/>
          <w:bCs/>
          <w:i/>
        </w:rPr>
        <w:t xml:space="preserve"> en el despacho diario</w:t>
      </w:r>
      <w:r w:rsidRPr="004527F4">
        <w:rPr>
          <w:rFonts w:ascii="Bookman Old Style" w:hAnsi="Bookman Old Style" w:cs="Arial"/>
          <w:bCs/>
          <w:i/>
        </w:rPr>
        <w:t>.</w:t>
      </w:r>
    </w:p>
    <w:p w14:paraId="5990737B" w14:textId="77777777" w:rsidR="00516ADF" w:rsidRDefault="00516ADF" w:rsidP="009F2FD7">
      <w:pPr>
        <w:ind w:left="708"/>
        <w:jc w:val="both"/>
        <w:rPr>
          <w:i/>
          <w:lang w:val="es-CO"/>
        </w:rPr>
      </w:pPr>
    </w:p>
    <w:p w14:paraId="7E23E1FC" w14:textId="1C5FA6D9" w:rsidR="00E01463" w:rsidRPr="00576D9E" w:rsidRDefault="00E01463" w:rsidP="001814D0">
      <w:pPr>
        <w:pStyle w:val="Ttulo1"/>
        <w:numPr>
          <w:ilvl w:val="0"/>
          <w:numId w:val="2"/>
        </w:numPr>
        <w:tabs>
          <w:tab w:val="left" w:pos="1418"/>
        </w:tabs>
        <w:suppressAutoHyphens/>
        <w:ind w:left="0" w:firstLine="0"/>
        <w:jc w:val="both"/>
        <w:rPr>
          <w:rFonts w:ascii="Bookman Old Style" w:hAnsi="Bookman Old Style"/>
          <w:b w:val="0"/>
          <w:szCs w:val="24"/>
        </w:rPr>
      </w:pPr>
      <w:r w:rsidRPr="00576D9E">
        <w:rPr>
          <w:rFonts w:ascii="Bookman Old Style" w:hAnsi="Bookman Old Style"/>
          <w:szCs w:val="24"/>
        </w:rPr>
        <w:t>Vigencia.</w:t>
      </w:r>
      <w:r w:rsidRPr="00576D9E">
        <w:rPr>
          <w:rFonts w:ascii="Bookman Old Style" w:hAnsi="Bookman Old Style"/>
          <w:b w:val="0"/>
          <w:szCs w:val="24"/>
        </w:rPr>
        <w:t xml:space="preserve"> </w:t>
      </w:r>
      <w:r w:rsidR="009F5D1B" w:rsidRPr="00576D9E">
        <w:rPr>
          <w:rFonts w:ascii="Bookman Old Style" w:hAnsi="Bookman Old Style"/>
          <w:b w:val="0"/>
          <w:szCs w:val="24"/>
        </w:rPr>
        <w:t>Esta r</w:t>
      </w:r>
      <w:r w:rsidRPr="00576D9E">
        <w:rPr>
          <w:rFonts w:ascii="Bookman Old Style" w:hAnsi="Bookman Old Style"/>
          <w:b w:val="0"/>
          <w:szCs w:val="24"/>
        </w:rPr>
        <w:t xml:space="preserve">esolución </w:t>
      </w:r>
      <w:r w:rsidR="009F5D1B" w:rsidRPr="00576D9E">
        <w:rPr>
          <w:rFonts w:ascii="Bookman Old Style" w:hAnsi="Bookman Old Style"/>
          <w:b w:val="0"/>
          <w:szCs w:val="24"/>
        </w:rPr>
        <w:t xml:space="preserve">rige </w:t>
      </w:r>
      <w:r w:rsidRPr="00576D9E">
        <w:rPr>
          <w:rFonts w:ascii="Bookman Old Style" w:hAnsi="Bookman Old Style"/>
          <w:b w:val="0"/>
          <w:szCs w:val="24"/>
        </w:rPr>
        <w:t xml:space="preserve">a partir de la fecha de su publicación en el </w:t>
      </w:r>
      <w:r w:rsidRPr="00576D9E">
        <w:rPr>
          <w:rFonts w:ascii="Bookman Old Style" w:hAnsi="Bookman Old Style"/>
          <w:b w:val="0"/>
          <w:i/>
          <w:szCs w:val="24"/>
        </w:rPr>
        <w:t>Diario Oficial</w:t>
      </w:r>
      <w:r w:rsidR="00EA31E4">
        <w:rPr>
          <w:rFonts w:ascii="Bookman Old Style" w:hAnsi="Bookman Old Style"/>
          <w:b w:val="0"/>
          <w:szCs w:val="24"/>
        </w:rPr>
        <w:t xml:space="preserve"> y modifica el artículo 40 de la Resolución CREG 060 de 2019</w:t>
      </w:r>
      <w:r w:rsidR="00136B1F">
        <w:rPr>
          <w:rFonts w:ascii="Bookman Old Style" w:hAnsi="Bookman Old Style"/>
          <w:b w:val="0"/>
          <w:szCs w:val="24"/>
        </w:rPr>
        <w:t xml:space="preserve">. </w:t>
      </w:r>
    </w:p>
    <w:p w14:paraId="41A17031" w14:textId="77777777" w:rsidR="00E01463" w:rsidRDefault="00E01463" w:rsidP="00E01463">
      <w:pPr>
        <w:rPr>
          <w:lang w:val="es-CO"/>
        </w:rPr>
      </w:pPr>
    </w:p>
    <w:p w14:paraId="67B2A11F" w14:textId="77777777" w:rsidR="00566669" w:rsidRDefault="00566669" w:rsidP="00A023FE">
      <w:pPr>
        <w:ind w:left="0"/>
        <w:jc w:val="center"/>
        <w:rPr>
          <w:rFonts w:ascii="Bookman Old Style" w:hAnsi="Bookman Old Style" w:cs="Arial"/>
          <w:b/>
        </w:rPr>
      </w:pPr>
    </w:p>
    <w:p w14:paraId="75BA5F4D" w14:textId="54CF6E2C" w:rsidR="00E01463" w:rsidRPr="00576D9E" w:rsidRDefault="00E01463" w:rsidP="00A023FE">
      <w:pPr>
        <w:ind w:left="0"/>
        <w:jc w:val="center"/>
        <w:rPr>
          <w:lang w:eastAsia="ar-SA"/>
        </w:rPr>
      </w:pPr>
      <w:r w:rsidRPr="00576D9E">
        <w:rPr>
          <w:rFonts w:ascii="Bookman Old Style" w:hAnsi="Bookman Old Style" w:cs="Arial"/>
          <w:b/>
        </w:rPr>
        <w:t>PUBLÍQUESE Y CÚMPLASE</w:t>
      </w:r>
    </w:p>
    <w:p w14:paraId="09E7132C" w14:textId="77777777" w:rsidR="00E01463" w:rsidRDefault="00E01463" w:rsidP="009D6B50">
      <w:pPr>
        <w:ind w:left="0"/>
        <w:rPr>
          <w:rFonts w:ascii="Bookman Old Style" w:hAnsi="Bookman Old Style" w:cs="Arial"/>
        </w:rPr>
      </w:pPr>
    </w:p>
    <w:p w14:paraId="00D73EC1" w14:textId="006CC7EF" w:rsidR="009D6B50" w:rsidRDefault="002B13BB" w:rsidP="009D6B50">
      <w:pPr>
        <w:ind w:left="0"/>
        <w:rPr>
          <w:rFonts w:ascii="Bookman Old Style" w:hAnsi="Bookman Old Style" w:cs="Arial"/>
        </w:rPr>
      </w:pPr>
      <w:r>
        <w:rPr>
          <w:rFonts w:ascii="Bookman Old Style" w:hAnsi="Bookman Old Style" w:cs="Arial"/>
        </w:rPr>
        <w:t>Firma del proyecto,</w:t>
      </w:r>
    </w:p>
    <w:p w14:paraId="3FD3BFD6" w14:textId="77777777" w:rsidR="00C101F2" w:rsidRDefault="00C101F2" w:rsidP="00E01463">
      <w:pPr>
        <w:rPr>
          <w:rFonts w:ascii="Bookman Old Style" w:hAnsi="Bookman Old Style" w:cs="Arial"/>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860320" w:rsidRPr="00576D9E" w14:paraId="3475A917" w14:textId="77777777" w:rsidTr="00544B06">
        <w:trPr>
          <w:tblCellSpacing w:w="0" w:type="dxa"/>
          <w:jc w:val="center"/>
        </w:trPr>
        <w:tc>
          <w:tcPr>
            <w:tcW w:w="5033" w:type="dxa"/>
          </w:tcPr>
          <w:p w14:paraId="39735A0C" w14:textId="4D188D28" w:rsidR="00860320" w:rsidRDefault="00860320" w:rsidP="00860320">
            <w:pPr>
              <w:rPr>
                <w:rFonts w:ascii="Bookman Old Style" w:hAnsi="Bookman Old Style" w:cs="Arial"/>
                <w:b/>
                <w:spacing w:val="-3"/>
              </w:rPr>
            </w:pPr>
          </w:p>
          <w:p w14:paraId="41EC1A96" w14:textId="77777777" w:rsidR="00CE49EF" w:rsidRPr="00576D9E" w:rsidRDefault="00CE49EF" w:rsidP="00860320">
            <w:pPr>
              <w:rPr>
                <w:rFonts w:ascii="Bookman Old Style" w:hAnsi="Bookman Old Style" w:cs="Arial"/>
                <w:b/>
                <w:spacing w:val="-3"/>
              </w:rPr>
            </w:pPr>
          </w:p>
          <w:p w14:paraId="19524804" w14:textId="77777777" w:rsidR="00860320" w:rsidRPr="00576D9E" w:rsidRDefault="00860320" w:rsidP="00860320">
            <w:pPr>
              <w:rPr>
                <w:rFonts w:ascii="Bookman Old Style" w:hAnsi="Bookman Old Style" w:cs="Arial"/>
                <w:b/>
                <w:spacing w:val="-3"/>
              </w:rPr>
            </w:pPr>
          </w:p>
          <w:p w14:paraId="04A18A23" w14:textId="77777777" w:rsidR="00860320" w:rsidRPr="00576D9E" w:rsidRDefault="00860320" w:rsidP="00860320">
            <w:pPr>
              <w:ind w:left="66"/>
              <w:jc w:val="center"/>
              <w:rPr>
                <w:rFonts w:ascii="Bookman Old Style" w:hAnsi="Bookman Old Style" w:cs="Arial"/>
                <w:b/>
                <w:spacing w:val="-3"/>
              </w:rPr>
            </w:pPr>
          </w:p>
          <w:p w14:paraId="443D1B89" w14:textId="0603FC11" w:rsidR="00860320" w:rsidRPr="00576D9E" w:rsidRDefault="002B13BB" w:rsidP="00860320">
            <w:pPr>
              <w:ind w:left="66"/>
              <w:jc w:val="center"/>
              <w:rPr>
                <w:rFonts w:ascii="Bookman Old Style" w:hAnsi="Bookman Old Style" w:cs="Arial"/>
                <w:b/>
                <w:spacing w:val="-3"/>
              </w:rPr>
            </w:pPr>
            <w:r>
              <w:rPr>
                <w:rFonts w:ascii="Bookman Old Style" w:hAnsi="Bookman Old Style" w:cs="Arial"/>
                <w:b/>
              </w:rPr>
              <w:t>MARÍ</w:t>
            </w:r>
            <w:r w:rsidR="004D0B97">
              <w:rPr>
                <w:rFonts w:ascii="Bookman Old Style" w:hAnsi="Bookman Old Style" w:cs="Arial"/>
                <w:b/>
              </w:rPr>
              <w:t>A FERNANDA SUÁREZ LONDOÑO</w:t>
            </w:r>
          </w:p>
        </w:tc>
        <w:tc>
          <w:tcPr>
            <w:tcW w:w="4465" w:type="dxa"/>
          </w:tcPr>
          <w:p w14:paraId="775620CC" w14:textId="77777777" w:rsidR="00860320" w:rsidRPr="00576D9E" w:rsidRDefault="00860320" w:rsidP="00860320">
            <w:pPr>
              <w:ind w:left="89"/>
              <w:jc w:val="center"/>
              <w:rPr>
                <w:rFonts w:ascii="Bookman Old Style" w:hAnsi="Bookman Old Style" w:cs="Arial"/>
                <w:b/>
                <w:spacing w:val="-3"/>
              </w:rPr>
            </w:pPr>
          </w:p>
          <w:p w14:paraId="3E351DA2" w14:textId="63CADC49" w:rsidR="00860320" w:rsidRDefault="00860320" w:rsidP="00860320">
            <w:pPr>
              <w:ind w:left="89"/>
              <w:jc w:val="center"/>
              <w:rPr>
                <w:rFonts w:ascii="Bookman Old Style" w:hAnsi="Bookman Old Style" w:cs="Arial"/>
                <w:b/>
                <w:spacing w:val="-3"/>
              </w:rPr>
            </w:pPr>
          </w:p>
          <w:p w14:paraId="7871C02C" w14:textId="77777777" w:rsidR="00CE49EF" w:rsidRPr="00576D9E" w:rsidRDefault="00CE49EF" w:rsidP="00860320">
            <w:pPr>
              <w:ind w:left="89"/>
              <w:jc w:val="center"/>
              <w:rPr>
                <w:rFonts w:ascii="Bookman Old Style" w:hAnsi="Bookman Old Style" w:cs="Arial"/>
                <w:b/>
                <w:spacing w:val="-3"/>
              </w:rPr>
            </w:pPr>
          </w:p>
          <w:p w14:paraId="16BE9C82" w14:textId="77777777" w:rsidR="00860320" w:rsidRPr="00576D9E" w:rsidRDefault="00860320" w:rsidP="00860320">
            <w:pPr>
              <w:ind w:left="89"/>
              <w:jc w:val="center"/>
              <w:rPr>
                <w:rFonts w:ascii="Bookman Old Style" w:hAnsi="Bookman Old Style" w:cs="Arial"/>
                <w:b/>
                <w:spacing w:val="-3"/>
              </w:rPr>
            </w:pPr>
          </w:p>
          <w:p w14:paraId="2986D3BC" w14:textId="77777777" w:rsidR="00860320" w:rsidRPr="00576D9E" w:rsidRDefault="00860320" w:rsidP="00860320">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860320" w:rsidRPr="00D472A2" w14:paraId="717D0A55" w14:textId="77777777" w:rsidTr="00544B06">
        <w:trPr>
          <w:tblCellSpacing w:w="0" w:type="dxa"/>
          <w:jc w:val="center"/>
        </w:trPr>
        <w:tc>
          <w:tcPr>
            <w:tcW w:w="5033" w:type="dxa"/>
            <w:hideMark/>
          </w:tcPr>
          <w:p w14:paraId="20E4B05F" w14:textId="77777777" w:rsidR="00860320" w:rsidRPr="002B13BB" w:rsidRDefault="00860320" w:rsidP="00860320">
            <w:pPr>
              <w:ind w:left="66"/>
              <w:jc w:val="center"/>
              <w:rPr>
                <w:rFonts w:ascii="Bookman Old Style" w:eastAsia="Arial Unicode MS" w:hAnsi="Bookman Old Style" w:cs="Arial"/>
                <w:color w:val="000000"/>
              </w:rPr>
            </w:pPr>
            <w:r w:rsidRPr="002B13BB">
              <w:rPr>
                <w:rFonts w:ascii="Bookman Old Style" w:hAnsi="Bookman Old Style" w:cs="Arial"/>
                <w:spacing w:val="-3"/>
              </w:rPr>
              <w:t>Ministra de Minas y Energía</w:t>
            </w:r>
          </w:p>
        </w:tc>
        <w:tc>
          <w:tcPr>
            <w:tcW w:w="4465" w:type="dxa"/>
            <w:hideMark/>
          </w:tcPr>
          <w:p w14:paraId="004EFE43" w14:textId="77777777" w:rsidR="00860320" w:rsidRPr="002B13BB" w:rsidRDefault="00860320" w:rsidP="00860320">
            <w:pPr>
              <w:jc w:val="center"/>
              <w:rPr>
                <w:rFonts w:ascii="Bookman Old Style" w:eastAsia="Arial Unicode MS" w:hAnsi="Bookman Old Style" w:cs="Arial"/>
                <w:color w:val="000000"/>
              </w:rPr>
            </w:pPr>
            <w:r w:rsidRPr="002B13BB">
              <w:rPr>
                <w:rFonts w:ascii="Bookman Old Style" w:hAnsi="Bookman Old Style" w:cs="Arial"/>
                <w:spacing w:val="-3"/>
              </w:rPr>
              <w:t>Director Ejecutivo</w:t>
            </w:r>
          </w:p>
        </w:tc>
      </w:tr>
      <w:tr w:rsidR="00860320" w:rsidRPr="00D472A2" w14:paraId="4AF69F5D" w14:textId="77777777" w:rsidTr="00544B06">
        <w:trPr>
          <w:tblCellSpacing w:w="0" w:type="dxa"/>
          <w:jc w:val="center"/>
        </w:trPr>
        <w:tc>
          <w:tcPr>
            <w:tcW w:w="5033" w:type="dxa"/>
            <w:hideMark/>
          </w:tcPr>
          <w:p w14:paraId="65024F59" w14:textId="77777777" w:rsidR="00860320" w:rsidRPr="002B13BB" w:rsidRDefault="00860320" w:rsidP="00860320">
            <w:pPr>
              <w:ind w:left="66"/>
              <w:jc w:val="center"/>
              <w:rPr>
                <w:rFonts w:ascii="Bookman Old Style" w:eastAsia="Arial Unicode MS" w:hAnsi="Bookman Old Style" w:cs="Arial"/>
                <w:color w:val="000000"/>
              </w:rPr>
            </w:pPr>
            <w:r w:rsidRPr="002B13BB">
              <w:rPr>
                <w:rFonts w:ascii="Bookman Old Style" w:hAnsi="Bookman Old Style" w:cs="Arial"/>
                <w:spacing w:val="-3"/>
              </w:rPr>
              <w:t>Presidente</w:t>
            </w:r>
          </w:p>
        </w:tc>
        <w:tc>
          <w:tcPr>
            <w:tcW w:w="4465" w:type="dxa"/>
          </w:tcPr>
          <w:p w14:paraId="24AAE3EC" w14:textId="77777777" w:rsidR="00860320" w:rsidRPr="002B13BB" w:rsidRDefault="00860320" w:rsidP="00860320">
            <w:pPr>
              <w:jc w:val="center"/>
              <w:rPr>
                <w:rFonts w:ascii="Bookman Old Style" w:eastAsia="Arial Unicode MS" w:hAnsi="Bookman Old Style" w:cs="Arial"/>
                <w:color w:val="000000"/>
              </w:rPr>
            </w:pPr>
          </w:p>
        </w:tc>
      </w:tr>
    </w:tbl>
    <w:p w14:paraId="724C8953" w14:textId="77777777" w:rsidR="00C2637C" w:rsidRDefault="00C2637C" w:rsidP="004E0CF2">
      <w:pPr>
        <w:ind w:left="0"/>
        <w:rPr>
          <w:rFonts w:ascii="Bookman Old Style" w:hAnsi="Bookman Old Style" w:cs="Arial"/>
        </w:rPr>
      </w:pPr>
    </w:p>
    <w:p w14:paraId="7D3D2D7C" w14:textId="77777777" w:rsidR="00901216" w:rsidRPr="00B765EF" w:rsidRDefault="00901216" w:rsidP="004E0CF2">
      <w:pPr>
        <w:ind w:left="0"/>
        <w:rPr>
          <w:rFonts w:ascii="Bookman Old Style" w:hAnsi="Bookman Old Style" w:cs="Arial"/>
          <w:b/>
          <w:lang w:val="es-CO"/>
        </w:rPr>
      </w:pPr>
    </w:p>
    <w:sectPr w:rsidR="00901216" w:rsidRPr="00B765EF" w:rsidSect="00554720">
      <w:headerReference w:type="default" r:id="rId10"/>
      <w:headerReference w:type="first" r:id="rId11"/>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34D43" w14:textId="77777777" w:rsidR="0082590D" w:rsidRDefault="0082590D">
      <w:r>
        <w:separator/>
      </w:r>
    </w:p>
  </w:endnote>
  <w:endnote w:type="continuationSeparator" w:id="0">
    <w:p w14:paraId="06138820" w14:textId="77777777" w:rsidR="0082590D" w:rsidRDefault="0082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71F3" w14:textId="77777777" w:rsidR="0082590D" w:rsidRDefault="0082590D">
      <w:r>
        <w:separator/>
      </w:r>
    </w:p>
  </w:footnote>
  <w:footnote w:type="continuationSeparator" w:id="0">
    <w:p w14:paraId="4339C8E5" w14:textId="77777777" w:rsidR="0082590D" w:rsidRDefault="008259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59FA" w14:textId="77777777" w:rsidR="005D7267" w:rsidRDefault="005D7267" w:rsidP="00951F79">
    <w:pPr>
      <w:pStyle w:val="Ttulo1"/>
      <w:ind w:right="6"/>
      <w:jc w:val="left"/>
      <w:rPr>
        <w:rFonts w:ascii="Bookman Old Style" w:hAnsi="Bookman Old Style" w:cs="Arial"/>
        <w:b w:val="0"/>
        <w:sz w:val="22"/>
        <w:szCs w:val="22"/>
      </w:rPr>
    </w:pPr>
  </w:p>
  <w:p w14:paraId="1759B7F2" w14:textId="0A9E5997" w:rsidR="005D7267" w:rsidRPr="00951F79" w:rsidRDefault="005D726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37FF4">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37FF4" w:rsidRPr="00137FF4">
        <w:rPr>
          <w:rFonts w:ascii="Bookman Old Style" w:hAnsi="Bookman Old Style" w:cs="Arial"/>
          <w:b w:val="0"/>
          <w:noProof/>
          <w:sz w:val="22"/>
          <w:szCs w:val="22"/>
        </w:rPr>
        <w:t>5</w:t>
      </w:r>
    </w:fldSimple>
  </w:p>
  <w:p w14:paraId="67F27695" w14:textId="77777777" w:rsidR="005D7267" w:rsidRDefault="005D7267"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41D4A932" wp14:editId="166BAA3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FCE0E"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386ECE6" w14:textId="77777777" w:rsidR="00475A34" w:rsidRPr="00475A34" w:rsidRDefault="00475A34" w:rsidP="00475A34">
    <w:pPr>
      <w:ind w:left="0"/>
      <w:jc w:val="both"/>
      <w:rPr>
        <w:rFonts w:ascii="Bookman Old Style" w:hAnsi="Bookman Old Style" w:cs="Arial"/>
        <w:sz w:val="22"/>
      </w:rPr>
    </w:pPr>
    <w:r w:rsidRPr="00475A34">
      <w:rPr>
        <w:rFonts w:ascii="Bookman Old Style" w:hAnsi="Bookman Old Style" w:cs="Arial"/>
        <w:sz w:val="22"/>
      </w:rPr>
      <w:t>Por la cual se ordena hacer público un proyecto de resolución “</w:t>
    </w:r>
    <w:r w:rsidRPr="00475A34">
      <w:rPr>
        <w:rFonts w:ascii="Bookman Old Style" w:hAnsi="Bookman Old Style" w:cs="Arial"/>
        <w:i/>
        <w:sz w:val="22"/>
      </w:rPr>
      <w:t xml:space="preserve">Por medio de la cual se propone modificar la definición de la variable </w:t>
    </w:r>
    <w:proofErr w:type="spellStart"/>
    <w:r w:rsidRPr="00475A34">
      <w:rPr>
        <w:rFonts w:ascii="Bookman Old Style" w:hAnsi="Bookman Old Style" w:cs="Arial"/>
        <w:i/>
        <w:sz w:val="22"/>
      </w:rPr>
      <w:t>PRRj</w:t>
    </w:r>
    <w:proofErr w:type="spellEnd"/>
    <w:r w:rsidRPr="00475A34">
      <w:rPr>
        <w:rFonts w:ascii="Bookman Old Style" w:hAnsi="Bookman Old Style" w:cs="Arial"/>
        <w:i/>
        <w:sz w:val="22"/>
      </w:rPr>
      <w:t xml:space="preserve"> de las Resoluciones CREG 004 de 2003 y CREG 014 de 2004”</w:t>
    </w:r>
  </w:p>
  <w:p w14:paraId="5BBC30C2" w14:textId="51D90110" w:rsidR="005D7267" w:rsidRPr="00F21C25" w:rsidRDefault="005D7267" w:rsidP="00F45D7C">
    <w:pPr>
      <w:pBdr>
        <w:bottom w:val="single" w:sz="4" w:space="1" w:color="auto"/>
      </w:pBdr>
      <w:ind w:left="142" w:right="148"/>
      <w:jc w:val="both"/>
      <w:rPr>
        <w:b/>
        <w:sz w:val="18"/>
        <w:szCs w:val="20"/>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8345" w14:textId="77777777" w:rsidR="002B13BB" w:rsidRDefault="002B13BB" w:rsidP="002B13BB">
    <w:pPr>
      <w:pStyle w:val="Encabezado"/>
      <w:tabs>
        <w:tab w:val="clear" w:pos="4252"/>
        <w:tab w:val="clear" w:pos="8504"/>
      </w:tabs>
      <w:ind w:left="0"/>
      <w:jc w:val="center"/>
      <w:rPr>
        <w:rFonts w:ascii="Arial" w:hAnsi="Arial" w:cs="Arial"/>
        <w:spacing w:val="20"/>
        <w:sz w:val="20"/>
      </w:rPr>
    </w:pPr>
    <w:r>
      <w:rPr>
        <w:rFonts w:ascii="Arial" w:hAnsi="Arial" w:cs="Arial"/>
        <w:spacing w:val="20"/>
        <w:sz w:val="20"/>
      </w:rPr>
      <w:t>República de Colombia</w:t>
    </w:r>
  </w:p>
  <w:p w14:paraId="786522E8" w14:textId="77777777" w:rsidR="005D7267" w:rsidRDefault="005D7267">
    <w:pPr>
      <w:pStyle w:val="Encabezado"/>
      <w:jc w:val="center"/>
      <w:rPr>
        <w:rFonts w:ascii="Arial" w:hAnsi="Arial" w:cs="Arial"/>
        <w:spacing w:val="20"/>
        <w:sz w:val="20"/>
      </w:rPr>
    </w:pPr>
  </w:p>
  <w:p w14:paraId="5AF90B00" w14:textId="77777777" w:rsidR="005D7267" w:rsidRDefault="005D726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B6D217F" wp14:editId="64AADD1A">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83AC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12642EBA"/>
    <w:multiLevelType w:val="hybridMultilevel"/>
    <w:tmpl w:val="AC920DB2"/>
    <w:lvl w:ilvl="0" w:tplc="F8021F14">
      <w:start w:val="1"/>
      <w:numFmt w:val="decimal"/>
      <w:lvlText w:val="Artículo %1."/>
      <w:lvlJc w:val="left"/>
      <w:pPr>
        <w:ind w:left="2204" w:hanging="360"/>
      </w:pPr>
      <w:rPr>
        <w:rFonts w:ascii="Bookman Old Style" w:hAnsi="Bookman Old Style" w:hint="default"/>
        <w:b/>
        <w:i w:val="0"/>
        <w:color w:val="auto"/>
        <w:sz w:val="24"/>
        <w:szCs w:val="24"/>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2" w15:restartNumberingAfterBreak="0">
    <w:nsid w:val="13F72E34"/>
    <w:multiLevelType w:val="hybridMultilevel"/>
    <w:tmpl w:val="578AAE02"/>
    <w:lvl w:ilvl="0" w:tplc="A1888D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2D7F63"/>
    <w:multiLevelType w:val="hybridMultilevel"/>
    <w:tmpl w:val="81B6A54C"/>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EFA2457"/>
    <w:multiLevelType w:val="hybridMultilevel"/>
    <w:tmpl w:val="886C05E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900B77"/>
    <w:multiLevelType w:val="hybridMultilevel"/>
    <w:tmpl w:val="1142617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73F76CA"/>
    <w:multiLevelType w:val="singleLevel"/>
    <w:tmpl w:val="8BE8BD84"/>
    <w:lvl w:ilvl="0">
      <w:start w:val="1"/>
      <w:numFmt w:val="lowerLetter"/>
      <w:lvlText w:val="%1)"/>
      <w:lvlJc w:val="left"/>
      <w:pPr>
        <w:tabs>
          <w:tab w:val="num" w:pos="360"/>
        </w:tabs>
        <w:ind w:left="360" w:hanging="360"/>
      </w:pPr>
      <w:rPr>
        <w:b w:val="0"/>
        <w:i w:val="0"/>
      </w:rPr>
    </w:lvl>
  </w:abstractNum>
  <w:abstractNum w:abstractNumId="7" w15:restartNumberingAfterBreak="0">
    <w:nsid w:val="4786178C"/>
    <w:multiLevelType w:val="hybridMultilevel"/>
    <w:tmpl w:val="31223B00"/>
    <w:lvl w:ilvl="0" w:tplc="6138270E">
      <w:start w:val="1"/>
      <w:numFmt w:val="lowerRoman"/>
      <w:lvlText w:val="%1."/>
      <w:lvlJc w:val="right"/>
      <w:pPr>
        <w:ind w:left="1068"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6746261"/>
    <w:multiLevelType w:val="hybridMultilevel"/>
    <w:tmpl w:val="B9849750"/>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2D65B9"/>
    <w:multiLevelType w:val="hybridMultilevel"/>
    <w:tmpl w:val="86EA649A"/>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780B10EA"/>
    <w:multiLevelType w:val="hybridMultilevel"/>
    <w:tmpl w:val="8B048AE8"/>
    <w:lvl w:ilvl="0" w:tplc="51A0B82C">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8757A18"/>
    <w:multiLevelType w:val="hybridMultilevel"/>
    <w:tmpl w:val="70D0737C"/>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7C634162"/>
    <w:multiLevelType w:val="hybridMultilevel"/>
    <w:tmpl w:val="2D36E576"/>
    <w:lvl w:ilvl="0" w:tplc="9B463DA8">
      <w:start w:val="4"/>
      <w:numFmt w:val="lowerRoman"/>
      <w:lvlText w:val="%1."/>
      <w:lvlJc w:val="right"/>
      <w:pPr>
        <w:tabs>
          <w:tab w:val="num" w:pos="720"/>
        </w:tabs>
        <w:ind w:left="720" w:hanging="360"/>
      </w:pPr>
    </w:lvl>
    <w:lvl w:ilvl="1" w:tplc="A8E6F966" w:tentative="1">
      <w:start w:val="1"/>
      <w:numFmt w:val="lowerRoman"/>
      <w:lvlText w:val="%2."/>
      <w:lvlJc w:val="right"/>
      <w:pPr>
        <w:tabs>
          <w:tab w:val="num" w:pos="1440"/>
        </w:tabs>
        <w:ind w:left="1440" w:hanging="360"/>
      </w:pPr>
    </w:lvl>
    <w:lvl w:ilvl="2" w:tplc="820221D0" w:tentative="1">
      <w:start w:val="1"/>
      <w:numFmt w:val="lowerRoman"/>
      <w:lvlText w:val="%3."/>
      <w:lvlJc w:val="right"/>
      <w:pPr>
        <w:tabs>
          <w:tab w:val="num" w:pos="2160"/>
        </w:tabs>
        <w:ind w:left="2160" w:hanging="360"/>
      </w:pPr>
    </w:lvl>
    <w:lvl w:ilvl="3" w:tplc="B0BA5652" w:tentative="1">
      <w:start w:val="1"/>
      <w:numFmt w:val="lowerRoman"/>
      <w:lvlText w:val="%4."/>
      <w:lvlJc w:val="right"/>
      <w:pPr>
        <w:tabs>
          <w:tab w:val="num" w:pos="2880"/>
        </w:tabs>
        <w:ind w:left="2880" w:hanging="360"/>
      </w:pPr>
    </w:lvl>
    <w:lvl w:ilvl="4" w:tplc="0FE2B2D4" w:tentative="1">
      <w:start w:val="1"/>
      <w:numFmt w:val="lowerRoman"/>
      <w:lvlText w:val="%5."/>
      <w:lvlJc w:val="right"/>
      <w:pPr>
        <w:tabs>
          <w:tab w:val="num" w:pos="3600"/>
        </w:tabs>
        <w:ind w:left="3600" w:hanging="360"/>
      </w:pPr>
    </w:lvl>
    <w:lvl w:ilvl="5" w:tplc="0012175C" w:tentative="1">
      <w:start w:val="1"/>
      <w:numFmt w:val="lowerRoman"/>
      <w:lvlText w:val="%6."/>
      <w:lvlJc w:val="right"/>
      <w:pPr>
        <w:tabs>
          <w:tab w:val="num" w:pos="4320"/>
        </w:tabs>
        <w:ind w:left="4320" w:hanging="360"/>
      </w:pPr>
    </w:lvl>
    <w:lvl w:ilvl="6" w:tplc="65FCDCBE" w:tentative="1">
      <w:start w:val="1"/>
      <w:numFmt w:val="lowerRoman"/>
      <w:lvlText w:val="%7."/>
      <w:lvlJc w:val="right"/>
      <w:pPr>
        <w:tabs>
          <w:tab w:val="num" w:pos="5040"/>
        </w:tabs>
        <w:ind w:left="5040" w:hanging="360"/>
      </w:pPr>
    </w:lvl>
    <w:lvl w:ilvl="7" w:tplc="DE90E222" w:tentative="1">
      <w:start w:val="1"/>
      <w:numFmt w:val="lowerRoman"/>
      <w:lvlText w:val="%8."/>
      <w:lvlJc w:val="right"/>
      <w:pPr>
        <w:tabs>
          <w:tab w:val="num" w:pos="5760"/>
        </w:tabs>
        <w:ind w:left="5760" w:hanging="360"/>
      </w:pPr>
    </w:lvl>
    <w:lvl w:ilvl="8" w:tplc="EFBA3406" w:tentative="1">
      <w:start w:val="1"/>
      <w:numFmt w:val="lowerRoman"/>
      <w:lvlText w:val="%9."/>
      <w:lvlJc w:val="right"/>
      <w:pPr>
        <w:tabs>
          <w:tab w:val="num" w:pos="6480"/>
        </w:tabs>
        <w:ind w:left="6480" w:hanging="360"/>
      </w:pPr>
    </w:lvl>
  </w:abstractNum>
  <w:num w:numId="1">
    <w:abstractNumId w:val="0"/>
  </w:num>
  <w:num w:numId="2">
    <w:abstractNumId w:val="1"/>
  </w:num>
  <w:num w:numId="3">
    <w:abstractNumId w:val="9"/>
  </w:num>
  <w:num w:numId="4">
    <w:abstractNumId w:val="8"/>
  </w:num>
  <w:num w:numId="5">
    <w:abstractNumId w:val="7"/>
  </w:num>
  <w:num w:numId="6">
    <w:abstractNumId w:val="4"/>
  </w:num>
  <w:num w:numId="7">
    <w:abstractNumId w:val="12"/>
  </w:num>
  <w:num w:numId="8">
    <w:abstractNumId w:val="2"/>
  </w:num>
  <w:num w:numId="9">
    <w:abstractNumId w:val="3"/>
  </w:num>
  <w:num w:numId="10">
    <w:abstractNumId w:val="5"/>
  </w:num>
  <w:num w:numId="11">
    <w:abstractNumId w:val="11"/>
  </w:num>
  <w:num w:numId="12">
    <w:abstractNumId w:val="10"/>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6"/>
    <w:rsid w:val="0000040C"/>
    <w:rsid w:val="00001D6D"/>
    <w:rsid w:val="00002664"/>
    <w:rsid w:val="00003C64"/>
    <w:rsid w:val="00005638"/>
    <w:rsid w:val="00006AE2"/>
    <w:rsid w:val="00006CAC"/>
    <w:rsid w:val="000076A1"/>
    <w:rsid w:val="00010440"/>
    <w:rsid w:val="000121CB"/>
    <w:rsid w:val="00012259"/>
    <w:rsid w:val="00012D32"/>
    <w:rsid w:val="00012D85"/>
    <w:rsid w:val="00013280"/>
    <w:rsid w:val="00013E12"/>
    <w:rsid w:val="0001406A"/>
    <w:rsid w:val="0001550B"/>
    <w:rsid w:val="000164C5"/>
    <w:rsid w:val="00016E86"/>
    <w:rsid w:val="00023907"/>
    <w:rsid w:val="0002398A"/>
    <w:rsid w:val="0002401E"/>
    <w:rsid w:val="00025383"/>
    <w:rsid w:val="00027CC5"/>
    <w:rsid w:val="00031CCD"/>
    <w:rsid w:val="00033D79"/>
    <w:rsid w:val="00036858"/>
    <w:rsid w:val="00036EA4"/>
    <w:rsid w:val="00042252"/>
    <w:rsid w:val="00042861"/>
    <w:rsid w:val="000435EB"/>
    <w:rsid w:val="000445E6"/>
    <w:rsid w:val="00044D8C"/>
    <w:rsid w:val="000453E2"/>
    <w:rsid w:val="00046799"/>
    <w:rsid w:val="0004729E"/>
    <w:rsid w:val="00053BBB"/>
    <w:rsid w:val="00053E70"/>
    <w:rsid w:val="00053F7C"/>
    <w:rsid w:val="0005521B"/>
    <w:rsid w:val="0005595C"/>
    <w:rsid w:val="00061A0A"/>
    <w:rsid w:val="00062BB4"/>
    <w:rsid w:val="00063657"/>
    <w:rsid w:val="000669F2"/>
    <w:rsid w:val="000708DB"/>
    <w:rsid w:val="000731D5"/>
    <w:rsid w:val="00076680"/>
    <w:rsid w:val="00076A1D"/>
    <w:rsid w:val="0007724F"/>
    <w:rsid w:val="00077B41"/>
    <w:rsid w:val="0008073E"/>
    <w:rsid w:val="00081A5E"/>
    <w:rsid w:val="0008244E"/>
    <w:rsid w:val="00084245"/>
    <w:rsid w:val="00090071"/>
    <w:rsid w:val="00091CDB"/>
    <w:rsid w:val="0009514C"/>
    <w:rsid w:val="000A0AF7"/>
    <w:rsid w:val="000A19AC"/>
    <w:rsid w:val="000A28D3"/>
    <w:rsid w:val="000A3105"/>
    <w:rsid w:val="000A72C6"/>
    <w:rsid w:val="000B1BAB"/>
    <w:rsid w:val="000B41F6"/>
    <w:rsid w:val="000B4E1C"/>
    <w:rsid w:val="000B5F73"/>
    <w:rsid w:val="000C0730"/>
    <w:rsid w:val="000C0E7E"/>
    <w:rsid w:val="000C3D4D"/>
    <w:rsid w:val="000C49F3"/>
    <w:rsid w:val="000C5561"/>
    <w:rsid w:val="000C6B30"/>
    <w:rsid w:val="000D1608"/>
    <w:rsid w:val="000D26F8"/>
    <w:rsid w:val="000D286A"/>
    <w:rsid w:val="000D40FF"/>
    <w:rsid w:val="000D7A06"/>
    <w:rsid w:val="000E1FF0"/>
    <w:rsid w:val="000E2F10"/>
    <w:rsid w:val="000E5438"/>
    <w:rsid w:val="000E65E5"/>
    <w:rsid w:val="000E6933"/>
    <w:rsid w:val="000E7025"/>
    <w:rsid w:val="000E71C5"/>
    <w:rsid w:val="000F0664"/>
    <w:rsid w:val="000F1281"/>
    <w:rsid w:val="000F1368"/>
    <w:rsid w:val="000F2D3E"/>
    <w:rsid w:val="000F388B"/>
    <w:rsid w:val="000F4B6F"/>
    <w:rsid w:val="000F4DE4"/>
    <w:rsid w:val="00102198"/>
    <w:rsid w:val="00106F49"/>
    <w:rsid w:val="00110796"/>
    <w:rsid w:val="00110E4A"/>
    <w:rsid w:val="001127E3"/>
    <w:rsid w:val="00112BF9"/>
    <w:rsid w:val="00115DC3"/>
    <w:rsid w:val="00121296"/>
    <w:rsid w:val="00123017"/>
    <w:rsid w:val="0012307D"/>
    <w:rsid w:val="00124B42"/>
    <w:rsid w:val="0013146B"/>
    <w:rsid w:val="00131C40"/>
    <w:rsid w:val="00134AA8"/>
    <w:rsid w:val="001358BD"/>
    <w:rsid w:val="001358D7"/>
    <w:rsid w:val="00136B1F"/>
    <w:rsid w:val="00137FF4"/>
    <w:rsid w:val="001405C6"/>
    <w:rsid w:val="00140667"/>
    <w:rsid w:val="00140CE5"/>
    <w:rsid w:val="00141013"/>
    <w:rsid w:val="00144A39"/>
    <w:rsid w:val="00144D88"/>
    <w:rsid w:val="00146B0A"/>
    <w:rsid w:val="00151784"/>
    <w:rsid w:val="00151C40"/>
    <w:rsid w:val="00151E00"/>
    <w:rsid w:val="001545EB"/>
    <w:rsid w:val="001576D0"/>
    <w:rsid w:val="00160343"/>
    <w:rsid w:val="00162AA3"/>
    <w:rsid w:val="00162E81"/>
    <w:rsid w:val="00163F7D"/>
    <w:rsid w:val="00164215"/>
    <w:rsid w:val="00172EEE"/>
    <w:rsid w:val="00174FFE"/>
    <w:rsid w:val="00175EF0"/>
    <w:rsid w:val="001767CB"/>
    <w:rsid w:val="001814D0"/>
    <w:rsid w:val="00183235"/>
    <w:rsid w:val="00183341"/>
    <w:rsid w:val="001835E1"/>
    <w:rsid w:val="00185827"/>
    <w:rsid w:val="00187F0E"/>
    <w:rsid w:val="00192CBF"/>
    <w:rsid w:val="00192FF1"/>
    <w:rsid w:val="001954F1"/>
    <w:rsid w:val="001A0068"/>
    <w:rsid w:val="001A5F1B"/>
    <w:rsid w:val="001A6404"/>
    <w:rsid w:val="001A6E19"/>
    <w:rsid w:val="001A79FF"/>
    <w:rsid w:val="001A7FCE"/>
    <w:rsid w:val="001B045D"/>
    <w:rsid w:val="001B1C22"/>
    <w:rsid w:val="001B266B"/>
    <w:rsid w:val="001B34C6"/>
    <w:rsid w:val="001B4C0B"/>
    <w:rsid w:val="001C4100"/>
    <w:rsid w:val="001C65DC"/>
    <w:rsid w:val="001C6815"/>
    <w:rsid w:val="001D40EF"/>
    <w:rsid w:val="001D4DF0"/>
    <w:rsid w:val="001D540A"/>
    <w:rsid w:val="001D6CF5"/>
    <w:rsid w:val="001D722C"/>
    <w:rsid w:val="001D7832"/>
    <w:rsid w:val="001E3368"/>
    <w:rsid w:val="001E497C"/>
    <w:rsid w:val="001E5215"/>
    <w:rsid w:val="001E7E33"/>
    <w:rsid w:val="001F0466"/>
    <w:rsid w:val="001F1467"/>
    <w:rsid w:val="001F35A6"/>
    <w:rsid w:val="001F3E55"/>
    <w:rsid w:val="001F612B"/>
    <w:rsid w:val="002011B1"/>
    <w:rsid w:val="00204604"/>
    <w:rsid w:val="0020718A"/>
    <w:rsid w:val="00211D34"/>
    <w:rsid w:val="002124B7"/>
    <w:rsid w:val="002132FC"/>
    <w:rsid w:val="00214333"/>
    <w:rsid w:val="0021490F"/>
    <w:rsid w:val="00214F04"/>
    <w:rsid w:val="0022248D"/>
    <w:rsid w:val="0022269F"/>
    <w:rsid w:val="00222B91"/>
    <w:rsid w:val="00224788"/>
    <w:rsid w:val="00234694"/>
    <w:rsid w:val="00235780"/>
    <w:rsid w:val="00235F1C"/>
    <w:rsid w:val="00235F40"/>
    <w:rsid w:val="00244587"/>
    <w:rsid w:val="002514B9"/>
    <w:rsid w:val="00253F55"/>
    <w:rsid w:val="00257232"/>
    <w:rsid w:val="0025775B"/>
    <w:rsid w:val="00261123"/>
    <w:rsid w:val="00262766"/>
    <w:rsid w:val="00265302"/>
    <w:rsid w:val="00266B9E"/>
    <w:rsid w:val="00266CD6"/>
    <w:rsid w:val="00266DE7"/>
    <w:rsid w:val="00272516"/>
    <w:rsid w:val="0027264C"/>
    <w:rsid w:val="002746B2"/>
    <w:rsid w:val="00275DAB"/>
    <w:rsid w:val="00276681"/>
    <w:rsid w:val="00280F76"/>
    <w:rsid w:val="00281261"/>
    <w:rsid w:val="00282593"/>
    <w:rsid w:val="00284388"/>
    <w:rsid w:val="00287AB4"/>
    <w:rsid w:val="002902EF"/>
    <w:rsid w:val="00296F06"/>
    <w:rsid w:val="002A2945"/>
    <w:rsid w:val="002A29A6"/>
    <w:rsid w:val="002A34DD"/>
    <w:rsid w:val="002A62C9"/>
    <w:rsid w:val="002A6971"/>
    <w:rsid w:val="002A782A"/>
    <w:rsid w:val="002B11E2"/>
    <w:rsid w:val="002B13BB"/>
    <w:rsid w:val="002B24B8"/>
    <w:rsid w:val="002B372B"/>
    <w:rsid w:val="002B5884"/>
    <w:rsid w:val="002B68E7"/>
    <w:rsid w:val="002B7DEE"/>
    <w:rsid w:val="002C0188"/>
    <w:rsid w:val="002C06F4"/>
    <w:rsid w:val="002C1EE3"/>
    <w:rsid w:val="002C3006"/>
    <w:rsid w:val="002C4F33"/>
    <w:rsid w:val="002C6C88"/>
    <w:rsid w:val="002C6FA9"/>
    <w:rsid w:val="002D1A67"/>
    <w:rsid w:val="002D3AE9"/>
    <w:rsid w:val="002D4510"/>
    <w:rsid w:val="002D56D6"/>
    <w:rsid w:val="002D7C5C"/>
    <w:rsid w:val="002E5EC9"/>
    <w:rsid w:val="002F0350"/>
    <w:rsid w:val="002F0734"/>
    <w:rsid w:val="002F2388"/>
    <w:rsid w:val="002F2C1C"/>
    <w:rsid w:val="002F3A2B"/>
    <w:rsid w:val="002F41C3"/>
    <w:rsid w:val="002F46E7"/>
    <w:rsid w:val="003001B6"/>
    <w:rsid w:val="00304F39"/>
    <w:rsid w:val="00306D48"/>
    <w:rsid w:val="00307386"/>
    <w:rsid w:val="003101DA"/>
    <w:rsid w:val="003115FB"/>
    <w:rsid w:val="0031200C"/>
    <w:rsid w:val="00314757"/>
    <w:rsid w:val="00314B48"/>
    <w:rsid w:val="003211CE"/>
    <w:rsid w:val="003235FF"/>
    <w:rsid w:val="00324C26"/>
    <w:rsid w:val="00325A07"/>
    <w:rsid w:val="00327381"/>
    <w:rsid w:val="003348CC"/>
    <w:rsid w:val="00334F5D"/>
    <w:rsid w:val="0034267B"/>
    <w:rsid w:val="00342E2F"/>
    <w:rsid w:val="00343D23"/>
    <w:rsid w:val="00344871"/>
    <w:rsid w:val="0034563F"/>
    <w:rsid w:val="00345658"/>
    <w:rsid w:val="00345F1B"/>
    <w:rsid w:val="0034748C"/>
    <w:rsid w:val="00347FA3"/>
    <w:rsid w:val="003532CF"/>
    <w:rsid w:val="0035403A"/>
    <w:rsid w:val="003546AD"/>
    <w:rsid w:val="00354D0B"/>
    <w:rsid w:val="00357B65"/>
    <w:rsid w:val="003607D7"/>
    <w:rsid w:val="00361947"/>
    <w:rsid w:val="00361BC9"/>
    <w:rsid w:val="00362553"/>
    <w:rsid w:val="0036394B"/>
    <w:rsid w:val="00363ECF"/>
    <w:rsid w:val="003640B0"/>
    <w:rsid w:val="003648A6"/>
    <w:rsid w:val="00365DA6"/>
    <w:rsid w:val="00366632"/>
    <w:rsid w:val="00366E12"/>
    <w:rsid w:val="00367BD7"/>
    <w:rsid w:val="003709B5"/>
    <w:rsid w:val="00370BA9"/>
    <w:rsid w:val="00372D0C"/>
    <w:rsid w:val="003759C2"/>
    <w:rsid w:val="003813DE"/>
    <w:rsid w:val="003908F1"/>
    <w:rsid w:val="003927D1"/>
    <w:rsid w:val="0039281B"/>
    <w:rsid w:val="00394EEB"/>
    <w:rsid w:val="003967D6"/>
    <w:rsid w:val="00397365"/>
    <w:rsid w:val="003A1404"/>
    <w:rsid w:val="003A31F6"/>
    <w:rsid w:val="003A345A"/>
    <w:rsid w:val="003A4E2D"/>
    <w:rsid w:val="003A776A"/>
    <w:rsid w:val="003B2987"/>
    <w:rsid w:val="003B372D"/>
    <w:rsid w:val="003B3AEE"/>
    <w:rsid w:val="003B4CAB"/>
    <w:rsid w:val="003B575E"/>
    <w:rsid w:val="003B616F"/>
    <w:rsid w:val="003B6996"/>
    <w:rsid w:val="003C0B58"/>
    <w:rsid w:val="003C17AE"/>
    <w:rsid w:val="003C191F"/>
    <w:rsid w:val="003C2657"/>
    <w:rsid w:val="003C3447"/>
    <w:rsid w:val="003C453B"/>
    <w:rsid w:val="003C4EFE"/>
    <w:rsid w:val="003C67B6"/>
    <w:rsid w:val="003C7202"/>
    <w:rsid w:val="003D076C"/>
    <w:rsid w:val="003D0D16"/>
    <w:rsid w:val="003D51D2"/>
    <w:rsid w:val="003D5288"/>
    <w:rsid w:val="003D6146"/>
    <w:rsid w:val="003E051D"/>
    <w:rsid w:val="003E169C"/>
    <w:rsid w:val="003E78B5"/>
    <w:rsid w:val="003F0E0F"/>
    <w:rsid w:val="003F1D3A"/>
    <w:rsid w:val="003F4014"/>
    <w:rsid w:val="003F6AD6"/>
    <w:rsid w:val="003F779E"/>
    <w:rsid w:val="00402678"/>
    <w:rsid w:val="004029EF"/>
    <w:rsid w:val="004037AC"/>
    <w:rsid w:val="00404683"/>
    <w:rsid w:val="00404AF3"/>
    <w:rsid w:val="00405ED4"/>
    <w:rsid w:val="00405FB5"/>
    <w:rsid w:val="00410619"/>
    <w:rsid w:val="00414D51"/>
    <w:rsid w:val="0041536C"/>
    <w:rsid w:val="00415BAB"/>
    <w:rsid w:val="00415ED2"/>
    <w:rsid w:val="0042068C"/>
    <w:rsid w:val="004228DE"/>
    <w:rsid w:val="004259ED"/>
    <w:rsid w:val="0043021B"/>
    <w:rsid w:val="004364D3"/>
    <w:rsid w:val="00440547"/>
    <w:rsid w:val="00442DA7"/>
    <w:rsid w:val="004437FE"/>
    <w:rsid w:val="0044703C"/>
    <w:rsid w:val="00447B4B"/>
    <w:rsid w:val="004527F4"/>
    <w:rsid w:val="004528DC"/>
    <w:rsid w:val="0045363D"/>
    <w:rsid w:val="00453AC7"/>
    <w:rsid w:val="00457962"/>
    <w:rsid w:val="00457DB5"/>
    <w:rsid w:val="00462B8C"/>
    <w:rsid w:val="004630BE"/>
    <w:rsid w:val="00464758"/>
    <w:rsid w:val="0046519F"/>
    <w:rsid w:val="004657F5"/>
    <w:rsid w:val="0047122B"/>
    <w:rsid w:val="00472971"/>
    <w:rsid w:val="00472E42"/>
    <w:rsid w:val="00473B7A"/>
    <w:rsid w:val="00475814"/>
    <w:rsid w:val="00475A34"/>
    <w:rsid w:val="00476A7F"/>
    <w:rsid w:val="004814DB"/>
    <w:rsid w:val="004834B9"/>
    <w:rsid w:val="0048540D"/>
    <w:rsid w:val="004902BD"/>
    <w:rsid w:val="004929A4"/>
    <w:rsid w:val="004960E9"/>
    <w:rsid w:val="004964CA"/>
    <w:rsid w:val="004A2E88"/>
    <w:rsid w:val="004A3F84"/>
    <w:rsid w:val="004A5305"/>
    <w:rsid w:val="004A7A5C"/>
    <w:rsid w:val="004B0826"/>
    <w:rsid w:val="004B4CF1"/>
    <w:rsid w:val="004C0AF8"/>
    <w:rsid w:val="004D0B97"/>
    <w:rsid w:val="004D1A65"/>
    <w:rsid w:val="004D1F2A"/>
    <w:rsid w:val="004D204E"/>
    <w:rsid w:val="004D67C2"/>
    <w:rsid w:val="004D69E6"/>
    <w:rsid w:val="004D6BAC"/>
    <w:rsid w:val="004D7634"/>
    <w:rsid w:val="004D7ECF"/>
    <w:rsid w:val="004E0CF2"/>
    <w:rsid w:val="004E113E"/>
    <w:rsid w:val="004E5373"/>
    <w:rsid w:val="004E6431"/>
    <w:rsid w:val="004F061E"/>
    <w:rsid w:val="004F7B7D"/>
    <w:rsid w:val="00501604"/>
    <w:rsid w:val="00504A55"/>
    <w:rsid w:val="005119DE"/>
    <w:rsid w:val="00511BE8"/>
    <w:rsid w:val="0051546B"/>
    <w:rsid w:val="005156A9"/>
    <w:rsid w:val="00515F0E"/>
    <w:rsid w:val="00516129"/>
    <w:rsid w:val="00516ADF"/>
    <w:rsid w:val="00516D98"/>
    <w:rsid w:val="005216F1"/>
    <w:rsid w:val="00525EA7"/>
    <w:rsid w:val="0052714C"/>
    <w:rsid w:val="00527947"/>
    <w:rsid w:val="005300D3"/>
    <w:rsid w:val="00533E72"/>
    <w:rsid w:val="005358D5"/>
    <w:rsid w:val="005376C9"/>
    <w:rsid w:val="00544B06"/>
    <w:rsid w:val="00544F82"/>
    <w:rsid w:val="00545BE1"/>
    <w:rsid w:val="00547741"/>
    <w:rsid w:val="00552278"/>
    <w:rsid w:val="00554720"/>
    <w:rsid w:val="00554A34"/>
    <w:rsid w:val="00557991"/>
    <w:rsid w:val="00561E6E"/>
    <w:rsid w:val="005654A3"/>
    <w:rsid w:val="00565A72"/>
    <w:rsid w:val="00566234"/>
    <w:rsid w:val="00566669"/>
    <w:rsid w:val="0056743A"/>
    <w:rsid w:val="005700AE"/>
    <w:rsid w:val="00571AD0"/>
    <w:rsid w:val="005732D5"/>
    <w:rsid w:val="00574607"/>
    <w:rsid w:val="00576D07"/>
    <w:rsid w:val="00576D9E"/>
    <w:rsid w:val="00583790"/>
    <w:rsid w:val="005871F3"/>
    <w:rsid w:val="00587F09"/>
    <w:rsid w:val="00591DC8"/>
    <w:rsid w:val="00593AF1"/>
    <w:rsid w:val="00593C4F"/>
    <w:rsid w:val="005946A8"/>
    <w:rsid w:val="005A2BE5"/>
    <w:rsid w:val="005A4407"/>
    <w:rsid w:val="005A59EF"/>
    <w:rsid w:val="005A6333"/>
    <w:rsid w:val="005B0C05"/>
    <w:rsid w:val="005B1D1C"/>
    <w:rsid w:val="005B478F"/>
    <w:rsid w:val="005B6B1F"/>
    <w:rsid w:val="005C1ECD"/>
    <w:rsid w:val="005C38A5"/>
    <w:rsid w:val="005C5A4E"/>
    <w:rsid w:val="005C6976"/>
    <w:rsid w:val="005D1428"/>
    <w:rsid w:val="005D2A8E"/>
    <w:rsid w:val="005D7267"/>
    <w:rsid w:val="005E20D0"/>
    <w:rsid w:val="005E2BAB"/>
    <w:rsid w:val="005F1BC7"/>
    <w:rsid w:val="005F2806"/>
    <w:rsid w:val="005F51E7"/>
    <w:rsid w:val="005F5D41"/>
    <w:rsid w:val="005F6F41"/>
    <w:rsid w:val="005F73F3"/>
    <w:rsid w:val="00604C35"/>
    <w:rsid w:val="00604FCF"/>
    <w:rsid w:val="00605778"/>
    <w:rsid w:val="00606E1E"/>
    <w:rsid w:val="006100D2"/>
    <w:rsid w:val="0061017A"/>
    <w:rsid w:val="006105F4"/>
    <w:rsid w:val="0061136C"/>
    <w:rsid w:val="00614D59"/>
    <w:rsid w:val="00620130"/>
    <w:rsid w:val="0062119A"/>
    <w:rsid w:val="0062367D"/>
    <w:rsid w:val="00624C61"/>
    <w:rsid w:val="00625DC6"/>
    <w:rsid w:val="00635075"/>
    <w:rsid w:val="00635263"/>
    <w:rsid w:val="006402C6"/>
    <w:rsid w:val="006414A9"/>
    <w:rsid w:val="0064391D"/>
    <w:rsid w:val="00644715"/>
    <w:rsid w:val="006454BD"/>
    <w:rsid w:val="00651253"/>
    <w:rsid w:val="00651821"/>
    <w:rsid w:val="00654384"/>
    <w:rsid w:val="0065711A"/>
    <w:rsid w:val="0065718B"/>
    <w:rsid w:val="00657E78"/>
    <w:rsid w:val="006628BA"/>
    <w:rsid w:val="0066478F"/>
    <w:rsid w:val="00666C7F"/>
    <w:rsid w:val="006675CD"/>
    <w:rsid w:val="006677F8"/>
    <w:rsid w:val="00671D9E"/>
    <w:rsid w:val="006736D4"/>
    <w:rsid w:val="00675876"/>
    <w:rsid w:val="006772A6"/>
    <w:rsid w:val="0067782F"/>
    <w:rsid w:val="006806E7"/>
    <w:rsid w:val="00680D85"/>
    <w:rsid w:val="00681E2A"/>
    <w:rsid w:val="00681F47"/>
    <w:rsid w:val="006829E2"/>
    <w:rsid w:val="00684D9B"/>
    <w:rsid w:val="006874BE"/>
    <w:rsid w:val="00692595"/>
    <w:rsid w:val="006928A0"/>
    <w:rsid w:val="00692C71"/>
    <w:rsid w:val="00692F2D"/>
    <w:rsid w:val="0069340F"/>
    <w:rsid w:val="00694292"/>
    <w:rsid w:val="00696EAD"/>
    <w:rsid w:val="00697556"/>
    <w:rsid w:val="0069758C"/>
    <w:rsid w:val="006A174F"/>
    <w:rsid w:val="006B05FC"/>
    <w:rsid w:val="006B4647"/>
    <w:rsid w:val="006B4C2B"/>
    <w:rsid w:val="006B598E"/>
    <w:rsid w:val="006B6D47"/>
    <w:rsid w:val="006C42EB"/>
    <w:rsid w:val="006C5AFE"/>
    <w:rsid w:val="006D07C2"/>
    <w:rsid w:val="006D0D50"/>
    <w:rsid w:val="006D3ACD"/>
    <w:rsid w:val="006D540D"/>
    <w:rsid w:val="006D5A47"/>
    <w:rsid w:val="006E10CB"/>
    <w:rsid w:val="006E110E"/>
    <w:rsid w:val="006E176E"/>
    <w:rsid w:val="006E672E"/>
    <w:rsid w:val="006E6A17"/>
    <w:rsid w:val="006F197A"/>
    <w:rsid w:val="006F2E24"/>
    <w:rsid w:val="006F6D95"/>
    <w:rsid w:val="006F723E"/>
    <w:rsid w:val="00703BCC"/>
    <w:rsid w:val="00706F13"/>
    <w:rsid w:val="007072E8"/>
    <w:rsid w:val="00712275"/>
    <w:rsid w:val="007128CD"/>
    <w:rsid w:val="0071618D"/>
    <w:rsid w:val="00722D5B"/>
    <w:rsid w:val="007235B4"/>
    <w:rsid w:val="0072492A"/>
    <w:rsid w:val="00725FA4"/>
    <w:rsid w:val="0073072D"/>
    <w:rsid w:val="007327C2"/>
    <w:rsid w:val="007339E2"/>
    <w:rsid w:val="0073456D"/>
    <w:rsid w:val="0074040C"/>
    <w:rsid w:val="00740446"/>
    <w:rsid w:val="0074345B"/>
    <w:rsid w:val="007435E9"/>
    <w:rsid w:val="007438A9"/>
    <w:rsid w:val="0074491E"/>
    <w:rsid w:val="00744FBF"/>
    <w:rsid w:val="00746440"/>
    <w:rsid w:val="00746A28"/>
    <w:rsid w:val="00750758"/>
    <w:rsid w:val="00751627"/>
    <w:rsid w:val="00751EFC"/>
    <w:rsid w:val="00752115"/>
    <w:rsid w:val="00753935"/>
    <w:rsid w:val="00753DF3"/>
    <w:rsid w:val="00755452"/>
    <w:rsid w:val="007564E8"/>
    <w:rsid w:val="0076247A"/>
    <w:rsid w:val="0076322F"/>
    <w:rsid w:val="00763BC4"/>
    <w:rsid w:val="00764015"/>
    <w:rsid w:val="00766C49"/>
    <w:rsid w:val="00766E74"/>
    <w:rsid w:val="00774E83"/>
    <w:rsid w:val="00775651"/>
    <w:rsid w:val="00775964"/>
    <w:rsid w:val="007765FE"/>
    <w:rsid w:val="00776FC1"/>
    <w:rsid w:val="007812A5"/>
    <w:rsid w:val="00782A56"/>
    <w:rsid w:val="0078368B"/>
    <w:rsid w:val="00785B2E"/>
    <w:rsid w:val="0078678F"/>
    <w:rsid w:val="007879DB"/>
    <w:rsid w:val="00787DA5"/>
    <w:rsid w:val="00791183"/>
    <w:rsid w:val="00791DF1"/>
    <w:rsid w:val="00795BFB"/>
    <w:rsid w:val="00797141"/>
    <w:rsid w:val="00797F26"/>
    <w:rsid w:val="007A107D"/>
    <w:rsid w:val="007A125D"/>
    <w:rsid w:val="007A1862"/>
    <w:rsid w:val="007A478B"/>
    <w:rsid w:val="007B0E05"/>
    <w:rsid w:val="007B1833"/>
    <w:rsid w:val="007B1EBE"/>
    <w:rsid w:val="007B2760"/>
    <w:rsid w:val="007B5236"/>
    <w:rsid w:val="007B78C0"/>
    <w:rsid w:val="007C0CFE"/>
    <w:rsid w:val="007C5107"/>
    <w:rsid w:val="007D0798"/>
    <w:rsid w:val="007D4898"/>
    <w:rsid w:val="007D620B"/>
    <w:rsid w:val="007D7F24"/>
    <w:rsid w:val="007E176F"/>
    <w:rsid w:val="007E28BD"/>
    <w:rsid w:val="007E4162"/>
    <w:rsid w:val="007E4CB8"/>
    <w:rsid w:val="007E7611"/>
    <w:rsid w:val="007F38C3"/>
    <w:rsid w:val="007F3A75"/>
    <w:rsid w:val="007F5347"/>
    <w:rsid w:val="008005C1"/>
    <w:rsid w:val="00800D43"/>
    <w:rsid w:val="00801529"/>
    <w:rsid w:val="008019BC"/>
    <w:rsid w:val="00801A0E"/>
    <w:rsid w:val="00802732"/>
    <w:rsid w:val="00806C01"/>
    <w:rsid w:val="00811021"/>
    <w:rsid w:val="008111C6"/>
    <w:rsid w:val="008148CC"/>
    <w:rsid w:val="00815077"/>
    <w:rsid w:val="0081587B"/>
    <w:rsid w:val="008211A4"/>
    <w:rsid w:val="0082590D"/>
    <w:rsid w:val="0082601B"/>
    <w:rsid w:val="008352AD"/>
    <w:rsid w:val="00837F48"/>
    <w:rsid w:val="00840A9E"/>
    <w:rsid w:val="00845176"/>
    <w:rsid w:val="008464FE"/>
    <w:rsid w:val="0085298F"/>
    <w:rsid w:val="00854A75"/>
    <w:rsid w:val="00857447"/>
    <w:rsid w:val="00860320"/>
    <w:rsid w:val="008610B9"/>
    <w:rsid w:val="00862307"/>
    <w:rsid w:val="00862453"/>
    <w:rsid w:val="008669DD"/>
    <w:rsid w:val="00873150"/>
    <w:rsid w:val="00874D51"/>
    <w:rsid w:val="0087657D"/>
    <w:rsid w:val="008807D5"/>
    <w:rsid w:val="00880832"/>
    <w:rsid w:val="00880CEA"/>
    <w:rsid w:val="00884841"/>
    <w:rsid w:val="00885541"/>
    <w:rsid w:val="00886EE1"/>
    <w:rsid w:val="0088727D"/>
    <w:rsid w:val="008906F3"/>
    <w:rsid w:val="00890865"/>
    <w:rsid w:val="00891906"/>
    <w:rsid w:val="008936E4"/>
    <w:rsid w:val="00893B2F"/>
    <w:rsid w:val="00894108"/>
    <w:rsid w:val="00896383"/>
    <w:rsid w:val="0089786E"/>
    <w:rsid w:val="00897C75"/>
    <w:rsid w:val="008A13E9"/>
    <w:rsid w:val="008A4125"/>
    <w:rsid w:val="008A45DD"/>
    <w:rsid w:val="008A47C5"/>
    <w:rsid w:val="008A7101"/>
    <w:rsid w:val="008B1F41"/>
    <w:rsid w:val="008B24EB"/>
    <w:rsid w:val="008B44AE"/>
    <w:rsid w:val="008B490D"/>
    <w:rsid w:val="008B6F85"/>
    <w:rsid w:val="008C1130"/>
    <w:rsid w:val="008C2F03"/>
    <w:rsid w:val="008C3479"/>
    <w:rsid w:val="008D18E6"/>
    <w:rsid w:val="008D220E"/>
    <w:rsid w:val="008D36A6"/>
    <w:rsid w:val="008D3A51"/>
    <w:rsid w:val="008D66DA"/>
    <w:rsid w:val="008D7A9B"/>
    <w:rsid w:val="008E2DD6"/>
    <w:rsid w:val="008E2E2A"/>
    <w:rsid w:val="008E59AC"/>
    <w:rsid w:val="008E5CF2"/>
    <w:rsid w:val="008E76AC"/>
    <w:rsid w:val="008F0C86"/>
    <w:rsid w:val="008F1001"/>
    <w:rsid w:val="008F21F6"/>
    <w:rsid w:val="008F5E87"/>
    <w:rsid w:val="00900BD3"/>
    <w:rsid w:val="00901216"/>
    <w:rsid w:val="009060EE"/>
    <w:rsid w:val="009070D2"/>
    <w:rsid w:val="009102CD"/>
    <w:rsid w:val="00910D17"/>
    <w:rsid w:val="00911A97"/>
    <w:rsid w:val="009122D0"/>
    <w:rsid w:val="00912CF4"/>
    <w:rsid w:val="00912E69"/>
    <w:rsid w:val="0091701A"/>
    <w:rsid w:val="009215EE"/>
    <w:rsid w:val="00922FB0"/>
    <w:rsid w:val="00927F14"/>
    <w:rsid w:val="009310E3"/>
    <w:rsid w:val="00937830"/>
    <w:rsid w:val="0094066B"/>
    <w:rsid w:val="00941B64"/>
    <w:rsid w:val="00942984"/>
    <w:rsid w:val="009429DE"/>
    <w:rsid w:val="00942FB8"/>
    <w:rsid w:val="00947CCE"/>
    <w:rsid w:val="00951D77"/>
    <w:rsid w:val="00951DBF"/>
    <w:rsid w:val="00951F79"/>
    <w:rsid w:val="009567DE"/>
    <w:rsid w:val="009572A7"/>
    <w:rsid w:val="00957B9E"/>
    <w:rsid w:val="00971CCA"/>
    <w:rsid w:val="00974AB5"/>
    <w:rsid w:val="009770BF"/>
    <w:rsid w:val="00977941"/>
    <w:rsid w:val="00981ECB"/>
    <w:rsid w:val="00984136"/>
    <w:rsid w:val="009841C6"/>
    <w:rsid w:val="00985173"/>
    <w:rsid w:val="0098706D"/>
    <w:rsid w:val="00987A82"/>
    <w:rsid w:val="00990A90"/>
    <w:rsid w:val="009930F3"/>
    <w:rsid w:val="009935FB"/>
    <w:rsid w:val="0099651B"/>
    <w:rsid w:val="00997109"/>
    <w:rsid w:val="009A463F"/>
    <w:rsid w:val="009A4806"/>
    <w:rsid w:val="009A4BA6"/>
    <w:rsid w:val="009B030A"/>
    <w:rsid w:val="009B24F2"/>
    <w:rsid w:val="009B404E"/>
    <w:rsid w:val="009C2323"/>
    <w:rsid w:val="009C4D2F"/>
    <w:rsid w:val="009C6077"/>
    <w:rsid w:val="009C7A96"/>
    <w:rsid w:val="009D28B3"/>
    <w:rsid w:val="009D2E95"/>
    <w:rsid w:val="009D3479"/>
    <w:rsid w:val="009D61A5"/>
    <w:rsid w:val="009D6B50"/>
    <w:rsid w:val="009D7F7F"/>
    <w:rsid w:val="009E396F"/>
    <w:rsid w:val="009E4F72"/>
    <w:rsid w:val="009E6106"/>
    <w:rsid w:val="009F2FD7"/>
    <w:rsid w:val="009F4437"/>
    <w:rsid w:val="009F4A54"/>
    <w:rsid w:val="009F4BEC"/>
    <w:rsid w:val="009F5D1B"/>
    <w:rsid w:val="009F6376"/>
    <w:rsid w:val="00A023FE"/>
    <w:rsid w:val="00A02D1E"/>
    <w:rsid w:val="00A04817"/>
    <w:rsid w:val="00A05647"/>
    <w:rsid w:val="00A10C2C"/>
    <w:rsid w:val="00A11648"/>
    <w:rsid w:val="00A16A38"/>
    <w:rsid w:val="00A2139A"/>
    <w:rsid w:val="00A21A5D"/>
    <w:rsid w:val="00A25FD7"/>
    <w:rsid w:val="00A27D84"/>
    <w:rsid w:val="00A33927"/>
    <w:rsid w:val="00A34530"/>
    <w:rsid w:val="00A352D7"/>
    <w:rsid w:val="00A360D1"/>
    <w:rsid w:val="00A41436"/>
    <w:rsid w:val="00A42ACB"/>
    <w:rsid w:val="00A42CC9"/>
    <w:rsid w:val="00A43AFF"/>
    <w:rsid w:val="00A43F4F"/>
    <w:rsid w:val="00A44B56"/>
    <w:rsid w:val="00A465DF"/>
    <w:rsid w:val="00A47801"/>
    <w:rsid w:val="00A63F31"/>
    <w:rsid w:val="00A6673B"/>
    <w:rsid w:val="00A71694"/>
    <w:rsid w:val="00A73073"/>
    <w:rsid w:val="00A7395C"/>
    <w:rsid w:val="00A74454"/>
    <w:rsid w:val="00A74B91"/>
    <w:rsid w:val="00A750A5"/>
    <w:rsid w:val="00A778DE"/>
    <w:rsid w:val="00A7793A"/>
    <w:rsid w:val="00A801A3"/>
    <w:rsid w:val="00A815FC"/>
    <w:rsid w:val="00A83E35"/>
    <w:rsid w:val="00A847EB"/>
    <w:rsid w:val="00A85E2C"/>
    <w:rsid w:val="00A86192"/>
    <w:rsid w:val="00A87C67"/>
    <w:rsid w:val="00A91968"/>
    <w:rsid w:val="00A94E5D"/>
    <w:rsid w:val="00AA0FC1"/>
    <w:rsid w:val="00AA175B"/>
    <w:rsid w:val="00AA4CC7"/>
    <w:rsid w:val="00AA5E8E"/>
    <w:rsid w:val="00AB1697"/>
    <w:rsid w:val="00AB2EB5"/>
    <w:rsid w:val="00AB5624"/>
    <w:rsid w:val="00AB6127"/>
    <w:rsid w:val="00AB6CA7"/>
    <w:rsid w:val="00AB6FAC"/>
    <w:rsid w:val="00AC4BBC"/>
    <w:rsid w:val="00AC71DD"/>
    <w:rsid w:val="00AD01E4"/>
    <w:rsid w:val="00AD0858"/>
    <w:rsid w:val="00AD09F0"/>
    <w:rsid w:val="00AD1BE3"/>
    <w:rsid w:val="00AD2A40"/>
    <w:rsid w:val="00AD34DC"/>
    <w:rsid w:val="00AE1298"/>
    <w:rsid w:val="00AE34A8"/>
    <w:rsid w:val="00AE5B15"/>
    <w:rsid w:val="00AE7340"/>
    <w:rsid w:val="00AF1BBD"/>
    <w:rsid w:val="00AF236B"/>
    <w:rsid w:val="00AF2A0B"/>
    <w:rsid w:val="00AF3BC1"/>
    <w:rsid w:val="00AF58C5"/>
    <w:rsid w:val="00AF6090"/>
    <w:rsid w:val="00B00DDB"/>
    <w:rsid w:val="00B033F3"/>
    <w:rsid w:val="00B06C80"/>
    <w:rsid w:val="00B06C99"/>
    <w:rsid w:val="00B10207"/>
    <w:rsid w:val="00B127E3"/>
    <w:rsid w:val="00B12E35"/>
    <w:rsid w:val="00B141E7"/>
    <w:rsid w:val="00B1760F"/>
    <w:rsid w:val="00B23548"/>
    <w:rsid w:val="00B246FF"/>
    <w:rsid w:val="00B25C2A"/>
    <w:rsid w:val="00B26D44"/>
    <w:rsid w:val="00B323AF"/>
    <w:rsid w:val="00B33316"/>
    <w:rsid w:val="00B351B4"/>
    <w:rsid w:val="00B36901"/>
    <w:rsid w:val="00B41230"/>
    <w:rsid w:val="00B416F6"/>
    <w:rsid w:val="00B4576C"/>
    <w:rsid w:val="00B46BCA"/>
    <w:rsid w:val="00B6082E"/>
    <w:rsid w:val="00B617C2"/>
    <w:rsid w:val="00B671A8"/>
    <w:rsid w:val="00B70237"/>
    <w:rsid w:val="00B7072B"/>
    <w:rsid w:val="00B71A15"/>
    <w:rsid w:val="00B72626"/>
    <w:rsid w:val="00B765EF"/>
    <w:rsid w:val="00B81BD4"/>
    <w:rsid w:val="00B875B3"/>
    <w:rsid w:val="00B87806"/>
    <w:rsid w:val="00B87EC9"/>
    <w:rsid w:val="00BA4DD3"/>
    <w:rsid w:val="00BA5247"/>
    <w:rsid w:val="00BA5DFA"/>
    <w:rsid w:val="00BB2D01"/>
    <w:rsid w:val="00BB6AF4"/>
    <w:rsid w:val="00BC38FD"/>
    <w:rsid w:val="00BC449A"/>
    <w:rsid w:val="00BC652E"/>
    <w:rsid w:val="00BC69B9"/>
    <w:rsid w:val="00BC6FC2"/>
    <w:rsid w:val="00BC78B0"/>
    <w:rsid w:val="00BD4241"/>
    <w:rsid w:val="00BE62C6"/>
    <w:rsid w:val="00BF0DDB"/>
    <w:rsid w:val="00BF1A47"/>
    <w:rsid w:val="00BF2016"/>
    <w:rsid w:val="00BF48D1"/>
    <w:rsid w:val="00BF56D1"/>
    <w:rsid w:val="00BF6EA6"/>
    <w:rsid w:val="00C02FA5"/>
    <w:rsid w:val="00C030A8"/>
    <w:rsid w:val="00C034CB"/>
    <w:rsid w:val="00C051A8"/>
    <w:rsid w:val="00C054BC"/>
    <w:rsid w:val="00C058D5"/>
    <w:rsid w:val="00C067E5"/>
    <w:rsid w:val="00C06AA6"/>
    <w:rsid w:val="00C06B43"/>
    <w:rsid w:val="00C101F2"/>
    <w:rsid w:val="00C11EC5"/>
    <w:rsid w:val="00C125E2"/>
    <w:rsid w:val="00C134CC"/>
    <w:rsid w:val="00C1748D"/>
    <w:rsid w:val="00C17897"/>
    <w:rsid w:val="00C17A39"/>
    <w:rsid w:val="00C215D0"/>
    <w:rsid w:val="00C223E1"/>
    <w:rsid w:val="00C23BD6"/>
    <w:rsid w:val="00C2614F"/>
    <w:rsid w:val="00C2637C"/>
    <w:rsid w:val="00C26E99"/>
    <w:rsid w:val="00C26F67"/>
    <w:rsid w:val="00C307D6"/>
    <w:rsid w:val="00C324AF"/>
    <w:rsid w:val="00C32ABD"/>
    <w:rsid w:val="00C352C1"/>
    <w:rsid w:val="00C35469"/>
    <w:rsid w:val="00C409D5"/>
    <w:rsid w:val="00C435C3"/>
    <w:rsid w:val="00C43EAD"/>
    <w:rsid w:val="00C45D91"/>
    <w:rsid w:val="00C52A20"/>
    <w:rsid w:val="00C559DB"/>
    <w:rsid w:val="00C55B80"/>
    <w:rsid w:val="00C565B7"/>
    <w:rsid w:val="00C56B40"/>
    <w:rsid w:val="00C60721"/>
    <w:rsid w:val="00C6234B"/>
    <w:rsid w:val="00C62D40"/>
    <w:rsid w:val="00C638C4"/>
    <w:rsid w:val="00C63EAE"/>
    <w:rsid w:val="00C64D15"/>
    <w:rsid w:val="00C66546"/>
    <w:rsid w:val="00C7629F"/>
    <w:rsid w:val="00C77F51"/>
    <w:rsid w:val="00C85E3C"/>
    <w:rsid w:val="00C8661B"/>
    <w:rsid w:val="00C8744A"/>
    <w:rsid w:val="00C90040"/>
    <w:rsid w:val="00C914BB"/>
    <w:rsid w:val="00C93EE4"/>
    <w:rsid w:val="00C96685"/>
    <w:rsid w:val="00C970E0"/>
    <w:rsid w:val="00CA139A"/>
    <w:rsid w:val="00CA161E"/>
    <w:rsid w:val="00CA1919"/>
    <w:rsid w:val="00CA2603"/>
    <w:rsid w:val="00CA2899"/>
    <w:rsid w:val="00CA3A3D"/>
    <w:rsid w:val="00CA625E"/>
    <w:rsid w:val="00CA77FB"/>
    <w:rsid w:val="00CB0812"/>
    <w:rsid w:val="00CB379B"/>
    <w:rsid w:val="00CB4A35"/>
    <w:rsid w:val="00CB5BC3"/>
    <w:rsid w:val="00CB5DD0"/>
    <w:rsid w:val="00CB66C0"/>
    <w:rsid w:val="00CB7178"/>
    <w:rsid w:val="00CC0180"/>
    <w:rsid w:val="00CC297C"/>
    <w:rsid w:val="00CC3201"/>
    <w:rsid w:val="00CC51D4"/>
    <w:rsid w:val="00CC65DA"/>
    <w:rsid w:val="00CC65DF"/>
    <w:rsid w:val="00CC6E3B"/>
    <w:rsid w:val="00CC752B"/>
    <w:rsid w:val="00CD2484"/>
    <w:rsid w:val="00CD2DDD"/>
    <w:rsid w:val="00CD3069"/>
    <w:rsid w:val="00CD35F3"/>
    <w:rsid w:val="00CE08F5"/>
    <w:rsid w:val="00CE49EF"/>
    <w:rsid w:val="00CE4E50"/>
    <w:rsid w:val="00CE5443"/>
    <w:rsid w:val="00CE5B97"/>
    <w:rsid w:val="00CF02CB"/>
    <w:rsid w:val="00CF0DD2"/>
    <w:rsid w:val="00CF21B9"/>
    <w:rsid w:val="00CF34D6"/>
    <w:rsid w:val="00CF3CB6"/>
    <w:rsid w:val="00CF5FCF"/>
    <w:rsid w:val="00CF6BF9"/>
    <w:rsid w:val="00D03071"/>
    <w:rsid w:val="00D03800"/>
    <w:rsid w:val="00D06157"/>
    <w:rsid w:val="00D065D3"/>
    <w:rsid w:val="00D10789"/>
    <w:rsid w:val="00D12324"/>
    <w:rsid w:val="00D14C94"/>
    <w:rsid w:val="00D16CBE"/>
    <w:rsid w:val="00D207B8"/>
    <w:rsid w:val="00D208E5"/>
    <w:rsid w:val="00D22981"/>
    <w:rsid w:val="00D33548"/>
    <w:rsid w:val="00D342A6"/>
    <w:rsid w:val="00D35669"/>
    <w:rsid w:val="00D406F4"/>
    <w:rsid w:val="00D4169C"/>
    <w:rsid w:val="00D422FB"/>
    <w:rsid w:val="00D42E12"/>
    <w:rsid w:val="00D464BF"/>
    <w:rsid w:val="00D472A2"/>
    <w:rsid w:val="00D50A0D"/>
    <w:rsid w:val="00D5306C"/>
    <w:rsid w:val="00D53E26"/>
    <w:rsid w:val="00D558BC"/>
    <w:rsid w:val="00D645CD"/>
    <w:rsid w:val="00D7288A"/>
    <w:rsid w:val="00D72C05"/>
    <w:rsid w:val="00D75884"/>
    <w:rsid w:val="00D83077"/>
    <w:rsid w:val="00D8335D"/>
    <w:rsid w:val="00D84157"/>
    <w:rsid w:val="00D87BD8"/>
    <w:rsid w:val="00D90F5B"/>
    <w:rsid w:val="00D92442"/>
    <w:rsid w:val="00DA02D4"/>
    <w:rsid w:val="00DA2506"/>
    <w:rsid w:val="00DA262D"/>
    <w:rsid w:val="00DA2D69"/>
    <w:rsid w:val="00DA4443"/>
    <w:rsid w:val="00DA4C8D"/>
    <w:rsid w:val="00DA4DF1"/>
    <w:rsid w:val="00DB30C9"/>
    <w:rsid w:val="00DC4F4D"/>
    <w:rsid w:val="00DD09F6"/>
    <w:rsid w:val="00DD17A7"/>
    <w:rsid w:val="00DD201A"/>
    <w:rsid w:val="00DD2C35"/>
    <w:rsid w:val="00DD31FA"/>
    <w:rsid w:val="00DD4F0E"/>
    <w:rsid w:val="00DD511E"/>
    <w:rsid w:val="00DD5E68"/>
    <w:rsid w:val="00DD60C9"/>
    <w:rsid w:val="00DD6835"/>
    <w:rsid w:val="00DD6D31"/>
    <w:rsid w:val="00DE4816"/>
    <w:rsid w:val="00DE625E"/>
    <w:rsid w:val="00DE6403"/>
    <w:rsid w:val="00DF0BF0"/>
    <w:rsid w:val="00DF0E69"/>
    <w:rsid w:val="00DF1B4F"/>
    <w:rsid w:val="00DF48BA"/>
    <w:rsid w:val="00DF6F72"/>
    <w:rsid w:val="00E0136C"/>
    <w:rsid w:val="00E01463"/>
    <w:rsid w:val="00E03237"/>
    <w:rsid w:val="00E042BB"/>
    <w:rsid w:val="00E050A6"/>
    <w:rsid w:val="00E05E0A"/>
    <w:rsid w:val="00E0603A"/>
    <w:rsid w:val="00E12063"/>
    <w:rsid w:val="00E16267"/>
    <w:rsid w:val="00E17E38"/>
    <w:rsid w:val="00E201BD"/>
    <w:rsid w:val="00E229B1"/>
    <w:rsid w:val="00E254C5"/>
    <w:rsid w:val="00E3385E"/>
    <w:rsid w:val="00E351A1"/>
    <w:rsid w:val="00E35ABA"/>
    <w:rsid w:val="00E37C87"/>
    <w:rsid w:val="00E40398"/>
    <w:rsid w:val="00E42978"/>
    <w:rsid w:val="00E438D3"/>
    <w:rsid w:val="00E43C3B"/>
    <w:rsid w:val="00E534CF"/>
    <w:rsid w:val="00E54EEB"/>
    <w:rsid w:val="00E55F75"/>
    <w:rsid w:val="00E56B77"/>
    <w:rsid w:val="00E60B59"/>
    <w:rsid w:val="00E60CE3"/>
    <w:rsid w:val="00E6352F"/>
    <w:rsid w:val="00E67743"/>
    <w:rsid w:val="00E717EC"/>
    <w:rsid w:val="00E71D55"/>
    <w:rsid w:val="00E72878"/>
    <w:rsid w:val="00E74899"/>
    <w:rsid w:val="00E748F2"/>
    <w:rsid w:val="00E7590B"/>
    <w:rsid w:val="00E81CB4"/>
    <w:rsid w:val="00E822F7"/>
    <w:rsid w:val="00E85833"/>
    <w:rsid w:val="00E8585B"/>
    <w:rsid w:val="00E861A5"/>
    <w:rsid w:val="00E90D1E"/>
    <w:rsid w:val="00E91CF7"/>
    <w:rsid w:val="00E958EC"/>
    <w:rsid w:val="00EA0AD8"/>
    <w:rsid w:val="00EA2778"/>
    <w:rsid w:val="00EA31E4"/>
    <w:rsid w:val="00EA3B9C"/>
    <w:rsid w:val="00EA3F15"/>
    <w:rsid w:val="00EA4AAB"/>
    <w:rsid w:val="00EA5D3F"/>
    <w:rsid w:val="00EA7847"/>
    <w:rsid w:val="00EB056D"/>
    <w:rsid w:val="00EB671C"/>
    <w:rsid w:val="00EB6B28"/>
    <w:rsid w:val="00EC0954"/>
    <w:rsid w:val="00EC17A8"/>
    <w:rsid w:val="00EC3290"/>
    <w:rsid w:val="00EC58CF"/>
    <w:rsid w:val="00EC7C8F"/>
    <w:rsid w:val="00ED1AE2"/>
    <w:rsid w:val="00ED44C2"/>
    <w:rsid w:val="00ED612D"/>
    <w:rsid w:val="00EE17C6"/>
    <w:rsid w:val="00EE2E6E"/>
    <w:rsid w:val="00EE40D2"/>
    <w:rsid w:val="00EE6790"/>
    <w:rsid w:val="00EF2C85"/>
    <w:rsid w:val="00EF3756"/>
    <w:rsid w:val="00EF39ED"/>
    <w:rsid w:val="00EF4C01"/>
    <w:rsid w:val="00EF5966"/>
    <w:rsid w:val="00F01053"/>
    <w:rsid w:val="00F01F72"/>
    <w:rsid w:val="00F03E48"/>
    <w:rsid w:val="00F0732D"/>
    <w:rsid w:val="00F0759E"/>
    <w:rsid w:val="00F1026F"/>
    <w:rsid w:val="00F10365"/>
    <w:rsid w:val="00F1424B"/>
    <w:rsid w:val="00F156E0"/>
    <w:rsid w:val="00F21C25"/>
    <w:rsid w:val="00F2676C"/>
    <w:rsid w:val="00F31854"/>
    <w:rsid w:val="00F36489"/>
    <w:rsid w:val="00F401B1"/>
    <w:rsid w:val="00F43700"/>
    <w:rsid w:val="00F45216"/>
    <w:rsid w:val="00F45D7C"/>
    <w:rsid w:val="00F5352E"/>
    <w:rsid w:val="00F549E9"/>
    <w:rsid w:val="00F54AAE"/>
    <w:rsid w:val="00F61FE8"/>
    <w:rsid w:val="00F64655"/>
    <w:rsid w:val="00F64DCB"/>
    <w:rsid w:val="00F65D93"/>
    <w:rsid w:val="00F66C29"/>
    <w:rsid w:val="00F67EFE"/>
    <w:rsid w:val="00F74DEE"/>
    <w:rsid w:val="00F75F03"/>
    <w:rsid w:val="00F76FD9"/>
    <w:rsid w:val="00F80FD8"/>
    <w:rsid w:val="00F821A3"/>
    <w:rsid w:val="00F83F4E"/>
    <w:rsid w:val="00F85E02"/>
    <w:rsid w:val="00F876AA"/>
    <w:rsid w:val="00F91127"/>
    <w:rsid w:val="00F915CA"/>
    <w:rsid w:val="00F921CF"/>
    <w:rsid w:val="00F92515"/>
    <w:rsid w:val="00F9314A"/>
    <w:rsid w:val="00F973E9"/>
    <w:rsid w:val="00FA03B3"/>
    <w:rsid w:val="00FA0908"/>
    <w:rsid w:val="00FA6298"/>
    <w:rsid w:val="00FA7B8C"/>
    <w:rsid w:val="00FB2CB4"/>
    <w:rsid w:val="00FB31A6"/>
    <w:rsid w:val="00FC0698"/>
    <w:rsid w:val="00FC0FA4"/>
    <w:rsid w:val="00FC53C8"/>
    <w:rsid w:val="00FC58EF"/>
    <w:rsid w:val="00FC6266"/>
    <w:rsid w:val="00FD1DDC"/>
    <w:rsid w:val="00FD33DF"/>
    <w:rsid w:val="00FD4467"/>
    <w:rsid w:val="00FD5527"/>
    <w:rsid w:val="00FD58BD"/>
    <w:rsid w:val="00FD7EAF"/>
    <w:rsid w:val="00FE0BEE"/>
    <w:rsid w:val="00FE1EE6"/>
    <w:rsid w:val="00FE200C"/>
    <w:rsid w:val="00FE2A66"/>
    <w:rsid w:val="00FE39D7"/>
    <w:rsid w:val="00FE4219"/>
    <w:rsid w:val="00FE48FD"/>
    <w:rsid w:val="00FE4C68"/>
    <w:rsid w:val="00FF3AE5"/>
    <w:rsid w:val="00FF4422"/>
    <w:rsid w:val="00FF53E8"/>
    <w:rsid w:val="00FF5F3A"/>
    <w:rsid w:val="00FF6920"/>
    <w:rsid w:val="00FF6DEB"/>
    <w:rsid w:val="00FF72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B7B11A"/>
  <w15:chartTrackingRefBased/>
  <w15:docId w15:val="{486AA596-C222-4F09-8899-A30D46A2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DF6F72"/>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character" w:customStyle="1" w:styleId="Ttulo2Car">
    <w:name w:val="Título 2 Car"/>
    <w:link w:val="Ttulo2"/>
    <w:uiPriority w:val="9"/>
    <w:semiHidden/>
    <w:rsid w:val="00DF6F72"/>
    <w:rPr>
      <w:rFonts w:ascii="Calibri Light" w:eastAsia="Times New Roman" w:hAnsi="Calibri Light" w:cs="Times New Roman"/>
      <w:b/>
      <w:bCs/>
      <w:i/>
      <w:iCs/>
      <w:sz w:val="28"/>
      <w:szCs w:val="28"/>
      <w:lang w:val="es-ES" w:eastAsia="es-ES"/>
    </w:rPr>
  </w:style>
  <w:style w:type="character" w:styleId="Refdecomentario">
    <w:name w:val="annotation reference"/>
    <w:uiPriority w:val="99"/>
    <w:semiHidden/>
    <w:unhideWhenUsed/>
    <w:rsid w:val="00DF6F72"/>
    <w:rPr>
      <w:sz w:val="16"/>
      <w:szCs w:val="16"/>
    </w:rPr>
  </w:style>
  <w:style w:type="paragraph" w:styleId="Textocomentario">
    <w:name w:val="annotation text"/>
    <w:basedOn w:val="Normal"/>
    <w:link w:val="TextocomentarioCar"/>
    <w:uiPriority w:val="99"/>
    <w:unhideWhenUsed/>
    <w:rsid w:val="00DF6F72"/>
    <w:pPr>
      <w:suppressAutoHyphens/>
      <w:ind w:left="0"/>
      <w:jc w:val="both"/>
    </w:pPr>
    <w:rPr>
      <w:rFonts w:ascii="Arial" w:hAnsi="Arial"/>
      <w:sz w:val="20"/>
      <w:szCs w:val="20"/>
      <w:lang w:eastAsia="ar-SA"/>
    </w:rPr>
  </w:style>
  <w:style w:type="character" w:customStyle="1" w:styleId="TextocomentarioCar">
    <w:name w:val="Texto comentario Car"/>
    <w:link w:val="Textocomentario"/>
    <w:uiPriority w:val="99"/>
    <w:rsid w:val="00DF6F72"/>
    <w:rPr>
      <w:rFonts w:ascii="Arial" w:hAnsi="Arial"/>
      <w:lang w:val="es-ES" w:eastAsia="ar-SA"/>
    </w:rPr>
  </w:style>
  <w:style w:type="paragraph" w:customStyle="1" w:styleId="texto">
    <w:name w:val="texto"/>
    <w:rsid w:val="00763BC4"/>
    <w:pPr>
      <w:widowControl w:val="0"/>
      <w:spacing w:line="230" w:lineRule="atLeast"/>
      <w:ind w:firstLine="227"/>
      <w:jc w:val="both"/>
    </w:pPr>
    <w:rPr>
      <w:rFonts w:ascii="Arial" w:hAnsi="Arial"/>
      <w:snapToGrid w:val="0"/>
      <w:color w:val="000000"/>
      <w:sz w:val="19"/>
      <w:lang w:val="es-ES" w:eastAsia="es-ES"/>
    </w:rPr>
  </w:style>
  <w:style w:type="paragraph" w:styleId="Lista">
    <w:name w:val="List"/>
    <w:basedOn w:val="Textoindependiente"/>
    <w:semiHidden/>
    <w:rsid w:val="009E396F"/>
    <w:pPr>
      <w:suppressAutoHyphens/>
      <w:spacing w:after="120"/>
      <w:ind w:left="0"/>
      <w:jc w:val="both"/>
    </w:pPr>
    <w:rPr>
      <w:rFonts w:cs="Tahoma"/>
      <w:b w:val="0"/>
      <w:bCs w:val="0"/>
      <w:sz w:val="22"/>
      <w:lang w:eastAsia="ar-SA"/>
    </w:rPr>
  </w:style>
  <w:style w:type="paragraph" w:customStyle="1" w:styleId="Prrafodelista1">
    <w:name w:val="Párrafo de lista1"/>
    <w:basedOn w:val="Normal"/>
    <w:rsid w:val="009E396F"/>
    <w:pPr>
      <w:ind w:left="720"/>
    </w:pPr>
  </w:style>
  <w:style w:type="character" w:styleId="Hipervnculo">
    <w:name w:val="Hyperlink"/>
    <w:basedOn w:val="Fuentedeprrafopredeter"/>
    <w:uiPriority w:val="99"/>
    <w:unhideWhenUsed/>
    <w:rsid w:val="004D6BAC"/>
    <w:rPr>
      <w:color w:val="0000FF"/>
      <w:u w:val="single"/>
    </w:rPr>
  </w:style>
  <w:style w:type="paragraph" w:customStyle="1" w:styleId="Default">
    <w:name w:val="Default"/>
    <w:rsid w:val="002A6971"/>
    <w:pPr>
      <w:autoSpaceDE w:val="0"/>
      <w:autoSpaceDN w:val="0"/>
      <w:adjustRightInd w:val="0"/>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07724F"/>
    <w:pPr>
      <w:suppressAutoHyphens w:val="0"/>
      <w:ind w:left="567"/>
      <w:jc w:val="left"/>
    </w:pPr>
    <w:rPr>
      <w:rFonts w:ascii="Times New Roman" w:hAnsi="Times New Roman"/>
      <w:b/>
      <w:bCs/>
      <w:lang w:eastAsia="es-ES"/>
    </w:rPr>
  </w:style>
  <w:style w:type="character" w:customStyle="1" w:styleId="AsuntodelcomentarioCar">
    <w:name w:val="Asunto del comentario Car"/>
    <w:basedOn w:val="TextocomentarioCar"/>
    <w:link w:val="Asuntodelcomentario"/>
    <w:uiPriority w:val="99"/>
    <w:semiHidden/>
    <w:rsid w:val="0007724F"/>
    <w:rPr>
      <w:rFonts w:ascii="Arial" w:hAnsi="Arial"/>
      <w:b/>
      <w:bCs/>
      <w:lang w:val="es-ES" w:eastAsia="es-ES"/>
    </w:rPr>
  </w:style>
  <w:style w:type="paragraph" w:styleId="Revisin">
    <w:name w:val="Revision"/>
    <w:hidden/>
    <w:uiPriority w:val="99"/>
    <w:semiHidden/>
    <w:rsid w:val="007564E8"/>
    <w:rPr>
      <w:sz w:val="24"/>
      <w:szCs w:val="24"/>
      <w:lang w:val="es-ES" w:eastAsia="es-ES"/>
    </w:rPr>
  </w:style>
  <w:style w:type="table" w:styleId="Cuadrculadetablaclara">
    <w:name w:val="Grid Table Light"/>
    <w:basedOn w:val="Tablanormal"/>
    <w:uiPriority w:val="40"/>
    <w:rsid w:val="00C125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12307D"/>
    <w:rPr>
      <w:color w:val="808080"/>
    </w:rPr>
  </w:style>
  <w:style w:type="paragraph" w:styleId="NormalWeb">
    <w:name w:val="Normal (Web)"/>
    <w:basedOn w:val="Normal"/>
    <w:uiPriority w:val="99"/>
    <w:unhideWhenUsed/>
    <w:rsid w:val="00606E1E"/>
    <w:pPr>
      <w:spacing w:before="100" w:beforeAutospacing="1" w:after="100" w:afterAutospacing="1"/>
      <w:ind w:left="0"/>
    </w:pPr>
    <w:rPr>
      <w:rFonts w:eastAsiaTheme="minorEastAsia"/>
      <w:lang w:val="es-CO" w:eastAsia="es-CO"/>
    </w:rPr>
  </w:style>
  <w:style w:type="character" w:customStyle="1" w:styleId="baj">
    <w:name w:val="b_aj"/>
    <w:basedOn w:val="Fuentedeprrafopredeter"/>
    <w:rsid w:val="00752115"/>
  </w:style>
  <w:style w:type="paragraph" w:styleId="Citadestacada">
    <w:name w:val="Intense Quote"/>
    <w:basedOn w:val="Normal"/>
    <w:next w:val="Normal"/>
    <w:link w:val="CitadestacadaCar"/>
    <w:uiPriority w:val="30"/>
    <w:qFormat/>
    <w:rsid w:val="000B5F73"/>
    <w:pPr>
      <w:ind w:right="567"/>
      <w:jc w:val="both"/>
    </w:pPr>
    <w:rPr>
      <w:rFonts w:ascii="Bookman Old Style" w:hAnsi="Bookman Old Style"/>
      <w:i/>
      <w:lang w:val="es-CO"/>
    </w:rPr>
  </w:style>
  <w:style w:type="character" w:customStyle="1" w:styleId="CitadestacadaCar">
    <w:name w:val="Cita destacada Car"/>
    <w:basedOn w:val="Fuentedeprrafopredeter"/>
    <w:link w:val="Citadestacada"/>
    <w:uiPriority w:val="30"/>
    <w:rsid w:val="000B5F73"/>
    <w:rPr>
      <w:rFonts w:ascii="Bookman Old Style" w:hAnsi="Bookman Old Style"/>
      <w:i/>
      <w:sz w:val="24"/>
      <w:szCs w:val="24"/>
      <w:lang w:eastAsia="es-ES"/>
    </w:rPr>
  </w:style>
  <w:style w:type="character" w:customStyle="1" w:styleId="Ttulo1Car">
    <w:name w:val="Título 1 Car"/>
    <w:basedOn w:val="Fuentedeprrafopredeter"/>
    <w:link w:val="Ttulo1"/>
    <w:rsid w:val="00404AF3"/>
    <w:rPr>
      <w:rFonts w:ascii="CG Times" w:hAnsi="CG Times"/>
      <w:b/>
      <w:sz w:val="24"/>
      <w:lang w:eastAsia="es-ES"/>
    </w:rPr>
  </w:style>
  <w:style w:type="character" w:customStyle="1" w:styleId="PiedepginaCar">
    <w:name w:val="Pie de página Car"/>
    <w:link w:val="Piedepgina"/>
    <w:rsid w:val="00AF3BC1"/>
    <w:rPr>
      <w:sz w:val="24"/>
      <w:szCs w:val="24"/>
      <w:lang w:val="es-ES" w:eastAsia="es-ES"/>
    </w:rPr>
  </w:style>
  <w:style w:type="paragraph" w:customStyle="1" w:styleId="margenizq2punto0">
    <w:name w:val="margen_izq_2punto0"/>
    <w:basedOn w:val="Normal"/>
    <w:rsid w:val="000164C5"/>
    <w:pPr>
      <w:spacing w:before="100" w:beforeAutospacing="1" w:after="100" w:afterAutospacing="1" w:line="270" w:lineRule="atLeast"/>
      <w:ind w:left="1134"/>
      <w:jc w:val="both"/>
    </w:pPr>
    <w:rPr>
      <w:rFonts w:ascii="Arial" w:hAnsi="Arial" w:cs="Arial"/>
      <w:lang w:val="es-CO" w:eastAsia="es-CO"/>
    </w:rPr>
  </w:style>
  <w:style w:type="paragraph" w:styleId="TDC6">
    <w:name w:val="toc 6"/>
    <w:basedOn w:val="Normal"/>
    <w:next w:val="Normal"/>
    <w:autoRedefine/>
    <w:uiPriority w:val="39"/>
    <w:semiHidden/>
    <w:unhideWhenUsed/>
    <w:rsid w:val="008F1001"/>
    <w:pPr>
      <w:spacing w:after="100"/>
      <w:ind w:left="1200"/>
    </w:pPr>
  </w:style>
  <w:style w:type="paragraph" w:styleId="Sangra2detindependiente">
    <w:name w:val="Body Text Indent 2"/>
    <w:basedOn w:val="Normal"/>
    <w:link w:val="Sangra2detindependienteCar"/>
    <w:unhideWhenUsed/>
    <w:rsid w:val="00C1748D"/>
    <w:pPr>
      <w:spacing w:before="240" w:after="120" w:line="480" w:lineRule="auto"/>
      <w:ind w:left="283"/>
      <w:jc w:val="both"/>
    </w:pPr>
    <w:rPr>
      <w:rFonts w:ascii="Bookman Old Style" w:hAnsi="Bookman Old Style"/>
    </w:rPr>
  </w:style>
  <w:style w:type="character" w:customStyle="1" w:styleId="Sangra2detindependienteCar">
    <w:name w:val="Sangría 2 de t. independiente Car"/>
    <w:basedOn w:val="Fuentedeprrafopredeter"/>
    <w:link w:val="Sangra2detindependiente"/>
    <w:rsid w:val="00C1748D"/>
    <w:rPr>
      <w:rFonts w:ascii="Bookman Old Style" w:hAnsi="Bookman Old Style"/>
      <w:sz w:val="24"/>
      <w:szCs w:val="24"/>
      <w:lang w:val="es-ES" w:eastAsia="es-ES"/>
    </w:rPr>
  </w:style>
  <w:style w:type="paragraph" w:customStyle="1" w:styleId="Artculo">
    <w:name w:val="Artículo"/>
    <w:basedOn w:val="Normal"/>
    <w:next w:val="articulo"/>
    <w:link w:val="ArtculoCar"/>
    <w:qFormat/>
    <w:rsid w:val="00C1748D"/>
    <w:pPr>
      <w:numPr>
        <w:numId w:val="12"/>
      </w:numPr>
      <w:tabs>
        <w:tab w:val="left" w:pos="1701"/>
      </w:tabs>
      <w:spacing w:before="240" w:after="240"/>
      <w:jc w:val="both"/>
    </w:pPr>
    <w:rPr>
      <w:rFonts w:ascii="Bookman Old Style" w:hAnsi="Bookman Old Style" w:cs="Arial"/>
      <w:b/>
    </w:rPr>
  </w:style>
  <w:style w:type="character" w:customStyle="1" w:styleId="ArtculoCar">
    <w:name w:val="Artículo Car"/>
    <w:link w:val="Artculo"/>
    <w:rsid w:val="00C1748D"/>
    <w:rPr>
      <w:rFonts w:ascii="Bookman Old Style" w:hAnsi="Bookman Old Style" w:cs="Arial"/>
      <w:b/>
      <w:sz w:val="24"/>
      <w:szCs w:val="24"/>
      <w:lang w:val="es-ES" w:eastAsia="es-ES"/>
    </w:rPr>
  </w:style>
  <w:style w:type="paragraph" w:customStyle="1" w:styleId="articulo">
    <w:name w:val="articulo"/>
    <w:basedOn w:val="Normal"/>
    <w:next w:val="Normal"/>
    <w:autoRedefine/>
    <w:rsid w:val="00C1748D"/>
    <w:pPr>
      <w:suppressAutoHyphens/>
      <w:spacing w:before="240"/>
      <w:ind w:left="0"/>
      <w:jc w:val="both"/>
    </w:pPr>
    <w:rPr>
      <w:rFonts w:ascii="Bookman Old Style" w:hAnsi="Bookman Old Style"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39">
      <w:bodyDiv w:val="1"/>
      <w:marLeft w:val="0"/>
      <w:marRight w:val="0"/>
      <w:marTop w:val="0"/>
      <w:marBottom w:val="0"/>
      <w:divBdr>
        <w:top w:val="none" w:sz="0" w:space="0" w:color="auto"/>
        <w:left w:val="none" w:sz="0" w:space="0" w:color="auto"/>
        <w:bottom w:val="none" w:sz="0" w:space="0" w:color="auto"/>
        <w:right w:val="none" w:sz="0" w:space="0" w:color="auto"/>
      </w:divBdr>
    </w:div>
    <w:div w:id="3825990">
      <w:bodyDiv w:val="1"/>
      <w:marLeft w:val="0"/>
      <w:marRight w:val="0"/>
      <w:marTop w:val="0"/>
      <w:marBottom w:val="0"/>
      <w:divBdr>
        <w:top w:val="none" w:sz="0" w:space="0" w:color="auto"/>
        <w:left w:val="none" w:sz="0" w:space="0" w:color="auto"/>
        <w:bottom w:val="none" w:sz="0" w:space="0" w:color="auto"/>
        <w:right w:val="none" w:sz="0" w:space="0" w:color="auto"/>
      </w:divBdr>
    </w:div>
    <w:div w:id="5595649">
      <w:bodyDiv w:val="1"/>
      <w:marLeft w:val="0"/>
      <w:marRight w:val="0"/>
      <w:marTop w:val="0"/>
      <w:marBottom w:val="0"/>
      <w:divBdr>
        <w:top w:val="none" w:sz="0" w:space="0" w:color="auto"/>
        <w:left w:val="none" w:sz="0" w:space="0" w:color="auto"/>
        <w:bottom w:val="none" w:sz="0" w:space="0" w:color="auto"/>
        <w:right w:val="none" w:sz="0" w:space="0" w:color="auto"/>
      </w:divBdr>
    </w:div>
    <w:div w:id="13894631">
      <w:bodyDiv w:val="1"/>
      <w:marLeft w:val="0"/>
      <w:marRight w:val="0"/>
      <w:marTop w:val="0"/>
      <w:marBottom w:val="0"/>
      <w:divBdr>
        <w:top w:val="none" w:sz="0" w:space="0" w:color="auto"/>
        <w:left w:val="none" w:sz="0" w:space="0" w:color="auto"/>
        <w:bottom w:val="none" w:sz="0" w:space="0" w:color="auto"/>
        <w:right w:val="none" w:sz="0" w:space="0" w:color="auto"/>
      </w:divBdr>
    </w:div>
    <w:div w:id="19936271">
      <w:bodyDiv w:val="1"/>
      <w:marLeft w:val="0"/>
      <w:marRight w:val="0"/>
      <w:marTop w:val="0"/>
      <w:marBottom w:val="0"/>
      <w:divBdr>
        <w:top w:val="none" w:sz="0" w:space="0" w:color="auto"/>
        <w:left w:val="none" w:sz="0" w:space="0" w:color="auto"/>
        <w:bottom w:val="none" w:sz="0" w:space="0" w:color="auto"/>
        <w:right w:val="none" w:sz="0" w:space="0" w:color="auto"/>
      </w:divBdr>
    </w:div>
    <w:div w:id="32118220">
      <w:bodyDiv w:val="1"/>
      <w:marLeft w:val="0"/>
      <w:marRight w:val="0"/>
      <w:marTop w:val="0"/>
      <w:marBottom w:val="0"/>
      <w:divBdr>
        <w:top w:val="none" w:sz="0" w:space="0" w:color="auto"/>
        <w:left w:val="none" w:sz="0" w:space="0" w:color="auto"/>
        <w:bottom w:val="none" w:sz="0" w:space="0" w:color="auto"/>
        <w:right w:val="none" w:sz="0" w:space="0" w:color="auto"/>
      </w:divBdr>
    </w:div>
    <w:div w:id="73204637">
      <w:bodyDiv w:val="1"/>
      <w:marLeft w:val="0"/>
      <w:marRight w:val="0"/>
      <w:marTop w:val="0"/>
      <w:marBottom w:val="0"/>
      <w:divBdr>
        <w:top w:val="none" w:sz="0" w:space="0" w:color="auto"/>
        <w:left w:val="none" w:sz="0" w:space="0" w:color="auto"/>
        <w:bottom w:val="none" w:sz="0" w:space="0" w:color="auto"/>
        <w:right w:val="none" w:sz="0" w:space="0" w:color="auto"/>
      </w:divBdr>
    </w:div>
    <w:div w:id="77332784">
      <w:bodyDiv w:val="1"/>
      <w:marLeft w:val="0"/>
      <w:marRight w:val="0"/>
      <w:marTop w:val="0"/>
      <w:marBottom w:val="0"/>
      <w:divBdr>
        <w:top w:val="none" w:sz="0" w:space="0" w:color="auto"/>
        <w:left w:val="none" w:sz="0" w:space="0" w:color="auto"/>
        <w:bottom w:val="none" w:sz="0" w:space="0" w:color="auto"/>
        <w:right w:val="none" w:sz="0" w:space="0" w:color="auto"/>
      </w:divBdr>
    </w:div>
    <w:div w:id="110705953">
      <w:bodyDiv w:val="1"/>
      <w:marLeft w:val="0"/>
      <w:marRight w:val="0"/>
      <w:marTop w:val="0"/>
      <w:marBottom w:val="0"/>
      <w:divBdr>
        <w:top w:val="none" w:sz="0" w:space="0" w:color="auto"/>
        <w:left w:val="none" w:sz="0" w:space="0" w:color="auto"/>
        <w:bottom w:val="none" w:sz="0" w:space="0" w:color="auto"/>
        <w:right w:val="none" w:sz="0" w:space="0" w:color="auto"/>
      </w:divBdr>
    </w:div>
    <w:div w:id="139230473">
      <w:bodyDiv w:val="1"/>
      <w:marLeft w:val="0"/>
      <w:marRight w:val="0"/>
      <w:marTop w:val="0"/>
      <w:marBottom w:val="0"/>
      <w:divBdr>
        <w:top w:val="none" w:sz="0" w:space="0" w:color="auto"/>
        <w:left w:val="none" w:sz="0" w:space="0" w:color="auto"/>
        <w:bottom w:val="none" w:sz="0" w:space="0" w:color="auto"/>
        <w:right w:val="none" w:sz="0" w:space="0" w:color="auto"/>
      </w:divBdr>
    </w:div>
    <w:div w:id="288971292">
      <w:bodyDiv w:val="1"/>
      <w:marLeft w:val="0"/>
      <w:marRight w:val="0"/>
      <w:marTop w:val="0"/>
      <w:marBottom w:val="0"/>
      <w:divBdr>
        <w:top w:val="none" w:sz="0" w:space="0" w:color="auto"/>
        <w:left w:val="none" w:sz="0" w:space="0" w:color="auto"/>
        <w:bottom w:val="none" w:sz="0" w:space="0" w:color="auto"/>
        <w:right w:val="none" w:sz="0" w:space="0" w:color="auto"/>
      </w:divBdr>
    </w:div>
    <w:div w:id="334844044">
      <w:bodyDiv w:val="1"/>
      <w:marLeft w:val="0"/>
      <w:marRight w:val="0"/>
      <w:marTop w:val="0"/>
      <w:marBottom w:val="0"/>
      <w:divBdr>
        <w:top w:val="none" w:sz="0" w:space="0" w:color="auto"/>
        <w:left w:val="none" w:sz="0" w:space="0" w:color="auto"/>
        <w:bottom w:val="none" w:sz="0" w:space="0" w:color="auto"/>
        <w:right w:val="none" w:sz="0" w:space="0" w:color="auto"/>
      </w:divBdr>
    </w:div>
    <w:div w:id="367410663">
      <w:bodyDiv w:val="1"/>
      <w:marLeft w:val="0"/>
      <w:marRight w:val="0"/>
      <w:marTop w:val="0"/>
      <w:marBottom w:val="0"/>
      <w:divBdr>
        <w:top w:val="none" w:sz="0" w:space="0" w:color="auto"/>
        <w:left w:val="none" w:sz="0" w:space="0" w:color="auto"/>
        <w:bottom w:val="none" w:sz="0" w:space="0" w:color="auto"/>
        <w:right w:val="none" w:sz="0" w:space="0" w:color="auto"/>
      </w:divBdr>
    </w:div>
    <w:div w:id="395475760">
      <w:bodyDiv w:val="1"/>
      <w:marLeft w:val="0"/>
      <w:marRight w:val="0"/>
      <w:marTop w:val="0"/>
      <w:marBottom w:val="0"/>
      <w:divBdr>
        <w:top w:val="none" w:sz="0" w:space="0" w:color="auto"/>
        <w:left w:val="none" w:sz="0" w:space="0" w:color="auto"/>
        <w:bottom w:val="none" w:sz="0" w:space="0" w:color="auto"/>
        <w:right w:val="none" w:sz="0" w:space="0" w:color="auto"/>
      </w:divBdr>
    </w:div>
    <w:div w:id="462772753">
      <w:bodyDiv w:val="1"/>
      <w:marLeft w:val="0"/>
      <w:marRight w:val="0"/>
      <w:marTop w:val="0"/>
      <w:marBottom w:val="0"/>
      <w:divBdr>
        <w:top w:val="none" w:sz="0" w:space="0" w:color="auto"/>
        <w:left w:val="none" w:sz="0" w:space="0" w:color="auto"/>
        <w:bottom w:val="none" w:sz="0" w:space="0" w:color="auto"/>
        <w:right w:val="none" w:sz="0" w:space="0" w:color="auto"/>
      </w:divBdr>
    </w:div>
    <w:div w:id="534004335">
      <w:bodyDiv w:val="1"/>
      <w:marLeft w:val="0"/>
      <w:marRight w:val="0"/>
      <w:marTop w:val="0"/>
      <w:marBottom w:val="0"/>
      <w:divBdr>
        <w:top w:val="none" w:sz="0" w:space="0" w:color="auto"/>
        <w:left w:val="none" w:sz="0" w:space="0" w:color="auto"/>
        <w:bottom w:val="none" w:sz="0" w:space="0" w:color="auto"/>
        <w:right w:val="none" w:sz="0" w:space="0" w:color="auto"/>
      </w:divBdr>
    </w:div>
    <w:div w:id="565801788">
      <w:bodyDiv w:val="1"/>
      <w:marLeft w:val="0"/>
      <w:marRight w:val="0"/>
      <w:marTop w:val="0"/>
      <w:marBottom w:val="0"/>
      <w:divBdr>
        <w:top w:val="none" w:sz="0" w:space="0" w:color="auto"/>
        <w:left w:val="none" w:sz="0" w:space="0" w:color="auto"/>
        <w:bottom w:val="none" w:sz="0" w:space="0" w:color="auto"/>
        <w:right w:val="none" w:sz="0" w:space="0" w:color="auto"/>
      </w:divBdr>
    </w:div>
    <w:div w:id="627123592">
      <w:bodyDiv w:val="1"/>
      <w:marLeft w:val="0"/>
      <w:marRight w:val="0"/>
      <w:marTop w:val="0"/>
      <w:marBottom w:val="0"/>
      <w:divBdr>
        <w:top w:val="none" w:sz="0" w:space="0" w:color="auto"/>
        <w:left w:val="none" w:sz="0" w:space="0" w:color="auto"/>
        <w:bottom w:val="none" w:sz="0" w:space="0" w:color="auto"/>
        <w:right w:val="none" w:sz="0" w:space="0" w:color="auto"/>
      </w:divBdr>
      <w:divsChild>
        <w:div w:id="844131166">
          <w:marLeft w:val="634"/>
          <w:marRight w:val="0"/>
          <w:marTop w:val="0"/>
          <w:marBottom w:val="0"/>
          <w:divBdr>
            <w:top w:val="none" w:sz="0" w:space="0" w:color="auto"/>
            <w:left w:val="none" w:sz="0" w:space="0" w:color="auto"/>
            <w:bottom w:val="none" w:sz="0" w:space="0" w:color="auto"/>
            <w:right w:val="none" w:sz="0" w:space="0" w:color="auto"/>
          </w:divBdr>
        </w:div>
      </w:divsChild>
    </w:div>
    <w:div w:id="639265228">
      <w:bodyDiv w:val="1"/>
      <w:marLeft w:val="0"/>
      <w:marRight w:val="0"/>
      <w:marTop w:val="0"/>
      <w:marBottom w:val="0"/>
      <w:divBdr>
        <w:top w:val="none" w:sz="0" w:space="0" w:color="auto"/>
        <w:left w:val="none" w:sz="0" w:space="0" w:color="auto"/>
        <w:bottom w:val="none" w:sz="0" w:space="0" w:color="auto"/>
        <w:right w:val="none" w:sz="0" w:space="0" w:color="auto"/>
      </w:divBdr>
    </w:div>
    <w:div w:id="727804468">
      <w:bodyDiv w:val="1"/>
      <w:marLeft w:val="0"/>
      <w:marRight w:val="0"/>
      <w:marTop w:val="0"/>
      <w:marBottom w:val="0"/>
      <w:divBdr>
        <w:top w:val="none" w:sz="0" w:space="0" w:color="auto"/>
        <w:left w:val="none" w:sz="0" w:space="0" w:color="auto"/>
        <w:bottom w:val="none" w:sz="0" w:space="0" w:color="auto"/>
        <w:right w:val="none" w:sz="0" w:space="0" w:color="auto"/>
      </w:divBdr>
    </w:div>
    <w:div w:id="732387404">
      <w:bodyDiv w:val="1"/>
      <w:marLeft w:val="0"/>
      <w:marRight w:val="0"/>
      <w:marTop w:val="0"/>
      <w:marBottom w:val="0"/>
      <w:divBdr>
        <w:top w:val="none" w:sz="0" w:space="0" w:color="auto"/>
        <w:left w:val="none" w:sz="0" w:space="0" w:color="auto"/>
        <w:bottom w:val="none" w:sz="0" w:space="0" w:color="auto"/>
        <w:right w:val="none" w:sz="0" w:space="0" w:color="auto"/>
      </w:divBdr>
    </w:div>
    <w:div w:id="746533607">
      <w:bodyDiv w:val="1"/>
      <w:marLeft w:val="0"/>
      <w:marRight w:val="0"/>
      <w:marTop w:val="0"/>
      <w:marBottom w:val="0"/>
      <w:divBdr>
        <w:top w:val="none" w:sz="0" w:space="0" w:color="auto"/>
        <w:left w:val="none" w:sz="0" w:space="0" w:color="auto"/>
        <w:bottom w:val="none" w:sz="0" w:space="0" w:color="auto"/>
        <w:right w:val="none" w:sz="0" w:space="0" w:color="auto"/>
      </w:divBdr>
    </w:div>
    <w:div w:id="771247624">
      <w:bodyDiv w:val="1"/>
      <w:marLeft w:val="0"/>
      <w:marRight w:val="0"/>
      <w:marTop w:val="0"/>
      <w:marBottom w:val="0"/>
      <w:divBdr>
        <w:top w:val="none" w:sz="0" w:space="0" w:color="auto"/>
        <w:left w:val="none" w:sz="0" w:space="0" w:color="auto"/>
        <w:bottom w:val="none" w:sz="0" w:space="0" w:color="auto"/>
        <w:right w:val="none" w:sz="0" w:space="0" w:color="auto"/>
      </w:divBdr>
    </w:div>
    <w:div w:id="776678306">
      <w:bodyDiv w:val="1"/>
      <w:marLeft w:val="0"/>
      <w:marRight w:val="0"/>
      <w:marTop w:val="0"/>
      <w:marBottom w:val="0"/>
      <w:divBdr>
        <w:top w:val="none" w:sz="0" w:space="0" w:color="auto"/>
        <w:left w:val="none" w:sz="0" w:space="0" w:color="auto"/>
        <w:bottom w:val="none" w:sz="0" w:space="0" w:color="auto"/>
        <w:right w:val="none" w:sz="0" w:space="0" w:color="auto"/>
      </w:divBdr>
    </w:div>
    <w:div w:id="950284763">
      <w:bodyDiv w:val="1"/>
      <w:marLeft w:val="0"/>
      <w:marRight w:val="0"/>
      <w:marTop w:val="0"/>
      <w:marBottom w:val="0"/>
      <w:divBdr>
        <w:top w:val="none" w:sz="0" w:space="0" w:color="auto"/>
        <w:left w:val="none" w:sz="0" w:space="0" w:color="auto"/>
        <w:bottom w:val="none" w:sz="0" w:space="0" w:color="auto"/>
        <w:right w:val="none" w:sz="0" w:space="0" w:color="auto"/>
      </w:divBdr>
    </w:div>
    <w:div w:id="953560065">
      <w:bodyDiv w:val="1"/>
      <w:marLeft w:val="0"/>
      <w:marRight w:val="0"/>
      <w:marTop w:val="0"/>
      <w:marBottom w:val="0"/>
      <w:divBdr>
        <w:top w:val="none" w:sz="0" w:space="0" w:color="auto"/>
        <w:left w:val="none" w:sz="0" w:space="0" w:color="auto"/>
        <w:bottom w:val="none" w:sz="0" w:space="0" w:color="auto"/>
        <w:right w:val="none" w:sz="0" w:space="0" w:color="auto"/>
      </w:divBdr>
    </w:div>
    <w:div w:id="969898630">
      <w:bodyDiv w:val="1"/>
      <w:marLeft w:val="0"/>
      <w:marRight w:val="0"/>
      <w:marTop w:val="0"/>
      <w:marBottom w:val="0"/>
      <w:divBdr>
        <w:top w:val="none" w:sz="0" w:space="0" w:color="auto"/>
        <w:left w:val="none" w:sz="0" w:space="0" w:color="auto"/>
        <w:bottom w:val="none" w:sz="0" w:space="0" w:color="auto"/>
        <w:right w:val="none" w:sz="0" w:space="0" w:color="auto"/>
      </w:divBdr>
    </w:div>
    <w:div w:id="1024207663">
      <w:bodyDiv w:val="1"/>
      <w:marLeft w:val="0"/>
      <w:marRight w:val="0"/>
      <w:marTop w:val="0"/>
      <w:marBottom w:val="0"/>
      <w:divBdr>
        <w:top w:val="none" w:sz="0" w:space="0" w:color="auto"/>
        <w:left w:val="none" w:sz="0" w:space="0" w:color="auto"/>
        <w:bottom w:val="none" w:sz="0" w:space="0" w:color="auto"/>
        <w:right w:val="none" w:sz="0" w:space="0" w:color="auto"/>
      </w:divBdr>
    </w:div>
    <w:div w:id="1067610314">
      <w:bodyDiv w:val="1"/>
      <w:marLeft w:val="0"/>
      <w:marRight w:val="0"/>
      <w:marTop w:val="0"/>
      <w:marBottom w:val="0"/>
      <w:divBdr>
        <w:top w:val="none" w:sz="0" w:space="0" w:color="auto"/>
        <w:left w:val="none" w:sz="0" w:space="0" w:color="auto"/>
        <w:bottom w:val="none" w:sz="0" w:space="0" w:color="auto"/>
        <w:right w:val="none" w:sz="0" w:space="0" w:color="auto"/>
      </w:divBdr>
    </w:div>
    <w:div w:id="1082484221">
      <w:bodyDiv w:val="1"/>
      <w:marLeft w:val="0"/>
      <w:marRight w:val="0"/>
      <w:marTop w:val="0"/>
      <w:marBottom w:val="0"/>
      <w:divBdr>
        <w:top w:val="none" w:sz="0" w:space="0" w:color="auto"/>
        <w:left w:val="none" w:sz="0" w:space="0" w:color="auto"/>
        <w:bottom w:val="none" w:sz="0" w:space="0" w:color="auto"/>
        <w:right w:val="none" w:sz="0" w:space="0" w:color="auto"/>
      </w:divBdr>
    </w:div>
    <w:div w:id="1099519111">
      <w:bodyDiv w:val="1"/>
      <w:marLeft w:val="0"/>
      <w:marRight w:val="0"/>
      <w:marTop w:val="0"/>
      <w:marBottom w:val="0"/>
      <w:divBdr>
        <w:top w:val="none" w:sz="0" w:space="0" w:color="auto"/>
        <w:left w:val="none" w:sz="0" w:space="0" w:color="auto"/>
        <w:bottom w:val="none" w:sz="0" w:space="0" w:color="auto"/>
        <w:right w:val="none" w:sz="0" w:space="0" w:color="auto"/>
      </w:divBdr>
    </w:div>
    <w:div w:id="1126702482">
      <w:bodyDiv w:val="1"/>
      <w:marLeft w:val="0"/>
      <w:marRight w:val="0"/>
      <w:marTop w:val="0"/>
      <w:marBottom w:val="0"/>
      <w:divBdr>
        <w:top w:val="none" w:sz="0" w:space="0" w:color="auto"/>
        <w:left w:val="none" w:sz="0" w:space="0" w:color="auto"/>
        <w:bottom w:val="none" w:sz="0" w:space="0" w:color="auto"/>
        <w:right w:val="none" w:sz="0" w:space="0" w:color="auto"/>
      </w:divBdr>
    </w:div>
    <w:div w:id="1134374196">
      <w:bodyDiv w:val="1"/>
      <w:marLeft w:val="0"/>
      <w:marRight w:val="0"/>
      <w:marTop w:val="0"/>
      <w:marBottom w:val="0"/>
      <w:divBdr>
        <w:top w:val="none" w:sz="0" w:space="0" w:color="auto"/>
        <w:left w:val="none" w:sz="0" w:space="0" w:color="auto"/>
        <w:bottom w:val="none" w:sz="0" w:space="0" w:color="auto"/>
        <w:right w:val="none" w:sz="0" w:space="0" w:color="auto"/>
      </w:divBdr>
    </w:div>
    <w:div w:id="1151484190">
      <w:bodyDiv w:val="1"/>
      <w:marLeft w:val="0"/>
      <w:marRight w:val="0"/>
      <w:marTop w:val="0"/>
      <w:marBottom w:val="0"/>
      <w:divBdr>
        <w:top w:val="none" w:sz="0" w:space="0" w:color="auto"/>
        <w:left w:val="none" w:sz="0" w:space="0" w:color="auto"/>
        <w:bottom w:val="none" w:sz="0" w:space="0" w:color="auto"/>
        <w:right w:val="none" w:sz="0" w:space="0" w:color="auto"/>
      </w:divBdr>
    </w:div>
    <w:div w:id="1182090789">
      <w:bodyDiv w:val="1"/>
      <w:marLeft w:val="0"/>
      <w:marRight w:val="0"/>
      <w:marTop w:val="0"/>
      <w:marBottom w:val="0"/>
      <w:divBdr>
        <w:top w:val="none" w:sz="0" w:space="0" w:color="auto"/>
        <w:left w:val="none" w:sz="0" w:space="0" w:color="auto"/>
        <w:bottom w:val="none" w:sz="0" w:space="0" w:color="auto"/>
        <w:right w:val="none" w:sz="0" w:space="0" w:color="auto"/>
      </w:divBdr>
    </w:div>
    <w:div w:id="1298142616">
      <w:bodyDiv w:val="1"/>
      <w:marLeft w:val="0"/>
      <w:marRight w:val="0"/>
      <w:marTop w:val="0"/>
      <w:marBottom w:val="0"/>
      <w:divBdr>
        <w:top w:val="none" w:sz="0" w:space="0" w:color="auto"/>
        <w:left w:val="none" w:sz="0" w:space="0" w:color="auto"/>
        <w:bottom w:val="none" w:sz="0" w:space="0" w:color="auto"/>
        <w:right w:val="none" w:sz="0" w:space="0" w:color="auto"/>
      </w:divBdr>
    </w:div>
    <w:div w:id="1320889148">
      <w:bodyDiv w:val="1"/>
      <w:marLeft w:val="0"/>
      <w:marRight w:val="0"/>
      <w:marTop w:val="0"/>
      <w:marBottom w:val="0"/>
      <w:divBdr>
        <w:top w:val="none" w:sz="0" w:space="0" w:color="auto"/>
        <w:left w:val="none" w:sz="0" w:space="0" w:color="auto"/>
        <w:bottom w:val="none" w:sz="0" w:space="0" w:color="auto"/>
        <w:right w:val="none" w:sz="0" w:space="0" w:color="auto"/>
      </w:divBdr>
    </w:div>
    <w:div w:id="1323385809">
      <w:bodyDiv w:val="1"/>
      <w:marLeft w:val="0"/>
      <w:marRight w:val="0"/>
      <w:marTop w:val="0"/>
      <w:marBottom w:val="0"/>
      <w:divBdr>
        <w:top w:val="none" w:sz="0" w:space="0" w:color="auto"/>
        <w:left w:val="none" w:sz="0" w:space="0" w:color="auto"/>
        <w:bottom w:val="none" w:sz="0" w:space="0" w:color="auto"/>
        <w:right w:val="none" w:sz="0" w:space="0" w:color="auto"/>
      </w:divBdr>
    </w:div>
    <w:div w:id="1329023223">
      <w:bodyDiv w:val="1"/>
      <w:marLeft w:val="0"/>
      <w:marRight w:val="0"/>
      <w:marTop w:val="0"/>
      <w:marBottom w:val="0"/>
      <w:divBdr>
        <w:top w:val="none" w:sz="0" w:space="0" w:color="auto"/>
        <w:left w:val="none" w:sz="0" w:space="0" w:color="auto"/>
        <w:bottom w:val="none" w:sz="0" w:space="0" w:color="auto"/>
        <w:right w:val="none" w:sz="0" w:space="0" w:color="auto"/>
      </w:divBdr>
    </w:div>
    <w:div w:id="1342320176">
      <w:bodyDiv w:val="1"/>
      <w:marLeft w:val="0"/>
      <w:marRight w:val="0"/>
      <w:marTop w:val="0"/>
      <w:marBottom w:val="0"/>
      <w:divBdr>
        <w:top w:val="none" w:sz="0" w:space="0" w:color="auto"/>
        <w:left w:val="none" w:sz="0" w:space="0" w:color="auto"/>
        <w:bottom w:val="none" w:sz="0" w:space="0" w:color="auto"/>
        <w:right w:val="none" w:sz="0" w:space="0" w:color="auto"/>
      </w:divBdr>
    </w:div>
    <w:div w:id="1382901096">
      <w:bodyDiv w:val="1"/>
      <w:marLeft w:val="0"/>
      <w:marRight w:val="0"/>
      <w:marTop w:val="0"/>
      <w:marBottom w:val="0"/>
      <w:divBdr>
        <w:top w:val="none" w:sz="0" w:space="0" w:color="auto"/>
        <w:left w:val="none" w:sz="0" w:space="0" w:color="auto"/>
        <w:bottom w:val="none" w:sz="0" w:space="0" w:color="auto"/>
        <w:right w:val="none" w:sz="0" w:space="0" w:color="auto"/>
      </w:divBdr>
    </w:div>
    <w:div w:id="1387531873">
      <w:bodyDiv w:val="1"/>
      <w:marLeft w:val="0"/>
      <w:marRight w:val="0"/>
      <w:marTop w:val="0"/>
      <w:marBottom w:val="0"/>
      <w:divBdr>
        <w:top w:val="none" w:sz="0" w:space="0" w:color="auto"/>
        <w:left w:val="none" w:sz="0" w:space="0" w:color="auto"/>
        <w:bottom w:val="none" w:sz="0" w:space="0" w:color="auto"/>
        <w:right w:val="none" w:sz="0" w:space="0" w:color="auto"/>
      </w:divBdr>
    </w:div>
    <w:div w:id="1457140174">
      <w:bodyDiv w:val="1"/>
      <w:marLeft w:val="0"/>
      <w:marRight w:val="0"/>
      <w:marTop w:val="0"/>
      <w:marBottom w:val="0"/>
      <w:divBdr>
        <w:top w:val="none" w:sz="0" w:space="0" w:color="auto"/>
        <w:left w:val="none" w:sz="0" w:space="0" w:color="auto"/>
        <w:bottom w:val="none" w:sz="0" w:space="0" w:color="auto"/>
        <w:right w:val="none" w:sz="0" w:space="0" w:color="auto"/>
      </w:divBdr>
    </w:div>
    <w:div w:id="1508788689">
      <w:bodyDiv w:val="1"/>
      <w:marLeft w:val="0"/>
      <w:marRight w:val="0"/>
      <w:marTop w:val="0"/>
      <w:marBottom w:val="0"/>
      <w:divBdr>
        <w:top w:val="none" w:sz="0" w:space="0" w:color="auto"/>
        <w:left w:val="none" w:sz="0" w:space="0" w:color="auto"/>
        <w:bottom w:val="none" w:sz="0" w:space="0" w:color="auto"/>
        <w:right w:val="none" w:sz="0" w:space="0" w:color="auto"/>
      </w:divBdr>
    </w:div>
    <w:div w:id="1615211044">
      <w:bodyDiv w:val="1"/>
      <w:marLeft w:val="0"/>
      <w:marRight w:val="0"/>
      <w:marTop w:val="0"/>
      <w:marBottom w:val="0"/>
      <w:divBdr>
        <w:top w:val="none" w:sz="0" w:space="0" w:color="auto"/>
        <w:left w:val="none" w:sz="0" w:space="0" w:color="auto"/>
        <w:bottom w:val="none" w:sz="0" w:space="0" w:color="auto"/>
        <w:right w:val="none" w:sz="0" w:space="0" w:color="auto"/>
      </w:divBdr>
    </w:div>
    <w:div w:id="1619221560">
      <w:bodyDiv w:val="1"/>
      <w:marLeft w:val="0"/>
      <w:marRight w:val="0"/>
      <w:marTop w:val="0"/>
      <w:marBottom w:val="0"/>
      <w:divBdr>
        <w:top w:val="none" w:sz="0" w:space="0" w:color="auto"/>
        <w:left w:val="none" w:sz="0" w:space="0" w:color="auto"/>
        <w:bottom w:val="none" w:sz="0" w:space="0" w:color="auto"/>
        <w:right w:val="none" w:sz="0" w:space="0" w:color="auto"/>
      </w:divBdr>
    </w:div>
    <w:div w:id="1628268589">
      <w:bodyDiv w:val="1"/>
      <w:marLeft w:val="0"/>
      <w:marRight w:val="0"/>
      <w:marTop w:val="0"/>
      <w:marBottom w:val="0"/>
      <w:divBdr>
        <w:top w:val="none" w:sz="0" w:space="0" w:color="auto"/>
        <w:left w:val="none" w:sz="0" w:space="0" w:color="auto"/>
        <w:bottom w:val="none" w:sz="0" w:space="0" w:color="auto"/>
        <w:right w:val="none" w:sz="0" w:space="0" w:color="auto"/>
      </w:divBdr>
    </w:div>
    <w:div w:id="1641886167">
      <w:bodyDiv w:val="1"/>
      <w:marLeft w:val="0"/>
      <w:marRight w:val="0"/>
      <w:marTop w:val="0"/>
      <w:marBottom w:val="0"/>
      <w:divBdr>
        <w:top w:val="none" w:sz="0" w:space="0" w:color="auto"/>
        <w:left w:val="none" w:sz="0" w:space="0" w:color="auto"/>
        <w:bottom w:val="none" w:sz="0" w:space="0" w:color="auto"/>
        <w:right w:val="none" w:sz="0" w:space="0" w:color="auto"/>
      </w:divBdr>
    </w:div>
    <w:div w:id="1666085388">
      <w:bodyDiv w:val="1"/>
      <w:marLeft w:val="0"/>
      <w:marRight w:val="0"/>
      <w:marTop w:val="0"/>
      <w:marBottom w:val="0"/>
      <w:divBdr>
        <w:top w:val="none" w:sz="0" w:space="0" w:color="auto"/>
        <w:left w:val="none" w:sz="0" w:space="0" w:color="auto"/>
        <w:bottom w:val="none" w:sz="0" w:space="0" w:color="auto"/>
        <w:right w:val="none" w:sz="0" w:space="0" w:color="auto"/>
      </w:divBdr>
    </w:div>
    <w:div w:id="1742829206">
      <w:bodyDiv w:val="1"/>
      <w:marLeft w:val="0"/>
      <w:marRight w:val="0"/>
      <w:marTop w:val="0"/>
      <w:marBottom w:val="0"/>
      <w:divBdr>
        <w:top w:val="none" w:sz="0" w:space="0" w:color="auto"/>
        <w:left w:val="none" w:sz="0" w:space="0" w:color="auto"/>
        <w:bottom w:val="none" w:sz="0" w:space="0" w:color="auto"/>
        <w:right w:val="none" w:sz="0" w:space="0" w:color="auto"/>
      </w:divBdr>
    </w:div>
    <w:div w:id="1792898935">
      <w:bodyDiv w:val="1"/>
      <w:marLeft w:val="0"/>
      <w:marRight w:val="0"/>
      <w:marTop w:val="0"/>
      <w:marBottom w:val="0"/>
      <w:divBdr>
        <w:top w:val="none" w:sz="0" w:space="0" w:color="auto"/>
        <w:left w:val="none" w:sz="0" w:space="0" w:color="auto"/>
        <w:bottom w:val="none" w:sz="0" w:space="0" w:color="auto"/>
        <w:right w:val="none" w:sz="0" w:space="0" w:color="auto"/>
      </w:divBdr>
    </w:div>
    <w:div w:id="1833981223">
      <w:bodyDiv w:val="1"/>
      <w:marLeft w:val="0"/>
      <w:marRight w:val="0"/>
      <w:marTop w:val="0"/>
      <w:marBottom w:val="0"/>
      <w:divBdr>
        <w:top w:val="none" w:sz="0" w:space="0" w:color="auto"/>
        <w:left w:val="none" w:sz="0" w:space="0" w:color="auto"/>
        <w:bottom w:val="none" w:sz="0" w:space="0" w:color="auto"/>
        <w:right w:val="none" w:sz="0" w:space="0" w:color="auto"/>
      </w:divBdr>
    </w:div>
    <w:div w:id="1884097090">
      <w:bodyDiv w:val="1"/>
      <w:marLeft w:val="0"/>
      <w:marRight w:val="0"/>
      <w:marTop w:val="0"/>
      <w:marBottom w:val="0"/>
      <w:divBdr>
        <w:top w:val="none" w:sz="0" w:space="0" w:color="auto"/>
        <w:left w:val="none" w:sz="0" w:space="0" w:color="auto"/>
        <w:bottom w:val="none" w:sz="0" w:space="0" w:color="auto"/>
        <w:right w:val="none" w:sz="0" w:space="0" w:color="auto"/>
      </w:divBdr>
    </w:div>
    <w:div w:id="1910967231">
      <w:bodyDiv w:val="1"/>
      <w:marLeft w:val="0"/>
      <w:marRight w:val="0"/>
      <w:marTop w:val="0"/>
      <w:marBottom w:val="0"/>
      <w:divBdr>
        <w:top w:val="none" w:sz="0" w:space="0" w:color="auto"/>
        <w:left w:val="none" w:sz="0" w:space="0" w:color="auto"/>
        <w:bottom w:val="none" w:sz="0" w:space="0" w:color="auto"/>
        <w:right w:val="none" w:sz="0" w:space="0" w:color="auto"/>
      </w:divBdr>
    </w:div>
    <w:div w:id="2031027711">
      <w:bodyDiv w:val="1"/>
      <w:marLeft w:val="0"/>
      <w:marRight w:val="0"/>
      <w:marTop w:val="0"/>
      <w:marBottom w:val="0"/>
      <w:divBdr>
        <w:top w:val="none" w:sz="0" w:space="0" w:color="auto"/>
        <w:left w:val="none" w:sz="0" w:space="0" w:color="auto"/>
        <w:bottom w:val="none" w:sz="0" w:space="0" w:color="auto"/>
        <w:right w:val="none" w:sz="0" w:space="0" w:color="auto"/>
      </w:divBdr>
    </w:div>
    <w:div w:id="2051761337">
      <w:bodyDiv w:val="1"/>
      <w:marLeft w:val="0"/>
      <w:marRight w:val="0"/>
      <w:marTop w:val="0"/>
      <w:marBottom w:val="0"/>
      <w:divBdr>
        <w:top w:val="none" w:sz="0" w:space="0" w:color="auto"/>
        <w:left w:val="none" w:sz="0" w:space="0" w:color="auto"/>
        <w:bottom w:val="none" w:sz="0" w:space="0" w:color="auto"/>
        <w:right w:val="none" w:sz="0" w:space="0" w:color="auto"/>
      </w:divBdr>
    </w:div>
    <w:div w:id="21459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37B7-DDB0-46E6-AE4C-B9B829324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2</TotalTime>
  <Pages>5</Pages>
  <Words>1466</Words>
  <Characters>7336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2019-04-05T14:33:00Z</cp:lastPrinted>
  <dcterms:created xsi:type="dcterms:W3CDTF">2019-10-29T23:14:00Z</dcterms:created>
  <dcterms:modified xsi:type="dcterms:W3CDTF">2019-10-29T23:14:00Z</dcterms:modified>
</cp:coreProperties>
</file>