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EC13" w14:textId="77777777" w:rsidR="001C4EC5" w:rsidRPr="00356462" w:rsidRDefault="007F7688" w:rsidP="00900F23">
      <w:pPr>
        <w:pStyle w:val="Ttulo4"/>
        <w:tabs>
          <w:tab w:val="left" w:pos="0"/>
          <w:tab w:val="right" w:pos="9356"/>
        </w:tabs>
        <w:spacing w:after="240"/>
        <w:ind w:left="0"/>
        <w:rPr>
          <w:rFonts w:ascii="Bookman Old Style" w:hAnsi="Bookman Old Style"/>
          <w:b w:val="0"/>
          <w:bCs/>
          <w:noProof/>
          <w:sz w:val="24"/>
          <w:szCs w:val="24"/>
          <w:lang w:val="es-ES"/>
        </w:rPr>
      </w:pPr>
      <w:r>
        <w:rPr>
          <w:rFonts w:ascii="Bookman Old Style" w:hAnsi="Bookman Old Style"/>
          <w:noProof/>
          <w:szCs w:val="24"/>
        </w:rPr>
        <w:object w:dxaOrig="1440" w:dyaOrig="1440" w14:anchorId="0CE3F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92806792" r:id="rId12"/>
        </w:object>
      </w:r>
      <w:r w:rsidR="001C4EC5" w:rsidRPr="00356462">
        <w:rPr>
          <w:rFonts w:ascii="Bookman Old Style" w:hAnsi="Bookman Old Style"/>
          <w:b w:val="0"/>
          <w:bCs/>
          <w:sz w:val="24"/>
          <w:szCs w:val="24"/>
        </w:rPr>
        <w:t>Ministerio de Minas y Energía</w:t>
      </w:r>
    </w:p>
    <w:p w14:paraId="3CB66E1A" w14:textId="77777777" w:rsidR="001C4EC5" w:rsidRPr="00356462" w:rsidRDefault="001C4EC5" w:rsidP="0040389F">
      <w:pPr>
        <w:pStyle w:val="Ttulo3"/>
        <w:tabs>
          <w:tab w:val="left" w:pos="0"/>
          <w:tab w:val="right" w:pos="9356"/>
        </w:tabs>
        <w:spacing w:before="240" w:after="480"/>
        <w:ind w:left="0"/>
        <w:rPr>
          <w:rFonts w:ascii="Bookman Old Style" w:hAnsi="Bookman Old Style" w:cs="Arial"/>
          <w:spacing w:val="20"/>
          <w:szCs w:val="24"/>
        </w:rPr>
      </w:pPr>
      <w:r w:rsidRPr="00356462">
        <w:rPr>
          <w:rFonts w:ascii="Bookman Old Style" w:hAnsi="Bookman Old Style" w:cs="Arial"/>
          <w:spacing w:val="20"/>
          <w:szCs w:val="24"/>
        </w:rPr>
        <w:t>COMISIÓN DE REGULACIÓN DE ENERGÍA Y GAS</w:t>
      </w:r>
    </w:p>
    <w:p w14:paraId="3DAABAD4" w14:textId="1DF46F79" w:rsidR="001C4EC5" w:rsidRPr="00356462" w:rsidRDefault="001C4EC5" w:rsidP="0040389F">
      <w:pPr>
        <w:pStyle w:val="Ttulo5"/>
        <w:tabs>
          <w:tab w:val="left" w:pos="0"/>
          <w:tab w:val="right" w:pos="9356"/>
        </w:tabs>
        <w:spacing w:before="240" w:after="240"/>
        <w:ind w:left="0"/>
        <w:rPr>
          <w:rFonts w:ascii="Bookman Old Style" w:hAnsi="Bookman Old Style"/>
          <w:sz w:val="24"/>
          <w:szCs w:val="24"/>
        </w:rPr>
      </w:pPr>
      <w:r w:rsidRPr="00356462">
        <w:rPr>
          <w:rFonts w:ascii="Bookman Old Style" w:hAnsi="Bookman Old Style"/>
          <w:sz w:val="24"/>
          <w:szCs w:val="24"/>
        </w:rPr>
        <w:t>RESOLUCIÓN No.</w:t>
      </w:r>
      <w:r w:rsidRPr="00900F23">
        <w:rPr>
          <w:rFonts w:ascii="Bookman Old Style" w:hAnsi="Bookman Old Style"/>
          <w:sz w:val="32"/>
          <w:szCs w:val="32"/>
        </w:rPr>
        <w:t xml:space="preserve"> </w:t>
      </w:r>
      <w:r w:rsidR="00900F23" w:rsidRPr="00900F23">
        <w:rPr>
          <w:rFonts w:ascii="Bookman Old Style" w:hAnsi="Bookman Old Style"/>
          <w:sz w:val="32"/>
          <w:szCs w:val="32"/>
        </w:rPr>
        <w:t>128</w:t>
      </w:r>
      <w:r w:rsidRPr="00900F23">
        <w:rPr>
          <w:rFonts w:ascii="Bookman Old Style" w:hAnsi="Bookman Old Style"/>
          <w:sz w:val="32"/>
          <w:szCs w:val="32"/>
        </w:rPr>
        <w:t xml:space="preserve">   </w:t>
      </w:r>
      <w:r w:rsidRPr="00356462">
        <w:rPr>
          <w:rFonts w:ascii="Bookman Old Style" w:hAnsi="Bookman Old Style"/>
          <w:sz w:val="24"/>
          <w:szCs w:val="24"/>
        </w:rPr>
        <w:t>DE 20</w:t>
      </w:r>
      <w:r w:rsidR="00432DDF">
        <w:rPr>
          <w:rFonts w:ascii="Bookman Old Style" w:hAnsi="Bookman Old Style"/>
          <w:sz w:val="24"/>
          <w:szCs w:val="24"/>
        </w:rPr>
        <w:t>21</w:t>
      </w:r>
    </w:p>
    <w:p w14:paraId="57856419" w14:textId="556D2BCD" w:rsidR="00642C11" w:rsidRPr="00356462" w:rsidRDefault="001C4EC5" w:rsidP="00A45831">
      <w:pPr>
        <w:pStyle w:val="Ttulo3"/>
        <w:tabs>
          <w:tab w:val="left" w:pos="0"/>
          <w:tab w:val="right" w:pos="9356"/>
        </w:tabs>
        <w:spacing w:before="240" w:after="720"/>
        <w:ind w:left="0"/>
        <w:rPr>
          <w:rFonts w:ascii="Bookman Old Style" w:hAnsi="Bookman Old Style"/>
        </w:rPr>
      </w:pPr>
      <w:r w:rsidRPr="00356462">
        <w:rPr>
          <w:rFonts w:ascii="Bookman Old Style" w:hAnsi="Bookman Old Style"/>
          <w:b w:val="0"/>
          <w:szCs w:val="24"/>
        </w:rPr>
        <w:t xml:space="preserve">(   </w:t>
      </w:r>
      <w:r w:rsidR="00900F23">
        <w:rPr>
          <w:rFonts w:ascii="Bookman Old Style" w:hAnsi="Bookman Old Style"/>
          <w:bCs/>
          <w:sz w:val="32"/>
          <w:szCs w:val="32"/>
        </w:rPr>
        <w:t xml:space="preserve">30 AGO. </w:t>
      </w:r>
      <w:r w:rsidR="000C120A" w:rsidRPr="000C120A">
        <w:rPr>
          <w:rFonts w:ascii="Bookman Old Style" w:hAnsi="Bookman Old Style"/>
          <w:bCs/>
          <w:sz w:val="32"/>
          <w:szCs w:val="32"/>
        </w:rPr>
        <w:t>2021</w:t>
      </w:r>
      <w:r w:rsidRPr="00356462">
        <w:rPr>
          <w:rFonts w:ascii="Bookman Old Style" w:hAnsi="Bookman Old Style"/>
          <w:b w:val="0"/>
          <w:szCs w:val="24"/>
        </w:rPr>
        <w:t xml:space="preserve">  )</w:t>
      </w:r>
    </w:p>
    <w:p w14:paraId="335DFD08" w14:textId="108F783E" w:rsidR="001C4EC5" w:rsidRPr="00356462" w:rsidRDefault="00AD7AAE" w:rsidP="00642C11">
      <w:pPr>
        <w:ind w:left="0"/>
        <w:jc w:val="center"/>
        <w:rPr>
          <w:rFonts w:ascii="Bookman Old Style" w:hAnsi="Bookman Old Style"/>
        </w:rPr>
      </w:pPr>
      <w:bookmarkStart w:id="0" w:name="_Hlk57794988"/>
      <w:r w:rsidRPr="00356462">
        <w:rPr>
          <w:rFonts w:ascii="Bookman Old Style" w:hAnsi="Bookman Old Style"/>
        </w:rPr>
        <w:t xml:space="preserve">Por la cual se </w:t>
      </w:r>
      <w:r w:rsidR="00432DDF">
        <w:rPr>
          <w:rFonts w:ascii="Bookman Old Style" w:hAnsi="Bookman Old Style"/>
        </w:rPr>
        <w:t>hace</w:t>
      </w:r>
      <w:r w:rsidR="00C243A4">
        <w:rPr>
          <w:rFonts w:ascii="Bookman Old Style" w:hAnsi="Bookman Old Style"/>
        </w:rPr>
        <w:t>n</w:t>
      </w:r>
      <w:r w:rsidR="00432DDF">
        <w:rPr>
          <w:rFonts w:ascii="Bookman Old Style" w:hAnsi="Bookman Old Style"/>
        </w:rPr>
        <w:t xml:space="preserve"> unos ajustes a la </w:t>
      </w:r>
      <w:r w:rsidRPr="00356462">
        <w:rPr>
          <w:rFonts w:ascii="Bookman Old Style" w:hAnsi="Bookman Old Style"/>
        </w:rPr>
        <w:t>Resolución CREG 152 de 2017</w:t>
      </w:r>
      <w:r w:rsidR="007D6C0A">
        <w:rPr>
          <w:rFonts w:ascii="Bookman Old Style" w:hAnsi="Bookman Old Style"/>
        </w:rPr>
        <w:t xml:space="preserve"> </w:t>
      </w:r>
    </w:p>
    <w:bookmarkEnd w:id="0"/>
    <w:p w14:paraId="37C0EF9A" w14:textId="13DF68DB" w:rsidR="00642C11" w:rsidRDefault="00642C11" w:rsidP="00642C11">
      <w:pPr>
        <w:ind w:left="0"/>
        <w:jc w:val="center"/>
        <w:rPr>
          <w:rFonts w:ascii="Bookman Old Style" w:hAnsi="Bookman Old Style"/>
        </w:rPr>
      </w:pPr>
    </w:p>
    <w:p w14:paraId="7CC6569F" w14:textId="77777777" w:rsidR="00900F23" w:rsidRPr="00356462" w:rsidRDefault="00900F23" w:rsidP="00642C11">
      <w:pPr>
        <w:ind w:left="0"/>
        <w:jc w:val="center"/>
        <w:rPr>
          <w:rFonts w:ascii="Bookman Old Style" w:hAnsi="Bookman Old Style"/>
        </w:rPr>
      </w:pPr>
    </w:p>
    <w:p w14:paraId="7FB4BCA9" w14:textId="60FA4568" w:rsidR="001C4EC5" w:rsidRDefault="001C4EC5" w:rsidP="00900F23">
      <w:pPr>
        <w:ind w:left="0"/>
        <w:jc w:val="center"/>
        <w:rPr>
          <w:rFonts w:ascii="Bookman Old Style" w:hAnsi="Bookman Old Style" w:cs="Arial"/>
          <w:b/>
          <w:color w:val="000000"/>
        </w:rPr>
      </w:pPr>
      <w:r w:rsidRPr="00356462">
        <w:rPr>
          <w:rFonts w:ascii="Bookman Old Style" w:hAnsi="Bookman Old Style" w:cs="Arial"/>
          <w:b/>
          <w:color w:val="000000"/>
        </w:rPr>
        <w:t>LA COMISIÓN DE REGULACIÓN DE ENERGÍA Y GAS</w:t>
      </w:r>
    </w:p>
    <w:p w14:paraId="7C45912D" w14:textId="77777777" w:rsidR="00900F23" w:rsidRPr="00356462" w:rsidRDefault="00900F23" w:rsidP="00900F23">
      <w:pPr>
        <w:ind w:left="0"/>
        <w:jc w:val="center"/>
        <w:rPr>
          <w:rFonts w:ascii="Bookman Old Style" w:hAnsi="Bookman Old Style" w:cs="Arial"/>
          <w:b/>
          <w:color w:val="000000"/>
        </w:rPr>
      </w:pPr>
    </w:p>
    <w:p w14:paraId="53B697CE" w14:textId="7FEDF708" w:rsidR="001C4EC5" w:rsidRPr="00356462" w:rsidRDefault="001C4EC5" w:rsidP="00900F23">
      <w:pPr>
        <w:spacing w:after="480"/>
        <w:ind w:left="0"/>
        <w:jc w:val="center"/>
        <w:rPr>
          <w:rFonts w:ascii="Bookman Old Style" w:hAnsi="Bookman Old Style" w:cs="Arial"/>
          <w:color w:val="000000"/>
        </w:rPr>
      </w:pPr>
      <w:r w:rsidRPr="00356462">
        <w:rPr>
          <w:rFonts w:ascii="Bookman Old Style" w:hAnsi="Bookman Old Style" w:cs="Arial"/>
          <w:color w:val="000000"/>
        </w:rPr>
        <w:t>En ejercicio de sus atribuciones legales, en especial las conferidas por la Ley 142 de 1994, y en desarrollo de los decretos 152</w:t>
      </w:r>
      <w:r w:rsidR="003C15B3">
        <w:rPr>
          <w:rFonts w:ascii="Bookman Old Style" w:hAnsi="Bookman Old Style" w:cs="Arial"/>
          <w:color w:val="000000"/>
        </w:rPr>
        <w:t>4</w:t>
      </w:r>
      <w:r w:rsidRPr="00356462">
        <w:rPr>
          <w:rFonts w:ascii="Bookman Old Style" w:hAnsi="Bookman Old Style" w:cs="Arial"/>
          <w:color w:val="000000"/>
        </w:rPr>
        <w:t xml:space="preserve"> y 2253 de 1994</w:t>
      </w:r>
      <w:r w:rsidR="00D33487">
        <w:rPr>
          <w:rFonts w:ascii="Bookman Old Style" w:hAnsi="Bookman Old Style" w:cs="Arial"/>
          <w:color w:val="000000"/>
        </w:rPr>
        <w:t>,</w:t>
      </w:r>
      <w:r w:rsidRPr="00356462">
        <w:rPr>
          <w:rFonts w:ascii="Bookman Old Style" w:hAnsi="Bookman Old Style" w:cs="Arial"/>
          <w:color w:val="000000"/>
        </w:rPr>
        <w:t xml:space="preserve"> y 1260 de 2013, y</w:t>
      </w:r>
    </w:p>
    <w:p w14:paraId="1EEA8FC8" w14:textId="77777777" w:rsidR="001C4EC5" w:rsidRPr="00356462" w:rsidRDefault="001C4EC5" w:rsidP="0040389F">
      <w:pPr>
        <w:spacing w:before="480" w:after="480"/>
        <w:ind w:left="0"/>
        <w:jc w:val="center"/>
        <w:rPr>
          <w:rFonts w:ascii="Bookman Old Style" w:hAnsi="Bookman Old Style"/>
          <w:b/>
        </w:rPr>
      </w:pPr>
      <w:r w:rsidRPr="00356462">
        <w:rPr>
          <w:rFonts w:ascii="Bookman Old Style" w:hAnsi="Bookman Old Style"/>
          <w:b/>
        </w:rPr>
        <w:t>C O N S I D E R A N D O  Q U E:</w:t>
      </w:r>
    </w:p>
    <w:p w14:paraId="456301F5" w14:textId="77777777" w:rsidR="00BF2BC2" w:rsidRPr="00356462" w:rsidRDefault="00BF2BC2" w:rsidP="00BF2BC2">
      <w:pPr>
        <w:pStyle w:val="Textoindependiente2"/>
        <w:spacing w:after="0" w:line="240" w:lineRule="auto"/>
        <w:ind w:left="0"/>
        <w:jc w:val="both"/>
        <w:rPr>
          <w:rFonts w:ascii="Bookman Old Style" w:hAnsi="Bookman Old Style"/>
          <w:i/>
          <w:color w:val="000000"/>
          <w:lang w:val="es-ES_tradnl"/>
        </w:rPr>
      </w:pPr>
      <w:r w:rsidRPr="00356462">
        <w:rPr>
          <w:rFonts w:ascii="Bookman Old Style" w:hAnsi="Bookman Old Style"/>
          <w:color w:val="000000"/>
          <w:lang w:val="es-ES_tradnl"/>
        </w:rPr>
        <w:t xml:space="preserve">El 26 de mayo de 2015, se profirió el Decreto 1073 de 2015, </w:t>
      </w:r>
      <w:r w:rsidRPr="00356462">
        <w:rPr>
          <w:rFonts w:ascii="Bookman Old Style" w:hAnsi="Bookman Old Style"/>
          <w:i/>
          <w:color w:val="000000"/>
          <w:lang w:val="es-ES_tradnl"/>
        </w:rPr>
        <w:t>Por medio del cual se expide el Decreto Único Reglamentario del Sector Administrativo de Minas y Energía.</w:t>
      </w:r>
    </w:p>
    <w:p w14:paraId="024EF2DE"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29C7E07A" w14:textId="644F2746"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 xml:space="preserve">A través del Decreto 2345 de 2015 se adicionó el Decreto Único Reglamentario del Sector Administrativo de Minas y Energía, </w:t>
      </w:r>
      <w:r w:rsidR="002D30E4">
        <w:rPr>
          <w:rFonts w:ascii="Bookman Old Style" w:hAnsi="Bookman Old Style"/>
          <w:color w:val="000000"/>
          <w:lang w:val="es-ES_tradnl"/>
        </w:rPr>
        <w:t xml:space="preserve">Decreto </w:t>
      </w:r>
      <w:r w:rsidRPr="00356462">
        <w:rPr>
          <w:rFonts w:ascii="Bookman Old Style" w:hAnsi="Bookman Old Style"/>
          <w:color w:val="000000"/>
          <w:lang w:val="es-ES_tradnl"/>
        </w:rPr>
        <w:t>1073 de 2015, con lineamientos orientados a aumentar la confiabilidad y seguridad de abastecimiento de gas natural, estableciendo ordenamientos para la identificación, ejecución y remuneración de los proyectos requeridos con este fin.</w:t>
      </w:r>
    </w:p>
    <w:p w14:paraId="73FB7A24"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1189B569" w14:textId="7A2A779A"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El Artículo 5 del Decreto 2345 de 2015, que a su vez modifica el Artículo 2.2.2.2.29 del Decreto Único Reglamentario del sector administrativo de Minas y Energía</w:t>
      </w:r>
      <w:r w:rsidR="002D30E4">
        <w:rPr>
          <w:rFonts w:ascii="Bookman Old Style" w:hAnsi="Bookman Old Style"/>
          <w:color w:val="000000"/>
          <w:lang w:val="es-ES_tradnl"/>
        </w:rPr>
        <w:t>, Decreto</w:t>
      </w:r>
      <w:r w:rsidRPr="00356462">
        <w:rPr>
          <w:rFonts w:ascii="Bookman Old Style" w:hAnsi="Bookman Old Style"/>
          <w:color w:val="000000"/>
          <w:lang w:val="es-ES_tradnl"/>
        </w:rPr>
        <w:t xml:space="preserve"> 1073 de 2015, delega en la CREG la expedición de la regulación aplicable a los proyectos incluidos en el plan de abastecimiento de gas natural, la definición de los mecanismo</w:t>
      </w:r>
      <w:r w:rsidRPr="00356462">
        <w:rPr>
          <w:rFonts w:ascii="Bookman Old Style" w:hAnsi="Bookman Old Style"/>
          <w:color w:val="000000"/>
          <w:lang w:val="es-419"/>
        </w:rPr>
        <w:t xml:space="preserve">s necesarios para el </w:t>
      </w:r>
      <w:r w:rsidRPr="00356462">
        <w:rPr>
          <w:rFonts w:ascii="Bookman Old Style" w:hAnsi="Bookman Old Style"/>
          <w:color w:val="000000"/>
          <w:lang w:val="es-ES_tradnl"/>
        </w:rPr>
        <w:t>desarrollo de los proyectos</w:t>
      </w:r>
      <w:r w:rsidRPr="00356462">
        <w:rPr>
          <w:rFonts w:ascii="Bookman Old Style" w:hAnsi="Bookman Old Style"/>
          <w:color w:val="000000"/>
          <w:lang w:val="es-419"/>
        </w:rPr>
        <w:t xml:space="preserve"> por los transportadores o por </w:t>
      </w:r>
      <w:r w:rsidRPr="00356462">
        <w:rPr>
          <w:rFonts w:ascii="Bookman Old Style" w:hAnsi="Bookman Old Style"/>
          <w:color w:val="000000"/>
          <w:lang w:val="es-ES_tradnl"/>
        </w:rPr>
        <w:t>mecanismos abiertos y competitivos, la metodología de remuneración y las obligaciones de los agentes en la ejecución de proyectos.</w:t>
      </w:r>
    </w:p>
    <w:p w14:paraId="6B013A35" w14:textId="77777777"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p>
    <w:p w14:paraId="292304E2" w14:textId="672AE03F"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Continúa el mencionado artículo</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y para la definición de las metodologías de remuneración de los proyectos de confiabilidad y/o seguridad de abastecimiento</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estableció que la CREG tendría en cuenta los costos de racionamiento, la consideración de cargos fijos y cargos variables</w:t>
      </w:r>
      <w:r w:rsidR="00D33487">
        <w:rPr>
          <w:rFonts w:ascii="Bookman Old Style" w:hAnsi="Bookman Old Style"/>
          <w:color w:val="000000"/>
          <w:lang w:val="es-ES_tradnl"/>
        </w:rPr>
        <w:t>,</w:t>
      </w:r>
      <w:r w:rsidRPr="00356462">
        <w:rPr>
          <w:rFonts w:ascii="Bookman Old Style" w:hAnsi="Bookman Old Style"/>
          <w:color w:val="000000"/>
          <w:lang w:val="es-ES_tradnl"/>
        </w:rPr>
        <w:t xml:space="preserve"> y otras variables técnicas que determine en el ejercicio de sus funciones. </w:t>
      </w:r>
      <w:r w:rsidR="00A45831">
        <w:rPr>
          <w:rFonts w:ascii="Bookman Old Style" w:hAnsi="Bookman Old Style"/>
          <w:color w:val="000000"/>
          <w:lang w:val="es-ES_tradnl"/>
        </w:rPr>
        <w:t xml:space="preserve">Así </w:t>
      </w:r>
      <w:r w:rsidRPr="00356462">
        <w:rPr>
          <w:rFonts w:ascii="Bookman Old Style" w:hAnsi="Bookman Old Style"/>
          <w:color w:val="000000"/>
          <w:lang w:val="es-ES_tradnl"/>
        </w:rPr>
        <w:t xml:space="preserve">mismo, estableció que todos los usuarios, incluyendo los de la demanda esencial, deberán ser sujetos de cobro para remunerar los proyectos de confiabilidad y seguridad de abastecimiento de los que son beneficiarios. </w:t>
      </w:r>
    </w:p>
    <w:p w14:paraId="3F7F0EDE" w14:textId="77777777" w:rsidR="00BF2BC2" w:rsidRPr="00356462" w:rsidRDefault="00BF2BC2" w:rsidP="00BF2BC2">
      <w:pPr>
        <w:pStyle w:val="Textoindependiente2"/>
        <w:spacing w:after="0" w:line="240" w:lineRule="auto"/>
        <w:ind w:left="0"/>
        <w:jc w:val="both"/>
        <w:rPr>
          <w:rFonts w:ascii="Bookman Old Style" w:hAnsi="Bookman Old Style"/>
          <w:color w:val="FF0000"/>
          <w:lang w:val="es-419"/>
        </w:rPr>
      </w:pPr>
    </w:p>
    <w:p w14:paraId="254CB809" w14:textId="77777777" w:rsidR="00900F23" w:rsidRDefault="00900F23" w:rsidP="00BF2BC2">
      <w:pPr>
        <w:pStyle w:val="Textoindependiente2"/>
        <w:spacing w:after="0" w:line="240" w:lineRule="auto"/>
        <w:ind w:left="0"/>
        <w:jc w:val="both"/>
        <w:rPr>
          <w:rFonts w:ascii="Bookman Old Style" w:hAnsi="Bookman Old Style"/>
          <w:color w:val="000000"/>
          <w:lang w:val="es-ES_tradnl"/>
        </w:rPr>
      </w:pPr>
    </w:p>
    <w:p w14:paraId="086A4068" w14:textId="5CBBA242" w:rsidR="00BF2BC2" w:rsidRPr="00356462" w:rsidRDefault="00BF2BC2" w:rsidP="00BF2BC2">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 xml:space="preserve">Finalmente, y en relación con el artículo en mención, el parágrafo del mismo establece que “La UPME será responsable de la aplicación de los mecanismos abiertos y competitivos a los que se refiere este artículo”. </w:t>
      </w:r>
    </w:p>
    <w:p w14:paraId="6F357C84"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p>
    <w:p w14:paraId="71F6D0A2" w14:textId="2C1FFF42" w:rsidR="00DD3F63" w:rsidRPr="00356462" w:rsidRDefault="00DD3F63" w:rsidP="00DD3F63">
      <w:pPr>
        <w:pStyle w:val="Textoindependiente2"/>
        <w:spacing w:after="0" w:line="240" w:lineRule="auto"/>
        <w:ind w:left="0"/>
        <w:jc w:val="both"/>
        <w:rPr>
          <w:rFonts w:ascii="Bookman Old Style" w:hAnsi="Bookman Old Style"/>
        </w:rPr>
      </w:pPr>
      <w:r w:rsidRPr="00356462">
        <w:rPr>
          <w:rFonts w:ascii="Bookman Old Style" w:hAnsi="Bookman Old Style"/>
          <w:color w:val="000000"/>
          <w:lang w:val="es-ES_tradnl"/>
        </w:rPr>
        <w:t>Mediante la Resolución CREG 107 de 2017</w:t>
      </w:r>
      <w:r w:rsidR="00A45831">
        <w:rPr>
          <w:rFonts w:ascii="Bookman Old Style" w:hAnsi="Bookman Old Style"/>
          <w:color w:val="000000"/>
          <w:lang w:val="es-ES_tradnl"/>
        </w:rPr>
        <w:t>,</w:t>
      </w:r>
      <w:r w:rsidRPr="00356462">
        <w:rPr>
          <w:rFonts w:ascii="Bookman Old Style" w:hAnsi="Bookman Old Style"/>
          <w:color w:val="000000"/>
          <w:lang w:val="es-ES_tradnl"/>
        </w:rPr>
        <w:t xml:space="preserve"> </w:t>
      </w:r>
      <w:r w:rsidRPr="00356462">
        <w:rPr>
          <w:rFonts w:ascii="Bookman Old Style" w:hAnsi="Bookman Old Style"/>
          <w:color w:val="000000"/>
          <w:lang w:val="es-CO"/>
        </w:rPr>
        <w:t xml:space="preserve">la Comisión </w:t>
      </w:r>
      <w:r w:rsidRPr="00356462">
        <w:rPr>
          <w:rFonts w:ascii="Bookman Old Style" w:hAnsi="Bookman Old Style"/>
        </w:rPr>
        <w:t xml:space="preserve">estableció los procedimientos que se deben seguir para ejecutar proyectos del plan de abastecimiento de gas natural. </w:t>
      </w:r>
    </w:p>
    <w:p w14:paraId="24AEBA49" w14:textId="77777777" w:rsidR="00DD3F63" w:rsidRPr="00356462" w:rsidRDefault="00DD3F63" w:rsidP="00DD3F63">
      <w:pPr>
        <w:pStyle w:val="Textoindependiente2"/>
        <w:spacing w:after="0" w:line="240" w:lineRule="auto"/>
        <w:ind w:left="0"/>
        <w:jc w:val="both"/>
        <w:rPr>
          <w:rFonts w:ascii="Bookman Old Style" w:hAnsi="Bookman Old Style"/>
        </w:rPr>
      </w:pPr>
    </w:p>
    <w:p w14:paraId="5E2D377E"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r w:rsidRPr="00356462">
        <w:rPr>
          <w:rFonts w:ascii="Bookman Old Style" w:hAnsi="Bookman Old Style"/>
          <w:color w:val="000000"/>
          <w:lang w:val="es-ES_tradnl"/>
        </w:rPr>
        <w:t>En el Parágrafo 3 del Artículo 5 de la Resolución CREG 107 de 2017 se establece que “</w:t>
      </w:r>
      <w:r w:rsidRPr="00A45831">
        <w:rPr>
          <w:rFonts w:ascii="Bookman Old Style" w:hAnsi="Bookman Old Style"/>
          <w:i/>
          <w:iCs/>
        </w:rPr>
        <w:t>En Resolución aparte la CREG podrá adoptar regulación complementaria para ejecutar proyectos prioritarios del plan de abastecimiento de gas natural, o del plan transitorio de abastecimiento de gas natural, que por sus características requieran desarrollo regulatorio adicional al establecido en la presente Resolución</w:t>
      </w:r>
      <w:r w:rsidRPr="00356462">
        <w:rPr>
          <w:rFonts w:ascii="Bookman Old Style" w:hAnsi="Bookman Old Style"/>
        </w:rPr>
        <w:t>”.</w:t>
      </w:r>
    </w:p>
    <w:p w14:paraId="07B6C6BA" w14:textId="77777777" w:rsidR="00DD3F63" w:rsidRPr="00356462" w:rsidRDefault="00DD3F63" w:rsidP="00DD3F63">
      <w:pPr>
        <w:pStyle w:val="Textoindependiente2"/>
        <w:spacing w:after="0" w:line="240" w:lineRule="auto"/>
        <w:ind w:left="0"/>
        <w:jc w:val="both"/>
        <w:rPr>
          <w:rFonts w:ascii="Bookman Old Style" w:hAnsi="Bookman Old Style"/>
          <w:color w:val="000000"/>
          <w:lang w:val="es-ES_tradnl"/>
        </w:rPr>
      </w:pPr>
    </w:p>
    <w:p w14:paraId="09F27AE8" w14:textId="77777777" w:rsidR="00DD3F63" w:rsidRDefault="00DD3F63" w:rsidP="00DD3F63">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ES_tradnl"/>
        </w:rPr>
        <w:t>Con base en lo anterior, se expidió la Resolución CREG 152 de 2017, la cual tiene por objeto 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que la modifiquen o sustituyan.</w:t>
      </w:r>
      <w:r w:rsidRPr="00356462">
        <w:rPr>
          <w:rFonts w:ascii="Bookman Old Style" w:hAnsi="Bookman Old Style"/>
          <w:color w:val="000000"/>
          <w:lang w:val="es-CO"/>
        </w:rPr>
        <w:t xml:space="preserve">  </w:t>
      </w:r>
    </w:p>
    <w:p w14:paraId="62800DC3" w14:textId="77777777" w:rsidR="001426C3" w:rsidRDefault="001426C3" w:rsidP="00DD3F63">
      <w:pPr>
        <w:pStyle w:val="Textoindependiente2"/>
        <w:spacing w:after="0" w:line="240" w:lineRule="auto"/>
        <w:ind w:left="0"/>
        <w:jc w:val="both"/>
        <w:rPr>
          <w:rFonts w:ascii="Bookman Old Style" w:hAnsi="Bookman Old Style"/>
          <w:color w:val="000000"/>
          <w:lang w:val="es-CO"/>
        </w:rPr>
      </w:pPr>
    </w:p>
    <w:p w14:paraId="4D8349C2" w14:textId="72E9B1EB" w:rsidR="001426C3" w:rsidRPr="00356462" w:rsidRDefault="0022666A" w:rsidP="00DD3F63">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Por su parte</w:t>
      </w:r>
      <w:r w:rsidR="00D33487">
        <w:rPr>
          <w:rFonts w:ascii="Bookman Old Style" w:hAnsi="Bookman Old Style"/>
          <w:color w:val="000000"/>
          <w:lang w:val="es-CO"/>
        </w:rPr>
        <w:t>,</w:t>
      </w:r>
      <w:r>
        <w:rPr>
          <w:rFonts w:ascii="Bookman Old Style" w:hAnsi="Bookman Old Style"/>
          <w:color w:val="000000"/>
          <w:lang w:val="es-CO"/>
        </w:rPr>
        <w:t xml:space="preserve"> la anterior resolución fue ajustada por parte de la Resolución CREG 113 de 2018, en relación con lo dispuesto en el Artículo 5 </w:t>
      </w:r>
      <w:r w:rsidR="00184C02">
        <w:rPr>
          <w:rFonts w:ascii="Bookman Old Style" w:hAnsi="Bookman Old Style"/>
          <w:color w:val="000000"/>
          <w:lang w:val="es-CO"/>
        </w:rPr>
        <w:t>res</w:t>
      </w:r>
      <w:r w:rsidR="004B675F">
        <w:rPr>
          <w:rFonts w:ascii="Bookman Old Style" w:hAnsi="Bookman Old Style"/>
          <w:color w:val="000000"/>
          <w:lang w:val="es-CO"/>
        </w:rPr>
        <w:t xml:space="preserve">pecto a los participantes en el </w:t>
      </w:r>
      <w:r w:rsidR="00184C02" w:rsidRPr="00184C02">
        <w:rPr>
          <w:rFonts w:ascii="Bookman Old Style" w:hAnsi="Bookman Old Style"/>
          <w:color w:val="000000"/>
          <w:lang w:val="es-CO"/>
        </w:rPr>
        <w:t xml:space="preserve">proceso de selección para </w:t>
      </w:r>
      <w:r w:rsidR="00673A8E">
        <w:rPr>
          <w:rFonts w:ascii="Bookman Old Style" w:hAnsi="Bookman Old Style"/>
          <w:color w:val="000000"/>
          <w:lang w:val="es-CO"/>
        </w:rPr>
        <w:t>la infraestructura de importa</w:t>
      </w:r>
      <w:r w:rsidR="00D91658">
        <w:rPr>
          <w:rFonts w:ascii="Bookman Old Style" w:hAnsi="Bookman Old Style"/>
          <w:color w:val="000000"/>
          <w:lang w:val="es-CO"/>
        </w:rPr>
        <w:t xml:space="preserve">ción de gas del Pacífico. </w:t>
      </w:r>
    </w:p>
    <w:p w14:paraId="3661C5A3" w14:textId="77777777" w:rsidR="00DD3F63" w:rsidRPr="00356462" w:rsidRDefault="00DD3F63" w:rsidP="00BF2BC2">
      <w:pPr>
        <w:pStyle w:val="Textoindependiente2"/>
        <w:spacing w:after="0" w:line="240" w:lineRule="auto"/>
        <w:ind w:left="0"/>
        <w:jc w:val="both"/>
        <w:rPr>
          <w:rFonts w:ascii="Bookman Old Style" w:hAnsi="Bookman Old Style"/>
          <w:lang w:val="es-419"/>
        </w:rPr>
      </w:pPr>
    </w:p>
    <w:p w14:paraId="5FE7D042" w14:textId="0A5B66D5" w:rsidR="002A67E5" w:rsidRPr="00356462" w:rsidRDefault="002A67E5" w:rsidP="002A67E5">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La Unidad de Planeación Minero Energétic</w:t>
      </w:r>
      <w:r w:rsidR="007D599E">
        <w:rPr>
          <w:rFonts w:ascii="Bookman Old Style" w:hAnsi="Bookman Old Style"/>
          <w:color w:val="000000"/>
          <w:lang w:val="es-CO"/>
        </w:rPr>
        <w:t>o</w:t>
      </w:r>
      <w:r w:rsidRPr="00356462">
        <w:rPr>
          <w:rFonts w:ascii="Bookman Old Style" w:hAnsi="Bookman Old Style"/>
          <w:color w:val="000000"/>
          <w:lang w:val="es-CO"/>
        </w:rPr>
        <w:t xml:space="preserve"> identificó, en el documento “</w:t>
      </w:r>
      <w:r w:rsidRPr="00356462">
        <w:rPr>
          <w:rFonts w:ascii="Bookman Old Style" w:hAnsi="Bookman Old Style"/>
          <w:i/>
          <w:iCs/>
          <w:color w:val="000000"/>
          <w:lang w:val="es-CO"/>
        </w:rPr>
        <w:t>Análisis de Abastecimiento y Confiabilidad del Sector Gas Natural</w:t>
      </w:r>
      <w:r w:rsidRPr="00356462">
        <w:rPr>
          <w:rFonts w:ascii="Bookman Old Style" w:hAnsi="Bookman Old Style"/>
          <w:color w:val="000000"/>
          <w:lang w:val="es-CO"/>
        </w:rPr>
        <w:t>” de julio de 2018, la necesidad de incluir un inventario mínimo como parte del almacenamiento de gas natural licuado de los servicios asociados a la planta de regasificación, con el fin de contar con un volumen interno de inventario con el cual se pueda contar en caso de contingencias</w:t>
      </w:r>
      <w:r w:rsidR="00D33487">
        <w:rPr>
          <w:rFonts w:ascii="Bookman Old Style" w:hAnsi="Bookman Old Style"/>
          <w:color w:val="000000"/>
          <w:lang w:val="es-CO"/>
        </w:rPr>
        <w:t>,</w:t>
      </w:r>
      <w:r w:rsidRPr="00356462">
        <w:rPr>
          <w:rFonts w:ascii="Bookman Old Style" w:hAnsi="Bookman Old Style"/>
          <w:color w:val="000000"/>
          <w:lang w:val="es-CO"/>
        </w:rPr>
        <w:t xml:space="preserve"> como aspecto de confiabilidad</w:t>
      </w:r>
      <w:r w:rsidR="007D599E">
        <w:rPr>
          <w:rFonts w:ascii="Bookman Old Style" w:hAnsi="Bookman Old Style"/>
          <w:color w:val="000000"/>
          <w:lang w:val="es-CO"/>
        </w:rPr>
        <w:t>.</w:t>
      </w:r>
      <w:r w:rsidRPr="00356462">
        <w:rPr>
          <w:rFonts w:ascii="Bookman Old Style" w:hAnsi="Bookman Old Style"/>
          <w:color w:val="000000"/>
          <w:lang w:val="es-CO"/>
        </w:rPr>
        <w:t xml:space="preserve"> </w:t>
      </w:r>
      <w:r w:rsidR="007D599E">
        <w:rPr>
          <w:rFonts w:ascii="Bookman Old Style" w:hAnsi="Bookman Old Style"/>
          <w:color w:val="000000"/>
          <w:lang w:val="es-CO"/>
        </w:rPr>
        <w:t>S</w:t>
      </w:r>
      <w:r w:rsidRPr="00356462">
        <w:rPr>
          <w:rFonts w:ascii="Bookman Old Style" w:hAnsi="Bookman Old Style"/>
          <w:color w:val="000000"/>
          <w:lang w:val="es-CO"/>
        </w:rPr>
        <w:t>e hace necesario incluir el manejo de dicho inventario por parte del adjudicatario y de los agentes que hagan uso del mismo.</w:t>
      </w:r>
    </w:p>
    <w:p w14:paraId="5B2D7035" w14:textId="77777777" w:rsidR="002A67E5" w:rsidRPr="00356462" w:rsidRDefault="002A67E5" w:rsidP="00BF2BC2">
      <w:pPr>
        <w:pStyle w:val="Textoindependiente2"/>
        <w:spacing w:after="0" w:line="240" w:lineRule="auto"/>
        <w:ind w:left="0"/>
        <w:jc w:val="both"/>
        <w:rPr>
          <w:rFonts w:ascii="Bookman Old Style" w:hAnsi="Bookman Old Style"/>
          <w:lang w:val="es-419"/>
        </w:rPr>
      </w:pPr>
    </w:p>
    <w:p w14:paraId="7936813C" w14:textId="586BDD42" w:rsidR="00A60B22" w:rsidRPr="00356462" w:rsidRDefault="00A60B22" w:rsidP="00BF2BC2">
      <w:pPr>
        <w:pStyle w:val="Textoindependiente2"/>
        <w:spacing w:after="0" w:line="240" w:lineRule="auto"/>
        <w:ind w:left="0"/>
        <w:jc w:val="both"/>
        <w:rPr>
          <w:rFonts w:ascii="Bookman Old Style" w:hAnsi="Bookman Old Style"/>
          <w:lang w:val="es-419"/>
        </w:rPr>
      </w:pPr>
      <w:r w:rsidRPr="00356462">
        <w:rPr>
          <w:rFonts w:ascii="Bookman Old Style" w:hAnsi="Bookman Old Style"/>
          <w:lang w:val="es-419"/>
        </w:rPr>
        <w:t>En cumplimiento de lo previsto en el Decreto 2345 de 2015, que adiciona el Decreto Único Reglamentario del sector administrativo de Minas y Energía</w:t>
      </w:r>
      <w:r w:rsidR="00A45831">
        <w:rPr>
          <w:rFonts w:ascii="Bookman Old Style" w:hAnsi="Bookman Old Style"/>
          <w:lang w:val="es-419"/>
        </w:rPr>
        <w:t>,</w:t>
      </w:r>
      <w:r w:rsidRPr="00356462">
        <w:rPr>
          <w:rFonts w:ascii="Bookman Old Style" w:hAnsi="Bookman Old Style"/>
          <w:lang w:val="es-419"/>
        </w:rPr>
        <w:t xml:space="preserve"> 1073 de 2015, el Ministerio de Minas y Energía, mediante Resolución 40304 de 2020, adoptó el Plan de Abastecimiento de Gas Natural 2019 – 2028</w:t>
      </w:r>
      <w:r w:rsidR="00A45831">
        <w:rPr>
          <w:rFonts w:ascii="Bookman Old Style" w:hAnsi="Bookman Old Style"/>
          <w:lang w:val="es-419"/>
        </w:rPr>
        <w:t>,</w:t>
      </w:r>
      <w:r w:rsidRPr="00356462">
        <w:rPr>
          <w:rFonts w:ascii="Bookman Old Style" w:hAnsi="Bookman Old Style"/>
          <w:lang w:val="es-419"/>
        </w:rPr>
        <w:t xml:space="preserve"> y derogó la Resolución 4 0006 de 2017. </w:t>
      </w:r>
    </w:p>
    <w:p w14:paraId="3B08CEC9" w14:textId="77777777" w:rsidR="00D81823" w:rsidRPr="00356462" w:rsidRDefault="00D81823" w:rsidP="00BF2BC2">
      <w:pPr>
        <w:pStyle w:val="Textoindependiente2"/>
        <w:spacing w:after="0" w:line="240" w:lineRule="auto"/>
        <w:ind w:left="0"/>
        <w:jc w:val="both"/>
        <w:rPr>
          <w:rFonts w:ascii="Bookman Old Style" w:hAnsi="Bookman Old Style"/>
          <w:lang w:val="es-419"/>
        </w:rPr>
      </w:pPr>
    </w:p>
    <w:p w14:paraId="5BF1D5C0" w14:textId="6F84A090" w:rsidR="00A60B22" w:rsidRDefault="00A60B22"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419"/>
        </w:rPr>
        <w:t>E</w:t>
      </w:r>
      <w:r w:rsidRPr="00356462">
        <w:rPr>
          <w:rFonts w:ascii="Bookman Old Style" w:hAnsi="Bookman Old Style"/>
          <w:color w:val="000000"/>
          <w:lang w:val="es-CO"/>
        </w:rPr>
        <w:t xml:space="preserve">n el numeral 1.2 del artículo 1 de la </w:t>
      </w:r>
      <w:r w:rsidR="00B21424" w:rsidRPr="00356462">
        <w:rPr>
          <w:rFonts w:ascii="Bookman Old Style" w:hAnsi="Bookman Old Style"/>
          <w:lang w:val="es-419"/>
        </w:rPr>
        <w:t>Resolución 40304 de 2020</w:t>
      </w:r>
      <w:r>
        <w:rPr>
          <w:rFonts w:ascii="Bookman Old Style" w:hAnsi="Bookman Old Style"/>
          <w:lang w:val="es-419"/>
        </w:rPr>
        <w:t xml:space="preserve"> </w:t>
      </w:r>
      <w:r w:rsidRPr="00356462">
        <w:rPr>
          <w:rFonts w:ascii="Bookman Old Style" w:hAnsi="Bookman Old Style"/>
          <w:color w:val="000000"/>
          <w:lang w:val="es-CO"/>
        </w:rPr>
        <w:t>se incluye</w:t>
      </w:r>
      <w:r w:rsidR="00294C5D">
        <w:rPr>
          <w:rFonts w:ascii="Bookman Old Style" w:hAnsi="Bookman Old Style"/>
          <w:color w:val="000000"/>
          <w:lang w:val="es-CO"/>
        </w:rPr>
        <w:t xml:space="preserve"> la </w:t>
      </w:r>
      <w:r w:rsidR="00C77928">
        <w:rPr>
          <w:rFonts w:ascii="Bookman Old Style" w:hAnsi="Bookman Old Style"/>
          <w:color w:val="000000"/>
          <w:lang w:val="es-CO"/>
        </w:rPr>
        <w:t xml:space="preserve">fecha de entrada de la infraestructura de importación de gas del Pacífico, así: </w:t>
      </w:r>
    </w:p>
    <w:p w14:paraId="4E10B470" w14:textId="71E71DE7" w:rsidR="00D33487" w:rsidRDefault="00D33487" w:rsidP="00A60B22">
      <w:pPr>
        <w:pStyle w:val="Textoindependiente2"/>
        <w:spacing w:after="0" w:line="240" w:lineRule="auto"/>
        <w:ind w:left="0"/>
        <w:jc w:val="both"/>
        <w:rPr>
          <w:rFonts w:ascii="Bookman Old Style" w:hAnsi="Bookman Old Style"/>
          <w:color w:val="00000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962"/>
        <w:gridCol w:w="2622"/>
      </w:tblGrid>
      <w:tr w:rsidR="00A60B22" w:rsidRPr="00356462" w14:paraId="0A6A1213" w14:textId="77777777" w:rsidTr="00900F23">
        <w:trPr>
          <w:jc w:val="center"/>
        </w:trPr>
        <w:tc>
          <w:tcPr>
            <w:tcW w:w="1058" w:type="dxa"/>
            <w:shd w:val="clear" w:color="auto" w:fill="auto"/>
            <w:vAlign w:val="center"/>
          </w:tcPr>
          <w:p w14:paraId="4FDA718C" w14:textId="77777777" w:rsidR="00A60B22" w:rsidRPr="00356462" w:rsidRDefault="00A60B22" w:rsidP="00B25060">
            <w:pPr>
              <w:ind w:left="29"/>
              <w:jc w:val="center"/>
              <w:rPr>
                <w:rFonts w:ascii="Bookman Old Style" w:hAnsi="Bookman Old Style"/>
                <w:b/>
                <w:sz w:val="20"/>
              </w:rPr>
            </w:pPr>
            <w:r w:rsidRPr="00356462">
              <w:rPr>
                <w:rFonts w:ascii="Bookman Old Style" w:hAnsi="Bookman Old Style"/>
                <w:b/>
                <w:sz w:val="20"/>
              </w:rPr>
              <w:t>Número</w:t>
            </w:r>
          </w:p>
        </w:tc>
        <w:tc>
          <w:tcPr>
            <w:tcW w:w="4962" w:type="dxa"/>
            <w:shd w:val="clear" w:color="auto" w:fill="auto"/>
            <w:vAlign w:val="center"/>
          </w:tcPr>
          <w:p w14:paraId="0A42F88E" w14:textId="77777777" w:rsidR="00A60B22" w:rsidRPr="00356462" w:rsidRDefault="00A60B22" w:rsidP="00B25060">
            <w:pPr>
              <w:ind w:left="134"/>
              <w:jc w:val="center"/>
              <w:rPr>
                <w:rFonts w:ascii="Bookman Old Style" w:hAnsi="Bookman Old Style"/>
                <w:b/>
                <w:sz w:val="20"/>
              </w:rPr>
            </w:pPr>
            <w:r w:rsidRPr="00356462">
              <w:rPr>
                <w:rFonts w:ascii="Bookman Old Style" w:hAnsi="Bookman Old Style"/>
                <w:b/>
                <w:sz w:val="20"/>
              </w:rPr>
              <w:t>Proyecto</w:t>
            </w:r>
          </w:p>
        </w:tc>
        <w:tc>
          <w:tcPr>
            <w:tcW w:w="2622" w:type="dxa"/>
            <w:shd w:val="clear" w:color="auto" w:fill="auto"/>
            <w:vAlign w:val="center"/>
          </w:tcPr>
          <w:p w14:paraId="46461A41" w14:textId="77777777" w:rsidR="00A60B22" w:rsidRPr="00356462" w:rsidRDefault="00A60B22" w:rsidP="00B25060">
            <w:pPr>
              <w:ind w:left="104"/>
              <w:jc w:val="center"/>
              <w:rPr>
                <w:rFonts w:ascii="Bookman Old Style" w:hAnsi="Bookman Old Style"/>
                <w:b/>
                <w:sz w:val="20"/>
              </w:rPr>
            </w:pPr>
            <w:r w:rsidRPr="00356462">
              <w:rPr>
                <w:rFonts w:ascii="Bookman Old Style" w:hAnsi="Bookman Old Style"/>
                <w:b/>
                <w:sz w:val="20"/>
              </w:rPr>
              <w:t>Año y mes de entrada en operación</w:t>
            </w:r>
          </w:p>
        </w:tc>
      </w:tr>
      <w:tr w:rsidR="00A60B22" w:rsidRPr="00356462" w14:paraId="0D7471D7" w14:textId="77777777" w:rsidTr="00900F23">
        <w:trPr>
          <w:jc w:val="center"/>
        </w:trPr>
        <w:tc>
          <w:tcPr>
            <w:tcW w:w="1058" w:type="dxa"/>
            <w:shd w:val="clear" w:color="auto" w:fill="auto"/>
            <w:vAlign w:val="center"/>
          </w:tcPr>
          <w:p w14:paraId="224409F1" w14:textId="77777777" w:rsidR="00A60B22" w:rsidRPr="00356462" w:rsidRDefault="00A60B22" w:rsidP="00B25060">
            <w:pPr>
              <w:ind w:left="29"/>
              <w:jc w:val="center"/>
              <w:rPr>
                <w:rFonts w:ascii="Bookman Old Style" w:hAnsi="Bookman Old Style"/>
                <w:sz w:val="20"/>
              </w:rPr>
            </w:pPr>
            <w:r w:rsidRPr="00356462">
              <w:rPr>
                <w:rFonts w:ascii="Bookman Old Style" w:hAnsi="Bookman Old Style"/>
                <w:sz w:val="20"/>
              </w:rPr>
              <w:t>vii</w:t>
            </w:r>
          </w:p>
        </w:tc>
        <w:tc>
          <w:tcPr>
            <w:tcW w:w="4962" w:type="dxa"/>
            <w:shd w:val="clear" w:color="auto" w:fill="auto"/>
            <w:vAlign w:val="center"/>
          </w:tcPr>
          <w:p w14:paraId="273E2E61" w14:textId="77777777" w:rsidR="00A60B22" w:rsidRPr="00356462" w:rsidRDefault="00A60B22" w:rsidP="00A60B22">
            <w:pPr>
              <w:ind w:left="134"/>
              <w:rPr>
                <w:rFonts w:ascii="Bookman Old Style" w:hAnsi="Bookman Old Style"/>
                <w:sz w:val="20"/>
                <w:szCs w:val="20"/>
              </w:rPr>
            </w:pPr>
            <w:r w:rsidRPr="00356462">
              <w:rPr>
                <w:rFonts w:ascii="Bookman Old Style" w:hAnsi="Bookman Old Style"/>
                <w:sz w:val="20"/>
                <w:szCs w:val="20"/>
              </w:rPr>
              <w:t>Infraestructura de Importación de Gas del Pacífico</w:t>
            </w:r>
          </w:p>
        </w:tc>
        <w:tc>
          <w:tcPr>
            <w:tcW w:w="2622" w:type="dxa"/>
            <w:shd w:val="clear" w:color="auto" w:fill="auto"/>
            <w:vAlign w:val="center"/>
          </w:tcPr>
          <w:p w14:paraId="17861230" w14:textId="77777777" w:rsidR="00A60B22" w:rsidRPr="00356462" w:rsidRDefault="00A60B22" w:rsidP="00A60B22">
            <w:pPr>
              <w:ind w:left="104"/>
              <w:jc w:val="both"/>
              <w:rPr>
                <w:rFonts w:ascii="Bookman Old Style" w:hAnsi="Bookman Old Style"/>
                <w:sz w:val="20"/>
                <w:szCs w:val="20"/>
              </w:rPr>
            </w:pPr>
            <w:r w:rsidRPr="00356462">
              <w:rPr>
                <w:rFonts w:ascii="Bookman Old Style" w:hAnsi="Bookman Old Style"/>
                <w:sz w:val="20"/>
                <w:szCs w:val="20"/>
              </w:rPr>
              <w:t>58 meses contados a partir de la selección del inversionista de este proyecto.</w:t>
            </w:r>
          </w:p>
        </w:tc>
      </w:tr>
    </w:tbl>
    <w:p w14:paraId="473FF3A3" w14:textId="77777777" w:rsidR="00CE7206" w:rsidRPr="00356462" w:rsidRDefault="00CE7206" w:rsidP="00A60B22">
      <w:pPr>
        <w:pStyle w:val="Textoindependiente2"/>
        <w:spacing w:after="0" w:line="240" w:lineRule="auto"/>
        <w:ind w:left="0"/>
        <w:jc w:val="both"/>
        <w:rPr>
          <w:rFonts w:ascii="Bookman Old Style" w:hAnsi="Bookman Old Style"/>
          <w:color w:val="000000"/>
          <w:lang w:val="es-CO"/>
        </w:rPr>
      </w:pPr>
      <w:bookmarkStart w:id="1" w:name="_Hlk62136075"/>
    </w:p>
    <w:p w14:paraId="7B728655" w14:textId="3B9465E8" w:rsidR="00A60B22" w:rsidRPr="00356462" w:rsidRDefault="002A67E5"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El Artículo 2 de la resolución en mención establece que la CREG incluirá en la regulación a la que se refiere el artículo 2.2.2.2.29 y siguientes del Decreto 1073 de 2015, mecanismos para incentivar el cumplimiento de fechas anticipadas de entrada en operación de los proyectos del Plan de Abastecimiento de Gas Natural.</w:t>
      </w:r>
    </w:p>
    <w:bookmarkEnd w:id="1"/>
    <w:p w14:paraId="73986E13" w14:textId="77777777" w:rsidR="002A67E5" w:rsidRPr="00356462" w:rsidRDefault="002A67E5" w:rsidP="00A60B22">
      <w:pPr>
        <w:pStyle w:val="Textoindependiente2"/>
        <w:spacing w:after="0" w:line="240" w:lineRule="auto"/>
        <w:ind w:left="0"/>
        <w:jc w:val="both"/>
        <w:rPr>
          <w:rFonts w:ascii="Bookman Old Style" w:hAnsi="Bookman Old Style"/>
          <w:color w:val="000000"/>
          <w:lang w:val="es-CO"/>
        </w:rPr>
      </w:pPr>
    </w:p>
    <w:p w14:paraId="39C3D134" w14:textId="3E8442D2" w:rsidR="002A67E5" w:rsidRPr="00356462" w:rsidRDefault="002A67E5" w:rsidP="00A60B22">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 xml:space="preserve">La Comisión ha identificado </w:t>
      </w:r>
      <w:r w:rsidR="00CE7206" w:rsidRPr="00356462">
        <w:rPr>
          <w:rFonts w:ascii="Bookman Old Style" w:hAnsi="Bookman Old Style"/>
          <w:color w:val="000000"/>
          <w:lang w:val="es-CO"/>
        </w:rPr>
        <w:t>la necesidad de realizar ajustes a algunos de los aspectos contenidos</w:t>
      </w:r>
      <w:r w:rsidR="00A45831">
        <w:rPr>
          <w:rFonts w:ascii="Bookman Old Style" w:hAnsi="Bookman Old Style"/>
          <w:color w:val="000000"/>
          <w:lang w:val="es-CO"/>
        </w:rPr>
        <w:t>,</w:t>
      </w:r>
      <w:r w:rsidR="00CE7206" w:rsidRPr="00356462">
        <w:rPr>
          <w:rFonts w:ascii="Bookman Old Style" w:hAnsi="Bookman Old Style"/>
          <w:color w:val="000000"/>
          <w:lang w:val="es-CO"/>
        </w:rPr>
        <w:t xml:space="preserve"> </w:t>
      </w:r>
      <w:r w:rsidR="00355BF1">
        <w:rPr>
          <w:rFonts w:ascii="Bookman Old Style" w:hAnsi="Bookman Old Style"/>
          <w:color w:val="000000"/>
          <w:lang w:val="es-CO"/>
        </w:rPr>
        <w:t xml:space="preserve">tanto </w:t>
      </w:r>
      <w:r w:rsidR="00CE7206" w:rsidRPr="00356462">
        <w:rPr>
          <w:rFonts w:ascii="Bookman Old Style" w:hAnsi="Bookman Old Style"/>
          <w:color w:val="000000"/>
          <w:lang w:val="es-CO"/>
        </w:rPr>
        <w:t>en la Resolución CREG 1</w:t>
      </w:r>
      <w:r w:rsidR="00355BF1">
        <w:rPr>
          <w:rFonts w:ascii="Bookman Old Style" w:hAnsi="Bookman Old Style"/>
          <w:color w:val="000000"/>
          <w:lang w:val="es-CO"/>
        </w:rPr>
        <w:t xml:space="preserve">07 de </w:t>
      </w:r>
      <w:r w:rsidR="00A45831">
        <w:rPr>
          <w:rFonts w:ascii="Bookman Old Style" w:hAnsi="Bookman Old Style"/>
          <w:color w:val="000000"/>
          <w:lang w:val="es-CO"/>
        </w:rPr>
        <w:t>2017,</w:t>
      </w:r>
      <w:r w:rsidR="00355BF1">
        <w:rPr>
          <w:rFonts w:ascii="Bookman Old Style" w:hAnsi="Bookman Old Style"/>
          <w:color w:val="000000"/>
          <w:lang w:val="es-CO"/>
        </w:rPr>
        <w:t xml:space="preserve"> como en la Resolución CREG 152 de 2017</w:t>
      </w:r>
      <w:r w:rsidR="00CE7206" w:rsidRPr="00356462">
        <w:rPr>
          <w:rFonts w:ascii="Bookman Old Style" w:hAnsi="Bookman Old Style"/>
          <w:color w:val="000000"/>
          <w:lang w:val="es-CO"/>
        </w:rPr>
        <w:t>, de acuerdo con las características de los proyectos incluidos por el Ministerio de Minas y Energía en el Plan de Abastecimiento de Gas Natural</w:t>
      </w:r>
      <w:r w:rsidR="00D33487">
        <w:rPr>
          <w:rFonts w:ascii="Bookman Old Style" w:hAnsi="Bookman Old Style"/>
          <w:color w:val="000000"/>
          <w:lang w:val="es-CO"/>
        </w:rPr>
        <w:t>,</w:t>
      </w:r>
      <w:r w:rsidR="00CE7206" w:rsidRPr="00356462">
        <w:rPr>
          <w:rFonts w:ascii="Bookman Old Style" w:hAnsi="Bookman Old Style"/>
          <w:color w:val="000000"/>
          <w:lang w:val="es-CO"/>
        </w:rPr>
        <w:t xml:space="preserve"> y la introducción de mecanismos que incentiven el cumplimiento de las fechas anticipadas de entrada en operación.</w:t>
      </w:r>
    </w:p>
    <w:p w14:paraId="283D8CF0" w14:textId="1C229804" w:rsidR="00BF2BC2" w:rsidRDefault="00BF2BC2" w:rsidP="00BF2BC2">
      <w:pPr>
        <w:pStyle w:val="Textoindependiente2"/>
        <w:spacing w:after="0" w:line="240" w:lineRule="auto"/>
        <w:ind w:left="0"/>
        <w:jc w:val="both"/>
        <w:rPr>
          <w:rFonts w:ascii="Bookman Old Style" w:hAnsi="Bookman Old Style"/>
          <w:color w:val="000000"/>
          <w:lang w:val="es-CO"/>
        </w:rPr>
      </w:pPr>
    </w:p>
    <w:p w14:paraId="724F68E3" w14:textId="4C666CEF" w:rsidR="004E445F" w:rsidRDefault="004E445F" w:rsidP="004E445F">
      <w:pPr>
        <w:pStyle w:val="Textoindependiente2"/>
        <w:spacing w:after="0" w:line="240" w:lineRule="auto"/>
        <w:ind w:left="0"/>
        <w:jc w:val="both"/>
        <w:rPr>
          <w:rFonts w:ascii="Bookman Old Style" w:hAnsi="Bookman Old Style"/>
          <w:i/>
          <w:iCs/>
        </w:rPr>
      </w:pPr>
      <w:r>
        <w:rPr>
          <w:rFonts w:ascii="Bookman Old Style" w:hAnsi="Bookman Old Style"/>
          <w:color w:val="000000"/>
          <w:lang w:val="es-ES_tradnl"/>
        </w:rPr>
        <w:t xml:space="preserve">Mediante la Resolución CREG 007 de 2021 la Comisión </w:t>
      </w:r>
      <w:r w:rsidRPr="004B3B4B">
        <w:rPr>
          <w:rFonts w:ascii="Bookman Old Style" w:hAnsi="Bookman Old Style"/>
        </w:rPr>
        <w:t>orden</w:t>
      </w:r>
      <w:r>
        <w:rPr>
          <w:rFonts w:ascii="Bookman Old Style" w:hAnsi="Bookman Old Style"/>
        </w:rPr>
        <w:t>ó</w:t>
      </w:r>
      <w:r w:rsidRPr="004B3B4B">
        <w:rPr>
          <w:rFonts w:ascii="Bookman Old Style" w:hAnsi="Bookman Old Style"/>
        </w:rPr>
        <w:t xml:space="preserve"> hacer público un proyecto de resolución de carácter general</w:t>
      </w:r>
      <w:r w:rsidRPr="003420CF">
        <w:t xml:space="preserve"> </w:t>
      </w:r>
      <w:r w:rsidRPr="00F14180">
        <w:rPr>
          <w:i/>
          <w:iCs/>
        </w:rPr>
        <w:t>“</w:t>
      </w:r>
      <w:r w:rsidRPr="00F14180">
        <w:rPr>
          <w:rFonts w:ascii="Bookman Old Style" w:hAnsi="Bookman Old Style"/>
          <w:i/>
          <w:iCs/>
        </w:rPr>
        <w:t>Por la cual se ordena hacer público un proyecto de resolución de carácter general, “Por la cual se hacen unos ajustes a la Resolución CREG 1</w:t>
      </w:r>
      <w:r>
        <w:rPr>
          <w:rFonts w:ascii="Bookman Old Style" w:hAnsi="Bookman Old Style"/>
          <w:i/>
          <w:iCs/>
        </w:rPr>
        <w:t>52</w:t>
      </w:r>
      <w:r w:rsidRPr="00F14180">
        <w:rPr>
          <w:rFonts w:ascii="Bookman Old Style" w:hAnsi="Bookman Old Style"/>
          <w:i/>
          <w:iCs/>
        </w:rPr>
        <w:t xml:space="preserve"> de 2017””</w:t>
      </w:r>
      <w:r>
        <w:rPr>
          <w:rFonts w:ascii="Bookman Old Style" w:hAnsi="Bookman Old Style"/>
          <w:i/>
          <w:iCs/>
        </w:rPr>
        <w:t>.</w:t>
      </w:r>
    </w:p>
    <w:p w14:paraId="6B77CBC4" w14:textId="77777777" w:rsidR="004E445F" w:rsidRPr="00F14180" w:rsidRDefault="004E445F" w:rsidP="004E445F">
      <w:pPr>
        <w:pStyle w:val="Textoindependiente2"/>
        <w:spacing w:after="0" w:line="240" w:lineRule="auto"/>
        <w:ind w:left="0"/>
        <w:jc w:val="both"/>
        <w:rPr>
          <w:rFonts w:ascii="Bookman Old Style" w:hAnsi="Bookman Old Style" w:cs="Arial"/>
          <w:i/>
          <w:iCs/>
          <w:color w:val="000000" w:themeColor="text1"/>
        </w:rPr>
      </w:pPr>
    </w:p>
    <w:p w14:paraId="7F47B733" w14:textId="73044F33" w:rsidR="00F23E24" w:rsidRPr="00A6292E" w:rsidRDefault="00F23E24"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En cumplimiento de lo establecido en la Ley 1340 de 2009 y el Decreto 2897 de 2010, este último compilado por el Decreto 1074 de 2015, mediante la comunicación S-2021-003129 del 21 de julio de 2021</w:t>
      </w:r>
      <w:r w:rsidR="00D3348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la Comisión informó a la Superintendencia de Industria y Comercio, SIC, sobre el proyecto de la Resolución CREG 00</w:t>
      </w:r>
      <w:r w:rsidR="006E49CD">
        <w:rPr>
          <w:rFonts w:ascii="Bookman Old Style" w:hAnsi="Bookman Old Style" w:cs="Arial"/>
          <w:color w:val="000000"/>
          <w:shd w:val="clear" w:color="auto" w:fill="FFFFFF"/>
        </w:rPr>
        <w:t>7</w:t>
      </w:r>
      <w:r w:rsidRPr="00A6292E">
        <w:rPr>
          <w:rFonts w:ascii="Bookman Old Style" w:hAnsi="Bookman Old Style" w:cs="Arial"/>
          <w:color w:val="000000"/>
          <w:shd w:val="clear" w:color="auto" w:fill="FFFFFF"/>
        </w:rPr>
        <w:t xml:space="preserve"> de 2021.</w:t>
      </w:r>
    </w:p>
    <w:p w14:paraId="7D4C2426" w14:textId="77777777" w:rsidR="00F23E24" w:rsidRPr="00A6292E" w:rsidRDefault="00F23E24" w:rsidP="00F23E24">
      <w:pPr>
        <w:jc w:val="both"/>
        <w:rPr>
          <w:rFonts w:ascii="Bookman Old Style" w:hAnsi="Bookman Old Style" w:cs="Arial"/>
          <w:color w:val="000000"/>
          <w:shd w:val="clear" w:color="auto" w:fill="FFFFFF"/>
        </w:rPr>
      </w:pPr>
    </w:p>
    <w:p w14:paraId="6D13B31F" w14:textId="6B4EA560" w:rsidR="00F23E24" w:rsidRPr="00A6292E" w:rsidRDefault="00F23E24"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De igual manera</w:t>
      </w:r>
      <w:r w:rsidR="00D3348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mediante la Circular CREG 044 de 2021</w:t>
      </w:r>
      <w:r w:rsidR="00D3348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La Dirección Ejecutiva de la Comisión de Regulación de Energía y Gas, CREG, inform</w:t>
      </w:r>
      <w:r w:rsidR="00AE74B9">
        <w:rPr>
          <w:rFonts w:ascii="Bookman Old Style" w:hAnsi="Bookman Old Style" w:cs="Arial"/>
          <w:color w:val="000000"/>
          <w:shd w:val="clear" w:color="auto" w:fill="FFFFFF"/>
        </w:rPr>
        <w:t>ó</w:t>
      </w:r>
      <w:r w:rsidRPr="00A6292E">
        <w:rPr>
          <w:rFonts w:ascii="Bookman Old Style" w:hAnsi="Bookman Old Style" w:cs="Arial"/>
          <w:color w:val="000000"/>
          <w:shd w:val="clear" w:color="auto" w:fill="FFFFFF"/>
        </w:rPr>
        <w:t xml:space="preserve"> que mediante radicados SIC 21-288256 y CREG S-2021-003129 de 21 de julio de 2020, se envi</w:t>
      </w:r>
      <w:r w:rsidR="00AE74B9">
        <w:rPr>
          <w:rFonts w:ascii="Bookman Old Style" w:hAnsi="Bookman Old Style" w:cs="Arial"/>
          <w:color w:val="000000"/>
          <w:shd w:val="clear" w:color="auto" w:fill="FFFFFF"/>
        </w:rPr>
        <w:t>ó</w:t>
      </w:r>
      <w:r w:rsidRPr="00A6292E">
        <w:rPr>
          <w:rFonts w:ascii="Bookman Old Style" w:hAnsi="Bookman Old Style" w:cs="Arial"/>
          <w:color w:val="000000"/>
          <w:shd w:val="clear" w:color="auto" w:fill="FFFFFF"/>
        </w:rPr>
        <w:t xml:space="preserve"> para concepto de abogacía de la competencia el proyecto de resolución respectivo. </w:t>
      </w:r>
    </w:p>
    <w:p w14:paraId="27CBAD11" w14:textId="77777777" w:rsidR="00F23E24" w:rsidRPr="00A6292E" w:rsidRDefault="00F23E24" w:rsidP="00F23E24">
      <w:pPr>
        <w:jc w:val="both"/>
        <w:rPr>
          <w:rFonts w:ascii="Bookman Old Style" w:hAnsi="Bookman Old Style" w:cs="Arial"/>
          <w:color w:val="000000"/>
          <w:shd w:val="clear" w:color="auto" w:fill="FFFFFF"/>
        </w:rPr>
      </w:pPr>
    </w:p>
    <w:p w14:paraId="4BBB21F1" w14:textId="432B386E" w:rsidR="00F23E24" w:rsidRPr="00A6292E" w:rsidRDefault="00F23E24"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En la comunicación con radicado CREG E-2021-008966 de agosto 6 de 2021</w:t>
      </w:r>
      <w:r w:rsidR="00D3348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la SIC emitió su concepto sobre la propuesta regulatoria puesta a su consideración.</w:t>
      </w:r>
    </w:p>
    <w:p w14:paraId="6512004D" w14:textId="2EBF86DA" w:rsidR="00F23E24" w:rsidRDefault="00F23E24" w:rsidP="00967898">
      <w:pPr>
        <w:ind w:left="0"/>
        <w:jc w:val="both"/>
        <w:rPr>
          <w:rFonts w:ascii="Bookman Old Style" w:hAnsi="Bookman Old Style" w:cs="Arial"/>
          <w:color w:val="000000"/>
          <w:shd w:val="clear" w:color="auto" w:fill="FFFFFF"/>
        </w:rPr>
      </w:pPr>
    </w:p>
    <w:p w14:paraId="687C7E5A" w14:textId="6C20A4CE" w:rsidR="00967898" w:rsidRPr="00A6292E" w:rsidRDefault="00967898"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En su concepto</w:t>
      </w:r>
      <w:r w:rsidR="00D3348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la SIC recomendó a la Comisión: </w:t>
      </w:r>
    </w:p>
    <w:p w14:paraId="0B08266E" w14:textId="77777777" w:rsidR="00967898" w:rsidRPr="00A6292E" w:rsidRDefault="00967898" w:rsidP="00967898">
      <w:pPr>
        <w:jc w:val="both"/>
        <w:rPr>
          <w:rFonts w:ascii="Bookman Old Style" w:hAnsi="Bookman Old Style" w:cs="Arial"/>
          <w:color w:val="000000"/>
          <w:shd w:val="clear" w:color="auto" w:fill="FFFFFF"/>
        </w:rPr>
      </w:pPr>
    </w:p>
    <w:p w14:paraId="52B6F45F" w14:textId="77777777" w:rsidR="00967898" w:rsidRPr="00A6292E" w:rsidRDefault="00967898" w:rsidP="00AE74B9">
      <w:pPr>
        <w:numPr>
          <w:ilvl w:val="0"/>
          <w:numId w:val="7"/>
        </w:numPr>
        <w:ind w:left="360"/>
        <w:jc w:val="both"/>
        <w:rPr>
          <w:rFonts w:ascii="Bookman Old Style" w:hAnsi="Bookman Old Style" w:cs="Arial"/>
          <w:i/>
          <w:iCs/>
          <w:color w:val="000000"/>
          <w:shd w:val="clear" w:color="auto" w:fill="FFFFFF"/>
        </w:rPr>
      </w:pPr>
      <w:r w:rsidRPr="00A6292E">
        <w:rPr>
          <w:rFonts w:ascii="Bookman Old Style" w:hAnsi="Bookman Old Style" w:cs="Arial"/>
          <w:i/>
          <w:iCs/>
          <w:color w:val="000000"/>
          <w:shd w:val="clear" w:color="auto" w:fill="FFFFFF"/>
        </w:rPr>
        <w:t>Incluir los aspectos señalados en el numeral 5.1 del presente concepto en los considerandos de ambos Proyectos y en el articulado de estos, según corresponda.</w:t>
      </w:r>
      <w:r w:rsidRPr="00A6292E" w:rsidDel="00EB54EC">
        <w:rPr>
          <w:rFonts w:ascii="Bookman Old Style" w:hAnsi="Bookman Old Style" w:cs="Arial"/>
          <w:i/>
          <w:iCs/>
          <w:color w:val="000000"/>
          <w:shd w:val="clear" w:color="auto" w:fill="FFFFFF"/>
        </w:rPr>
        <w:t xml:space="preserve"> </w:t>
      </w:r>
    </w:p>
    <w:p w14:paraId="4FC9B302" w14:textId="77777777" w:rsidR="00967898" w:rsidRPr="00A6292E" w:rsidRDefault="00967898" w:rsidP="00AE74B9">
      <w:pPr>
        <w:ind w:left="207"/>
        <w:jc w:val="both"/>
        <w:rPr>
          <w:rFonts w:ascii="Bookman Old Style" w:hAnsi="Bookman Old Style" w:cs="Arial"/>
          <w:color w:val="000000"/>
          <w:shd w:val="clear" w:color="auto" w:fill="FFFFFF"/>
        </w:rPr>
      </w:pPr>
    </w:p>
    <w:p w14:paraId="07E52D0B" w14:textId="3B5F72AA" w:rsidR="00967898" w:rsidRPr="00A6292E" w:rsidRDefault="00967898" w:rsidP="00AE74B9">
      <w:pPr>
        <w:ind w:left="207"/>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 xml:space="preserve">Esos comentarios, </w:t>
      </w:r>
      <w:r w:rsidR="00F748EE">
        <w:rPr>
          <w:rFonts w:ascii="Bookman Old Style" w:hAnsi="Bookman Old Style" w:cs="Arial"/>
          <w:color w:val="000000"/>
          <w:shd w:val="clear" w:color="auto" w:fill="FFFFFF"/>
        </w:rPr>
        <w:t>señalados en el numeral 5.1 que se titula “sobre las posibles asimetrías de información”</w:t>
      </w:r>
      <w:r w:rsidR="00D33487">
        <w:rPr>
          <w:rFonts w:ascii="Bookman Old Style" w:hAnsi="Bookman Old Style" w:cs="Arial"/>
          <w:color w:val="000000"/>
          <w:shd w:val="clear" w:color="auto" w:fill="FFFFFF"/>
        </w:rPr>
        <w:t>,</w:t>
      </w:r>
      <w:r w:rsidR="00F748EE">
        <w:rPr>
          <w:rFonts w:ascii="Bookman Old Style" w:hAnsi="Bookman Old Style" w:cs="Arial"/>
          <w:color w:val="000000"/>
          <w:shd w:val="clear" w:color="auto" w:fill="FFFFFF"/>
        </w:rPr>
        <w:t xml:space="preserve"> </w:t>
      </w:r>
      <w:r w:rsidRPr="00A6292E">
        <w:rPr>
          <w:rFonts w:ascii="Bookman Old Style" w:hAnsi="Bookman Old Style" w:cs="Arial"/>
          <w:color w:val="000000"/>
          <w:shd w:val="clear" w:color="auto" w:fill="FFFFFF"/>
        </w:rPr>
        <w:t>en relación con lo que comprende la presente resolución, hacen referencia a:</w:t>
      </w:r>
    </w:p>
    <w:p w14:paraId="7DFDC640" w14:textId="77777777" w:rsidR="00967898" w:rsidRPr="00A6292E" w:rsidRDefault="00967898" w:rsidP="00967898">
      <w:pPr>
        <w:jc w:val="both"/>
        <w:rPr>
          <w:rFonts w:ascii="Bookman Old Style" w:hAnsi="Bookman Old Style" w:cs="Arial"/>
          <w:color w:val="000000"/>
          <w:shd w:val="clear" w:color="auto" w:fill="FFFFFF"/>
        </w:rPr>
      </w:pPr>
    </w:p>
    <w:p w14:paraId="0BAB7B7E" w14:textId="77777777" w:rsidR="00967898" w:rsidRPr="00C04147" w:rsidRDefault="00967898" w:rsidP="00967898">
      <w:pPr>
        <w:pStyle w:val="Default"/>
        <w:numPr>
          <w:ilvl w:val="0"/>
          <w:numId w:val="8"/>
        </w:numPr>
        <w:jc w:val="both"/>
        <w:rPr>
          <w:rFonts w:ascii="Bookman Old Style" w:hAnsi="Bookman Old Style"/>
          <w:i/>
          <w:iCs/>
          <w:sz w:val="23"/>
          <w:szCs w:val="23"/>
        </w:rPr>
      </w:pPr>
      <w:r w:rsidRPr="00C04147">
        <w:rPr>
          <w:rFonts w:ascii="Bookman Old Style" w:hAnsi="Bookman Old Style"/>
          <w:i/>
          <w:iCs/>
          <w:sz w:val="23"/>
          <w:szCs w:val="23"/>
        </w:rPr>
        <w:t xml:space="preserve">a) El artículo 7 que adiciona el artículo relacionado con el “Ingreso regulado por fecha anticipada de entrada en operación de la infraestructura de importación del gas del pacífico” a la Resolución CREG 152 de 2017; estable dentro de la ecuación para calcularlo, un término denominado “% adicional” el cual se describe como un porcentaje de incentivo por fecha anticipada de entrada en operación del veinticinco por ciento (25%). Nota esta Superintendencia que el valor asignado a este incentivo por la entrada en operación anticipada no se encuentra debidamente justificado desde el punto de vista técnico. </w:t>
      </w:r>
    </w:p>
    <w:p w14:paraId="4CAD362A" w14:textId="77777777" w:rsidR="00967898" w:rsidRPr="00C04147" w:rsidRDefault="00967898" w:rsidP="00967898">
      <w:pPr>
        <w:pStyle w:val="Default"/>
        <w:numPr>
          <w:ilvl w:val="0"/>
          <w:numId w:val="8"/>
        </w:numPr>
        <w:jc w:val="both"/>
        <w:rPr>
          <w:rFonts w:ascii="Bookman Old Style" w:hAnsi="Bookman Old Style"/>
          <w:i/>
          <w:iCs/>
          <w:sz w:val="23"/>
          <w:szCs w:val="23"/>
        </w:rPr>
      </w:pPr>
    </w:p>
    <w:p w14:paraId="2C03B53D" w14:textId="77777777" w:rsidR="00967898" w:rsidRPr="00C04147" w:rsidRDefault="00967898" w:rsidP="00967898">
      <w:pPr>
        <w:pStyle w:val="Default"/>
        <w:jc w:val="both"/>
        <w:rPr>
          <w:rFonts w:ascii="Bookman Old Style" w:hAnsi="Bookman Old Style"/>
          <w:i/>
          <w:iCs/>
          <w:sz w:val="23"/>
          <w:szCs w:val="23"/>
        </w:rPr>
      </w:pPr>
      <w:r w:rsidRPr="00C04147">
        <w:rPr>
          <w:rFonts w:ascii="Bookman Old Style" w:hAnsi="Bookman Old Style"/>
          <w:i/>
          <w:iCs/>
          <w:sz w:val="23"/>
          <w:szCs w:val="23"/>
        </w:rPr>
        <w:t>En el documento soporte</w:t>
      </w:r>
      <w:r w:rsidRPr="00C04147">
        <w:rPr>
          <w:rFonts w:ascii="Bookman Old Style" w:hAnsi="Bookman Old Style"/>
          <w:i/>
          <w:iCs/>
          <w:sz w:val="16"/>
          <w:szCs w:val="16"/>
        </w:rPr>
        <w:t>21</w:t>
      </w:r>
      <w:r w:rsidRPr="00C04147">
        <w:rPr>
          <w:rFonts w:ascii="Bookman Old Style" w:hAnsi="Bookman Old Style" w:cs="Calibri"/>
          <w:i/>
          <w:iCs/>
          <w:sz w:val="23"/>
          <w:szCs w:val="23"/>
        </w:rPr>
        <w:t xml:space="preserve">, </w:t>
      </w:r>
      <w:r w:rsidRPr="00C04147">
        <w:rPr>
          <w:rFonts w:ascii="Bookman Old Style" w:hAnsi="Bookman Old Style"/>
          <w:i/>
          <w:iCs/>
          <w:sz w:val="23"/>
          <w:szCs w:val="23"/>
        </w:rPr>
        <w:t xml:space="preserve">específicamente en el numeral 8.3, la CREG menciona que “el porcentaje del incentivo </w:t>
      </w:r>
      <w:r w:rsidRPr="00C04147">
        <w:rPr>
          <w:rFonts w:ascii="Bookman Old Style" w:hAnsi="Bookman Old Style"/>
          <w:b/>
          <w:bCs/>
          <w:i/>
          <w:iCs/>
          <w:sz w:val="23"/>
          <w:szCs w:val="23"/>
        </w:rPr>
        <w:t xml:space="preserve">se eleva </w:t>
      </w:r>
      <w:r w:rsidRPr="00C04147">
        <w:rPr>
          <w:rFonts w:ascii="Bookman Old Style" w:hAnsi="Bookman Old Style"/>
          <w:i/>
          <w:iCs/>
          <w:sz w:val="23"/>
          <w:szCs w:val="23"/>
        </w:rPr>
        <w:t xml:space="preserve">al 25% en consideración a comentarios recibidos e información adicional utilizada por la Comisión en la estimación de dicho porcentaje. Para este incentivo es claro que el proyecto debe estar culminado al 100%” pero no describe cuál fue la información adicional usada para su estimación, así como para su aumento. Lo mismo sucedió con la fórmula establecida para calcular el “Ingreso regulado durante la operación parcial anticipada, por cada mes de operación” la cual establece también un porcentaje del veinticinco por ciento 25% de incentivo por operación parcial. </w:t>
      </w:r>
    </w:p>
    <w:p w14:paraId="254C9FAE" w14:textId="77777777" w:rsidR="00967898" w:rsidRDefault="00967898" w:rsidP="00967898">
      <w:pPr>
        <w:pStyle w:val="Default"/>
        <w:jc w:val="both"/>
        <w:rPr>
          <w:i/>
          <w:iCs/>
          <w:sz w:val="23"/>
          <w:szCs w:val="23"/>
        </w:rPr>
      </w:pPr>
    </w:p>
    <w:p w14:paraId="46B5F489" w14:textId="3C3EAB6C" w:rsidR="006C2B83" w:rsidRDefault="00AE74B9" w:rsidP="00967898">
      <w:pPr>
        <w:pStyle w:val="Textoindependiente2"/>
        <w:spacing w:after="0" w:line="240" w:lineRule="auto"/>
        <w:ind w:left="0"/>
        <w:jc w:val="both"/>
        <w:rPr>
          <w:rFonts w:ascii="Bookman Old Style" w:hAnsi="Bookman Old Style" w:cs="Arial"/>
          <w:color w:val="000000" w:themeColor="text1"/>
          <w:shd w:val="clear" w:color="auto" w:fill="FFFFFF"/>
        </w:rPr>
      </w:pPr>
      <w:r w:rsidRPr="00AE74B9">
        <w:rPr>
          <w:rFonts w:ascii="Bookman Old Style" w:hAnsi="Bookman Old Style" w:cs="Arial"/>
          <w:b/>
          <w:bCs/>
          <w:color w:val="000000" w:themeColor="text1"/>
          <w:shd w:val="clear" w:color="auto" w:fill="FFFFFF"/>
        </w:rPr>
        <w:t>Comentario CREG.</w:t>
      </w:r>
      <w:r>
        <w:rPr>
          <w:rFonts w:ascii="Bookman Old Style" w:hAnsi="Bookman Old Style" w:cs="Arial"/>
          <w:color w:val="000000" w:themeColor="text1"/>
          <w:shd w:val="clear" w:color="auto" w:fill="FFFFFF"/>
        </w:rPr>
        <w:t xml:space="preserve"> </w:t>
      </w:r>
      <w:bookmarkStart w:id="2" w:name="_Hlk81391795"/>
      <w:r w:rsidR="00967898" w:rsidRPr="0020745A">
        <w:rPr>
          <w:rFonts w:ascii="Bookman Old Style" w:hAnsi="Bookman Old Style" w:cs="Arial"/>
          <w:color w:val="000000" w:themeColor="text1"/>
          <w:shd w:val="clear" w:color="auto" w:fill="FFFFFF"/>
        </w:rPr>
        <w:t>Frente a la presunta asimetría de información que plantea la SIC, en opinión de la CREG no corresponde</w:t>
      </w:r>
      <w:r w:rsidR="00D33487">
        <w:rPr>
          <w:rFonts w:ascii="Bookman Old Style" w:hAnsi="Bookman Old Style" w:cs="Arial"/>
          <w:color w:val="000000" w:themeColor="text1"/>
          <w:shd w:val="clear" w:color="auto" w:fill="FFFFFF"/>
        </w:rPr>
        <w:t>,</w:t>
      </w:r>
      <w:r w:rsidR="00967898" w:rsidRPr="0020745A">
        <w:rPr>
          <w:rFonts w:ascii="Bookman Old Style" w:hAnsi="Bookman Old Style" w:cs="Arial"/>
          <w:color w:val="000000" w:themeColor="text1"/>
          <w:shd w:val="clear" w:color="auto" w:fill="FFFFFF"/>
        </w:rPr>
        <w:t xml:space="preserve"> en la medida en que el porcentaje de incentivo para el adelanto de la fecha de entrada en operación del proyecto es la información que tendrá cualquiera de los interesados en participar en el proyecto correspondiente, en forma previa a la presentación de su oferta a la UPME</w:t>
      </w:r>
      <w:r w:rsidR="006C2B83">
        <w:rPr>
          <w:rFonts w:ascii="Bookman Old Style" w:hAnsi="Bookman Old Style" w:cs="Arial"/>
          <w:color w:val="000000" w:themeColor="text1"/>
          <w:shd w:val="clear" w:color="auto" w:fill="FFFFFF"/>
        </w:rPr>
        <w:t>. Adicionalmente</w:t>
      </w:r>
      <w:r w:rsidR="00D33487">
        <w:rPr>
          <w:rFonts w:ascii="Bookman Old Style" w:hAnsi="Bookman Old Style" w:cs="Arial"/>
          <w:color w:val="000000" w:themeColor="text1"/>
          <w:shd w:val="clear" w:color="auto" w:fill="FFFFFF"/>
        </w:rPr>
        <w:t>,</w:t>
      </w:r>
      <w:r w:rsidR="006C2B83">
        <w:rPr>
          <w:rFonts w:ascii="Bookman Old Style" w:hAnsi="Bookman Old Style" w:cs="Arial"/>
          <w:color w:val="000000" w:themeColor="text1"/>
          <w:shd w:val="clear" w:color="auto" w:fill="FFFFFF"/>
        </w:rPr>
        <w:t xml:space="preserve"> es una opción voluntaria</w:t>
      </w:r>
      <w:r w:rsidR="00967898" w:rsidRPr="0020745A">
        <w:rPr>
          <w:rFonts w:ascii="Bookman Old Style" w:hAnsi="Bookman Old Style" w:cs="Arial"/>
          <w:color w:val="000000" w:themeColor="text1"/>
          <w:shd w:val="clear" w:color="auto" w:fill="FFFFFF"/>
        </w:rPr>
        <w:t xml:space="preserve"> que no </w:t>
      </w:r>
      <w:r w:rsidR="006C2B83">
        <w:rPr>
          <w:rFonts w:ascii="Bookman Old Style" w:hAnsi="Bookman Old Style" w:cs="Arial"/>
          <w:color w:val="000000" w:themeColor="text1"/>
          <w:shd w:val="clear" w:color="auto" w:fill="FFFFFF"/>
        </w:rPr>
        <w:t>se declara en las ofertas</w:t>
      </w:r>
      <w:r w:rsidR="00D33487">
        <w:rPr>
          <w:rFonts w:ascii="Bookman Old Style" w:hAnsi="Bookman Old Style" w:cs="Arial"/>
          <w:color w:val="000000" w:themeColor="text1"/>
          <w:shd w:val="clear" w:color="auto" w:fill="FFFFFF"/>
        </w:rPr>
        <w:t>,</w:t>
      </w:r>
      <w:r w:rsidR="006C2B83">
        <w:rPr>
          <w:rFonts w:ascii="Bookman Old Style" w:hAnsi="Bookman Old Style" w:cs="Arial"/>
          <w:color w:val="000000" w:themeColor="text1"/>
          <w:shd w:val="clear" w:color="auto" w:fill="FFFFFF"/>
        </w:rPr>
        <w:t xml:space="preserve"> ni se tiene</w:t>
      </w:r>
      <w:r w:rsidR="00967898" w:rsidRPr="0020745A">
        <w:rPr>
          <w:rFonts w:ascii="Bookman Old Style" w:hAnsi="Bookman Old Style" w:cs="Arial"/>
          <w:color w:val="000000" w:themeColor="text1"/>
          <w:shd w:val="clear" w:color="auto" w:fill="FFFFFF"/>
        </w:rPr>
        <w:t xml:space="preserve"> en cuenta para la selección del adjudicatario por parte de dicha entidad. </w:t>
      </w:r>
    </w:p>
    <w:bookmarkEnd w:id="2"/>
    <w:p w14:paraId="4EB9B9B7" w14:textId="77777777" w:rsidR="006C2B83" w:rsidRDefault="006C2B83" w:rsidP="00967898">
      <w:pPr>
        <w:pStyle w:val="Textoindependiente2"/>
        <w:spacing w:after="0" w:line="240" w:lineRule="auto"/>
        <w:ind w:left="0"/>
        <w:jc w:val="both"/>
        <w:rPr>
          <w:rFonts w:ascii="Bookman Old Style" w:hAnsi="Bookman Old Style" w:cs="Arial"/>
          <w:color w:val="000000" w:themeColor="text1"/>
          <w:shd w:val="clear" w:color="auto" w:fill="FFFFFF"/>
        </w:rPr>
      </w:pPr>
    </w:p>
    <w:p w14:paraId="0796AABC" w14:textId="46169146" w:rsidR="00967898" w:rsidRDefault="00967898" w:rsidP="00967898">
      <w:pPr>
        <w:pStyle w:val="Textoindependiente2"/>
        <w:spacing w:after="0" w:line="240" w:lineRule="auto"/>
        <w:ind w:left="0"/>
        <w:jc w:val="both"/>
        <w:rPr>
          <w:rFonts w:ascii="Bookman Old Style" w:hAnsi="Bookman Old Style" w:cs="Arial"/>
          <w:color w:val="000000" w:themeColor="text1"/>
          <w:shd w:val="clear" w:color="auto" w:fill="FFFFFF"/>
        </w:rPr>
      </w:pPr>
      <w:r w:rsidRPr="0020745A">
        <w:rPr>
          <w:rFonts w:ascii="Bookman Old Style" w:hAnsi="Bookman Old Style" w:cs="Arial"/>
          <w:color w:val="000000" w:themeColor="text1"/>
          <w:shd w:val="clear" w:color="auto" w:fill="FFFFFF"/>
        </w:rPr>
        <w:t>La forma de cálculo del respectivo porcentaje será acorde con las particularidades de cada proyecto y siempre siguiendo, entre otros, los criterios de cálculo que se adicionan en el Artículo 12 de resolución que modifica la Resolución CREG 107 de 2017.</w:t>
      </w:r>
      <w:r>
        <w:rPr>
          <w:rFonts w:ascii="Bookman Old Style" w:hAnsi="Bookman Old Style" w:cs="Arial"/>
          <w:color w:val="000000" w:themeColor="text1"/>
          <w:shd w:val="clear" w:color="auto" w:fill="FFFFFF"/>
        </w:rPr>
        <w:t xml:space="preserve"> </w:t>
      </w:r>
    </w:p>
    <w:p w14:paraId="33375D05" w14:textId="77777777" w:rsidR="000713FC" w:rsidRDefault="000713FC" w:rsidP="00967898">
      <w:pPr>
        <w:pStyle w:val="Textoindependiente2"/>
        <w:spacing w:after="0" w:line="240" w:lineRule="auto"/>
        <w:ind w:left="0"/>
        <w:jc w:val="both"/>
        <w:rPr>
          <w:rFonts w:ascii="Bookman Old Style" w:hAnsi="Bookman Old Style" w:cs="Arial"/>
          <w:color w:val="000000" w:themeColor="text1"/>
          <w:shd w:val="clear" w:color="auto" w:fill="FFFFFF"/>
        </w:rPr>
      </w:pPr>
    </w:p>
    <w:p w14:paraId="07E37FC4" w14:textId="028F6D00" w:rsidR="006C2B83" w:rsidRDefault="000713FC" w:rsidP="00967898">
      <w:pPr>
        <w:pStyle w:val="Textoindependiente2"/>
        <w:spacing w:after="0" w:line="240" w:lineRule="auto"/>
        <w:ind w:left="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Se entiende</w:t>
      </w:r>
      <w:r w:rsidR="006C2B83">
        <w:rPr>
          <w:rFonts w:ascii="Bookman Old Style" w:hAnsi="Bookman Old Style" w:cs="Arial"/>
          <w:color w:val="000000" w:themeColor="text1"/>
          <w:shd w:val="clear" w:color="auto" w:fill="FFFFFF"/>
        </w:rPr>
        <w:t xml:space="preserve"> que el adjudicatario</w:t>
      </w:r>
      <w:r w:rsidR="00D33487">
        <w:rPr>
          <w:rFonts w:ascii="Bookman Old Style" w:hAnsi="Bookman Old Style" w:cs="Arial"/>
          <w:color w:val="000000" w:themeColor="text1"/>
          <w:shd w:val="clear" w:color="auto" w:fill="FFFFFF"/>
        </w:rPr>
        <w:t>,</w:t>
      </w:r>
      <w:r w:rsidR="006C2B83">
        <w:rPr>
          <w:rFonts w:ascii="Bookman Old Style" w:hAnsi="Bookman Old Style" w:cs="Arial"/>
          <w:color w:val="000000" w:themeColor="text1"/>
          <w:shd w:val="clear" w:color="auto" w:fill="FFFFFF"/>
        </w:rPr>
        <w:t xml:space="preserve"> durante el desarrollo del proyecto</w:t>
      </w:r>
      <w:r w:rsidR="00D33487">
        <w:rPr>
          <w:rFonts w:ascii="Bookman Old Style" w:hAnsi="Bookman Old Style" w:cs="Arial"/>
          <w:color w:val="000000" w:themeColor="text1"/>
          <w:shd w:val="clear" w:color="auto" w:fill="FFFFFF"/>
        </w:rPr>
        <w:t>,</w:t>
      </w:r>
      <w:r w:rsidR="006C2B83">
        <w:rPr>
          <w:rFonts w:ascii="Bookman Old Style" w:hAnsi="Bookman Old Style" w:cs="Arial"/>
          <w:color w:val="000000" w:themeColor="text1"/>
          <w:shd w:val="clear" w:color="auto" w:fill="FFFFFF"/>
        </w:rPr>
        <w:t xml:space="preserve"> </w:t>
      </w:r>
      <w:r>
        <w:rPr>
          <w:rFonts w:ascii="Bookman Old Style" w:hAnsi="Bookman Old Style" w:cs="Arial"/>
          <w:color w:val="000000" w:themeColor="text1"/>
          <w:shd w:val="clear" w:color="auto" w:fill="FFFFFF"/>
        </w:rPr>
        <w:t>evaluará si propone la opción de entrada anticipada</w:t>
      </w:r>
      <w:r w:rsidR="00D33487">
        <w:rPr>
          <w:rFonts w:ascii="Bookman Old Style" w:hAnsi="Bookman Old Style" w:cs="Arial"/>
          <w:color w:val="000000" w:themeColor="text1"/>
          <w:shd w:val="clear" w:color="auto" w:fill="FFFFFF"/>
        </w:rPr>
        <w:t>,</w:t>
      </w:r>
      <w:r>
        <w:rPr>
          <w:rFonts w:ascii="Bookman Old Style" w:hAnsi="Bookman Old Style" w:cs="Arial"/>
          <w:color w:val="000000" w:themeColor="text1"/>
          <w:shd w:val="clear" w:color="auto" w:fill="FFFFFF"/>
        </w:rPr>
        <w:t xml:space="preserve"> para lo cual necesitará conocer que remuneración tendría, la cual incluye el porcentaje del IAE, frente a las inversiones, gastos AOM adicionales y </w:t>
      </w:r>
      <w:r w:rsidR="00E12344">
        <w:rPr>
          <w:rFonts w:ascii="Bookman Old Style" w:hAnsi="Bookman Old Style" w:cs="Arial"/>
          <w:color w:val="000000" w:themeColor="text1"/>
          <w:shd w:val="clear" w:color="auto" w:fill="FFFFFF"/>
        </w:rPr>
        <w:t>riesgos</w:t>
      </w:r>
      <w:r>
        <w:rPr>
          <w:rFonts w:ascii="Bookman Old Style" w:hAnsi="Bookman Old Style" w:cs="Arial"/>
          <w:color w:val="000000" w:themeColor="text1"/>
          <w:shd w:val="clear" w:color="auto" w:fill="FFFFFF"/>
        </w:rPr>
        <w:t xml:space="preserve">. </w:t>
      </w:r>
      <w:r w:rsidR="00E12344">
        <w:rPr>
          <w:rFonts w:ascii="Bookman Old Style" w:hAnsi="Bookman Old Style" w:cs="Arial"/>
          <w:color w:val="000000" w:themeColor="text1"/>
          <w:shd w:val="clear" w:color="auto" w:fill="FFFFFF"/>
        </w:rPr>
        <w:t>Esto implica que no es necesario para los oferentes conocer el origen del porcentaje</w:t>
      </w:r>
      <w:r w:rsidR="00C04147">
        <w:rPr>
          <w:rFonts w:ascii="Bookman Old Style" w:hAnsi="Bookman Old Style" w:cs="Arial"/>
          <w:color w:val="000000" w:themeColor="text1"/>
          <w:shd w:val="clear" w:color="auto" w:fill="FFFFFF"/>
        </w:rPr>
        <w:t>,</w:t>
      </w:r>
      <w:r w:rsidR="00E12344">
        <w:rPr>
          <w:rFonts w:ascii="Bookman Old Style" w:hAnsi="Bookman Old Style" w:cs="Arial"/>
          <w:color w:val="000000" w:themeColor="text1"/>
          <w:shd w:val="clear" w:color="auto" w:fill="FFFFFF"/>
        </w:rPr>
        <w:t xml:space="preserve"> sino cuál es el porcentaje.</w:t>
      </w:r>
    </w:p>
    <w:p w14:paraId="3A209D94" w14:textId="77777777" w:rsidR="00967898" w:rsidRPr="00A6292E" w:rsidRDefault="00967898" w:rsidP="00967898">
      <w:pPr>
        <w:pStyle w:val="Default"/>
        <w:jc w:val="both"/>
        <w:rPr>
          <w:i/>
          <w:iCs/>
          <w:sz w:val="23"/>
          <w:szCs w:val="23"/>
        </w:rPr>
      </w:pPr>
      <w:r w:rsidRPr="00A6292E">
        <w:rPr>
          <w:rFonts w:ascii="Calibri" w:hAnsi="Calibri" w:cs="Calibri"/>
          <w:i/>
          <w:iCs/>
          <w:sz w:val="13"/>
          <w:szCs w:val="13"/>
        </w:rPr>
        <w:t xml:space="preserve"> </w:t>
      </w:r>
    </w:p>
    <w:p w14:paraId="104A01D9" w14:textId="77777777" w:rsidR="00967898" w:rsidRPr="00C04147" w:rsidRDefault="00967898" w:rsidP="00967898">
      <w:pPr>
        <w:pStyle w:val="Default"/>
        <w:numPr>
          <w:ilvl w:val="0"/>
          <w:numId w:val="9"/>
        </w:numPr>
        <w:jc w:val="both"/>
        <w:rPr>
          <w:rFonts w:ascii="Bookman Old Style" w:hAnsi="Bookman Old Style"/>
          <w:i/>
          <w:iCs/>
          <w:sz w:val="20"/>
          <w:szCs w:val="20"/>
        </w:rPr>
      </w:pPr>
      <w:r w:rsidRPr="00C04147">
        <w:rPr>
          <w:rFonts w:ascii="Bookman Old Style" w:hAnsi="Bookman Old Style"/>
          <w:i/>
          <w:iCs/>
          <w:sz w:val="23"/>
          <w:szCs w:val="23"/>
        </w:rPr>
        <w:t xml:space="preserve">b) El artículo 9 que adiciona a la Resolución CREG 152 de 2017 el valor de las compensaciones por indisponibilidad de la infraestructura de importación de gas del Pacífico establece una ecuación para calcular las compensaciones por indisponibilidad, en el evento de haberse cumplido con una fecha anticipada de entrada en operación de la Infraestructura de Importación de Gas del Pacifico. En dicha fórmula no se describen los siguientes elementos: </w:t>
      </w:r>
      <w:r w:rsidRPr="00C04147">
        <w:rPr>
          <w:rFonts w:ascii="Cambria Math" w:hAnsi="Cambria Math" w:cs="Cambria Math"/>
          <w:i/>
          <w:iCs/>
          <w:sz w:val="20"/>
          <w:szCs w:val="20"/>
        </w:rPr>
        <w:t>𝐼𝑀</w:t>
      </w:r>
      <w:r w:rsidRPr="00C04147">
        <w:rPr>
          <w:rFonts w:ascii="Bookman Old Style" w:hAnsi="Bookman Old Style" w:cs="Cambria Math"/>
          <w:i/>
          <w:iCs/>
          <w:sz w:val="14"/>
          <w:szCs w:val="14"/>
        </w:rPr>
        <w:t>1</w:t>
      </w:r>
      <w:r w:rsidRPr="00C04147">
        <w:rPr>
          <w:rFonts w:ascii="Bookman Old Style" w:hAnsi="Bookman Old Style"/>
          <w:i/>
          <w:iCs/>
          <w:sz w:val="20"/>
          <w:szCs w:val="20"/>
        </w:rPr>
        <w:t xml:space="preserve">, </w:t>
      </w:r>
      <w:r w:rsidRPr="00C04147">
        <w:rPr>
          <w:rFonts w:ascii="Cambria Math" w:hAnsi="Cambria Math" w:cs="Cambria Math"/>
          <w:i/>
          <w:iCs/>
          <w:sz w:val="22"/>
          <w:szCs w:val="22"/>
        </w:rPr>
        <w:t>𝐶𝑂𝑃𝑌𝑃𝐼</w:t>
      </w:r>
      <w:r w:rsidRPr="00C04147">
        <w:rPr>
          <w:rFonts w:ascii="Cambria Math" w:hAnsi="Cambria Math" w:cs="Cambria Math"/>
          <w:i/>
          <w:iCs/>
          <w:sz w:val="16"/>
          <w:szCs w:val="16"/>
        </w:rPr>
        <w:t>𝑖</w:t>
      </w:r>
      <w:r w:rsidRPr="00C04147">
        <w:rPr>
          <w:rFonts w:ascii="Bookman Old Style" w:hAnsi="Bookman Old Style" w:cs="Cambria Math"/>
          <w:i/>
          <w:iCs/>
          <w:sz w:val="22"/>
          <w:szCs w:val="22"/>
        </w:rPr>
        <w:t xml:space="preserve">, D y </w:t>
      </w:r>
      <w:r w:rsidRPr="00C04147">
        <w:rPr>
          <w:rFonts w:ascii="Cambria Math" w:hAnsi="Cambria Math" w:cs="Cambria Math"/>
          <w:i/>
          <w:iCs/>
          <w:sz w:val="20"/>
          <w:szCs w:val="20"/>
        </w:rPr>
        <w:t>𝐶𝑂𝑃𝑌𝑃</w:t>
      </w:r>
      <w:r w:rsidRPr="00C04147">
        <w:rPr>
          <w:rFonts w:ascii="Bookman Old Style" w:hAnsi="Bookman Old Style" w:cs="Cambria Math"/>
          <w:i/>
          <w:iCs/>
          <w:sz w:val="20"/>
          <w:szCs w:val="20"/>
        </w:rPr>
        <w:t xml:space="preserve">. </w:t>
      </w:r>
    </w:p>
    <w:p w14:paraId="02359576" w14:textId="77777777" w:rsidR="00967898" w:rsidRPr="00C04147" w:rsidRDefault="00967898" w:rsidP="00967898">
      <w:pPr>
        <w:pStyle w:val="Default"/>
        <w:jc w:val="both"/>
        <w:rPr>
          <w:rFonts w:ascii="Bookman Old Style" w:hAnsi="Bookman Old Style"/>
          <w:i/>
          <w:iCs/>
          <w:sz w:val="20"/>
          <w:szCs w:val="20"/>
        </w:rPr>
      </w:pPr>
    </w:p>
    <w:p w14:paraId="5CB3891C" w14:textId="77777777" w:rsidR="00967898" w:rsidRPr="00C04147" w:rsidRDefault="00967898" w:rsidP="00967898">
      <w:pPr>
        <w:pStyle w:val="Default"/>
        <w:jc w:val="both"/>
        <w:rPr>
          <w:rFonts w:ascii="Bookman Old Style" w:hAnsi="Bookman Old Style"/>
          <w:i/>
          <w:iCs/>
          <w:sz w:val="22"/>
          <w:szCs w:val="22"/>
        </w:rPr>
      </w:pPr>
      <w:r w:rsidRPr="00C04147">
        <w:rPr>
          <w:rFonts w:ascii="Bookman Old Style" w:hAnsi="Bookman Old Style"/>
          <w:i/>
          <w:iCs/>
          <w:sz w:val="23"/>
          <w:szCs w:val="23"/>
        </w:rPr>
        <w:t xml:space="preserve">Por su parte, en la fórmula para calcular las compensaciones por indisponibilidad en el evento de haberse cumplido con una fecha anticipada de entrada en operación parcial de la Infraestructura de Importación de Gas del Pacifico, tampoco se describen los elementos: </w:t>
      </w:r>
      <w:r w:rsidRPr="00C04147">
        <w:rPr>
          <w:rFonts w:ascii="Bookman Old Style" w:hAnsi="Bookman Old Style" w:cs="Cambria Math"/>
          <w:i/>
          <w:iCs/>
          <w:sz w:val="22"/>
          <w:szCs w:val="22"/>
        </w:rPr>
        <w:t>%</w:t>
      </w:r>
      <w:r w:rsidRPr="00C04147">
        <w:rPr>
          <w:rFonts w:ascii="Cambria Math" w:hAnsi="Cambria Math" w:cs="Cambria Math"/>
          <w:i/>
          <w:iCs/>
          <w:sz w:val="22"/>
          <w:szCs w:val="22"/>
        </w:rPr>
        <w:t>𝑎𝑑𝑖𝑐𝑖𝑜𝑛𝑎𝑙</w:t>
      </w:r>
      <w:r w:rsidRPr="00C04147">
        <w:rPr>
          <w:rFonts w:ascii="Bookman Old Style" w:hAnsi="Bookman Old Style"/>
          <w:i/>
          <w:iCs/>
          <w:sz w:val="22"/>
          <w:szCs w:val="22"/>
        </w:rPr>
        <w:t xml:space="preserve">, </w:t>
      </w:r>
      <w:r w:rsidRPr="00C04147">
        <w:rPr>
          <w:rFonts w:ascii="Cambria Math" w:hAnsi="Cambria Math" w:cs="Cambria Math"/>
          <w:i/>
          <w:iCs/>
          <w:sz w:val="22"/>
          <w:szCs w:val="22"/>
        </w:rPr>
        <w:t>𝐼𝑀</w:t>
      </w:r>
      <w:r w:rsidRPr="00C04147">
        <w:rPr>
          <w:rFonts w:ascii="Bookman Old Style" w:hAnsi="Bookman Old Style" w:cs="Cambria Math"/>
          <w:i/>
          <w:iCs/>
          <w:sz w:val="16"/>
          <w:szCs w:val="16"/>
        </w:rPr>
        <w:t>1</w:t>
      </w:r>
      <w:r w:rsidRPr="00C04147">
        <w:rPr>
          <w:rFonts w:ascii="Bookman Old Style" w:hAnsi="Bookman Old Style"/>
          <w:i/>
          <w:iCs/>
          <w:sz w:val="22"/>
          <w:szCs w:val="22"/>
        </w:rPr>
        <w:t xml:space="preserve">, </w:t>
      </w:r>
      <w:r w:rsidRPr="00C04147">
        <w:rPr>
          <w:rFonts w:ascii="Cambria Math" w:hAnsi="Cambria Math" w:cs="Cambria Math"/>
          <w:i/>
          <w:iCs/>
          <w:sz w:val="22"/>
          <w:szCs w:val="22"/>
        </w:rPr>
        <w:t>𝐶𝑂𝑃𝑌𝑃</w:t>
      </w:r>
      <w:r w:rsidRPr="00C04147">
        <w:rPr>
          <w:rFonts w:ascii="Cambria Math" w:hAnsi="Cambria Math" w:cs="Cambria Math"/>
          <w:i/>
          <w:iCs/>
          <w:sz w:val="16"/>
          <w:szCs w:val="16"/>
        </w:rPr>
        <w:t>𝑚</w:t>
      </w:r>
      <w:r w:rsidRPr="00C04147">
        <w:rPr>
          <w:rFonts w:ascii="Bookman Old Style" w:hAnsi="Bookman Old Style"/>
          <w:i/>
          <w:iCs/>
          <w:sz w:val="22"/>
          <w:szCs w:val="22"/>
        </w:rPr>
        <w:t xml:space="preserve">, </w:t>
      </w:r>
      <w:r w:rsidRPr="00C04147">
        <w:rPr>
          <w:rFonts w:ascii="Cambria Math" w:hAnsi="Cambria Math" w:cs="Cambria Math"/>
          <w:i/>
          <w:iCs/>
          <w:sz w:val="22"/>
          <w:szCs w:val="22"/>
        </w:rPr>
        <w:t>𝐶𝐷𝑆𝐼𝑌</w:t>
      </w:r>
      <w:r w:rsidRPr="00C04147">
        <w:rPr>
          <w:rFonts w:ascii="Bookman Old Style" w:hAnsi="Bookman Old Style" w:cs="Cambria Math"/>
          <w:i/>
          <w:iCs/>
          <w:sz w:val="22"/>
          <w:szCs w:val="22"/>
        </w:rPr>
        <w:t xml:space="preserve"> </w:t>
      </w:r>
      <w:r w:rsidRPr="00C04147">
        <w:rPr>
          <w:rFonts w:ascii="Bookman Old Style" w:hAnsi="Bookman Old Style"/>
          <w:i/>
          <w:iCs/>
          <w:sz w:val="22"/>
          <w:szCs w:val="22"/>
        </w:rPr>
        <w:t xml:space="preserve">Y </w:t>
      </w:r>
      <w:r w:rsidRPr="00C04147">
        <w:rPr>
          <w:rFonts w:ascii="Cambria Math" w:hAnsi="Cambria Math" w:cs="Cambria Math"/>
          <w:i/>
          <w:iCs/>
          <w:sz w:val="22"/>
          <w:szCs w:val="22"/>
        </w:rPr>
        <w:t>𝐶𝑂𝑃𝑌𝑃𝑂𝑃</w:t>
      </w:r>
      <w:r w:rsidRPr="00C04147">
        <w:rPr>
          <w:rFonts w:ascii="Cambria Math" w:hAnsi="Cambria Math" w:cs="Cambria Math"/>
          <w:i/>
          <w:iCs/>
          <w:sz w:val="16"/>
          <w:szCs w:val="16"/>
        </w:rPr>
        <w:t>𝑚</w:t>
      </w:r>
      <w:r w:rsidRPr="00C04147">
        <w:rPr>
          <w:rFonts w:ascii="Bookman Old Style" w:hAnsi="Bookman Old Style"/>
          <w:i/>
          <w:iCs/>
          <w:sz w:val="22"/>
          <w:szCs w:val="22"/>
        </w:rPr>
        <w:t xml:space="preserve">. </w:t>
      </w:r>
    </w:p>
    <w:p w14:paraId="6E9FEEAF" w14:textId="77777777" w:rsidR="00967898" w:rsidRPr="00C04147" w:rsidRDefault="00967898" w:rsidP="00967898">
      <w:pPr>
        <w:pStyle w:val="Default"/>
        <w:jc w:val="both"/>
        <w:rPr>
          <w:rFonts w:ascii="Bookman Old Style" w:hAnsi="Bookman Old Style"/>
          <w:i/>
          <w:iCs/>
          <w:sz w:val="22"/>
          <w:szCs w:val="22"/>
        </w:rPr>
      </w:pPr>
    </w:p>
    <w:p w14:paraId="0894958E" w14:textId="535549DA" w:rsidR="00967898" w:rsidRPr="00B20AA5" w:rsidRDefault="00E12344" w:rsidP="00967898">
      <w:pPr>
        <w:pStyle w:val="Textoindependiente2"/>
        <w:spacing w:after="0" w:line="240" w:lineRule="auto"/>
        <w:ind w:left="0"/>
        <w:jc w:val="both"/>
        <w:rPr>
          <w:rFonts w:ascii="Bookman Old Style" w:hAnsi="Bookman Old Style" w:cs="Arial"/>
          <w:color w:val="000000" w:themeColor="text1"/>
          <w:shd w:val="clear" w:color="auto" w:fill="FFFFFF"/>
        </w:rPr>
      </w:pPr>
      <w:r w:rsidRPr="00AE74B9">
        <w:rPr>
          <w:rFonts w:ascii="Bookman Old Style" w:hAnsi="Bookman Old Style" w:cs="Arial"/>
          <w:b/>
          <w:bCs/>
          <w:color w:val="000000" w:themeColor="text1"/>
          <w:shd w:val="clear" w:color="auto" w:fill="FFFFFF"/>
        </w:rPr>
        <w:t>Comentario CREG.</w:t>
      </w:r>
      <w:r>
        <w:rPr>
          <w:rFonts w:ascii="Bookman Old Style" w:hAnsi="Bookman Old Style" w:cs="Arial"/>
          <w:color w:val="000000" w:themeColor="text1"/>
          <w:shd w:val="clear" w:color="auto" w:fill="FFFFFF"/>
        </w:rPr>
        <w:t xml:space="preserve"> </w:t>
      </w:r>
      <w:r w:rsidR="00967898" w:rsidRPr="00B20AA5">
        <w:rPr>
          <w:rFonts w:ascii="Bookman Old Style" w:hAnsi="Bookman Old Style" w:cs="Arial"/>
          <w:color w:val="000000" w:themeColor="text1"/>
          <w:shd w:val="clear" w:color="auto" w:fill="FFFFFF"/>
        </w:rPr>
        <w:t>Frente a lo aquí manifestado por la SIC</w:t>
      </w:r>
      <w:r w:rsidR="00C04147">
        <w:rPr>
          <w:rFonts w:ascii="Bookman Old Style" w:hAnsi="Bookman Old Style" w:cs="Arial"/>
          <w:color w:val="000000" w:themeColor="text1"/>
          <w:shd w:val="clear" w:color="auto" w:fill="FFFFFF"/>
        </w:rPr>
        <w:t>,</w:t>
      </w:r>
      <w:r w:rsidR="004F6122">
        <w:rPr>
          <w:rFonts w:ascii="Bookman Old Style" w:hAnsi="Bookman Old Style" w:cs="Arial"/>
          <w:color w:val="000000" w:themeColor="text1"/>
          <w:shd w:val="clear" w:color="auto" w:fill="FFFFFF"/>
        </w:rPr>
        <w:t xml:space="preserve"> </w:t>
      </w:r>
      <w:r w:rsidR="00967898" w:rsidRPr="00B20AA5">
        <w:rPr>
          <w:rFonts w:ascii="Bookman Old Style" w:hAnsi="Bookman Old Style" w:cs="Arial"/>
          <w:color w:val="000000" w:themeColor="text1"/>
          <w:shd w:val="clear" w:color="auto" w:fill="FFFFFF"/>
        </w:rPr>
        <w:t xml:space="preserve">en la presente resolución se efectúa el ajuste </w:t>
      </w:r>
      <w:r w:rsidR="004F6122">
        <w:rPr>
          <w:rFonts w:ascii="Bookman Old Style" w:hAnsi="Bookman Old Style" w:cs="Arial"/>
          <w:color w:val="000000" w:themeColor="text1"/>
          <w:shd w:val="clear" w:color="auto" w:fill="FFFFFF"/>
        </w:rPr>
        <w:t>solicitado</w:t>
      </w:r>
      <w:r w:rsidR="00F748EE">
        <w:rPr>
          <w:rFonts w:ascii="Bookman Old Style" w:hAnsi="Bookman Old Style" w:cs="Arial"/>
          <w:color w:val="000000" w:themeColor="text1"/>
          <w:shd w:val="clear" w:color="auto" w:fill="FFFFFF"/>
        </w:rPr>
        <w:t xml:space="preserve"> sin afectar la fórmula de cálculo</w:t>
      </w:r>
      <w:r w:rsidR="004F6122">
        <w:rPr>
          <w:rFonts w:ascii="Bookman Old Style" w:hAnsi="Bookman Old Style" w:cs="Arial"/>
          <w:color w:val="000000" w:themeColor="text1"/>
          <w:shd w:val="clear" w:color="auto" w:fill="FFFFFF"/>
        </w:rPr>
        <w:t>.</w:t>
      </w:r>
    </w:p>
    <w:p w14:paraId="473A244E" w14:textId="4769E6B3" w:rsidR="00967898" w:rsidRPr="00B20AA5" w:rsidRDefault="00E12344" w:rsidP="00967898">
      <w:pPr>
        <w:pStyle w:val="Textoindependiente2"/>
        <w:spacing w:after="0" w:line="240" w:lineRule="auto"/>
        <w:ind w:left="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 xml:space="preserve"> </w:t>
      </w:r>
    </w:p>
    <w:p w14:paraId="4B5DE569" w14:textId="3994B457" w:rsidR="00967898" w:rsidRDefault="00967898" w:rsidP="00967898">
      <w:pPr>
        <w:pStyle w:val="Default"/>
        <w:numPr>
          <w:ilvl w:val="0"/>
          <w:numId w:val="11"/>
        </w:numPr>
        <w:jc w:val="both"/>
        <w:rPr>
          <w:rFonts w:ascii="Bookman Old Style" w:hAnsi="Bookman Old Style"/>
          <w:i/>
          <w:iCs/>
          <w:sz w:val="23"/>
          <w:szCs w:val="23"/>
        </w:rPr>
      </w:pPr>
      <w:r w:rsidRPr="00C04147">
        <w:rPr>
          <w:rFonts w:ascii="Bookman Old Style" w:hAnsi="Bookman Old Style"/>
          <w:i/>
          <w:iCs/>
          <w:sz w:val="23"/>
          <w:szCs w:val="23"/>
        </w:rPr>
        <w:t xml:space="preserve">c) El artículo 10 que adiciona el valor de los servicios adicionales al artículo 16 de la Resolución CREG 152 de 2017 y que se titula: “Servicios adicionales. Valor del componente PSA”; establece que el valor a utilizar en los cálculos descritos en el anexo 4 de la Resolución CREG 107 de 2017, será del diez por ciento (10%). Se observa que no se describe la justificación técnica correspondiente al establecimiento de este porcentaje. </w:t>
      </w:r>
    </w:p>
    <w:p w14:paraId="18D749C5" w14:textId="77777777" w:rsidR="00900F23" w:rsidRPr="00C04147" w:rsidRDefault="00900F23" w:rsidP="00967898">
      <w:pPr>
        <w:pStyle w:val="Default"/>
        <w:numPr>
          <w:ilvl w:val="0"/>
          <w:numId w:val="11"/>
        </w:numPr>
        <w:jc w:val="both"/>
        <w:rPr>
          <w:rFonts w:ascii="Bookman Old Style" w:hAnsi="Bookman Old Style"/>
          <w:i/>
          <w:iCs/>
          <w:sz w:val="23"/>
          <w:szCs w:val="23"/>
        </w:rPr>
      </w:pPr>
    </w:p>
    <w:p w14:paraId="6C36BE37" w14:textId="77777777" w:rsidR="00967898" w:rsidRPr="002F7D76" w:rsidRDefault="00967898" w:rsidP="00967898">
      <w:pPr>
        <w:pStyle w:val="Default"/>
        <w:numPr>
          <w:ilvl w:val="0"/>
          <w:numId w:val="11"/>
        </w:numPr>
        <w:jc w:val="both"/>
        <w:rPr>
          <w:i/>
          <w:iCs/>
          <w:sz w:val="23"/>
          <w:szCs w:val="23"/>
        </w:rPr>
      </w:pPr>
    </w:p>
    <w:p w14:paraId="5C18900C" w14:textId="1AA9477F" w:rsidR="005C3F4D" w:rsidRDefault="005C3F4D" w:rsidP="00967898">
      <w:pPr>
        <w:pStyle w:val="Textoindependiente2"/>
        <w:numPr>
          <w:ilvl w:val="0"/>
          <w:numId w:val="11"/>
        </w:numPr>
        <w:spacing w:after="0" w:line="240" w:lineRule="auto"/>
        <w:ind w:left="0"/>
        <w:jc w:val="both"/>
        <w:rPr>
          <w:rFonts w:ascii="Bookman Old Style" w:hAnsi="Bookman Old Style" w:cs="Arial"/>
          <w:color w:val="000000" w:themeColor="text1"/>
          <w:shd w:val="clear" w:color="auto" w:fill="FFFFFF"/>
        </w:rPr>
      </w:pPr>
      <w:r w:rsidRPr="00AE74B9">
        <w:rPr>
          <w:rFonts w:ascii="Bookman Old Style" w:hAnsi="Bookman Old Style" w:cs="Arial"/>
          <w:b/>
          <w:bCs/>
          <w:color w:val="000000" w:themeColor="text1"/>
          <w:shd w:val="clear" w:color="auto" w:fill="FFFFFF"/>
        </w:rPr>
        <w:t>Comentario CREG.</w:t>
      </w:r>
      <w:r>
        <w:rPr>
          <w:rFonts w:ascii="Bookman Old Style" w:hAnsi="Bookman Old Style" w:cs="Arial"/>
          <w:color w:val="000000" w:themeColor="text1"/>
          <w:shd w:val="clear" w:color="auto" w:fill="FFFFFF"/>
        </w:rPr>
        <w:t xml:space="preserve"> </w:t>
      </w:r>
      <w:r w:rsidR="001D4996">
        <w:rPr>
          <w:rFonts w:ascii="Bookman Old Style" w:hAnsi="Bookman Old Style" w:cs="Arial"/>
          <w:color w:val="000000" w:themeColor="text1"/>
          <w:shd w:val="clear" w:color="auto" w:fill="FFFFFF"/>
        </w:rPr>
        <w:t>F</w:t>
      </w:r>
      <w:r w:rsidR="00967898">
        <w:rPr>
          <w:rFonts w:ascii="Bookman Old Style" w:hAnsi="Bookman Old Style" w:cs="Arial"/>
          <w:color w:val="000000" w:themeColor="text1"/>
          <w:shd w:val="clear" w:color="auto" w:fill="FFFFFF"/>
        </w:rPr>
        <w:t>rente a l</w:t>
      </w:r>
      <w:r w:rsidR="00967898" w:rsidRPr="00B20AA5">
        <w:rPr>
          <w:rFonts w:ascii="Bookman Old Style" w:hAnsi="Bookman Old Style" w:cs="Arial"/>
          <w:color w:val="000000" w:themeColor="text1"/>
          <w:shd w:val="clear" w:color="auto" w:fill="FFFFFF"/>
        </w:rPr>
        <w:t>a presunta asimetría de información que plantea la SIC, en opinión de la CREG no corresponde</w:t>
      </w:r>
      <w:r w:rsidR="00C04147">
        <w:rPr>
          <w:rFonts w:ascii="Bookman Old Style" w:hAnsi="Bookman Old Style" w:cs="Arial"/>
          <w:color w:val="000000" w:themeColor="text1"/>
          <w:shd w:val="clear" w:color="auto" w:fill="FFFFFF"/>
        </w:rPr>
        <w:t>,</w:t>
      </w:r>
      <w:r w:rsidR="00967898" w:rsidRPr="00B20AA5">
        <w:rPr>
          <w:rFonts w:ascii="Bookman Old Style" w:hAnsi="Bookman Old Style" w:cs="Arial"/>
          <w:color w:val="000000" w:themeColor="text1"/>
          <w:shd w:val="clear" w:color="auto" w:fill="FFFFFF"/>
        </w:rPr>
        <w:t xml:space="preserve"> en la medida en que el porcentaje de los servicios adicionales del proyecto es la información que tendrá cualquiera de los interesados en participar en el proyecto correspondiente, en forma previa a la presentación de su oferta a la UPME, que no será criterio a tener en cuenta para la selección del adjudicatario por parte de dicha entidad. </w:t>
      </w:r>
    </w:p>
    <w:p w14:paraId="355AFA9F" w14:textId="77777777" w:rsidR="005C3F4D" w:rsidRDefault="005C3F4D" w:rsidP="005C3F4D">
      <w:pPr>
        <w:pStyle w:val="Prrafodelista"/>
        <w:rPr>
          <w:rFonts w:ascii="Bookman Old Style" w:hAnsi="Bookman Old Style" w:cs="Arial"/>
          <w:color w:val="000000" w:themeColor="text1"/>
          <w:shd w:val="clear" w:color="auto" w:fill="FFFFFF"/>
        </w:rPr>
      </w:pPr>
    </w:p>
    <w:p w14:paraId="68058A46" w14:textId="77777777" w:rsidR="005C3F4D" w:rsidRPr="00B20AA5" w:rsidRDefault="005C3F4D" w:rsidP="005C3F4D">
      <w:pPr>
        <w:pStyle w:val="Textoindependiente2"/>
        <w:numPr>
          <w:ilvl w:val="0"/>
          <w:numId w:val="11"/>
        </w:numPr>
        <w:spacing w:after="0" w:line="240" w:lineRule="auto"/>
        <w:ind w:left="0"/>
        <w:jc w:val="both"/>
        <w:rPr>
          <w:rFonts w:ascii="Bookman Old Style" w:hAnsi="Bookman Old Style" w:cs="Arial"/>
          <w:color w:val="000000" w:themeColor="text1"/>
          <w:shd w:val="clear" w:color="auto" w:fill="FFFFFF"/>
        </w:rPr>
      </w:pPr>
      <w:r w:rsidRPr="00B20AA5">
        <w:rPr>
          <w:rFonts w:ascii="Bookman Old Style" w:hAnsi="Bookman Old Style" w:cs="Arial"/>
          <w:color w:val="000000" w:themeColor="text1"/>
          <w:shd w:val="clear" w:color="auto" w:fill="FFFFFF"/>
        </w:rPr>
        <w:t xml:space="preserve">La forma de cálculo del respectivo porcentaje será acorde con las particularidades de cada proyecto y para ello se tendrán en cuenta, entre otros, los aspectos mencionados en el documento de soporte que acompaña la presente resolución. </w:t>
      </w:r>
    </w:p>
    <w:p w14:paraId="224C3662" w14:textId="77777777" w:rsidR="005C3F4D" w:rsidRDefault="005C3F4D" w:rsidP="005C3F4D">
      <w:pPr>
        <w:pStyle w:val="Textoindependiente2"/>
        <w:numPr>
          <w:ilvl w:val="0"/>
          <w:numId w:val="11"/>
        </w:numPr>
        <w:spacing w:after="0" w:line="240" w:lineRule="auto"/>
        <w:ind w:left="0"/>
        <w:jc w:val="both"/>
        <w:rPr>
          <w:rFonts w:ascii="Bookman Old Style" w:hAnsi="Bookman Old Style" w:cs="Arial"/>
          <w:color w:val="000000" w:themeColor="text1"/>
          <w:shd w:val="clear" w:color="auto" w:fill="FFFFFF"/>
        </w:rPr>
      </w:pPr>
    </w:p>
    <w:p w14:paraId="60CF06FF" w14:textId="2AF2628D" w:rsidR="005C3F4D" w:rsidRDefault="005C3F4D" w:rsidP="005C3F4D">
      <w:pPr>
        <w:pStyle w:val="Textoindependiente2"/>
        <w:numPr>
          <w:ilvl w:val="0"/>
          <w:numId w:val="11"/>
        </w:numPr>
        <w:spacing w:after="0" w:line="240" w:lineRule="auto"/>
        <w:ind w:left="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 xml:space="preserve">Se entiende que el adjudicatario evaluará si propone </w:t>
      </w:r>
      <w:r w:rsidR="001D4996">
        <w:rPr>
          <w:rFonts w:ascii="Bookman Old Style" w:hAnsi="Bookman Old Style" w:cs="Arial"/>
          <w:color w:val="000000" w:themeColor="text1"/>
          <w:shd w:val="clear" w:color="auto" w:fill="FFFFFF"/>
        </w:rPr>
        <w:t>el desarrollo de servicios adicionales</w:t>
      </w:r>
      <w:r>
        <w:rPr>
          <w:rFonts w:ascii="Bookman Old Style" w:hAnsi="Bookman Old Style" w:cs="Arial"/>
          <w:color w:val="000000" w:themeColor="text1"/>
          <w:shd w:val="clear" w:color="auto" w:fill="FFFFFF"/>
        </w:rPr>
        <w:t xml:space="preserve"> para lo cual necesitará conocer qu</w:t>
      </w:r>
      <w:r w:rsidR="00C04147">
        <w:rPr>
          <w:rFonts w:ascii="Bookman Old Style" w:hAnsi="Bookman Old Style" w:cs="Arial"/>
          <w:color w:val="000000" w:themeColor="text1"/>
          <w:shd w:val="clear" w:color="auto" w:fill="FFFFFF"/>
        </w:rPr>
        <w:t>é</w:t>
      </w:r>
      <w:r>
        <w:rPr>
          <w:rFonts w:ascii="Bookman Old Style" w:hAnsi="Bookman Old Style" w:cs="Arial"/>
          <w:color w:val="000000" w:themeColor="text1"/>
          <w:shd w:val="clear" w:color="auto" w:fill="FFFFFF"/>
        </w:rPr>
        <w:t xml:space="preserve"> </w:t>
      </w:r>
      <w:r w:rsidR="001D4996">
        <w:rPr>
          <w:rFonts w:ascii="Bookman Old Style" w:hAnsi="Bookman Old Style" w:cs="Arial"/>
          <w:color w:val="000000" w:themeColor="text1"/>
          <w:shd w:val="clear" w:color="auto" w:fill="FFFFFF"/>
        </w:rPr>
        <w:t>pagos a los beneficiarios tendría</w:t>
      </w:r>
      <w:r>
        <w:rPr>
          <w:rFonts w:ascii="Bookman Old Style" w:hAnsi="Bookman Old Style" w:cs="Arial"/>
          <w:color w:val="000000" w:themeColor="text1"/>
          <w:shd w:val="clear" w:color="auto" w:fill="FFFFFF"/>
        </w:rPr>
        <w:t>, frente a las inversiones, gastos AOM adicionales y riesgos. Esto implica que no es necesario para los oferentes conocer el origen del porcentaje</w:t>
      </w:r>
      <w:r w:rsidR="00C04147">
        <w:rPr>
          <w:rFonts w:ascii="Bookman Old Style" w:hAnsi="Bookman Old Style" w:cs="Arial"/>
          <w:color w:val="000000" w:themeColor="text1"/>
          <w:shd w:val="clear" w:color="auto" w:fill="FFFFFF"/>
        </w:rPr>
        <w:t>,</w:t>
      </w:r>
      <w:r>
        <w:rPr>
          <w:rFonts w:ascii="Bookman Old Style" w:hAnsi="Bookman Old Style" w:cs="Arial"/>
          <w:color w:val="000000" w:themeColor="text1"/>
          <w:shd w:val="clear" w:color="auto" w:fill="FFFFFF"/>
        </w:rPr>
        <w:t xml:space="preserve"> sino cuál es el porcentaje.</w:t>
      </w:r>
    </w:p>
    <w:p w14:paraId="2C32967F" w14:textId="77777777" w:rsidR="00967898" w:rsidRPr="00A6292E" w:rsidRDefault="00967898" w:rsidP="00967898">
      <w:pPr>
        <w:jc w:val="both"/>
        <w:rPr>
          <w:rFonts w:ascii="Bookman Old Style" w:hAnsi="Bookman Old Style" w:cs="Arial"/>
          <w:i/>
          <w:iCs/>
          <w:color w:val="000000"/>
          <w:shd w:val="clear" w:color="auto" w:fill="FFFFFF"/>
        </w:rPr>
      </w:pPr>
    </w:p>
    <w:p w14:paraId="2BC444DA" w14:textId="77777777" w:rsidR="00967898" w:rsidRPr="00A6292E" w:rsidRDefault="00967898" w:rsidP="00BC50EF">
      <w:pPr>
        <w:numPr>
          <w:ilvl w:val="0"/>
          <w:numId w:val="7"/>
        </w:numPr>
        <w:ind w:left="0" w:firstLine="0"/>
        <w:jc w:val="both"/>
        <w:rPr>
          <w:rFonts w:ascii="Bookman Old Style" w:hAnsi="Bookman Old Style" w:cs="Arial"/>
          <w:i/>
          <w:iCs/>
          <w:color w:val="000000"/>
          <w:shd w:val="clear" w:color="auto" w:fill="FFFFFF"/>
        </w:rPr>
      </w:pPr>
      <w:r w:rsidRPr="00A6292E">
        <w:rPr>
          <w:rFonts w:ascii="Bookman Old Style" w:hAnsi="Bookman Old Style" w:cs="Arial"/>
          <w:i/>
          <w:iCs/>
          <w:color w:val="000000"/>
          <w:shd w:val="clear" w:color="auto" w:fill="FFFFFF"/>
        </w:rPr>
        <w:t>Analizar la conveniencia de someter a observaciones de terceros interesados los aspectos incluidos en ambos Proyectos con el fin de eliminar las asimetrías de la información señaladas en el numeral 5.1 del presente concepto.</w:t>
      </w:r>
    </w:p>
    <w:p w14:paraId="23923A4F" w14:textId="77777777" w:rsidR="00967898" w:rsidRPr="00A6292E" w:rsidRDefault="00967898" w:rsidP="00967898">
      <w:pPr>
        <w:jc w:val="both"/>
        <w:rPr>
          <w:rFonts w:ascii="Bookman Old Style" w:hAnsi="Bookman Old Style" w:cs="Arial"/>
          <w:color w:val="000000"/>
          <w:shd w:val="clear" w:color="auto" w:fill="FFFFFF"/>
        </w:rPr>
      </w:pPr>
    </w:p>
    <w:p w14:paraId="3BD3BDBE" w14:textId="77777777" w:rsidR="00967898" w:rsidRDefault="00967898" w:rsidP="00967898">
      <w:pPr>
        <w:pStyle w:val="Textoindependiente2"/>
        <w:spacing w:after="0" w:line="240" w:lineRule="auto"/>
        <w:ind w:left="0"/>
        <w:jc w:val="both"/>
        <w:rPr>
          <w:rFonts w:ascii="Bookman Old Style" w:hAnsi="Bookman Old Style" w:cs="Arial"/>
          <w:color w:val="000000" w:themeColor="text1"/>
          <w:shd w:val="clear" w:color="auto" w:fill="FFFFFF"/>
        </w:rPr>
      </w:pPr>
      <w:r w:rsidRPr="00967898">
        <w:rPr>
          <w:rFonts w:ascii="Bookman Old Style" w:hAnsi="Bookman Old Style" w:cs="Arial"/>
          <w:color w:val="000000" w:themeColor="text1"/>
          <w:shd w:val="clear" w:color="auto" w:fill="FFFFFF"/>
        </w:rPr>
        <w:t>La Comisión no considera necesario someter a consulta los aspectos planteados por la SIC en el numeral 5.1 de su concepto, en consideración a las respuestas dadas en la recomendación 1 anterior.</w:t>
      </w:r>
      <w:r>
        <w:rPr>
          <w:rFonts w:ascii="Bookman Old Style" w:hAnsi="Bookman Old Style" w:cs="Arial"/>
          <w:color w:val="000000" w:themeColor="text1"/>
          <w:shd w:val="clear" w:color="auto" w:fill="FFFFFF"/>
        </w:rPr>
        <w:t xml:space="preserve"> </w:t>
      </w:r>
    </w:p>
    <w:p w14:paraId="5F42A5EE" w14:textId="77777777" w:rsidR="00F23E24" w:rsidRDefault="00F23E24" w:rsidP="00F23E24">
      <w:pPr>
        <w:jc w:val="both"/>
        <w:rPr>
          <w:rFonts w:ascii="Bookman Old Style" w:hAnsi="Bookman Old Style" w:cs="Arial"/>
          <w:color w:val="000000"/>
          <w:shd w:val="clear" w:color="auto" w:fill="FFFFFF"/>
        </w:rPr>
      </w:pPr>
    </w:p>
    <w:p w14:paraId="1AE4881C" w14:textId="048FC652" w:rsidR="00F23E24" w:rsidRPr="00A6292E" w:rsidRDefault="00F23E24"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shd w:val="clear" w:color="auto" w:fill="FFFFFF"/>
        </w:rPr>
        <w:t>De esta manera</w:t>
      </w:r>
      <w:r w:rsidR="00C0414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de parte de la Comisión se atendieron y analizaron las recomendaciones presentadas por la SIC</w:t>
      </w:r>
      <w:r w:rsidR="00C0414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w:t>
      </w:r>
      <w:r w:rsidR="00C04147">
        <w:rPr>
          <w:rFonts w:ascii="Bookman Old Style" w:hAnsi="Bookman Old Style" w:cs="Arial"/>
          <w:color w:val="000000"/>
          <w:shd w:val="clear" w:color="auto" w:fill="FFFFFF"/>
        </w:rPr>
        <w:t>y s</w:t>
      </w:r>
      <w:r w:rsidRPr="00A6292E">
        <w:rPr>
          <w:rFonts w:ascii="Bookman Old Style" w:hAnsi="Bookman Old Style" w:cs="Arial"/>
          <w:color w:val="000000"/>
          <w:shd w:val="clear" w:color="auto" w:fill="FFFFFF"/>
        </w:rPr>
        <w:t>e incluy</w:t>
      </w:r>
      <w:r w:rsidR="00C04147">
        <w:rPr>
          <w:rFonts w:ascii="Bookman Old Style" w:hAnsi="Bookman Old Style" w:cs="Arial"/>
          <w:color w:val="000000"/>
          <w:shd w:val="clear" w:color="auto" w:fill="FFFFFF"/>
        </w:rPr>
        <w:t>en</w:t>
      </w:r>
      <w:r w:rsidRPr="00A6292E">
        <w:rPr>
          <w:rFonts w:ascii="Bookman Old Style" w:hAnsi="Bookman Old Style" w:cs="Arial"/>
          <w:color w:val="000000"/>
          <w:shd w:val="clear" w:color="auto" w:fill="FFFFFF"/>
        </w:rPr>
        <w:t xml:space="preserve"> los ajustes que consideró pertinentes en la presente resolución. Adicionalmente</w:t>
      </w:r>
      <w:r w:rsidR="00C04147">
        <w:rPr>
          <w:rFonts w:ascii="Bookman Old Style" w:hAnsi="Bookman Old Style" w:cs="Arial"/>
          <w:color w:val="000000"/>
          <w:shd w:val="clear" w:color="auto" w:fill="FFFFFF"/>
        </w:rPr>
        <w:t>,</w:t>
      </w:r>
      <w:r w:rsidRPr="00A6292E">
        <w:rPr>
          <w:rFonts w:ascii="Bookman Old Style" w:hAnsi="Bookman Old Style" w:cs="Arial"/>
          <w:color w:val="000000"/>
          <w:shd w:val="clear" w:color="auto" w:fill="FFFFFF"/>
        </w:rPr>
        <w:t xml:space="preserve"> en el documento soporte de la presente resolución se hará el pronunciamiento adicional realizado por la SIC en relación con los puntos que se llaman la atención.</w:t>
      </w:r>
    </w:p>
    <w:p w14:paraId="4C4667A6" w14:textId="77777777" w:rsidR="00F23E24" w:rsidRPr="00A6292E" w:rsidRDefault="00F23E24" w:rsidP="00F23E24">
      <w:pPr>
        <w:jc w:val="both"/>
        <w:rPr>
          <w:rFonts w:ascii="Bookman Old Style" w:hAnsi="Bookman Old Style" w:cs="Arial"/>
          <w:color w:val="000000"/>
          <w:shd w:val="clear" w:color="auto" w:fill="FFFFFF"/>
        </w:rPr>
      </w:pPr>
    </w:p>
    <w:p w14:paraId="44031E1A" w14:textId="1AB7DA7C" w:rsidR="00F23E24" w:rsidRPr="00A6292E" w:rsidRDefault="00F23E24" w:rsidP="00967898">
      <w:pPr>
        <w:ind w:left="0"/>
        <w:jc w:val="both"/>
        <w:rPr>
          <w:rFonts w:ascii="Bookman Old Style" w:hAnsi="Bookman Old Style" w:cs="Arial"/>
          <w:color w:val="000000"/>
        </w:rPr>
      </w:pPr>
      <w:r w:rsidRPr="00A6292E">
        <w:rPr>
          <w:rFonts w:ascii="Bookman Old Style" w:hAnsi="Bookman Old Style" w:cs="Arial"/>
          <w:color w:val="000000"/>
        </w:rPr>
        <w:t>Según lo previsto en el artículo 8 del Código de Procedimiento Administrativo y de lo Contencioso Administrativo</w:t>
      </w:r>
      <w:r w:rsidR="00C04147">
        <w:rPr>
          <w:rFonts w:ascii="Bookman Old Style" w:hAnsi="Bookman Old Style" w:cs="Arial"/>
          <w:color w:val="000000"/>
        </w:rPr>
        <w:t>,</w:t>
      </w:r>
      <w:r w:rsidRPr="00A6292E">
        <w:rPr>
          <w:rFonts w:ascii="Bookman Old Style" w:hAnsi="Bookman Old Style" w:cs="Arial"/>
          <w:color w:val="000000"/>
        </w:rPr>
        <w:t xml:space="preserve"> y en el Decreto 1078 de 2015, la regulación que mediante la presente resolución se adopta ha surtido el proceso de publicidad previo correspondiente.</w:t>
      </w:r>
    </w:p>
    <w:p w14:paraId="46A69A45" w14:textId="77777777" w:rsidR="00F23E24" w:rsidRPr="00A6292E" w:rsidRDefault="00F23E24" w:rsidP="00F23E24">
      <w:pPr>
        <w:rPr>
          <w:rFonts w:ascii="Bookman Old Style" w:hAnsi="Bookman Old Style" w:cs="Arial"/>
          <w:color w:val="000000"/>
        </w:rPr>
      </w:pPr>
    </w:p>
    <w:p w14:paraId="00792635" w14:textId="1CB8A362" w:rsidR="00F23E24" w:rsidRPr="00A6292E" w:rsidRDefault="00F23E24" w:rsidP="00967898">
      <w:pPr>
        <w:ind w:left="0"/>
        <w:jc w:val="both"/>
        <w:rPr>
          <w:rFonts w:ascii="Bookman Old Style" w:hAnsi="Bookman Old Style" w:cs="Arial"/>
          <w:color w:val="000000"/>
        </w:rPr>
      </w:pPr>
      <w:r w:rsidRPr="00A6292E">
        <w:rPr>
          <w:rFonts w:ascii="Bookman Old Style" w:hAnsi="Bookman Old Style" w:cs="Arial"/>
          <w:color w:val="000000"/>
        </w:rPr>
        <w:t xml:space="preserve">En el </w:t>
      </w:r>
      <w:r w:rsidRPr="00900F23">
        <w:rPr>
          <w:rFonts w:ascii="Bookman Old Style" w:hAnsi="Bookman Old Style" w:cs="Arial"/>
          <w:color w:val="000000"/>
        </w:rPr>
        <w:t xml:space="preserve">Documento CREG </w:t>
      </w:r>
      <w:r w:rsidR="00900F23" w:rsidRPr="00900F23">
        <w:rPr>
          <w:rFonts w:ascii="Bookman Old Style" w:hAnsi="Bookman Old Style" w:cs="Arial"/>
          <w:color w:val="000000"/>
        </w:rPr>
        <w:t>106</w:t>
      </w:r>
      <w:r w:rsidRPr="00900F23">
        <w:rPr>
          <w:rFonts w:ascii="Bookman Old Style" w:hAnsi="Bookman Old Style" w:cs="Arial"/>
          <w:color w:val="000000"/>
        </w:rPr>
        <w:t xml:space="preserve"> de 2021, el cual</w:t>
      </w:r>
      <w:r w:rsidRPr="00A6292E">
        <w:rPr>
          <w:rFonts w:ascii="Bookman Old Style" w:hAnsi="Bookman Old Style" w:cs="Arial"/>
          <w:color w:val="000000"/>
        </w:rPr>
        <w:t xml:space="preserve"> soporta la presente Resolución, se presenta el análisis a los comentarios recibidos sobre la propuesta </w:t>
      </w:r>
      <w:r w:rsidRPr="00A6292E">
        <w:rPr>
          <w:rFonts w:ascii="Bookman Old Style" w:hAnsi="Bookman Old Style" w:cs="Tahoma"/>
          <w:color w:val="000000"/>
        </w:rPr>
        <w:t>regulatoria sometida a consulta mediante la Resolución CREG 00</w:t>
      </w:r>
      <w:r w:rsidR="006F2ECC">
        <w:rPr>
          <w:rFonts w:ascii="Bookman Old Style" w:hAnsi="Bookman Old Style" w:cs="Tahoma"/>
          <w:color w:val="000000"/>
        </w:rPr>
        <w:t>7</w:t>
      </w:r>
      <w:r w:rsidRPr="00A6292E">
        <w:rPr>
          <w:rFonts w:ascii="Bookman Old Style" w:hAnsi="Bookman Old Style" w:cs="Arial"/>
          <w:color w:val="000000"/>
        </w:rPr>
        <w:t xml:space="preserve"> de 2021.</w:t>
      </w:r>
    </w:p>
    <w:p w14:paraId="42BB6A43" w14:textId="77777777" w:rsidR="00F23E24" w:rsidRPr="00A6292E" w:rsidRDefault="00F23E24" w:rsidP="00F23E24">
      <w:pPr>
        <w:jc w:val="both"/>
        <w:rPr>
          <w:rFonts w:ascii="Bookman Old Style" w:hAnsi="Bookman Old Style" w:cs="Arial"/>
          <w:color w:val="000000"/>
        </w:rPr>
      </w:pPr>
    </w:p>
    <w:p w14:paraId="2AE87039" w14:textId="511DAC0D" w:rsidR="00F23E24" w:rsidRPr="00A6292E" w:rsidRDefault="00F23E24" w:rsidP="00967898">
      <w:pPr>
        <w:ind w:left="0"/>
        <w:jc w:val="both"/>
        <w:rPr>
          <w:rFonts w:ascii="Bookman Old Style" w:hAnsi="Bookman Old Style" w:cs="Arial"/>
          <w:color w:val="000000"/>
          <w:shd w:val="clear" w:color="auto" w:fill="FFFFFF"/>
        </w:rPr>
      </w:pPr>
      <w:r w:rsidRPr="00A6292E">
        <w:rPr>
          <w:rFonts w:ascii="Bookman Old Style" w:hAnsi="Bookman Old Style" w:cs="Arial"/>
          <w:color w:val="000000"/>
        </w:rPr>
        <w:t xml:space="preserve">La Comisión de Regulación de Energía y Gas aprobó el presente acto administrativo en la </w:t>
      </w:r>
      <w:r w:rsidRPr="00900F23">
        <w:rPr>
          <w:rFonts w:ascii="Bookman Old Style" w:hAnsi="Bookman Old Style" w:cs="Arial"/>
          <w:color w:val="000000"/>
        </w:rPr>
        <w:t xml:space="preserve">sesión </w:t>
      </w:r>
      <w:r w:rsidR="00900F23" w:rsidRPr="00900F23">
        <w:rPr>
          <w:rFonts w:ascii="Bookman Old Style" w:hAnsi="Bookman Old Style" w:cs="Arial"/>
          <w:color w:val="000000"/>
        </w:rPr>
        <w:t>1119</w:t>
      </w:r>
      <w:r w:rsidRPr="00900F23">
        <w:rPr>
          <w:rFonts w:ascii="Bookman Old Style" w:hAnsi="Bookman Old Style" w:cs="Arial"/>
          <w:color w:val="000000"/>
        </w:rPr>
        <w:t xml:space="preserve"> del </w:t>
      </w:r>
      <w:r w:rsidR="00900F23" w:rsidRPr="00900F23">
        <w:rPr>
          <w:rFonts w:ascii="Bookman Old Style" w:hAnsi="Bookman Old Style" w:cs="Arial"/>
          <w:color w:val="000000"/>
        </w:rPr>
        <w:t>30</w:t>
      </w:r>
      <w:r w:rsidRPr="00900F23">
        <w:rPr>
          <w:rFonts w:ascii="Bookman Old Style" w:hAnsi="Bookman Old Style" w:cs="Arial"/>
          <w:color w:val="000000"/>
        </w:rPr>
        <w:t xml:space="preserve"> de </w:t>
      </w:r>
      <w:r w:rsidR="00900F23" w:rsidRPr="00900F23">
        <w:rPr>
          <w:rFonts w:ascii="Bookman Old Style" w:hAnsi="Bookman Old Style" w:cs="Arial"/>
          <w:color w:val="000000"/>
        </w:rPr>
        <w:t>agosto</w:t>
      </w:r>
      <w:r w:rsidR="00900F23">
        <w:rPr>
          <w:rFonts w:ascii="Bookman Old Style" w:hAnsi="Bookman Old Style" w:cs="Arial"/>
          <w:color w:val="000000"/>
        </w:rPr>
        <w:t xml:space="preserve"> </w:t>
      </w:r>
      <w:r w:rsidRPr="00A6292E">
        <w:rPr>
          <w:rFonts w:ascii="Bookman Old Style" w:hAnsi="Bookman Old Style" w:cs="Arial"/>
          <w:color w:val="000000"/>
        </w:rPr>
        <w:t>de 2021.</w:t>
      </w:r>
    </w:p>
    <w:p w14:paraId="762E891F" w14:textId="77777777" w:rsidR="004E445F" w:rsidRPr="00356462" w:rsidRDefault="004E445F" w:rsidP="00BF2BC2">
      <w:pPr>
        <w:pStyle w:val="Textoindependiente2"/>
        <w:spacing w:after="0" w:line="240" w:lineRule="auto"/>
        <w:ind w:left="0"/>
        <w:jc w:val="both"/>
        <w:rPr>
          <w:rFonts w:ascii="Bookman Old Style" w:hAnsi="Bookman Old Style"/>
          <w:color w:val="000000"/>
          <w:lang w:val="es-CO"/>
        </w:rPr>
      </w:pPr>
    </w:p>
    <w:p w14:paraId="5C548CE2" w14:textId="77777777" w:rsidR="00A91206" w:rsidRPr="00356462" w:rsidRDefault="00A91206" w:rsidP="00BF2BC2">
      <w:pPr>
        <w:keepNext/>
        <w:suppressAutoHyphens/>
        <w:jc w:val="center"/>
        <w:rPr>
          <w:rFonts w:ascii="Bookman Old Style" w:hAnsi="Bookman Old Style"/>
          <w:b/>
          <w:spacing w:val="-3"/>
        </w:rPr>
      </w:pPr>
    </w:p>
    <w:p w14:paraId="32AD8EB2" w14:textId="77777777" w:rsidR="00BF2BC2" w:rsidRPr="00356462" w:rsidRDefault="00BF2BC2" w:rsidP="00BF2BC2">
      <w:pPr>
        <w:keepNext/>
        <w:suppressAutoHyphens/>
        <w:jc w:val="center"/>
        <w:rPr>
          <w:rFonts w:ascii="Bookman Old Style" w:hAnsi="Bookman Old Style"/>
          <w:b/>
          <w:spacing w:val="-3"/>
        </w:rPr>
      </w:pPr>
      <w:r w:rsidRPr="00356462">
        <w:rPr>
          <w:rFonts w:ascii="Bookman Old Style" w:hAnsi="Bookman Old Style"/>
          <w:b/>
          <w:spacing w:val="-3"/>
        </w:rPr>
        <w:t>R E S U E L V E:</w:t>
      </w:r>
    </w:p>
    <w:p w14:paraId="47481F46" w14:textId="77777777" w:rsidR="00BF2BC2" w:rsidRPr="00356462" w:rsidRDefault="00BF2BC2" w:rsidP="00BF2BC2">
      <w:pPr>
        <w:keepNext/>
        <w:suppressAutoHyphens/>
        <w:jc w:val="center"/>
        <w:rPr>
          <w:rFonts w:ascii="Bookman Old Style" w:hAnsi="Bookman Old Style"/>
          <w:b/>
          <w:spacing w:val="-3"/>
        </w:rPr>
      </w:pPr>
    </w:p>
    <w:p w14:paraId="34E4ADC0" w14:textId="3AFEEBA5" w:rsidR="00D81823" w:rsidRDefault="00D81823" w:rsidP="00D81823">
      <w:pPr>
        <w:spacing w:before="240" w:after="240"/>
        <w:ind w:left="0"/>
        <w:jc w:val="both"/>
        <w:rPr>
          <w:rFonts w:ascii="Bookman Old Style" w:hAnsi="Bookman Old Style"/>
          <w:b/>
        </w:rPr>
      </w:pPr>
      <w:r w:rsidRPr="00356462">
        <w:rPr>
          <w:rFonts w:ascii="Bookman Old Style" w:hAnsi="Bookman Old Style"/>
          <w:b/>
        </w:rPr>
        <w:t xml:space="preserve">Artículo </w:t>
      </w:r>
      <w:r w:rsidR="0044368D" w:rsidRPr="00356462">
        <w:rPr>
          <w:rFonts w:ascii="Bookman Old Style" w:hAnsi="Bookman Old Style"/>
          <w:b/>
        </w:rPr>
        <w:t>1</w:t>
      </w:r>
      <w:r w:rsidRPr="00356462">
        <w:rPr>
          <w:rFonts w:ascii="Bookman Old Style" w:hAnsi="Bookman Old Style"/>
          <w:b/>
        </w:rPr>
        <w:t xml:space="preserve">.  </w:t>
      </w:r>
      <w:r w:rsidR="0044368D" w:rsidRPr="00356462">
        <w:rPr>
          <w:rFonts w:ascii="Bookman Old Style" w:hAnsi="Bookman Old Style"/>
          <w:bCs/>
        </w:rPr>
        <w:t>Modif</w:t>
      </w:r>
      <w:r w:rsidR="00905D5D">
        <w:rPr>
          <w:rFonts w:ascii="Bookman Old Style" w:hAnsi="Bookman Old Style"/>
          <w:bCs/>
        </w:rPr>
        <w:t xml:space="preserve">íquese la </w:t>
      </w:r>
      <w:r w:rsidR="0044368D" w:rsidRPr="00356462">
        <w:rPr>
          <w:rFonts w:ascii="Bookman Old Style" w:hAnsi="Bookman Old Style"/>
          <w:bCs/>
        </w:rPr>
        <w:t xml:space="preserve">definición </w:t>
      </w:r>
      <w:r w:rsidR="00905D5D">
        <w:rPr>
          <w:rFonts w:ascii="Bookman Old Style" w:hAnsi="Bookman Old Style"/>
          <w:bCs/>
        </w:rPr>
        <w:t xml:space="preserve">de la </w:t>
      </w:r>
      <w:r w:rsidR="00B37268">
        <w:rPr>
          <w:rFonts w:ascii="Bookman Old Style" w:hAnsi="Bookman Old Style"/>
          <w:bCs/>
        </w:rPr>
        <w:t>I</w:t>
      </w:r>
      <w:r w:rsidR="00905D5D">
        <w:rPr>
          <w:rFonts w:ascii="Bookman Old Style" w:hAnsi="Bookman Old Style"/>
          <w:bCs/>
        </w:rPr>
        <w:t>nfraestr</w:t>
      </w:r>
      <w:r w:rsidR="00622C2B">
        <w:rPr>
          <w:rFonts w:ascii="Bookman Old Style" w:hAnsi="Bookman Old Style"/>
          <w:bCs/>
        </w:rPr>
        <w:t>u</w:t>
      </w:r>
      <w:r w:rsidR="00905D5D">
        <w:rPr>
          <w:rFonts w:ascii="Bookman Old Style" w:hAnsi="Bookman Old Style"/>
          <w:bCs/>
        </w:rPr>
        <w:t>ct</w:t>
      </w:r>
      <w:r w:rsidR="00622C2B">
        <w:rPr>
          <w:rFonts w:ascii="Bookman Old Style" w:hAnsi="Bookman Old Style"/>
          <w:bCs/>
        </w:rPr>
        <w:t>u</w:t>
      </w:r>
      <w:r w:rsidR="00905D5D">
        <w:rPr>
          <w:rFonts w:ascii="Bookman Old Style" w:hAnsi="Bookman Old Style"/>
          <w:bCs/>
        </w:rPr>
        <w:t xml:space="preserve">ra de </w:t>
      </w:r>
      <w:r w:rsidR="00B37268">
        <w:rPr>
          <w:rFonts w:ascii="Bookman Old Style" w:hAnsi="Bookman Old Style"/>
          <w:bCs/>
        </w:rPr>
        <w:t>I</w:t>
      </w:r>
      <w:r w:rsidR="00905D5D">
        <w:rPr>
          <w:rFonts w:ascii="Bookman Old Style" w:hAnsi="Bookman Old Style"/>
          <w:bCs/>
        </w:rPr>
        <w:t xml:space="preserve">mportación de </w:t>
      </w:r>
      <w:r w:rsidR="00B37268">
        <w:rPr>
          <w:rFonts w:ascii="Bookman Old Style" w:hAnsi="Bookman Old Style"/>
          <w:bCs/>
        </w:rPr>
        <w:t>G</w:t>
      </w:r>
      <w:r w:rsidR="00905D5D">
        <w:rPr>
          <w:rFonts w:ascii="Bookman Old Style" w:hAnsi="Bookman Old Style"/>
          <w:bCs/>
        </w:rPr>
        <w:t>as del Pacífico</w:t>
      </w:r>
      <w:r w:rsidR="00FB2117">
        <w:rPr>
          <w:rFonts w:ascii="Bookman Old Style" w:hAnsi="Bookman Old Style"/>
          <w:bCs/>
        </w:rPr>
        <w:t xml:space="preserve">, contenida en el </w:t>
      </w:r>
      <w:r w:rsidR="0044368D" w:rsidRPr="00356462">
        <w:rPr>
          <w:rFonts w:ascii="Bookman Old Style" w:hAnsi="Bookman Old Style"/>
          <w:bCs/>
        </w:rPr>
        <w:t>Artículo 3 de</w:t>
      </w:r>
      <w:r w:rsidRPr="00356462">
        <w:rPr>
          <w:rFonts w:ascii="Bookman Old Style" w:hAnsi="Bookman Old Style"/>
          <w:bCs/>
        </w:rPr>
        <w:t xml:space="preserve"> la Resolución CREG 152 de 2017</w:t>
      </w:r>
      <w:r w:rsidR="0044368D" w:rsidRPr="00356462">
        <w:rPr>
          <w:rFonts w:ascii="Bookman Old Style" w:hAnsi="Bookman Old Style"/>
          <w:bCs/>
        </w:rPr>
        <w:t>, la cual quedará así</w:t>
      </w:r>
      <w:r w:rsidRPr="00356462">
        <w:rPr>
          <w:rFonts w:ascii="Bookman Old Style" w:hAnsi="Bookman Old Style"/>
          <w:bCs/>
        </w:rPr>
        <w:t>:</w:t>
      </w:r>
      <w:r w:rsidRPr="00356462">
        <w:rPr>
          <w:rFonts w:ascii="Bookman Old Style" w:hAnsi="Bookman Old Style"/>
          <w:b/>
        </w:rPr>
        <w:t xml:space="preserve"> </w:t>
      </w:r>
    </w:p>
    <w:p w14:paraId="60A2E72A" w14:textId="77777777" w:rsidR="00900F23" w:rsidRDefault="00900F23" w:rsidP="00900F23">
      <w:pPr>
        <w:spacing w:before="240"/>
        <w:ind w:left="0"/>
        <w:jc w:val="both"/>
        <w:rPr>
          <w:rFonts w:ascii="Bookman Old Style" w:hAnsi="Bookman Old Style"/>
          <w:b/>
        </w:rPr>
      </w:pPr>
    </w:p>
    <w:p w14:paraId="43EA791D" w14:textId="586362F3" w:rsidR="0044368D" w:rsidRDefault="00A45831" w:rsidP="00A45831">
      <w:pPr>
        <w:pStyle w:val="Estilo8"/>
        <w:widowControl w:val="0"/>
        <w:ind w:left="284"/>
        <w:jc w:val="both"/>
        <w:rPr>
          <w:rFonts w:ascii="Bookman Old Style" w:hAnsi="Bookman Old Style"/>
          <w:i/>
          <w:iCs/>
          <w:color w:val="000000"/>
          <w:sz w:val="24"/>
          <w:szCs w:val="24"/>
        </w:rPr>
      </w:pPr>
      <w:r w:rsidRPr="00A45831">
        <w:rPr>
          <w:rFonts w:ascii="Bookman Old Style" w:hAnsi="Bookman Old Style"/>
          <w:b/>
          <w:i/>
          <w:iCs/>
          <w:color w:val="000000"/>
          <w:sz w:val="24"/>
          <w:szCs w:val="24"/>
        </w:rPr>
        <w:t>“</w:t>
      </w:r>
      <w:r w:rsidR="0044368D" w:rsidRPr="00A45831">
        <w:rPr>
          <w:rFonts w:ascii="Bookman Old Style" w:hAnsi="Bookman Old Style"/>
          <w:b/>
          <w:i/>
          <w:iCs/>
          <w:color w:val="000000"/>
          <w:sz w:val="24"/>
          <w:szCs w:val="24"/>
        </w:rPr>
        <w:t xml:space="preserve">Infraestructura de importación de gas del Pacífico: </w:t>
      </w:r>
      <w:r w:rsidR="0044368D" w:rsidRPr="00A45831">
        <w:rPr>
          <w:rFonts w:ascii="Bookman Old Style" w:hAnsi="Bookman Old Style"/>
          <w:i/>
          <w:iCs/>
          <w:color w:val="000000"/>
          <w:sz w:val="24"/>
          <w:szCs w:val="24"/>
        </w:rPr>
        <w:t>corresponde a la planta de regasificación del Pacífico ubicada en la Bahía de Buenaventura – Valle del Cauca y al gasoducto desde la Planta de Regasificación ubicada en la Bahía de Buenaventura hasta un punto de entrega al Sistema Nacional de Transporte definid</w:t>
      </w:r>
      <w:r w:rsidR="00637D6A">
        <w:rPr>
          <w:rFonts w:ascii="Bookman Old Style" w:hAnsi="Bookman Old Style"/>
          <w:i/>
          <w:iCs/>
          <w:color w:val="000000"/>
          <w:sz w:val="24"/>
          <w:szCs w:val="24"/>
        </w:rPr>
        <w:t>o</w:t>
      </w:r>
      <w:r w:rsidR="0044368D" w:rsidRPr="00A45831">
        <w:rPr>
          <w:rFonts w:ascii="Bookman Old Style" w:hAnsi="Bookman Old Style"/>
          <w:i/>
          <w:iCs/>
          <w:color w:val="000000"/>
          <w:sz w:val="24"/>
          <w:szCs w:val="24"/>
        </w:rPr>
        <w:t xml:space="preserve"> en el numeral 1.2 del artículo 1 de la Resolución 40304 de 2020 del Ministerio de Minas y Energía, o aquellas que la modifiquen o sustituyan. El gasoducto Buenaventura – Yumbo hará parte del SNT</w:t>
      </w:r>
      <w:r w:rsidRPr="00A45831">
        <w:rPr>
          <w:rFonts w:ascii="Bookman Old Style" w:hAnsi="Bookman Old Style"/>
          <w:i/>
          <w:iCs/>
          <w:color w:val="000000"/>
          <w:sz w:val="24"/>
          <w:szCs w:val="24"/>
        </w:rPr>
        <w:t>”</w:t>
      </w:r>
      <w:r w:rsidR="0044368D" w:rsidRPr="00A45831">
        <w:rPr>
          <w:rFonts w:ascii="Bookman Old Style" w:hAnsi="Bookman Old Style"/>
          <w:i/>
          <w:iCs/>
          <w:color w:val="000000"/>
          <w:sz w:val="24"/>
          <w:szCs w:val="24"/>
        </w:rPr>
        <w:t>.</w:t>
      </w:r>
    </w:p>
    <w:p w14:paraId="338A9BAB" w14:textId="3D5075D2" w:rsidR="0044368D" w:rsidRPr="00356462" w:rsidRDefault="0044368D" w:rsidP="0044368D">
      <w:pPr>
        <w:spacing w:before="240" w:after="240"/>
        <w:ind w:left="0"/>
        <w:jc w:val="both"/>
        <w:rPr>
          <w:rFonts w:ascii="Bookman Old Style" w:hAnsi="Bookman Old Style"/>
          <w:b/>
        </w:rPr>
      </w:pPr>
      <w:r w:rsidRPr="00356462">
        <w:rPr>
          <w:rFonts w:ascii="Bookman Old Style" w:hAnsi="Bookman Old Style"/>
          <w:b/>
        </w:rPr>
        <w:t xml:space="preserve">Artículo 2.  </w:t>
      </w:r>
      <w:r w:rsidRPr="00356462">
        <w:rPr>
          <w:rFonts w:ascii="Bookman Old Style" w:hAnsi="Bookman Old Style"/>
          <w:bCs/>
        </w:rPr>
        <w:t>Adici</w:t>
      </w:r>
      <w:r w:rsidR="00FB2117">
        <w:rPr>
          <w:rFonts w:ascii="Bookman Old Style" w:hAnsi="Bookman Old Style"/>
          <w:bCs/>
        </w:rPr>
        <w:t xml:space="preserve">ónense </w:t>
      </w:r>
      <w:r w:rsidRPr="00356462">
        <w:rPr>
          <w:rFonts w:ascii="Bookman Old Style" w:hAnsi="Bookman Old Style"/>
          <w:bCs/>
        </w:rPr>
        <w:t>las siguientes definiciones al Artículo 3 de la Resolución CREG 152 de 2017</w:t>
      </w:r>
      <w:r w:rsidR="00FB2117">
        <w:rPr>
          <w:rFonts w:ascii="Bookman Old Style" w:hAnsi="Bookman Old Style"/>
          <w:bCs/>
        </w:rPr>
        <w:t>, así</w:t>
      </w:r>
      <w:r w:rsidRPr="00356462">
        <w:rPr>
          <w:rFonts w:ascii="Bookman Old Style" w:hAnsi="Bookman Old Style"/>
          <w:bCs/>
        </w:rPr>
        <w:t>:</w:t>
      </w:r>
      <w:r w:rsidRPr="00356462">
        <w:rPr>
          <w:rFonts w:ascii="Bookman Old Style" w:hAnsi="Bookman Old Style"/>
          <w:b/>
        </w:rPr>
        <w:t xml:space="preserve"> </w:t>
      </w:r>
    </w:p>
    <w:p w14:paraId="6782BFF7" w14:textId="25CFC2F2" w:rsidR="0044368D" w:rsidRPr="00A45831" w:rsidRDefault="00583798"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w:t>
      </w:r>
      <w:r w:rsidR="0044368D" w:rsidRPr="00A45831">
        <w:rPr>
          <w:rFonts w:ascii="Bookman Old Style" w:hAnsi="Bookman Old Style" w:cs="Arial"/>
          <w:b/>
          <w:i/>
          <w:iCs/>
          <w:color w:val="000000"/>
        </w:rPr>
        <w:t xml:space="preserve">Fecha </w:t>
      </w:r>
      <w:r w:rsidR="00FE10D0" w:rsidRPr="00A45831">
        <w:rPr>
          <w:rFonts w:ascii="Bookman Old Style" w:hAnsi="Bookman Old Style" w:cs="Arial"/>
          <w:b/>
          <w:i/>
          <w:iCs/>
          <w:color w:val="000000"/>
        </w:rPr>
        <w:t>a</w:t>
      </w:r>
      <w:r w:rsidR="0044368D" w:rsidRPr="00A45831">
        <w:rPr>
          <w:rFonts w:ascii="Bookman Old Style" w:hAnsi="Bookman Old Style" w:cs="Arial"/>
          <w:b/>
          <w:i/>
          <w:iCs/>
          <w:color w:val="000000"/>
        </w:rPr>
        <w:t xml:space="preserve">nticipada de </w:t>
      </w:r>
      <w:r w:rsidR="00B07797">
        <w:rPr>
          <w:rFonts w:ascii="Bookman Old Style" w:hAnsi="Bookman Old Style" w:cs="Arial"/>
          <w:b/>
          <w:i/>
          <w:iCs/>
          <w:color w:val="000000"/>
        </w:rPr>
        <w:t>entrada</w:t>
      </w:r>
      <w:r w:rsidR="00B07797" w:rsidRPr="00A45831">
        <w:rPr>
          <w:rFonts w:ascii="Bookman Old Style" w:hAnsi="Bookman Old Style" w:cs="Arial"/>
          <w:b/>
          <w:i/>
          <w:iCs/>
          <w:color w:val="000000"/>
        </w:rPr>
        <w:t xml:space="preserve"> </w:t>
      </w:r>
      <w:r w:rsidR="0044368D" w:rsidRPr="00A45831">
        <w:rPr>
          <w:rFonts w:ascii="Bookman Old Style" w:hAnsi="Bookman Old Style" w:cs="Arial"/>
          <w:b/>
          <w:i/>
          <w:iCs/>
          <w:color w:val="000000"/>
        </w:rPr>
        <w:t xml:space="preserve">en </w:t>
      </w:r>
      <w:r w:rsidR="00FE10D0" w:rsidRPr="00A45831">
        <w:rPr>
          <w:rFonts w:ascii="Bookman Old Style" w:hAnsi="Bookman Old Style" w:cs="Arial"/>
          <w:b/>
          <w:i/>
          <w:iCs/>
          <w:color w:val="000000"/>
        </w:rPr>
        <w:t>o</w:t>
      </w:r>
      <w:r w:rsidR="0044368D" w:rsidRPr="00A45831">
        <w:rPr>
          <w:rFonts w:ascii="Bookman Old Style" w:hAnsi="Bookman Old Style" w:cs="Arial"/>
          <w:b/>
          <w:i/>
          <w:iCs/>
          <w:color w:val="000000"/>
        </w:rPr>
        <w:t>peración</w:t>
      </w:r>
      <w:r w:rsidR="00363050" w:rsidRPr="00A45831">
        <w:rPr>
          <w:rFonts w:ascii="Bookman Old Style" w:hAnsi="Bookman Old Style" w:cs="Arial"/>
          <w:b/>
          <w:i/>
          <w:iCs/>
          <w:color w:val="000000"/>
        </w:rPr>
        <w:t xml:space="preserve"> de la </w:t>
      </w:r>
      <w:r w:rsidR="004D08BB">
        <w:rPr>
          <w:rFonts w:ascii="Bookman Old Style" w:hAnsi="Bookman Old Style" w:cs="Arial"/>
          <w:b/>
          <w:i/>
          <w:iCs/>
          <w:color w:val="000000"/>
        </w:rPr>
        <w:t>I</w:t>
      </w:r>
      <w:r w:rsidR="00363050" w:rsidRPr="00A45831">
        <w:rPr>
          <w:rFonts w:ascii="Bookman Old Style" w:hAnsi="Bookman Old Style" w:cs="Arial"/>
          <w:b/>
          <w:i/>
          <w:iCs/>
          <w:color w:val="000000"/>
        </w:rPr>
        <w:t xml:space="preserve">nfraestructura de </w:t>
      </w:r>
      <w:r w:rsidR="004D08BB">
        <w:rPr>
          <w:rFonts w:ascii="Bookman Old Style" w:hAnsi="Bookman Old Style" w:cs="Arial"/>
          <w:b/>
          <w:i/>
          <w:iCs/>
          <w:color w:val="000000"/>
        </w:rPr>
        <w:t>I</w:t>
      </w:r>
      <w:r w:rsidR="00363050" w:rsidRPr="00A45831">
        <w:rPr>
          <w:rFonts w:ascii="Bookman Old Style" w:hAnsi="Bookman Old Style" w:cs="Arial"/>
          <w:b/>
          <w:i/>
          <w:iCs/>
          <w:color w:val="000000"/>
        </w:rPr>
        <w:t xml:space="preserve">mportación de </w:t>
      </w:r>
      <w:r w:rsidR="004D08BB">
        <w:rPr>
          <w:rFonts w:ascii="Bookman Old Style" w:hAnsi="Bookman Old Style" w:cs="Arial"/>
          <w:b/>
          <w:i/>
          <w:iCs/>
          <w:color w:val="000000"/>
        </w:rPr>
        <w:t>G</w:t>
      </w:r>
      <w:r w:rsidR="00363050" w:rsidRPr="00A45831">
        <w:rPr>
          <w:rFonts w:ascii="Bookman Old Style" w:hAnsi="Bookman Old Style" w:cs="Arial"/>
          <w:b/>
          <w:i/>
          <w:iCs/>
          <w:color w:val="000000"/>
        </w:rPr>
        <w:t>as del Pacifico</w:t>
      </w:r>
      <w:r w:rsidR="0044368D" w:rsidRPr="00A45831">
        <w:rPr>
          <w:rFonts w:ascii="Bookman Old Style" w:hAnsi="Bookman Old Style" w:cs="Arial"/>
          <w:b/>
          <w:i/>
          <w:iCs/>
          <w:color w:val="000000"/>
        </w:rPr>
        <w:t xml:space="preserve">: </w:t>
      </w:r>
      <w:r w:rsidR="0044368D" w:rsidRPr="00A45831">
        <w:rPr>
          <w:rFonts w:ascii="Bookman Old Style" w:hAnsi="Bookman Old Style" w:cs="Arial"/>
          <w:bCs/>
          <w:i/>
          <w:iCs/>
          <w:color w:val="000000"/>
        </w:rPr>
        <w:t xml:space="preserve">es la fecha </w:t>
      </w:r>
      <w:r w:rsidR="0044368D" w:rsidRPr="00A45831">
        <w:rPr>
          <w:rFonts w:ascii="Bookman Old Style" w:hAnsi="Bookman Old Style" w:cs="Arial"/>
          <w:i/>
          <w:iCs/>
          <w:color w:val="000000"/>
        </w:rPr>
        <w:t xml:space="preserve">en la </w:t>
      </w:r>
      <w:r w:rsidR="0044368D" w:rsidRPr="00A45831">
        <w:rPr>
          <w:rFonts w:ascii="Bookman Old Style" w:hAnsi="Bookman Old Style" w:cs="Arial"/>
          <w:bCs/>
          <w:i/>
          <w:iCs/>
          <w:color w:val="000000"/>
        </w:rPr>
        <w:t>que</w:t>
      </w:r>
      <w:r w:rsidR="000773EF" w:rsidRPr="000773EF">
        <w:t xml:space="preserve"> </w:t>
      </w:r>
      <w:r w:rsidR="000773EF" w:rsidRPr="000773EF">
        <w:rPr>
          <w:rFonts w:ascii="Bookman Old Style" w:hAnsi="Bookman Old Style" w:cs="Arial"/>
          <w:bCs/>
          <w:i/>
          <w:iCs/>
          <w:color w:val="000000"/>
        </w:rPr>
        <w:t>se prevé</w:t>
      </w:r>
      <w:r w:rsidR="000773EF">
        <w:rPr>
          <w:rFonts w:ascii="Bookman Old Style" w:hAnsi="Bookman Old Style" w:cs="Arial"/>
          <w:bCs/>
          <w:i/>
          <w:iCs/>
          <w:color w:val="000000"/>
        </w:rPr>
        <w:t xml:space="preserve"> la</w:t>
      </w:r>
      <w:r w:rsidR="00EF76E1">
        <w:rPr>
          <w:rFonts w:ascii="Bookman Old Style" w:hAnsi="Bookman Old Style" w:cs="Arial"/>
          <w:bCs/>
          <w:i/>
          <w:iCs/>
          <w:color w:val="000000"/>
        </w:rPr>
        <w:t xml:space="preserve"> </w:t>
      </w:r>
      <w:r w:rsidR="00B07797">
        <w:rPr>
          <w:rFonts w:ascii="Bookman Old Style" w:hAnsi="Bookman Old Style" w:cs="Arial"/>
          <w:bCs/>
          <w:i/>
          <w:iCs/>
          <w:color w:val="000000"/>
        </w:rPr>
        <w:t>entrada</w:t>
      </w:r>
      <w:r w:rsidR="00B07797" w:rsidRPr="00A45831">
        <w:rPr>
          <w:rFonts w:ascii="Bookman Old Style" w:hAnsi="Bookman Old Style" w:cs="Arial"/>
          <w:bCs/>
          <w:i/>
          <w:iCs/>
          <w:color w:val="000000"/>
        </w:rPr>
        <w:t xml:space="preserve"> </w:t>
      </w:r>
      <w:r w:rsidR="0044368D" w:rsidRPr="00A45831">
        <w:rPr>
          <w:rFonts w:ascii="Bookman Old Style" w:hAnsi="Bookman Old Style" w:cs="Arial"/>
          <w:bCs/>
          <w:i/>
          <w:iCs/>
          <w:color w:val="000000"/>
        </w:rPr>
        <w:t xml:space="preserve">en operación </w:t>
      </w:r>
      <w:r w:rsidR="00D261E0" w:rsidRPr="00D261E0">
        <w:rPr>
          <w:rFonts w:ascii="Bookman Old Style" w:hAnsi="Bookman Old Style" w:cs="Arial"/>
          <w:bCs/>
          <w:i/>
          <w:iCs/>
          <w:color w:val="000000"/>
        </w:rPr>
        <w:t xml:space="preserve">de manera anticipada a la fecha de </w:t>
      </w:r>
      <w:r w:rsidR="00B07797">
        <w:rPr>
          <w:rFonts w:ascii="Bookman Old Style" w:hAnsi="Bookman Old Style" w:cs="Arial"/>
          <w:bCs/>
          <w:i/>
          <w:iCs/>
          <w:color w:val="000000"/>
        </w:rPr>
        <w:t>entrada</w:t>
      </w:r>
      <w:r w:rsidR="00B07797" w:rsidRPr="00D261E0">
        <w:rPr>
          <w:rFonts w:ascii="Bookman Old Style" w:hAnsi="Bookman Old Style" w:cs="Arial"/>
          <w:bCs/>
          <w:i/>
          <w:iCs/>
          <w:color w:val="000000"/>
        </w:rPr>
        <w:t xml:space="preserve"> </w:t>
      </w:r>
      <w:r w:rsidR="00D261E0" w:rsidRPr="00D261E0">
        <w:rPr>
          <w:rFonts w:ascii="Bookman Old Style" w:hAnsi="Bookman Old Style" w:cs="Arial"/>
          <w:bCs/>
          <w:i/>
          <w:iCs/>
          <w:color w:val="000000"/>
        </w:rPr>
        <w:t>en operación establecida en el Plan de Abastecimiento de Gas Natural</w:t>
      </w:r>
      <w:r w:rsidR="00D261E0">
        <w:rPr>
          <w:rFonts w:ascii="Bookman Old Style" w:hAnsi="Bookman Old Style" w:cs="Arial"/>
          <w:bCs/>
          <w:i/>
          <w:iCs/>
          <w:color w:val="000000"/>
        </w:rPr>
        <w:t xml:space="preserve"> del proyecto de infraestructura de Imp</w:t>
      </w:r>
      <w:r w:rsidR="007450C9">
        <w:rPr>
          <w:rFonts w:ascii="Bookman Old Style" w:hAnsi="Bookman Old Style" w:cs="Arial"/>
          <w:bCs/>
          <w:i/>
          <w:iCs/>
          <w:color w:val="000000"/>
        </w:rPr>
        <w:t>o</w:t>
      </w:r>
      <w:r w:rsidR="00D261E0">
        <w:rPr>
          <w:rFonts w:ascii="Bookman Old Style" w:hAnsi="Bookman Old Style" w:cs="Arial"/>
          <w:bCs/>
          <w:i/>
          <w:iCs/>
          <w:color w:val="000000"/>
        </w:rPr>
        <w:t>rtación de Gas del P</w:t>
      </w:r>
      <w:r w:rsidR="007450C9">
        <w:rPr>
          <w:rFonts w:ascii="Bookman Old Style" w:hAnsi="Bookman Old Style" w:cs="Arial"/>
          <w:bCs/>
          <w:i/>
          <w:iCs/>
          <w:color w:val="000000"/>
        </w:rPr>
        <w:t>a</w:t>
      </w:r>
      <w:r w:rsidR="00D261E0">
        <w:rPr>
          <w:rFonts w:ascii="Bookman Old Style" w:hAnsi="Bookman Old Style" w:cs="Arial"/>
          <w:bCs/>
          <w:i/>
          <w:iCs/>
          <w:color w:val="000000"/>
        </w:rPr>
        <w:t>cífico</w:t>
      </w:r>
      <w:r w:rsidR="00D261E0" w:rsidRPr="00D261E0">
        <w:rPr>
          <w:rFonts w:ascii="Bookman Old Style" w:hAnsi="Bookman Old Style" w:cs="Arial"/>
          <w:bCs/>
          <w:i/>
          <w:iCs/>
          <w:color w:val="000000"/>
        </w:rPr>
        <w:t>, aprobada o ajustada por el Ministerio de Minas y Energía o por quien este delegue</w:t>
      </w:r>
      <w:r w:rsidR="0044368D" w:rsidRPr="00A45831">
        <w:rPr>
          <w:rFonts w:ascii="Bookman Old Style" w:hAnsi="Bookman Old Style" w:cs="Arial"/>
          <w:i/>
          <w:iCs/>
          <w:color w:val="000000"/>
        </w:rPr>
        <w:t>.</w:t>
      </w:r>
      <w:r w:rsidR="0044368D" w:rsidRPr="00A45831">
        <w:rPr>
          <w:rFonts w:ascii="Bookman Old Style" w:hAnsi="Bookman Old Style" w:cs="Arial"/>
          <w:bCs/>
          <w:i/>
          <w:iCs/>
          <w:color w:val="000000"/>
        </w:rPr>
        <w:t xml:space="preserve"> </w:t>
      </w:r>
      <w:r w:rsidR="00D07D3E" w:rsidRPr="00A45831">
        <w:rPr>
          <w:rFonts w:ascii="Bookman Old Style" w:hAnsi="Bookman Old Style" w:cs="Arial"/>
          <w:i/>
          <w:iCs/>
          <w:color w:val="000000"/>
        </w:rPr>
        <w:t>Est</w:t>
      </w:r>
      <w:r w:rsidR="0044368D" w:rsidRPr="00A45831">
        <w:rPr>
          <w:rFonts w:ascii="Bookman Old Style" w:hAnsi="Bookman Old Style" w:cs="Arial"/>
          <w:i/>
          <w:iCs/>
          <w:color w:val="000000"/>
        </w:rPr>
        <w:t xml:space="preserve">a fecha </w:t>
      </w:r>
      <w:r w:rsidR="007450C9" w:rsidRPr="007450C9">
        <w:rPr>
          <w:rFonts w:ascii="Bookman Old Style" w:hAnsi="Bookman Old Style" w:cs="Arial"/>
          <w:i/>
          <w:iCs/>
          <w:color w:val="000000"/>
        </w:rPr>
        <w:t xml:space="preserve">solamente se puede dar a más tardar en la fecha de </w:t>
      </w:r>
      <w:r w:rsidR="00594D1E">
        <w:rPr>
          <w:rFonts w:ascii="Bookman Old Style" w:hAnsi="Bookman Old Style" w:cs="Arial"/>
          <w:i/>
          <w:iCs/>
          <w:color w:val="000000"/>
        </w:rPr>
        <w:t>entrada</w:t>
      </w:r>
      <w:r w:rsidR="007450C9" w:rsidRPr="007450C9">
        <w:rPr>
          <w:rFonts w:ascii="Bookman Old Style" w:hAnsi="Bookman Old Style" w:cs="Arial"/>
          <w:i/>
          <w:iCs/>
          <w:color w:val="000000"/>
        </w:rPr>
        <w:t xml:space="preserve"> en operación anticipada establecida en el Plan de Abastecimiento de Gas Natural</w:t>
      </w:r>
      <w:r w:rsidR="00EC7DE1" w:rsidRPr="00EC7DE1">
        <w:rPr>
          <w:rFonts w:ascii="Bookman Old Style" w:hAnsi="Bookman Old Style" w:cs="Arial"/>
          <w:i/>
          <w:iCs/>
          <w:color w:val="000000"/>
        </w:rPr>
        <w:t>.</w:t>
      </w:r>
      <w:r w:rsidR="006F2ECC">
        <w:rPr>
          <w:rFonts w:ascii="Bookman Old Style" w:hAnsi="Bookman Old Style" w:cs="Arial"/>
          <w:i/>
          <w:iCs/>
          <w:color w:val="000000"/>
        </w:rPr>
        <w:t>”</w:t>
      </w:r>
      <w:r w:rsidR="0044368D" w:rsidRPr="00A45831">
        <w:rPr>
          <w:rFonts w:ascii="Bookman Old Style" w:hAnsi="Bookman Old Style" w:cs="Arial"/>
          <w:b/>
          <w:i/>
          <w:iCs/>
          <w:color w:val="000000"/>
        </w:rPr>
        <w:t xml:space="preserve"> </w:t>
      </w:r>
    </w:p>
    <w:p w14:paraId="1E0B668F" w14:textId="77777777" w:rsidR="0044368D" w:rsidRPr="00A45831" w:rsidRDefault="0044368D" w:rsidP="00A45831">
      <w:pPr>
        <w:ind w:left="284"/>
        <w:jc w:val="both"/>
        <w:rPr>
          <w:rFonts w:ascii="Bookman Old Style" w:hAnsi="Bookman Old Style" w:cs="Arial"/>
          <w:b/>
          <w:i/>
          <w:iCs/>
          <w:color w:val="000000"/>
        </w:rPr>
      </w:pPr>
    </w:p>
    <w:p w14:paraId="366A5125" w14:textId="44DD7844" w:rsidR="0044368D" w:rsidRPr="00A45831" w:rsidRDefault="0044368D"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 xml:space="preserve">“Fecha </w:t>
      </w:r>
      <w:r w:rsidR="004A520F">
        <w:rPr>
          <w:rFonts w:ascii="Bookman Old Style" w:hAnsi="Bookman Old Style" w:cs="Arial"/>
          <w:b/>
          <w:i/>
          <w:iCs/>
          <w:color w:val="000000"/>
        </w:rPr>
        <w:t xml:space="preserve">anticipada </w:t>
      </w:r>
      <w:r w:rsidRPr="00A45831">
        <w:rPr>
          <w:rFonts w:ascii="Bookman Old Style" w:hAnsi="Bookman Old Style" w:cs="Arial"/>
          <w:b/>
          <w:i/>
          <w:iCs/>
          <w:color w:val="000000"/>
        </w:rPr>
        <w:t xml:space="preserve">de </w:t>
      </w:r>
      <w:r w:rsidR="00B07797">
        <w:rPr>
          <w:rFonts w:ascii="Bookman Old Style" w:hAnsi="Bookman Old Style" w:cs="Arial"/>
          <w:b/>
          <w:i/>
          <w:iCs/>
          <w:color w:val="000000"/>
        </w:rPr>
        <w:t>entrada</w:t>
      </w:r>
      <w:r w:rsidR="00B07797" w:rsidRPr="00A45831">
        <w:rPr>
          <w:rFonts w:ascii="Bookman Old Style" w:hAnsi="Bookman Old Style" w:cs="Arial"/>
          <w:b/>
          <w:i/>
          <w:iCs/>
          <w:color w:val="000000"/>
        </w:rPr>
        <w:t xml:space="preserve"> </w:t>
      </w:r>
      <w:r w:rsidRPr="00A45831">
        <w:rPr>
          <w:rFonts w:ascii="Bookman Old Style" w:hAnsi="Bookman Old Style" w:cs="Arial"/>
          <w:b/>
          <w:i/>
          <w:iCs/>
          <w:color w:val="000000"/>
        </w:rPr>
        <w:t xml:space="preserve">en </w:t>
      </w:r>
      <w:r w:rsidR="00FE10D0" w:rsidRPr="00A45831">
        <w:rPr>
          <w:rFonts w:ascii="Bookman Old Style" w:hAnsi="Bookman Old Style" w:cs="Arial"/>
          <w:b/>
          <w:i/>
          <w:iCs/>
          <w:color w:val="000000"/>
        </w:rPr>
        <w:t>o</w:t>
      </w:r>
      <w:r w:rsidRPr="00A45831">
        <w:rPr>
          <w:rFonts w:ascii="Bookman Old Style" w:hAnsi="Bookman Old Style" w:cs="Arial"/>
          <w:b/>
          <w:i/>
          <w:iCs/>
          <w:color w:val="000000"/>
        </w:rPr>
        <w:t xml:space="preserve">peración </w:t>
      </w:r>
      <w:r w:rsidR="00FE10D0" w:rsidRPr="00A45831">
        <w:rPr>
          <w:rFonts w:ascii="Bookman Old Style" w:hAnsi="Bookman Old Style" w:cs="Arial"/>
          <w:b/>
          <w:i/>
          <w:iCs/>
          <w:color w:val="000000"/>
        </w:rPr>
        <w:t>p</w:t>
      </w:r>
      <w:r w:rsidRPr="00A45831">
        <w:rPr>
          <w:rFonts w:ascii="Bookman Old Style" w:hAnsi="Bookman Old Style" w:cs="Arial"/>
          <w:b/>
          <w:i/>
          <w:iCs/>
          <w:color w:val="000000"/>
        </w:rPr>
        <w:t>arcial</w:t>
      </w:r>
      <w:r w:rsidR="00FE10D0" w:rsidRPr="00A45831">
        <w:rPr>
          <w:rFonts w:ascii="Bookman Old Style" w:hAnsi="Bookman Old Style" w:cs="Arial"/>
          <w:b/>
          <w:i/>
          <w:iCs/>
          <w:color w:val="000000"/>
        </w:rPr>
        <w:t xml:space="preserve"> de la infraestructura de importación de gas del </w:t>
      </w:r>
      <w:r w:rsidR="00363050" w:rsidRPr="00A45831">
        <w:rPr>
          <w:rFonts w:ascii="Bookman Old Style" w:hAnsi="Bookman Old Style" w:cs="Arial"/>
          <w:b/>
          <w:i/>
          <w:iCs/>
          <w:color w:val="000000"/>
        </w:rPr>
        <w:t>P</w:t>
      </w:r>
      <w:r w:rsidR="00FE10D0" w:rsidRPr="00A45831">
        <w:rPr>
          <w:rFonts w:ascii="Bookman Old Style" w:hAnsi="Bookman Old Style" w:cs="Arial"/>
          <w:b/>
          <w:i/>
          <w:iCs/>
          <w:color w:val="000000"/>
        </w:rPr>
        <w:t>acífico</w:t>
      </w:r>
      <w:r w:rsidRPr="00A45831">
        <w:rPr>
          <w:rFonts w:ascii="Bookman Old Style" w:hAnsi="Bookman Old Style" w:cs="Arial"/>
          <w:b/>
          <w:i/>
          <w:iCs/>
          <w:color w:val="000000"/>
        </w:rPr>
        <w:t xml:space="preserve">: </w:t>
      </w:r>
      <w:r w:rsidR="00B27457" w:rsidRPr="003D3894">
        <w:rPr>
          <w:rFonts w:ascii="Bookman Old Style" w:hAnsi="Bookman Old Style" w:cs="Arial"/>
          <w:bCs/>
          <w:i/>
          <w:iCs/>
          <w:color w:val="000000"/>
        </w:rPr>
        <w:t xml:space="preserve">es la fecha anticipada de </w:t>
      </w:r>
      <w:r w:rsidR="000D368B">
        <w:rPr>
          <w:rFonts w:ascii="Bookman Old Style" w:hAnsi="Bookman Old Style" w:cs="Arial"/>
          <w:bCs/>
          <w:i/>
          <w:iCs/>
          <w:color w:val="000000"/>
        </w:rPr>
        <w:t>entrada</w:t>
      </w:r>
      <w:r w:rsidR="000D368B" w:rsidRPr="003D3894">
        <w:rPr>
          <w:rFonts w:ascii="Bookman Old Style" w:hAnsi="Bookman Old Style" w:cs="Arial"/>
          <w:bCs/>
          <w:i/>
          <w:iCs/>
          <w:color w:val="000000"/>
        </w:rPr>
        <w:t xml:space="preserve"> </w:t>
      </w:r>
      <w:r w:rsidR="00B27457" w:rsidRPr="003D3894">
        <w:rPr>
          <w:rFonts w:ascii="Bookman Old Style" w:hAnsi="Bookman Old Style" w:cs="Arial"/>
          <w:bCs/>
          <w:i/>
          <w:iCs/>
          <w:color w:val="000000"/>
        </w:rPr>
        <w:t>en operación con operación parcial</w:t>
      </w:r>
      <w:r w:rsidR="00B27457">
        <w:rPr>
          <w:rFonts w:ascii="Bookman Old Style" w:hAnsi="Bookman Old Style" w:cs="Arial"/>
          <w:bCs/>
          <w:i/>
          <w:iCs/>
          <w:color w:val="000000"/>
        </w:rPr>
        <w:t xml:space="preserve"> de la Infraestructura de </w:t>
      </w:r>
      <w:r w:rsidR="003D3894">
        <w:rPr>
          <w:rFonts w:ascii="Bookman Old Style" w:hAnsi="Bookman Old Style" w:cs="Arial"/>
          <w:bCs/>
          <w:i/>
          <w:iCs/>
          <w:color w:val="000000"/>
        </w:rPr>
        <w:t>Importación de Gas del Pacífico</w:t>
      </w:r>
      <w:r w:rsidRPr="00A45831">
        <w:rPr>
          <w:rFonts w:ascii="Bookman Old Style" w:hAnsi="Bookman Old Style" w:cs="Arial"/>
          <w:bCs/>
          <w:i/>
          <w:iCs/>
          <w:color w:val="000000"/>
        </w:rPr>
        <w:t>.</w:t>
      </w:r>
      <w:r w:rsidR="00583798" w:rsidRPr="00A45831">
        <w:rPr>
          <w:rFonts w:ascii="Bookman Old Style" w:hAnsi="Bookman Old Style" w:cs="Arial"/>
          <w:bCs/>
          <w:i/>
          <w:iCs/>
          <w:color w:val="000000"/>
        </w:rPr>
        <w:t>”</w:t>
      </w:r>
    </w:p>
    <w:p w14:paraId="27B7C013" w14:textId="77777777" w:rsidR="0044368D" w:rsidRPr="00A45831" w:rsidRDefault="0044368D" w:rsidP="00A45831">
      <w:pPr>
        <w:ind w:left="284"/>
        <w:jc w:val="both"/>
        <w:rPr>
          <w:rFonts w:ascii="Bookman Old Style" w:hAnsi="Bookman Old Style" w:cs="Arial"/>
          <w:b/>
          <w:i/>
          <w:iCs/>
          <w:color w:val="000000"/>
        </w:rPr>
      </w:pPr>
    </w:p>
    <w:p w14:paraId="10802936" w14:textId="073B1A3F" w:rsidR="00622C2B" w:rsidRPr="001D3EC6" w:rsidRDefault="00622C2B" w:rsidP="00A45831">
      <w:pPr>
        <w:ind w:left="284"/>
        <w:jc w:val="both"/>
        <w:rPr>
          <w:rFonts w:ascii="Bookman Old Style" w:hAnsi="Bookman Old Style" w:cs="Arial"/>
          <w:b/>
          <w:i/>
          <w:iCs/>
          <w:color w:val="000000"/>
        </w:rPr>
      </w:pPr>
      <w:r w:rsidRPr="00A45831">
        <w:rPr>
          <w:rFonts w:ascii="Bookman Old Style" w:hAnsi="Bookman Old Style" w:cs="Arial"/>
          <w:b/>
          <w:i/>
          <w:iCs/>
          <w:color w:val="000000"/>
        </w:rPr>
        <w:t xml:space="preserve">“Inventario mínimo de confiabilidad: </w:t>
      </w:r>
      <w:r w:rsidR="000A5832" w:rsidRPr="00A45831">
        <w:rPr>
          <w:rFonts w:ascii="Bookman Old Style" w:hAnsi="Bookman Old Style" w:cs="Arial"/>
          <w:bCs/>
          <w:i/>
          <w:iCs/>
          <w:color w:val="000000"/>
        </w:rPr>
        <w:t>cantidad</w:t>
      </w:r>
      <w:r w:rsidR="00553313" w:rsidRPr="00A45831">
        <w:rPr>
          <w:rFonts w:ascii="Bookman Old Style" w:hAnsi="Bookman Old Style"/>
          <w:bCs/>
          <w:i/>
          <w:iCs/>
          <w:color w:val="000000"/>
          <w:lang w:val="es-CO"/>
        </w:rPr>
        <w:t xml:space="preserve"> </w:t>
      </w:r>
      <w:r w:rsidR="00553313" w:rsidRPr="00A45831">
        <w:rPr>
          <w:rFonts w:ascii="Bookman Old Style" w:hAnsi="Bookman Old Style"/>
          <w:i/>
          <w:iCs/>
          <w:color w:val="000000"/>
          <w:lang w:val="es-CO"/>
        </w:rPr>
        <w:t>del almacenamiento de gas natural licuado de los servicios asociados a la planta de regasificación,</w:t>
      </w:r>
      <w:r w:rsidR="000A5832" w:rsidRPr="00A45831">
        <w:rPr>
          <w:rFonts w:ascii="Bookman Old Style" w:hAnsi="Bookman Old Style"/>
          <w:i/>
          <w:iCs/>
          <w:color w:val="000000"/>
          <w:lang w:val="es-CO"/>
        </w:rPr>
        <w:t xml:space="preserve"> establecido </w:t>
      </w:r>
      <w:r w:rsidR="00553313" w:rsidRPr="00A45831">
        <w:rPr>
          <w:rFonts w:ascii="Bookman Old Style" w:hAnsi="Bookman Old Style"/>
          <w:i/>
          <w:iCs/>
          <w:color w:val="000000"/>
          <w:lang w:val="es-CO"/>
        </w:rPr>
        <w:t xml:space="preserve">con el fin de contar con un volumen de inventario </w:t>
      </w:r>
      <w:r w:rsidR="00716085">
        <w:rPr>
          <w:rFonts w:ascii="Bookman Old Style" w:hAnsi="Bookman Old Style"/>
          <w:i/>
          <w:iCs/>
          <w:color w:val="000000"/>
          <w:lang w:val="es-CO"/>
        </w:rPr>
        <w:t xml:space="preserve">para su uso </w:t>
      </w:r>
      <w:r w:rsidR="00553313" w:rsidRPr="00A45831">
        <w:rPr>
          <w:rFonts w:ascii="Bookman Old Style" w:hAnsi="Bookman Old Style"/>
          <w:i/>
          <w:iCs/>
          <w:color w:val="000000"/>
          <w:lang w:val="es-CO"/>
        </w:rPr>
        <w:t xml:space="preserve">en caso de </w:t>
      </w:r>
      <w:r w:rsidR="00553313" w:rsidRPr="001D3EC6">
        <w:rPr>
          <w:rFonts w:ascii="Bookman Old Style" w:hAnsi="Bookman Old Style"/>
          <w:i/>
          <w:iCs/>
          <w:color w:val="000000"/>
          <w:lang w:val="es-CO"/>
        </w:rPr>
        <w:t>contingencias como aspecto de confiabilidad</w:t>
      </w:r>
      <w:r w:rsidR="00C1346B" w:rsidRPr="001D3EC6">
        <w:rPr>
          <w:rFonts w:ascii="Bookman Old Style" w:hAnsi="Bookman Old Style"/>
          <w:bCs/>
          <w:i/>
          <w:iCs/>
        </w:rPr>
        <w:t>”.</w:t>
      </w:r>
    </w:p>
    <w:p w14:paraId="33B64299" w14:textId="77777777" w:rsidR="00622C2B" w:rsidRPr="001D3EC6" w:rsidRDefault="00622C2B" w:rsidP="00A45831">
      <w:pPr>
        <w:ind w:left="284"/>
        <w:jc w:val="both"/>
        <w:rPr>
          <w:rFonts w:ascii="Bookman Old Style" w:hAnsi="Bookman Old Style" w:cs="Arial"/>
          <w:b/>
          <w:i/>
          <w:iCs/>
          <w:color w:val="000000"/>
        </w:rPr>
      </w:pPr>
    </w:p>
    <w:p w14:paraId="745DE859" w14:textId="5B3B791A" w:rsidR="00155728" w:rsidRPr="00155728" w:rsidRDefault="00583798" w:rsidP="00155728">
      <w:pPr>
        <w:ind w:left="284"/>
        <w:jc w:val="both"/>
        <w:rPr>
          <w:rFonts w:ascii="Bookman Old Style" w:hAnsi="Bookman Old Style" w:cs="Arial"/>
          <w:bCs/>
          <w:i/>
          <w:iCs/>
          <w:color w:val="000000"/>
        </w:rPr>
      </w:pPr>
      <w:r w:rsidRPr="001D3EC6">
        <w:rPr>
          <w:rFonts w:ascii="Bookman Old Style" w:hAnsi="Bookman Old Style" w:cs="Arial"/>
          <w:b/>
          <w:i/>
          <w:iCs/>
          <w:color w:val="000000"/>
        </w:rPr>
        <w:t>“</w:t>
      </w:r>
      <w:r w:rsidR="0044368D" w:rsidRPr="001D3EC6">
        <w:rPr>
          <w:rFonts w:ascii="Bookman Old Style" w:hAnsi="Bookman Old Style" w:cs="Arial"/>
          <w:b/>
          <w:i/>
          <w:iCs/>
          <w:color w:val="000000"/>
        </w:rPr>
        <w:t xml:space="preserve">Operación </w:t>
      </w:r>
      <w:r w:rsidR="00D07D3E" w:rsidRPr="001D3EC6">
        <w:rPr>
          <w:rFonts w:ascii="Bookman Old Style" w:hAnsi="Bookman Old Style" w:cs="Arial"/>
          <w:b/>
          <w:i/>
          <w:iCs/>
          <w:color w:val="000000"/>
        </w:rPr>
        <w:t>p</w:t>
      </w:r>
      <w:r w:rsidR="0044368D" w:rsidRPr="001D3EC6">
        <w:rPr>
          <w:rFonts w:ascii="Bookman Old Style" w:hAnsi="Bookman Old Style" w:cs="Arial"/>
          <w:b/>
          <w:i/>
          <w:iCs/>
          <w:color w:val="000000"/>
        </w:rPr>
        <w:t>arcial</w:t>
      </w:r>
      <w:r w:rsidR="00D07D3E" w:rsidRPr="001D3EC6">
        <w:rPr>
          <w:rFonts w:ascii="Bookman Old Style" w:hAnsi="Bookman Old Style" w:cs="Arial"/>
          <w:b/>
          <w:i/>
          <w:iCs/>
          <w:color w:val="000000"/>
        </w:rPr>
        <w:t xml:space="preserve"> de la infraestructura de importación de gas del </w:t>
      </w:r>
      <w:r w:rsidR="00363050" w:rsidRPr="001D3EC6">
        <w:rPr>
          <w:rFonts w:ascii="Bookman Old Style" w:hAnsi="Bookman Old Style" w:cs="Arial"/>
          <w:b/>
          <w:i/>
          <w:iCs/>
          <w:color w:val="000000"/>
        </w:rPr>
        <w:t>P</w:t>
      </w:r>
      <w:r w:rsidR="00D07D3E" w:rsidRPr="001D3EC6">
        <w:rPr>
          <w:rFonts w:ascii="Bookman Old Style" w:hAnsi="Bookman Old Style" w:cs="Arial"/>
          <w:b/>
          <w:i/>
          <w:iCs/>
          <w:color w:val="000000"/>
        </w:rPr>
        <w:t>acífico</w:t>
      </w:r>
      <w:r w:rsidR="0044368D" w:rsidRPr="001D3EC6">
        <w:rPr>
          <w:rFonts w:ascii="Bookman Old Style" w:hAnsi="Bookman Old Style" w:cs="Arial"/>
          <w:b/>
          <w:i/>
          <w:iCs/>
          <w:color w:val="000000"/>
        </w:rPr>
        <w:t xml:space="preserve">: </w:t>
      </w:r>
      <w:r w:rsidR="0044368D" w:rsidRPr="001D3EC6">
        <w:rPr>
          <w:rFonts w:ascii="Bookman Old Style" w:hAnsi="Bookman Old Style" w:cs="Arial"/>
          <w:bCs/>
          <w:i/>
          <w:iCs/>
          <w:color w:val="000000"/>
        </w:rPr>
        <w:t xml:space="preserve">es la prestación del servicio </w:t>
      </w:r>
      <w:r w:rsidR="00643892" w:rsidRPr="00407AE6">
        <w:rPr>
          <w:rFonts w:ascii="Bookman Old Style" w:hAnsi="Bookman Old Style" w:cs="Arial"/>
          <w:bCs/>
          <w:i/>
          <w:iCs/>
          <w:color w:val="000000"/>
        </w:rPr>
        <w:t>co</w:t>
      </w:r>
      <w:r w:rsidR="0044368D" w:rsidRPr="001D3EC6">
        <w:rPr>
          <w:rFonts w:ascii="Bookman Old Style" w:hAnsi="Bookman Old Style" w:cs="Arial"/>
          <w:bCs/>
          <w:i/>
          <w:iCs/>
          <w:color w:val="000000"/>
        </w:rPr>
        <w:t xml:space="preserve">n una capacidad inferior a la </w:t>
      </w:r>
      <w:r w:rsidR="00415737" w:rsidRPr="001D3EC6">
        <w:rPr>
          <w:rFonts w:ascii="Bookman Old Style" w:hAnsi="Bookman Old Style" w:cs="Arial"/>
          <w:bCs/>
          <w:i/>
          <w:iCs/>
          <w:color w:val="000000"/>
        </w:rPr>
        <w:t>c</w:t>
      </w:r>
      <w:r w:rsidR="004C4941" w:rsidRPr="001D3EC6">
        <w:rPr>
          <w:rFonts w:ascii="Bookman Old Style" w:hAnsi="Bookman Old Style" w:cs="Arial"/>
          <w:bCs/>
          <w:i/>
          <w:iCs/>
          <w:color w:val="000000"/>
        </w:rPr>
        <w:t xml:space="preserve">apacidad </w:t>
      </w:r>
      <w:r w:rsidR="00E33486" w:rsidRPr="001D3EC6">
        <w:rPr>
          <w:rFonts w:ascii="Bookman Old Style" w:hAnsi="Bookman Old Style" w:cs="Arial"/>
          <w:bCs/>
          <w:i/>
          <w:iCs/>
          <w:color w:val="000000"/>
        </w:rPr>
        <w:t>de</w:t>
      </w:r>
      <w:r w:rsidR="004C4941" w:rsidRPr="001D3EC6">
        <w:rPr>
          <w:rFonts w:ascii="Bookman Old Style" w:hAnsi="Bookman Old Style" w:cs="Arial"/>
          <w:bCs/>
          <w:i/>
          <w:iCs/>
          <w:color w:val="000000"/>
        </w:rPr>
        <w:t xml:space="preserve"> entrega de gas natural regasificado al Sistema Nacional de Transporte en un punto de entrega ubicado en el </w:t>
      </w:r>
      <w:r w:rsidR="00155728" w:rsidRPr="00155728">
        <w:rPr>
          <w:rFonts w:ascii="Bookman Old Style" w:hAnsi="Bookman Old Style" w:cs="Arial"/>
          <w:bCs/>
          <w:i/>
          <w:iCs/>
          <w:color w:val="000000"/>
        </w:rPr>
        <w:t xml:space="preserve">límite geopolítico del </w:t>
      </w:r>
      <w:r w:rsidR="004C4941" w:rsidRPr="001D3EC6">
        <w:rPr>
          <w:rFonts w:ascii="Bookman Old Style" w:hAnsi="Bookman Old Style" w:cs="Arial"/>
          <w:bCs/>
          <w:i/>
          <w:iCs/>
          <w:color w:val="000000"/>
        </w:rPr>
        <w:t xml:space="preserve">municipio de Yumbo </w:t>
      </w:r>
      <w:r w:rsidR="00155728" w:rsidRPr="00155728">
        <w:rPr>
          <w:rFonts w:ascii="Bookman Old Style" w:hAnsi="Bookman Old Style" w:cs="Arial"/>
          <w:bCs/>
          <w:i/>
          <w:iCs/>
          <w:color w:val="000000"/>
        </w:rPr>
        <w:t>-</w:t>
      </w:r>
      <w:r w:rsidR="004C4941" w:rsidRPr="001D3EC6">
        <w:rPr>
          <w:rFonts w:ascii="Bookman Old Style" w:hAnsi="Bookman Old Style" w:cs="Arial"/>
          <w:bCs/>
          <w:i/>
          <w:iCs/>
          <w:color w:val="000000"/>
        </w:rPr>
        <w:t xml:space="preserve"> Valle</w:t>
      </w:r>
    </w:p>
    <w:p w14:paraId="4F506541" w14:textId="48D79E04" w:rsidR="0044368D" w:rsidRPr="00A45831" w:rsidRDefault="004C4941" w:rsidP="00A45831">
      <w:pPr>
        <w:ind w:left="284"/>
        <w:jc w:val="both"/>
        <w:rPr>
          <w:rFonts w:ascii="Bookman Old Style" w:hAnsi="Bookman Old Style"/>
          <w:i/>
          <w:iCs/>
        </w:rPr>
      </w:pPr>
      <w:r w:rsidRPr="001D3EC6">
        <w:rPr>
          <w:rFonts w:ascii="Bookman Old Style" w:hAnsi="Bookman Old Style" w:cs="Arial"/>
          <w:bCs/>
          <w:i/>
          <w:iCs/>
          <w:color w:val="000000"/>
        </w:rPr>
        <w:t>del Cauca</w:t>
      </w:r>
      <w:r w:rsidR="00415737" w:rsidRPr="001D3EC6">
        <w:rPr>
          <w:rFonts w:ascii="Bookman Old Style" w:hAnsi="Bookman Old Style" w:cs="Arial"/>
          <w:bCs/>
          <w:i/>
          <w:iCs/>
          <w:color w:val="000000"/>
        </w:rPr>
        <w:t>.</w:t>
      </w:r>
      <w:r w:rsidR="00583798" w:rsidRPr="001D3EC6">
        <w:rPr>
          <w:rFonts w:ascii="Bookman Old Style" w:hAnsi="Bookman Old Style" w:cs="Arial"/>
          <w:bCs/>
          <w:i/>
          <w:iCs/>
          <w:color w:val="000000"/>
        </w:rPr>
        <w:t>”</w:t>
      </w:r>
      <w:r w:rsidR="0044368D" w:rsidRPr="001D3EC6">
        <w:rPr>
          <w:rFonts w:ascii="Bookman Old Style" w:hAnsi="Bookman Old Style" w:cs="Arial"/>
          <w:b/>
          <w:i/>
          <w:iCs/>
          <w:color w:val="000000"/>
        </w:rPr>
        <w:t>.</w:t>
      </w:r>
    </w:p>
    <w:p w14:paraId="5A494BF9" w14:textId="77777777" w:rsidR="0044368D" w:rsidRPr="00A45831" w:rsidRDefault="0044368D" w:rsidP="00A45831">
      <w:pPr>
        <w:pStyle w:val="Estilo8"/>
        <w:widowControl w:val="0"/>
        <w:ind w:left="284"/>
        <w:jc w:val="both"/>
        <w:rPr>
          <w:rFonts w:ascii="Bookman Old Style" w:hAnsi="Bookman Old Style"/>
          <w:i/>
          <w:iCs/>
          <w:color w:val="000000"/>
          <w:sz w:val="24"/>
          <w:szCs w:val="24"/>
        </w:rPr>
      </w:pPr>
    </w:p>
    <w:p w14:paraId="48F475BC" w14:textId="0D2E5E4F" w:rsidR="0044368D" w:rsidRDefault="0044368D" w:rsidP="005B6C5A">
      <w:pPr>
        <w:ind w:left="284"/>
        <w:jc w:val="both"/>
        <w:rPr>
          <w:rFonts w:ascii="Bookman Old Style" w:hAnsi="Bookman Old Style" w:cs="Arial"/>
          <w:b/>
          <w:i/>
          <w:iCs/>
          <w:color w:val="000000"/>
        </w:rPr>
      </w:pPr>
      <w:bookmarkStart w:id="3" w:name="_Hlk62202021"/>
      <w:r w:rsidRPr="00A45831">
        <w:rPr>
          <w:rFonts w:ascii="Bookman Old Style" w:hAnsi="Bookman Old Style" w:cs="Arial"/>
          <w:b/>
          <w:i/>
          <w:iCs/>
          <w:color w:val="000000"/>
        </w:rPr>
        <w:t xml:space="preserve">“Servicios </w:t>
      </w:r>
      <w:r w:rsidR="00D07D3E" w:rsidRPr="00A45831">
        <w:rPr>
          <w:rFonts w:ascii="Bookman Old Style" w:hAnsi="Bookman Old Style" w:cs="Arial"/>
          <w:b/>
          <w:i/>
          <w:iCs/>
          <w:color w:val="000000"/>
        </w:rPr>
        <w:t>a</w:t>
      </w:r>
      <w:r w:rsidRPr="00A45831">
        <w:rPr>
          <w:rFonts w:ascii="Bookman Old Style" w:hAnsi="Bookman Old Style" w:cs="Arial"/>
          <w:b/>
          <w:i/>
          <w:iCs/>
          <w:color w:val="000000"/>
        </w:rPr>
        <w:t>dicionales</w:t>
      </w:r>
      <w:r w:rsidR="00D07D3E" w:rsidRPr="00A45831">
        <w:rPr>
          <w:rFonts w:ascii="Bookman Old Style" w:hAnsi="Bookman Old Style" w:cs="Arial"/>
          <w:b/>
          <w:i/>
          <w:iCs/>
          <w:color w:val="000000"/>
        </w:rPr>
        <w:t xml:space="preserve"> de la infraestructura de importación de gas del pacífico</w:t>
      </w:r>
      <w:r w:rsidRPr="00A45831">
        <w:rPr>
          <w:rFonts w:ascii="Bookman Old Style" w:hAnsi="Bookman Old Style" w:cs="Arial"/>
          <w:b/>
          <w:i/>
          <w:iCs/>
          <w:color w:val="000000"/>
        </w:rPr>
        <w:t xml:space="preserve">: </w:t>
      </w:r>
      <w:r w:rsidR="005B6C5A" w:rsidRPr="005B6C5A">
        <w:rPr>
          <w:rFonts w:ascii="Bookman Old Style" w:hAnsi="Bookman Old Style" w:cs="Arial"/>
          <w:bCs/>
          <w:i/>
          <w:iCs/>
          <w:color w:val="000000"/>
        </w:rPr>
        <w:t>son los servicios</w:t>
      </w:r>
      <w:r w:rsidR="006018CA">
        <w:rPr>
          <w:rFonts w:ascii="Bookman Old Style" w:hAnsi="Bookman Old Style" w:cs="Arial"/>
          <w:bCs/>
          <w:i/>
          <w:iCs/>
          <w:color w:val="000000"/>
        </w:rPr>
        <w:t xml:space="preserve"> </w:t>
      </w:r>
      <w:r w:rsidR="006018CA" w:rsidRPr="006018CA">
        <w:rPr>
          <w:rFonts w:ascii="Bookman Old Style" w:hAnsi="Bookman Old Style"/>
          <w:i/>
          <w:iCs/>
        </w:rPr>
        <w:t xml:space="preserve">que corresponden a una capacidad adicional a la determinada en </w:t>
      </w:r>
      <w:r w:rsidR="006018CA" w:rsidRPr="005B6C5A">
        <w:rPr>
          <w:rFonts w:ascii="Bookman Old Style" w:hAnsi="Bookman Old Style" w:cs="Arial"/>
          <w:bCs/>
          <w:i/>
          <w:iCs/>
          <w:color w:val="000000"/>
        </w:rPr>
        <w:t>los Documentos de Selección de</w:t>
      </w:r>
      <w:r w:rsidR="006018CA">
        <w:rPr>
          <w:rFonts w:ascii="Bookman Old Style" w:hAnsi="Bookman Old Style" w:cs="Arial"/>
          <w:bCs/>
          <w:i/>
          <w:iCs/>
          <w:color w:val="000000"/>
        </w:rPr>
        <w:t xml:space="preserve">l </w:t>
      </w:r>
      <w:r w:rsidR="006018CA" w:rsidRPr="005B6C5A">
        <w:rPr>
          <w:rFonts w:ascii="Bookman Old Style" w:hAnsi="Bookman Old Style" w:cs="Arial"/>
          <w:bCs/>
          <w:i/>
          <w:iCs/>
          <w:color w:val="000000"/>
        </w:rPr>
        <w:t>Inversionista</w:t>
      </w:r>
      <w:r w:rsidR="006018CA">
        <w:rPr>
          <w:rFonts w:ascii="Bookman Old Style" w:hAnsi="Bookman Old Style" w:cs="Arial"/>
          <w:bCs/>
          <w:i/>
          <w:iCs/>
          <w:color w:val="000000"/>
        </w:rPr>
        <w:t>,</w:t>
      </w:r>
      <w:r w:rsidR="005B6C5A" w:rsidRPr="005B6C5A">
        <w:rPr>
          <w:rFonts w:ascii="Bookman Old Style" w:hAnsi="Bookman Old Style" w:cs="Arial"/>
          <w:bCs/>
          <w:i/>
          <w:iCs/>
          <w:color w:val="000000"/>
        </w:rPr>
        <w:t xml:space="preserve"> que pueden ser el servicio de </w:t>
      </w:r>
      <w:r w:rsidR="000238ED">
        <w:rPr>
          <w:rFonts w:ascii="Bookman Old Style" w:hAnsi="Bookman Old Style" w:cs="Arial"/>
          <w:bCs/>
          <w:i/>
          <w:iCs/>
          <w:color w:val="000000"/>
        </w:rPr>
        <w:t>descarg</w:t>
      </w:r>
      <w:r w:rsidR="00FF5219">
        <w:rPr>
          <w:rFonts w:ascii="Bookman Old Style" w:hAnsi="Bookman Old Style" w:cs="Arial"/>
          <w:bCs/>
          <w:i/>
          <w:iCs/>
          <w:color w:val="000000"/>
        </w:rPr>
        <w:t>ue</w:t>
      </w:r>
      <w:r w:rsidR="001705C4">
        <w:rPr>
          <w:rFonts w:ascii="Bookman Old Style" w:hAnsi="Bookman Old Style" w:cs="Arial"/>
          <w:bCs/>
          <w:i/>
          <w:iCs/>
          <w:color w:val="000000"/>
        </w:rPr>
        <w:t xml:space="preserve"> y recibo</w:t>
      </w:r>
      <w:r w:rsidR="000238ED">
        <w:rPr>
          <w:rFonts w:ascii="Bookman Old Style" w:hAnsi="Bookman Old Style" w:cs="Arial"/>
          <w:bCs/>
          <w:i/>
          <w:iCs/>
          <w:color w:val="000000"/>
        </w:rPr>
        <w:t xml:space="preserve">, </w:t>
      </w:r>
      <w:r w:rsidR="005B6C5A" w:rsidRPr="005B6C5A">
        <w:rPr>
          <w:rFonts w:ascii="Bookman Old Style" w:hAnsi="Bookman Old Style" w:cs="Arial"/>
          <w:bCs/>
          <w:i/>
          <w:iCs/>
          <w:color w:val="000000"/>
        </w:rPr>
        <w:t>almacenamiento de GNL, regasificación, transporte de gas natural y demás servicios asociados especificados en la descripción del</w:t>
      </w:r>
      <w:r w:rsidR="005B6C5A">
        <w:rPr>
          <w:rFonts w:ascii="Bookman Old Style" w:hAnsi="Bookman Old Style" w:cs="Arial"/>
          <w:bCs/>
          <w:i/>
          <w:iCs/>
          <w:color w:val="000000"/>
        </w:rPr>
        <w:t xml:space="preserve"> </w:t>
      </w:r>
      <w:r w:rsidR="005B6C5A" w:rsidRPr="005B6C5A">
        <w:rPr>
          <w:rFonts w:ascii="Bookman Old Style" w:hAnsi="Bookman Old Style" w:cs="Arial"/>
          <w:bCs/>
          <w:i/>
          <w:iCs/>
          <w:color w:val="000000"/>
        </w:rPr>
        <w:t>proyecto contenida en los Documentos de Selección de</w:t>
      </w:r>
      <w:r w:rsidR="005B6C5A">
        <w:rPr>
          <w:rFonts w:ascii="Bookman Old Style" w:hAnsi="Bookman Old Style" w:cs="Arial"/>
          <w:bCs/>
          <w:i/>
          <w:iCs/>
          <w:color w:val="000000"/>
        </w:rPr>
        <w:t xml:space="preserve">l </w:t>
      </w:r>
      <w:r w:rsidR="005B6C5A" w:rsidRPr="005B6C5A">
        <w:rPr>
          <w:rFonts w:ascii="Bookman Old Style" w:hAnsi="Bookman Old Style" w:cs="Arial"/>
          <w:bCs/>
          <w:i/>
          <w:iCs/>
          <w:color w:val="000000"/>
        </w:rPr>
        <w:t>Inversionista elaborados por la UPME</w:t>
      </w:r>
      <w:r w:rsidR="00583798" w:rsidRPr="00A45831">
        <w:rPr>
          <w:rFonts w:ascii="Bookman Old Style" w:hAnsi="Bookman Old Style" w:cs="Arial"/>
          <w:bCs/>
          <w:i/>
          <w:iCs/>
          <w:color w:val="000000"/>
        </w:rPr>
        <w:t>”</w:t>
      </w:r>
      <w:r w:rsidRPr="00A45831">
        <w:rPr>
          <w:rFonts w:ascii="Bookman Old Style" w:hAnsi="Bookman Old Style" w:cs="Arial"/>
          <w:b/>
          <w:i/>
          <w:iCs/>
          <w:color w:val="000000"/>
        </w:rPr>
        <w:t xml:space="preserve">. </w:t>
      </w:r>
    </w:p>
    <w:p w14:paraId="32A54794" w14:textId="77777777" w:rsidR="0051077F" w:rsidRPr="00A45831" w:rsidRDefault="0051077F" w:rsidP="00A45831">
      <w:pPr>
        <w:ind w:left="284"/>
        <w:jc w:val="both"/>
        <w:rPr>
          <w:rFonts w:ascii="Bookman Old Style" w:hAnsi="Bookman Old Style"/>
          <w:i/>
          <w:iCs/>
        </w:rPr>
      </w:pPr>
    </w:p>
    <w:bookmarkEnd w:id="3"/>
    <w:p w14:paraId="655584D0" w14:textId="047C6779" w:rsidR="0044368D" w:rsidRPr="00356462" w:rsidRDefault="0044368D" w:rsidP="00900F23">
      <w:pPr>
        <w:spacing w:after="240"/>
        <w:ind w:left="0"/>
        <w:jc w:val="both"/>
        <w:rPr>
          <w:rFonts w:ascii="Bookman Old Style" w:hAnsi="Bookman Old Style"/>
          <w:b/>
        </w:rPr>
      </w:pPr>
      <w:r w:rsidRPr="00356462">
        <w:rPr>
          <w:rFonts w:ascii="Bookman Old Style" w:hAnsi="Bookman Old Style"/>
          <w:b/>
        </w:rPr>
        <w:t xml:space="preserve">Artículo 3.  </w:t>
      </w:r>
      <w:r w:rsidRPr="00356462">
        <w:rPr>
          <w:rFonts w:ascii="Bookman Old Style" w:hAnsi="Bookman Old Style"/>
          <w:bCs/>
        </w:rPr>
        <w:t>Adici</w:t>
      </w:r>
      <w:r w:rsidR="003577BC">
        <w:rPr>
          <w:rFonts w:ascii="Bookman Old Style" w:hAnsi="Bookman Old Style"/>
          <w:bCs/>
        </w:rPr>
        <w:t xml:space="preserve">ónese </w:t>
      </w:r>
      <w:r w:rsidRPr="00356462">
        <w:rPr>
          <w:rFonts w:ascii="Bookman Old Style" w:hAnsi="Bookman Old Style"/>
          <w:bCs/>
        </w:rPr>
        <w:t>el Parágrafo 2 al Artículo 4 de la Resolución CREG 152 de 2017, el</w:t>
      </w:r>
      <w:r w:rsidR="006302C7" w:rsidRPr="00356462">
        <w:rPr>
          <w:rFonts w:ascii="Bookman Old Style" w:hAnsi="Bookman Old Style"/>
          <w:bCs/>
        </w:rPr>
        <w:t xml:space="preserve"> cual</w:t>
      </w:r>
      <w:r w:rsidRPr="00356462">
        <w:rPr>
          <w:rFonts w:ascii="Bookman Old Style" w:hAnsi="Bookman Old Style"/>
          <w:bCs/>
        </w:rPr>
        <w:t xml:space="preserve"> quedará así:</w:t>
      </w:r>
      <w:r w:rsidRPr="00356462">
        <w:rPr>
          <w:rFonts w:ascii="Bookman Old Style" w:hAnsi="Bookman Old Style"/>
          <w:b/>
        </w:rPr>
        <w:t xml:space="preserve"> </w:t>
      </w:r>
    </w:p>
    <w:p w14:paraId="6DEB45AB" w14:textId="56EEBF34" w:rsidR="0031376B" w:rsidRPr="00A45831" w:rsidRDefault="006302C7" w:rsidP="00A45831">
      <w:pPr>
        <w:spacing w:before="240" w:after="240"/>
        <w:ind w:left="284"/>
        <w:jc w:val="both"/>
        <w:rPr>
          <w:rFonts w:ascii="Bookman Old Style" w:hAnsi="Bookman Old Style"/>
          <w:bCs/>
          <w:i/>
          <w:iCs/>
        </w:rPr>
      </w:pPr>
      <w:r w:rsidRPr="00A45831">
        <w:rPr>
          <w:rFonts w:ascii="Bookman Old Style" w:hAnsi="Bookman Old Style"/>
          <w:b/>
          <w:i/>
          <w:iCs/>
        </w:rPr>
        <w:t>“</w:t>
      </w:r>
      <w:r w:rsidR="0031376B" w:rsidRPr="00A45831">
        <w:rPr>
          <w:rFonts w:ascii="Bookman Old Style" w:hAnsi="Bookman Old Style"/>
          <w:b/>
          <w:i/>
          <w:iCs/>
        </w:rPr>
        <w:t xml:space="preserve">Artículo 4. Servicios asociados a la infraestructura de importación de gas del Pacífico. </w:t>
      </w:r>
      <w:r w:rsidR="0031376B" w:rsidRPr="00A45831">
        <w:rPr>
          <w:rFonts w:ascii="Bookman Old Style" w:hAnsi="Bookman Old Style"/>
          <w:bCs/>
          <w:i/>
          <w:iCs/>
        </w:rPr>
        <w:t>El adjudicatario de la planta de regasificación del Pacífico deberá prestar los servicios que defina la UPME en los correspondientes pliegos y que están asociados a este tipo de infraestructura tales como: i) descargue y recibo de gas licuado, ii) almacenamiento de gas licuado, iii) regasificación, iv) carga de carrotanques de gas natural licuado, v) trasvase de gas natural licuado a buques metaneros y puesta en frío, y vi) entrega del gas en el SNT, entre otros.</w:t>
      </w:r>
    </w:p>
    <w:p w14:paraId="7C12EF32" w14:textId="2EE60E56"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Cs/>
          <w:i/>
          <w:iCs/>
        </w:rPr>
        <w:t>El adjudicatario del gasoducto Buenaventura – Yumbo prestará los servicios asociados a</w:t>
      </w:r>
      <w:r w:rsidR="00BE4F97">
        <w:rPr>
          <w:rFonts w:ascii="Bookman Old Style" w:hAnsi="Bookman Old Style"/>
          <w:bCs/>
          <w:i/>
          <w:iCs/>
        </w:rPr>
        <w:t xml:space="preserve"> la</w:t>
      </w:r>
      <w:r w:rsidRPr="00A45831">
        <w:rPr>
          <w:rFonts w:ascii="Bookman Old Style" w:hAnsi="Bookman Old Style"/>
          <w:bCs/>
          <w:i/>
          <w:iCs/>
        </w:rPr>
        <w:t xml:space="preserve"> infraestructura del SNT, tales como parqueo y transporte de gas</w:t>
      </w:r>
      <w:r w:rsidR="00BE4F97">
        <w:rPr>
          <w:rFonts w:ascii="Bookman Old Style" w:hAnsi="Bookman Old Style"/>
          <w:bCs/>
          <w:i/>
          <w:iCs/>
        </w:rPr>
        <w:t xml:space="preserve"> natural</w:t>
      </w:r>
      <w:r w:rsidRPr="00A45831">
        <w:rPr>
          <w:rFonts w:ascii="Bookman Old Style" w:hAnsi="Bookman Old Style"/>
          <w:bCs/>
          <w:i/>
          <w:iCs/>
        </w:rPr>
        <w:t>.</w:t>
      </w:r>
    </w:p>
    <w:p w14:paraId="3091ABEB" w14:textId="4055CD87"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Cs/>
          <w:i/>
          <w:iCs/>
        </w:rPr>
        <w:t xml:space="preserve">Estos servicios se prestarán sobre la base del principio del libre acceso y no discriminación. En resolución aparte la Comisión establecerá disposiciones sobre el acceso y uso de la infraestructura de importación de gas </w:t>
      </w:r>
      <w:r w:rsidR="005036FC">
        <w:rPr>
          <w:rFonts w:ascii="Bookman Old Style" w:hAnsi="Bookman Old Style"/>
          <w:bCs/>
          <w:i/>
          <w:iCs/>
        </w:rPr>
        <w:t xml:space="preserve">natural </w:t>
      </w:r>
      <w:r w:rsidRPr="00A45831">
        <w:rPr>
          <w:rFonts w:ascii="Bookman Old Style" w:hAnsi="Bookman Old Style"/>
          <w:bCs/>
          <w:i/>
          <w:iCs/>
        </w:rPr>
        <w:t xml:space="preserve">del Pacífico. </w:t>
      </w:r>
    </w:p>
    <w:p w14:paraId="54207424" w14:textId="504B342D" w:rsidR="0031376B" w:rsidRPr="00A45831" w:rsidRDefault="0031376B" w:rsidP="00A45831">
      <w:pPr>
        <w:spacing w:before="240" w:after="240"/>
        <w:ind w:left="284"/>
        <w:jc w:val="both"/>
        <w:rPr>
          <w:rFonts w:ascii="Bookman Old Style" w:hAnsi="Bookman Old Style"/>
          <w:bCs/>
          <w:i/>
          <w:iCs/>
        </w:rPr>
      </w:pPr>
      <w:r w:rsidRPr="00A45831">
        <w:rPr>
          <w:rFonts w:ascii="Bookman Old Style" w:hAnsi="Bookman Old Style"/>
          <w:b/>
          <w:i/>
          <w:iCs/>
        </w:rPr>
        <w:t>Parágrafo 1.</w:t>
      </w:r>
      <w:r w:rsidRPr="00A45831">
        <w:rPr>
          <w:rFonts w:ascii="Bookman Old Style" w:hAnsi="Bookman Old Style"/>
          <w:bCs/>
          <w:i/>
          <w:iCs/>
        </w:rPr>
        <w:t xml:space="preserve"> </w:t>
      </w:r>
      <w:r w:rsidR="00FC6530">
        <w:rPr>
          <w:rFonts w:ascii="Bookman Old Style" w:hAnsi="Bookman Old Style"/>
          <w:bCs/>
          <w:i/>
          <w:iCs/>
        </w:rPr>
        <w:t>Para la prestación de los servicios descritos en este artículo</w:t>
      </w:r>
      <w:r w:rsidRPr="00A45831">
        <w:rPr>
          <w:rFonts w:ascii="Bookman Old Style" w:hAnsi="Bookman Old Style"/>
          <w:bCs/>
          <w:i/>
          <w:iCs/>
        </w:rPr>
        <w:t xml:space="preserve"> </w:t>
      </w:r>
      <w:r w:rsidR="00E7568B">
        <w:rPr>
          <w:rFonts w:ascii="Bookman Old Style" w:hAnsi="Bookman Old Style"/>
          <w:bCs/>
          <w:i/>
          <w:iCs/>
        </w:rPr>
        <w:t>debe tenerse en cuenta que l</w:t>
      </w:r>
      <w:r w:rsidRPr="00A45831">
        <w:rPr>
          <w:rFonts w:ascii="Bookman Old Style" w:hAnsi="Bookman Old Style"/>
          <w:bCs/>
          <w:i/>
          <w:iCs/>
        </w:rPr>
        <w:t xml:space="preserve">a </w:t>
      </w:r>
      <w:r w:rsidR="005B4D2B">
        <w:rPr>
          <w:rFonts w:ascii="Bookman Old Style" w:hAnsi="Bookman Old Style"/>
          <w:bCs/>
          <w:i/>
          <w:iCs/>
        </w:rPr>
        <w:t>I</w:t>
      </w:r>
      <w:r w:rsidR="005B4D2B" w:rsidRPr="00A45831">
        <w:rPr>
          <w:rFonts w:ascii="Bookman Old Style" w:hAnsi="Bookman Old Style"/>
          <w:bCs/>
          <w:i/>
          <w:iCs/>
        </w:rPr>
        <w:t xml:space="preserve">nfraestructura </w:t>
      </w:r>
      <w:r w:rsidRPr="00A45831">
        <w:rPr>
          <w:rFonts w:ascii="Bookman Old Style" w:hAnsi="Bookman Old Style"/>
          <w:bCs/>
          <w:i/>
          <w:iCs/>
        </w:rPr>
        <w:t xml:space="preserve">de </w:t>
      </w:r>
      <w:r w:rsidR="005B4D2B">
        <w:rPr>
          <w:rFonts w:ascii="Bookman Old Style" w:hAnsi="Bookman Old Style"/>
          <w:bCs/>
          <w:i/>
          <w:iCs/>
        </w:rPr>
        <w:t>I</w:t>
      </w:r>
      <w:r w:rsidRPr="00A45831">
        <w:rPr>
          <w:rFonts w:ascii="Bookman Old Style" w:hAnsi="Bookman Old Style"/>
          <w:bCs/>
          <w:i/>
          <w:iCs/>
        </w:rPr>
        <w:t xml:space="preserve">mportación de </w:t>
      </w:r>
      <w:r w:rsidR="005B4D2B">
        <w:rPr>
          <w:rFonts w:ascii="Bookman Old Style" w:hAnsi="Bookman Old Style"/>
          <w:bCs/>
          <w:i/>
          <w:iCs/>
        </w:rPr>
        <w:t>G</w:t>
      </w:r>
      <w:r w:rsidRPr="00A45831">
        <w:rPr>
          <w:rFonts w:ascii="Bookman Old Style" w:hAnsi="Bookman Old Style"/>
          <w:bCs/>
          <w:i/>
          <w:iCs/>
        </w:rPr>
        <w:t>as del Pacífico se complementará con la infraestructura que haga posible el flujo bidireccional de gas en gasoductos del SNT donde sea necesar</w:t>
      </w:r>
      <w:r w:rsidRPr="006D58E4">
        <w:rPr>
          <w:rFonts w:ascii="Bookman Old Style" w:hAnsi="Bookman Old Style"/>
          <w:bCs/>
          <w:i/>
          <w:iCs/>
        </w:rPr>
        <w:t>io. La infraestructura necesaria para el flujo bidireccional, y que esté definida en el plan de abastecimiento de gas natural estará sujeta a las reglas de acceso y pago de servicios que determine la Comisión en resolución aparte.</w:t>
      </w:r>
    </w:p>
    <w:p w14:paraId="5C78AE03" w14:textId="0CD426A9" w:rsidR="00171D8A" w:rsidRPr="000E019A" w:rsidRDefault="00D81823" w:rsidP="0051077F">
      <w:pPr>
        <w:spacing w:before="240" w:after="240"/>
        <w:ind w:left="284"/>
        <w:jc w:val="both"/>
        <w:rPr>
          <w:rFonts w:ascii="Bookman Old Style" w:hAnsi="Bookman Old Style"/>
          <w:bCs/>
          <w:i/>
          <w:iCs/>
        </w:rPr>
      </w:pPr>
      <w:r w:rsidRPr="00A45831">
        <w:rPr>
          <w:rFonts w:ascii="Bookman Old Style" w:hAnsi="Bookman Old Style"/>
          <w:b/>
          <w:i/>
          <w:iCs/>
        </w:rPr>
        <w:t xml:space="preserve">Parágrafo 2: </w:t>
      </w:r>
      <w:r w:rsidRPr="00A45831">
        <w:rPr>
          <w:rFonts w:ascii="Bookman Old Style" w:hAnsi="Bookman Old Style"/>
          <w:bCs/>
          <w:i/>
          <w:iCs/>
        </w:rPr>
        <w:t>En el caso de que la UPME establezca un inventario mínimo</w:t>
      </w:r>
      <w:r w:rsidR="00FA4976" w:rsidRPr="00A45831">
        <w:rPr>
          <w:rFonts w:ascii="Bookman Old Style" w:hAnsi="Bookman Old Style"/>
          <w:bCs/>
          <w:i/>
          <w:iCs/>
        </w:rPr>
        <w:t xml:space="preserve"> de confia</w:t>
      </w:r>
      <w:r w:rsidR="000A14E9" w:rsidRPr="00A45831">
        <w:rPr>
          <w:rFonts w:ascii="Bookman Old Style" w:hAnsi="Bookman Old Style"/>
          <w:bCs/>
          <w:i/>
          <w:iCs/>
        </w:rPr>
        <w:t>bilidad</w:t>
      </w:r>
      <w:r w:rsidR="00171D8A">
        <w:rPr>
          <w:rFonts w:ascii="Bookman Old Style" w:hAnsi="Bookman Old Style"/>
          <w:bCs/>
          <w:i/>
          <w:iCs/>
        </w:rPr>
        <w:t>,</w:t>
      </w:r>
      <w:r w:rsidRPr="00A45831">
        <w:rPr>
          <w:rFonts w:ascii="Bookman Old Style" w:hAnsi="Bookman Old Style"/>
          <w:bCs/>
          <w:i/>
          <w:iCs/>
        </w:rPr>
        <w:t xml:space="preserve"> </w:t>
      </w:r>
      <w:r w:rsidR="002F4043">
        <w:rPr>
          <w:rFonts w:ascii="Bookman Old Style" w:hAnsi="Bookman Old Style"/>
          <w:bCs/>
          <w:i/>
          <w:iCs/>
        </w:rPr>
        <w:t xml:space="preserve">su utilización será </w:t>
      </w:r>
      <w:r w:rsidR="00681288">
        <w:rPr>
          <w:rFonts w:ascii="Bookman Old Style" w:hAnsi="Bookman Old Style"/>
          <w:bCs/>
          <w:i/>
          <w:iCs/>
        </w:rPr>
        <w:t>en los términos</w:t>
      </w:r>
      <w:r w:rsidR="002F4043">
        <w:rPr>
          <w:rFonts w:ascii="Bookman Old Style" w:hAnsi="Bookman Old Style"/>
          <w:bCs/>
          <w:i/>
          <w:iCs/>
        </w:rPr>
        <w:t xml:space="preserve"> </w:t>
      </w:r>
      <w:r w:rsidRPr="00A45831">
        <w:rPr>
          <w:rFonts w:ascii="Bookman Old Style" w:hAnsi="Bookman Old Style"/>
          <w:bCs/>
          <w:i/>
          <w:iCs/>
        </w:rPr>
        <w:t>que determine el Ministerio de Minas y Energía</w:t>
      </w:r>
      <w:r w:rsidR="000E019A">
        <w:rPr>
          <w:rFonts w:ascii="Bookman Old Style" w:hAnsi="Bookman Old Style"/>
          <w:bCs/>
          <w:i/>
          <w:iCs/>
        </w:rPr>
        <w:t>, conforme a lo establecido en el Decreto 1073 de 2015, o el que lo modifique o sustituya.</w:t>
      </w:r>
    </w:p>
    <w:p w14:paraId="597F7468" w14:textId="4098476D" w:rsidR="00190F95" w:rsidRPr="002B7A7F" w:rsidRDefault="00F0571F" w:rsidP="0051077F">
      <w:pPr>
        <w:spacing w:before="240" w:after="240"/>
        <w:ind w:left="284"/>
        <w:jc w:val="both"/>
        <w:rPr>
          <w:rFonts w:ascii="Bookman Old Style" w:hAnsi="Bookman Old Style"/>
          <w:bCs/>
          <w:i/>
          <w:iCs/>
        </w:rPr>
      </w:pPr>
      <w:r w:rsidRPr="009670AA">
        <w:rPr>
          <w:rFonts w:ascii="Bookman Old Style" w:hAnsi="Bookman Old Style"/>
          <w:bCs/>
          <w:i/>
          <w:iCs/>
        </w:rPr>
        <w:t xml:space="preserve">Ante la ocurrencia de eventos </w:t>
      </w:r>
      <w:r w:rsidR="00D17305" w:rsidRPr="009670AA">
        <w:rPr>
          <w:rFonts w:ascii="Bookman Old Style" w:hAnsi="Bookman Old Style"/>
          <w:bCs/>
          <w:i/>
          <w:iCs/>
        </w:rPr>
        <w:t xml:space="preserve">que </w:t>
      </w:r>
      <w:r w:rsidR="00CB6B6F" w:rsidRPr="00BC6E28">
        <w:rPr>
          <w:rFonts w:ascii="Bookman Old Style" w:hAnsi="Bookman Old Style"/>
          <w:bCs/>
          <w:i/>
          <w:iCs/>
        </w:rPr>
        <w:t xml:space="preserve">determinen la aplicación </w:t>
      </w:r>
      <w:r w:rsidR="00EF32DB" w:rsidRPr="009670AA">
        <w:rPr>
          <w:rFonts w:ascii="Bookman Old Style" w:hAnsi="Bookman Old Style"/>
          <w:i/>
        </w:rPr>
        <w:t>de</w:t>
      </w:r>
      <w:r w:rsidR="002B2819" w:rsidRPr="00A86559">
        <w:rPr>
          <w:rFonts w:ascii="Bookman Old Style" w:hAnsi="Bookman Old Style"/>
          <w:bCs/>
          <w:i/>
          <w:iCs/>
        </w:rPr>
        <w:t xml:space="preserve"> </w:t>
      </w:r>
      <w:r w:rsidR="00C06EEC">
        <w:rPr>
          <w:rFonts w:ascii="Bookman Old Style" w:hAnsi="Bookman Old Style"/>
          <w:bCs/>
          <w:i/>
          <w:iCs/>
        </w:rPr>
        <w:t xml:space="preserve">lo dispuesto en el </w:t>
      </w:r>
      <w:r w:rsidR="00862FFF">
        <w:rPr>
          <w:rFonts w:ascii="Bookman Old Style" w:hAnsi="Bookman Old Style"/>
          <w:bCs/>
          <w:i/>
          <w:iCs/>
        </w:rPr>
        <w:t>Capítulo</w:t>
      </w:r>
      <w:r w:rsidR="002B2819" w:rsidRPr="00A86559">
        <w:rPr>
          <w:rFonts w:ascii="Bookman Old Style" w:hAnsi="Bookman Old Style"/>
          <w:bCs/>
          <w:i/>
          <w:iCs/>
        </w:rPr>
        <w:t xml:space="preserve"> 2</w:t>
      </w:r>
      <w:r w:rsidR="00862FFF">
        <w:rPr>
          <w:rFonts w:ascii="Bookman Old Style" w:hAnsi="Bookman Old Style"/>
          <w:bCs/>
          <w:i/>
          <w:iCs/>
        </w:rPr>
        <w:t xml:space="preserve"> del </w:t>
      </w:r>
      <w:r w:rsidR="00ED5DC6">
        <w:rPr>
          <w:rFonts w:ascii="Bookman Old Style" w:hAnsi="Bookman Old Style"/>
          <w:bCs/>
          <w:i/>
          <w:iCs/>
        </w:rPr>
        <w:t>Título II</w:t>
      </w:r>
      <w:r w:rsidR="002B2819" w:rsidRPr="00A86559">
        <w:rPr>
          <w:rFonts w:ascii="Bookman Old Style" w:hAnsi="Bookman Old Style"/>
          <w:bCs/>
          <w:i/>
          <w:iCs/>
        </w:rPr>
        <w:t xml:space="preserve"> de</w:t>
      </w:r>
      <w:r w:rsidR="00EF32DB" w:rsidRPr="009670AA">
        <w:rPr>
          <w:rFonts w:ascii="Bookman Old Style" w:hAnsi="Bookman Old Style"/>
          <w:bCs/>
          <w:i/>
          <w:iCs/>
        </w:rPr>
        <w:t xml:space="preserve">l </w:t>
      </w:r>
      <w:r w:rsidR="00EF32DB" w:rsidRPr="00BC6E28">
        <w:rPr>
          <w:rFonts w:ascii="Bookman Old Style" w:hAnsi="Bookman Old Style"/>
          <w:bCs/>
          <w:i/>
          <w:iCs/>
        </w:rPr>
        <w:t>Decreto 10</w:t>
      </w:r>
      <w:r w:rsidR="00352C4C" w:rsidRPr="009670AA">
        <w:rPr>
          <w:rFonts w:ascii="Bookman Old Style" w:hAnsi="Bookman Old Style"/>
          <w:i/>
        </w:rPr>
        <w:t>73 de 2015</w:t>
      </w:r>
      <w:r w:rsidR="002B2819" w:rsidRPr="009670AA">
        <w:rPr>
          <w:rFonts w:ascii="Bookman Old Style" w:hAnsi="Bookman Old Style"/>
          <w:i/>
        </w:rPr>
        <w:t>,</w:t>
      </w:r>
      <w:r w:rsidR="00512F79">
        <w:rPr>
          <w:rFonts w:ascii="Bookman Old Style" w:hAnsi="Bookman Old Style"/>
          <w:bCs/>
          <w:i/>
          <w:iCs/>
        </w:rPr>
        <w:t xml:space="preserve"> </w:t>
      </w:r>
      <w:r w:rsidR="009826E2">
        <w:rPr>
          <w:rFonts w:ascii="Bookman Old Style" w:hAnsi="Bookman Old Style"/>
          <w:bCs/>
          <w:i/>
          <w:iCs/>
        </w:rPr>
        <w:t xml:space="preserve">los agentes </w:t>
      </w:r>
      <w:r w:rsidR="00366F42">
        <w:rPr>
          <w:rFonts w:ascii="Bookman Old Style" w:hAnsi="Bookman Old Style"/>
          <w:bCs/>
          <w:i/>
          <w:iCs/>
        </w:rPr>
        <w:t xml:space="preserve">harán uso </w:t>
      </w:r>
      <w:r w:rsidR="004948AB">
        <w:rPr>
          <w:rFonts w:ascii="Bookman Old Style" w:hAnsi="Bookman Old Style"/>
          <w:bCs/>
          <w:i/>
          <w:iCs/>
        </w:rPr>
        <w:t>de</w:t>
      </w:r>
      <w:r w:rsidR="005636B2">
        <w:rPr>
          <w:rFonts w:ascii="Bookman Old Style" w:hAnsi="Bookman Old Style"/>
          <w:bCs/>
          <w:i/>
          <w:iCs/>
        </w:rPr>
        <w:t xml:space="preserve">l gas disponible </w:t>
      </w:r>
      <w:r w:rsidR="00ED3075">
        <w:rPr>
          <w:rFonts w:ascii="Bookman Old Style" w:hAnsi="Bookman Old Style"/>
          <w:bCs/>
          <w:i/>
          <w:iCs/>
        </w:rPr>
        <w:t>del inventario</w:t>
      </w:r>
      <w:r w:rsidR="00FD2872">
        <w:rPr>
          <w:rFonts w:ascii="Bookman Old Style" w:hAnsi="Bookman Old Style"/>
          <w:bCs/>
          <w:i/>
          <w:iCs/>
        </w:rPr>
        <w:t>,</w:t>
      </w:r>
      <w:r w:rsidR="00D81823" w:rsidRPr="00A45831">
        <w:rPr>
          <w:rFonts w:ascii="Bookman Old Style" w:hAnsi="Bookman Old Style"/>
          <w:bCs/>
          <w:i/>
          <w:iCs/>
        </w:rPr>
        <w:t xml:space="preserve"> </w:t>
      </w:r>
      <w:r w:rsidR="003D5B33">
        <w:rPr>
          <w:rFonts w:ascii="Bookman Old Style" w:hAnsi="Bookman Old Style"/>
          <w:bCs/>
          <w:i/>
          <w:iCs/>
        </w:rPr>
        <w:t xml:space="preserve">teniendo en </w:t>
      </w:r>
      <w:r w:rsidR="003D5B33" w:rsidRPr="002B7A7F">
        <w:rPr>
          <w:rFonts w:ascii="Bookman Old Style" w:hAnsi="Bookman Old Style"/>
          <w:bCs/>
          <w:i/>
          <w:iCs/>
        </w:rPr>
        <w:t>cuenta lo siguiente</w:t>
      </w:r>
      <w:r w:rsidR="00D81823" w:rsidRPr="002B7A7F">
        <w:rPr>
          <w:rFonts w:ascii="Bookman Old Style" w:hAnsi="Bookman Old Style"/>
          <w:bCs/>
          <w:i/>
          <w:iCs/>
        </w:rPr>
        <w:t xml:space="preserve">: </w:t>
      </w:r>
    </w:p>
    <w:p w14:paraId="0283BD4F" w14:textId="6BEF6E30" w:rsidR="004563D8" w:rsidRPr="002B7A7F" w:rsidRDefault="004563D8" w:rsidP="00C04147">
      <w:pPr>
        <w:pStyle w:val="Prrafodelista"/>
        <w:numPr>
          <w:ilvl w:val="0"/>
          <w:numId w:val="4"/>
        </w:numPr>
        <w:spacing w:before="240" w:after="240"/>
        <w:ind w:left="709" w:hanging="425"/>
        <w:jc w:val="both"/>
        <w:rPr>
          <w:rFonts w:ascii="Bookman Old Style" w:hAnsi="Bookman Old Style"/>
          <w:bCs/>
          <w:i/>
          <w:iCs/>
        </w:rPr>
      </w:pPr>
      <w:r w:rsidRPr="002B7A7F">
        <w:rPr>
          <w:rFonts w:ascii="Bookman Old Style" w:hAnsi="Bookman Old Style"/>
          <w:bCs/>
          <w:i/>
          <w:iCs/>
          <w:sz w:val="24"/>
          <w:szCs w:val="24"/>
        </w:rPr>
        <w:t>Si en el almacenamiento hay gas natural licuado correspondiente al inventario mínimo</w:t>
      </w:r>
      <w:r w:rsidR="00523DD2">
        <w:rPr>
          <w:rFonts w:ascii="Bookman Old Style" w:hAnsi="Bookman Old Style"/>
          <w:bCs/>
          <w:i/>
          <w:iCs/>
          <w:sz w:val="24"/>
          <w:szCs w:val="24"/>
        </w:rPr>
        <w:t xml:space="preserve"> de confiabilidad</w:t>
      </w:r>
      <w:r w:rsidRPr="002B7A7F">
        <w:rPr>
          <w:rFonts w:ascii="Bookman Old Style" w:hAnsi="Bookman Old Style"/>
          <w:bCs/>
          <w:i/>
          <w:iCs/>
          <w:sz w:val="24"/>
          <w:szCs w:val="24"/>
        </w:rPr>
        <w:t xml:space="preserve">, el gas retirado será repuesto por el </w:t>
      </w:r>
      <w:r w:rsidR="002A4135">
        <w:rPr>
          <w:rFonts w:ascii="Bookman Old Style" w:hAnsi="Bookman Old Style"/>
          <w:bCs/>
          <w:i/>
          <w:iCs/>
          <w:sz w:val="24"/>
          <w:szCs w:val="24"/>
        </w:rPr>
        <w:t>age</w:t>
      </w:r>
      <w:r w:rsidR="00494851">
        <w:rPr>
          <w:rFonts w:ascii="Bookman Old Style" w:hAnsi="Bookman Old Style"/>
          <w:bCs/>
          <w:i/>
          <w:iCs/>
          <w:sz w:val="24"/>
          <w:szCs w:val="24"/>
        </w:rPr>
        <w:t xml:space="preserve">nte </w:t>
      </w:r>
      <w:r w:rsidRPr="002B7A7F">
        <w:rPr>
          <w:rFonts w:ascii="Bookman Old Style" w:hAnsi="Bookman Old Style"/>
          <w:bCs/>
          <w:i/>
          <w:iCs/>
          <w:sz w:val="24"/>
          <w:szCs w:val="24"/>
        </w:rPr>
        <w:t>que lo utiliz</w:t>
      </w:r>
      <w:r w:rsidR="00494851">
        <w:rPr>
          <w:rFonts w:ascii="Bookman Old Style" w:hAnsi="Bookman Old Style"/>
          <w:bCs/>
          <w:i/>
          <w:iCs/>
          <w:sz w:val="24"/>
          <w:szCs w:val="24"/>
        </w:rPr>
        <w:t>ó</w:t>
      </w:r>
      <w:r w:rsidRPr="002B7A7F">
        <w:rPr>
          <w:rFonts w:ascii="Bookman Old Style" w:hAnsi="Bookman Old Style"/>
          <w:bCs/>
          <w:i/>
          <w:iCs/>
          <w:sz w:val="24"/>
          <w:szCs w:val="24"/>
        </w:rPr>
        <w:t xml:space="preserve"> en </w:t>
      </w:r>
      <w:r w:rsidR="007D79E8" w:rsidRPr="002B7A7F">
        <w:rPr>
          <w:rFonts w:ascii="Bookman Old Style" w:hAnsi="Bookman Old Style"/>
          <w:bCs/>
          <w:i/>
          <w:iCs/>
          <w:sz w:val="24"/>
          <w:szCs w:val="24"/>
        </w:rPr>
        <w:t xml:space="preserve">un </w:t>
      </w:r>
      <w:r w:rsidRPr="002B7A7F">
        <w:rPr>
          <w:rFonts w:ascii="Bookman Old Style" w:hAnsi="Bookman Old Style"/>
          <w:bCs/>
          <w:i/>
          <w:iCs/>
          <w:sz w:val="24"/>
          <w:szCs w:val="24"/>
        </w:rPr>
        <w:t xml:space="preserve">plazo no mayor a 15 días calendario. Para cumplir lo anterior el agente que utilizó el gas debe reponerlo a través del comercializador del gas natural importado, </w:t>
      </w:r>
      <w:r w:rsidR="0011761D">
        <w:rPr>
          <w:rFonts w:ascii="Bookman Old Style" w:hAnsi="Bookman Old Style"/>
          <w:bCs/>
          <w:i/>
          <w:iCs/>
          <w:sz w:val="24"/>
          <w:szCs w:val="24"/>
        </w:rPr>
        <w:t xml:space="preserve">que será </w:t>
      </w:r>
      <w:r w:rsidRPr="002B7A7F">
        <w:rPr>
          <w:rFonts w:ascii="Bookman Old Style" w:hAnsi="Bookman Old Style"/>
          <w:bCs/>
          <w:i/>
          <w:iCs/>
          <w:sz w:val="24"/>
          <w:szCs w:val="24"/>
        </w:rPr>
        <w:t>definido en resolución aparte.</w:t>
      </w:r>
    </w:p>
    <w:p w14:paraId="5BBEA3CE" w14:textId="56B73BE9" w:rsidR="0051077F" w:rsidRPr="00FD17D6" w:rsidRDefault="00257225" w:rsidP="00C04147">
      <w:pPr>
        <w:pStyle w:val="Prrafodelista"/>
        <w:numPr>
          <w:ilvl w:val="0"/>
          <w:numId w:val="4"/>
        </w:numPr>
        <w:spacing w:before="240" w:after="240"/>
        <w:ind w:left="709" w:hanging="425"/>
        <w:jc w:val="both"/>
        <w:rPr>
          <w:rFonts w:ascii="Bookman Old Style" w:hAnsi="Bookman Old Style"/>
          <w:i/>
        </w:rPr>
      </w:pPr>
      <w:r>
        <w:rPr>
          <w:rFonts w:ascii="Bookman Old Style" w:hAnsi="Bookman Old Style"/>
          <w:bCs/>
          <w:i/>
          <w:iCs/>
          <w:sz w:val="24"/>
          <w:szCs w:val="24"/>
        </w:rPr>
        <w:t>Si agotado el recurso anterior</w:t>
      </w:r>
      <w:r w:rsidR="00DF4885">
        <w:rPr>
          <w:rFonts w:ascii="Bookman Old Style" w:hAnsi="Bookman Old Style"/>
          <w:bCs/>
          <w:i/>
          <w:iCs/>
          <w:sz w:val="24"/>
          <w:szCs w:val="24"/>
        </w:rPr>
        <w:t xml:space="preserve"> aún se requi</w:t>
      </w:r>
      <w:r w:rsidR="002A62A0">
        <w:rPr>
          <w:rFonts w:ascii="Bookman Old Style" w:hAnsi="Bookman Old Style"/>
          <w:bCs/>
          <w:i/>
          <w:iCs/>
          <w:sz w:val="24"/>
          <w:szCs w:val="24"/>
        </w:rPr>
        <w:t>riera</w:t>
      </w:r>
      <w:r w:rsidR="00DF4885">
        <w:rPr>
          <w:rFonts w:ascii="Bookman Old Style" w:hAnsi="Bookman Old Style"/>
          <w:bCs/>
          <w:i/>
          <w:iCs/>
          <w:sz w:val="24"/>
          <w:szCs w:val="24"/>
        </w:rPr>
        <w:t xml:space="preserve"> </w:t>
      </w:r>
      <w:r w:rsidR="00C7003C">
        <w:rPr>
          <w:rFonts w:ascii="Bookman Old Style" w:hAnsi="Bookman Old Style"/>
          <w:bCs/>
          <w:i/>
          <w:iCs/>
          <w:sz w:val="24"/>
          <w:szCs w:val="24"/>
        </w:rPr>
        <w:t xml:space="preserve">gas </w:t>
      </w:r>
      <w:r w:rsidR="00C0555A">
        <w:rPr>
          <w:rFonts w:ascii="Bookman Old Style" w:hAnsi="Bookman Old Style"/>
          <w:bCs/>
          <w:i/>
          <w:iCs/>
          <w:sz w:val="24"/>
          <w:szCs w:val="24"/>
        </w:rPr>
        <w:t xml:space="preserve">para atender los eventos </w:t>
      </w:r>
      <w:r w:rsidR="00934BF2">
        <w:rPr>
          <w:rFonts w:ascii="Bookman Old Style" w:hAnsi="Bookman Old Style"/>
          <w:bCs/>
          <w:i/>
          <w:iCs/>
          <w:sz w:val="24"/>
          <w:szCs w:val="24"/>
        </w:rPr>
        <w:t>y</w:t>
      </w:r>
      <w:r w:rsidR="000D3E19" w:rsidRPr="000C5EC7">
        <w:rPr>
          <w:rFonts w:ascii="Bookman Old Style" w:hAnsi="Bookman Old Style"/>
          <w:i/>
          <w:sz w:val="24"/>
          <w:szCs w:val="24"/>
        </w:rPr>
        <w:t xml:space="preserve"> </w:t>
      </w:r>
      <w:r w:rsidR="002E74AA" w:rsidRPr="000C5EC7">
        <w:rPr>
          <w:rFonts w:ascii="Bookman Old Style" w:hAnsi="Bookman Old Style"/>
          <w:i/>
          <w:sz w:val="24"/>
          <w:szCs w:val="24"/>
        </w:rPr>
        <w:t xml:space="preserve">en </w:t>
      </w:r>
      <w:r w:rsidR="00934BF2">
        <w:rPr>
          <w:rFonts w:ascii="Bookman Old Style" w:hAnsi="Bookman Old Style"/>
          <w:bCs/>
          <w:i/>
          <w:iCs/>
          <w:sz w:val="24"/>
          <w:szCs w:val="24"/>
        </w:rPr>
        <w:t>el</w:t>
      </w:r>
      <w:r w:rsidR="002E74AA" w:rsidRPr="000C5EC7">
        <w:rPr>
          <w:rFonts w:ascii="Bookman Old Style" w:hAnsi="Bookman Old Style"/>
          <w:i/>
          <w:sz w:val="24"/>
          <w:szCs w:val="24"/>
        </w:rPr>
        <w:t xml:space="preserve"> almacenamiento </w:t>
      </w:r>
      <w:r w:rsidR="006D5F85" w:rsidRPr="000C5EC7">
        <w:rPr>
          <w:rFonts w:ascii="Bookman Old Style" w:hAnsi="Bookman Old Style"/>
          <w:i/>
          <w:sz w:val="24"/>
          <w:szCs w:val="24"/>
        </w:rPr>
        <w:t xml:space="preserve">hay gas natural </w:t>
      </w:r>
      <w:r w:rsidR="00D10608" w:rsidRPr="000C5EC7">
        <w:rPr>
          <w:rFonts w:ascii="Bookman Old Style" w:hAnsi="Bookman Old Style"/>
          <w:i/>
          <w:sz w:val="24"/>
          <w:szCs w:val="24"/>
        </w:rPr>
        <w:t>licuado</w:t>
      </w:r>
      <w:r w:rsidR="00B54544">
        <w:rPr>
          <w:rFonts w:ascii="Bookman Old Style" w:hAnsi="Bookman Old Style"/>
          <w:i/>
          <w:sz w:val="24"/>
          <w:szCs w:val="24"/>
        </w:rPr>
        <w:t>,</w:t>
      </w:r>
      <w:r w:rsidR="00D10608" w:rsidRPr="000C5EC7">
        <w:rPr>
          <w:rFonts w:ascii="Bookman Old Style" w:hAnsi="Bookman Old Style"/>
          <w:i/>
          <w:sz w:val="24"/>
          <w:szCs w:val="24"/>
        </w:rPr>
        <w:t xml:space="preserve"> </w:t>
      </w:r>
      <w:r w:rsidR="001C3EA2">
        <w:rPr>
          <w:rFonts w:ascii="Bookman Old Style" w:hAnsi="Bookman Old Style"/>
          <w:i/>
          <w:sz w:val="24"/>
          <w:szCs w:val="24"/>
        </w:rPr>
        <w:t xml:space="preserve">el propietario de dicho gas </w:t>
      </w:r>
      <w:r w:rsidR="00386074">
        <w:rPr>
          <w:rFonts w:ascii="Bookman Old Style" w:hAnsi="Bookman Old Style"/>
          <w:i/>
          <w:sz w:val="24"/>
          <w:szCs w:val="24"/>
        </w:rPr>
        <w:t xml:space="preserve">lo </w:t>
      </w:r>
      <w:r w:rsidR="00386074" w:rsidRPr="00952617">
        <w:rPr>
          <w:rFonts w:ascii="Bookman Old Style" w:hAnsi="Bookman Old Style"/>
          <w:i/>
          <w:sz w:val="24"/>
          <w:szCs w:val="24"/>
        </w:rPr>
        <w:t xml:space="preserve">pondrá a disposición </w:t>
      </w:r>
      <w:r w:rsidR="00C802C0" w:rsidRPr="00387B62">
        <w:rPr>
          <w:rFonts w:ascii="Bookman Old Style" w:hAnsi="Bookman Old Style"/>
          <w:i/>
          <w:sz w:val="24"/>
          <w:szCs w:val="24"/>
        </w:rPr>
        <w:t>del a</w:t>
      </w:r>
      <w:r w:rsidR="00C802C0" w:rsidRPr="00A86559">
        <w:rPr>
          <w:rFonts w:ascii="Bookman Old Style" w:hAnsi="Bookman Old Style"/>
          <w:i/>
          <w:sz w:val="24"/>
          <w:szCs w:val="24"/>
        </w:rPr>
        <w:t xml:space="preserve">gente que representa </w:t>
      </w:r>
      <w:r w:rsidR="00386074" w:rsidRPr="00A86559">
        <w:rPr>
          <w:rFonts w:ascii="Bookman Old Style" w:hAnsi="Bookman Old Style"/>
          <w:i/>
          <w:sz w:val="24"/>
          <w:szCs w:val="24"/>
        </w:rPr>
        <w:t>la demanda esencial</w:t>
      </w:r>
      <w:r w:rsidR="003D3D6D" w:rsidRPr="00A86559">
        <w:rPr>
          <w:rFonts w:ascii="Bookman Old Style" w:hAnsi="Bookman Old Style"/>
          <w:i/>
          <w:sz w:val="24"/>
          <w:szCs w:val="24"/>
        </w:rPr>
        <w:t xml:space="preserve"> al precio</w:t>
      </w:r>
      <w:r w:rsidR="00110F02" w:rsidRPr="00A86559">
        <w:rPr>
          <w:rFonts w:ascii="Bookman Old Style" w:hAnsi="Bookman Old Style"/>
          <w:i/>
          <w:sz w:val="24"/>
          <w:szCs w:val="24"/>
        </w:rPr>
        <w:t xml:space="preserve"> </w:t>
      </w:r>
      <w:r w:rsidR="00A51036" w:rsidRPr="00A86559">
        <w:rPr>
          <w:rFonts w:ascii="Bookman Old Style" w:hAnsi="Bookman Old Style"/>
          <w:i/>
          <w:sz w:val="24"/>
          <w:szCs w:val="24"/>
        </w:rPr>
        <w:t xml:space="preserve">promedio ponderado </w:t>
      </w:r>
      <w:r w:rsidR="00B73508" w:rsidRPr="00A86559">
        <w:rPr>
          <w:rFonts w:ascii="Bookman Old Style" w:hAnsi="Bookman Old Style"/>
          <w:i/>
          <w:sz w:val="24"/>
          <w:szCs w:val="24"/>
        </w:rPr>
        <w:t xml:space="preserve">de venta </w:t>
      </w:r>
      <w:r w:rsidR="005F1702" w:rsidRPr="00A86559">
        <w:rPr>
          <w:rFonts w:ascii="Bookman Old Style" w:hAnsi="Bookman Old Style"/>
          <w:i/>
          <w:sz w:val="24"/>
          <w:szCs w:val="24"/>
        </w:rPr>
        <w:t xml:space="preserve">de las cantidades </w:t>
      </w:r>
      <w:r w:rsidR="005F1702" w:rsidRPr="003D441A">
        <w:rPr>
          <w:rFonts w:ascii="Bookman Old Style" w:hAnsi="Bookman Old Style"/>
          <w:i/>
          <w:sz w:val="24"/>
          <w:szCs w:val="24"/>
        </w:rPr>
        <w:t xml:space="preserve">de </w:t>
      </w:r>
      <w:r w:rsidR="009B7B75" w:rsidRPr="003D441A">
        <w:rPr>
          <w:rFonts w:ascii="Bookman Old Style" w:hAnsi="Bookman Old Style"/>
          <w:i/>
          <w:sz w:val="24"/>
          <w:szCs w:val="24"/>
        </w:rPr>
        <w:t>los contratos</w:t>
      </w:r>
      <w:r w:rsidR="009B7B75">
        <w:rPr>
          <w:rFonts w:ascii="Bookman Old Style" w:hAnsi="Bookman Old Style"/>
          <w:i/>
          <w:sz w:val="24"/>
          <w:szCs w:val="24"/>
        </w:rPr>
        <w:t xml:space="preserve"> </w:t>
      </w:r>
      <w:r w:rsidR="00A86BF7">
        <w:rPr>
          <w:rFonts w:ascii="Bookman Old Style" w:hAnsi="Bookman Old Style"/>
          <w:i/>
          <w:sz w:val="24"/>
          <w:szCs w:val="24"/>
        </w:rPr>
        <w:t xml:space="preserve">de suministro </w:t>
      </w:r>
      <w:r w:rsidR="009B7B75">
        <w:rPr>
          <w:rFonts w:ascii="Bookman Old Style" w:hAnsi="Bookman Old Style"/>
          <w:i/>
          <w:sz w:val="24"/>
          <w:szCs w:val="24"/>
        </w:rPr>
        <w:t>no atendidos</w:t>
      </w:r>
      <w:r w:rsidR="00361348" w:rsidRPr="00836D60">
        <w:rPr>
          <w:rFonts w:ascii="Bookman Old Style" w:hAnsi="Bookman Old Style"/>
          <w:i/>
        </w:rPr>
        <w:t>”</w:t>
      </w:r>
      <w:r w:rsidR="00D81823" w:rsidRPr="00836D60">
        <w:rPr>
          <w:rFonts w:ascii="Bookman Old Style" w:hAnsi="Bookman Old Style"/>
          <w:i/>
        </w:rPr>
        <w:t>.</w:t>
      </w:r>
    </w:p>
    <w:p w14:paraId="3256ABBF" w14:textId="01290EB5" w:rsidR="00D81823" w:rsidRPr="00356462" w:rsidRDefault="00D81823" w:rsidP="00D81823">
      <w:pPr>
        <w:spacing w:before="240" w:after="240"/>
        <w:ind w:left="0"/>
        <w:jc w:val="both"/>
        <w:rPr>
          <w:rFonts w:ascii="Bookman Old Style" w:hAnsi="Bookman Old Style"/>
          <w:b/>
        </w:rPr>
      </w:pPr>
      <w:r w:rsidRPr="00356462">
        <w:rPr>
          <w:rFonts w:ascii="Bookman Old Style" w:hAnsi="Bookman Old Style"/>
          <w:b/>
        </w:rPr>
        <w:t xml:space="preserve">Artículo </w:t>
      </w:r>
      <w:r w:rsidR="001D1C49">
        <w:rPr>
          <w:rFonts w:ascii="Bookman Old Style" w:hAnsi="Bookman Old Style"/>
          <w:b/>
        </w:rPr>
        <w:t>4</w:t>
      </w:r>
      <w:r w:rsidRPr="00356462">
        <w:rPr>
          <w:rFonts w:ascii="Bookman Old Style" w:hAnsi="Bookman Old Style"/>
          <w:b/>
        </w:rPr>
        <w:t xml:space="preserve">. </w:t>
      </w:r>
      <w:r w:rsidRPr="00356462">
        <w:rPr>
          <w:rFonts w:ascii="Bookman Old Style" w:hAnsi="Bookman Old Style"/>
          <w:bCs/>
        </w:rPr>
        <w:t>Modif</w:t>
      </w:r>
      <w:r w:rsidR="003577BC">
        <w:rPr>
          <w:rFonts w:ascii="Bookman Old Style" w:hAnsi="Bookman Old Style"/>
          <w:bCs/>
        </w:rPr>
        <w:t xml:space="preserve">íquese </w:t>
      </w:r>
      <w:r w:rsidRPr="00356462">
        <w:rPr>
          <w:rFonts w:ascii="Bookman Old Style" w:hAnsi="Bookman Old Style"/>
          <w:bCs/>
        </w:rPr>
        <w:t xml:space="preserve">el literal f) </w:t>
      </w:r>
      <w:r w:rsidR="00E414EB" w:rsidRPr="00356462">
        <w:rPr>
          <w:rFonts w:ascii="Bookman Old Style" w:hAnsi="Bookman Old Style"/>
          <w:bCs/>
        </w:rPr>
        <w:t xml:space="preserve">y el parágrafo 2, </w:t>
      </w:r>
      <w:r w:rsidRPr="00356462">
        <w:rPr>
          <w:rFonts w:ascii="Bookman Old Style" w:hAnsi="Bookman Old Style"/>
          <w:bCs/>
        </w:rPr>
        <w:t>y adici</w:t>
      </w:r>
      <w:r w:rsidR="009A2B75">
        <w:rPr>
          <w:rFonts w:ascii="Bookman Old Style" w:hAnsi="Bookman Old Style"/>
          <w:bCs/>
        </w:rPr>
        <w:t xml:space="preserve">ónense </w:t>
      </w:r>
      <w:r w:rsidRPr="00356462">
        <w:rPr>
          <w:rFonts w:ascii="Bookman Old Style" w:hAnsi="Bookman Old Style"/>
          <w:bCs/>
        </w:rPr>
        <w:t xml:space="preserve">los literales g) y h) </w:t>
      </w:r>
      <w:r w:rsidR="009A2B75">
        <w:rPr>
          <w:rFonts w:ascii="Bookman Old Style" w:hAnsi="Bookman Old Style"/>
          <w:bCs/>
        </w:rPr>
        <w:t>al</w:t>
      </w:r>
      <w:r w:rsidRPr="00356462">
        <w:rPr>
          <w:rFonts w:ascii="Bookman Old Style" w:hAnsi="Bookman Old Style"/>
          <w:bCs/>
        </w:rPr>
        <w:t xml:space="preserve"> Artículo 6 de la Resolución CREG 152 de 2017, </w:t>
      </w:r>
      <w:r w:rsidR="0031376B" w:rsidRPr="00356462">
        <w:rPr>
          <w:rFonts w:ascii="Bookman Old Style" w:hAnsi="Bookman Old Style"/>
          <w:bCs/>
        </w:rPr>
        <w:t>el cual</w:t>
      </w:r>
      <w:r w:rsidRPr="00356462">
        <w:rPr>
          <w:rFonts w:ascii="Bookman Old Style" w:hAnsi="Bookman Old Style"/>
          <w:bCs/>
        </w:rPr>
        <w:t xml:space="preserve"> quedará así:</w:t>
      </w:r>
      <w:r w:rsidRPr="00356462">
        <w:rPr>
          <w:rFonts w:ascii="Bookman Old Style" w:hAnsi="Bookman Old Style"/>
          <w:b/>
        </w:rPr>
        <w:t xml:space="preserve"> </w:t>
      </w:r>
    </w:p>
    <w:p w14:paraId="7E253276" w14:textId="02ABAA15" w:rsidR="0031376B" w:rsidRDefault="00D81823" w:rsidP="0051077F">
      <w:pPr>
        <w:spacing w:before="240" w:after="240"/>
        <w:ind w:left="284"/>
        <w:jc w:val="both"/>
        <w:rPr>
          <w:rFonts w:ascii="Bookman Old Style" w:hAnsi="Bookman Old Style"/>
          <w:bCs/>
          <w:i/>
          <w:iCs/>
        </w:rPr>
      </w:pPr>
      <w:r w:rsidRPr="0051077F">
        <w:rPr>
          <w:rFonts w:ascii="Bookman Old Style" w:hAnsi="Bookman Old Style"/>
          <w:b/>
          <w:i/>
          <w:iCs/>
        </w:rPr>
        <w:t>"</w:t>
      </w:r>
      <w:r w:rsidR="0031376B" w:rsidRPr="0051077F">
        <w:rPr>
          <w:rFonts w:ascii="Bookman Old Style" w:hAnsi="Bookman Old Style"/>
          <w:b/>
          <w:i/>
          <w:iCs/>
        </w:rPr>
        <w:t xml:space="preserve">Artículo 6. Obligaciones del adjudicatario. </w:t>
      </w:r>
      <w:r w:rsidR="0031376B" w:rsidRPr="0051077F">
        <w:rPr>
          <w:rFonts w:ascii="Bookman Old Style" w:hAnsi="Bookman Old Style"/>
          <w:bCs/>
          <w:i/>
          <w:iCs/>
        </w:rPr>
        <w:t xml:space="preserve">El (los) adjudicatario(s) deberá(n) responder por las siguientes obligaciones, adicionales a las establecidas en los compromisos adquiridos en los documentos de selección </w:t>
      </w:r>
      <w:r w:rsidR="00061E5F">
        <w:rPr>
          <w:rFonts w:ascii="Bookman Old Style" w:hAnsi="Bookman Old Style"/>
          <w:bCs/>
          <w:i/>
          <w:iCs/>
        </w:rPr>
        <w:t xml:space="preserve">del inversionista </w:t>
      </w:r>
      <w:r w:rsidR="0031376B" w:rsidRPr="0051077F">
        <w:rPr>
          <w:rFonts w:ascii="Bookman Old Style" w:hAnsi="Bookman Old Style"/>
          <w:bCs/>
          <w:i/>
          <w:iCs/>
        </w:rPr>
        <w:t>y a las establecidas en el artículo 7 de la Resolución CREG 107 de 2017, o aquellas que la modifiquen o sustituyan.</w:t>
      </w:r>
    </w:p>
    <w:p w14:paraId="0EA895CA" w14:textId="77777777" w:rsidR="00900F23" w:rsidRPr="0051077F" w:rsidRDefault="00900F23" w:rsidP="00900F23">
      <w:pPr>
        <w:ind w:left="284"/>
        <w:jc w:val="both"/>
        <w:rPr>
          <w:rFonts w:ascii="Bookman Old Style" w:hAnsi="Bookman Old Style"/>
          <w:bCs/>
          <w:i/>
          <w:iCs/>
        </w:rPr>
      </w:pPr>
    </w:p>
    <w:p w14:paraId="740DC2F6" w14:textId="1377A34E"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a)</w:t>
      </w:r>
      <w:r w:rsidRPr="0051077F">
        <w:rPr>
          <w:rFonts w:ascii="Bookman Old Style" w:hAnsi="Bookman Old Style"/>
          <w:bCs/>
          <w:i/>
          <w:iCs/>
        </w:rPr>
        <w:tab/>
        <w:t xml:space="preserve">Tener disponible para </w:t>
      </w:r>
      <w:r w:rsidR="00603267">
        <w:rPr>
          <w:rFonts w:ascii="Bookman Old Style" w:hAnsi="Bookman Old Style"/>
          <w:bCs/>
          <w:i/>
          <w:iCs/>
        </w:rPr>
        <w:t xml:space="preserve">la prestación del servicio </w:t>
      </w:r>
      <w:r w:rsidRPr="0051077F">
        <w:rPr>
          <w:rFonts w:ascii="Bookman Old Style" w:hAnsi="Bookman Old Style"/>
          <w:bCs/>
          <w:i/>
          <w:iCs/>
        </w:rPr>
        <w:t xml:space="preserve">la infraestructura con las capacidades de la planta de regasificación del Pacífico y del gasoducto Buenaventura – Yumbo, definidas en el artículo 1 de la Resolución </w:t>
      </w:r>
      <w:r w:rsidR="00DB492F">
        <w:rPr>
          <w:rFonts w:ascii="Bookman Old Style" w:hAnsi="Bookman Old Style"/>
          <w:bCs/>
          <w:i/>
          <w:iCs/>
        </w:rPr>
        <w:t>40</w:t>
      </w:r>
      <w:r w:rsidR="00101D34">
        <w:rPr>
          <w:rFonts w:ascii="Bookman Old Style" w:hAnsi="Bookman Old Style"/>
          <w:bCs/>
          <w:i/>
          <w:iCs/>
        </w:rPr>
        <w:t>304</w:t>
      </w:r>
      <w:r w:rsidRPr="0051077F">
        <w:rPr>
          <w:rFonts w:ascii="Bookman Old Style" w:hAnsi="Bookman Old Style"/>
          <w:bCs/>
          <w:i/>
          <w:iCs/>
        </w:rPr>
        <w:t xml:space="preserve"> de 20</w:t>
      </w:r>
      <w:r w:rsidR="00101D34">
        <w:rPr>
          <w:rFonts w:ascii="Bookman Old Style" w:hAnsi="Bookman Old Style"/>
          <w:bCs/>
          <w:i/>
          <w:iCs/>
        </w:rPr>
        <w:t>20</w:t>
      </w:r>
      <w:r w:rsidRPr="0051077F">
        <w:rPr>
          <w:rFonts w:ascii="Bookman Old Style" w:hAnsi="Bookman Old Style"/>
          <w:bCs/>
          <w:i/>
          <w:iCs/>
        </w:rPr>
        <w:t xml:space="preserve"> del Ministerio de Minas y Energía, o aquellas que la modifiquen o sustituyan.</w:t>
      </w:r>
    </w:p>
    <w:p w14:paraId="4EFD5F5D" w14:textId="5BB7CF18"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b)</w:t>
      </w:r>
      <w:r w:rsidRPr="0051077F">
        <w:rPr>
          <w:rFonts w:ascii="Bookman Old Style" w:hAnsi="Bookman Old Style"/>
          <w:bCs/>
          <w:i/>
          <w:iCs/>
        </w:rPr>
        <w:tab/>
        <w:t>Liquidar, facturar y recaudar los valores correspondientes a los ingresos por la prestación de los servicios asociados</w:t>
      </w:r>
      <w:r w:rsidR="00C04147">
        <w:rPr>
          <w:rFonts w:ascii="Bookman Old Style" w:hAnsi="Bookman Old Style"/>
          <w:bCs/>
          <w:i/>
          <w:iCs/>
        </w:rPr>
        <w:t>,</w:t>
      </w:r>
      <w:r w:rsidRPr="0051077F">
        <w:rPr>
          <w:rFonts w:ascii="Bookman Old Style" w:hAnsi="Bookman Old Style"/>
          <w:bCs/>
          <w:i/>
          <w:iCs/>
        </w:rPr>
        <w:t xml:space="preserve"> tanto a la planta de regasificación del Pacífico</w:t>
      </w:r>
      <w:r w:rsidR="00C04147">
        <w:rPr>
          <w:rFonts w:ascii="Bookman Old Style" w:hAnsi="Bookman Old Style"/>
          <w:bCs/>
          <w:i/>
          <w:iCs/>
        </w:rPr>
        <w:t>,</w:t>
      </w:r>
      <w:r w:rsidRPr="0051077F">
        <w:rPr>
          <w:rFonts w:ascii="Bookman Old Style" w:hAnsi="Bookman Old Style"/>
          <w:bCs/>
          <w:i/>
          <w:iCs/>
        </w:rPr>
        <w:t xml:space="preserve"> como al gasoducto Buenaventura – Yumbo.  </w:t>
      </w:r>
    </w:p>
    <w:p w14:paraId="69404055" w14:textId="266C785B"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c)</w:t>
      </w:r>
      <w:r w:rsidRPr="0051077F">
        <w:rPr>
          <w:rFonts w:ascii="Bookman Old Style" w:hAnsi="Bookman Old Style"/>
          <w:bCs/>
          <w:i/>
          <w:iCs/>
        </w:rPr>
        <w:tab/>
        <w:t>Recibir el gas natural licuado cuya composición sea tal que</w:t>
      </w:r>
      <w:r w:rsidR="00C04147">
        <w:rPr>
          <w:rFonts w:ascii="Bookman Old Style" w:hAnsi="Bookman Old Style"/>
          <w:bCs/>
          <w:i/>
          <w:iCs/>
        </w:rPr>
        <w:t>,</w:t>
      </w:r>
      <w:r w:rsidRPr="0051077F">
        <w:rPr>
          <w:rFonts w:ascii="Bookman Old Style" w:hAnsi="Bookman Old Style"/>
          <w:bCs/>
          <w:i/>
          <w:iCs/>
        </w:rPr>
        <w:t xml:space="preserve"> al regasificarlo</w:t>
      </w:r>
      <w:r w:rsidR="00C04147">
        <w:rPr>
          <w:rFonts w:ascii="Bookman Old Style" w:hAnsi="Bookman Old Style"/>
          <w:bCs/>
          <w:i/>
          <w:iCs/>
        </w:rPr>
        <w:t>,</w:t>
      </w:r>
      <w:r w:rsidRPr="0051077F">
        <w:rPr>
          <w:rFonts w:ascii="Bookman Old Style" w:hAnsi="Bookman Old Style"/>
          <w:bCs/>
          <w:i/>
          <w:iCs/>
        </w:rPr>
        <w:t xml:space="preserve"> cumpla con las especificaciones de calidad establecidas en el RUT, o aquellas que lo modifiquen o sustituyan. El adjudicatario puede negarse a recibirlo en caso de que el gas</w:t>
      </w:r>
      <w:r w:rsidR="00C04147">
        <w:rPr>
          <w:rFonts w:ascii="Bookman Old Style" w:hAnsi="Bookman Old Style"/>
          <w:bCs/>
          <w:i/>
          <w:iCs/>
        </w:rPr>
        <w:t>,</w:t>
      </w:r>
      <w:r w:rsidRPr="0051077F">
        <w:rPr>
          <w:rFonts w:ascii="Bookman Old Style" w:hAnsi="Bookman Old Style"/>
          <w:bCs/>
          <w:i/>
          <w:iCs/>
        </w:rPr>
        <w:t xml:space="preserve"> al regasificarlo</w:t>
      </w:r>
      <w:r w:rsidR="00C04147">
        <w:rPr>
          <w:rFonts w:ascii="Bookman Old Style" w:hAnsi="Bookman Old Style"/>
          <w:bCs/>
          <w:i/>
          <w:iCs/>
        </w:rPr>
        <w:t>,</w:t>
      </w:r>
      <w:r w:rsidRPr="0051077F">
        <w:rPr>
          <w:rFonts w:ascii="Bookman Old Style" w:hAnsi="Bookman Old Style"/>
          <w:bCs/>
          <w:i/>
          <w:iCs/>
        </w:rPr>
        <w:t xml:space="preserve"> no cumpla con las especificaciones del RUT.</w:t>
      </w:r>
    </w:p>
    <w:p w14:paraId="1827006F" w14:textId="24BD207F"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verificada la calidad del gas natural licuado objeto de entrega a la planta de regasificación</w:t>
      </w:r>
      <w:r w:rsidR="00C04147">
        <w:rPr>
          <w:rFonts w:ascii="Bookman Old Style" w:hAnsi="Bookman Old Style"/>
          <w:bCs/>
          <w:i/>
          <w:iCs/>
        </w:rPr>
        <w:t>,</w:t>
      </w:r>
      <w:r w:rsidRPr="0051077F">
        <w:rPr>
          <w:rFonts w:ascii="Bookman Old Style" w:hAnsi="Bookman Old Style"/>
          <w:bCs/>
          <w:i/>
          <w:iCs/>
        </w:rPr>
        <w:t xml:space="preserve"> el adjudicatario no recibe este gas porque encuentra que al regasificarlo no cumple con las especificaciones de calidad establecidas en el RUT, o aquellas que lo modifiquen o sustituyan, el adjudicatario deberá, mediante comunicación escrita y con el detalle suficiente, informar al agente responsable de entregar el gas a la planta</w:t>
      </w:r>
      <w:r w:rsidR="00C04147">
        <w:rPr>
          <w:rFonts w:ascii="Bookman Old Style" w:hAnsi="Bookman Old Style"/>
          <w:bCs/>
          <w:i/>
          <w:iCs/>
        </w:rPr>
        <w:t>,</w:t>
      </w:r>
      <w:r w:rsidRPr="0051077F">
        <w:rPr>
          <w:rFonts w:ascii="Bookman Old Style" w:hAnsi="Bookman Old Style"/>
          <w:bCs/>
          <w:i/>
          <w:iCs/>
        </w:rPr>
        <w:t xml:space="preserve"> las razones por las cuales el gas natural licuado no cumple con dichas especificaciones.</w:t>
      </w:r>
    </w:p>
    <w:p w14:paraId="119D44D0" w14:textId="55BAD2E5"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Una vez que el adjudicatario entregue la comunicación escrita al agente responsable de entregar el gas a la planta, se entenderá que las especificaciones de calidad que no fueron objetadas en la forma aquí dispuesta cumplen con lo establecido en el RUT, o aquellas que lo modifiquen o sustituyan.</w:t>
      </w:r>
    </w:p>
    <w:p w14:paraId="27316A8B" w14:textId="06947AB6"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El agente responsable de entregar el gas a la planta podrá verificar el cumplimiento de las especificaciones de calidad objetadas por el adjudicatario cuando esté inconforme con las objeciones. Esta verificación deberá hacerse mediante una auditoría que realice una firma o persona natural seleccionada de una lista elaborada por el Consejo Nacional de Operación de Gas Natural</w:t>
      </w:r>
      <w:r w:rsidR="00C04147">
        <w:rPr>
          <w:rFonts w:ascii="Bookman Old Style" w:hAnsi="Bookman Old Style"/>
          <w:bCs/>
          <w:i/>
          <w:iCs/>
        </w:rPr>
        <w:t>,</w:t>
      </w:r>
      <w:r w:rsidRPr="0051077F">
        <w:rPr>
          <w:rFonts w:ascii="Bookman Old Style" w:hAnsi="Bookman Old Style"/>
          <w:bCs/>
          <w:i/>
          <w:iCs/>
        </w:rPr>
        <w:t xml:space="preserve"> en adelante CNO-Gas. </w:t>
      </w:r>
    </w:p>
    <w:p w14:paraId="483EBE35" w14:textId="23FC72F9"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Los resultados de la auditoría deberán ser comunicados y analizados con el adjudicatario antes de rendir el informe final. Dicho informe deberá contener conclusiones claras y expresas sobre el cumplimiento de las especificaciones de calidad objeto de la auditoría.</w:t>
      </w:r>
    </w:p>
    <w:p w14:paraId="52D99374" w14:textId="0934520A"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Mientras se desarrolla la auditoría</w:t>
      </w:r>
      <w:r w:rsidR="00C04147">
        <w:rPr>
          <w:rFonts w:ascii="Bookman Old Style" w:hAnsi="Bookman Old Style"/>
          <w:bCs/>
          <w:i/>
          <w:iCs/>
        </w:rPr>
        <w:t>,</w:t>
      </w:r>
      <w:r w:rsidRPr="0051077F">
        <w:rPr>
          <w:rFonts w:ascii="Bookman Old Style" w:hAnsi="Bookman Old Style"/>
          <w:bCs/>
          <w:i/>
          <w:iCs/>
        </w:rPr>
        <w:t xml:space="preserve"> el adjudicatario no estará obligado a recibir el gas natural licuado del agente responsable de entregar el gas a la planta. </w:t>
      </w:r>
    </w:p>
    <w:p w14:paraId="4F031511" w14:textId="15C2B1D1"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el informe de auditoría concluye que el gas natural licuado</w:t>
      </w:r>
      <w:r w:rsidR="00C04147">
        <w:rPr>
          <w:rFonts w:ascii="Bookman Old Style" w:hAnsi="Bookman Old Style"/>
          <w:bCs/>
          <w:i/>
          <w:iCs/>
        </w:rPr>
        <w:t>,</w:t>
      </w:r>
      <w:r w:rsidRPr="0051077F">
        <w:rPr>
          <w:rFonts w:ascii="Bookman Old Style" w:hAnsi="Bookman Old Style"/>
          <w:bCs/>
          <w:i/>
          <w:iCs/>
        </w:rPr>
        <w:t xml:space="preserve"> al regasificarlo</w:t>
      </w:r>
      <w:r w:rsidR="00C04147">
        <w:rPr>
          <w:rFonts w:ascii="Bookman Old Style" w:hAnsi="Bookman Old Style"/>
          <w:bCs/>
          <w:i/>
          <w:iCs/>
        </w:rPr>
        <w:t>,</w:t>
      </w:r>
      <w:r w:rsidRPr="0051077F">
        <w:rPr>
          <w:rFonts w:ascii="Bookman Old Style" w:hAnsi="Bookman Old Style"/>
          <w:bCs/>
          <w:i/>
          <w:iCs/>
        </w:rPr>
        <w:t xml:space="preserve"> no cumple con las especificaciones de calidad definidas en el RUT, o aquellas que lo modifiquen o sustituyan, el costo de la auditoría lo asumirá el agente responsable de entregar el gas a la planta.</w:t>
      </w:r>
    </w:p>
    <w:p w14:paraId="36E65166" w14:textId="15F40AAE"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Si el informe de la auditoría concluye que el gas natural licuado</w:t>
      </w:r>
      <w:r w:rsidR="00C04147">
        <w:rPr>
          <w:rFonts w:ascii="Bookman Old Style" w:hAnsi="Bookman Old Style"/>
          <w:bCs/>
          <w:i/>
          <w:iCs/>
        </w:rPr>
        <w:t>,</w:t>
      </w:r>
      <w:r w:rsidRPr="0051077F">
        <w:rPr>
          <w:rFonts w:ascii="Bookman Old Style" w:hAnsi="Bookman Old Style"/>
          <w:bCs/>
          <w:i/>
          <w:iCs/>
        </w:rPr>
        <w:t xml:space="preserve"> al regasificarlo</w:t>
      </w:r>
      <w:r w:rsidR="00C04147">
        <w:rPr>
          <w:rFonts w:ascii="Bookman Old Style" w:hAnsi="Bookman Old Style"/>
          <w:bCs/>
          <w:i/>
          <w:iCs/>
        </w:rPr>
        <w:t>,</w:t>
      </w:r>
      <w:r w:rsidRPr="0051077F">
        <w:rPr>
          <w:rFonts w:ascii="Bookman Old Style" w:hAnsi="Bookman Old Style"/>
          <w:bCs/>
          <w:i/>
          <w:iCs/>
        </w:rPr>
        <w:t xml:space="preserve"> sí cumple con las especificaciones de calidad definidas en el RUT, o aquellas que lo modifiquen o sustituyan, el adjudicatario deberá recibir el gas natural licuado del agente responsable de entregar el gas a la planta</w:t>
      </w:r>
      <w:r w:rsidR="00C04147">
        <w:rPr>
          <w:rFonts w:ascii="Bookman Old Style" w:hAnsi="Bookman Old Style"/>
          <w:bCs/>
          <w:i/>
          <w:iCs/>
        </w:rPr>
        <w:t>,</w:t>
      </w:r>
      <w:r w:rsidRPr="0051077F">
        <w:rPr>
          <w:rFonts w:ascii="Bookman Old Style" w:hAnsi="Bookman Old Style"/>
          <w:bCs/>
          <w:i/>
          <w:iCs/>
        </w:rPr>
        <w:t xml:space="preserve"> y este último trasladará al adjudicatario el costo de la auditoría, sin perjuicio de la responsabilidad que le pueda caber al adjudicatario por haber rechazado el recibo del gas natural licuado en la planta de regasificación.</w:t>
      </w:r>
    </w:p>
    <w:p w14:paraId="3CCD7BF7" w14:textId="77777777"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d)</w:t>
      </w:r>
      <w:r w:rsidRPr="0051077F">
        <w:rPr>
          <w:rFonts w:ascii="Bookman Old Style" w:hAnsi="Bookman Old Style"/>
          <w:bCs/>
          <w:i/>
          <w:iCs/>
        </w:rPr>
        <w:tab/>
        <w:t>Una vez el adjudicatario reciba el gas natural licuado deberá entregar el gas al SNT cumpliendo con las especificaciones de calidad establecidas en el RUT, o aquellas que la modifiquen o sustituyan. El transportador en cuyo sistema se inyecte este gas podrá negarse a recibirlo en caso de que no cumpla con estas especificaciones.</w:t>
      </w:r>
    </w:p>
    <w:p w14:paraId="2898F849" w14:textId="32197844" w:rsidR="0031376B" w:rsidRPr="0051077F" w:rsidRDefault="0031376B" w:rsidP="0051077F">
      <w:pPr>
        <w:spacing w:before="240" w:after="240"/>
        <w:ind w:left="284"/>
        <w:jc w:val="both"/>
        <w:rPr>
          <w:rFonts w:ascii="Bookman Old Style" w:hAnsi="Bookman Old Style"/>
          <w:bCs/>
          <w:i/>
          <w:iCs/>
        </w:rPr>
      </w:pPr>
      <w:r w:rsidRPr="0051077F">
        <w:rPr>
          <w:rFonts w:ascii="Bookman Old Style" w:hAnsi="Bookman Old Style"/>
          <w:bCs/>
          <w:i/>
          <w:iCs/>
        </w:rPr>
        <w:t>e)</w:t>
      </w:r>
      <w:r w:rsidRPr="0051077F">
        <w:rPr>
          <w:rFonts w:ascii="Bookman Old Style" w:hAnsi="Bookman Old Style"/>
          <w:bCs/>
          <w:i/>
          <w:iCs/>
        </w:rPr>
        <w:tab/>
        <w:t>En el caso de la planta de regasificación del Pacífico, asumir las pérdidas por evaporación de gas (i.e. boil off gas) que se presenten, cuando estas superen el porcentaje de eficiencia que defina la UPME.</w:t>
      </w:r>
    </w:p>
    <w:p w14:paraId="42078100" w14:textId="4E4A775F" w:rsidR="00D81823" w:rsidRPr="0051077F" w:rsidRDefault="00D81823" w:rsidP="0051077F">
      <w:pPr>
        <w:spacing w:before="240" w:after="240"/>
        <w:ind w:left="284"/>
        <w:jc w:val="both"/>
        <w:rPr>
          <w:rFonts w:ascii="Bookman Old Style" w:hAnsi="Bookman Old Style"/>
          <w:bCs/>
          <w:i/>
          <w:iCs/>
        </w:rPr>
      </w:pPr>
      <w:r w:rsidRPr="0051077F">
        <w:rPr>
          <w:rFonts w:ascii="Bookman Old Style" w:hAnsi="Bookman Old Style"/>
          <w:bCs/>
          <w:i/>
          <w:iCs/>
        </w:rPr>
        <w:t xml:space="preserve">f) En el caso de que la UPME establezca un inventario mínimo de </w:t>
      </w:r>
      <w:r w:rsidR="00DA7F7B">
        <w:rPr>
          <w:rFonts w:ascii="Bookman Old Style" w:hAnsi="Bookman Old Style"/>
          <w:bCs/>
          <w:i/>
          <w:iCs/>
        </w:rPr>
        <w:t>confiabilidad</w:t>
      </w:r>
      <w:r w:rsidR="00DB7965">
        <w:rPr>
          <w:rFonts w:ascii="Bookman Old Style" w:hAnsi="Bookman Old Style"/>
          <w:bCs/>
          <w:i/>
          <w:iCs/>
        </w:rPr>
        <w:t xml:space="preserve"> </w:t>
      </w:r>
      <w:r w:rsidRPr="0051077F">
        <w:rPr>
          <w:rFonts w:ascii="Bookman Old Style" w:hAnsi="Bookman Old Style"/>
          <w:bCs/>
          <w:i/>
          <w:iCs/>
        </w:rPr>
        <w:t>de gas natural licuado, llevar una relación diaria del volumen de inventario mínimo</w:t>
      </w:r>
      <w:r w:rsidR="00557839">
        <w:rPr>
          <w:rFonts w:ascii="Bookman Old Style" w:hAnsi="Bookman Old Style"/>
          <w:bCs/>
          <w:i/>
          <w:iCs/>
        </w:rPr>
        <w:t xml:space="preserve"> de confiabilidad</w:t>
      </w:r>
      <w:r w:rsidRPr="0051077F">
        <w:rPr>
          <w:rFonts w:ascii="Bookman Old Style" w:hAnsi="Bookman Old Style"/>
          <w:bCs/>
          <w:i/>
          <w:iCs/>
        </w:rPr>
        <w:t>, de las novedades diarias de retiro y devolución que resulten de su uso por los agentes</w:t>
      </w:r>
      <w:r w:rsidR="00C04147">
        <w:rPr>
          <w:rFonts w:ascii="Bookman Old Style" w:hAnsi="Bookman Old Style"/>
          <w:bCs/>
          <w:i/>
          <w:iCs/>
        </w:rPr>
        <w:t>,</w:t>
      </w:r>
      <w:r w:rsidRPr="0051077F">
        <w:rPr>
          <w:rFonts w:ascii="Bookman Old Style" w:hAnsi="Bookman Old Style"/>
          <w:bCs/>
          <w:i/>
          <w:iCs/>
        </w:rPr>
        <w:t xml:space="preserve"> y de los incumplimientos que se den en la devolución del gas, por parte de los agentes que hayan retirado volúmenes de dicho inventario. Lo anterior en virtud de lo establecido en el Parágrafo 2 del Artículo 4. </w:t>
      </w:r>
    </w:p>
    <w:p w14:paraId="392659CB" w14:textId="683FDB79" w:rsidR="00BB1C67" w:rsidRPr="00BB1C67" w:rsidRDefault="00D84FD5" w:rsidP="00BB1C67">
      <w:pPr>
        <w:spacing w:before="240" w:after="240"/>
        <w:ind w:left="284"/>
        <w:jc w:val="both"/>
        <w:rPr>
          <w:rFonts w:ascii="Bookman Old Style" w:hAnsi="Bookman Old Style"/>
          <w:bCs/>
          <w:i/>
          <w:iCs/>
        </w:rPr>
      </w:pPr>
      <w:r>
        <w:rPr>
          <w:rFonts w:ascii="Bookman Old Style" w:hAnsi="Bookman Old Style"/>
          <w:bCs/>
          <w:i/>
          <w:iCs/>
        </w:rPr>
        <w:t xml:space="preserve">La </w:t>
      </w:r>
      <w:r w:rsidR="00955407">
        <w:rPr>
          <w:rFonts w:ascii="Bookman Old Style" w:hAnsi="Bookman Old Style"/>
          <w:bCs/>
          <w:i/>
          <w:iCs/>
        </w:rPr>
        <w:t>información</w:t>
      </w:r>
      <w:r>
        <w:rPr>
          <w:rFonts w:ascii="Bookman Old Style" w:hAnsi="Bookman Old Style"/>
          <w:bCs/>
          <w:i/>
          <w:iCs/>
        </w:rPr>
        <w:t xml:space="preserve"> a la que hace referencia el presente literal</w:t>
      </w:r>
      <w:r w:rsidR="00955407">
        <w:rPr>
          <w:rFonts w:ascii="Bookman Old Style" w:hAnsi="Bookman Old Style"/>
          <w:bCs/>
          <w:i/>
          <w:iCs/>
        </w:rPr>
        <w:t xml:space="preserve"> deberá ser reportada </w:t>
      </w:r>
      <w:r w:rsidR="00612F31">
        <w:rPr>
          <w:rFonts w:ascii="Bookman Old Style" w:hAnsi="Bookman Old Style"/>
          <w:bCs/>
          <w:i/>
          <w:iCs/>
        </w:rPr>
        <w:t>diariamente</w:t>
      </w:r>
      <w:r w:rsidR="00955407">
        <w:rPr>
          <w:rFonts w:ascii="Bookman Old Style" w:hAnsi="Bookman Old Style"/>
          <w:bCs/>
          <w:i/>
          <w:iCs/>
        </w:rPr>
        <w:t xml:space="preserve"> al gestor del mercado de gas natural</w:t>
      </w:r>
      <w:r w:rsidR="005241AE">
        <w:rPr>
          <w:rFonts w:ascii="Bookman Old Style" w:hAnsi="Bookman Old Style"/>
          <w:bCs/>
          <w:i/>
          <w:iCs/>
        </w:rPr>
        <w:t>,</w:t>
      </w:r>
      <w:r w:rsidR="00955407">
        <w:rPr>
          <w:rFonts w:ascii="Bookman Old Style" w:hAnsi="Bookman Old Style"/>
          <w:bCs/>
          <w:i/>
          <w:iCs/>
        </w:rPr>
        <w:t xml:space="preserve"> de manera que en el BEC sea </w:t>
      </w:r>
      <w:r w:rsidR="00B40A7E">
        <w:rPr>
          <w:rFonts w:ascii="Bookman Old Style" w:hAnsi="Bookman Old Style"/>
          <w:bCs/>
          <w:i/>
          <w:iCs/>
        </w:rPr>
        <w:t>una información visible para todas las partes.</w:t>
      </w:r>
    </w:p>
    <w:p w14:paraId="752FAA4E" w14:textId="0AFA89BF" w:rsidR="00876446" w:rsidRPr="0051077F" w:rsidRDefault="00965FD0" w:rsidP="0051077F">
      <w:pPr>
        <w:spacing w:before="240" w:after="240"/>
        <w:ind w:left="284"/>
        <w:jc w:val="both"/>
        <w:rPr>
          <w:rFonts w:ascii="Bookman Old Style" w:hAnsi="Bookman Old Style"/>
          <w:b/>
          <w:i/>
          <w:iCs/>
        </w:rPr>
      </w:pPr>
      <w:r>
        <w:rPr>
          <w:rFonts w:ascii="Bookman Old Style" w:hAnsi="Bookman Old Style"/>
          <w:bCs/>
          <w:i/>
          <w:iCs/>
        </w:rPr>
        <w:t>g</w:t>
      </w:r>
      <w:r w:rsidR="00D81823" w:rsidRPr="0051077F">
        <w:rPr>
          <w:rFonts w:ascii="Bookman Old Style" w:hAnsi="Bookman Old Style"/>
          <w:bCs/>
          <w:i/>
          <w:iCs/>
        </w:rPr>
        <w:t>) Cumplir con las demás obligaciones que se definen en la presente resolución</w:t>
      </w:r>
      <w:r w:rsidR="00D81823" w:rsidRPr="00F76254">
        <w:rPr>
          <w:rFonts w:ascii="Bookman Old Style" w:hAnsi="Bookman Old Style"/>
          <w:i/>
        </w:rPr>
        <w:t>”</w:t>
      </w:r>
      <w:r w:rsidR="00D84FD5" w:rsidRPr="00F76254">
        <w:rPr>
          <w:rFonts w:ascii="Bookman Old Style" w:hAnsi="Bookman Old Style"/>
          <w:i/>
        </w:rPr>
        <w:t>.</w:t>
      </w:r>
      <w:r w:rsidR="00D81823" w:rsidRPr="0051077F">
        <w:rPr>
          <w:rFonts w:ascii="Bookman Old Style" w:hAnsi="Bookman Old Style"/>
          <w:b/>
          <w:i/>
          <w:iCs/>
        </w:rPr>
        <w:t xml:space="preserve"> </w:t>
      </w:r>
    </w:p>
    <w:p w14:paraId="69EE3FFD" w14:textId="72D84E74" w:rsidR="00E414EB" w:rsidRPr="0051077F" w:rsidRDefault="00E414EB" w:rsidP="0051077F">
      <w:pPr>
        <w:spacing w:before="240" w:after="240"/>
        <w:ind w:left="284"/>
        <w:jc w:val="both"/>
        <w:rPr>
          <w:rFonts w:ascii="Bookman Old Style" w:hAnsi="Bookman Old Style"/>
          <w:b/>
          <w:i/>
          <w:iCs/>
        </w:rPr>
      </w:pPr>
      <w:r w:rsidRPr="0051077F">
        <w:rPr>
          <w:rFonts w:ascii="Bookman Old Style" w:hAnsi="Bookman Old Style"/>
          <w:b/>
          <w:i/>
          <w:iCs/>
        </w:rPr>
        <w:t xml:space="preserve">Parágrafo 1. </w:t>
      </w:r>
      <w:r w:rsidRPr="0051077F">
        <w:rPr>
          <w:rFonts w:ascii="Bookman Old Style" w:hAnsi="Bookman Old Style"/>
          <w:bCs/>
          <w:i/>
          <w:iCs/>
        </w:rPr>
        <w:t>Las pérdidas por evaporación de gas (i.e. boil off gas) que se presenten en la planta de regasificación deberán ser asumidas por la demanda hasta el porcentaje de eficiencia que defina la UPME.</w:t>
      </w:r>
    </w:p>
    <w:p w14:paraId="24421FD0" w14:textId="1F7C03AF" w:rsidR="00A51D5E" w:rsidRPr="0051077F" w:rsidRDefault="00A51D5E" w:rsidP="0051077F">
      <w:pPr>
        <w:spacing w:before="240" w:after="240"/>
        <w:ind w:left="284"/>
        <w:jc w:val="both"/>
        <w:rPr>
          <w:rFonts w:ascii="Bookman Old Style" w:hAnsi="Bookman Old Style"/>
          <w:bCs/>
          <w:i/>
          <w:iCs/>
        </w:rPr>
      </w:pPr>
      <w:r w:rsidRPr="0051077F">
        <w:rPr>
          <w:rFonts w:ascii="Bookman Old Style" w:hAnsi="Bookman Old Style"/>
          <w:b/>
          <w:i/>
          <w:iCs/>
        </w:rPr>
        <w:t>Parágrafo 2.</w:t>
      </w:r>
      <w:r w:rsidRPr="0051077F">
        <w:rPr>
          <w:rFonts w:ascii="Bookman Old Style" w:hAnsi="Bookman Old Style"/>
          <w:bCs/>
          <w:i/>
          <w:iCs/>
        </w:rPr>
        <w:t xml:space="preserve"> Los únicos casos en los que el adjudicatario podrá comprar gas serán para cubrir el gas que requiere para la operación</w:t>
      </w:r>
      <w:r w:rsidR="00944CEF">
        <w:rPr>
          <w:rFonts w:ascii="Bookman Old Style" w:hAnsi="Bookman Old Style"/>
          <w:bCs/>
          <w:i/>
          <w:iCs/>
        </w:rPr>
        <w:t>,</w:t>
      </w:r>
      <w:r w:rsidRPr="0051077F">
        <w:rPr>
          <w:rFonts w:ascii="Bookman Old Style" w:hAnsi="Bookman Old Style"/>
          <w:bCs/>
          <w:i/>
          <w:iCs/>
        </w:rPr>
        <w:t xml:space="preserve"> para cubrir pérdidas y para</w:t>
      </w:r>
      <w:r w:rsidR="002D7E7C" w:rsidRPr="0051077F">
        <w:rPr>
          <w:rFonts w:ascii="Bookman Old Style" w:hAnsi="Bookman Old Style"/>
          <w:bCs/>
          <w:i/>
          <w:iCs/>
        </w:rPr>
        <w:t xml:space="preserve"> </w:t>
      </w:r>
      <w:r w:rsidR="00DB7965">
        <w:rPr>
          <w:rFonts w:ascii="Bookman Old Style" w:hAnsi="Bookman Old Style"/>
          <w:bCs/>
          <w:i/>
          <w:iCs/>
        </w:rPr>
        <w:t>el llenado inicial d</w:t>
      </w:r>
      <w:r w:rsidRPr="0051077F">
        <w:rPr>
          <w:rFonts w:ascii="Bookman Old Style" w:hAnsi="Bookman Old Style"/>
          <w:bCs/>
          <w:i/>
          <w:iCs/>
        </w:rPr>
        <w:t xml:space="preserve">el inventario mínimo de </w:t>
      </w:r>
      <w:r w:rsidR="00DB7965">
        <w:rPr>
          <w:rFonts w:ascii="Bookman Old Style" w:hAnsi="Bookman Old Style"/>
          <w:bCs/>
          <w:i/>
          <w:iCs/>
        </w:rPr>
        <w:t>confiabilidad</w:t>
      </w:r>
      <w:r w:rsidR="00E279F4" w:rsidRPr="0051077F">
        <w:rPr>
          <w:rFonts w:ascii="Bookman Old Style" w:hAnsi="Bookman Old Style"/>
          <w:bCs/>
          <w:i/>
          <w:iCs/>
        </w:rPr>
        <w:t>.</w:t>
      </w:r>
    </w:p>
    <w:p w14:paraId="7AE865F3" w14:textId="74D39F79" w:rsidR="000C4E6A"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3.</w:t>
      </w:r>
      <w:r w:rsidRPr="0051077F">
        <w:rPr>
          <w:rFonts w:ascii="Bookman Old Style" w:hAnsi="Bookman Old Style"/>
          <w:bCs/>
          <w:i/>
          <w:iCs/>
        </w:rPr>
        <w:t xml:space="preserve"> </w:t>
      </w:r>
      <w:r w:rsidR="00C1003B">
        <w:rPr>
          <w:rFonts w:ascii="Bookman Old Style" w:hAnsi="Bookman Old Style"/>
          <w:bCs/>
          <w:i/>
          <w:iCs/>
        </w:rPr>
        <w:t xml:space="preserve">Las pérdidas de calidad del gas natural licuado </w:t>
      </w:r>
      <w:r w:rsidR="00A26EC0">
        <w:rPr>
          <w:rFonts w:ascii="Bookman Old Style" w:hAnsi="Bookman Old Style"/>
          <w:bCs/>
          <w:i/>
          <w:iCs/>
        </w:rPr>
        <w:t xml:space="preserve">por envejecimiento en </w:t>
      </w:r>
      <w:r w:rsidR="00917D84">
        <w:rPr>
          <w:rFonts w:ascii="Bookman Old Style" w:hAnsi="Bookman Old Style"/>
          <w:bCs/>
          <w:i/>
          <w:iCs/>
        </w:rPr>
        <w:t>el</w:t>
      </w:r>
      <w:r w:rsidR="00A26EC0">
        <w:rPr>
          <w:rFonts w:ascii="Bookman Old Style" w:hAnsi="Bookman Old Style"/>
          <w:bCs/>
          <w:i/>
          <w:iCs/>
        </w:rPr>
        <w:t xml:space="preserve"> almacenamiento</w:t>
      </w:r>
      <w:r w:rsidR="00C759A5">
        <w:rPr>
          <w:rFonts w:ascii="Bookman Old Style" w:hAnsi="Bookman Old Style"/>
          <w:bCs/>
          <w:i/>
          <w:iCs/>
        </w:rPr>
        <w:t xml:space="preserve"> no </w:t>
      </w:r>
      <w:r w:rsidR="00A26EC0">
        <w:rPr>
          <w:rFonts w:ascii="Bookman Old Style" w:hAnsi="Bookman Old Style"/>
          <w:bCs/>
          <w:i/>
          <w:iCs/>
        </w:rPr>
        <w:t>serán</w:t>
      </w:r>
      <w:r w:rsidR="00917D84">
        <w:rPr>
          <w:rFonts w:ascii="Bookman Old Style" w:hAnsi="Bookman Old Style"/>
          <w:bCs/>
          <w:i/>
          <w:iCs/>
        </w:rPr>
        <w:t xml:space="preserve"> respo</w:t>
      </w:r>
      <w:r w:rsidR="0074573A">
        <w:rPr>
          <w:rFonts w:ascii="Bookman Old Style" w:hAnsi="Bookman Old Style"/>
          <w:bCs/>
          <w:i/>
          <w:iCs/>
        </w:rPr>
        <w:t xml:space="preserve">nsabilidad del </w:t>
      </w:r>
      <w:r w:rsidR="0074573A" w:rsidRPr="000C2D58">
        <w:rPr>
          <w:rFonts w:ascii="Bookman Old Style" w:hAnsi="Bookman Old Style"/>
          <w:bCs/>
          <w:i/>
          <w:iCs/>
        </w:rPr>
        <w:t>adj</w:t>
      </w:r>
      <w:r w:rsidR="00B97726" w:rsidRPr="000C2D58">
        <w:rPr>
          <w:rFonts w:ascii="Bookman Old Style" w:hAnsi="Bookman Old Style"/>
          <w:bCs/>
          <w:i/>
          <w:iCs/>
        </w:rPr>
        <w:t>udicatario</w:t>
      </w:r>
      <w:r w:rsidR="005241AE">
        <w:rPr>
          <w:rFonts w:ascii="Bookman Old Style" w:hAnsi="Bookman Old Style"/>
          <w:bCs/>
          <w:i/>
          <w:iCs/>
        </w:rPr>
        <w:t>,</w:t>
      </w:r>
      <w:r w:rsidR="0006490F" w:rsidRPr="000C2D58">
        <w:rPr>
          <w:rFonts w:ascii="Bookman Old Style" w:hAnsi="Bookman Old Style"/>
          <w:bCs/>
          <w:i/>
          <w:iCs/>
        </w:rPr>
        <w:t xml:space="preserve"> y </w:t>
      </w:r>
      <w:r w:rsidR="003B6595" w:rsidRPr="000C2D58">
        <w:rPr>
          <w:rFonts w:ascii="Bookman Old Style" w:hAnsi="Bookman Old Style"/>
          <w:bCs/>
          <w:i/>
          <w:iCs/>
        </w:rPr>
        <w:t>su regulación se determinará en resolución aparte.</w:t>
      </w:r>
    </w:p>
    <w:p w14:paraId="6284E7BF" w14:textId="4A7E3343" w:rsidR="00E279F4" w:rsidRPr="0051077F"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4.</w:t>
      </w:r>
      <w:r w:rsidRPr="0051077F">
        <w:rPr>
          <w:rFonts w:ascii="Bookman Old Style" w:hAnsi="Bookman Old Style"/>
          <w:bCs/>
          <w:i/>
          <w:iCs/>
        </w:rPr>
        <w:t xml:space="preserve"> </w:t>
      </w:r>
      <w:r w:rsidRPr="00014DEE">
        <w:rPr>
          <w:rFonts w:ascii="Bookman Old Style" w:hAnsi="Bookman Old Style"/>
          <w:bCs/>
          <w:i/>
          <w:iCs/>
        </w:rPr>
        <w:t xml:space="preserve">El </w:t>
      </w:r>
      <w:r w:rsidR="005241AE">
        <w:rPr>
          <w:rFonts w:ascii="Bookman Old Style" w:hAnsi="Bookman Old Style"/>
          <w:bCs/>
          <w:i/>
          <w:iCs/>
        </w:rPr>
        <w:t>CNO-</w:t>
      </w:r>
      <w:r w:rsidRPr="00014DEE">
        <w:rPr>
          <w:rFonts w:ascii="Bookman Old Style" w:hAnsi="Bookman Old Style"/>
          <w:bCs/>
          <w:i/>
          <w:iCs/>
        </w:rPr>
        <w:t>G</w:t>
      </w:r>
      <w:r w:rsidR="005241AE">
        <w:rPr>
          <w:rFonts w:ascii="Bookman Old Style" w:hAnsi="Bookman Old Style"/>
          <w:bCs/>
          <w:i/>
          <w:iCs/>
        </w:rPr>
        <w:t>as,</w:t>
      </w:r>
      <w:r w:rsidRPr="0051077F">
        <w:rPr>
          <w:rFonts w:ascii="Bookman Old Style" w:hAnsi="Bookman Old Style"/>
          <w:bCs/>
          <w:i/>
          <w:iCs/>
        </w:rPr>
        <w:t xml:space="preserve"> de manera oportuna</w:t>
      </w:r>
      <w:r w:rsidR="005241AE">
        <w:rPr>
          <w:rFonts w:ascii="Bookman Old Style" w:hAnsi="Bookman Old Style"/>
          <w:bCs/>
          <w:i/>
          <w:iCs/>
        </w:rPr>
        <w:t>,</w:t>
      </w:r>
      <w:r w:rsidRPr="0051077F">
        <w:rPr>
          <w:rFonts w:ascii="Bookman Old Style" w:hAnsi="Bookman Old Style"/>
          <w:bCs/>
          <w:i/>
          <w:iCs/>
        </w:rPr>
        <w:t xml:space="preserve"> deberá elaborar y mantener actualizada una lista de firmas y/o personas con reconocida experiencia en medición de especificaciones de calidad de gas natural licuado y gas natural a ser inyectado en plantas de regasificación</w:t>
      </w:r>
      <w:r w:rsidR="005241AE">
        <w:rPr>
          <w:rFonts w:ascii="Bookman Old Style" w:hAnsi="Bookman Old Style"/>
          <w:bCs/>
          <w:i/>
          <w:iCs/>
        </w:rPr>
        <w:t>,</w:t>
      </w:r>
      <w:r w:rsidRPr="0051077F">
        <w:rPr>
          <w:rFonts w:ascii="Bookman Old Style" w:hAnsi="Bookman Old Style"/>
          <w:bCs/>
          <w:i/>
          <w:iCs/>
        </w:rPr>
        <w:t xml:space="preserve"> y en sistemas de transporte por tubería. De esta lista</w:t>
      </w:r>
      <w:r w:rsidR="005241AE">
        <w:rPr>
          <w:rFonts w:ascii="Bookman Old Style" w:hAnsi="Bookman Old Style"/>
          <w:bCs/>
          <w:i/>
          <w:iCs/>
        </w:rPr>
        <w:t>,</w:t>
      </w:r>
      <w:r w:rsidRPr="0051077F">
        <w:rPr>
          <w:rFonts w:ascii="Bookman Old Style" w:hAnsi="Bookman Old Style"/>
          <w:bCs/>
          <w:i/>
          <w:iCs/>
        </w:rPr>
        <w:t xml:space="preserve"> el agente responsable de entregar el gas en la planta selecciona la firma o persona que verifica las especificaciones de calidad objetadas por el adjudicatario.</w:t>
      </w:r>
    </w:p>
    <w:p w14:paraId="2B4D4149" w14:textId="5D507704" w:rsidR="00E279F4" w:rsidRDefault="00E279F4" w:rsidP="0051077F">
      <w:pPr>
        <w:spacing w:before="240" w:after="240"/>
        <w:ind w:left="284"/>
        <w:jc w:val="both"/>
        <w:rPr>
          <w:rFonts w:ascii="Bookman Old Style" w:hAnsi="Bookman Old Style"/>
          <w:bCs/>
          <w:i/>
          <w:iCs/>
        </w:rPr>
      </w:pPr>
      <w:r w:rsidRPr="0051077F">
        <w:rPr>
          <w:rFonts w:ascii="Bookman Old Style" w:hAnsi="Bookman Old Style"/>
          <w:b/>
          <w:i/>
          <w:iCs/>
        </w:rPr>
        <w:t>Parágrafo 5.</w:t>
      </w:r>
      <w:r w:rsidRPr="0051077F">
        <w:rPr>
          <w:rFonts w:ascii="Bookman Old Style" w:hAnsi="Bookman Old Style"/>
          <w:bCs/>
          <w:i/>
          <w:iCs/>
        </w:rPr>
        <w:t xml:space="preserve"> En caso de ser necesario, el </w:t>
      </w:r>
      <w:r w:rsidR="005241AE">
        <w:rPr>
          <w:rFonts w:ascii="Bookman Old Style" w:hAnsi="Bookman Old Style"/>
          <w:bCs/>
          <w:i/>
          <w:iCs/>
        </w:rPr>
        <w:t>CNO-</w:t>
      </w:r>
      <w:r w:rsidRPr="0051077F">
        <w:rPr>
          <w:rFonts w:ascii="Bookman Old Style" w:hAnsi="Bookman Old Style"/>
          <w:bCs/>
          <w:i/>
          <w:iCs/>
        </w:rPr>
        <w:t>G</w:t>
      </w:r>
      <w:r w:rsidR="005241AE">
        <w:rPr>
          <w:rFonts w:ascii="Bookman Old Style" w:hAnsi="Bookman Old Style"/>
          <w:bCs/>
          <w:i/>
          <w:iCs/>
        </w:rPr>
        <w:t>as</w:t>
      </w:r>
      <w:r w:rsidRPr="0051077F">
        <w:rPr>
          <w:rFonts w:ascii="Bookman Old Style" w:hAnsi="Bookman Old Style"/>
          <w:bCs/>
          <w:i/>
          <w:iCs/>
        </w:rPr>
        <w:t xml:space="preserve"> elaborará un protocolo que deberán seguir las firmas o personas que verificarán las especificaciones de calidad del gas natural licuado que objete el adjudicatario</w:t>
      </w:r>
      <w:r w:rsidR="0051077F">
        <w:rPr>
          <w:rFonts w:ascii="Bookman Old Style" w:hAnsi="Bookman Old Style"/>
          <w:bCs/>
          <w:i/>
          <w:iCs/>
        </w:rPr>
        <w:t>”</w:t>
      </w:r>
      <w:r w:rsidRPr="0051077F">
        <w:rPr>
          <w:rFonts w:ascii="Bookman Old Style" w:hAnsi="Bookman Old Style"/>
          <w:bCs/>
          <w:i/>
          <w:iCs/>
        </w:rPr>
        <w:t>.</w:t>
      </w:r>
    </w:p>
    <w:p w14:paraId="17CB3573" w14:textId="6FF09266" w:rsidR="00732F7E" w:rsidRPr="00356462" w:rsidRDefault="00732F7E" w:rsidP="00732F7E">
      <w:pPr>
        <w:spacing w:before="240" w:after="240"/>
        <w:ind w:left="0"/>
        <w:jc w:val="both"/>
        <w:rPr>
          <w:rFonts w:ascii="Bookman Old Style" w:hAnsi="Bookman Old Style"/>
          <w:b/>
        </w:rPr>
      </w:pPr>
      <w:r w:rsidRPr="00356462">
        <w:rPr>
          <w:rFonts w:ascii="Bookman Old Style" w:hAnsi="Bookman Old Style"/>
          <w:b/>
        </w:rPr>
        <w:t xml:space="preserve">Artículo </w:t>
      </w:r>
      <w:r w:rsidR="004C2FB7">
        <w:rPr>
          <w:rFonts w:ascii="Bookman Old Style" w:hAnsi="Bookman Old Style"/>
          <w:b/>
        </w:rPr>
        <w:t>5</w:t>
      </w:r>
      <w:r w:rsidRPr="00356462">
        <w:rPr>
          <w:rFonts w:ascii="Bookman Old Style" w:hAnsi="Bookman Old Style"/>
          <w:b/>
        </w:rPr>
        <w:t xml:space="preserve">.  </w:t>
      </w:r>
      <w:r w:rsidRPr="00356462">
        <w:rPr>
          <w:rFonts w:ascii="Bookman Old Style" w:hAnsi="Bookman Old Style"/>
          <w:bCs/>
        </w:rPr>
        <w:t>Modif</w:t>
      </w:r>
      <w:r w:rsidR="009A2B75">
        <w:rPr>
          <w:rFonts w:ascii="Bookman Old Style" w:hAnsi="Bookman Old Style"/>
          <w:bCs/>
        </w:rPr>
        <w:t xml:space="preserve">íquese </w:t>
      </w:r>
      <w:r w:rsidRPr="00356462">
        <w:rPr>
          <w:rFonts w:ascii="Bookman Old Style" w:hAnsi="Bookman Old Style"/>
          <w:bCs/>
        </w:rPr>
        <w:t>el Artículo 8 de la Resolución CREG 152 de 2017, el cual quedará así:</w:t>
      </w:r>
      <w:r w:rsidRPr="00356462">
        <w:rPr>
          <w:rFonts w:ascii="Bookman Old Style" w:hAnsi="Bookman Old Style"/>
          <w:b/>
        </w:rPr>
        <w:t xml:space="preserve"> </w:t>
      </w:r>
    </w:p>
    <w:p w14:paraId="69CE29CF" w14:textId="51FF06CD" w:rsidR="00732F7E" w:rsidRDefault="00732F7E" w:rsidP="0051077F">
      <w:pPr>
        <w:pStyle w:val="ARTICULOS"/>
        <w:numPr>
          <w:ilvl w:val="0"/>
          <w:numId w:val="0"/>
        </w:numPr>
        <w:tabs>
          <w:tab w:val="clear" w:pos="1559"/>
        </w:tabs>
        <w:adjustRightInd/>
        <w:ind w:left="284"/>
        <w:textAlignment w:val="auto"/>
        <w:outlineLvl w:val="1"/>
        <w:rPr>
          <w:i/>
          <w:iCs/>
          <w:lang w:val="es-CO"/>
        </w:rPr>
      </w:pPr>
      <w:r w:rsidRPr="0051077F">
        <w:rPr>
          <w:b/>
          <w:i/>
          <w:iCs/>
          <w:lang w:val="es-CO"/>
        </w:rPr>
        <w:t xml:space="preserve">“Artículo 8. </w:t>
      </w:r>
      <w:bookmarkStart w:id="4" w:name="_Hlk61872747"/>
      <w:r w:rsidRPr="0051077F">
        <w:rPr>
          <w:b/>
          <w:i/>
          <w:iCs/>
          <w:lang w:val="es-CO"/>
        </w:rPr>
        <w:t>Remuneración de la infraestructura de importación de gas del Pacífico.</w:t>
      </w:r>
      <w:r w:rsidRPr="0051077F">
        <w:rPr>
          <w:i/>
          <w:iCs/>
          <w:lang w:val="es-CO"/>
        </w:rPr>
        <w:t xml:space="preserve"> </w:t>
      </w:r>
      <w:bookmarkEnd w:id="4"/>
      <w:r w:rsidRPr="0051077F">
        <w:rPr>
          <w:i/>
          <w:iCs/>
          <w:lang w:val="es-CO"/>
        </w:rPr>
        <w:t xml:space="preserve">El (los) adjudicatario(s) de la infraestructura de importación de gas del Pacífico recibirá mensualmente la siguiente remuneración: </w:t>
      </w:r>
      <w:r w:rsidR="0055217B">
        <w:rPr>
          <w:i/>
          <w:iCs/>
          <w:lang w:val="es-CO"/>
        </w:rPr>
        <w:t>(</w:t>
      </w:r>
      <w:r w:rsidRPr="0051077F">
        <w:rPr>
          <w:i/>
          <w:iCs/>
          <w:lang w:val="es-CO"/>
        </w:rPr>
        <w:t xml:space="preserve">i) ingresos por la prestación de servicios asociados a esta infraestructura que serán recaudados directamente por el adjudicatario; </w:t>
      </w:r>
      <w:r w:rsidR="0055217B">
        <w:rPr>
          <w:i/>
          <w:iCs/>
          <w:lang w:val="es-CO"/>
        </w:rPr>
        <w:t>(</w:t>
      </w:r>
      <w:r w:rsidRPr="0051077F">
        <w:rPr>
          <w:i/>
          <w:iCs/>
          <w:lang w:val="es-CO"/>
        </w:rPr>
        <w:t xml:space="preserve">ii) </w:t>
      </w:r>
      <w:r w:rsidR="00F71048">
        <w:rPr>
          <w:i/>
          <w:iCs/>
          <w:lang w:val="es-CO"/>
        </w:rPr>
        <w:t xml:space="preserve">el porcentaje de los ingresos </w:t>
      </w:r>
      <w:r w:rsidRPr="0051077F">
        <w:rPr>
          <w:i/>
          <w:iCs/>
          <w:lang w:val="es-CO"/>
        </w:rPr>
        <w:t>por los servicios adicionales que serán recaudados directamente por el adjudicatario</w:t>
      </w:r>
      <w:r w:rsidR="0077398C" w:rsidRPr="0051077F">
        <w:rPr>
          <w:i/>
          <w:iCs/>
          <w:lang w:val="es-CO"/>
        </w:rPr>
        <w:t xml:space="preserve">, previstos en el </w:t>
      </w:r>
      <w:r w:rsidR="008D6B86" w:rsidRPr="0051077F">
        <w:rPr>
          <w:bCs w:val="0"/>
          <w:i/>
          <w:iCs/>
          <w:lang w:val="es-CO"/>
        </w:rPr>
        <w:t xml:space="preserve">Artículo 33 </w:t>
      </w:r>
      <w:r w:rsidR="00F71048">
        <w:rPr>
          <w:bCs w:val="0"/>
          <w:i/>
          <w:iCs/>
          <w:lang w:val="es-CO"/>
        </w:rPr>
        <w:t>de</w:t>
      </w:r>
      <w:r w:rsidR="008D6B86" w:rsidRPr="0051077F">
        <w:rPr>
          <w:bCs w:val="0"/>
          <w:i/>
          <w:iCs/>
          <w:lang w:val="es-CO"/>
        </w:rPr>
        <w:t xml:space="preserve"> la Resolución CREG 107 de 2017</w:t>
      </w:r>
      <w:r w:rsidRPr="0051077F">
        <w:rPr>
          <w:i/>
          <w:iCs/>
          <w:lang w:val="es-CO"/>
        </w:rPr>
        <w:t xml:space="preserve">; y </w:t>
      </w:r>
      <w:r w:rsidR="0055217B">
        <w:rPr>
          <w:i/>
          <w:iCs/>
          <w:lang w:val="es-CO"/>
        </w:rPr>
        <w:t>(</w:t>
      </w:r>
      <w:r w:rsidRPr="0051077F">
        <w:rPr>
          <w:i/>
          <w:iCs/>
          <w:lang w:val="es-CO"/>
        </w:rPr>
        <w:t xml:space="preserve">iii) el valor de los pagos mensuales que será liquidado, actualizado, facturado, recaudado y transferido </w:t>
      </w:r>
      <w:r w:rsidR="00411C3C">
        <w:rPr>
          <w:i/>
          <w:iCs/>
          <w:lang w:val="es-CO"/>
        </w:rPr>
        <w:t xml:space="preserve">por el transportador </w:t>
      </w:r>
      <w:r w:rsidRPr="0051077F">
        <w:rPr>
          <w:i/>
          <w:iCs/>
          <w:lang w:val="es-CO"/>
        </w:rPr>
        <w:t>al adjudicatario como se establece en el artículo 17</w:t>
      </w:r>
      <w:r w:rsidRPr="0051077F">
        <w:rPr>
          <w:i/>
          <w:iCs/>
          <w:color w:val="FF0000"/>
          <w:lang w:val="es-CO"/>
        </w:rPr>
        <w:t xml:space="preserve"> </w:t>
      </w:r>
      <w:r w:rsidRPr="0051077F">
        <w:rPr>
          <w:i/>
          <w:iCs/>
          <w:lang w:val="es-CO"/>
        </w:rPr>
        <w:t>de la Resolución CREG 107 de 2017, o aquellas que la modifiquen o sustituyan”</w:t>
      </w:r>
      <w:r w:rsidR="00BC79F0" w:rsidRPr="0051077F">
        <w:rPr>
          <w:i/>
          <w:iCs/>
          <w:lang w:val="es-CO"/>
        </w:rPr>
        <w:t>.</w:t>
      </w:r>
    </w:p>
    <w:p w14:paraId="3FB4D584" w14:textId="77777777" w:rsidR="000C7B7C" w:rsidRPr="0051077F" w:rsidRDefault="000C7B7C" w:rsidP="003C3213">
      <w:pPr>
        <w:pStyle w:val="ARTICULOS"/>
        <w:numPr>
          <w:ilvl w:val="0"/>
          <w:numId w:val="0"/>
        </w:numPr>
        <w:tabs>
          <w:tab w:val="clear" w:pos="1559"/>
        </w:tabs>
        <w:adjustRightInd/>
        <w:ind w:left="284"/>
        <w:textAlignment w:val="auto"/>
        <w:outlineLvl w:val="1"/>
        <w:rPr>
          <w:i/>
          <w:iCs/>
          <w:lang w:val="es-CO"/>
        </w:rPr>
      </w:pPr>
    </w:p>
    <w:p w14:paraId="2526CA69" w14:textId="6C8A5379" w:rsidR="001972DF" w:rsidRPr="00356462" w:rsidRDefault="001972DF" w:rsidP="003C3213">
      <w:pPr>
        <w:spacing w:after="240"/>
        <w:ind w:left="0"/>
        <w:jc w:val="both"/>
        <w:rPr>
          <w:rFonts w:ascii="Bookman Old Style" w:hAnsi="Bookman Old Style"/>
          <w:bCs/>
        </w:rPr>
      </w:pPr>
      <w:r w:rsidRPr="00CC47BB">
        <w:rPr>
          <w:rFonts w:ascii="Bookman Old Style" w:hAnsi="Bookman Old Style"/>
          <w:b/>
        </w:rPr>
        <w:t xml:space="preserve">Artículo </w:t>
      </w:r>
      <w:r w:rsidR="00EF09D7">
        <w:rPr>
          <w:rFonts w:ascii="Bookman Old Style" w:hAnsi="Bookman Old Style"/>
          <w:b/>
        </w:rPr>
        <w:t>6</w:t>
      </w:r>
      <w:r w:rsidRPr="00CC47BB">
        <w:rPr>
          <w:rFonts w:ascii="Bookman Old Style" w:hAnsi="Bookman Old Style"/>
          <w:b/>
        </w:rPr>
        <w:t xml:space="preserve">.  </w:t>
      </w:r>
      <w:r w:rsidR="00CF4A34" w:rsidRPr="00CC47BB">
        <w:rPr>
          <w:rFonts w:ascii="Bookman Old Style" w:hAnsi="Bookman Old Style"/>
          <w:bCs/>
        </w:rPr>
        <w:t>Adici</w:t>
      </w:r>
      <w:r w:rsidR="009A2B75" w:rsidRPr="00CC47BB">
        <w:rPr>
          <w:rFonts w:ascii="Bookman Old Style" w:hAnsi="Bookman Old Style"/>
          <w:bCs/>
        </w:rPr>
        <w:t xml:space="preserve">ónese </w:t>
      </w:r>
      <w:r w:rsidR="00CF4A34" w:rsidRPr="00CC47BB">
        <w:rPr>
          <w:rFonts w:ascii="Bookman Old Style" w:hAnsi="Bookman Old Style"/>
          <w:bCs/>
        </w:rPr>
        <w:t xml:space="preserve">el parágrafo 3 al </w:t>
      </w:r>
      <w:r w:rsidRPr="00CC47BB">
        <w:rPr>
          <w:rFonts w:ascii="Bookman Old Style" w:hAnsi="Bookman Old Style"/>
          <w:bCs/>
        </w:rPr>
        <w:t>Artículo 9 de la Resolución</w:t>
      </w:r>
      <w:r w:rsidRPr="00356462">
        <w:rPr>
          <w:rFonts w:ascii="Bookman Old Style" w:hAnsi="Bookman Old Style"/>
          <w:bCs/>
        </w:rPr>
        <w:t xml:space="preserve"> CREG 152 de 2017, el cual quedará así: </w:t>
      </w:r>
    </w:p>
    <w:p w14:paraId="58DFFB7D" w14:textId="7AB8FF4A" w:rsidR="00E279F4" w:rsidRPr="0051077F" w:rsidRDefault="001972DF" w:rsidP="0051077F">
      <w:pPr>
        <w:spacing w:before="240" w:after="240"/>
        <w:ind w:left="284"/>
        <w:jc w:val="both"/>
        <w:rPr>
          <w:rFonts w:ascii="Bookman Old Style" w:hAnsi="Bookman Old Style"/>
          <w:bCs/>
          <w:i/>
          <w:iCs/>
          <w:lang w:val="es-CO"/>
        </w:rPr>
      </w:pPr>
      <w:r w:rsidRPr="0051077F">
        <w:rPr>
          <w:rFonts w:ascii="Bookman Old Style" w:hAnsi="Bookman Old Style"/>
          <w:bCs/>
          <w:i/>
          <w:iCs/>
          <w:lang w:val="es-CO"/>
        </w:rPr>
        <w:t>“</w:t>
      </w:r>
      <w:r w:rsidR="00E279F4" w:rsidRPr="0051077F">
        <w:rPr>
          <w:rFonts w:ascii="Bookman Old Style" w:hAnsi="Bookman Old Style"/>
          <w:b/>
          <w:i/>
          <w:iCs/>
          <w:lang w:val="es-CO"/>
        </w:rPr>
        <w:t>Artículo 9. Liquidación, facturación y recaudo de ingresos por la prestación de los servicios asociados a la infraestructura de importación de gas del Pacífico.</w:t>
      </w:r>
      <w:r w:rsidR="00E279F4" w:rsidRPr="0051077F">
        <w:rPr>
          <w:rFonts w:ascii="Bookman Old Style" w:hAnsi="Bookman Old Style"/>
          <w:bCs/>
          <w:i/>
          <w:iCs/>
          <w:lang w:val="es-CO"/>
        </w:rPr>
        <w:t xml:space="preserve"> El (los) adjudicatario(s) de la infraestructura de importación de gas del Pacífico deberá(n) liquidar, facturar y recaudar mensualmente a cada uno de los usuarios de esta infraestructura el valor de los servicios prestados con esta infraestructura. </w:t>
      </w:r>
    </w:p>
    <w:p w14:paraId="12AFB0B2" w14:textId="5B9CF7EC" w:rsidR="00E279F4" w:rsidRPr="0051077F" w:rsidRDefault="00E279F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Parágrafo 1.</w:t>
      </w:r>
      <w:r w:rsidRPr="0051077F">
        <w:rPr>
          <w:rFonts w:ascii="Bookman Old Style" w:hAnsi="Bookman Old Style"/>
          <w:bCs/>
          <w:i/>
          <w:iCs/>
          <w:lang w:val="es-CO"/>
        </w:rPr>
        <w:t xml:space="preserve"> Los ingresos generados por la prestación de los servicios asociados a la infraestructura de importación de gas del Pacífico corresponderán a los ingresos de corto de plazo de que trata el literal d) del artículo 17 de la Resolución CREG 107 de 2017, o </w:t>
      </w:r>
      <w:r w:rsidR="00C5003E">
        <w:rPr>
          <w:rFonts w:ascii="Bookman Old Style" w:hAnsi="Bookman Old Style"/>
          <w:bCs/>
          <w:i/>
          <w:iCs/>
          <w:lang w:val="es-CO"/>
        </w:rPr>
        <w:t xml:space="preserve">en </w:t>
      </w:r>
      <w:r w:rsidRPr="0051077F">
        <w:rPr>
          <w:rFonts w:ascii="Bookman Old Style" w:hAnsi="Bookman Old Style"/>
          <w:bCs/>
          <w:i/>
          <w:iCs/>
          <w:lang w:val="es-CO"/>
        </w:rPr>
        <w:t xml:space="preserve">aquellas que </w:t>
      </w:r>
      <w:r w:rsidR="00C5003E" w:rsidRPr="0051077F">
        <w:rPr>
          <w:rFonts w:ascii="Bookman Old Style" w:hAnsi="Bookman Old Style"/>
          <w:bCs/>
          <w:i/>
          <w:iCs/>
          <w:lang w:val="es-CO"/>
        </w:rPr>
        <w:t>l</w:t>
      </w:r>
      <w:r w:rsidR="00C5003E">
        <w:rPr>
          <w:rFonts w:ascii="Bookman Old Style" w:hAnsi="Bookman Old Style"/>
          <w:bCs/>
          <w:i/>
          <w:iCs/>
          <w:lang w:val="es-CO"/>
        </w:rPr>
        <w:t>o</w:t>
      </w:r>
      <w:r w:rsidR="00C5003E" w:rsidRPr="0051077F">
        <w:rPr>
          <w:rFonts w:ascii="Bookman Old Style" w:hAnsi="Bookman Old Style"/>
          <w:bCs/>
          <w:i/>
          <w:iCs/>
          <w:lang w:val="es-CO"/>
        </w:rPr>
        <w:t xml:space="preserve"> </w:t>
      </w:r>
      <w:r w:rsidRPr="0051077F">
        <w:rPr>
          <w:rFonts w:ascii="Bookman Old Style" w:hAnsi="Bookman Old Style"/>
          <w:bCs/>
          <w:i/>
          <w:iCs/>
          <w:lang w:val="es-CO"/>
        </w:rPr>
        <w:t xml:space="preserve">modifiquen o sustituyan. </w:t>
      </w:r>
    </w:p>
    <w:p w14:paraId="1B9036C8" w14:textId="1E8ECE0A" w:rsidR="00E279F4" w:rsidRPr="0051077F" w:rsidRDefault="00E279F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w:t>
      </w:r>
      <w:r w:rsidRPr="00AE2FB2">
        <w:rPr>
          <w:rFonts w:ascii="Bookman Old Style" w:hAnsi="Bookman Old Style"/>
          <w:b/>
          <w:i/>
          <w:lang w:val="es-CO"/>
        </w:rPr>
        <w:t>fo 2.</w:t>
      </w:r>
      <w:r w:rsidRPr="00AE2FB2">
        <w:rPr>
          <w:rFonts w:ascii="Bookman Old Style" w:hAnsi="Bookman Old Style"/>
          <w:i/>
          <w:lang w:val="es-CO"/>
        </w:rPr>
        <w:t xml:space="preserve"> Se excluirán de los ingresos de corto plazo de que trata el </w:t>
      </w:r>
      <w:r w:rsidR="007109C1" w:rsidRPr="00AE2FB2">
        <w:rPr>
          <w:rFonts w:ascii="Bookman Old Style" w:hAnsi="Bookman Old Style"/>
          <w:i/>
          <w:lang w:val="es-CO"/>
        </w:rPr>
        <w:t xml:space="preserve">numeral (iii) del literal f) </w:t>
      </w:r>
      <w:r w:rsidRPr="00AE2FB2">
        <w:rPr>
          <w:rFonts w:ascii="Bookman Old Style" w:hAnsi="Bookman Old Style"/>
          <w:i/>
          <w:lang w:val="es-CO"/>
        </w:rPr>
        <w:t xml:space="preserve">del artículo 17 de la Resolución CREG 107 de 2017, o </w:t>
      </w:r>
      <w:r w:rsidR="00A5761E" w:rsidRPr="00AE2FB2">
        <w:rPr>
          <w:rFonts w:ascii="Bookman Old Style" w:hAnsi="Bookman Old Style"/>
          <w:i/>
          <w:lang w:val="es-CO"/>
        </w:rPr>
        <w:t xml:space="preserve">en </w:t>
      </w:r>
      <w:r w:rsidRPr="00AE2FB2">
        <w:rPr>
          <w:rFonts w:ascii="Bookman Old Style" w:hAnsi="Bookman Old Style"/>
          <w:i/>
          <w:lang w:val="es-CO"/>
        </w:rPr>
        <w:t xml:space="preserve">aquellas que </w:t>
      </w:r>
      <w:r w:rsidR="00C5003E" w:rsidRPr="00AE2FB2">
        <w:rPr>
          <w:rFonts w:ascii="Bookman Old Style" w:hAnsi="Bookman Old Style"/>
          <w:i/>
          <w:lang w:val="es-CO"/>
        </w:rPr>
        <w:t xml:space="preserve">lo </w:t>
      </w:r>
      <w:r w:rsidRPr="00AE2FB2">
        <w:rPr>
          <w:rFonts w:ascii="Bookman Old Style" w:hAnsi="Bookman Old Style"/>
          <w:i/>
          <w:lang w:val="es-CO"/>
        </w:rPr>
        <w:t>modifiquen o sustituyan, los valores facturados que no sea posible recaudar y que no queden cubiertos con garantía de cumplimiento debido a las condiciones de la garantía que defina la Comisión.</w:t>
      </w:r>
      <w:r w:rsidRPr="0051077F">
        <w:rPr>
          <w:rFonts w:ascii="Bookman Old Style" w:hAnsi="Bookman Old Style"/>
          <w:bCs/>
          <w:i/>
          <w:iCs/>
          <w:lang w:val="es-CO"/>
        </w:rPr>
        <w:t xml:space="preserve">  </w:t>
      </w:r>
    </w:p>
    <w:p w14:paraId="5C2FDA50" w14:textId="2FE02551" w:rsidR="00CF7C29" w:rsidRDefault="00CF4A34" w:rsidP="0051077F">
      <w:pPr>
        <w:spacing w:before="240" w:after="240"/>
        <w:ind w:left="284"/>
        <w:jc w:val="both"/>
        <w:rPr>
          <w:rFonts w:ascii="Bookman Old Style" w:hAnsi="Bookman Old Style"/>
          <w:bCs/>
          <w:i/>
          <w:iCs/>
          <w:lang w:val="es-CO"/>
        </w:rPr>
      </w:pPr>
      <w:r w:rsidRPr="0051077F">
        <w:rPr>
          <w:rFonts w:ascii="Bookman Old Style" w:hAnsi="Bookman Old Style"/>
          <w:b/>
          <w:i/>
          <w:iCs/>
          <w:lang w:val="es-CO"/>
        </w:rPr>
        <w:t>Parágrafo 3.</w:t>
      </w:r>
      <w:r w:rsidRPr="0051077F">
        <w:rPr>
          <w:rFonts w:ascii="Bookman Old Style" w:hAnsi="Bookman Old Style"/>
          <w:bCs/>
          <w:i/>
          <w:iCs/>
          <w:lang w:val="es-CO"/>
        </w:rPr>
        <w:t xml:space="preserve"> Los ingresos generados por la prestación de los servicios adicionales corresponderán a los ingresos de que trata </w:t>
      </w:r>
      <w:r w:rsidR="008D6B86" w:rsidRPr="0051077F">
        <w:rPr>
          <w:rFonts w:ascii="Bookman Old Style" w:hAnsi="Bookman Old Style"/>
          <w:bCs/>
          <w:i/>
          <w:iCs/>
          <w:lang w:val="es-CO"/>
        </w:rPr>
        <w:t xml:space="preserve">el Artículo 33 </w:t>
      </w:r>
      <w:r w:rsidR="00765418">
        <w:rPr>
          <w:rFonts w:ascii="Bookman Old Style" w:hAnsi="Bookman Old Style"/>
          <w:bCs/>
          <w:i/>
          <w:iCs/>
          <w:lang w:val="es-CO"/>
        </w:rPr>
        <w:t>de</w:t>
      </w:r>
      <w:r w:rsidR="00765418" w:rsidRPr="0051077F">
        <w:rPr>
          <w:rFonts w:ascii="Bookman Old Style" w:hAnsi="Bookman Old Style"/>
          <w:bCs/>
          <w:i/>
          <w:iCs/>
          <w:lang w:val="es-CO"/>
        </w:rPr>
        <w:t xml:space="preserve"> </w:t>
      </w:r>
      <w:r w:rsidR="008D6B86" w:rsidRPr="0051077F">
        <w:rPr>
          <w:rFonts w:ascii="Bookman Old Style" w:hAnsi="Bookman Old Style"/>
          <w:bCs/>
          <w:i/>
          <w:iCs/>
          <w:lang w:val="es-CO"/>
        </w:rPr>
        <w:t>la Resolución CREG 107 de 2017</w:t>
      </w:r>
      <w:r w:rsidR="007C6889">
        <w:rPr>
          <w:rFonts w:ascii="Bookman Old Style" w:hAnsi="Bookman Old Style"/>
          <w:bCs/>
          <w:i/>
          <w:iCs/>
          <w:lang w:val="es-CO"/>
        </w:rPr>
        <w:t>, o en aquella que lo modifique o sustituya</w:t>
      </w:r>
      <w:r w:rsidR="00441294" w:rsidRPr="0051077F">
        <w:rPr>
          <w:rFonts w:ascii="Bookman Old Style" w:hAnsi="Bookman Old Style"/>
          <w:bCs/>
          <w:i/>
          <w:iCs/>
          <w:lang w:val="es-CO"/>
        </w:rPr>
        <w:t>”</w:t>
      </w:r>
      <w:r w:rsidR="00D07D3E" w:rsidRPr="0051077F">
        <w:rPr>
          <w:rFonts w:ascii="Bookman Old Style" w:hAnsi="Bookman Old Style"/>
          <w:bCs/>
          <w:i/>
          <w:iCs/>
          <w:lang w:val="es-CO"/>
        </w:rPr>
        <w:t>.</w:t>
      </w:r>
    </w:p>
    <w:p w14:paraId="1B4E279D" w14:textId="7E0B8870" w:rsidR="000302BC" w:rsidRDefault="00363050" w:rsidP="00363050">
      <w:pPr>
        <w:spacing w:before="240" w:after="240"/>
        <w:ind w:left="0"/>
        <w:jc w:val="both"/>
        <w:rPr>
          <w:rFonts w:ascii="Bookman Old Style" w:hAnsi="Bookman Old Style" w:cs="Arial"/>
          <w:bCs/>
          <w:color w:val="000000"/>
        </w:rPr>
      </w:pPr>
      <w:bookmarkStart w:id="5" w:name="_Hlk62222664"/>
      <w:r w:rsidRPr="00356462">
        <w:rPr>
          <w:rFonts w:ascii="Bookman Old Style" w:hAnsi="Bookman Old Style" w:cs="Arial"/>
          <w:b/>
          <w:color w:val="000000"/>
        </w:rPr>
        <w:t xml:space="preserve">Artículo </w:t>
      </w:r>
      <w:r w:rsidR="00233610">
        <w:rPr>
          <w:rFonts w:ascii="Bookman Old Style" w:hAnsi="Bookman Old Style" w:cs="Arial"/>
          <w:b/>
          <w:color w:val="000000"/>
        </w:rPr>
        <w:t>7</w:t>
      </w:r>
      <w:r w:rsidRPr="00356462">
        <w:rPr>
          <w:rFonts w:ascii="Bookman Old Style" w:hAnsi="Bookman Old Style" w:cs="Arial"/>
          <w:b/>
          <w:color w:val="000000"/>
        </w:rPr>
        <w:t xml:space="preserve">. </w:t>
      </w:r>
      <w:r w:rsidR="000302BC">
        <w:rPr>
          <w:rFonts w:ascii="Bookman Old Style" w:hAnsi="Bookman Old Style" w:cs="Arial"/>
          <w:bCs/>
          <w:color w:val="000000"/>
        </w:rPr>
        <w:t xml:space="preserve">Adiciónese el siguiente artículo a la Resolución CREG 152 de 2017, así: </w:t>
      </w:r>
    </w:p>
    <w:p w14:paraId="139E6B78" w14:textId="7F34159A" w:rsidR="00363050" w:rsidRPr="0051077F" w:rsidRDefault="0051077F" w:rsidP="0051077F">
      <w:pPr>
        <w:spacing w:before="240" w:after="240"/>
        <w:ind w:left="284"/>
        <w:jc w:val="both"/>
        <w:rPr>
          <w:rFonts w:ascii="Bookman Old Style" w:hAnsi="Bookman Old Style" w:cs="Arial"/>
          <w:bCs/>
          <w:i/>
          <w:iCs/>
          <w:color w:val="000000"/>
        </w:rPr>
      </w:pPr>
      <w:r>
        <w:rPr>
          <w:rFonts w:ascii="Bookman Old Style" w:hAnsi="Bookman Old Style" w:cs="Arial"/>
          <w:b/>
          <w:i/>
          <w:iCs/>
          <w:color w:val="000000"/>
        </w:rPr>
        <w:t>“</w:t>
      </w:r>
      <w:r w:rsidR="00CF3408" w:rsidRPr="0051077F">
        <w:rPr>
          <w:rFonts w:ascii="Bookman Old Style" w:hAnsi="Bookman Old Style" w:cs="Arial"/>
          <w:b/>
          <w:i/>
          <w:iCs/>
          <w:color w:val="000000"/>
        </w:rPr>
        <w:t xml:space="preserve">Artículo </w:t>
      </w:r>
      <w:r w:rsidR="0026744B" w:rsidRPr="0051077F">
        <w:rPr>
          <w:rFonts w:ascii="Bookman Old Style" w:hAnsi="Bookman Old Style" w:cs="Arial"/>
          <w:b/>
          <w:i/>
          <w:iCs/>
          <w:color w:val="000000"/>
        </w:rPr>
        <w:t>1</w:t>
      </w:r>
      <w:r w:rsidR="00F21032" w:rsidRPr="0051077F">
        <w:rPr>
          <w:rFonts w:ascii="Bookman Old Style" w:hAnsi="Bookman Old Style" w:cs="Arial"/>
          <w:b/>
          <w:i/>
          <w:iCs/>
          <w:color w:val="000000"/>
        </w:rPr>
        <w:t>3</w:t>
      </w:r>
      <w:r w:rsidR="0026744B" w:rsidRPr="0051077F">
        <w:rPr>
          <w:rFonts w:ascii="Bookman Old Style" w:hAnsi="Bookman Old Style" w:cs="Arial"/>
          <w:b/>
          <w:i/>
          <w:iCs/>
          <w:color w:val="000000"/>
        </w:rPr>
        <w:t>.</w:t>
      </w:r>
      <w:r w:rsidR="00FA39F7" w:rsidRPr="0051077F">
        <w:rPr>
          <w:rFonts w:ascii="Bookman Old Style" w:hAnsi="Bookman Old Style" w:cs="Arial"/>
          <w:b/>
          <w:i/>
          <w:iCs/>
          <w:color w:val="000000"/>
        </w:rPr>
        <w:t xml:space="preserve"> </w:t>
      </w:r>
      <w:r w:rsidR="00363050" w:rsidRPr="0051077F">
        <w:rPr>
          <w:rFonts w:ascii="Bookman Old Style" w:hAnsi="Bookman Old Style" w:cs="Arial"/>
          <w:b/>
          <w:i/>
          <w:iCs/>
          <w:color w:val="000000"/>
        </w:rPr>
        <w:t xml:space="preserve">Ingreso regulado por fecha anticipada de </w:t>
      </w:r>
      <w:r w:rsidR="000020AC">
        <w:rPr>
          <w:rFonts w:ascii="Bookman Old Style" w:hAnsi="Bookman Old Style" w:cs="Arial"/>
          <w:b/>
          <w:i/>
          <w:iCs/>
          <w:color w:val="000000"/>
        </w:rPr>
        <w:t>entrada</w:t>
      </w:r>
      <w:r w:rsidR="00363050" w:rsidRPr="0051077F">
        <w:rPr>
          <w:rFonts w:ascii="Bookman Old Style" w:hAnsi="Bookman Old Style" w:cs="Arial"/>
          <w:b/>
          <w:i/>
          <w:iCs/>
          <w:color w:val="000000"/>
        </w:rPr>
        <w:t xml:space="preserve"> en operación de la infraestructura de importación del gas del pacífico</w:t>
      </w:r>
      <w:r w:rsidR="00363050" w:rsidRPr="0051077F">
        <w:rPr>
          <w:rFonts w:ascii="Bookman Old Style" w:hAnsi="Bookman Old Style" w:cs="Arial"/>
          <w:bCs/>
          <w:i/>
          <w:iCs/>
          <w:color w:val="000000"/>
        </w:rPr>
        <w:t xml:space="preserve">. El ingreso regulado por cada mes de operación para el período </w:t>
      </w:r>
      <w:r w:rsidR="0027597A">
        <w:rPr>
          <w:rFonts w:ascii="Bookman Old Style" w:hAnsi="Bookman Old Style" w:cs="Arial"/>
          <w:bCs/>
          <w:i/>
          <w:iCs/>
          <w:color w:val="000000"/>
        </w:rPr>
        <w:t xml:space="preserve">contemplado </w:t>
      </w:r>
      <w:r w:rsidR="00E13D5A" w:rsidRPr="0051077F">
        <w:rPr>
          <w:rFonts w:ascii="Bookman Old Style" w:hAnsi="Bookman Old Style" w:cs="Arial"/>
          <w:bCs/>
          <w:i/>
          <w:iCs/>
          <w:color w:val="000000"/>
        </w:rPr>
        <w:t xml:space="preserve">entre la fecha anticipada de </w:t>
      </w:r>
      <w:r w:rsidR="000020AC">
        <w:rPr>
          <w:rFonts w:ascii="Bookman Old Style" w:hAnsi="Bookman Old Style" w:cs="Arial"/>
          <w:bCs/>
          <w:i/>
          <w:iCs/>
          <w:color w:val="000000"/>
        </w:rPr>
        <w:t>entrada</w:t>
      </w:r>
      <w:r w:rsidR="00E13D5A" w:rsidRPr="0051077F">
        <w:rPr>
          <w:rFonts w:ascii="Bookman Old Style" w:hAnsi="Bookman Old Style" w:cs="Arial"/>
          <w:bCs/>
          <w:i/>
          <w:iCs/>
          <w:color w:val="000000"/>
        </w:rPr>
        <w:t xml:space="preserve"> en operación</w:t>
      </w:r>
      <w:r w:rsidR="009F17A6" w:rsidRPr="0051077F">
        <w:rPr>
          <w:rFonts w:ascii="Bookman Old Style" w:hAnsi="Bookman Old Style" w:cs="Arial"/>
          <w:bCs/>
          <w:i/>
          <w:iCs/>
          <w:color w:val="000000"/>
        </w:rPr>
        <w:t xml:space="preserve">, </w:t>
      </w:r>
      <w:r w:rsidR="00E13D5A" w:rsidRPr="0051077F">
        <w:rPr>
          <w:rFonts w:ascii="Bookman Old Style" w:hAnsi="Bookman Old Style" w:cs="Arial"/>
          <w:bCs/>
          <w:i/>
          <w:iCs/>
          <w:color w:val="000000"/>
        </w:rPr>
        <w:t xml:space="preserve">y la fecha de puesta en operación establecida por el Ministerio de Minas y Energía, de acuerdo con </w:t>
      </w:r>
      <w:r w:rsidR="0027597A">
        <w:rPr>
          <w:rFonts w:ascii="Bookman Old Style" w:hAnsi="Bookman Old Style" w:cs="Arial"/>
          <w:bCs/>
          <w:i/>
          <w:iCs/>
          <w:color w:val="000000"/>
        </w:rPr>
        <w:t xml:space="preserve">lo establecido en </w:t>
      </w:r>
      <w:r w:rsidR="00363050" w:rsidRPr="0051077F">
        <w:rPr>
          <w:rFonts w:ascii="Bookman Old Style" w:hAnsi="Bookman Old Style" w:cs="Arial"/>
          <w:bCs/>
          <w:i/>
          <w:iCs/>
          <w:color w:val="000000"/>
        </w:rPr>
        <w:t>el Artículo 12 de la Resolución CREG 107 de 2017 y aquellas que la modifiquen o sustituyan, se calculará</w:t>
      </w:r>
      <w:r w:rsidR="0027597A">
        <w:rPr>
          <w:rFonts w:ascii="Bookman Old Style" w:hAnsi="Bookman Old Style" w:cs="Arial"/>
          <w:bCs/>
          <w:i/>
          <w:iCs/>
          <w:color w:val="000000"/>
        </w:rPr>
        <w:t xml:space="preserve"> aplicando</w:t>
      </w:r>
      <w:r w:rsidR="00363050" w:rsidRPr="0051077F">
        <w:rPr>
          <w:rFonts w:ascii="Bookman Old Style" w:hAnsi="Bookman Old Style" w:cs="Arial"/>
          <w:bCs/>
          <w:i/>
          <w:iCs/>
          <w:color w:val="000000"/>
        </w:rPr>
        <w:t xml:space="preserve"> la siguiente ecuaci</w:t>
      </w:r>
      <w:r w:rsidR="00F1010C" w:rsidRPr="0051077F">
        <w:rPr>
          <w:rFonts w:ascii="Bookman Old Style" w:hAnsi="Bookman Old Style" w:cs="Arial"/>
          <w:bCs/>
          <w:i/>
          <w:iCs/>
          <w:color w:val="000000"/>
        </w:rPr>
        <w:t>ón</w:t>
      </w:r>
      <w:r w:rsidR="00363050" w:rsidRPr="0051077F">
        <w:rPr>
          <w:rFonts w:ascii="Bookman Old Style" w:hAnsi="Bookman Old Style" w:cs="Arial"/>
          <w:bCs/>
          <w:i/>
          <w:iCs/>
          <w:color w:val="000000"/>
        </w:rPr>
        <w:t>:</w:t>
      </w:r>
    </w:p>
    <w:p w14:paraId="3F8D9138" w14:textId="5A7703DB" w:rsidR="00363050" w:rsidRPr="0051077F" w:rsidRDefault="007F7688" w:rsidP="00546546">
      <w:pPr>
        <w:spacing w:before="240" w:after="240"/>
        <w:ind w:left="708"/>
        <w:jc w:val="center"/>
        <w:rPr>
          <w:rFonts w:ascii="Bookman Old Style" w:hAnsi="Bookman Old Style" w:cs="Arial"/>
          <w:bCs/>
          <w:i/>
          <w:iCs/>
          <w:color w:val="000000"/>
        </w:rPr>
      </w:pPr>
      <m:oMathPara>
        <m:oMath>
          <m:sSub>
            <m:sSubPr>
              <m:ctrlPr>
                <w:rPr>
                  <w:rFonts w:ascii="Cambria Math" w:hAnsi="Cambria Math" w:cs="Arial"/>
                  <w:bCs/>
                  <w:i/>
                  <w:iCs/>
                  <w:color w:val="000000"/>
                </w:rPr>
              </m:ctrlPr>
            </m:sSubPr>
            <m:e>
              <m:r>
                <w:rPr>
                  <w:rFonts w:ascii="Cambria Math" w:hAnsi="Cambria Math" w:cs="Arial"/>
                  <w:color w:val="000000"/>
                </w:rPr>
                <m:t>IMT</m:t>
              </m:r>
            </m:e>
            <m:sub>
              <m:r>
                <w:rPr>
                  <w:rFonts w:ascii="Cambria Math" w:hAnsi="Cambria Math" w:cs="Arial"/>
                  <w:color w:val="000000"/>
                </w:rPr>
                <m:t>m</m:t>
              </m:r>
            </m:sub>
          </m:sSub>
          <m:r>
            <w:rPr>
              <w:rFonts w:ascii="Cambria Math" w:hAnsi="Cambria Math" w:cs="Arial"/>
              <w:color w:val="000000"/>
            </w:rPr>
            <m:t xml:space="preserve"> =</m:t>
          </m:r>
          <m:d>
            <m:dPr>
              <m:ctrlPr>
                <w:rPr>
                  <w:rFonts w:ascii="Cambria Math" w:hAnsi="Cambria Math" w:cs="Arial"/>
                  <w:bCs/>
                  <w:i/>
                  <w:iCs/>
                  <w:color w:val="000000"/>
                </w:rPr>
              </m:ctrlPr>
            </m:dPr>
            <m:e>
              <m:r>
                <w:rPr>
                  <w:rFonts w:ascii="Cambria Math" w:hAnsi="Cambria Math" w:cs="Arial"/>
                  <w:color w:val="000000"/>
                </w:rPr>
                <m:t>1+%adicional</m:t>
              </m:r>
            </m:e>
          </m:d>
          <m:r>
            <w:rPr>
              <w:rFonts w:ascii="Cambria Math" w:hAnsi="Cambria Math" w:cs="Arial"/>
              <w:color w:val="000000"/>
            </w:rPr>
            <m:t xml:space="preserve"> × </m:t>
          </m:r>
          <m:sSub>
            <m:sSubPr>
              <m:ctrlPr>
                <w:rPr>
                  <w:rFonts w:ascii="Cambria Math" w:hAnsi="Cambria Math" w:cs="Arial"/>
                  <w:bCs/>
                  <w:i/>
                  <w:iCs/>
                  <w:color w:val="000000"/>
                </w:rPr>
              </m:ctrlPr>
            </m:sSubPr>
            <m:e>
              <m:r>
                <w:rPr>
                  <w:rFonts w:ascii="Cambria Math" w:hAnsi="Cambria Math" w:cs="Arial"/>
                  <w:color w:val="000000"/>
                </w:rPr>
                <m:t>IM</m:t>
              </m:r>
            </m:e>
            <m:sub>
              <m:r>
                <w:rPr>
                  <w:rFonts w:ascii="Cambria Math" w:hAnsi="Cambria Math" w:cs="Arial"/>
                  <w:color w:val="000000"/>
                </w:rPr>
                <m:t>1</m:t>
              </m:r>
            </m:sub>
          </m:sSub>
        </m:oMath>
      </m:oMathPara>
    </w:p>
    <w:p w14:paraId="3508D4C8" w14:textId="77777777" w:rsidR="00363050" w:rsidRPr="0051077F" w:rsidRDefault="00363050" w:rsidP="0051077F">
      <w:pPr>
        <w:spacing w:before="240" w:after="240"/>
        <w:ind w:left="1418" w:hanging="1134"/>
        <w:jc w:val="both"/>
        <w:rPr>
          <w:rFonts w:ascii="Bookman Old Style" w:hAnsi="Bookman Old Style" w:cs="Arial"/>
          <w:bCs/>
          <w:i/>
          <w:iCs/>
          <w:color w:val="000000"/>
        </w:rPr>
      </w:pPr>
      <w:r w:rsidRPr="0051077F">
        <w:rPr>
          <w:rFonts w:ascii="Bookman Old Style" w:hAnsi="Bookman Old Style" w:cs="Arial"/>
          <w:bCs/>
          <w:i/>
          <w:iCs/>
          <w:color w:val="000000"/>
        </w:rPr>
        <w:t>Donde:</w:t>
      </w:r>
    </w:p>
    <w:p w14:paraId="2ED7C26A" w14:textId="6559019D" w:rsidR="00363050" w:rsidRPr="0051077F" w:rsidRDefault="00363050" w:rsidP="0098466F">
      <w:pPr>
        <w:spacing w:before="240" w:after="240"/>
        <w:ind w:left="1843" w:hanging="1559"/>
        <w:jc w:val="both"/>
        <w:rPr>
          <w:rFonts w:ascii="Bookman Old Style" w:hAnsi="Bookman Old Style" w:cs="Arial"/>
          <w:bCs/>
          <w:i/>
          <w:iCs/>
          <w:color w:val="000000"/>
        </w:rPr>
      </w:pPr>
      <w:r w:rsidRPr="0051077F">
        <w:rPr>
          <w:rFonts w:ascii="Bookman Old Style" w:hAnsi="Bookman Old Style" w:cs="Arial"/>
          <w:bCs/>
          <w:i/>
          <w:iCs/>
          <w:color w:val="000000"/>
        </w:rPr>
        <w:t>I</w:t>
      </w:r>
      <w:r w:rsidR="000470F5">
        <w:rPr>
          <w:rFonts w:ascii="Bookman Old Style" w:hAnsi="Bookman Old Style" w:cs="Arial"/>
          <w:bCs/>
          <w:i/>
          <w:iCs/>
          <w:color w:val="000000"/>
        </w:rPr>
        <w:t>MT</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r>
      <w:r w:rsidR="00E7077A" w:rsidRPr="00E7077A">
        <w:rPr>
          <w:rFonts w:ascii="Bookman Old Style" w:hAnsi="Bookman Old Style"/>
          <w:i/>
          <w:iCs/>
          <w:lang w:val="es-ES_tradnl"/>
        </w:rPr>
        <w:t xml:space="preserve">Ingreso mensual a pagar </w:t>
      </w:r>
      <w:r w:rsidRPr="0051077F">
        <w:rPr>
          <w:rFonts w:ascii="Bookman Old Style" w:hAnsi="Bookman Old Style" w:cs="Arial"/>
          <w:bCs/>
          <w:i/>
          <w:iCs/>
          <w:color w:val="000000"/>
        </w:rPr>
        <w:t xml:space="preserve">durante la operación </w:t>
      </w:r>
      <w:r w:rsidR="00E13D5A" w:rsidRPr="0051077F">
        <w:rPr>
          <w:rFonts w:ascii="Bookman Old Style" w:hAnsi="Bookman Old Style" w:cs="Arial"/>
          <w:bCs/>
          <w:i/>
          <w:iCs/>
          <w:color w:val="000000"/>
        </w:rPr>
        <w:t>anticipada del proyecto</w:t>
      </w:r>
      <w:r w:rsidRPr="0051077F">
        <w:rPr>
          <w:rFonts w:ascii="Bookman Old Style" w:hAnsi="Bookman Old Style" w:cs="Arial"/>
          <w:bCs/>
          <w:i/>
          <w:iCs/>
          <w:color w:val="000000"/>
        </w:rPr>
        <w:t>, en el mes m.</w:t>
      </w:r>
    </w:p>
    <w:p w14:paraId="264A3A78" w14:textId="0C2DA92A" w:rsidR="00363050" w:rsidRPr="0051077F" w:rsidRDefault="00363050" w:rsidP="0098466F">
      <w:pPr>
        <w:spacing w:before="240" w:after="240"/>
        <w:ind w:left="1843" w:hanging="1559"/>
        <w:jc w:val="both"/>
        <w:rPr>
          <w:rFonts w:ascii="Bookman Old Style" w:hAnsi="Bookman Old Style" w:cs="Arial"/>
          <w:bCs/>
          <w:i/>
          <w:iCs/>
          <w:color w:val="000000"/>
        </w:rPr>
      </w:pPr>
      <w:r w:rsidRPr="0051077F">
        <w:rPr>
          <w:rFonts w:ascii="Bookman Old Style" w:hAnsi="Bookman Old Style" w:cs="Arial"/>
          <w:bCs/>
          <w:i/>
          <w:iCs/>
          <w:color w:val="000000"/>
        </w:rPr>
        <w:t>%</w:t>
      </w:r>
      <w:r w:rsidR="004563AB">
        <w:rPr>
          <w:rFonts w:ascii="Bookman Old Style" w:hAnsi="Bookman Old Style" w:cs="Arial"/>
          <w:bCs/>
          <w:i/>
          <w:iCs/>
          <w:color w:val="000000"/>
        </w:rPr>
        <w:t>adicional</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r>
      <w:r w:rsidR="00C72E3E">
        <w:rPr>
          <w:rFonts w:ascii="Bookman Old Style" w:hAnsi="Bookman Old Style" w:cs="Arial"/>
          <w:bCs/>
          <w:i/>
          <w:iCs/>
          <w:color w:val="000000"/>
        </w:rPr>
        <w:t>Valor</w:t>
      </w:r>
      <w:r w:rsidR="00C72E3E" w:rsidRPr="0051077F">
        <w:rPr>
          <w:rFonts w:ascii="Bookman Old Style" w:hAnsi="Bookman Old Style" w:cs="Arial"/>
          <w:bCs/>
          <w:i/>
          <w:iCs/>
          <w:color w:val="000000"/>
        </w:rPr>
        <w:t xml:space="preserve"> </w:t>
      </w:r>
      <w:r w:rsidRPr="00F8368B">
        <w:rPr>
          <w:rFonts w:ascii="Bookman Old Style" w:hAnsi="Bookman Old Style" w:cs="Arial"/>
          <w:bCs/>
          <w:i/>
          <w:iCs/>
          <w:color w:val="000000"/>
        </w:rPr>
        <w:t xml:space="preserve">del </w:t>
      </w:r>
      <w:r w:rsidR="00B36EDC" w:rsidRPr="00F8368B">
        <w:rPr>
          <w:rFonts w:ascii="Bookman Old Style" w:hAnsi="Bookman Old Style" w:cs="Arial"/>
          <w:bCs/>
          <w:i/>
          <w:iCs/>
          <w:color w:val="000000"/>
        </w:rPr>
        <w:t xml:space="preserve">veinticinco </w:t>
      </w:r>
      <w:r w:rsidR="00C72E3E" w:rsidRPr="00F8368B">
        <w:rPr>
          <w:rFonts w:ascii="Bookman Old Style" w:hAnsi="Bookman Old Style" w:cs="Arial"/>
          <w:bCs/>
          <w:i/>
          <w:iCs/>
          <w:color w:val="000000"/>
        </w:rPr>
        <w:t>por ciento (</w:t>
      </w:r>
      <w:r w:rsidR="00CF4F34" w:rsidRPr="00F8368B">
        <w:rPr>
          <w:rFonts w:ascii="Bookman Old Style" w:hAnsi="Bookman Old Style" w:cs="Arial"/>
          <w:bCs/>
          <w:i/>
          <w:iCs/>
          <w:color w:val="000000"/>
        </w:rPr>
        <w:t>25</w:t>
      </w:r>
      <w:r w:rsidRPr="00F8368B">
        <w:rPr>
          <w:rFonts w:ascii="Bookman Old Style" w:hAnsi="Bookman Old Style" w:cs="Arial"/>
          <w:bCs/>
          <w:i/>
          <w:iCs/>
          <w:color w:val="000000"/>
        </w:rPr>
        <w:t>%</w:t>
      </w:r>
      <w:r w:rsidR="00C72E3E" w:rsidRPr="00F8368B">
        <w:rPr>
          <w:rFonts w:ascii="Bookman Old Style" w:hAnsi="Bookman Old Style" w:cs="Arial"/>
          <w:bCs/>
          <w:i/>
          <w:iCs/>
          <w:color w:val="000000"/>
        </w:rPr>
        <w:t>)</w:t>
      </w:r>
      <w:r w:rsidRPr="005D62E6">
        <w:rPr>
          <w:rFonts w:ascii="Bookman Old Style" w:hAnsi="Bookman Old Style" w:cs="Arial"/>
          <w:bCs/>
          <w:i/>
          <w:iCs/>
          <w:color w:val="000000"/>
        </w:rPr>
        <w:t xml:space="preserve"> de</w:t>
      </w:r>
      <w:r w:rsidRPr="0051077F">
        <w:rPr>
          <w:rFonts w:ascii="Bookman Old Style" w:hAnsi="Bookman Old Style" w:cs="Arial"/>
          <w:bCs/>
          <w:i/>
          <w:iCs/>
          <w:color w:val="000000"/>
        </w:rPr>
        <w:t xml:space="preserve"> </w:t>
      </w:r>
      <w:r w:rsidR="00C67523" w:rsidRPr="0051077F">
        <w:rPr>
          <w:rFonts w:ascii="Bookman Old Style" w:hAnsi="Bookman Old Style" w:cs="Arial"/>
          <w:bCs/>
          <w:i/>
          <w:iCs/>
          <w:color w:val="000000"/>
        </w:rPr>
        <w:t xml:space="preserve">incentivo </w:t>
      </w:r>
      <w:r w:rsidRPr="0051077F">
        <w:rPr>
          <w:rFonts w:ascii="Bookman Old Style" w:hAnsi="Bookman Old Style" w:cs="Arial"/>
          <w:bCs/>
          <w:i/>
          <w:iCs/>
          <w:color w:val="000000"/>
        </w:rPr>
        <w:t xml:space="preserve">por fecha anticipada de </w:t>
      </w:r>
      <w:r w:rsidR="000020AC">
        <w:rPr>
          <w:rFonts w:ascii="Bookman Old Style" w:hAnsi="Bookman Old Style" w:cs="Arial"/>
          <w:bCs/>
          <w:i/>
          <w:iCs/>
          <w:color w:val="000000"/>
        </w:rPr>
        <w:t>entrada</w:t>
      </w:r>
      <w:r w:rsidRPr="0051077F">
        <w:rPr>
          <w:rFonts w:ascii="Bookman Old Style" w:hAnsi="Bookman Old Style" w:cs="Arial"/>
          <w:bCs/>
          <w:i/>
          <w:iCs/>
          <w:color w:val="000000"/>
        </w:rPr>
        <w:t xml:space="preserve"> en operación. </w:t>
      </w:r>
    </w:p>
    <w:p w14:paraId="16A1BB64" w14:textId="28B39C60" w:rsidR="00363050" w:rsidRDefault="00363050" w:rsidP="0098466F">
      <w:pPr>
        <w:spacing w:before="240" w:after="240"/>
        <w:ind w:left="1843" w:hanging="1559"/>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Valor mensualizado del primer año del período estándar de pagos, que se obtiene de dividir por 12 el </w:t>
      </w:r>
      <w:r w:rsidR="00C72E3E">
        <w:rPr>
          <w:rFonts w:ascii="Bookman Old Style" w:hAnsi="Bookman Old Style" w:cs="Arial"/>
          <w:bCs/>
          <w:i/>
          <w:iCs/>
          <w:color w:val="000000"/>
        </w:rPr>
        <w:t xml:space="preserve">valor del </w:t>
      </w:r>
      <w:r w:rsidRPr="0051077F">
        <w:rPr>
          <w:rFonts w:ascii="Bookman Old Style" w:hAnsi="Bookman Old Style" w:cs="Arial"/>
          <w:bCs/>
          <w:i/>
          <w:iCs/>
          <w:color w:val="000000"/>
        </w:rPr>
        <w:t xml:space="preserve">IAE </w:t>
      </w:r>
      <w:r w:rsidR="00C72E3E">
        <w:rPr>
          <w:rFonts w:ascii="Bookman Old Style" w:hAnsi="Bookman Old Style" w:cs="Arial"/>
          <w:bCs/>
          <w:i/>
          <w:iCs/>
          <w:color w:val="000000"/>
        </w:rPr>
        <w:t xml:space="preserve">total del adjudicatario para </w:t>
      </w:r>
      <w:r w:rsidRPr="0051077F">
        <w:rPr>
          <w:rFonts w:ascii="Bookman Old Style" w:hAnsi="Bookman Old Style" w:cs="Arial"/>
          <w:bCs/>
          <w:i/>
          <w:iCs/>
          <w:color w:val="000000"/>
        </w:rPr>
        <w:t>el primer año del PEP.</w:t>
      </w:r>
      <w:r w:rsidR="0051077F">
        <w:rPr>
          <w:rFonts w:ascii="Bookman Old Style" w:hAnsi="Bookman Old Style" w:cs="Arial"/>
          <w:bCs/>
          <w:i/>
          <w:iCs/>
          <w:color w:val="000000"/>
        </w:rPr>
        <w:t>”</w:t>
      </w:r>
    </w:p>
    <w:p w14:paraId="1238EF9B" w14:textId="1DCF8714" w:rsidR="00B45B76" w:rsidRPr="00B45B76" w:rsidRDefault="00081DF4" w:rsidP="00B45B76">
      <w:pPr>
        <w:pStyle w:val="Prrafodelista"/>
        <w:ind w:left="426"/>
        <w:jc w:val="both"/>
        <w:rPr>
          <w:rFonts w:ascii="Bookman Old Style" w:hAnsi="Bookman Old Style"/>
          <w:sz w:val="24"/>
          <w:szCs w:val="24"/>
        </w:rPr>
      </w:pPr>
      <w:r w:rsidRPr="00B45B76">
        <w:rPr>
          <w:rFonts w:ascii="Bookman Old Style" w:hAnsi="Bookman Old Style" w:cs="Arial"/>
          <w:b/>
          <w:i/>
          <w:iCs/>
          <w:color w:val="000000"/>
          <w:sz w:val="24"/>
          <w:szCs w:val="24"/>
        </w:rPr>
        <w:t xml:space="preserve">Parágrafo </w:t>
      </w:r>
      <w:r w:rsidR="00B45B76" w:rsidRPr="00B45B76">
        <w:rPr>
          <w:rFonts w:ascii="Bookman Old Style" w:hAnsi="Bookman Old Style" w:cs="Arial"/>
          <w:b/>
          <w:i/>
          <w:iCs/>
          <w:color w:val="000000"/>
          <w:sz w:val="24"/>
          <w:szCs w:val="24"/>
        </w:rPr>
        <w:t>1:</w:t>
      </w:r>
      <w:r w:rsidRPr="00B45B76">
        <w:rPr>
          <w:rFonts w:ascii="Bookman Old Style" w:hAnsi="Bookman Old Style" w:cs="Arial"/>
          <w:b/>
          <w:i/>
          <w:iCs/>
          <w:color w:val="000000"/>
          <w:sz w:val="24"/>
          <w:szCs w:val="24"/>
        </w:rPr>
        <w:t xml:space="preserve"> </w:t>
      </w:r>
      <w:r w:rsidR="00B45B76" w:rsidRPr="00CC1526">
        <w:rPr>
          <w:rFonts w:ascii="Bookman Old Style" w:hAnsi="Bookman Old Style"/>
          <w:bCs/>
          <w:i/>
          <w:iCs/>
          <w:sz w:val="24"/>
          <w:szCs w:val="24"/>
        </w:rPr>
        <w:t>Si l</w:t>
      </w:r>
      <w:r w:rsidR="00B45B76" w:rsidRPr="00CC1526">
        <w:rPr>
          <w:rFonts w:ascii="Bookman Old Style" w:hAnsi="Bookman Old Style"/>
          <w:i/>
          <w:iCs/>
          <w:sz w:val="24"/>
          <w:szCs w:val="24"/>
        </w:rPr>
        <w:t xml:space="preserve">a fecha </w:t>
      </w:r>
      <w:r w:rsidR="00CC1526" w:rsidRPr="00CC1526">
        <w:rPr>
          <w:rFonts w:ascii="Bookman Old Style" w:hAnsi="Bookman Old Style"/>
          <w:i/>
          <w:iCs/>
          <w:sz w:val="24"/>
          <w:szCs w:val="24"/>
        </w:rPr>
        <w:t xml:space="preserve">anticipada de </w:t>
      </w:r>
      <w:r w:rsidR="000020AC">
        <w:rPr>
          <w:rFonts w:ascii="Bookman Old Style" w:hAnsi="Bookman Old Style"/>
          <w:i/>
          <w:iCs/>
          <w:sz w:val="24"/>
          <w:szCs w:val="24"/>
        </w:rPr>
        <w:t>entrada</w:t>
      </w:r>
      <w:r w:rsidR="00CC1526" w:rsidRPr="00CC1526">
        <w:rPr>
          <w:rFonts w:ascii="Bookman Old Style" w:hAnsi="Bookman Old Style"/>
          <w:i/>
          <w:iCs/>
          <w:sz w:val="24"/>
          <w:szCs w:val="24"/>
        </w:rPr>
        <w:t xml:space="preserve"> en operación</w:t>
      </w:r>
      <w:r w:rsidR="00B45B76" w:rsidRPr="00CC1526">
        <w:rPr>
          <w:rFonts w:ascii="Bookman Old Style" w:hAnsi="Bookman Old Style"/>
          <w:i/>
          <w:iCs/>
          <w:sz w:val="24"/>
          <w:szCs w:val="24"/>
        </w:rPr>
        <w:t xml:space="preserve"> no está establecida en el Plan de Abastecimiento de Gas Natural</w:t>
      </w:r>
      <w:r w:rsidR="00CC1526" w:rsidRPr="00CC1526">
        <w:rPr>
          <w:rFonts w:ascii="Bookman Old Style" w:hAnsi="Bookman Old Style"/>
          <w:i/>
          <w:iCs/>
          <w:sz w:val="24"/>
          <w:szCs w:val="24"/>
        </w:rPr>
        <w:t xml:space="preserve"> vigente</w:t>
      </w:r>
      <w:r w:rsidR="00B45B76" w:rsidRPr="00CC1526">
        <w:rPr>
          <w:rFonts w:ascii="Bookman Old Style" w:hAnsi="Bookman Old Style"/>
          <w:i/>
          <w:iCs/>
          <w:sz w:val="24"/>
          <w:szCs w:val="24"/>
        </w:rPr>
        <w:t>, el adjudicatario podrá poner en operación el proyecto sin recibir los pagos mencionados anteriormente hasta la FPO</w:t>
      </w:r>
      <w:r w:rsidR="00B45B76" w:rsidRPr="00B45B76">
        <w:rPr>
          <w:rFonts w:ascii="Bookman Old Style" w:hAnsi="Bookman Old Style"/>
          <w:sz w:val="24"/>
          <w:szCs w:val="24"/>
        </w:rPr>
        <w:t xml:space="preserve">. </w:t>
      </w:r>
    </w:p>
    <w:p w14:paraId="2B8D7A9A" w14:textId="7FFE8E41" w:rsidR="00B45B76" w:rsidRDefault="00B45B76" w:rsidP="00B45B76">
      <w:pPr>
        <w:spacing w:before="240" w:after="240"/>
        <w:ind w:left="426"/>
        <w:jc w:val="both"/>
        <w:rPr>
          <w:rFonts w:ascii="Bookman Old Style" w:hAnsi="Bookman Old Style" w:cs="Arial"/>
          <w:bCs/>
          <w:i/>
          <w:iCs/>
          <w:color w:val="000000"/>
        </w:rPr>
      </w:pPr>
      <w:r w:rsidRPr="00FD1465">
        <w:rPr>
          <w:rFonts w:ascii="Bookman Old Style" w:hAnsi="Bookman Old Style" w:cs="Arial"/>
          <w:b/>
          <w:i/>
          <w:iCs/>
          <w:color w:val="000000"/>
        </w:rPr>
        <w:t>Parágrafo</w:t>
      </w:r>
      <w:r>
        <w:rPr>
          <w:rFonts w:ascii="Bookman Old Style" w:hAnsi="Bookman Old Style" w:cs="Arial"/>
          <w:b/>
          <w:i/>
          <w:iCs/>
          <w:color w:val="000000"/>
        </w:rPr>
        <w:t xml:space="preserve"> 2</w:t>
      </w:r>
      <w:r w:rsidRPr="00FD1465">
        <w:rPr>
          <w:rFonts w:ascii="Bookman Old Style" w:hAnsi="Bookman Old Style" w:cs="Arial"/>
          <w:b/>
          <w:i/>
          <w:iCs/>
          <w:color w:val="000000"/>
        </w:rPr>
        <w:t xml:space="preserve">: </w:t>
      </w:r>
      <w:r w:rsidRPr="00FD1465">
        <w:rPr>
          <w:rFonts w:ascii="Bookman Old Style" w:hAnsi="Bookman Old Style" w:cs="Arial"/>
          <w:bCs/>
          <w:i/>
          <w:iCs/>
          <w:color w:val="000000"/>
        </w:rPr>
        <w:t xml:space="preserve">Con el fin de determinar el valor a facturar </w:t>
      </w:r>
      <w:r>
        <w:rPr>
          <w:rFonts w:ascii="Bookman Old Style" w:hAnsi="Bookman Old Style" w:cs="Arial"/>
          <w:bCs/>
          <w:i/>
          <w:iCs/>
          <w:color w:val="000000"/>
        </w:rPr>
        <w:t xml:space="preserve">por parte del adjudicatario </w:t>
      </w:r>
      <w:r w:rsidRPr="00FD1465">
        <w:rPr>
          <w:rFonts w:ascii="Bookman Old Style" w:hAnsi="Bookman Old Style" w:cs="Arial"/>
          <w:bCs/>
          <w:i/>
          <w:iCs/>
          <w:color w:val="000000"/>
        </w:rPr>
        <w:t>a los transportadore</w:t>
      </w:r>
      <w:r>
        <w:rPr>
          <w:rFonts w:ascii="Bookman Old Style" w:hAnsi="Bookman Old Style" w:cs="Arial"/>
          <w:bCs/>
          <w:i/>
          <w:iCs/>
          <w:color w:val="000000"/>
        </w:rPr>
        <w:t xml:space="preserve">s, se deberá aplicar lo contemplado en el Artículo 17 de la resolución CREG 107 de 2017 o aquellas que la modifiquen o </w:t>
      </w:r>
      <w:r w:rsidRPr="00FD1465">
        <w:rPr>
          <w:rFonts w:ascii="Bookman Old Style" w:hAnsi="Bookman Old Style" w:cs="Arial"/>
          <w:bCs/>
          <w:i/>
          <w:iCs/>
          <w:color w:val="000000"/>
        </w:rPr>
        <w:t>sustituyan.</w:t>
      </w:r>
    </w:p>
    <w:p w14:paraId="05B3F744" w14:textId="45689E6B" w:rsidR="00AE3BF1" w:rsidRDefault="00B12B8C" w:rsidP="00AE3BF1">
      <w:pPr>
        <w:spacing w:before="240" w:after="240"/>
        <w:ind w:left="0"/>
        <w:jc w:val="both"/>
        <w:rPr>
          <w:rFonts w:ascii="Bookman Old Style" w:hAnsi="Bookman Old Style" w:cs="Arial"/>
          <w:bCs/>
          <w:color w:val="000000"/>
        </w:rPr>
      </w:pPr>
      <w:r w:rsidRPr="00356462">
        <w:rPr>
          <w:rFonts w:ascii="Bookman Old Style" w:hAnsi="Bookman Old Style" w:cs="Arial"/>
          <w:b/>
          <w:color w:val="000000"/>
        </w:rPr>
        <w:t xml:space="preserve">Artículo </w:t>
      </w:r>
      <w:r w:rsidR="00B55EB9">
        <w:rPr>
          <w:rFonts w:ascii="Bookman Old Style" w:hAnsi="Bookman Old Style" w:cs="Arial"/>
          <w:b/>
          <w:color w:val="000000"/>
        </w:rPr>
        <w:t>8</w:t>
      </w:r>
      <w:r w:rsidRPr="00356462">
        <w:rPr>
          <w:rFonts w:ascii="Bookman Old Style" w:hAnsi="Bookman Old Style" w:cs="Arial"/>
          <w:b/>
          <w:color w:val="000000"/>
        </w:rPr>
        <w:t xml:space="preserve">. </w:t>
      </w:r>
      <w:r w:rsidR="00AE3BF1">
        <w:rPr>
          <w:rFonts w:ascii="Bookman Old Style" w:hAnsi="Bookman Old Style" w:cs="Arial"/>
          <w:bCs/>
          <w:color w:val="000000"/>
        </w:rPr>
        <w:t xml:space="preserve">Adiciónese el siguiente artículo a la Resolución CREG 152 de 2017, así: </w:t>
      </w:r>
    </w:p>
    <w:bookmarkEnd w:id="5"/>
    <w:p w14:paraId="57F0104D" w14:textId="7DA4EE87" w:rsidR="006F7566" w:rsidRPr="0051077F" w:rsidRDefault="0051077F" w:rsidP="0051077F">
      <w:pPr>
        <w:spacing w:before="240" w:after="240"/>
        <w:ind w:left="284"/>
        <w:jc w:val="both"/>
        <w:rPr>
          <w:rFonts w:ascii="Bookman Old Style" w:hAnsi="Bookman Old Style" w:cs="Arial"/>
          <w:bCs/>
          <w:i/>
          <w:iCs/>
          <w:color w:val="000000"/>
        </w:rPr>
      </w:pPr>
      <w:r>
        <w:rPr>
          <w:rFonts w:ascii="Bookman Old Style" w:hAnsi="Bookman Old Style" w:cs="Arial"/>
          <w:b/>
          <w:i/>
          <w:iCs/>
          <w:color w:val="000000"/>
        </w:rPr>
        <w:t>“</w:t>
      </w:r>
      <w:r w:rsidR="006F7566" w:rsidRPr="0051077F">
        <w:rPr>
          <w:rFonts w:ascii="Bookman Old Style" w:hAnsi="Bookman Old Style" w:cs="Arial"/>
          <w:b/>
          <w:i/>
          <w:iCs/>
          <w:color w:val="000000"/>
        </w:rPr>
        <w:t>Artículo 1</w:t>
      </w:r>
      <w:r w:rsidR="00F21032" w:rsidRPr="0051077F">
        <w:rPr>
          <w:rFonts w:ascii="Bookman Old Style" w:hAnsi="Bookman Old Style" w:cs="Arial"/>
          <w:b/>
          <w:i/>
          <w:iCs/>
          <w:color w:val="000000"/>
        </w:rPr>
        <w:t>4</w:t>
      </w:r>
      <w:r w:rsidR="006F7566" w:rsidRPr="0051077F">
        <w:rPr>
          <w:rFonts w:ascii="Bookman Old Style" w:hAnsi="Bookman Old Style" w:cs="Arial"/>
          <w:b/>
          <w:i/>
          <w:iCs/>
          <w:color w:val="000000"/>
        </w:rPr>
        <w:t xml:space="preserve">. Ingreso regulado durante la operación parcial </w:t>
      </w:r>
      <w:r w:rsidR="00752152">
        <w:rPr>
          <w:rFonts w:ascii="Bookman Old Style" w:hAnsi="Bookman Old Style" w:cs="Arial"/>
          <w:b/>
          <w:i/>
          <w:iCs/>
          <w:color w:val="000000"/>
        </w:rPr>
        <w:t xml:space="preserve">anticipada </w:t>
      </w:r>
      <w:r w:rsidR="006F7566" w:rsidRPr="0051077F">
        <w:rPr>
          <w:rFonts w:ascii="Bookman Old Style" w:hAnsi="Bookman Old Style" w:cs="Arial"/>
          <w:b/>
          <w:i/>
          <w:iCs/>
          <w:color w:val="000000"/>
        </w:rPr>
        <w:t>de la infraestructura de importación del gas del pacífico</w:t>
      </w:r>
      <w:r w:rsidR="006F7566" w:rsidRPr="0051077F">
        <w:rPr>
          <w:rFonts w:ascii="Bookman Old Style" w:hAnsi="Bookman Old Style" w:cs="Arial"/>
          <w:bCs/>
          <w:i/>
          <w:iCs/>
          <w:color w:val="000000"/>
        </w:rPr>
        <w:t xml:space="preserve">. El ingreso regulado </w:t>
      </w:r>
      <w:r w:rsidR="00B260EA">
        <w:rPr>
          <w:rFonts w:ascii="Bookman Old Style" w:hAnsi="Bookman Old Style" w:cs="Arial"/>
          <w:bCs/>
          <w:i/>
          <w:iCs/>
          <w:color w:val="000000"/>
        </w:rPr>
        <w:t xml:space="preserve">durante la </w:t>
      </w:r>
      <w:r w:rsidR="006F7566" w:rsidRPr="0051077F">
        <w:rPr>
          <w:rFonts w:ascii="Bookman Old Style" w:hAnsi="Bookman Old Style" w:cs="Arial"/>
          <w:bCs/>
          <w:i/>
          <w:iCs/>
          <w:color w:val="000000"/>
        </w:rPr>
        <w:t>operación parcial</w:t>
      </w:r>
      <w:r w:rsidR="00752152">
        <w:rPr>
          <w:rFonts w:ascii="Bookman Old Style" w:hAnsi="Bookman Old Style" w:cs="Arial"/>
          <w:bCs/>
          <w:i/>
          <w:iCs/>
          <w:color w:val="000000"/>
        </w:rPr>
        <w:t xml:space="preserve"> anticipada</w:t>
      </w:r>
      <w:r w:rsidR="009F17A6" w:rsidRPr="0051077F">
        <w:rPr>
          <w:rFonts w:ascii="Bookman Old Style" w:hAnsi="Bookman Old Style" w:cs="Arial"/>
          <w:bCs/>
          <w:i/>
          <w:iCs/>
          <w:color w:val="000000"/>
        </w:rPr>
        <w:t>,</w:t>
      </w:r>
      <w:r w:rsidR="00A60FB1">
        <w:rPr>
          <w:rFonts w:ascii="Bookman Old Style" w:hAnsi="Bookman Old Style" w:cs="Arial"/>
          <w:bCs/>
          <w:i/>
          <w:iCs/>
          <w:color w:val="000000"/>
        </w:rPr>
        <w:t xml:space="preserve"> por cada mes de operación en</w:t>
      </w:r>
      <w:r w:rsidR="009F17A6" w:rsidRPr="0051077F">
        <w:rPr>
          <w:rFonts w:ascii="Bookman Old Style" w:hAnsi="Bookman Old Style" w:cs="Arial"/>
          <w:bCs/>
          <w:i/>
          <w:iCs/>
          <w:color w:val="000000"/>
        </w:rPr>
        <w:t xml:space="preserve"> </w:t>
      </w:r>
      <w:r w:rsidR="006F7566" w:rsidRPr="0051077F">
        <w:rPr>
          <w:rFonts w:ascii="Bookman Old Style" w:hAnsi="Bookman Old Style" w:cs="Arial"/>
          <w:bCs/>
          <w:i/>
          <w:iCs/>
          <w:color w:val="000000"/>
        </w:rPr>
        <w:t xml:space="preserve">el período establecido en el literal d) del Artículo 12 de la Resolución CREG 107 de 2017 y aquellas que la modifiquen o sustituyan, se calculará, </w:t>
      </w:r>
      <w:r w:rsidR="00A60FB1">
        <w:rPr>
          <w:rFonts w:ascii="Bookman Old Style" w:hAnsi="Bookman Old Style" w:cs="Arial"/>
          <w:bCs/>
          <w:i/>
          <w:iCs/>
          <w:color w:val="000000"/>
        </w:rPr>
        <w:t>aplicando</w:t>
      </w:r>
      <w:r w:rsidR="006F7566" w:rsidRPr="0051077F">
        <w:rPr>
          <w:rFonts w:ascii="Bookman Old Style" w:hAnsi="Bookman Old Style" w:cs="Arial"/>
          <w:bCs/>
          <w:i/>
          <w:iCs/>
          <w:color w:val="000000"/>
        </w:rPr>
        <w:t xml:space="preserve"> la siguiente ecuación:</w:t>
      </w:r>
    </w:p>
    <w:bookmarkStart w:id="6" w:name="OLE_LINK1"/>
    <w:p w14:paraId="2FAE395C" w14:textId="4B5C53D2" w:rsidR="006F7566" w:rsidRPr="0051077F" w:rsidRDefault="007F7688" w:rsidP="0051077F">
      <w:pPr>
        <w:spacing w:before="240" w:after="240"/>
        <w:ind w:left="284"/>
        <w:jc w:val="center"/>
        <w:rPr>
          <w:rFonts w:ascii="Bookman Old Style" w:hAnsi="Bookman Old Style" w:cs="Arial"/>
          <w:bCs/>
          <w:i/>
          <w:iCs/>
          <w:color w:val="000000"/>
          <w:sz w:val="20"/>
          <w:szCs w:val="20"/>
        </w:rPr>
      </w:pPr>
      <m:oMathPara>
        <m:oMath>
          <m:sSub>
            <m:sSubPr>
              <m:ctrlPr>
                <w:rPr>
                  <w:rFonts w:ascii="Cambria Math" w:hAnsi="Cambria Math" w:cs="Arial"/>
                  <w:bCs/>
                  <w:i/>
                  <w:iCs/>
                  <w:color w:val="000000"/>
                  <w:sz w:val="20"/>
                  <w:szCs w:val="20"/>
                </w:rPr>
              </m:ctrlPr>
            </m:sSubPr>
            <m:e>
              <m:r>
                <w:rPr>
                  <w:rFonts w:ascii="Cambria Math" w:hAnsi="Cambria Math" w:cs="Arial"/>
                  <w:color w:val="000000"/>
                  <w:sz w:val="20"/>
                  <w:szCs w:val="20"/>
                </w:rPr>
                <m:t>IMT</m:t>
              </m:r>
            </m:e>
            <m:sub>
              <m:r>
                <w:rPr>
                  <w:rFonts w:ascii="Cambria Math" w:hAnsi="Cambria Math" w:cs="Arial"/>
                  <w:color w:val="000000"/>
                  <w:sz w:val="20"/>
                  <w:szCs w:val="20"/>
                </w:rPr>
                <m:t>m</m:t>
              </m:r>
            </m:sub>
          </m:sSub>
          <m:r>
            <w:rPr>
              <w:rFonts w:ascii="Cambria Math" w:hAnsi="Cambria Math" w:cs="Arial"/>
              <w:color w:val="000000"/>
              <w:sz w:val="20"/>
              <w:szCs w:val="20"/>
            </w:rPr>
            <m:t xml:space="preserve"> =</m:t>
          </m:r>
          <m:d>
            <m:dPr>
              <m:ctrlPr>
                <w:rPr>
                  <w:rFonts w:ascii="Cambria Math" w:hAnsi="Cambria Math" w:cs="Arial"/>
                  <w:bCs/>
                  <w:i/>
                  <w:iCs/>
                  <w:color w:val="000000"/>
                  <w:sz w:val="20"/>
                  <w:szCs w:val="20"/>
                </w:rPr>
              </m:ctrlPr>
            </m:dPr>
            <m:e>
              <m:r>
                <w:rPr>
                  <w:rFonts w:ascii="Cambria Math" w:hAnsi="Cambria Math" w:cs="Arial"/>
                  <w:color w:val="000000"/>
                  <w:sz w:val="20"/>
                  <w:szCs w:val="20"/>
                </w:rPr>
                <m:t>1+%adicional</m:t>
              </m:r>
            </m:e>
          </m:d>
          <m:r>
            <w:rPr>
              <w:rFonts w:ascii="Cambria Math" w:hAnsi="Cambria Math" w:cs="Arial"/>
              <w:color w:val="000000"/>
              <w:sz w:val="20"/>
              <w:szCs w:val="20"/>
            </w:rPr>
            <m:t xml:space="preserve"> ×</m:t>
          </m:r>
          <m:d>
            <m:dPr>
              <m:begChr m:val="["/>
              <m:endChr m:val="]"/>
              <m:ctrlPr>
                <w:rPr>
                  <w:rFonts w:ascii="Cambria Math" w:hAnsi="Cambria Math" w:cs="Arial"/>
                  <w:i/>
                  <w:iCs/>
                  <w:color w:val="000000"/>
                  <w:sz w:val="20"/>
                  <w:szCs w:val="20"/>
                </w:rPr>
              </m:ctrlPr>
            </m:dPr>
            <m:e>
              <m:d>
                <m:dPr>
                  <m:ctrlPr>
                    <w:rPr>
                      <w:rFonts w:ascii="Cambria Math" w:hAnsi="Cambria Math" w:cs="Arial"/>
                      <w:bCs/>
                      <w:i/>
                      <w:iCs/>
                      <w:color w:val="000000"/>
                      <w:sz w:val="20"/>
                      <w:szCs w:val="20"/>
                    </w:rPr>
                  </m:ctrlPr>
                </m:dPr>
                <m:e>
                  <m:f>
                    <m:fPr>
                      <m:ctrlPr>
                        <w:rPr>
                          <w:rFonts w:ascii="Cambria Math" w:hAnsi="Cambria Math" w:cs="Arial"/>
                          <w:bCs/>
                          <w:i/>
                          <w:iCs/>
                          <w:color w:val="000000"/>
                          <w:sz w:val="20"/>
                          <w:szCs w:val="20"/>
                        </w:rPr>
                      </m:ctrlPr>
                    </m:fPr>
                    <m:num>
                      <m:sSub>
                        <m:sSubPr>
                          <m:ctrlPr>
                            <w:rPr>
                              <w:rFonts w:ascii="Cambria Math" w:hAnsi="Cambria Math" w:cs="Arial"/>
                              <w:bCs/>
                              <w:i/>
                              <w:iCs/>
                              <w:color w:val="000000"/>
                              <w:sz w:val="20"/>
                              <w:szCs w:val="20"/>
                            </w:rPr>
                          </m:ctrlPr>
                        </m:sSubPr>
                        <m:e>
                          <m:r>
                            <w:rPr>
                              <w:rFonts w:ascii="Cambria Math" w:hAnsi="Cambria Math" w:cs="Arial"/>
                              <w:color w:val="000000"/>
                              <w:sz w:val="20"/>
                              <w:szCs w:val="20"/>
                            </w:rPr>
                            <m:t>COPYPOP</m:t>
                          </m:r>
                        </m:e>
                        <m:sub>
                          <m:r>
                            <w:rPr>
                              <w:rFonts w:ascii="Cambria Math" w:hAnsi="Cambria Math" w:cs="Arial"/>
                              <w:color w:val="000000"/>
                              <w:sz w:val="20"/>
                              <w:szCs w:val="20"/>
                            </w:rPr>
                            <m:t>m</m:t>
                          </m:r>
                        </m:sub>
                      </m:sSub>
                    </m:num>
                    <m:den>
                      <m:r>
                        <w:rPr>
                          <w:rFonts w:ascii="Cambria Math" w:hAnsi="Cambria Math" w:cs="Arial"/>
                          <w:color w:val="000000"/>
                          <w:sz w:val="20"/>
                          <w:szCs w:val="20"/>
                        </w:rPr>
                        <m:t>CDSIY</m:t>
                      </m:r>
                    </m:den>
                  </m:f>
                </m:e>
              </m:d>
              <m:r>
                <w:rPr>
                  <w:rFonts w:ascii="Cambria Math" w:hAnsi="Cambria Math" w:cs="Arial"/>
                  <w:color w:val="000000"/>
                  <w:sz w:val="20"/>
                  <w:szCs w:val="20"/>
                </w:rPr>
                <m:t xml:space="preserve"> ×</m:t>
              </m:r>
              <m:sSub>
                <m:sSubPr>
                  <m:ctrlPr>
                    <w:rPr>
                      <w:rFonts w:ascii="Cambria Math" w:hAnsi="Cambria Math" w:cs="Arial"/>
                      <w:bCs/>
                      <w:i/>
                      <w:iCs/>
                      <w:color w:val="000000"/>
                      <w:sz w:val="20"/>
                      <w:szCs w:val="20"/>
                    </w:rPr>
                  </m:ctrlPr>
                </m:sSubPr>
                <m:e>
                  <m:r>
                    <w:rPr>
                      <w:rFonts w:ascii="Cambria Math" w:hAnsi="Cambria Math" w:cs="Arial"/>
                      <w:color w:val="000000"/>
                      <w:sz w:val="20"/>
                      <w:szCs w:val="20"/>
                    </w:rPr>
                    <m:t>IM</m:t>
                  </m:r>
                </m:e>
                <m:sub>
                  <m:r>
                    <w:rPr>
                      <w:rFonts w:ascii="Cambria Math" w:hAnsi="Cambria Math" w:cs="Arial"/>
                      <w:color w:val="000000"/>
                      <w:sz w:val="20"/>
                      <w:szCs w:val="20"/>
                    </w:rPr>
                    <m:t>1</m:t>
                  </m:r>
                </m:sub>
              </m:sSub>
            </m:e>
          </m:d>
          <m:r>
            <w:rPr>
              <w:rFonts w:ascii="Cambria Math" w:hAnsi="Cambria Math" w:cs="Arial"/>
              <w:color w:val="000000"/>
              <w:sz w:val="20"/>
              <w:szCs w:val="20"/>
            </w:rPr>
            <m:t xml:space="preserve"> </m:t>
          </m:r>
        </m:oMath>
      </m:oMathPara>
    </w:p>
    <w:p w14:paraId="49DB3AAA" w14:textId="77777777" w:rsidR="006F7566" w:rsidRPr="0051077F" w:rsidRDefault="006F7566" w:rsidP="0051077F">
      <w:pPr>
        <w:spacing w:before="240" w:after="240"/>
        <w:ind w:left="284"/>
        <w:jc w:val="both"/>
        <w:rPr>
          <w:rFonts w:ascii="Bookman Old Style" w:hAnsi="Bookman Old Style" w:cs="Arial"/>
          <w:bCs/>
          <w:i/>
          <w:iCs/>
          <w:color w:val="000000"/>
        </w:rPr>
      </w:pPr>
      <w:r w:rsidRPr="0051077F">
        <w:rPr>
          <w:rFonts w:ascii="Bookman Old Style" w:hAnsi="Bookman Old Style" w:cs="Arial"/>
          <w:bCs/>
          <w:i/>
          <w:iCs/>
          <w:color w:val="000000"/>
        </w:rPr>
        <w:t>Donde:</w:t>
      </w:r>
    </w:p>
    <w:bookmarkEnd w:id="6"/>
    <w:p w14:paraId="7A666718" w14:textId="3B0C5D61"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w:t>
      </w:r>
      <w:r w:rsidR="000470F5">
        <w:rPr>
          <w:rFonts w:ascii="Bookman Old Style" w:hAnsi="Bookman Old Style" w:cs="Arial"/>
          <w:bCs/>
          <w:i/>
          <w:iCs/>
          <w:color w:val="000000"/>
        </w:rPr>
        <w:t>MT</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Ingreso </w:t>
      </w:r>
      <w:r w:rsidR="00E7077A" w:rsidRPr="00E7077A">
        <w:rPr>
          <w:rFonts w:ascii="Bookman Old Style" w:hAnsi="Bookman Old Style"/>
          <w:i/>
          <w:iCs/>
          <w:lang w:val="es-ES_tradnl"/>
        </w:rPr>
        <w:t>mensual a pagar</w:t>
      </w:r>
      <w:r w:rsidRPr="0051077F">
        <w:rPr>
          <w:rFonts w:ascii="Bookman Old Style" w:hAnsi="Bookman Old Style" w:cs="Arial"/>
          <w:bCs/>
          <w:i/>
          <w:iCs/>
          <w:color w:val="000000"/>
        </w:rPr>
        <w:t xml:space="preserve"> durante la operación </w:t>
      </w:r>
      <w:r w:rsidR="00E7077A">
        <w:rPr>
          <w:rFonts w:ascii="Bookman Old Style" w:hAnsi="Bookman Old Style" w:cs="Arial"/>
          <w:bCs/>
          <w:i/>
          <w:iCs/>
          <w:color w:val="000000"/>
        </w:rPr>
        <w:t xml:space="preserve">anticipada </w:t>
      </w:r>
      <w:r w:rsidRPr="0051077F">
        <w:rPr>
          <w:rFonts w:ascii="Bookman Old Style" w:hAnsi="Bookman Old Style" w:cs="Arial"/>
          <w:bCs/>
          <w:i/>
          <w:iCs/>
          <w:color w:val="000000"/>
        </w:rPr>
        <w:t>parcial, en el mes m.</w:t>
      </w:r>
    </w:p>
    <w:p w14:paraId="458DEDAB" w14:textId="3EDD49B4"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w:t>
      </w:r>
      <w:r w:rsidR="004563AB">
        <w:rPr>
          <w:rFonts w:ascii="Bookman Old Style" w:hAnsi="Bookman Old Style" w:cs="Arial"/>
          <w:bCs/>
          <w:i/>
          <w:iCs/>
          <w:color w:val="000000"/>
        </w:rPr>
        <w:t>adicional</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Porcentaje del</w:t>
      </w:r>
      <w:r w:rsidR="001C12F7">
        <w:rPr>
          <w:rFonts w:ascii="Bookman Old Style" w:hAnsi="Bookman Old Style" w:cs="Arial"/>
          <w:bCs/>
          <w:i/>
          <w:iCs/>
          <w:color w:val="000000"/>
        </w:rPr>
        <w:t xml:space="preserve"> veinticinco por ciento</w:t>
      </w:r>
      <w:r w:rsidRPr="0051077F">
        <w:rPr>
          <w:rFonts w:ascii="Bookman Old Style" w:hAnsi="Bookman Old Style" w:cs="Arial"/>
          <w:bCs/>
          <w:i/>
          <w:iCs/>
          <w:color w:val="000000"/>
        </w:rPr>
        <w:t xml:space="preserve"> </w:t>
      </w:r>
      <w:r w:rsidR="001C12F7" w:rsidRPr="00377F8E">
        <w:rPr>
          <w:rFonts w:ascii="Bookman Old Style" w:hAnsi="Bookman Old Style" w:cs="Arial"/>
          <w:bCs/>
          <w:i/>
          <w:iCs/>
          <w:color w:val="000000"/>
        </w:rPr>
        <w:t>25</w:t>
      </w:r>
      <w:r w:rsidRPr="00377F8E">
        <w:rPr>
          <w:rFonts w:ascii="Bookman Old Style" w:hAnsi="Bookman Old Style" w:cs="Arial"/>
          <w:bCs/>
          <w:i/>
          <w:iCs/>
          <w:color w:val="000000"/>
        </w:rPr>
        <w:t>%</w:t>
      </w:r>
      <w:r w:rsidRPr="00F42394">
        <w:rPr>
          <w:rFonts w:ascii="Bookman Old Style" w:hAnsi="Bookman Old Style" w:cs="Arial"/>
          <w:bCs/>
          <w:i/>
          <w:iCs/>
          <w:color w:val="000000"/>
        </w:rPr>
        <w:t xml:space="preserve"> de</w:t>
      </w:r>
      <w:r w:rsidRPr="0051077F">
        <w:rPr>
          <w:rFonts w:ascii="Bookman Old Style" w:hAnsi="Bookman Old Style" w:cs="Arial"/>
          <w:bCs/>
          <w:i/>
          <w:iCs/>
          <w:color w:val="000000"/>
        </w:rPr>
        <w:t xml:space="preserve"> incentivo por operación parcial. </w:t>
      </w:r>
    </w:p>
    <w:p w14:paraId="41CFBAE3" w14:textId="696F57F0" w:rsidR="000A46BC" w:rsidRDefault="006F7566" w:rsidP="000A46BC">
      <w:pPr>
        <w:spacing w:before="240" w:after="240"/>
        <w:ind w:left="1701" w:hanging="1417"/>
        <w:jc w:val="both"/>
        <w:rPr>
          <w:rFonts w:ascii="Bookman Old Style" w:hAnsi="Bookman Old Style"/>
          <w:i/>
          <w:iCs/>
        </w:rPr>
      </w:pPr>
      <w:r w:rsidRPr="0051077F">
        <w:rPr>
          <w:rFonts w:ascii="Bookman Old Style" w:hAnsi="Bookman Old Style" w:cs="Arial"/>
          <w:bCs/>
          <w:i/>
          <w:iCs/>
          <w:color w:val="000000"/>
        </w:rPr>
        <w:t>COPYP</w:t>
      </w:r>
      <w:r w:rsidR="00734B90">
        <w:rPr>
          <w:rFonts w:ascii="Bookman Old Style" w:hAnsi="Bookman Old Style" w:cs="Arial"/>
          <w:bCs/>
          <w:i/>
          <w:iCs/>
          <w:color w:val="000000"/>
        </w:rPr>
        <w:t>OP</w:t>
      </w:r>
      <w:r w:rsidRPr="0051077F">
        <w:rPr>
          <w:rFonts w:ascii="Bookman Old Style" w:hAnsi="Bookman Old Style" w:cs="Arial"/>
          <w:bCs/>
          <w:i/>
          <w:iCs/>
          <w:color w:val="000000"/>
          <w:vertAlign w:val="subscript"/>
        </w:rPr>
        <w:t>m</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Capacidad puesta en operación parcial para entrega de gas</w:t>
      </w:r>
      <w:r w:rsidRPr="0051077F">
        <w:rPr>
          <w:rFonts w:ascii="Bookman Old Style" w:hAnsi="Bookman Old Style"/>
          <w:i/>
          <w:iCs/>
        </w:rPr>
        <w:t xml:space="preserve"> natural </w:t>
      </w:r>
      <w:r w:rsidR="001D75FA">
        <w:rPr>
          <w:rFonts w:ascii="Bookman Old Style" w:hAnsi="Bookman Old Style"/>
          <w:i/>
          <w:iCs/>
        </w:rPr>
        <w:t xml:space="preserve">regasificado </w:t>
      </w:r>
      <w:r w:rsidRPr="0051077F">
        <w:rPr>
          <w:rFonts w:ascii="Bookman Old Style" w:hAnsi="Bookman Old Style"/>
          <w:i/>
          <w:iCs/>
        </w:rPr>
        <w:t xml:space="preserve">al Sistema Nacional de Transporte en un punto de entrega ubicado </w:t>
      </w:r>
      <w:r w:rsidR="001F7150" w:rsidRPr="000A46BC">
        <w:rPr>
          <w:rFonts w:ascii="Bookman Old Style" w:hAnsi="Bookman Old Style"/>
          <w:i/>
          <w:iCs/>
        </w:rPr>
        <w:t xml:space="preserve">en el límite geopolítico del </w:t>
      </w:r>
      <w:r w:rsidRPr="0051077F">
        <w:rPr>
          <w:rFonts w:ascii="Bookman Old Style" w:hAnsi="Bookman Old Style"/>
          <w:i/>
          <w:iCs/>
        </w:rPr>
        <w:t>municipio de Yumbo – Valle del Cauca, en el mes m, dad</w:t>
      </w:r>
      <w:r w:rsidR="001D75FA">
        <w:rPr>
          <w:rFonts w:ascii="Bookman Old Style" w:hAnsi="Bookman Old Style"/>
          <w:i/>
          <w:iCs/>
        </w:rPr>
        <w:t>o</w:t>
      </w:r>
      <w:r w:rsidRPr="0051077F">
        <w:rPr>
          <w:rFonts w:ascii="Bookman Old Style" w:hAnsi="Bookman Old Style"/>
          <w:i/>
          <w:iCs/>
        </w:rPr>
        <w:t xml:space="preserve"> en MPCD</w:t>
      </w:r>
      <w:r w:rsidR="000C6979">
        <w:rPr>
          <w:rFonts w:ascii="Bookman Old Style" w:hAnsi="Bookman Old Style"/>
          <w:i/>
          <w:iCs/>
        </w:rPr>
        <w:t>.</w:t>
      </w:r>
    </w:p>
    <w:p w14:paraId="64A3C362" w14:textId="197DF40C"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CDSIY:</w:t>
      </w:r>
      <w:r w:rsidRPr="0051077F">
        <w:rPr>
          <w:rFonts w:ascii="Bookman Old Style" w:hAnsi="Bookman Old Style" w:cs="Arial"/>
          <w:bCs/>
          <w:i/>
          <w:iCs/>
          <w:color w:val="000000"/>
        </w:rPr>
        <w:tab/>
        <w:t xml:space="preserve">Capacidad de regasificación </w:t>
      </w:r>
      <w:r w:rsidR="00996F6F">
        <w:rPr>
          <w:rFonts w:ascii="Bookman Old Style" w:hAnsi="Bookman Old Style" w:cs="Arial"/>
          <w:bCs/>
          <w:i/>
          <w:iCs/>
          <w:color w:val="000000"/>
        </w:rPr>
        <w:t>de la Infraestructura de Importación de Ga</w:t>
      </w:r>
      <w:r w:rsidR="00996F6F" w:rsidRPr="00F42394">
        <w:rPr>
          <w:rFonts w:ascii="Bookman Old Style" w:hAnsi="Bookman Old Style" w:cs="Arial"/>
          <w:bCs/>
          <w:i/>
          <w:iCs/>
          <w:color w:val="000000"/>
        </w:rPr>
        <w:t xml:space="preserve">s </w:t>
      </w:r>
      <w:r w:rsidRPr="00F42394">
        <w:rPr>
          <w:rFonts w:ascii="Bookman Old Style" w:hAnsi="Bookman Old Style" w:cs="Arial"/>
          <w:bCs/>
          <w:i/>
          <w:iCs/>
          <w:color w:val="000000"/>
        </w:rPr>
        <w:t>del Pacífico</w:t>
      </w:r>
      <w:r w:rsidR="007B10D6">
        <w:rPr>
          <w:rFonts w:ascii="Bookman Old Style" w:hAnsi="Bookman Old Style" w:cs="Arial"/>
          <w:bCs/>
          <w:i/>
          <w:iCs/>
          <w:color w:val="000000"/>
        </w:rPr>
        <w:t>,</w:t>
      </w:r>
      <w:r w:rsidR="004F05F8" w:rsidRPr="00F42394">
        <w:rPr>
          <w:rFonts w:ascii="Bookman Old Style" w:hAnsi="Bookman Old Style"/>
          <w:i/>
          <w:iCs/>
        </w:rPr>
        <w:t xml:space="preserve"> </w:t>
      </w:r>
      <w:r w:rsidR="004D1B53">
        <w:rPr>
          <w:rFonts w:ascii="Bookman Old Style" w:hAnsi="Bookman Old Style"/>
          <w:i/>
          <w:iCs/>
        </w:rPr>
        <w:t>de acuerdo con</w:t>
      </w:r>
      <w:r w:rsidR="004F05F8">
        <w:rPr>
          <w:rFonts w:ascii="Bookman Old Style" w:hAnsi="Bookman Old Style" w:cs="Arial"/>
          <w:bCs/>
          <w:i/>
          <w:iCs/>
          <w:color w:val="000000"/>
        </w:rPr>
        <w:t xml:space="preserve"> </w:t>
      </w:r>
      <w:r w:rsidR="003D5C8C">
        <w:rPr>
          <w:rFonts w:ascii="Bookman Old Style" w:hAnsi="Bookman Old Style" w:cs="Arial"/>
          <w:bCs/>
          <w:i/>
          <w:iCs/>
          <w:color w:val="000000"/>
        </w:rPr>
        <w:t>l</w:t>
      </w:r>
      <w:r w:rsidR="004F05F8">
        <w:rPr>
          <w:rFonts w:ascii="Bookman Old Style" w:hAnsi="Bookman Old Style" w:cs="Arial"/>
          <w:bCs/>
          <w:i/>
          <w:iCs/>
          <w:color w:val="000000"/>
        </w:rPr>
        <w:t>a</w:t>
      </w:r>
      <w:r w:rsidR="003D5C8C">
        <w:rPr>
          <w:rFonts w:ascii="Bookman Old Style" w:hAnsi="Bookman Old Style" w:cs="Arial"/>
          <w:bCs/>
          <w:i/>
          <w:iCs/>
          <w:color w:val="000000"/>
        </w:rPr>
        <w:t xml:space="preserve"> </w:t>
      </w:r>
      <w:r w:rsidRPr="0051077F">
        <w:rPr>
          <w:rFonts w:ascii="Bookman Old Style" w:hAnsi="Bookman Old Style" w:cs="Arial"/>
          <w:bCs/>
          <w:i/>
          <w:iCs/>
          <w:color w:val="000000"/>
        </w:rPr>
        <w:t>establecid</w:t>
      </w:r>
      <w:r w:rsidR="004F05F8">
        <w:rPr>
          <w:rFonts w:ascii="Bookman Old Style" w:hAnsi="Bookman Old Style" w:cs="Arial"/>
          <w:bCs/>
          <w:i/>
          <w:iCs/>
          <w:color w:val="000000"/>
        </w:rPr>
        <w:t>a</w:t>
      </w:r>
      <w:r w:rsidRPr="0051077F">
        <w:rPr>
          <w:rFonts w:ascii="Bookman Old Style" w:hAnsi="Bookman Old Style" w:cs="Arial"/>
          <w:bCs/>
          <w:i/>
          <w:iCs/>
          <w:color w:val="000000"/>
        </w:rPr>
        <w:t xml:space="preserve"> en </w:t>
      </w:r>
      <w:r w:rsidR="00BC5C6D">
        <w:rPr>
          <w:rFonts w:ascii="Bookman Old Style" w:hAnsi="Bookman Old Style" w:cs="Arial"/>
          <w:bCs/>
          <w:i/>
          <w:iCs/>
          <w:color w:val="000000"/>
        </w:rPr>
        <w:t>el Plan de Abastecimiento de Gas Natural</w:t>
      </w:r>
      <w:r w:rsidRPr="0051077F">
        <w:rPr>
          <w:rFonts w:ascii="Bookman Old Style" w:hAnsi="Bookman Old Style" w:cs="Arial"/>
          <w:bCs/>
          <w:i/>
          <w:iCs/>
          <w:color w:val="000000"/>
        </w:rPr>
        <w:t>, dad</w:t>
      </w:r>
      <w:r w:rsidR="005273BE">
        <w:rPr>
          <w:rFonts w:ascii="Bookman Old Style" w:hAnsi="Bookman Old Style" w:cs="Arial"/>
          <w:bCs/>
          <w:i/>
          <w:iCs/>
          <w:color w:val="000000"/>
        </w:rPr>
        <w:t>a</w:t>
      </w:r>
      <w:r w:rsidRPr="0051077F">
        <w:rPr>
          <w:rFonts w:ascii="Bookman Old Style" w:hAnsi="Bookman Old Style" w:cs="Arial"/>
          <w:bCs/>
          <w:i/>
          <w:iCs/>
          <w:color w:val="000000"/>
        </w:rPr>
        <w:t xml:space="preserve"> en MPCD.</w:t>
      </w:r>
    </w:p>
    <w:p w14:paraId="798B76EA" w14:textId="1E99075C" w:rsidR="006F7566" w:rsidRPr="0051077F" w:rsidRDefault="006F7566" w:rsidP="0051077F">
      <w:pPr>
        <w:spacing w:before="240" w:after="240"/>
        <w:ind w:left="1701" w:hanging="1417"/>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Valor mensualizado del primer año del período estándar de pagos, que se obtiene de dividir por 12 el IAE </w:t>
      </w:r>
      <w:r w:rsidR="000B5E71">
        <w:rPr>
          <w:rFonts w:ascii="Bookman Old Style" w:hAnsi="Bookman Old Style" w:cs="Arial"/>
          <w:bCs/>
          <w:i/>
          <w:iCs/>
          <w:color w:val="000000"/>
        </w:rPr>
        <w:t>adjudicado</w:t>
      </w:r>
      <w:r w:rsidR="00934A31">
        <w:rPr>
          <w:rFonts w:ascii="Bookman Old Style" w:hAnsi="Bookman Old Style" w:cs="Arial"/>
          <w:bCs/>
          <w:i/>
          <w:iCs/>
          <w:color w:val="000000"/>
        </w:rPr>
        <w:t xml:space="preserve"> </w:t>
      </w:r>
      <w:r w:rsidRPr="0051077F">
        <w:rPr>
          <w:rFonts w:ascii="Bookman Old Style" w:hAnsi="Bookman Old Style" w:cs="Arial"/>
          <w:bCs/>
          <w:i/>
          <w:iCs/>
          <w:color w:val="000000"/>
        </w:rPr>
        <w:t>del primer año del PEP.</w:t>
      </w:r>
    </w:p>
    <w:p w14:paraId="28E8908F" w14:textId="201E9782" w:rsidR="00B45B76" w:rsidRPr="00B45B76" w:rsidRDefault="00B45B76" w:rsidP="00B45B76">
      <w:pPr>
        <w:pStyle w:val="Prrafodelista"/>
        <w:ind w:left="284"/>
        <w:jc w:val="both"/>
        <w:rPr>
          <w:rFonts w:ascii="Bookman Old Style" w:hAnsi="Bookman Old Style"/>
          <w:sz w:val="24"/>
          <w:szCs w:val="24"/>
        </w:rPr>
      </w:pPr>
      <w:r w:rsidRPr="00B45B76">
        <w:rPr>
          <w:rFonts w:ascii="Bookman Old Style" w:hAnsi="Bookman Old Style" w:cs="Arial"/>
          <w:b/>
          <w:i/>
          <w:iCs/>
          <w:color w:val="000000"/>
          <w:sz w:val="24"/>
          <w:szCs w:val="24"/>
        </w:rPr>
        <w:t xml:space="preserve">Parágrafo 1: </w:t>
      </w:r>
      <w:r w:rsidRPr="00B45B76">
        <w:rPr>
          <w:rFonts w:ascii="Bookman Old Style" w:hAnsi="Bookman Old Style"/>
          <w:bCs/>
          <w:i/>
          <w:iCs/>
          <w:sz w:val="24"/>
          <w:szCs w:val="24"/>
        </w:rPr>
        <w:t>Si l</w:t>
      </w:r>
      <w:r w:rsidRPr="00B45B76">
        <w:rPr>
          <w:rFonts w:ascii="Bookman Old Style" w:hAnsi="Bookman Old Style"/>
          <w:i/>
          <w:iCs/>
          <w:sz w:val="24"/>
          <w:szCs w:val="24"/>
        </w:rPr>
        <w:t xml:space="preserve">a fecha </w:t>
      </w:r>
      <w:r w:rsidR="000020AC">
        <w:rPr>
          <w:rFonts w:ascii="Bookman Old Style" w:hAnsi="Bookman Old Style"/>
          <w:i/>
          <w:iCs/>
          <w:sz w:val="24"/>
          <w:szCs w:val="24"/>
        </w:rPr>
        <w:t xml:space="preserve">anticipada </w:t>
      </w:r>
      <w:r w:rsidRPr="00B45B76">
        <w:rPr>
          <w:rFonts w:ascii="Bookman Old Style" w:hAnsi="Bookman Old Style"/>
          <w:i/>
          <w:iCs/>
          <w:sz w:val="24"/>
          <w:szCs w:val="24"/>
        </w:rPr>
        <w:t xml:space="preserve">de entrada </w:t>
      </w:r>
      <w:r w:rsidR="0065029D">
        <w:rPr>
          <w:rFonts w:ascii="Bookman Old Style" w:hAnsi="Bookman Old Style"/>
          <w:i/>
          <w:iCs/>
          <w:sz w:val="24"/>
          <w:szCs w:val="24"/>
        </w:rPr>
        <w:t>e</w:t>
      </w:r>
      <w:r w:rsidR="000020AC">
        <w:rPr>
          <w:rFonts w:ascii="Bookman Old Style" w:hAnsi="Bookman Old Style"/>
          <w:i/>
          <w:iCs/>
          <w:sz w:val="24"/>
          <w:szCs w:val="24"/>
        </w:rPr>
        <w:t>n operación</w:t>
      </w:r>
      <w:r w:rsidRPr="00B45B76">
        <w:rPr>
          <w:rFonts w:ascii="Bookman Old Style" w:hAnsi="Bookman Old Style"/>
          <w:i/>
          <w:iCs/>
          <w:sz w:val="24"/>
          <w:szCs w:val="24"/>
        </w:rPr>
        <w:t xml:space="preserve"> no está establecida en el Plan de Abastecimiento de Gas Natural, el adjudicatario podrá poner en operación el proyecto sin recibir los pagos mencionados anteriormente</w:t>
      </w:r>
      <w:r w:rsidR="0071165E">
        <w:rPr>
          <w:rFonts w:ascii="Bookman Old Style" w:hAnsi="Bookman Old Style"/>
          <w:i/>
          <w:iCs/>
          <w:sz w:val="24"/>
          <w:szCs w:val="24"/>
        </w:rPr>
        <w:t>,</w:t>
      </w:r>
      <w:r w:rsidRPr="00B45B76">
        <w:rPr>
          <w:rFonts w:ascii="Bookman Old Style" w:hAnsi="Bookman Old Style"/>
          <w:i/>
          <w:iCs/>
          <w:sz w:val="24"/>
          <w:szCs w:val="24"/>
        </w:rPr>
        <w:t xml:space="preserve"> hasta la FPO.</w:t>
      </w:r>
      <w:r w:rsidRPr="00B45B76">
        <w:rPr>
          <w:rFonts w:ascii="Bookman Old Style" w:hAnsi="Bookman Old Style"/>
          <w:sz w:val="24"/>
          <w:szCs w:val="24"/>
        </w:rPr>
        <w:t xml:space="preserve"> </w:t>
      </w:r>
    </w:p>
    <w:p w14:paraId="6F02C785" w14:textId="5D960959" w:rsidR="00D21EDD" w:rsidRPr="00C20C9B" w:rsidRDefault="00D21EDD" w:rsidP="00E80BEA">
      <w:pPr>
        <w:spacing w:before="240" w:after="240"/>
        <w:ind w:left="284"/>
        <w:jc w:val="both"/>
        <w:rPr>
          <w:rFonts w:ascii="Bookman Old Style" w:hAnsi="Bookman Old Style" w:cs="Arial"/>
          <w:b/>
          <w:i/>
          <w:iCs/>
          <w:color w:val="000000"/>
        </w:rPr>
      </w:pPr>
      <w:r w:rsidRPr="00FD1465">
        <w:rPr>
          <w:rFonts w:ascii="Bookman Old Style" w:hAnsi="Bookman Old Style" w:cs="Arial"/>
          <w:b/>
          <w:i/>
          <w:iCs/>
          <w:color w:val="000000"/>
        </w:rPr>
        <w:t>Parágrafo</w:t>
      </w:r>
      <w:r>
        <w:rPr>
          <w:rFonts w:ascii="Bookman Old Style" w:hAnsi="Bookman Old Style" w:cs="Arial"/>
          <w:b/>
          <w:i/>
          <w:iCs/>
          <w:color w:val="000000"/>
        </w:rPr>
        <w:t xml:space="preserve"> </w:t>
      </w:r>
      <w:r w:rsidR="00B45B76">
        <w:rPr>
          <w:rFonts w:ascii="Bookman Old Style" w:hAnsi="Bookman Old Style" w:cs="Arial"/>
          <w:b/>
          <w:i/>
          <w:iCs/>
          <w:color w:val="000000"/>
        </w:rPr>
        <w:t>2</w:t>
      </w:r>
      <w:r w:rsidRPr="00FD1465">
        <w:rPr>
          <w:rFonts w:ascii="Bookman Old Style" w:hAnsi="Bookman Old Style" w:cs="Arial"/>
          <w:b/>
          <w:i/>
          <w:iCs/>
          <w:color w:val="000000"/>
        </w:rPr>
        <w:t xml:space="preserve">: </w:t>
      </w:r>
      <w:r w:rsidRPr="00FD1465">
        <w:rPr>
          <w:rFonts w:ascii="Bookman Old Style" w:hAnsi="Bookman Old Style" w:cs="Arial"/>
          <w:bCs/>
          <w:i/>
          <w:iCs/>
          <w:color w:val="000000"/>
        </w:rPr>
        <w:t xml:space="preserve">Con el fin de determinar el valor a facturar </w:t>
      </w:r>
      <w:r>
        <w:rPr>
          <w:rFonts w:ascii="Bookman Old Style" w:hAnsi="Bookman Old Style" w:cs="Arial"/>
          <w:bCs/>
          <w:i/>
          <w:iCs/>
          <w:color w:val="000000"/>
        </w:rPr>
        <w:t xml:space="preserve">por parte del </w:t>
      </w:r>
      <w:r w:rsidRPr="00C20C9B">
        <w:rPr>
          <w:rFonts w:ascii="Bookman Old Style" w:hAnsi="Bookman Old Style" w:cs="Arial"/>
          <w:bCs/>
          <w:i/>
          <w:iCs/>
          <w:color w:val="000000"/>
        </w:rPr>
        <w:t>adjudicatario a los transportadores, se deberá aplicar lo contemplado en el Artículo 17 de la resolución CREG 107 de 2017 o aquellas que la modifiquen o sustituyan.</w:t>
      </w:r>
    </w:p>
    <w:p w14:paraId="0F9619BF" w14:textId="6F994472" w:rsidR="00605857" w:rsidRPr="00C20C9B" w:rsidRDefault="00605857" w:rsidP="00605857">
      <w:pPr>
        <w:spacing w:before="240" w:after="240"/>
        <w:ind w:left="284"/>
        <w:jc w:val="both"/>
        <w:rPr>
          <w:rFonts w:ascii="Bookman Old Style" w:hAnsi="Bookman Old Style" w:cs="Arial"/>
          <w:b/>
          <w:i/>
          <w:iCs/>
          <w:color w:val="000000"/>
        </w:rPr>
      </w:pPr>
      <w:r w:rsidRPr="00C20C9B">
        <w:rPr>
          <w:rFonts w:ascii="Bookman Old Style" w:hAnsi="Bookman Old Style" w:cs="Arial"/>
          <w:b/>
          <w:i/>
          <w:iCs/>
          <w:color w:val="000000"/>
        </w:rPr>
        <w:t xml:space="preserve">Parágrafo </w:t>
      </w:r>
      <w:r w:rsidR="00B45B76" w:rsidRPr="00C20C9B">
        <w:rPr>
          <w:rFonts w:ascii="Bookman Old Style" w:hAnsi="Bookman Old Style" w:cs="Arial"/>
          <w:b/>
          <w:i/>
          <w:iCs/>
          <w:color w:val="000000"/>
        </w:rPr>
        <w:t>3</w:t>
      </w:r>
      <w:r w:rsidRPr="00C20C9B">
        <w:rPr>
          <w:rFonts w:ascii="Bookman Old Style" w:hAnsi="Bookman Old Style" w:cs="Arial"/>
          <w:b/>
          <w:i/>
          <w:iCs/>
          <w:color w:val="000000"/>
        </w:rPr>
        <w:t xml:space="preserve">: </w:t>
      </w:r>
      <w:r w:rsidRPr="00C20C9B">
        <w:rPr>
          <w:rFonts w:ascii="Bookman Old Style" w:hAnsi="Bookman Old Style" w:cs="Arial"/>
          <w:bCs/>
          <w:i/>
          <w:iCs/>
          <w:color w:val="000000"/>
        </w:rPr>
        <w:t xml:space="preserve">Para efectos de reconocimiento de ingreso regulado por operación parcial, la fecha de puesta en operación parcial no podrá ser posterior a </w:t>
      </w:r>
      <w:r w:rsidRPr="00C20C9B">
        <w:rPr>
          <w:rFonts w:ascii="Bookman Old Style" w:hAnsi="Bookman Old Style" w:cs="Arial"/>
          <w:i/>
          <w:iCs/>
          <w:color w:val="000000"/>
        </w:rPr>
        <w:t>la fecha señalada en el literal c) del numeral vii) del numeral 1.2 del Artículo 1 de la Resolución 40304 del Ministerio de Minas y Energía, o aquellas que la modifiquen o sustituyan</w:t>
      </w:r>
      <w:r w:rsidR="00151D80">
        <w:rPr>
          <w:rFonts w:ascii="Bookman Old Style" w:hAnsi="Bookman Old Style" w:cs="Arial"/>
          <w:i/>
          <w:iCs/>
          <w:color w:val="000000"/>
        </w:rPr>
        <w:t>.</w:t>
      </w:r>
    </w:p>
    <w:p w14:paraId="699A4BA9" w14:textId="79D8A879" w:rsidR="00605857" w:rsidRDefault="00605857" w:rsidP="00605857">
      <w:pPr>
        <w:spacing w:before="240" w:after="240"/>
        <w:ind w:left="284"/>
        <w:jc w:val="both"/>
        <w:rPr>
          <w:rFonts w:ascii="Bookman Old Style" w:hAnsi="Bookman Old Style" w:cs="Arial"/>
          <w:b/>
          <w:i/>
          <w:iCs/>
          <w:color w:val="000000"/>
        </w:rPr>
      </w:pPr>
      <w:r w:rsidRPr="00C20C9B">
        <w:rPr>
          <w:rFonts w:ascii="Bookman Old Style" w:hAnsi="Bookman Old Style" w:cs="Arial"/>
          <w:b/>
          <w:i/>
          <w:iCs/>
          <w:color w:val="000000"/>
        </w:rPr>
        <w:t xml:space="preserve">Parágrafo </w:t>
      </w:r>
      <w:r w:rsidR="00B45B76" w:rsidRPr="00C20C9B">
        <w:rPr>
          <w:rFonts w:ascii="Bookman Old Style" w:hAnsi="Bookman Old Style" w:cs="Arial"/>
          <w:b/>
          <w:i/>
          <w:iCs/>
          <w:color w:val="000000"/>
        </w:rPr>
        <w:t>4</w:t>
      </w:r>
      <w:r w:rsidRPr="00C20C9B">
        <w:rPr>
          <w:rFonts w:ascii="Bookman Old Style" w:hAnsi="Bookman Old Style" w:cs="Arial"/>
          <w:b/>
          <w:i/>
          <w:iCs/>
          <w:color w:val="000000"/>
        </w:rPr>
        <w:t>:</w:t>
      </w:r>
      <w:r w:rsidRPr="00C20C9B">
        <w:rPr>
          <w:rFonts w:ascii="Bookman Old Style" w:hAnsi="Bookman Old Style" w:cs="Arial"/>
          <w:bCs/>
          <w:i/>
          <w:iCs/>
          <w:color w:val="000000"/>
        </w:rPr>
        <w:t xml:space="preserve"> Durante la operación parcial, para la entrega de gas regasificado al Sistema Nacional de Transporte </w:t>
      </w:r>
      <w:r w:rsidRPr="00C20C9B">
        <w:rPr>
          <w:rFonts w:ascii="Bookman Old Style" w:hAnsi="Bookman Old Style"/>
          <w:i/>
          <w:iCs/>
        </w:rPr>
        <w:t>en un punto de entrega ubicado en el límite geopolítico del municipio de Yumbo – Valle del Cauca, el adjudicatario podrá utilizar modos de transporte de gas diferentes al transporte por gasoducto</w:t>
      </w:r>
      <w:r w:rsidR="00FC68F6" w:rsidRPr="00C20C9B">
        <w:rPr>
          <w:rFonts w:ascii="Bookman Old Style" w:hAnsi="Bookman Old Style"/>
          <w:i/>
          <w:iCs/>
        </w:rPr>
        <w:t>.</w:t>
      </w:r>
    </w:p>
    <w:p w14:paraId="051E8CAF" w14:textId="1D3FD0C4" w:rsidR="006F7566" w:rsidRDefault="006F7566" w:rsidP="009327FF">
      <w:pPr>
        <w:spacing w:before="240" w:after="240"/>
        <w:ind w:left="284"/>
        <w:jc w:val="both"/>
        <w:rPr>
          <w:rFonts w:ascii="Bookman Old Style" w:hAnsi="Bookman Old Style" w:cs="Arial"/>
          <w:bCs/>
          <w:i/>
          <w:iCs/>
          <w:color w:val="000000"/>
        </w:rPr>
      </w:pPr>
      <w:r w:rsidRPr="0051077F">
        <w:rPr>
          <w:rFonts w:ascii="Bookman Old Style" w:hAnsi="Bookman Old Style" w:cs="Arial"/>
          <w:b/>
          <w:i/>
          <w:iCs/>
          <w:color w:val="000000"/>
        </w:rPr>
        <w:t>Parágrafo</w:t>
      </w:r>
      <w:r w:rsidR="00605857">
        <w:rPr>
          <w:rFonts w:ascii="Bookman Old Style" w:hAnsi="Bookman Old Style" w:cs="Arial"/>
          <w:b/>
          <w:i/>
          <w:iCs/>
          <w:color w:val="000000"/>
        </w:rPr>
        <w:t xml:space="preserve"> </w:t>
      </w:r>
      <w:r w:rsidR="00B45B76">
        <w:rPr>
          <w:rFonts w:ascii="Bookman Old Style" w:hAnsi="Bookman Old Style" w:cs="Arial"/>
          <w:b/>
          <w:i/>
          <w:iCs/>
          <w:color w:val="000000"/>
        </w:rPr>
        <w:t>5</w:t>
      </w:r>
      <w:r w:rsidRPr="0051077F">
        <w:rPr>
          <w:rFonts w:ascii="Bookman Old Style" w:hAnsi="Bookman Old Style" w:cs="Arial"/>
          <w:b/>
          <w:i/>
          <w:iCs/>
          <w:color w:val="000000"/>
        </w:rPr>
        <w:t>:</w:t>
      </w:r>
      <w:r w:rsidRPr="0051077F">
        <w:rPr>
          <w:rFonts w:ascii="Bookman Old Style" w:hAnsi="Bookman Old Style" w:cs="Arial"/>
          <w:bCs/>
          <w:i/>
          <w:iCs/>
          <w:color w:val="000000"/>
        </w:rPr>
        <w:t xml:space="preserve"> </w:t>
      </w:r>
      <w:r w:rsidR="003F76B1">
        <w:rPr>
          <w:rFonts w:ascii="Bookman Old Style" w:hAnsi="Bookman Old Style" w:cs="Arial"/>
          <w:bCs/>
          <w:i/>
          <w:iCs/>
          <w:color w:val="000000"/>
        </w:rPr>
        <w:t>E</w:t>
      </w:r>
      <w:r w:rsidR="005C3352">
        <w:rPr>
          <w:rFonts w:ascii="Bookman Old Style" w:hAnsi="Bookman Old Style" w:cs="Arial"/>
          <w:bCs/>
          <w:i/>
          <w:iCs/>
          <w:color w:val="000000"/>
        </w:rPr>
        <w:t xml:space="preserve">l adjudicatario solicitará a </w:t>
      </w:r>
      <w:r w:rsidR="003F76B1">
        <w:rPr>
          <w:rFonts w:ascii="Bookman Old Style" w:hAnsi="Bookman Old Style" w:cs="Arial"/>
          <w:bCs/>
          <w:i/>
          <w:iCs/>
          <w:color w:val="000000"/>
        </w:rPr>
        <w:t xml:space="preserve">la </w:t>
      </w:r>
      <w:r w:rsidR="00B3694F">
        <w:rPr>
          <w:rFonts w:ascii="Bookman Old Style" w:hAnsi="Bookman Old Style" w:cs="Arial"/>
          <w:bCs/>
          <w:i/>
          <w:iCs/>
          <w:color w:val="000000"/>
        </w:rPr>
        <w:t xml:space="preserve">UPME </w:t>
      </w:r>
      <w:r w:rsidR="005C3352">
        <w:rPr>
          <w:rFonts w:ascii="Bookman Old Style" w:hAnsi="Bookman Old Style" w:cs="Arial"/>
          <w:bCs/>
          <w:i/>
          <w:iCs/>
          <w:color w:val="000000"/>
        </w:rPr>
        <w:t>un</w:t>
      </w:r>
      <w:r w:rsidR="00FC3318">
        <w:rPr>
          <w:rFonts w:ascii="Bookman Old Style" w:hAnsi="Bookman Old Style" w:cs="Arial"/>
          <w:bCs/>
          <w:i/>
          <w:iCs/>
          <w:color w:val="000000"/>
        </w:rPr>
        <w:t xml:space="preserve"> concepto </w:t>
      </w:r>
      <w:r w:rsidR="003D7A1B">
        <w:rPr>
          <w:rFonts w:ascii="Bookman Old Style" w:hAnsi="Bookman Old Style" w:cs="Arial"/>
          <w:bCs/>
          <w:i/>
          <w:iCs/>
          <w:color w:val="000000"/>
        </w:rPr>
        <w:t>sobre su propuesta de entrada en operación parcial anticipada</w:t>
      </w:r>
      <w:r w:rsidR="00BA3588">
        <w:rPr>
          <w:rFonts w:ascii="Bookman Old Style" w:hAnsi="Bookman Old Style" w:cs="Arial"/>
          <w:bCs/>
          <w:i/>
          <w:iCs/>
          <w:color w:val="000000"/>
        </w:rPr>
        <w:t xml:space="preserve">, de acuerdo con el procedimiento que dicha entidad establezca para ese fin. </w:t>
      </w:r>
      <w:r w:rsidR="00211EC3">
        <w:rPr>
          <w:rFonts w:ascii="Bookman Old Style" w:hAnsi="Bookman Old Style" w:cs="Arial"/>
          <w:bCs/>
          <w:i/>
          <w:iCs/>
          <w:color w:val="000000"/>
        </w:rPr>
        <w:t>C</w:t>
      </w:r>
      <w:r w:rsidR="00421899">
        <w:rPr>
          <w:rFonts w:ascii="Bookman Old Style" w:hAnsi="Bookman Old Style" w:cs="Arial"/>
          <w:bCs/>
          <w:i/>
          <w:iCs/>
          <w:color w:val="000000"/>
        </w:rPr>
        <w:t xml:space="preserve">on base en </w:t>
      </w:r>
      <w:r w:rsidR="00665317">
        <w:rPr>
          <w:rFonts w:ascii="Bookman Old Style" w:hAnsi="Bookman Old Style" w:cs="Arial"/>
          <w:bCs/>
          <w:i/>
          <w:iCs/>
          <w:color w:val="000000"/>
        </w:rPr>
        <w:t>lo anterior</w:t>
      </w:r>
      <w:r w:rsidR="00421899">
        <w:rPr>
          <w:rFonts w:ascii="Bookman Old Style" w:hAnsi="Bookman Old Style" w:cs="Arial"/>
          <w:bCs/>
          <w:i/>
          <w:iCs/>
          <w:color w:val="000000"/>
        </w:rPr>
        <w:t>, e</w:t>
      </w:r>
      <w:r w:rsidRPr="0051077F">
        <w:rPr>
          <w:rFonts w:ascii="Bookman Old Style" w:hAnsi="Bookman Old Style" w:cs="Arial"/>
          <w:bCs/>
          <w:i/>
          <w:iCs/>
          <w:color w:val="000000"/>
        </w:rPr>
        <w:t xml:space="preserve">l auditor deberá certificar </w:t>
      </w:r>
      <w:r w:rsidR="00211EC3">
        <w:rPr>
          <w:rFonts w:ascii="Bookman Old Style" w:hAnsi="Bookman Old Style" w:cs="Arial"/>
          <w:bCs/>
          <w:i/>
          <w:iCs/>
          <w:color w:val="000000"/>
        </w:rPr>
        <w:t xml:space="preserve">el cumplimiento de </w:t>
      </w:r>
      <w:r w:rsidR="00EA52A2">
        <w:rPr>
          <w:rFonts w:ascii="Bookman Old Style" w:hAnsi="Bookman Old Style" w:cs="Arial"/>
          <w:bCs/>
          <w:i/>
          <w:iCs/>
          <w:color w:val="000000"/>
        </w:rPr>
        <w:t>dichos procedimientos y características</w:t>
      </w:r>
      <w:r w:rsidR="00211EC3">
        <w:rPr>
          <w:rFonts w:ascii="Bookman Old Style" w:hAnsi="Bookman Old Style" w:cs="Arial"/>
          <w:bCs/>
          <w:i/>
          <w:iCs/>
          <w:color w:val="000000"/>
        </w:rPr>
        <w:t xml:space="preserve"> y </w:t>
      </w:r>
      <w:r w:rsidR="007B66A3">
        <w:rPr>
          <w:rFonts w:ascii="Bookman Old Style" w:hAnsi="Bookman Old Style" w:cs="Arial"/>
          <w:bCs/>
          <w:i/>
          <w:iCs/>
          <w:color w:val="000000"/>
        </w:rPr>
        <w:t>el valor</w:t>
      </w:r>
      <w:r w:rsidRPr="0051077F">
        <w:rPr>
          <w:rFonts w:ascii="Bookman Old Style" w:hAnsi="Bookman Old Style" w:cs="Arial"/>
          <w:bCs/>
          <w:i/>
          <w:iCs/>
          <w:color w:val="000000"/>
        </w:rPr>
        <w:t xml:space="preserve"> de la capacidad puesta en operación parcial establecida en la ecuación anterior.</w:t>
      </w:r>
      <w:r w:rsidR="0051077F">
        <w:rPr>
          <w:rFonts w:ascii="Bookman Old Style" w:hAnsi="Bookman Old Style" w:cs="Arial"/>
          <w:bCs/>
          <w:i/>
          <w:iCs/>
          <w:color w:val="000000"/>
        </w:rPr>
        <w:t>”</w:t>
      </w:r>
    </w:p>
    <w:p w14:paraId="0007B9EB" w14:textId="5ED2BBDE" w:rsidR="006F7566" w:rsidRDefault="006F7566" w:rsidP="006F7566">
      <w:pPr>
        <w:spacing w:before="240" w:after="240"/>
        <w:ind w:left="0"/>
        <w:jc w:val="both"/>
        <w:rPr>
          <w:rFonts w:ascii="Bookman Old Style" w:hAnsi="Bookman Old Style" w:cs="Arial"/>
          <w:bCs/>
          <w:color w:val="000000"/>
        </w:rPr>
      </w:pPr>
      <w:r w:rsidRPr="00356462">
        <w:rPr>
          <w:rFonts w:ascii="Bookman Old Style" w:hAnsi="Bookman Old Style"/>
          <w:b/>
          <w:bCs/>
          <w:lang w:val="es-CO"/>
        </w:rPr>
        <w:t xml:space="preserve">Artículo </w:t>
      </w:r>
      <w:r w:rsidR="00773043">
        <w:rPr>
          <w:rFonts w:ascii="Bookman Old Style" w:hAnsi="Bookman Old Style"/>
          <w:b/>
          <w:bCs/>
          <w:lang w:val="es-CO"/>
        </w:rPr>
        <w:t>9</w:t>
      </w:r>
      <w:r w:rsidRPr="00356462">
        <w:rPr>
          <w:rFonts w:ascii="Bookman Old Style" w:hAnsi="Bookman Old Style"/>
          <w:b/>
          <w:bCs/>
          <w:lang w:val="es-CO"/>
        </w:rPr>
        <w:t xml:space="preserve">. </w:t>
      </w:r>
      <w:r>
        <w:rPr>
          <w:rFonts w:ascii="Bookman Old Style" w:hAnsi="Bookman Old Style" w:cs="Arial"/>
          <w:bCs/>
          <w:color w:val="000000"/>
        </w:rPr>
        <w:t xml:space="preserve">Adiciónese el siguiente artículo a la Resolución CREG 152 de 2017, así: </w:t>
      </w:r>
    </w:p>
    <w:p w14:paraId="67640A6A" w14:textId="48F1BFFB" w:rsidR="001464E0" w:rsidRPr="00E068AB" w:rsidRDefault="0051077F" w:rsidP="0051077F">
      <w:pPr>
        <w:spacing w:before="240" w:after="240"/>
        <w:ind w:left="284"/>
        <w:jc w:val="both"/>
        <w:rPr>
          <w:rFonts w:ascii="Bookman Old Style" w:hAnsi="Bookman Old Style"/>
          <w:i/>
          <w:iCs/>
          <w:lang w:val="es-CO"/>
        </w:rPr>
      </w:pPr>
      <w:r w:rsidRPr="00E068AB">
        <w:rPr>
          <w:rFonts w:ascii="Bookman Old Style" w:hAnsi="Bookman Old Style"/>
          <w:b/>
          <w:bCs/>
          <w:i/>
          <w:iCs/>
          <w:lang w:val="es-CO"/>
        </w:rPr>
        <w:t>“</w:t>
      </w:r>
      <w:r w:rsidR="006F7566" w:rsidRPr="006D62FB">
        <w:rPr>
          <w:rFonts w:ascii="Bookman Old Style" w:hAnsi="Bookman Old Style"/>
          <w:b/>
          <w:bCs/>
          <w:i/>
          <w:iCs/>
          <w:lang w:val="es-CO"/>
        </w:rPr>
        <w:t>Artículo 1</w:t>
      </w:r>
      <w:r w:rsidR="00F21032" w:rsidRPr="006D62FB">
        <w:rPr>
          <w:rFonts w:ascii="Bookman Old Style" w:hAnsi="Bookman Old Style"/>
          <w:b/>
          <w:bCs/>
          <w:i/>
          <w:iCs/>
          <w:lang w:val="es-CO"/>
        </w:rPr>
        <w:t>5</w:t>
      </w:r>
      <w:r w:rsidR="006F7566" w:rsidRPr="00E068AB">
        <w:rPr>
          <w:rFonts w:ascii="Bookman Old Style" w:hAnsi="Bookman Old Style"/>
          <w:b/>
          <w:bCs/>
          <w:i/>
          <w:iCs/>
          <w:lang w:val="es-CO"/>
        </w:rPr>
        <w:t>. Compensaciones por indisponibilidad.</w:t>
      </w:r>
      <w:r w:rsidR="006F7566" w:rsidRPr="00E068AB">
        <w:rPr>
          <w:rFonts w:ascii="Bookman Old Style" w:hAnsi="Bookman Old Style"/>
          <w:i/>
          <w:iCs/>
          <w:lang w:val="es-CO"/>
        </w:rPr>
        <w:t xml:space="preserve"> El valor de las compensaciones por indisponibilidad de la infraestructura de importación de gas del Pacífico</w:t>
      </w:r>
      <w:r w:rsidR="00D635D0">
        <w:rPr>
          <w:rFonts w:ascii="Bookman Old Style" w:hAnsi="Bookman Old Style"/>
          <w:i/>
          <w:iCs/>
          <w:lang w:val="es-CO"/>
        </w:rPr>
        <w:t xml:space="preserve">, </w:t>
      </w:r>
      <w:r w:rsidR="00D327D9">
        <w:rPr>
          <w:rFonts w:ascii="Bookman Old Style" w:hAnsi="Bookman Old Style"/>
          <w:i/>
          <w:iCs/>
          <w:lang w:val="es-CO"/>
        </w:rPr>
        <w:t xml:space="preserve">que se establece </w:t>
      </w:r>
      <w:r w:rsidR="00D635D0">
        <w:rPr>
          <w:rFonts w:ascii="Bookman Old Style" w:hAnsi="Bookman Old Style"/>
          <w:i/>
          <w:iCs/>
          <w:lang w:val="es-CO"/>
        </w:rPr>
        <w:t>en el literal b) del Artículo 18 de la Resolución CREG 107 de 2017, o aquellas que la modifiquen, adicionen o sustituyan,</w:t>
      </w:r>
      <w:r w:rsidR="006F7566" w:rsidRPr="00E068AB">
        <w:rPr>
          <w:rFonts w:ascii="Bookman Old Style" w:hAnsi="Bookman Old Style"/>
          <w:i/>
          <w:iCs/>
          <w:lang w:val="es-CO"/>
        </w:rPr>
        <w:t xml:space="preserve"> </w:t>
      </w:r>
      <w:r w:rsidR="001464E0" w:rsidRPr="00E068AB">
        <w:rPr>
          <w:rFonts w:ascii="Bookman Old Style" w:hAnsi="Bookman Old Style"/>
          <w:i/>
          <w:iCs/>
          <w:lang w:val="es-CO"/>
        </w:rPr>
        <w:t>se determinará de la siguiente manera</w:t>
      </w:r>
      <w:r w:rsidR="00A87BBA">
        <w:rPr>
          <w:rFonts w:ascii="Bookman Old Style" w:hAnsi="Bookman Old Style"/>
          <w:i/>
          <w:iCs/>
          <w:lang w:val="es-CO"/>
        </w:rPr>
        <w:t xml:space="preserve"> en el caso </w:t>
      </w:r>
      <w:r w:rsidR="0027689C">
        <w:rPr>
          <w:rFonts w:ascii="Bookman Old Style" w:hAnsi="Bookman Old Style"/>
          <w:i/>
          <w:iCs/>
          <w:lang w:val="es-CO"/>
        </w:rPr>
        <w:t xml:space="preserve">de </w:t>
      </w:r>
      <w:r w:rsidR="00A87BBA">
        <w:rPr>
          <w:rFonts w:ascii="Bookman Old Style" w:hAnsi="Bookman Old Style"/>
          <w:i/>
          <w:iCs/>
          <w:lang w:val="es-CO"/>
        </w:rPr>
        <w:t xml:space="preserve">que se presente una fecha anticipada de </w:t>
      </w:r>
      <w:r w:rsidR="000020AC">
        <w:rPr>
          <w:rFonts w:ascii="Bookman Old Style" w:hAnsi="Bookman Old Style"/>
          <w:i/>
          <w:iCs/>
          <w:lang w:val="es-CO"/>
        </w:rPr>
        <w:t>entrada</w:t>
      </w:r>
      <w:r w:rsidR="00164181">
        <w:rPr>
          <w:rFonts w:ascii="Bookman Old Style" w:hAnsi="Bookman Old Style"/>
          <w:i/>
          <w:iCs/>
          <w:lang w:val="es-CO"/>
        </w:rPr>
        <w:t xml:space="preserve"> en </w:t>
      </w:r>
      <w:r w:rsidR="00B733CE">
        <w:rPr>
          <w:rFonts w:ascii="Bookman Old Style" w:hAnsi="Bookman Old Style"/>
          <w:i/>
          <w:iCs/>
          <w:lang w:val="es-CO"/>
        </w:rPr>
        <w:t>operación, ya sea parcial o total</w:t>
      </w:r>
      <w:r w:rsidR="0055564A">
        <w:rPr>
          <w:rFonts w:ascii="Bookman Old Style" w:hAnsi="Bookman Old Style"/>
          <w:i/>
          <w:iCs/>
          <w:lang w:val="es-CO"/>
        </w:rPr>
        <w:t xml:space="preserve">. En todo caso deberá tenerse en cuenta lo contemplado en los literales </w:t>
      </w:r>
      <w:r w:rsidR="008A3B25">
        <w:rPr>
          <w:rFonts w:ascii="Bookman Old Style" w:hAnsi="Bookman Old Style"/>
          <w:i/>
          <w:iCs/>
          <w:lang w:val="es-CO"/>
        </w:rPr>
        <w:t xml:space="preserve">a), </w:t>
      </w:r>
      <w:r w:rsidR="0055564A">
        <w:rPr>
          <w:rFonts w:ascii="Bookman Old Style" w:hAnsi="Bookman Old Style"/>
          <w:i/>
          <w:iCs/>
          <w:lang w:val="es-CO"/>
        </w:rPr>
        <w:t>c)</w:t>
      </w:r>
      <w:r w:rsidR="008A3B25">
        <w:rPr>
          <w:rFonts w:ascii="Bookman Old Style" w:hAnsi="Bookman Old Style"/>
          <w:i/>
          <w:iCs/>
          <w:lang w:val="es-CO"/>
        </w:rPr>
        <w:t xml:space="preserve">, </w:t>
      </w:r>
      <w:r w:rsidR="0055564A">
        <w:rPr>
          <w:rFonts w:ascii="Bookman Old Style" w:hAnsi="Bookman Old Style"/>
          <w:i/>
          <w:iCs/>
          <w:lang w:val="es-CO"/>
        </w:rPr>
        <w:t>d) y</w:t>
      </w:r>
      <w:r w:rsidR="00E83DAF">
        <w:rPr>
          <w:rFonts w:ascii="Bookman Old Style" w:hAnsi="Bookman Old Style"/>
          <w:i/>
          <w:iCs/>
          <w:lang w:val="es-CO"/>
        </w:rPr>
        <w:t xml:space="preserve"> e) de dicho artículo</w:t>
      </w:r>
      <w:r w:rsidR="001464E0" w:rsidRPr="00E068AB">
        <w:rPr>
          <w:rFonts w:ascii="Bookman Old Style" w:hAnsi="Bookman Old Style"/>
          <w:i/>
          <w:iCs/>
          <w:lang w:val="es-CO"/>
        </w:rPr>
        <w:t>:</w:t>
      </w:r>
    </w:p>
    <w:p w14:paraId="7B37126D" w14:textId="090A8A8E" w:rsidR="00E068AB" w:rsidRDefault="00E068AB" w:rsidP="00E140B1">
      <w:pPr>
        <w:pStyle w:val="Prrafodelista"/>
        <w:numPr>
          <w:ilvl w:val="0"/>
          <w:numId w:val="5"/>
        </w:numPr>
        <w:spacing w:before="240" w:after="240"/>
        <w:jc w:val="both"/>
        <w:rPr>
          <w:rFonts w:ascii="Bookman Old Style" w:hAnsi="Bookman Old Style"/>
          <w:i/>
          <w:iCs/>
          <w:sz w:val="24"/>
          <w:szCs w:val="24"/>
        </w:rPr>
      </w:pPr>
      <w:r w:rsidRPr="00084694">
        <w:rPr>
          <w:rFonts w:ascii="Bookman Old Style" w:hAnsi="Bookman Old Style"/>
          <w:i/>
          <w:iCs/>
          <w:sz w:val="24"/>
          <w:szCs w:val="24"/>
        </w:rPr>
        <w:t xml:space="preserve">En el evento de haberse cumplido </w:t>
      </w:r>
      <w:r w:rsidRPr="00E068AB">
        <w:rPr>
          <w:rFonts w:ascii="Bookman Old Style" w:hAnsi="Bookman Old Style"/>
          <w:i/>
          <w:iCs/>
          <w:sz w:val="24"/>
          <w:szCs w:val="24"/>
        </w:rPr>
        <w:t>c</w:t>
      </w:r>
      <w:r w:rsidRPr="006D62FB">
        <w:rPr>
          <w:rFonts w:ascii="Bookman Old Style" w:hAnsi="Bookman Old Style"/>
          <w:i/>
          <w:iCs/>
          <w:sz w:val="24"/>
          <w:szCs w:val="24"/>
        </w:rPr>
        <w:t xml:space="preserve">on una fecha anticipada de </w:t>
      </w:r>
      <w:r w:rsidR="004D2A8D">
        <w:rPr>
          <w:rFonts w:ascii="Bookman Old Style" w:hAnsi="Bookman Old Style"/>
          <w:i/>
          <w:iCs/>
          <w:sz w:val="24"/>
          <w:szCs w:val="24"/>
        </w:rPr>
        <w:t>entrada</w:t>
      </w:r>
      <w:r w:rsidRPr="006D62FB">
        <w:rPr>
          <w:rFonts w:ascii="Bookman Old Style" w:hAnsi="Bookman Old Style"/>
          <w:i/>
          <w:iCs/>
          <w:sz w:val="24"/>
          <w:szCs w:val="24"/>
        </w:rPr>
        <w:t xml:space="preserve"> en operación de la </w:t>
      </w:r>
      <w:r w:rsidRPr="00E068AB">
        <w:rPr>
          <w:rFonts w:ascii="Bookman Old Style" w:hAnsi="Bookman Old Style"/>
          <w:i/>
          <w:iCs/>
          <w:sz w:val="24"/>
          <w:szCs w:val="24"/>
        </w:rPr>
        <w:t>Infraestructura de Importación de Gas del Pacifico</w:t>
      </w:r>
      <w:r w:rsidRPr="00084694">
        <w:rPr>
          <w:rFonts w:ascii="Bookman Old Style" w:hAnsi="Bookman Old Style"/>
          <w:i/>
          <w:iCs/>
          <w:sz w:val="24"/>
          <w:szCs w:val="24"/>
        </w:rPr>
        <w:t>:</w:t>
      </w:r>
    </w:p>
    <w:p w14:paraId="0ACAD35E" w14:textId="2454F05D" w:rsidR="00E068AB" w:rsidRPr="00084694" w:rsidRDefault="00E068AB" w:rsidP="003C3213">
      <w:pPr>
        <w:jc w:val="both"/>
        <w:rPr>
          <w:rFonts w:ascii="Bookman Old Style" w:hAnsi="Bookman Old Style"/>
          <w:i/>
          <w:iCs/>
        </w:rPr>
      </w:pPr>
      <w:r w:rsidRPr="004A3043">
        <w:rPr>
          <w:rFonts w:ascii="Bookman Old Style" w:hAnsi="Bookman Old Style"/>
          <w:i/>
          <w:iCs/>
        </w:rPr>
        <w:t xml:space="preserve">El adjudicatario informará al transportador responsable del recaudo de la porción del IAE del sistema de transporte t que atiende beneficiarios del proyecto, el </w:t>
      </w:r>
      <w:r w:rsidR="00DD3661">
        <w:rPr>
          <w:rFonts w:ascii="Bookman Old Style" w:hAnsi="Bookman Old Style"/>
          <w:i/>
          <w:iCs/>
        </w:rPr>
        <w:t>valor</w:t>
      </w:r>
      <w:r w:rsidR="00DD3661" w:rsidRPr="004A3043">
        <w:rPr>
          <w:rFonts w:ascii="Bookman Old Style" w:hAnsi="Bookman Old Style"/>
          <w:i/>
          <w:iCs/>
        </w:rPr>
        <w:t xml:space="preserve"> </w:t>
      </w:r>
      <w:r w:rsidRPr="004A3043">
        <w:rPr>
          <w:rFonts w:ascii="Bookman Old Style" w:hAnsi="Bookman Old Style"/>
          <w:i/>
          <w:iCs/>
        </w:rPr>
        <w:t xml:space="preserve">de indisponibilidad en el mes m de prestación del servicio. Este </w:t>
      </w:r>
      <w:r w:rsidR="00C25C87">
        <w:rPr>
          <w:rFonts w:ascii="Bookman Old Style" w:hAnsi="Bookman Old Style"/>
          <w:i/>
          <w:iCs/>
        </w:rPr>
        <w:t>valor</w:t>
      </w:r>
      <w:r w:rsidR="00C25C87" w:rsidRPr="004A3043">
        <w:rPr>
          <w:rFonts w:ascii="Bookman Old Style" w:hAnsi="Bookman Old Style"/>
          <w:i/>
          <w:iCs/>
        </w:rPr>
        <w:t xml:space="preserve"> </w:t>
      </w:r>
      <w:r w:rsidRPr="004A3043">
        <w:rPr>
          <w:rFonts w:ascii="Bookman Old Style" w:hAnsi="Bookman Old Style"/>
          <w:i/>
          <w:iCs/>
        </w:rPr>
        <w:t>lo calculará con base en la siguiente ecuación</w:t>
      </w:r>
    </w:p>
    <w:p w14:paraId="221B62B1" w14:textId="4B27BCB4" w:rsidR="00E068AB" w:rsidRPr="00084694" w:rsidRDefault="007F7688" w:rsidP="00E068AB">
      <w:pPr>
        <w:spacing w:before="240" w:after="240"/>
        <w:ind w:left="284"/>
        <w:jc w:val="both"/>
        <w:rPr>
          <w:rFonts w:ascii="Bookman Old Style" w:hAnsi="Bookman Old Style"/>
          <w:bCs/>
          <w:lang w:val="es-CO"/>
        </w:rPr>
      </w:pPr>
      <m:oMathPara>
        <m:oMath>
          <m:sSub>
            <m:sSubPr>
              <m:ctrlPr>
                <w:rPr>
                  <w:rFonts w:ascii="Cambria Math" w:hAnsi="Cambria Math"/>
                  <w:i/>
                  <w:sz w:val="20"/>
                  <w:szCs w:val="20"/>
                  <w:lang w:val="es-CO"/>
                </w:rPr>
              </m:ctrlPr>
            </m:sSubPr>
            <m:e>
              <m:r>
                <w:rPr>
                  <w:rFonts w:ascii="Cambria Math" w:hAnsi="Cambria Math"/>
                  <w:sz w:val="20"/>
                  <w:szCs w:val="20"/>
                  <w:lang w:val="es-CO"/>
                </w:rPr>
                <m:t>COP</m:t>
              </m:r>
            </m:e>
            <m:sub>
              <m:r>
                <w:rPr>
                  <w:rFonts w:ascii="Cambria Math" w:hAnsi="Cambria Math"/>
                  <w:sz w:val="20"/>
                  <w:szCs w:val="20"/>
                  <w:lang w:val="es-CO"/>
                </w:rPr>
                <m:t>m</m:t>
              </m:r>
            </m:sub>
          </m:sSub>
          <m:r>
            <w:rPr>
              <w:rFonts w:ascii="Cambria Math" w:hAnsi="Cambria Math"/>
              <w:sz w:val="20"/>
              <w:szCs w:val="20"/>
              <w:lang w:val="es-CO"/>
            </w:rPr>
            <m:t xml:space="preserve">= </m:t>
          </m:r>
          <m:d>
            <m:dPr>
              <m:ctrlPr>
                <w:rPr>
                  <w:rFonts w:ascii="Cambria Math" w:hAnsi="Cambria Math" w:cs="Arial"/>
                  <w:bCs/>
                  <w:i/>
                  <w:color w:val="000000"/>
                  <w:sz w:val="20"/>
                  <w:szCs w:val="20"/>
                </w:rPr>
              </m:ctrlPr>
            </m:dPr>
            <m:e>
              <m:r>
                <w:rPr>
                  <w:rFonts w:ascii="Cambria Math" w:hAnsi="Cambria Math" w:cs="Arial"/>
                  <w:color w:val="000000"/>
                  <w:sz w:val="20"/>
                  <w:szCs w:val="20"/>
                </w:rPr>
                <m:t>1+%adicional</m:t>
              </m:r>
            </m:e>
          </m:d>
          <m:r>
            <w:rPr>
              <w:rFonts w:ascii="Cambria Math" w:hAnsi="Cambria Math" w:cs="Arial"/>
              <w:color w:val="000000"/>
              <w:sz w:val="20"/>
              <w:szCs w:val="20"/>
            </w:rPr>
            <m:t xml:space="preserve"> ×</m:t>
          </m:r>
          <m:sSub>
            <m:sSubPr>
              <m:ctrlPr>
                <w:rPr>
                  <w:rFonts w:ascii="Cambria Math" w:hAnsi="Cambria Math" w:cs="Arial"/>
                  <w:bCs/>
                  <w:i/>
                  <w:color w:val="000000"/>
                  <w:sz w:val="20"/>
                  <w:szCs w:val="20"/>
                </w:rPr>
              </m:ctrlPr>
            </m:sSubPr>
            <m:e>
              <m:r>
                <w:rPr>
                  <w:rFonts w:ascii="Cambria Math" w:hAnsi="Cambria Math" w:cs="Arial"/>
                  <w:color w:val="000000"/>
                  <w:sz w:val="20"/>
                  <w:szCs w:val="20"/>
                </w:rPr>
                <m:t>IM</m:t>
              </m:r>
            </m:e>
            <m:sub>
              <m:r>
                <w:rPr>
                  <w:rFonts w:ascii="Cambria Math" w:hAnsi="Cambria Math" w:cs="Arial"/>
                  <w:color w:val="000000"/>
                  <w:sz w:val="20"/>
                  <w:szCs w:val="20"/>
                </w:rPr>
                <m:t>1</m:t>
              </m:r>
            </m:sub>
          </m:sSub>
          <m:r>
            <w:rPr>
              <w:rFonts w:ascii="Cambria Math" w:hAnsi="Cambria Math" w:cs="Arial"/>
              <w:color w:val="000000"/>
              <w:sz w:val="20"/>
              <w:szCs w:val="20"/>
            </w:rPr>
            <m:t xml:space="preserve">× </m:t>
          </m:r>
          <m:nary>
            <m:naryPr>
              <m:chr m:val="∑"/>
              <m:limLoc m:val="undOvr"/>
              <m:ctrlPr>
                <w:rPr>
                  <w:rFonts w:ascii="Cambria Math" w:hAnsi="Cambria Math" w:cs="Arial"/>
                  <w:bCs/>
                  <w:i/>
                  <w:color w:val="000000"/>
                  <w:sz w:val="20"/>
                  <w:szCs w:val="20"/>
                </w:rPr>
              </m:ctrlPr>
            </m:naryPr>
            <m:sub>
              <m:r>
                <w:rPr>
                  <w:rFonts w:ascii="Cambria Math" w:hAnsi="Cambria Math" w:cs="Arial"/>
                  <w:color w:val="000000"/>
                  <w:sz w:val="20"/>
                  <w:szCs w:val="20"/>
                </w:rPr>
                <m:t>i=1</m:t>
              </m:r>
            </m:sub>
            <m:sup>
              <m:r>
                <w:rPr>
                  <w:rFonts w:ascii="Cambria Math" w:hAnsi="Cambria Math" w:cs="Arial"/>
                  <w:color w:val="000000"/>
                  <w:sz w:val="20"/>
                  <w:szCs w:val="20"/>
                </w:rPr>
                <m:t>D</m:t>
              </m:r>
            </m:sup>
            <m:e>
              <m:sSub>
                <m:sSubPr>
                  <m:ctrlPr>
                    <w:rPr>
                      <w:rFonts w:ascii="Cambria Math" w:hAnsi="Cambria Math" w:cs="Arial"/>
                      <w:bCs/>
                      <w:i/>
                      <w:color w:val="000000"/>
                      <w:sz w:val="20"/>
                      <w:szCs w:val="20"/>
                    </w:rPr>
                  </m:ctrlPr>
                </m:sSubPr>
                <m:e>
                  <m:sSub>
                    <m:sSubPr>
                      <m:ctrlPr>
                        <w:rPr>
                          <w:rFonts w:ascii="Cambria Math" w:hAnsi="Cambria Math"/>
                          <w:i/>
                          <w:spacing w:val="-2"/>
                          <w:sz w:val="22"/>
                          <w:szCs w:val="22"/>
                        </w:rPr>
                      </m:ctrlPr>
                    </m:sSubPr>
                    <m:e>
                      <m:r>
                        <w:rPr>
                          <w:rFonts w:ascii="Cambria Math" w:hAnsi="Cambria Math"/>
                          <w:spacing w:val="-2"/>
                          <w:sz w:val="22"/>
                          <w:szCs w:val="22"/>
                        </w:rPr>
                        <m:t>COPYPI</m:t>
                      </m:r>
                    </m:e>
                    <m:sub>
                      <m:r>
                        <w:rPr>
                          <w:rFonts w:ascii="Cambria Math" w:hAnsi="Cambria Math"/>
                          <w:spacing w:val="-2"/>
                          <w:sz w:val="22"/>
                          <w:szCs w:val="22"/>
                        </w:rPr>
                        <m:t>i</m:t>
                      </m:r>
                    </m:sub>
                  </m:sSub>
                </m:e>
                <m:sub>
                  <m:r>
                    <w:rPr>
                      <w:rFonts w:ascii="Cambria Math" w:hAnsi="Cambria Math" w:cs="Arial"/>
                      <w:color w:val="000000"/>
                      <w:sz w:val="20"/>
                      <w:szCs w:val="20"/>
                    </w:rPr>
                    <m:t xml:space="preserve"> </m:t>
                  </m:r>
                </m:sub>
              </m:sSub>
            </m:e>
          </m:nary>
          <m:r>
            <w:rPr>
              <w:rFonts w:ascii="Cambria Math" w:hAnsi="Cambria Math" w:cs="Arial"/>
              <w:color w:val="000000"/>
              <w:sz w:val="20"/>
              <w:szCs w:val="20"/>
            </w:rPr>
            <m:t xml:space="preserve"> × </m:t>
          </m:r>
          <m:d>
            <m:dPr>
              <m:ctrlPr>
                <w:rPr>
                  <w:rFonts w:ascii="Cambria Math" w:hAnsi="Cambria Math" w:cs="Arial"/>
                  <w:bCs/>
                  <w:i/>
                  <w:color w:val="000000"/>
                  <w:sz w:val="20"/>
                  <w:szCs w:val="20"/>
                </w:rPr>
              </m:ctrlPr>
            </m:dPr>
            <m:e>
              <m:f>
                <m:fPr>
                  <m:ctrlPr>
                    <w:rPr>
                      <w:rFonts w:ascii="Cambria Math" w:hAnsi="Cambria Math" w:cs="Arial"/>
                      <w:bCs/>
                      <w:i/>
                      <w:color w:val="000000"/>
                      <w:sz w:val="20"/>
                      <w:szCs w:val="20"/>
                    </w:rPr>
                  </m:ctrlPr>
                </m:fPr>
                <m:num>
                  <m:r>
                    <w:rPr>
                      <w:rFonts w:ascii="Cambria Math" w:hAnsi="Cambria Math" w:cs="Arial"/>
                      <w:color w:val="000000"/>
                      <w:sz w:val="20"/>
                      <w:szCs w:val="20"/>
                    </w:rPr>
                    <m:t>1</m:t>
                  </m:r>
                </m:num>
                <m:den>
                  <m:r>
                    <w:rPr>
                      <w:rFonts w:ascii="Cambria Math" w:hAnsi="Cambria Math" w:cs="Arial"/>
                      <w:color w:val="000000"/>
                      <w:sz w:val="20"/>
                      <w:szCs w:val="20"/>
                    </w:rPr>
                    <m:t>D ×CDSIY</m:t>
                  </m:r>
                </m:den>
              </m:f>
            </m:e>
          </m:d>
        </m:oMath>
      </m:oMathPara>
    </w:p>
    <w:p w14:paraId="0FA5D3DB" w14:textId="77777777" w:rsidR="00E068AB" w:rsidRPr="00084694" w:rsidRDefault="00E068AB" w:rsidP="0004220E">
      <w:pPr>
        <w:spacing w:before="240" w:after="240"/>
        <w:ind w:left="708"/>
        <w:jc w:val="both"/>
        <w:rPr>
          <w:rFonts w:ascii="Bookman Old Style" w:hAnsi="Bookman Old Style"/>
          <w:bCs/>
          <w:i/>
          <w:iCs/>
        </w:rPr>
      </w:pPr>
      <w:r w:rsidRPr="00084694">
        <w:rPr>
          <w:rFonts w:ascii="Bookman Old Style" w:hAnsi="Bookman Old Style"/>
          <w:bCs/>
          <w:i/>
          <w:iCs/>
        </w:rPr>
        <w:t>Donde:</w:t>
      </w:r>
    </w:p>
    <w:p w14:paraId="25B2129A" w14:textId="77777777" w:rsidR="000D7A68" w:rsidRDefault="007F7688" w:rsidP="000613F0">
      <w:pPr>
        <w:spacing w:before="240" w:after="240"/>
        <w:ind w:left="2125" w:hanging="1417"/>
        <w:jc w:val="both"/>
        <w:rPr>
          <w:rFonts w:ascii="Bookman Old Style" w:hAnsi="Bookman Old Style" w:cs="Arial"/>
          <w:i/>
          <w:iCs/>
          <w:color w:val="000000"/>
          <w:spacing w:val="-4"/>
        </w:rPr>
      </w:pPr>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m</m:t>
            </m:r>
          </m:sub>
        </m:sSub>
        <m:r>
          <w:rPr>
            <w:rFonts w:ascii="Cambria Math" w:hAnsi="Cambria Math"/>
            <w:spacing w:val="-2"/>
          </w:rPr>
          <m:t>:</m:t>
        </m:r>
      </m:oMath>
      <w:r w:rsidR="00E068AB" w:rsidRPr="00084694">
        <w:rPr>
          <w:rFonts w:ascii="Bookman Old Style" w:hAnsi="Bookman Old Style"/>
          <w:spacing w:val="-2"/>
        </w:rPr>
        <w:tab/>
      </w:r>
      <w:r w:rsidR="00E068AB" w:rsidRPr="00084694">
        <w:rPr>
          <w:rFonts w:ascii="Bookman Old Style" w:hAnsi="Bookman Old Style" w:cs="Arial"/>
          <w:i/>
          <w:iCs/>
          <w:color w:val="000000"/>
          <w:spacing w:val="-4"/>
        </w:rPr>
        <w:t xml:space="preserve">Valor de las compensaciones por indisponibilidad durante el mes </w:t>
      </w:r>
      <m:oMath>
        <m:r>
          <w:rPr>
            <w:rFonts w:ascii="Cambria Math" w:hAnsi="Cambria Math"/>
            <w:spacing w:val="-2"/>
          </w:rPr>
          <m:t>m</m:t>
        </m:r>
      </m:oMath>
      <w:r w:rsidR="00E068AB" w:rsidRPr="00084694">
        <w:rPr>
          <w:rFonts w:ascii="Bookman Old Style" w:hAnsi="Bookman Old Style" w:cs="Arial"/>
          <w:i/>
          <w:iCs/>
          <w:color w:val="000000"/>
          <w:spacing w:val="-4"/>
        </w:rPr>
        <w:t>, de la</w:t>
      </w:r>
      <w:r w:rsidR="00E068AB" w:rsidRPr="00084694">
        <w:rPr>
          <w:rFonts w:ascii="Bookman Old Style" w:hAnsi="Bookman Old Style" w:cs="Cambria Math"/>
          <w:i/>
          <w:iCs/>
          <w:lang w:val="es-ES_tradnl"/>
        </w:rPr>
        <w:t xml:space="preserve"> Infraestructura de Importación del Gas del Pacífico</w:t>
      </w:r>
      <w:r w:rsidR="00E068AB" w:rsidRPr="00084694">
        <w:rPr>
          <w:rFonts w:ascii="Bookman Old Style" w:hAnsi="Bookman Old Style" w:cs="Arial"/>
          <w:i/>
          <w:iCs/>
          <w:color w:val="000000"/>
          <w:spacing w:val="-4"/>
        </w:rPr>
        <w:t>. Este valor estará expresado en pesos.</w:t>
      </w:r>
    </w:p>
    <w:p w14:paraId="56B8E219" w14:textId="77777777" w:rsidR="000D7A68" w:rsidRPr="0051077F" w:rsidRDefault="000D7A68" w:rsidP="00AB4BA0">
      <w:pPr>
        <w:spacing w:before="240" w:after="240"/>
        <w:ind w:left="2124" w:hanging="1416"/>
        <w:jc w:val="both"/>
        <w:rPr>
          <w:rFonts w:ascii="Bookman Old Style" w:hAnsi="Bookman Old Style" w:cs="Arial"/>
          <w:bCs/>
          <w:i/>
          <w:iCs/>
          <w:color w:val="000000"/>
        </w:rPr>
      </w:pPr>
      <w:r w:rsidRPr="0051077F">
        <w:rPr>
          <w:rFonts w:ascii="Bookman Old Style" w:hAnsi="Bookman Old Style" w:cs="Arial"/>
          <w:bCs/>
          <w:i/>
          <w:iCs/>
          <w:color w:val="000000"/>
        </w:rPr>
        <w:t>%</w:t>
      </w:r>
      <w:r>
        <w:rPr>
          <w:rFonts w:ascii="Bookman Old Style" w:hAnsi="Bookman Old Style" w:cs="Arial"/>
          <w:bCs/>
          <w:i/>
          <w:iCs/>
          <w:color w:val="000000"/>
        </w:rPr>
        <w:t>adicional</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r>
      <w:r>
        <w:rPr>
          <w:rFonts w:ascii="Bookman Old Style" w:hAnsi="Bookman Old Style" w:cs="Arial"/>
          <w:bCs/>
          <w:i/>
          <w:iCs/>
          <w:color w:val="000000"/>
        </w:rPr>
        <w:t>Valor</w:t>
      </w:r>
      <w:r w:rsidRPr="0051077F">
        <w:rPr>
          <w:rFonts w:ascii="Bookman Old Style" w:hAnsi="Bookman Old Style" w:cs="Arial"/>
          <w:bCs/>
          <w:i/>
          <w:iCs/>
          <w:color w:val="000000"/>
        </w:rPr>
        <w:t xml:space="preserve"> </w:t>
      </w:r>
      <w:r w:rsidRPr="00F8368B">
        <w:rPr>
          <w:rFonts w:ascii="Bookman Old Style" w:hAnsi="Bookman Old Style" w:cs="Arial"/>
          <w:bCs/>
          <w:i/>
          <w:iCs/>
          <w:color w:val="000000"/>
        </w:rPr>
        <w:t>del veinticinco por ciento (25%)</w:t>
      </w:r>
      <w:r w:rsidRPr="005D62E6">
        <w:rPr>
          <w:rFonts w:ascii="Bookman Old Style" w:hAnsi="Bookman Old Style" w:cs="Arial"/>
          <w:bCs/>
          <w:i/>
          <w:iCs/>
          <w:color w:val="000000"/>
        </w:rPr>
        <w:t xml:space="preserve"> de</w:t>
      </w:r>
      <w:r w:rsidRPr="0051077F">
        <w:rPr>
          <w:rFonts w:ascii="Bookman Old Style" w:hAnsi="Bookman Old Style" w:cs="Arial"/>
          <w:bCs/>
          <w:i/>
          <w:iCs/>
          <w:color w:val="000000"/>
        </w:rPr>
        <w:t xml:space="preserve"> incentivo por fecha anticipada de </w:t>
      </w:r>
      <w:r>
        <w:rPr>
          <w:rFonts w:ascii="Bookman Old Style" w:hAnsi="Bookman Old Style" w:cs="Arial"/>
          <w:bCs/>
          <w:i/>
          <w:iCs/>
          <w:color w:val="000000"/>
        </w:rPr>
        <w:t>entrada</w:t>
      </w:r>
      <w:r w:rsidRPr="0051077F">
        <w:rPr>
          <w:rFonts w:ascii="Bookman Old Style" w:hAnsi="Bookman Old Style" w:cs="Arial"/>
          <w:bCs/>
          <w:i/>
          <w:iCs/>
          <w:color w:val="000000"/>
        </w:rPr>
        <w:t xml:space="preserve"> en operación. </w:t>
      </w:r>
    </w:p>
    <w:p w14:paraId="086AC5AE" w14:textId="77777777" w:rsidR="00621FBC" w:rsidRPr="00F8530B" w:rsidRDefault="000D7A68" w:rsidP="000D7A68">
      <w:pPr>
        <w:spacing w:before="240" w:after="240"/>
        <w:ind w:left="2125" w:hanging="1417"/>
        <w:jc w:val="both"/>
        <w:rPr>
          <w:rFonts w:ascii="Bookman Old Style" w:hAnsi="Bookman Old Style" w:cs="Arial"/>
          <w:bCs/>
          <w:i/>
          <w:iCs/>
          <w:color w:val="000000"/>
        </w:rPr>
      </w:pPr>
      <w:r w:rsidRPr="00F8530B">
        <w:rPr>
          <w:rFonts w:ascii="Bookman Old Style" w:hAnsi="Bookman Old Style" w:cs="Arial"/>
          <w:bCs/>
          <w:i/>
          <w:iCs/>
          <w:color w:val="000000"/>
        </w:rPr>
        <w:t>IM</w:t>
      </w:r>
      <w:r w:rsidRPr="00F8530B">
        <w:rPr>
          <w:rFonts w:ascii="Bookman Old Style" w:hAnsi="Bookman Old Style" w:cs="Arial"/>
          <w:bCs/>
          <w:i/>
          <w:iCs/>
          <w:color w:val="000000"/>
          <w:vertAlign w:val="subscript"/>
        </w:rPr>
        <w:t>1</w:t>
      </w:r>
      <w:r w:rsidRPr="00F8530B">
        <w:rPr>
          <w:rFonts w:ascii="Bookman Old Style" w:hAnsi="Bookman Old Style" w:cs="Arial"/>
          <w:bCs/>
          <w:i/>
          <w:iCs/>
          <w:color w:val="000000"/>
        </w:rPr>
        <w:t xml:space="preserve">: </w:t>
      </w:r>
      <w:r w:rsidRPr="00F8530B">
        <w:rPr>
          <w:rFonts w:ascii="Bookman Old Style" w:hAnsi="Bookman Old Style" w:cs="Arial"/>
          <w:bCs/>
          <w:i/>
          <w:iCs/>
          <w:color w:val="000000"/>
        </w:rPr>
        <w:tab/>
        <w:t>Valor mensualizado del primer año del período estándar de pagos, que se obtiene de dividir por 12 el valor del IAE total del adjudicatario para el primer año del PEP.</w:t>
      </w:r>
    </w:p>
    <w:p w14:paraId="571E4901" w14:textId="7B02368B" w:rsidR="00093774" w:rsidRPr="00F8530B" w:rsidRDefault="007F7688" w:rsidP="00093774">
      <w:pPr>
        <w:spacing w:before="240" w:after="240"/>
        <w:ind w:left="2125" w:hanging="1417"/>
        <w:jc w:val="both"/>
        <w:rPr>
          <w:rFonts w:ascii="Bookman Old Style" w:hAnsi="Bookman Old Style"/>
          <w:i/>
          <w:iCs/>
        </w:rPr>
      </w:pPr>
      <m:oMath>
        <m:sSub>
          <m:sSubPr>
            <m:ctrlPr>
              <w:rPr>
                <w:rFonts w:ascii="Cambria Math" w:hAnsi="Cambria Math"/>
                <w:i/>
                <w:spacing w:val="-2"/>
              </w:rPr>
            </m:ctrlPr>
          </m:sSubPr>
          <m:e>
            <m:r>
              <w:rPr>
                <w:rFonts w:ascii="Cambria Math" w:hAnsi="Cambria Math"/>
                <w:spacing w:val="-2"/>
              </w:rPr>
              <m:t>COPYPI</m:t>
            </m:r>
          </m:e>
          <m:sub>
            <m:r>
              <w:rPr>
                <w:rFonts w:ascii="Cambria Math" w:hAnsi="Cambria Math"/>
                <w:spacing w:val="-2"/>
              </w:rPr>
              <m:t>i</m:t>
            </m:r>
          </m:sub>
        </m:sSub>
      </m:oMath>
      <w:r w:rsidR="00093774" w:rsidRPr="00F8530B">
        <w:rPr>
          <w:rFonts w:ascii="Bookman Old Style" w:hAnsi="Bookman Old Style" w:cs="Arial"/>
          <w:bCs/>
          <w:i/>
          <w:iCs/>
          <w:color w:val="000000"/>
        </w:rPr>
        <w:t xml:space="preserve">: </w:t>
      </w:r>
      <w:r w:rsidR="00093774" w:rsidRPr="00F8530B">
        <w:rPr>
          <w:rFonts w:ascii="Bookman Old Style" w:hAnsi="Bookman Old Style" w:cs="Arial"/>
          <w:bCs/>
          <w:i/>
          <w:iCs/>
          <w:color w:val="000000"/>
        </w:rPr>
        <w:tab/>
        <w:t>Máxima capacidad indisponible de la capacidad para entrega de gas</w:t>
      </w:r>
      <w:r w:rsidR="00093774" w:rsidRPr="00F8530B">
        <w:rPr>
          <w:rFonts w:ascii="Bookman Old Style" w:hAnsi="Bookman Old Style"/>
          <w:i/>
          <w:iCs/>
        </w:rPr>
        <w:t xml:space="preserve"> natural regasificado al Sistema Nacional de Transporte en un punto de entrega ubicado en el municipio de Yumbo – Valle del Cauca, durante el día i del mes m, dada en MPCD.</w:t>
      </w:r>
    </w:p>
    <w:p w14:paraId="10C6C132" w14:textId="59D72219" w:rsidR="0065029D" w:rsidRDefault="008C0116" w:rsidP="00AB4BA0">
      <w:pPr>
        <w:spacing w:before="240" w:after="240"/>
        <w:ind w:left="2124" w:hanging="1416"/>
        <w:jc w:val="both"/>
        <w:rPr>
          <w:rFonts w:ascii="Bookman Old Style" w:hAnsi="Bookman Old Style" w:cs="Arial"/>
          <w:bCs/>
          <w:i/>
          <w:iCs/>
          <w:color w:val="000000"/>
        </w:rPr>
      </w:pPr>
      <w:r w:rsidRPr="00F8530B">
        <w:rPr>
          <w:rFonts w:ascii="Bookman Old Style" w:hAnsi="Bookman Old Style" w:cs="Arial"/>
          <w:bCs/>
          <w:i/>
          <w:iCs/>
          <w:color w:val="000000"/>
        </w:rPr>
        <w:t>CDSIY:</w:t>
      </w:r>
      <w:r w:rsidRPr="0051077F">
        <w:rPr>
          <w:rFonts w:ascii="Bookman Old Style" w:hAnsi="Bookman Old Style" w:cs="Arial"/>
          <w:bCs/>
          <w:i/>
          <w:iCs/>
          <w:color w:val="000000"/>
        </w:rPr>
        <w:tab/>
        <w:t xml:space="preserve">Capacidad de regasificación </w:t>
      </w:r>
      <w:r>
        <w:rPr>
          <w:rFonts w:ascii="Bookman Old Style" w:hAnsi="Bookman Old Style" w:cs="Arial"/>
          <w:bCs/>
          <w:i/>
          <w:iCs/>
          <w:color w:val="000000"/>
        </w:rPr>
        <w:t>de la Infraestructura de Importación de Ga</w:t>
      </w:r>
      <w:r w:rsidRPr="00F42394">
        <w:rPr>
          <w:rFonts w:ascii="Bookman Old Style" w:hAnsi="Bookman Old Style" w:cs="Arial"/>
          <w:bCs/>
          <w:i/>
          <w:iCs/>
          <w:color w:val="000000"/>
        </w:rPr>
        <w:t>s del Pacífico</w:t>
      </w:r>
      <w:r>
        <w:rPr>
          <w:rFonts w:ascii="Bookman Old Style" w:hAnsi="Bookman Old Style" w:cs="Arial"/>
          <w:bCs/>
          <w:i/>
          <w:iCs/>
          <w:color w:val="000000"/>
        </w:rPr>
        <w:t>,</w:t>
      </w:r>
      <w:r w:rsidRPr="00F42394">
        <w:rPr>
          <w:rFonts w:ascii="Bookman Old Style" w:hAnsi="Bookman Old Style"/>
          <w:i/>
          <w:iCs/>
        </w:rPr>
        <w:t xml:space="preserve"> </w:t>
      </w:r>
      <w:r>
        <w:rPr>
          <w:rFonts w:ascii="Bookman Old Style" w:hAnsi="Bookman Old Style"/>
          <w:i/>
          <w:iCs/>
        </w:rPr>
        <w:t>de acuerdo con</w:t>
      </w:r>
      <w:r>
        <w:rPr>
          <w:rFonts w:ascii="Bookman Old Style" w:hAnsi="Bookman Old Style" w:cs="Arial"/>
          <w:bCs/>
          <w:i/>
          <w:iCs/>
          <w:color w:val="000000"/>
        </w:rPr>
        <w:t xml:space="preserve"> la </w:t>
      </w:r>
      <w:r w:rsidRPr="0051077F">
        <w:rPr>
          <w:rFonts w:ascii="Bookman Old Style" w:hAnsi="Bookman Old Style" w:cs="Arial"/>
          <w:bCs/>
          <w:i/>
          <w:iCs/>
          <w:color w:val="000000"/>
        </w:rPr>
        <w:t>establecid</w:t>
      </w:r>
      <w:r>
        <w:rPr>
          <w:rFonts w:ascii="Bookman Old Style" w:hAnsi="Bookman Old Style" w:cs="Arial"/>
          <w:bCs/>
          <w:i/>
          <w:iCs/>
          <w:color w:val="000000"/>
        </w:rPr>
        <w:t>a</w:t>
      </w:r>
      <w:r w:rsidRPr="0051077F">
        <w:rPr>
          <w:rFonts w:ascii="Bookman Old Style" w:hAnsi="Bookman Old Style" w:cs="Arial"/>
          <w:bCs/>
          <w:i/>
          <w:iCs/>
          <w:color w:val="000000"/>
        </w:rPr>
        <w:t xml:space="preserve"> en </w:t>
      </w:r>
      <w:r>
        <w:rPr>
          <w:rFonts w:ascii="Bookman Old Style" w:hAnsi="Bookman Old Style" w:cs="Arial"/>
          <w:bCs/>
          <w:i/>
          <w:iCs/>
          <w:color w:val="000000"/>
        </w:rPr>
        <w:t>el Plan de Abastecimiento de Gas Natural</w:t>
      </w:r>
      <w:r w:rsidRPr="0051077F">
        <w:rPr>
          <w:rFonts w:ascii="Bookman Old Style" w:hAnsi="Bookman Old Style" w:cs="Arial"/>
          <w:bCs/>
          <w:i/>
          <w:iCs/>
          <w:color w:val="000000"/>
        </w:rPr>
        <w:t>, dad</w:t>
      </w:r>
      <w:r>
        <w:rPr>
          <w:rFonts w:ascii="Bookman Old Style" w:hAnsi="Bookman Old Style" w:cs="Arial"/>
          <w:bCs/>
          <w:i/>
          <w:iCs/>
          <w:color w:val="000000"/>
        </w:rPr>
        <w:t>a</w:t>
      </w:r>
      <w:r w:rsidRPr="0051077F">
        <w:rPr>
          <w:rFonts w:ascii="Bookman Old Style" w:hAnsi="Bookman Old Style" w:cs="Arial"/>
          <w:bCs/>
          <w:i/>
          <w:iCs/>
          <w:color w:val="000000"/>
        </w:rPr>
        <w:t xml:space="preserve"> en MPCD</w:t>
      </w:r>
      <w:r w:rsidR="0065029D">
        <w:rPr>
          <w:rFonts w:ascii="Bookman Old Style" w:hAnsi="Bookman Old Style" w:cs="Arial"/>
          <w:bCs/>
          <w:i/>
          <w:iCs/>
          <w:color w:val="000000"/>
        </w:rPr>
        <w:t>.</w:t>
      </w:r>
    </w:p>
    <w:p w14:paraId="54FEBCB1" w14:textId="2D4403A2" w:rsidR="008C0116" w:rsidRPr="0051077F" w:rsidRDefault="0065029D" w:rsidP="00AB4BA0">
      <w:pPr>
        <w:spacing w:before="240" w:after="240"/>
        <w:ind w:left="2124" w:hanging="1416"/>
        <w:jc w:val="both"/>
        <w:rPr>
          <w:rFonts w:ascii="Bookman Old Style" w:hAnsi="Bookman Old Style" w:cs="Arial"/>
          <w:bCs/>
          <w:i/>
          <w:iCs/>
          <w:color w:val="000000"/>
        </w:rPr>
      </w:pPr>
      <w:r w:rsidRPr="004754A1">
        <w:rPr>
          <w:rFonts w:ascii="Bookman Old Style" w:hAnsi="Bookman Old Style" w:cs="Arial"/>
          <w:bCs/>
          <w:i/>
          <w:iCs/>
          <w:color w:val="000000"/>
        </w:rPr>
        <w:t xml:space="preserve">D: </w:t>
      </w:r>
      <w:r w:rsidRPr="004754A1">
        <w:rPr>
          <w:rFonts w:ascii="Bookman Old Style" w:hAnsi="Bookman Old Style" w:cs="Arial"/>
          <w:bCs/>
          <w:i/>
          <w:iCs/>
          <w:color w:val="000000"/>
        </w:rPr>
        <w:tab/>
        <w:t>Número de días del mes m</w:t>
      </w:r>
      <w:r>
        <w:rPr>
          <w:rFonts w:ascii="Bookman Old Style" w:hAnsi="Bookman Old Style" w:cs="Arial"/>
          <w:bCs/>
          <w:i/>
          <w:iCs/>
          <w:color w:val="000000"/>
        </w:rPr>
        <w:t>.</w:t>
      </w:r>
      <w:r w:rsidR="00AD721D">
        <w:rPr>
          <w:rFonts w:ascii="Bookman Old Style" w:hAnsi="Bookman Old Style" w:cs="Arial"/>
          <w:bCs/>
          <w:i/>
          <w:iCs/>
          <w:color w:val="000000"/>
        </w:rPr>
        <w:t>”</w:t>
      </w:r>
    </w:p>
    <w:p w14:paraId="43742385" w14:textId="2EA84264" w:rsidR="006F7566" w:rsidRPr="00900F23" w:rsidRDefault="006D62FB" w:rsidP="003C3213">
      <w:pPr>
        <w:pStyle w:val="Prrafodelista"/>
        <w:numPr>
          <w:ilvl w:val="0"/>
          <w:numId w:val="5"/>
        </w:numPr>
        <w:spacing w:before="240"/>
        <w:jc w:val="both"/>
        <w:rPr>
          <w:rFonts w:ascii="Bookman Old Style" w:hAnsi="Bookman Old Style"/>
          <w:i/>
          <w:iCs/>
        </w:rPr>
      </w:pPr>
      <w:r>
        <w:rPr>
          <w:rFonts w:ascii="Bookman Old Style" w:hAnsi="Bookman Old Style"/>
          <w:i/>
          <w:iCs/>
          <w:sz w:val="24"/>
          <w:szCs w:val="24"/>
        </w:rPr>
        <w:t>E</w:t>
      </w:r>
      <w:r w:rsidR="006F7566" w:rsidRPr="00084694">
        <w:rPr>
          <w:rFonts w:ascii="Bookman Old Style" w:hAnsi="Bookman Old Style"/>
          <w:i/>
          <w:iCs/>
          <w:sz w:val="24"/>
          <w:szCs w:val="24"/>
        </w:rPr>
        <w:t xml:space="preserve">n el evento de </w:t>
      </w:r>
      <w:r w:rsidR="005D404B" w:rsidRPr="00084694">
        <w:rPr>
          <w:rFonts w:ascii="Bookman Old Style" w:hAnsi="Bookman Old Style"/>
          <w:i/>
          <w:iCs/>
          <w:sz w:val="24"/>
          <w:szCs w:val="24"/>
        </w:rPr>
        <w:t xml:space="preserve">haberse cumplido con una fecha </w:t>
      </w:r>
      <w:r w:rsidR="00F97813">
        <w:rPr>
          <w:rFonts w:ascii="Bookman Old Style" w:hAnsi="Bookman Old Style"/>
          <w:i/>
          <w:iCs/>
          <w:sz w:val="24"/>
          <w:szCs w:val="24"/>
        </w:rPr>
        <w:t xml:space="preserve">anticipada </w:t>
      </w:r>
      <w:r w:rsidR="005D404B" w:rsidRPr="00084694">
        <w:rPr>
          <w:rFonts w:ascii="Bookman Old Style" w:hAnsi="Bookman Old Style"/>
          <w:i/>
          <w:iCs/>
          <w:sz w:val="24"/>
          <w:szCs w:val="24"/>
        </w:rPr>
        <w:t xml:space="preserve">de </w:t>
      </w:r>
      <w:r w:rsidR="004D2A8D">
        <w:rPr>
          <w:rFonts w:ascii="Bookman Old Style" w:hAnsi="Bookman Old Style"/>
          <w:i/>
          <w:iCs/>
          <w:sz w:val="24"/>
          <w:szCs w:val="24"/>
        </w:rPr>
        <w:t>entrada</w:t>
      </w:r>
      <w:r w:rsidR="005D404B" w:rsidRPr="00084694">
        <w:rPr>
          <w:rFonts w:ascii="Bookman Old Style" w:hAnsi="Bookman Old Style"/>
          <w:i/>
          <w:iCs/>
          <w:sz w:val="24"/>
          <w:szCs w:val="24"/>
        </w:rPr>
        <w:t xml:space="preserve"> en</w:t>
      </w:r>
      <w:r w:rsidR="006F7566" w:rsidRPr="00084694">
        <w:rPr>
          <w:rFonts w:ascii="Bookman Old Style" w:hAnsi="Bookman Old Style"/>
          <w:i/>
          <w:iCs/>
          <w:sz w:val="24"/>
          <w:szCs w:val="24"/>
        </w:rPr>
        <w:t xml:space="preserve"> operación parcial de </w:t>
      </w:r>
      <w:r w:rsidR="00985ABB" w:rsidRPr="004C25FE">
        <w:rPr>
          <w:rFonts w:ascii="Bookman Old Style" w:hAnsi="Bookman Old Style"/>
          <w:i/>
          <w:iCs/>
          <w:sz w:val="24"/>
          <w:szCs w:val="24"/>
        </w:rPr>
        <w:t>la Infraestructura de Importación de Gas del Pacifico</w:t>
      </w:r>
      <w:r w:rsidR="006F7566" w:rsidRPr="00084694">
        <w:rPr>
          <w:rFonts w:ascii="Bookman Old Style" w:hAnsi="Bookman Old Style"/>
          <w:i/>
          <w:iCs/>
          <w:sz w:val="24"/>
          <w:szCs w:val="24"/>
        </w:rPr>
        <w:t xml:space="preserve">, se calculará de la siguiente manera: </w:t>
      </w:r>
    </w:p>
    <w:p w14:paraId="0807B1C0" w14:textId="77777777" w:rsidR="00900F23" w:rsidRPr="00900F23" w:rsidRDefault="00900F23" w:rsidP="00900F23">
      <w:pPr>
        <w:pStyle w:val="Prrafodelista"/>
        <w:spacing w:before="240" w:after="240"/>
        <w:ind w:left="644"/>
        <w:jc w:val="both"/>
        <w:rPr>
          <w:rFonts w:ascii="Bookman Old Style" w:hAnsi="Bookman Old Style"/>
          <w:i/>
          <w:iCs/>
          <w:sz w:val="4"/>
          <w:szCs w:val="4"/>
        </w:rPr>
      </w:pPr>
    </w:p>
    <w:p w14:paraId="5983732B" w14:textId="5608589D" w:rsidR="006F7566" w:rsidRPr="00356462" w:rsidRDefault="007F7688" w:rsidP="0051077F">
      <w:pPr>
        <w:spacing w:before="240" w:after="240"/>
        <w:ind w:left="284"/>
        <w:jc w:val="both"/>
        <w:rPr>
          <w:rFonts w:ascii="Bookman Old Style" w:hAnsi="Bookman Old Style"/>
          <w:bCs/>
          <w:lang w:val="es-CO"/>
        </w:rPr>
      </w:pPr>
      <m:oMathPara>
        <m:oMath>
          <m:sSub>
            <m:sSubPr>
              <m:ctrlPr>
                <w:rPr>
                  <w:rFonts w:ascii="Cambria Math" w:hAnsi="Cambria Math"/>
                  <w:i/>
                  <w:sz w:val="22"/>
                  <w:szCs w:val="22"/>
                  <w:lang w:val="es-CO"/>
                </w:rPr>
              </m:ctrlPr>
            </m:sSubPr>
            <m:e>
              <m:r>
                <w:rPr>
                  <w:rFonts w:ascii="Cambria Math" w:hAnsi="Cambria Math"/>
                  <w:sz w:val="22"/>
                  <w:szCs w:val="22"/>
                  <w:lang w:val="es-CO"/>
                </w:rPr>
                <m:t>COP</m:t>
              </m:r>
            </m:e>
            <m:sub>
              <m:r>
                <w:rPr>
                  <w:rFonts w:ascii="Cambria Math" w:hAnsi="Cambria Math"/>
                  <w:sz w:val="22"/>
                  <w:szCs w:val="22"/>
                  <w:lang w:val="es-CO"/>
                </w:rPr>
                <m:t>m</m:t>
              </m:r>
            </m:sub>
          </m:sSub>
          <m:r>
            <w:rPr>
              <w:rFonts w:ascii="Cambria Math" w:hAnsi="Cambria Math"/>
              <w:sz w:val="22"/>
              <w:szCs w:val="22"/>
              <w:lang w:val="es-CO"/>
            </w:rPr>
            <m:t xml:space="preserve">= </m:t>
          </m:r>
          <m:d>
            <m:dPr>
              <m:ctrlPr>
                <w:rPr>
                  <w:rFonts w:ascii="Cambria Math" w:hAnsi="Cambria Math" w:cs="Arial"/>
                  <w:bCs/>
                  <w:i/>
                  <w:color w:val="000000"/>
                  <w:sz w:val="22"/>
                  <w:szCs w:val="22"/>
                </w:rPr>
              </m:ctrlPr>
            </m:dPr>
            <m:e>
              <m:r>
                <w:rPr>
                  <w:rFonts w:ascii="Cambria Math" w:hAnsi="Cambria Math" w:cs="Arial"/>
                  <w:color w:val="000000"/>
                  <w:sz w:val="22"/>
                  <w:szCs w:val="22"/>
                </w:rPr>
                <m:t>1+%adicional</m:t>
              </m:r>
            </m:e>
          </m:d>
          <m:r>
            <w:rPr>
              <w:rFonts w:ascii="Cambria Math" w:hAnsi="Cambria Math" w:cs="Arial"/>
              <w:color w:val="000000"/>
              <w:sz w:val="22"/>
              <w:szCs w:val="22"/>
            </w:rPr>
            <m:t xml:space="preserve"> ×</m:t>
          </m:r>
          <m:sSub>
            <m:sSubPr>
              <m:ctrlPr>
                <w:rPr>
                  <w:rFonts w:ascii="Cambria Math" w:hAnsi="Cambria Math" w:cs="Arial"/>
                  <w:bCs/>
                  <w:i/>
                  <w:color w:val="000000"/>
                  <w:sz w:val="22"/>
                  <w:szCs w:val="22"/>
                </w:rPr>
              </m:ctrlPr>
            </m:sSubPr>
            <m:e>
              <m:r>
                <w:rPr>
                  <w:rFonts w:ascii="Cambria Math" w:hAnsi="Cambria Math" w:cs="Arial"/>
                  <w:color w:val="000000"/>
                  <w:sz w:val="22"/>
                  <w:szCs w:val="22"/>
                </w:rPr>
                <m:t>IM</m:t>
              </m:r>
            </m:e>
            <m:sub>
              <m:r>
                <w:rPr>
                  <w:rFonts w:ascii="Cambria Math" w:hAnsi="Cambria Math" w:cs="Arial"/>
                  <w:color w:val="000000"/>
                  <w:sz w:val="22"/>
                  <w:szCs w:val="22"/>
                </w:rPr>
                <m:t>1</m:t>
              </m:r>
            </m:sub>
          </m:sSub>
          <m:r>
            <w:rPr>
              <w:rFonts w:ascii="Cambria Math" w:hAnsi="Cambria Math" w:cs="Arial"/>
              <w:color w:val="000000"/>
              <w:sz w:val="22"/>
              <w:szCs w:val="22"/>
            </w:rPr>
            <m:t>×</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sSub>
                    <m:sSubPr>
                      <m:ctrlPr>
                        <w:rPr>
                          <w:rFonts w:ascii="Cambria Math" w:hAnsi="Cambria Math" w:cs="Arial"/>
                          <w:bCs/>
                          <w:i/>
                          <w:color w:val="000000"/>
                          <w:sz w:val="22"/>
                          <w:szCs w:val="22"/>
                        </w:rPr>
                      </m:ctrlPr>
                    </m:sSubPr>
                    <m:e>
                      <m:r>
                        <w:rPr>
                          <w:rFonts w:ascii="Cambria Math" w:hAnsi="Cambria Math" w:cs="Arial"/>
                          <w:color w:val="000000"/>
                          <w:sz w:val="22"/>
                          <w:szCs w:val="22"/>
                        </w:rPr>
                        <m:t>COPYPOP</m:t>
                      </m:r>
                    </m:e>
                    <m:sub>
                      <m:r>
                        <w:rPr>
                          <w:rFonts w:ascii="Cambria Math" w:hAnsi="Cambria Math" w:cs="Arial"/>
                          <w:color w:val="000000"/>
                          <w:sz w:val="22"/>
                          <w:szCs w:val="22"/>
                        </w:rPr>
                        <m:t>m</m:t>
                      </m:r>
                    </m:sub>
                  </m:sSub>
                </m:num>
                <m:den>
                  <m:r>
                    <w:rPr>
                      <w:rFonts w:ascii="Cambria Math" w:hAnsi="Cambria Math" w:cs="Arial"/>
                      <w:color w:val="000000"/>
                      <w:sz w:val="22"/>
                      <w:szCs w:val="22"/>
                    </w:rPr>
                    <m:t>CDSIY</m:t>
                  </m:r>
                </m:den>
              </m:f>
            </m:e>
          </m:d>
          <m:r>
            <w:rPr>
              <w:rFonts w:ascii="Cambria Math" w:hAnsi="Cambria Math" w:cs="Arial"/>
              <w:color w:val="000000"/>
              <w:sz w:val="22"/>
              <w:szCs w:val="22"/>
            </w:rPr>
            <m:t xml:space="preserve"> × </m:t>
          </m:r>
          <m:nary>
            <m:naryPr>
              <m:chr m:val="∑"/>
              <m:limLoc m:val="undOvr"/>
              <m:ctrlPr>
                <w:rPr>
                  <w:rFonts w:ascii="Cambria Math" w:hAnsi="Cambria Math" w:cs="Arial"/>
                  <w:bCs/>
                  <w:i/>
                  <w:color w:val="000000"/>
                  <w:sz w:val="22"/>
                  <w:szCs w:val="22"/>
                </w:rPr>
              </m:ctrlPr>
            </m:naryPr>
            <m:sub>
              <m:r>
                <w:rPr>
                  <w:rFonts w:ascii="Cambria Math" w:hAnsi="Cambria Math" w:cs="Arial"/>
                  <w:color w:val="000000"/>
                  <w:sz w:val="22"/>
                  <w:szCs w:val="22"/>
                </w:rPr>
                <m:t>i=1</m:t>
              </m:r>
            </m:sub>
            <m:sup>
              <m:r>
                <w:rPr>
                  <w:rFonts w:ascii="Cambria Math" w:hAnsi="Cambria Math" w:cs="Arial"/>
                  <w:color w:val="000000"/>
                  <w:sz w:val="22"/>
                  <w:szCs w:val="22"/>
                </w:rPr>
                <m:t>D</m:t>
              </m:r>
            </m:sup>
            <m:e>
              <m:sSub>
                <m:sSubPr>
                  <m:ctrlPr>
                    <w:rPr>
                      <w:rFonts w:ascii="Cambria Math" w:hAnsi="Cambria Math" w:cs="Arial"/>
                      <w:bCs/>
                      <w:i/>
                      <w:color w:val="000000"/>
                      <w:sz w:val="22"/>
                      <w:szCs w:val="22"/>
                    </w:rPr>
                  </m:ctrlPr>
                </m:sSubPr>
                <m:e>
                  <m:sSub>
                    <m:sSubPr>
                      <m:ctrlPr>
                        <w:rPr>
                          <w:rFonts w:ascii="Cambria Math" w:hAnsi="Cambria Math"/>
                          <w:i/>
                          <w:spacing w:val="-2"/>
                          <w:sz w:val="22"/>
                          <w:szCs w:val="22"/>
                        </w:rPr>
                      </m:ctrlPr>
                    </m:sSubPr>
                    <m:e>
                      <m:r>
                        <w:rPr>
                          <w:rFonts w:ascii="Cambria Math" w:hAnsi="Cambria Math"/>
                          <w:spacing w:val="-2"/>
                          <w:sz w:val="22"/>
                          <w:szCs w:val="22"/>
                        </w:rPr>
                        <m:t>COPYPOPI</m:t>
                      </m:r>
                    </m:e>
                    <m:sub>
                      <m:r>
                        <w:rPr>
                          <w:rFonts w:ascii="Cambria Math" w:hAnsi="Cambria Math"/>
                          <w:spacing w:val="-2"/>
                          <w:sz w:val="22"/>
                          <w:szCs w:val="22"/>
                        </w:rPr>
                        <m:t>i</m:t>
                      </m:r>
                    </m:sub>
                  </m:sSub>
                </m:e>
                <m:sub>
                  <m:r>
                    <w:rPr>
                      <w:rFonts w:ascii="Cambria Math" w:hAnsi="Cambria Math" w:cs="Arial"/>
                      <w:color w:val="000000"/>
                      <w:sz w:val="22"/>
                      <w:szCs w:val="22"/>
                    </w:rPr>
                    <m:t xml:space="preserve"> </m:t>
                  </m:r>
                </m:sub>
              </m:sSub>
            </m:e>
          </m:nary>
          <m:r>
            <w:rPr>
              <w:rFonts w:ascii="Cambria Math" w:hAnsi="Cambria Math" w:cs="Arial"/>
              <w:color w:val="000000"/>
              <w:sz w:val="22"/>
              <w:szCs w:val="22"/>
            </w:rPr>
            <m:t xml:space="preserve"> × </m:t>
          </m:r>
          <m:d>
            <m:dPr>
              <m:ctrlPr>
                <w:rPr>
                  <w:rFonts w:ascii="Cambria Math" w:hAnsi="Cambria Math" w:cs="Arial"/>
                  <w:bCs/>
                  <w:i/>
                  <w:color w:val="000000"/>
                  <w:sz w:val="22"/>
                  <w:szCs w:val="22"/>
                </w:rPr>
              </m:ctrlPr>
            </m:dPr>
            <m:e>
              <m:f>
                <m:fPr>
                  <m:ctrlPr>
                    <w:rPr>
                      <w:rFonts w:ascii="Cambria Math" w:hAnsi="Cambria Math" w:cs="Arial"/>
                      <w:bCs/>
                      <w:i/>
                      <w:color w:val="000000"/>
                      <w:sz w:val="22"/>
                      <w:szCs w:val="22"/>
                    </w:rPr>
                  </m:ctrlPr>
                </m:fPr>
                <m:num>
                  <m:r>
                    <w:rPr>
                      <w:rFonts w:ascii="Cambria Math" w:hAnsi="Cambria Math" w:cs="Arial"/>
                      <w:color w:val="000000"/>
                      <w:sz w:val="22"/>
                      <w:szCs w:val="22"/>
                    </w:rPr>
                    <m:t>1</m:t>
                  </m:r>
                </m:num>
                <m:den>
                  <m:r>
                    <w:rPr>
                      <w:rFonts w:ascii="Cambria Math" w:hAnsi="Cambria Math" w:cs="Arial"/>
                      <w:color w:val="000000"/>
                      <w:sz w:val="22"/>
                      <w:szCs w:val="22"/>
                    </w:rPr>
                    <m:t>D×</m:t>
                  </m:r>
                  <m:sSub>
                    <m:sSubPr>
                      <m:ctrlPr>
                        <w:rPr>
                          <w:rFonts w:ascii="Cambria Math" w:hAnsi="Cambria Math" w:cs="Arial"/>
                          <w:bCs/>
                          <w:i/>
                          <w:color w:val="000000"/>
                          <w:sz w:val="22"/>
                          <w:szCs w:val="22"/>
                        </w:rPr>
                      </m:ctrlPr>
                    </m:sSubPr>
                    <m:e>
                      <m:r>
                        <w:rPr>
                          <w:rFonts w:ascii="Cambria Math" w:hAnsi="Cambria Math" w:cs="Arial"/>
                          <w:color w:val="000000"/>
                          <w:sz w:val="22"/>
                          <w:szCs w:val="22"/>
                        </w:rPr>
                        <m:t>COPYPOP</m:t>
                      </m:r>
                    </m:e>
                    <m:sub>
                      <m:r>
                        <w:rPr>
                          <w:rFonts w:ascii="Cambria Math" w:hAnsi="Cambria Math" w:cs="Arial"/>
                          <w:color w:val="000000"/>
                          <w:sz w:val="22"/>
                          <w:szCs w:val="22"/>
                        </w:rPr>
                        <m:t>m</m:t>
                      </m:r>
                    </m:sub>
                  </m:sSub>
                </m:den>
              </m:f>
            </m:e>
          </m:d>
        </m:oMath>
      </m:oMathPara>
    </w:p>
    <w:p w14:paraId="22E61589" w14:textId="77777777" w:rsidR="006F7566" w:rsidRPr="0051077F" w:rsidRDefault="006F7566" w:rsidP="00731544">
      <w:pPr>
        <w:spacing w:before="240" w:after="240"/>
        <w:ind w:left="708"/>
        <w:jc w:val="both"/>
        <w:rPr>
          <w:rFonts w:ascii="Bookman Old Style" w:hAnsi="Bookman Old Style"/>
          <w:bCs/>
          <w:i/>
          <w:iCs/>
        </w:rPr>
      </w:pPr>
      <w:r w:rsidRPr="0051077F">
        <w:rPr>
          <w:rFonts w:ascii="Bookman Old Style" w:hAnsi="Bookman Old Style"/>
          <w:bCs/>
          <w:i/>
          <w:iCs/>
        </w:rPr>
        <w:t>Donde:</w:t>
      </w:r>
    </w:p>
    <w:p w14:paraId="6FD4E53C" w14:textId="08B3F5A9" w:rsidR="006F7566" w:rsidRDefault="007F7688" w:rsidP="00731544">
      <w:pPr>
        <w:spacing w:before="240" w:after="240"/>
        <w:ind w:left="2125" w:hanging="1417"/>
        <w:jc w:val="both"/>
        <w:rPr>
          <w:rFonts w:ascii="Bookman Old Style" w:hAnsi="Bookman Old Style" w:cs="Arial"/>
          <w:bCs/>
          <w:i/>
          <w:iCs/>
          <w:color w:val="000000"/>
        </w:rPr>
      </w:pPr>
      <m:oMath>
        <m:sSub>
          <m:sSubPr>
            <m:ctrlPr>
              <w:rPr>
                <w:rFonts w:ascii="Cambria Math" w:hAnsi="Cambria Math"/>
                <w:i/>
                <w:spacing w:val="-2"/>
              </w:rPr>
            </m:ctrlPr>
          </m:sSubPr>
          <m:e>
            <m:r>
              <w:rPr>
                <w:rFonts w:ascii="Cambria Math" w:hAnsi="Cambria Math"/>
                <w:spacing w:val="-2"/>
              </w:rPr>
              <m:t>COP</m:t>
            </m:r>
          </m:e>
          <m:sub>
            <m:r>
              <w:rPr>
                <w:rFonts w:ascii="Cambria Math" w:hAnsi="Cambria Math"/>
                <w:spacing w:val="-2"/>
              </w:rPr>
              <m:t>m</m:t>
            </m:r>
          </m:sub>
        </m:sSub>
        <m:r>
          <w:rPr>
            <w:rFonts w:ascii="Cambria Math" w:hAnsi="Cambria Math"/>
            <w:spacing w:val="-2"/>
          </w:rPr>
          <m:t>:</m:t>
        </m:r>
      </m:oMath>
      <w:r w:rsidR="006F7566" w:rsidRPr="00356462">
        <w:rPr>
          <w:rFonts w:ascii="Bookman Old Style" w:hAnsi="Bookman Old Style"/>
          <w:spacing w:val="-2"/>
        </w:rPr>
        <w:tab/>
      </w:r>
      <w:r w:rsidR="006F7566" w:rsidRPr="0051077F">
        <w:rPr>
          <w:rFonts w:ascii="Bookman Old Style" w:hAnsi="Bookman Old Style" w:cs="Arial"/>
          <w:i/>
          <w:iCs/>
          <w:color w:val="000000"/>
          <w:spacing w:val="-4"/>
        </w:rPr>
        <w:t xml:space="preserve">Valor de las compensaciones por indisponibilidad </w:t>
      </w:r>
      <w:r w:rsidR="00EB387F">
        <w:rPr>
          <w:rFonts w:ascii="Bookman Old Style" w:hAnsi="Bookman Old Style" w:cs="Arial"/>
          <w:i/>
          <w:iCs/>
          <w:color w:val="000000"/>
          <w:spacing w:val="-4"/>
        </w:rPr>
        <w:t>durante la operación parcial en</w:t>
      </w:r>
      <w:r w:rsidR="006F7566" w:rsidRPr="0051077F">
        <w:rPr>
          <w:rFonts w:ascii="Bookman Old Style" w:hAnsi="Bookman Old Style" w:cs="Arial"/>
          <w:i/>
          <w:iCs/>
          <w:color w:val="000000"/>
          <w:spacing w:val="-4"/>
        </w:rPr>
        <w:t xml:space="preserve"> el mes </w:t>
      </w:r>
      <m:oMath>
        <m:r>
          <w:rPr>
            <w:rFonts w:ascii="Cambria Math" w:hAnsi="Cambria Math"/>
            <w:spacing w:val="-2"/>
          </w:rPr>
          <m:t>m</m:t>
        </m:r>
      </m:oMath>
      <w:r w:rsidR="006F7566" w:rsidRPr="0051077F">
        <w:rPr>
          <w:rFonts w:ascii="Bookman Old Style" w:hAnsi="Bookman Old Style" w:cs="Arial"/>
          <w:i/>
          <w:iCs/>
          <w:color w:val="000000"/>
          <w:spacing w:val="-4"/>
        </w:rPr>
        <w:t xml:space="preserve">, del proyecto </w:t>
      </w:r>
      <w:r w:rsidR="006F7566" w:rsidRPr="0051077F">
        <w:rPr>
          <w:rFonts w:ascii="Bookman Old Style" w:hAnsi="Bookman Old Style" w:cs="Cambria Math"/>
          <w:i/>
          <w:iCs/>
          <w:lang w:val="es-ES_tradnl"/>
        </w:rPr>
        <w:t>de infraestructura de regasificación del gas del Pacífico</w:t>
      </w:r>
      <w:r w:rsidR="006F7566" w:rsidRPr="0051077F">
        <w:rPr>
          <w:rFonts w:ascii="Bookman Old Style" w:hAnsi="Bookman Old Style" w:cs="Arial"/>
          <w:i/>
          <w:iCs/>
          <w:color w:val="000000"/>
          <w:spacing w:val="-4"/>
        </w:rPr>
        <w:t>. Este valor estará expresado en pesos.</w:t>
      </w:r>
      <w:r w:rsidR="006F7566" w:rsidRPr="0051077F">
        <w:rPr>
          <w:rFonts w:ascii="Bookman Old Style" w:hAnsi="Bookman Old Style" w:cs="Arial"/>
          <w:bCs/>
          <w:i/>
          <w:iCs/>
          <w:color w:val="000000"/>
        </w:rPr>
        <w:t xml:space="preserve"> </w:t>
      </w:r>
    </w:p>
    <w:p w14:paraId="18AA2C36" w14:textId="796CCAEE" w:rsidR="00337944" w:rsidRDefault="00337944" w:rsidP="00337944">
      <w:pPr>
        <w:spacing w:before="240" w:after="240"/>
        <w:ind w:left="2124" w:hanging="1416"/>
        <w:jc w:val="both"/>
        <w:rPr>
          <w:rFonts w:ascii="Bookman Old Style" w:hAnsi="Bookman Old Style" w:cs="Arial"/>
          <w:bCs/>
          <w:i/>
          <w:iCs/>
          <w:color w:val="000000"/>
        </w:rPr>
      </w:pPr>
      <w:r w:rsidRPr="0051077F">
        <w:rPr>
          <w:rFonts w:ascii="Bookman Old Style" w:hAnsi="Bookman Old Style" w:cs="Arial"/>
          <w:bCs/>
          <w:i/>
          <w:iCs/>
          <w:color w:val="000000"/>
        </w:rPr>
        <w:t>%</w:t>
      </w:r>
      <w:r>
        <w:rPr>
          <w:rFonts w:ascii="Bookman Old Style" w:hAnsi="Bookman Old Style" w:cs="Arial"/>
          <w:bCs/>
          <w:i/>
          <w:iCs/>
          <w:color w:val="000000"/>
        </w:rPr>
        <w:t>adicional</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r>
      <w:r>
        <w:rPr>
          <w:rFonts w:ascii="Bookman Old Style" w:hAnsi="Bookman Old Style" w:cs="Arial"/>
          <w:bCs/>
          <w:i/>
          <w:iCs/>
          <w:color w:val="000000"/>
        </w:rPr>
        <w:t>Valor</w:t>
      </w:r>
      <w:r w:rsidRPr="0051077F">
        <w:rPr>
          <w:rFonts w:ascii="Bookman Old Style" w:hAnsi="Bookman Old Style" w:cs="Arial"/>
          <w:bCs/>
          <w:i/>
          <w:iCs/>
          <w:color w:val="000000"/>
        </w:rPr>
        <w:t xml:space="preserve"> </w:t>
      </w:r>
      <w:r w:rsidRPr="00F8368B">
        <w:rPr>
          <w:rFonts w:ascii="Bookman Old Style" w:hAnsi="Bookman Old Style" w:cs="Arial"/>
          <w:bCs/>
          <w:i/>
          <w:iCs/>
          <w:color w:val="000000"/>
        </w:rPr>
        <w:t>del veinticinco por ciento (25%)</w:t>
      </w:r>
      <w:r w:rsidRPr="005D62E6">
        <w:rPr>
          <w:rFonts w:ascii="Bookman Old Style" w:hAnsi="Bookman Old Style" w:cs="Arial"/>
          <w:bCs/>
          <w:i/>
          <w:iCs/>
          <w:color w:val="000000"/>
        </w:rPr>
        <w:t xml:space="preserve"> de</w:t>
      </w:r>
      <w:r w:rsidRPr="0051077F">
        <w:rPr>
          <w:rFonts w:ascii="Bookman Old Style" w:hAnsi="Bookman Old Style" w:cs="Arial"/>
          <w:bCs/>
          <w:i/>
          <w:iCs/>
          <w:color w:val="000000"/>
        </w:rPr>
        <w:t xml:space="preserve"> incentivo por fecha anticipada de </w:t>
      </w:r>
      <w:r>
        <w:rPr>
          <w:rFonts w:ascii="Bookman Old Style" w:hAnsi="Bookman Old Style" w:cs="Arial"/>
          <w:bCs/>
          <w:i/>
          <w:iCs/>
          <w:color w:val="000000"/>
        </w:rPr>
        <w:t>entrada</w:t>
      </w:r>
      <w:r w:rsidRPr="0051077F">
        <w:rPr>
          <w:rFonts w:ascii="Bookman Old Style" w:hAnsi="Bookman Old Style" w:cs="Arial"/>
          <w:bCs/>
          <w:i/>
          <w:iCs/>
          <w:color w:val="000000"/>
        </w:rPr>
        <w:t xml:space="preserve"> en operación. </w:t>
      </w:r>
    </w:p>
    <w:p w14:paraId="536EE3DD" w14:textId="37C495C0" w:rsidR="00337944" w:rsidRDefault="00337944" w:rsidP="00337944">
      <w:pPr>
        <w:spacing w:before="240" w:after="240"/>
        <w:ind w:left="2125" w:hanging="1417"/>
        <w:jc w:val="both"/>
        <w:rPr>
          <w:rFonts w:ascii="Bookman Old Style" w:hAnsi="Bookman Old Style" w:cs="Arial"/>
          <w:bCs/>
          <w:i/>
          <w:iCs/>
          <w:color w:val="000000"/>
        </w:rPr>
      </w:pPr>
      <w:r w:rsidRPr="0051077F">
        <w:rPr>
          <w:rFonts w:ascii="Bookman Old Style" w:hAnsi="Bookman Old Style" w:cs="Arial"/>
          <w:bCs/>
          <w:i/>
          <w:iCs/>
          <w:color w:val="000000"/>
        </w:rPr>
        <w:t>IM</w:t>
      </w:r>
      <w:r w:rsidRPr="0051077F">
        <w:rPr>
          <w:rFonts w:ascii="Bookman Old Style" w:hAnsi="Bookman Old Style" w:cs="Arial"/>
          <w:bCs/>
          <w:i/>
          <w:iCs/>
          <w:color w:val="000000"/>
          <w:vertAlign w:val="subscript"/>
        </w:rPr>
        <w:t>1</w:t>
      </w:r>
      <w:r w:rsidRPr="0051077F">
        <w:rPr>
          <w:rFonts w:ascii="Bookman Old Style" w:hAnsi="Bookman Old Style" w:cs="Arial"/>
          <w:bCs/>
          <w:i/>
          <w:iCs/>
          <w:color w:val="000000"/>
        </w:rPr>
        <w:t xml:space="preserve">: </w:t>
      </w:r>
      <w:r w:rsidRPr="0051077F">
        <w:rPr>
          <w:rFonts w:ascii="Bookman Old Style" w:hAnsi="Bookman Old Style" w:cs="Arial"/>
          <w:bCs/>
          <w:i/>
          <w:iCs/>
          <w:color w:val="000000"/>
        </w:rPr>
        <w:tab/>
        <w:t xml:space="preserve">Valor mensualizado del primer año del período estándar de pagos, que se obtiene de dividir por 12 el </w:t>
      </w:r>
      <w:r>
        <w:rPr>
          <w:rFonts w:ascii="Bookman Old Style" w:hAnsi="Bookman Old Style" w:cs="Arial"/>
          <w:bCs/>
          <w:i/>
          <w:iCs/>
          <w:color w:val="000000"/>
        </w:rPr>
        <w:t xml:space="preserve">valor del </w:t>
      </w:r>
      <w:r w:rsidRPr="0051077F">
        <w:rPr>
          <w:rFonts w:ascii="Bookman Old Style" w:hAnsi="Bookman Old Style" w:cs="Arial"/>
          <w:bCs/>
          <w:i/>
          <w:iCs/>
          <w:color w:val="000000"/>
        </w:rPr>
        <w:t xml:space="preserve">IAE </w:t>
      </w:r>
      <w:r>
        <w:rPr>
          <w:rFonts w:ascii="Bookman Old Style" w:hAnsi="Bookman Old Style" w:cs="Arial"/>
          <w:bCs/>
          <w:i/>
          <w:iCs/>
          <w:color w:val="000000"/>
        </w:rPr>
        <w:t xml:space="preserve">total del adjudicatario para </w:t>
      </w:r>
      <w:r w:rsidRPr="0051077F">
        <w:rPr>
          <w:rFonts w:ascii="Bookman Old Style" w:hAnsi="Bookman Old Style" w:cs="Arial"/>
          <w:bCs/>
          <w:i/>
          <w:iCs/>
          <w:color w:val="000000"/>
        </w:rPr>
        <w:t>el primer año del PEP.</w:t>
      </w:r>
    </w:p>
    <w:p w14:paraId="23081698" w14:textId="08577793" w:rsidR="00083948" w:rsidRDefault="007F7688" w:rsidP="00337944">
      <w:pPr>
        <w:spacing w:before="240" w:after="240"/>
        <w:ind w:left="2125" w:hanging="1417"/>
        <w:jc w:val="both"/>
        <w:rPr>
          <w:rFonts w:ascii="Bookman Old Style" w:hAnsi="Bookman Old Style" w:cs="Arial"/>
          <w:bCs/>
          <w:i/>
          <w:iCs/>
          <w:color w:val="000000"/>
        </w:rPr>
      </w:pPr>
      <m:oMath>
        <m:sSub>
          <m:sSubPr>
            <m:ctrlPr>
              <w:rPr>
                <w:rFonts w:ascii="Cambria Math" w:hAnsi="Cambria Math" w:cs="Arial"/>
                <w:bCs/>
                <w:i/>
                <w:iCs/>
                <w:color w:val="000000"/>
              </w:rPr>
            </m:ctrlPr>
          </m:sSubPr>
          <m:e>
            <m:r>
              <w:rPr>
                <w:rFonts w:ascii="Cambria Math" w:hAnsi="Cambria Math" w:cs="Arial"/>
                <w:color w:val="000000"/>
              </w:rPr>
              <m:t>COPYPOP</m:t>
            </m:r>
          </m:e>
          <m:sub>
            <m:r>
              <w:rPr>
                <w:rFonts w:ascii="Cambria Math" w:hAnsi="Cambria Math" w:cs="Arial"/>
                <w:color w:val="000000"/>
              </w:rPr>
              <m:t>m</m:t>
            </m:r>
          </m:sub>
        </m:sSub>
      </m:oMath>
      <w:r w:rsidR="00083948" w:rsidRPr="00E759E1">
        <w:rPr>
          <w:rFonts w:ascii="Bookman Old Style" w:hAnsi="Bookman Old Style" w:cs="Arial"/>
          <w:bCs/>
          <w:i/>
          <w:iCs/>
          <w:color w:val="000000"/>
        </w:rPr>
        <w:tab/>
        <w:t>Capacidad puesta en operación parcial para entrega de gas</w:t>
      </w:r>
      <w:r w:rsidR="00083948" w:rsidRPr="00E759E1">
        <w:rPr>
          <w:rFonts w:ascii="Bookman Old Style" w:hAnsi="Bookman Old Style"/>
          <w:i/>
          <w:iCs/>
        </w:rPr>
        <w:t xml:space="preserve"> natural regasificado al Sistema Nacional de Transporte en un punto de</w:t>
      </w:r>
      <w:r w:rsidR="00083948" w:rsidRPr="0051077F">
        <w:rPr>
          <w:rFonts w:ascii="Bookman Old Style" w:hAnsi="Bookman Old Style"/>
          <w:i/>
          <w:iCs/>
        </w:rPr>
        <w:t xml:space="preserve"> entrega ubicado </w:t>
      </w:r>
      <w:r w:rsidR="00083948" w:rsidRPr="000A46BC">
        <w:rPr>
          <w:rFonts w:ascii="Bookman Old Style" w:hAnsi="Bookman Old Style"/>
          <w:i/>
          <w:iCs/>
        </w:rPr>
        <w:t xml:space="preserve">en el límite geopolítico del </w:t>
      </w:r>
      <w:r w:rsidR="00083948" w:rsidRPr="0051077F">
        <w:rPr>
          <w:rFonts w:ascii="Bookman Old Style" w:hAnsi="Bookman Old Style"/>
          <w:i/>
          <w:iCs/>
        </w:rPr>
        <w:t>municipio de Yumbo – Valle del Cauca, en el mes m, dad</w:t>
      </w:r>
      <w:r w:rsidR="00083948">
        <w:rPr>
          <w:rFonts w:ascii="Bookman Old Style" w:hAnsi="Bookman Old Style"/>
          <w:i/>
          <w:iCs/>
        </w:rPr>
        <w:t>o</w:t>
      </w:r>
      <w:r w:rsidR="00083948" w:rsidRPr="0051077F">
        <w:rPr>
          <w:rFonts w:ascii="Bookman Old Style" w:hAnsi="Bookman Old Style"/>
          <w:i/>
          <w:iCs/>
        </w:rPr>
        <w:t xml:space="preserve"> en MPCD</w:t>
      </w:r>
    </w:p>
    <w:p w14:paraId="61D50750" w14:textId="15095B81" w:rsidR="000D4E2C" w:rsidRPr="004754A1" w:rsidRDefault="000D4E2C" w:rsidP="00337944">
      <w:pPr>
        <w:spacing w:before="240" w:after="240"/>
        <w:ind w:left="2125" w:hanging="1417"/>
        <w:jc w:val="both"/>
        <w:rPr>
          <w:rFonts w:ascii="Bookman Old Style" w:hAnsi="Bookman Old Style" w:cs="Arial"/>
          <w:bCs/>
          <w:i/>
          <w:iCs/>
          <w:color w:val="000000"/>
        </w:rPr>
      </w:pPr>
      <w:r w:rsidRPr="0051077F">
        <w:rPr>
          <w:rFonts w:ascii="Bookman Old Style" w:hAnsi="Bookman Old Style" w:cs="Arial"/>
          <w:bCs/>
          <w:i/>
          <w:iCs/>
          <w:color w:val="000000"/>
        </w:rPr>
        <w:t>CDSIY:</w:t>
      </w:r>
      <w:r w:rsidRPr="0051077F">
        <w:rPr>
          <w:rFonts w:ascii="Bookman Old Style" w:hAnsi="Bookman Old Style" w:cs="Arial"/>
          <w:bCs/>
          <w:i/>
          <w:iCs/>
          <w:color w:val="000000"/>
        </w:rPr>
        <w:tab/>
        <w:t xml:space="preserve">Capacidad de regasificación </w:t>
      </w:r>
      <w:r>
        <w:rPr>
          <w:rFonts w:ascii="Bookman Old Style" w:hAnsi="Bookman Old Style" w:cs="Arial"/>
          <w:bCs/>
          <w:i/>
          <w:iCs/>
          <w:color w:val="000000"/>
        </w:rPr>
        <w:t>de la Infraestructura de Importación de Ga</w:t>
      </w:r>
      <w:r w:rsidRPr="00F42394">
        <w:rPr>
          <w:rFonts w:ascii="Bookman Old Style" w:hAnsi="Bookman Old Style" w:cs="Arial"/>
          <w:bCs/>
          <w:i/>
          <w:iCs/>
          <w:color w:val="000000"/>
        </w:rPr>
        <w:t>s del Pacífico</w:t>
      </w:r>
      <w:r>
        <w:rPr>
          <w:rFonts w:ascii="Bookman Old Style" w:hAnsi="Bookman Old Style" w:cs="Arial"/>
          <w:bCs/>
          <w:i/>
          <w:iCs/>
          <w:color w:val="000000"/>
        </w:rPr>
        <w:t>,</w:t>
      </w:r>
      <w:r w:rsidRPr="00F42394">
        <w:rPr>
          <w:rFonts w:ascii="Bookman Old Style" w:hAnsi="Bookman Old Style"/>
          <w:i/>
          <w:iCs/>
        </w:rPr>
        <w:t xml:space="preserve"> </w:t>
      </w:r>
      <w:r>
        <w:rPr>
          <w:rFonts w:ascii="Bookman Old Style" w:hAnsi="Bookman Old Style"/>
          <w:i/>
          <w:iCs/>
        </w:rPr>
        <w:t>de acuerdo con</w:t>
      </w:r>
      <w:r>
        <w:rPr>
          <w:rFonts w:ascii="Bookman Old Style" w:hAnsi="Bookman Old Style" w:cs="Arial"/>
          <w:bCs/>
          <w:i/>
          <w:iCs/>
          <w:color w:val="000000"/>
        </w:rPr>
        <w:t xml:space="preserve"> la </w:t>
      </w:r>
      <w:r w:rsidRPr="0051077F">
        <w:rPr>
          <w:rFonts w:ascii="Bookman Old Style" w:hAnsi="Bookman Old Style" w:cs="Arial"/>
          <w:bCs/>
          <w:i/>
          <w:iCs/>
          <w:color w:val="000000"/>
        </w:rPr>
        <w:t>establecid</w:t>
      </w:r>
      <w:r>
        <w:rPr>
          <w:rFonts w:ascii="Bookman Old Style" w:hAnsi="Bookman Old Style" w:cs="Arial"/>
          <w:bCs/>
          <w:i/>
          <w:iCs/>
          <w:color w:val="000000"/>
        </w:rPr>
        <w:t>a</w:t>
      </w:r>
      <w:r w:rsidRPr="0051077F">
        <w:rPr>
          <w:rFonts w:ascii="Bookman Old Style" w:hAnsi="Bookman Old Style" w:cs="Arial"/>
          <w:bCs/>
          <w:i/>
          <w:iCs/>
          <w:color w:val="000000"/>
        </w:rPr>
        <w:t xml:space="preserve"> </w:t>
      </w:r>
      <w:r w:rsidRPr="004754A1">
        <w:rPr>
          <w:rFonts w:ascii="Bookman Old Style" w:hAnsi="Bookman Old Style" w:cs="Arial"/>
          <w:bCs/>
          <w:i/>
          <w:iCs/>
          <w:color w:val="000000"/>
        </w:rPr>
        <w:t>en el Plan de Abastecimiento de Gas Natural, dada en MPCD.</w:t>
      </w:r>
    </w:p>
    <w:p w14:paraId="556B1F0A" w14:textId="760B7EF5" w:rsidR="006F7566" w:rsidRPr="004754A1" w:rsidRDefault="007F7688" w:rsidP="00731544">
      <w:pPr>
        <w:spacing w:before="240" w:after="240"/>
        <w:ind w:left="2125" w:hanging="1417"/>
        <w:jc w:val="both"/>
        <w:rPr>
          <w:rFonts w:ascii="Bookman Old Style" w:hAnsi="Bookman Old Style"/>
          <w:i/>
          <w:iCs/>
        </w:rPr>
      </w:pPr>
      <m:oMath>
        <m:sSub>
          <m:sSubPr>
            <m:ctrlPr>
              <w:rPr>
                <w:rFonts w:ascii="Cambria Math" w:hAnsi="Cambria Math"/>
                <w:i/>
                <w:spacing w:val="-2"/>
              </w:rPr>
            </m:ctrlPr>
          </m:sSubPr>
          <m:e>
            <m:r>
              <w:rPr>
                <w:rFonts w:ascii="Cambria Math" w:hAnsi="Cambria Math"/>
                <w:spacing w:val="-2"/>
              </w:rPr>
              <m:t>COPYPOPI</m:t>
            </m:r>
          </m:e>
          <m:sub>
            <m:r>
              <w:rPr>
                <w:rFonts w:ascii="Cambria Math" w:hAnsi="Cambria Math"/>
                <w:spacing w:val="-2"/>
              </w:rPr>
              <m:t>i</m:t>
            </m:r>
          </m:sub>
        </m:sSub>
      </m:oMath>
      <w:r w:rsidR="006F7566" w:rsidRPr="004754A1">
        <w:rPr>
          <w:rFonts w:ascii="Bookman Old Style" w:hAnsi="Bookman Old Style" w:cs="Arial"/>
          <w:bCs/>
          <w:i/>
          <w:iCs/>
          <w:color w:val="000000"/>
        </w:rPr>
        <w:t xml:space="preserve">: </w:t>
      </w:r>
      <w:r w:rsidR="006F7566" w:rsidRPr="004754A1">
        <w:rPr>
          <w:rFonts w:ascii="Bookman Old Style" w:hAnsi="Bookman Old Style" w:cs="Arial"/>
          <w:bCs/>
          <w:i/>
          <w:iCs/>
          <w:color w:val="000000"/>
        </w:rPr>
        <w:tab/>
        <w:t xml:space="preserve">Máxima capacidad indisponible de la capacidad puesta en operación parcial </w:t>
      </w:r>
      <w:r w:rsidR="00187DA6" w:rsidRPr="004754A1">
        <w:rPr>
          <w:rFonts w:ascii="Bookman Old Style" w:hAnsi="Bookman Old Style" w:cs="Arial"/>
          <w:bCs/>
          <w:i/>
          <w:iCs/>
          <w:color w:val="000000"/>
        </w:rPr>
        <w:t>para</w:t>
      </w:r>
      <w:r w:rsidR="006F7566" w:rsidRPr="004754A1">
        <w:rPr>
          <w:rFonts w:ascii="Bookman Old Style" w:hAnsi="Bookman Old Style" w:cs="Arial"/>
          <w:bCs/>
          <w:i/>
          <w:iCs/>
          <w:color w:val="000000"/>
        </w:rPr>
        <w:t xml:space="preserve"> entrega de gas</w:t>
      </w:r>
      <w:r w:rsidR="006F7566" w:rsidRPr="004754A1">
        <w:rPr>
          <w:rFonts w:ascii="Bookman Old Style" w:hAnsi="Bookman Old Style"/>
          <w:i/>
          <w:iCs/>
        </w:rPr>
        <w:t xml:space="preserve"> </w:t>
      </w:r>
      <w:r w:rsidR="00187DA6" w:rsidRPr="004754A1">
        <w:rPr>
          <w:rFonts w:ascii="Bookman Old Style" w:hAnsi="Bookman Old Style"/>
          <w:i/>
          <w:iCs/>
        </w:rPr>
        <w:t xml:space="preserve">natural regasificado </w:t>
      </w:r>
      <w:r w:rsidR="006F7566" w:rsidRPr="004754A1">
        <w:rPr>
          <w:rFonts w:ascii="Bookman Old Style" w:hAnsi="Bookman Old Style"/>
          <w:i/>
          <w:iCs/>
        </w:rPr>
        <w:t>al Sistema Nacional de Transporte en un punto de entrega ubicado en el municipio de Yumbo – Valle del Cauca, durante el día i del mes m, dada en MPCD.</w:t>
      </w:r>
    </w:p>
    <w:p w14:paraId="190B3F32" w14:textId="7B96B360" w:rsidR="006F7566" w:rsidRDefault="006F7566">
      <w:pPr>
        <w:spacing w:before="240"/>
        <w:ind w:left="2125" w:hanging="1417"/>
        <w:jc w:val="both"/>
        <w:rPr>
          <w:rFonts w:ascii="Bookman Old Style" w:hAnsi="Bookman Old Style" w:cs="Arial"/>
          <w:bCs/>
          <w:i/>
          <w:iCs/>
          <w:color w:val="000000"/>
        </w:rPr>
      </w:pPr>
      <w:r w:rsidRPr="004754A1">
        <w:rPr>
          <w:rFonts w:ascii="Bookman Old Style" w:hAnsi="Bookman Old Style" w:cs="Arial"/>
          <w:bCs/>
          <w:i/>
          <w:iCs/>
          <w:color w:val="000000"/>
        </w:rPr>
        <w:t xml:space="preserve">D: </w:t>
      </w:r>
      <w:r w:rsidRPr="004754A1">
        <w:rPr>
          <w:rFonts w:ascii="Bookman Old Style" w:hAnsi="Bookman Old Style" w:cs="Arial"/>
          <w:bCs/>
          <w:i/>
          <w:iCs/>
          <w:color w:val="000000"/>
        </w:rPr>
        <w:tab/>
        <w:t>Número de días del mes m.</w:t>
      </w:r>
      <w:r w:rsidR="0051077F">
        <w:rPr>
          <w:rFonts w:ascii="Bookman Old Style" w:hAnsi="Bookman Old Style" w:cs="Arial"/>
          <w:bCs/>
          <w:i/>
          <w:iCs/>
          <w:color w:val="000000"/>
        </w:rPr>
        <w:t>”</w:t>
      </w:r>
    </w:p>
    <w:p w14:paraId="0CF2DCA4" w14:textId="77777777" w:rsidR="003C3213" w:rsidRDefault="003C3213" w:rsidP="003C3213">
      <w:pPr>
        <w:ind w:left="0"/>
        <w:jc w:val="both"/>
        <w:rPr>
          <w:rFonts w:ascii="Bookman Old Style" w:hAnsi="Bookman Old Style"/>
          <w:b/>
          <w:bCs/>
          <w:lang w:val="es-CO"/>
        </w:rPr>
      </w:pPr>
    </w:p>
    <w:p w14:paraId="4BAB8B98" w14:textId="5E8AC6A0" w:rsidR="007E0CF9" w:rsidRDefault="007E0CF9" w:rsidP="00900F23">
      <w:pPr>
        <w:spacing w:after="240"/>
        <w:ind w:left="0"/>
        <w:jc w:val="both"/>
        <w:rPr>
          <w:rFonts w:ascii="Bookman Old Style" w:hAnsi="Bookman Old Style" w:cs="Arial"/>
          <w:bCs/>
          <w:color w:val="000000"/>
        </w:rPr>
      </w:pPr>
      <w:r w:rsidRPr="00356462">
        <w:rPr>
          <w:rFonts w:ascii="Bookman Old Style" w:hAnsi="Bookman Old Style"/>
          <w:b/>
          <w:bCs/>
          <w:lang w:val="es-CO"/>
        </w:rPr>
        <w:t xml:space="preserve">Artículo </w:t>
      </w:r>
      <w:r w:rsidR="00FF1669">
        <w:rPr>
          <w:rFonts w:ascii="Bookman Old Style" w:hAnsi="Bookman Old Style"/>
          <w:b/>
          <w:bCs/>
          <w:lang w:val="es-CO"/>
        </w:rPr>
        <w:t>10</w:t>
      </w:r>
      <w:r w:rsidRPr="00356462">
        <w:rPr>
          <w:rFonts w:ascii="Bookman Old Style" w:hAnsi="Bookman Old Style"/>
          <w:b/>
          <w:bCs/>
          <w:lang w:val="es-CO"/>
        </w:rPr>
        <w:t xml:space="preserve">. </w:t>
      </w:r>
      <w:r>
        <w:rPr>
          <w:rFonts w:ascii="Bookman Old Style" w:hAnsi="Bookman Old Style" w:cs="Arial"/>
          <w:bCs/>
          <w:color w:val="000000"/>
        </w:rPr>
        <w:t xml:space="preserve">Adiciónese el siguiente artículo a la Resolución CREG 152 de 2017, así: </w:t>
      </w:r>
    </w:p>
    <w:p w14:paraId="3BCC8CAE" w14:textId="72C7C4B9" w:rsidR="00102864" w:rsidRDefault="007E0CF9" w:rsidP="00900F23">
      <w:pPr>
        <w:ind w:left="284"/>
        <w:jc w:val="both"/>
        <w:rPr>
          <w:rFonts w:ascii="Bookman Old Style" w:hAnsi="Bookman Old Style"/>
          <w:bCs/>
          <w:i/>
          <w:iCs/>
        </w:rPr>
      </w:pPr>
      <w:r>
        <w:rPr>
          <w:rFonts w:ascii="Bookman Old Style" w:hAnsi="Bookman Old Style"/>
          <w:b/>
          <w:i/>
          <w:iCs/>
        </w:rPr>
        <w:t>“</w:t>
      </w:r>
      <w:r w:rsidR="00102864" w:rsidRPr="007E0CF9">
        <w:rPr>
          <w:rFonts w:ascii="Bookman Old Style" w:hAnsi="Bookman Old Style"/>
          <w:b/>
          <w:i/>
          <w:iCs/>
        </w:rPr>
        <w:t>Artículo 1</w:t>
      </w:r>
      <w:r w:rsidR="001A2891">
        <w:rPr>
          <w:rFonts w:ascii="Bookman Old Style" w:hAnsi="Bookman Old Style"/>
          <w:b/>
          <w:i/>
          <w:iCs/>
        </w:rPr>
        <w:t>6</w:t>
      </w:r>
      <w:r w:rsidR="00102864" w:rsidRPr="007E0CF9">
        <w:rPr>
          <w:rFonts w:ascii="Bookman Old Style" w:hAnsi="Bookman Old Style"/>
          <w:b/>
          <w:i/>
          <w:iCs/>
        </w:rPr>
        <w:t xml:space="preserve">. </w:t>
      </w:r>
      <w:r>
        <w:rPr>
          <w:rFonts w:ascii="Bookman Old Style" w:hAnsi="Bookman Old Style"/>
          <w:b/>
          <w:i/>
          <w:iCs/>
        </w:rPr>
        <w:t xml:space="preserve">Servicios adicionales. </w:t>
      </w:r>
      <w:r w:rsidR="00102864" w:rsidRPr="007E0CF9">
        <w:rPr>
          <w:rFonts w:ascii="Bookman Old Style" w:hAnsi="Bookman Old Style"/>
          <w:b/>
          <w:i/>
          <w:iCs/>
        </w:rPr>
        <w:t xml:space="preserve">Valor del </w:t>
      </w:r>
      <w:r w:rsidR="003F57AF" w:rsidRPr="007E0CF9">
        <w:rPr>
          <w:rFonts w:ascii="Bookman Old Style" w:hAnsi="Bookman Old Style"/>
          <w:b/>
          <w:i/>
          <w:iCs/>
        </w:rPr>
        <w:t>componente PSA</w:t>
      </w:r>
      <w:r w:rsidR="00F77278" w:rsidRPr="007E0CF9">
        <w:rPr>
          <w:rFonts w:ascii="Bookman Old Style" w:hAnsi="Bookman Old Style"/>
          <w:b/>
          <w:i/>
          <w:iCs/>
        </w:rPr>
        <w:t xml:space="preserve">. </w:t>
      </w:r>
      <w:r w:rsidRPr="00C64037">
        <w:rPr>
          <w:rFonts w:ascii="Bookman Old Style" w:hAnsi="Bookman Old Style"/>
          <w:bCs/>
          <w:i/>
          <w:iCs/>
        </w:rPr>
        <w:t xml:space="preserve">El valor a utilizar en los cálculos establecidos </w:t>
      </w:r>
      <w:r w:rsidR="003152AF" w:rsidRPr="00C64037">
        <w:rPr>
          <w:rFonts w:ascii="Bookman Old Style" w:hAnsi="Bookman Old Style"/>
          <w:bCs/>
          <w:i/>
          <w:iCs/>
        </w:rPr>
        <w:t xml:space="preserve">en el anexo 4 </w:t>
      </w:r>
      <w:r w:rsidR="00F956EE" w:rsidRPr="00C64037">
        <w:rPr>
          <w:rFonts w:ascii="Bookman Old Style" w:hAnsi="Bookman Old Style"/>
          <w:bCs/>
          <w:i/>
          <w:iCs/>
        </w:rPr>
        <w:t xml:space="preserve">de la Resolución CREG </w:t>
      </w:r>
      <w:r w:rsidR="00C64037" w:rsidRPr="00C64037">
        <w:rPr>
          <w:rFonts w:ascii="Bookman Old Style" w:hAnsi="Bookman Old Style"/>
          <w:bCs/>
          <w:i/>
          <w:iCs/>
        </w:rPr>
        <w:t>107 de 2017 o aquellas que la modifiquen, adic</w:t>
      </w:r>
      <w:r w:rsidR="00C64037" w:rsidRPr="00D04692">
        <w:rPr>
          <w:rFonts w:ascii="Bookman Old Style" w:hAnsi="Bookman Old Style"/>
          <w:bCs/>
          <w:i/>
          <w:iCs/>
        </w:rPr>
        <w:t xml:space="preserve">ionen o sustituyan, será </w:t>
      </w:r>
      <w:r w:rsidR="00C64037" w:rsidRPr="00CC1526">
        <w:rPr>
          <w:rFonts w:ascii="Bookman Old Style" w:hAnsi="Bookman Old Style"/>
          <w:bCs/>
          <w:i/>
          <w:iCs/>
        </w:rPr>
        <w:t>del</w:t>
      </w:r>
      <w:r w:rsidR="005522E4" w:rsidRPr="00CC1526">
        <w:rPr>
          <w:rFonts w:ascii="Bookman Old Style" w:hAnsi="Bookman Old Style"/>
          <w:bCs/>
          <w:i/>
          <w:iCs/>
        </w:rPr>
        <w:t xml:space="preserve"> diez</w:t>
      </w:r>
      <w:r w:rsidR="00C64037" w:rsidRPr="00CC1526">
        <w:rPr>
          <w:rFonts w:ascii="Bookman Old Style" w:hAnsi="Bookman Old Style"/>
          <w:bCs/>
          <w:i/>
          <w:iCs/>
        </w:rPr>
        <w:t xml:space="preserve"> </w:t>
      </w:r>
      <w:r w:rsidR="005522E4" w:rsidRPr="00CC1526">
        <w:rPr>
          <w:rFonts w:ascii="Bookman Old Style" w:hAnsi="Bookman Old Style"/>
          <w:bCs/>
          <w:i/>
          <w:iCs/>
        </w:rPr>
        <w:t>por ciento (10%).</w:t>
      </w:r>
      <w:r w:rsidR="00671418">
        <w:rPr>
          <w:rFonts w:ascii="Bookman Old Style" w:hAnsi="Bookman Old Style"/>
          <w:bCs/>
          <w:i/>
          <w:iCs/>
        </w:rPr>
        <w:t>”</w:t>
      </w:r>
    </w:p>
    <w:p w14:paraId="74D2E829" w14:textId="77777777" w:rsidR="00900F23" w:rsidRPr="00900F23" w:rsidRDefault="00900F23" w:rsidP="00900F23">
      <w:pPr>
        <w:ind w:left="284"/>
        <w:jc w:val="both"/>
        <w:rPr>
          <w:rFonts w:ascii="Bookman Old Style" w:hAnsi="Bookman Old Style"/>
          <w:bCs/>
          <w:i/>
          <w:iCs/>
          <w:sz w:val="32"/>
          <w:szCs w:val="32"/>
        </w:rPr>
      </w:pPr>
    </w:p>
    <w:p w14:paraId="5B28F365" w14:textId="4932C876" w:rsidR="00051067" w:rsidRDefault="00E81E0D" w:rsidP="00900F23">
      <w:pPr>
        <w:ind w:left="0"/>
        <w:jc w:val="both"/>
        <w:rPr>
          <w:rFonts w:ascii="Bookman Old Style" w:hAnsi="Bookman Old Style" w:cs="Arial"/>
          <w:bCs/>
          <w:color w:val="000000"/>
        </w:rPr>
      </w:pPr>
      <w:r>
        <w:rPr>
          <w:rFonts w:ascii="Bookman Old Style" w:hAnsi="Bookman Old Style"/>
          <w:b/>
        </w:rPr>
        <w:t xml:space="preserve">Artículo </w:t>
      </w:r>
      <w:r w:rsidR="00671418">
        <w:rPr>
          <w:rFonts w:ascii="Bookman Old Style" w:hAnsi="Bookman Old Style"/>
          <w:b/>
        </w:rPr>
        <w:t>11</w:t>
      </w:r>
      <w:r>
        <w:rPr>
          <w:rFonts w:ascii="Bookman Old Style" w:hAnsi="Bookman Old Style"/>
          <w:b/>
        </w:rPr>
        <w:t>.</w:t>
      </w:r>
      <w:r w:rsidR="00051067">
        <w:rPr>
          <w:rFonts w:ascii="Bookman Old Style" w:hAnsi="Bookman Old Style"/>
          <w:b/>
        </w:rPr>
        <w:t xml:space="preserve"> </w:t>
      </w:r>
      <w:r w:rsidR="00051067">
        <w:rPr>
          <w:rFonts w:ascii="Bookman Old Style" w:hAnsi="Bookman Old Style" w:cs="Arial"/>
          <w:bCs/>
          <w:color w:val="000000"/>
        </w:rPr>
        <w:t xml:space="preserve">Adiciónese el siguiente artículo a la Resolución CREG 152 de 2017, así: </w:t>
      </w:r>
    </w:p>
    <w:p w14:paraId="6F848D9D" w14:textId="61511732" w:rsidR="0090112D" w:rsidRDefault="0051077F" w:rsidP="0051077F">
      <w:pPr>
        <w:spacing w:before="240" w:after="240"/>
        <w:ind w:left="284"/>
        <w:jc w:val="both"/>
        <w:rPr>
          <w:rFonts w:ascii="Bookman Old Style" w:hAnsi="Bookman Old Style"/>
          <w:bCs/>
          <w:i/>
          <w:iCs/>
        </w:rPr>
      </w:pPr>
      <w:r w:rsidRPr="0051077F">
        <w:rPr>
          <w:rFonts w:ascii="Bookman Old Style" w:hAnsi="Bookman Old Style"/>
          <w:b/>
          <w:i/>
          <w:iCs/>
        </w:rPr>
        <w:t>“</w:t>
      </w:r>
      <w:r w:rsidR="00051067" w:rsidRPr="0051077F">
        <w:rPr>
          <w:rFonts w:ascii="Bookman Old Style" w:hAnsi="Bookman Old Style"/>
          <w:b/>
          <w:i/>
          <w:iCs/>
        </w:rPr>
        <w:t>Artículo 1</w:t>
      </w:r>
      <w:r w:rsidR="007E0CF9">
        <w:rPr>
          <w:rFonts w:ascii="Bookman Old Style" w:hAnsi="Bookman Old Style"/>
          <w:b/>
          <w:i/>
          <w:iCs/>
        </w:rPr>
        <w:t>7</w:t>
      </w:r>
      <w:r w:rsidR="00051067" w:rsidRPr="0051077F">
        <w:rPr>
          <w:rFonts w:ascii="Bookman Old Style" w:hAnsi="Bookman Old Style"/>
          <w:b/>
          <w:i/>
          <w:iCs/>
        </w:rPr>
        <w:t xml:space="preserve">. Comercialización del </w:t>
      </w:r>
      <w:r w:rsidR="00C3749E">
        <w:rPr>
          <w:rFonts w:ascii="Bookman Old Style" w:hAnsi="Bookman Old Style"/>
          <w:b/>
          <w:i/>
          <w:iCs/>
        </w:rPr>
        <w:t>GNL</w:t>
      </w:r>
      <w:r w:rsidR="00C3749E" w:rsidRPr="0051077F">
        <w:rPr>
          <w:rFonts w:ascii="Bookman Old Style" w:hAnsi="Bookman Old Style"/>
          <w:b/>
          <w:i/>
          <w:iCs/>
        </w:rPr>
        <w:t xml:space="preserve"> </w:t>
      </w:r>
      <w:r w:rsidR="001C6549" w:rsidRPr="0051077F">
        <w:rPr>
          <w:rFonts w:ascii="Bookman Old Style" w:hAnsi="Bookman Old Style"/>
          <w:b/>
          <w:i/>
          <w:iCs/>
        </w:rPr>
        <w:t>requerido para la puesta en operación de la infraestructura de importación de gas del Pacífico.</w:t>
      </w:r>
      <w:r w:rsidR="00E81E0D" w:rsidRPr="0051077F">
        <w:rPr>
          <w:rFonts w:ascii="Bookman Old Style" w:hAnsi="Bookman Old Style"/>
          <w:b/>
          <w:i/>
          <w:iCs/>
        </w:rPr>
        <w:t xml:space="preserve"> </w:t>
      </w:r>
      <w:r w:rsidR="0024355B" w:rsidRPr="0051077F">
        <w:rPr>
          <w:rFonts w:ascii="Bookman Old Style" w:hAnsi="Bookman Old Style"/>
          <w:bCs/>
          <w:i/>
          <w:iCs/>
        </w:rPr>
        <w:t xml:space="preserve">El gas natural licuado requerido para la puesta en operación de la </w:t>
      </w:r>
      <w:r w:rsidR="005E1D29" w:rsidRPr="0051077F">
        <w:rPr>
          <w:rFonts w:ascii="Bookman Old Style" w:hAnsi="Bookman Old Style"/>
          <w:bCs/>
          <w:i/>
          <w:iCs/>
        </w:rPr>
        <w:t>infraestructura de importación de gas del Pacífico</w:t>
      </w:r>
      <w:r w:rsidR="0024355B" w:rsidRPr="0051077F">
        <w:rPr>
          <w:rFonts w:ascii="Bookman Old Style" w:hAnsi="Bookman Old Style"/>
          <w:bCs/>
          <w:i/>
          <w:iCs/>
        </w:rPr>
        <w:t xml:space="preserve"> deberá ser suministrado por el adjudicatario, y de manera excepcional, podrá ser comercializado por el propio adjudicatario o quien él designe para tal fin.</w:t>
      </w:r>
    </w:p>
    <w:p w14:paraId="59FB08E3" w14:textId="1AF0B4D0" w:rsidR="00201563" w:rsidRDefault="0090112D" w:rsidP="0051077F">
      <w:pPr>
        <w:spacing w:before="240" w:after="240"/>
        <w:ind w:left="284"/>
        <w:jc w:val="both"/>
        <w:rPr>
          <w:rFonts w:ascii="Bookman Old Style" w:hAnsi="Bookman Old Style"/>
          <w:bCs/>
          <w:i/>
          <w:iCs/>
        </w:rPr>
      </w:pPr>
      <w:r>
        <w:rPr>
          <w:rFonts w:ascii="Bookman Old Style" w:hAnsi="Bookman Old Style"/>
          <w:bCs/>
          <w:i/>
          <w:iCs/>
        </w:rPr>
        <w:t>Los ingresos provenientes de la comercialización de</w:t>
      </w:r>
      <w:r w:rsidR="00F81FFA">
        <w:rPr>
          <w:rFonts w:ascii="Bookman Old Style" w:hAnsi="Bookman Old Style"/>
          <w:bCs/>
          <w:i/>
          <w:iCs/>
        </w:rPr>
        <w:t>l</w:t>
      </w:r>
      <w:r>
        <w:rPr>
          <w:rFonts w:ascii="Bookman Old Style" w:hAnsi="Bookman Old Style"/>
          <w:bCs/>
          <w:i/>
          <w:iCs/>
        </w:rPr>
        <w:t xml:space="preserve"> gas </w:t>
      </w:r>
      <w:r w:rsidR="00F81FFA">
        <w:rPr>
          <w:rFonts w:ascii="Bookman Old Style" w:hAnsi="Bookman Old Style"/>
          <w:bCs/>
          <w:i/>
          <w:iCs/>
        </w:rPr>
        <w:t>reque</w:t>
      </w:r>
      <w:r w:rsidR="00123824">
        <w:rPr>
          <w:rFonts w:ascii="Bookman Old Style" w:hAnsi="Bookman Old Style"/>
          <w:bCs/>
          <w:i/>
          <w:iCs/>
        </w:rPr>
        <w:t>ri</w:t>
      </w:r>
      <w:r w:rsidR="00F81FFA">
        <w:rPr>
          <w:rFonts w:ascii="Bookman Old Style" w:hAnsi="Bookman Old Style"/>
          <w:bCs/>
          <w:i/>
          <w:iCs/>
        </w:rPr>
        <w:t>do para la puesta en operación</w:t>
      </w:r>
      <w:r w:rsidR="00123824">
        <w:rPr>
          <w:rFonts w:ascii="Bookman Old Style" w:hAnsi="Bookman Old Style"/>
          <w:bCs/>
          <w:i/>
          <w:iCs/>
        </w:rPr>
        <w:t>,</w:t>
      </w:r>
      <w:r>
        <w:rPr>
          <w:rFonts w:ascii="Bookman Old Style" w:hAnsi="Bookman Old Style"/>
          <w:bCs/>
          <w:i/>
          <w:iCs/>
        </w:rPr>
        <w:t xml:space="preserve"> se considerarán como ingresos de corto plazo</w:t>
      </w:r>
      <w:r w:rsidR="00123824">
        <w:rPr>
          <w:rFonts w:ascii="Bookman Old Style" w:hAnsi="Bookman Old Style"/>
          <w:bCs/>
          <w:i/>
          <w:iCs/>
        </w:rPr>
        <w:t>,</w:t>
      </w:r>
      <w:r>
        <w:rPr>
          <w:rFonts w:ascii="Bookman Old Style" w:hAnsi="Bookman Old Style"/>
          <w:bCs/>
          <w:i/>
          <w:iCs/>
        </w:rPr>
        <w:t xml:space="preserve"> </w:t>
      </w:r>
      <m:oMath>
        <m:sSub>
          <m:sSubPr>
            <m:ctrlPr>
              <w:rPr>
                <w:rFonts w:ascii="Cambria Math" w:hAnsi="Cambria Math"/>
                <w:i/>
              </w:rPr>
            </m:ctrlPr>
          </m:sSubPr>
          <m:e>
            <m:r>
              <w:rPr>
                <w:rFonts w:ascii="Cambria Math" w:hAnsi="Cambria Math"/>
              </w:rPr>
              <m:t>ICC</m:t>
            </m:r>
          </m:e>
          <m:sub>
            <m:r>
              <w:rPr>
                <w:rFonts w:ascii="Cambria Math" w:hAnsi="Cambria Math"/>
              </w:rPr>
              <m:t>PAGN,m,t</m:t>
            </m:r>
          </m:sub>
        </m:sSub>
      </m:oMath>
      <w:r w:rsidR="00123824">
        <w:rPr>
          <w:rFonts w:ascii="Bookman Old Style" w:hAnsi="Bookman Old Style"/>
          <w:bCs/>
          <w:i/>
          <w:iCs/>
        </w:rPr>
        <w:t>,</w:t>
      </w:r>
      <w:r>
        <w:rPr>
          <w:rFonts w:ascii="Bookman Old Style" w:hAnsi="Bookman Old Style"/>
          <w:bCs/>
          <w:i/>
          <w:iCs/>
        </w:rPr>
        <w:t xml:space="preserve"> para efectos de</w:t>
      </w:r>
      <w:r w:rsidR="00F81FFA">
        <w:rPr>
          <w:rFonts w:ascii="Bookman Old Style" w:hAnsi="Bookman Old Style"/>
          <w:bCs/>
          <w:i/>
          <w:iCs/>
        </w:rPr>
        <w:t>l cobro a los transportadores y a los beneficiarios del proyecto</w:t>
      </w:r>
      <w:r w:rsidR="00123824">
        <w:rPr>
          <w:rFonts w:ascii="Bookman Old Style" w:hAnsi="Bookman Old Style"/>
          <w:bCs/>
          <w:i/>
          <w:iCs/>
        </w:rPr>
        <w:t>, de acuerdo con lo establecido en el artículo 17 de la resolución CREG 107 de 2017 o aquellas que la modifiquen o sustituyan</w:t>
      </w:r>
      <w:r w:rsidR="00F81FFA">
        <w:rPr>
          <w:rFonts w:ascii="Bookman Old Style" w:hAnsi="Bookman Old Style"/>
          <w:bCs/>
          <w:i/>
          <w:iCs/>
        </w:rPr>
        <w:t>.</w:t>
      </w:r>
      <w:r w:rsidR="0051077F" w:rsidRPr="0051077F">
        <w:rPr>
          <w:rFonts w:ascii="Bookman Old Style" w:hAnsi="Bookman Old Style"/>
          <w:bCs/>
          <w:i/>
          <w:iCs/>
        </w:rPr>
        <w:t>”</w:t>
      </w:r>
    </w:p>
    <w:p w14:paraId="67D1C2B0" w14:textId="39B55AE1" w:rsidR="00BF2BC2" w:rsidRDefault="00BF2BC2" w:rsidP="00D81823">
      <w:pPr>
        <w:spacing w:before="240" w:after="240"/>
        <w:ind w:left="0"/>
        <w:jc w:val="both"/>
        <w:rPr>
          <w:rFonts w:ascii="Bookman Old Style" w:hAnsi="Bookman Old Style"/>
          <w:i/>
          <w:lang w:val="es-CO"/>
        </w:rPr>
      </w:pPr>
      <w:r w:rsidRPr="00356462">
        <w:rPr>
          <w:rFonts w:ascii="Bookman Old Style" w:hAnsi="Bookman Old Style"/>
          <w:b/>
        </w:rPr>
        <w:t xml:space="preserve">Artículo </w:t>
      </w:r>
      <w:r w:rsidR="00BC2856" w:rsidRPr="00356462">
        <w:rPr>
          <w:rFonts w:ascii="Bookman Old Style" w:hAnsi="Bookman Old Style"/>
          <w:b/>
        </w:rPr>
        <w:t>1</w:t>
      </w:r>
      <w:r w:rsidR="000C7B7C">
        <w:rPr>
          <w:rFonts w:ascii="Bookman Old Style" w:hAnsi="Bookman Old Style"/>
          <w:b/>
        </w:rPr>
        <w:t>2</w:t>
      </w:r>
      <w:r w:rsidRPr="00356462">
        <w:rPr>
          <w:rFonts w:ascii="Bookman Old Style" w:hAnsi="Bookman Old Style"/>
          <w:b/>
        </w:rPr>
        <w:t xml:space="preserve">. Vigencia. </w:t>
      </w:r>
      <w:r w:rsidRPr="00356462">
        <w:rPr>
          <w:rFonts w:ascii="Bookman Old Style" w:hAnsi="Bookman Old Style"/>
          <w:lang w:val="es-CO"/>
        </w:rPr>
        <w:t xml:space="preserve">La presente Resolución rige a partir de la fecha de su publicación en el </w:t>
      </w:r>
      <w:r w:rsidRPr="00356462">
        <w:rPr>
          <w:rFonts w:ascii="Bookman Old Style" w:hAnsi="Bookman Old Style"/>
          <w:i/>
          <w:lang w:val="es-CO"/>
        </w:rPr>
        <w:t>Diario Oficial.</w:t>
      </w:r>
    </w:p>
    <w:p w14:paraId="7526CB9A" w14:textId="77777777" w:rsidR="00017F83" w:rsidRPr="00356462" w:rsidRDefault="00017F83" w:rsidP="00017F83">
      <w:pPr>
        <w:ind w:left="0"/>
        <w:jc w:val="center"/>
        <w:rPr>
          <w:rFonts w:ascii="Bookman Old Style" w:hAnsi="Bookman Old Style"/>
          <w:b/>
        </w:rPr>
      </w:pPr>
      <w:r w:rsidRPr="00356462">
        <w:rPr>
          <w:rFonts w:ascii="Bookman Old Style" w:hAnsi="Bookman Old Style"/>
          <w:b/>
        </w:rPr>
        <w:t>PUBLÍQUESE Y CÚMPLASE</w:t>
      </w:r>
    </w:p>
    <w:p w14:paraId="6C5DC1D6" w14:textId="77777777" w:rsidR="00017F83" w:rsidRPr="00356462" w:rsidRDefault="00017F83" w:rsidP="00BF2BC2">
      <w:pPr>
        <w:ind w:left="0"/>
        <w:rPr>
          <w:rFonts w:ascii="Bookman Old Style" w:hAnsi="Bookman Old Style"/>
        </w:rPr>
      </w:pPr>
    </w:p>
    <w:p w14:paraId="4C88B734" w14:textId="1BEED530" w:rsidR="006B7CDC" w:rsidRPr="00900F23" w:rsidRDefault="00900F23" w:rsidP="00BF2BC2">
      <w:pPr>
        <w:ind w:left="0"/>
        <w:rPr>
          <w:rFonts w:ascii="Bookman Old Style" w:hAnsi="Bookman Old Style"/>
          <w:b/>
          <w:bCs/>
        </w:rPr>
      </w:pPr>
      <w:r>
        <w:rPr>
          <w:rFonts w:ascii="Bookman Old Style" w:hAnsi="Bookman Old Style"/>
        </w:rPr>
        <w:t xml:space="preserve">Dada en Bogotá, D.C., a </w:t>
      </w:r>
      <w:r w:rsidRPr="00900F23">
        <w:rPr>
          <w:rFonts w:ascii="Bookman Old Style" w:hAnsi="Bookman Old Style"/>
          <w:b/>
          <w:bCs/>
        </w:rPr>
        <w:t>30 AGO. 2021</w:t>
      </w:r>
    </w:p>
    <w:p w14:paraId="11C0B71E" w14:textId="77777777" w:rsidR="006B7CDC" w:rsidRPr="00356462" w:rsidRDefault="006B7CDC" w:rsidP="00BF2BC2">
      <w:pPr>
        <w:ind w:left="0"/>
        <w:rPr>
          <w:rFonts w:ascii="Bookman Old Style" w:hAnsi="Bookman Old Style"/>
        </w:rPr>
      </w:pPr>
    </w:p>
    <w:p w14:paraId="65E2C714" w14:textId="77777777" w:rsidR="0051077F" w:rsidRPr="00356462" w:rsidRDefault="0051077F" w:rsidP="00BF2BC2">
      <w:pPr>
        <w:ind w:left="0"/>
        <w:rPr>
          <w:rFonts w:ascii="Bookman Old Style" w:hAnsi="Bookman Old Style"/>
        </w:rPr>
      </w:pPr>
    </w:p>
    <w:p w14:paraId="702807BD" w14:textId="77777777" w:rsidR="00F13C2A" w:rsidRPr="00356462" w:rsidRDefault="00F13C2A" w:rsidP="00BF2BC2">
      <w:pPr>
        <w:ind w:left="0"/>
        <w:rPr>
          <w:rFonts w:ascii="Bookman Old Style" w:hAnsi="Bookman Old Style"/>
        </w:rPr>
      </w:pPr>
    </w:p>
    <w:tbl>
      <w:tblPr>
        <w:tblW w:w="9923" w:type="dxa"/>
        <w:jc w:val="center"/>
        <w:tblCellSpacing w:w="0" w:type="dxa"/>
        <w:tblCellMar>
          <w:left w:w="0" w:type="dxa"/>
          <w:right w:w="0" w:type="dxa"/>
        </w:tblCellMar>
        <w:tblLook w:val="04A0" w:firstRow="1" w:lastRow="0" w:firstColumn="1" w:lastColumn="0" w:noHBand="0" w:noVBand="1"/>
      </w:tblPr>
      <w:tblGrid>
        <w:gridCol w:w="5102"/>
        <w:gridCol w:w="4821"/>
      </w:tblGrid>
      <w:tr w:rsidR="00441A0D" w:rsidRPr="00356462" w14:paraId="4DF092C9" w14:textId="77777777" w:rsidTr="009951F0">
        <w:trPr>
          <w:tblCellSpacing w:w="0" w:type="dxa"/>
          <w:jc w:val="center"/>
        </w:trPr>
        <w:tc>
          <w:tcPr>
            <w:tcW w:w="5102" w:type="dxa"/>
          </w:tcPr>
          <w:p w14:paraId="4ABDCE6D" w14:textId="77777777" w:rsidR="00441A0D" w:rsidRPr="00356462" w:rsidRDefault="00441A0D" w:rsidP="00441A0D">
            <w:pPr>
              <w:ind w:left="-6"/>
              <w:contextualSpacing/>
              <w:jc w:val="center"/>
              <w:rPr>
                <w:rFonts w:ascii="Bookman Old Style" w:eastAsia="Arial Unicode MS" w:hAnsi="Bookman Old Style"/>
                <w:b/>
                <w:bCs/>
                <w:color w:val="000000"/>
              </w:rPr>
            </w:pPr>
            <w:r w:rsidRPr="00356462">
              <w:rPr>
                <w:rFonts w:ascii="Bookman Old Style" w:hAnsi="Bookman Old Style"/>
                <w:b/>
                <w:bCs/>
              </w:rPr>
              <w:t>DIEGO MESA PUYO</w:t>
            </w:r>
          </w:p>
        </w:tc>
        <w:tc>
          <w:tcPr>
            <w:tcW w:w="4821" w:type="dxa"/>
          </w:tcPr>
          <w:p w14:paraId="6EA513AC" w14:textId="1254D086" w:rsidR="00441A0D" w:rsidRPr="00356462" w:rsidRDefault="00441A0D" w:rsidP="00441A0D">
            <w:pPr>
              <w:ind w:left="0" w:right="-26"/>
              <w:contextualSpacing/>
              <w:rPr>
                <w:rFonts w:ascii="Bookman Old Style" w:eastAsia="Arial Unicode MS" w:hAnsi="Bookman Old Style"/>
                <w:b/>
                <w:bCs/>
              </w:rPr>
            </w:pPr>
            <w:r w:rsidRPr="00356462">
              <w:rPr>
                <w:rFonts w:ascii="Bookman Old Style" w:hAnsi="Bookman Old Style"/>
                <w:b/>
                <w:bCs/>
              </w:rPr>
              <w:t>JORGE ALBERTO VALENCIA MAR</w:t>
            </w:r>
            <w:r w:rsidR="000C120A">
              <w:rPr>
                <w:rFonts w:ascii="Bookman Old Style" w:hAnsi="Bookman Old Style"/>
                <w:b/>
                <w:bCs/>
              </w:rPr>
              <w:t>Í</w:t>
            </w:r>
            <w:r w:rsidRPr="00356462">
              <w:rPr>
                <w:rFonts w:ascii="Bookman Old Style" w:hAnsi="Bookman Old Style"/>
                <w:b/>
                <w:bCs/>
              </w:rPr>
              <w:t>N</w:t>
            </w:r>
          </w:p>
        </w:tc>
      </w:tr>
      <w:tr w:rsidR="00441A0D" w:rsidRPr="00356462" w14:paraId="2B9DA73F" w14:textId="77777777" w:rsidTr="009951F0">
        <w:trPr>
          <w:tblCellSpacing w:w="0" w:type="dxa"/>
          <w:jc w:val="center"/>
        </w:trPr>
        <w:tc>
          <w:tcPr>
            <w:tcW w:w="5102" w:type="dxa"/>
          </w:tcPr>
          <w:p w14:paraId="213C190A" w14:textId="77777777" w:rsidR="00441A0D" w:rsidRPr="000C120A" w:rsidRDefault="00441A0D" w:rsidP="00441A0D">
            <w:pPr>
              <w:ind w:left="-26"/>
              <w:contextualSpacing/>
              <w:jc w:val="center"/>
              <w:rPr>
                <w:rFonts w:ascii="Bookman Old Style" w:eastAsia="Arial Unicode MS" w:hAnsi="Bookman Old Style" w:cs="Arial"/>
                <w:color w:val="000000"/>
              </w:rPr>
            </w:pPr>
            <w:r w:rsidRPr="000C120A">
              <w:rPr>
                <w:rFonts w:ascii="Bookman Old Style" w:hAnsi="Bookman Old Style"/>
              </w:rPr>
              <w:t>Ministro de Minas y Energía</w:t>
            </w:r>
          </w:p>
        </w:tc>
        <w:tc>
          <w:tcPr>
            <w:tcW w:w="4821" w:type="dxa"/>
          </w:tcPr>
          <w:p w14:paraId="19995D51" w14:textId="77777777" w:rsidR="00441A0D" w:rsidRPr="000C120A" w:rsidRDefault="00441A0D" w:rsidP="00441A0D">
            <w:pPr>
              <w:contextualSpacing/>
              <w:jc w:val="center"/>
              <w:rPr>
                <w:rFonts w:ascii="Bookman Old Style" w:eastAsia="Arial Unicode MS" w:hAnsi="Bookman Old Style" w:cs="Arial"/>
                <w:color w:val="000000"/>
              </w:rPr>
            </w:pPr>
            <w:r w:rsidRPr="000C120A">
              <w:rPr>
                <w:rFonts w:ascii="Bookman Old Style" w:hAnsi="Bookman Old Style"/>
              </w:rPr>
              <w:t>Director Ejecutivo</w:t>
            </w:r>
          </w:p>
        </w:tc>
      </w:tr>
      <w:tr w:rsidR="00441A0D" w:rsidRPr="00356462" w14:paraId="37C986FC" w14:textId="77777777" w:rsidTr="009951F0">
        <w:trPr>
          <w:tblCellSpacing w:w="0" w:type="dxa"/>
          <w:jc w:val="center"/>
        </w:trPr>
        <w:tc>
          <w:tcPr>
            <w:tcW w:w="5102" w:type="dxa"/>
          </w:tcPr>
          <w:p w14:paraId="5A25E5EA" w14:textId="77777777" w:rsidR="00441A0D" w:rsidRPr="000C120A" w:rsidRDefault="00441A0D" w:rsidP="00441A0D">
            <w:pPr>
              <w:ind w:left="-26"/>
              <w:contextualSpacing/>
              <w:jc w:val="center"/>
              <w:rPr>
                <w:rFonts w:ascii="Bookman Old Style" w:eastAsia="Arial Unicode MS" w:hAnsi="Bookman Old Style" w:cs="Arial"/>
                <w:color w:val="000000"/>
              </w:rPr>
            </w:pPr>
            <w:r w:rsidRPr="000C120A">
              <w:rPr>
                <w:rFonts w:ascii="Bookman Old Style" w:hAnsi="Bookman Old Style"/>
              </w:rPr>
              <w:t>Presidente</w:t>
            </w:r>
          </w:p>
        </w:tc>
        <w:tc>
          <w:tcPr>
            <w:tcW w:w="4821" w:type="dxa"/>
          </w:tcPr>
          <w:p w14:paraId="7AF22D87" w14:textId="77777777" w:rsidR="00441A0D" w:rsidRPr="00356462" w:rsidRDefault="00441A0D" w:rsidP="00441A0D">
            <w:pPr>
              <w:contextualSpacing/>
              <w:jc w:val="center"/>
              <w:rPr>
                <w:rFonts w:ascii="Bookman Old Style" w:eastAsia="Arial Unicode MS" w:hAnsi="Bookman Old Style" w:cs="Arial"/>
                <w:b/>
                <w:bCs/>
                <w:color w:val="000000"/>
              </w:rPr>
            </w:pPr>
            <w:r w:rsidRPr="00356462">
              <w:rPr>
                <w:rFonts w:ascii="Bookman Old Style" w:hAnsi="Bookman Old Style"/>
                <w:b/>
                <w:bCs/>
              </w:rPr>
              <w:t xml:space="preserve"> </w:t>
            </w:r>
          </w:p>
        </w:tc>
      </w:tr>
    </w:tbl>
    <w:p w14:paraId="494C3D99" w14:textId="77777777" w:rsidR="00BF2BC2" w:rsidRPr="00356462" w:rsidRDefault="00BF2BC2" w:rsidP="00BF2BC2">
      <w:pPr>
        <w:ind w:left="0"/>
        <w:rPr>
          <w:rFonts w:ascii="Bookman Old Style" w:hAnsi="Bookman Old Style"/>
        </w:rPr>
      </w:pPr>
    </w:p>
    <w:sectPr w:rsidR="00BF2BC2" w:rsidRPr="00356462" w:rsidSect="009B68FB">
      <w:headerReference w:type="default" r:id="rId13"/>
      <w:headerReference w:type="first" r:id="rId14"/>
      <w:type w:val="continuous"/>
      <w:pgSz w:w="12242" w:h="18722" w:code="154"/>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7C15" w14:textId="77777777" w:rsidR="00406D40" w:rsidRDefault="00406D40">
      <w:r>
        <w:separator/>
      </w:r>
    </w:p>
  </w:endnote>
  <w:endnote w:type="continuationSeparator" w:id="0">
    <w:p w14:paraId="48520768" w14:textId="77777777" w:rsidR="00406D40" w:rsidRDefault="00406D40">
      <w:r>
        <w:continuationSeparator/>
      </w:r>
    </w:p>
  </w:endnote>
  <w:endnote w:type="continuationNotice" w:id="1">
    <w:p w14:paraId="3FAA7EBC" w14:textId="77777777" w:rsidR="00406D40" w:rsidRDefault="0040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4C06" w14:textId="77777777" w:rsidR="00406D40" w:rsidRDefault="00406D40">
      <w:r>
        <w:separator/>
      </w:r>
    </w:p>
  </w:footnote>
  <w:footnote w:type="continuationSeparator" w:id="0">
    <w:p w14:paraId="7BE1DB6B" w14:textId="77777777" w:rsidR="00406D40" w:rsidRDefault="00406D40">
      <w:r>
        <w:continuationSeparator/>
      </w:r>
    </w:p>
  </w:footnote>
  <w:footnote w:type="continuationNotice" w:id="1">
    <w:p w14:paraId="2ADF0F45" w14:textId="77777777" w:rsidR="00406D40" w:rsidRDefault="00406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369D" w14:textId="77777777" w:rsidR="00E8238D" w:rsidRDefault="00E8238D" w:rsidP="00951F79">
    <w:pPr>
      <w:pStyle w:val="Ttulo1"/>
      <w:ind w:right="6"/>
      <w:jc w:val="left"/>
      <w:rPr>
        <w:rFonts w:ascii="Bookman Old Style" w:hAnsi="Bookman Old Style" w:cs="Arial"/>
        <w:b w:val="0"/>
        <w:sz w:val="22"/>
        <w:szCs w:val="22"/>
      </w:rPr>
    </w:pPr>
  </w:p>
  <w:p w14:paraId="22C9F80F" w14:textId="1F442752" w:rsidR="00E8238D" w:rsidRPr="00951F79" w:rsidRDefault="00E8238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900F23">
      <w:rPr>
        <w:rFonts w:ascii="Bookman Old Style" w:hAnsi="Bookman Old Style" w:cs="Arial"/>
        <w:bCs/>
        <w:szCs w:val="24"/>
        <w:u w:val="single"/>
      </w:rPr>
      <w:t xml:space="preserve"> </w:t>
    </w:r>
    <w:r w:rsidR="00900F23" w:rsidRPr="00900F23">
      <w:rPr>
        <w:rFonts w:ascii="Bookman Old Style" w:hAnsi="Bookman Old Style" w:cs="Arial"/>
        <w:bCs/>
        <w:szCs w:val="24"/>
        <w:u w:val="single"/>
      </w:rPr>
      <w:t>128</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C120A">
      <w:rPr>
        <w:rFonts w:ascii="Bookman Old Style" w:hAnsi="Bookman Old Style" w:cs="Arial"/>
        <w:b w:val="0"/>
        <w:sz w:val="22"/>
        <w:szCs w:val="22"/>
      </w:rPr>
      <w:t xml:space="preserve">  </w:t>
    </w:r>
    <w:r w:rsidR="00900F23">
      <w:rPr>
        <w:rFonts w:ascii="Bookman Old Style" w:hAnsi="Bookman Old Style" w:cs="Arial"/>
        <w:bCs/>
        <w:szCs w:val="24"/>
        <w:u w:val="single"/>
      </w:rPr>
      <w:t>30 AGO.</w:t>
    </w:r>
    <w:r w:rsidR="000C120A" w:rsidRPr="000C120A">
      <w:rPr>
        <w:rFonts w:ascii="Bookman Old Style" w:hAnsi="Bookman Old Style" w:cs="Arial"/>
        <w:bCs/>
        <w:szCs w:val="24"/>
        <w:u w:val="single"/>
      </w:rPr>
      <w:t xml:space="preserve"> 2021</w:t>
    </w:r>
    <w:r w:rsidR="000C120A">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F7688">
      <w:fldChar w:fldCharType="begin"/>
    </w:r>
    <w:r w:rsidR="007F7688">
      <w:instrText xml:space="preserve"> NUMPAGES  \* MERGEFORMAT </w:instrText>
    </w:r>
    <w:r w:rsidR="007F7688">
      <w:fldChar w:fldCharType="separate"/>
    </w:r>
    <w:r w:rsidRPr="00073BB5">
      <w:rPr>
        <w:rFonts w:ascii="Bookman Old Style" w:hAnsi="Bookman Old Style" w:cs="Arial"/>
        <w:b w:val="0"/>
        <w:noProof/>
        <w:sz w:val="22"/>
        <w:szCs w:val="22"/>
      </w:rPr>
      <w:t>4</w:t>
    </w:r>
    <w:r w:rsidR="007F7688">
      <w:rPr>
        <w:rFonts w:ascii="Bookman Old Style" w:hAnsi="Bookman Old Style" w:cs="Arial"/>
        <w:b w:val="0"/>
        <w:noProof/>
        <w:sz w:val="22"/>
        <w:szCs w:val="22"/>
      </w:rPr>
      <w:fldChar w:fldCharType="end"/>
    </w:r>
  </w:p>
  <w:p w14:paraId="393E14D1" w14:textId="477BFF49" w:rsidR="00E8238D" w:rsidRPr="00BF4D52" w:rsidRDefault="00CE76AE" w:rsidP="00AD01E4">
    <w:pPr>
      <w:ind w:left="142" w:right="148"/>
      <w:rPr>
        <w:rFonts w:ascii="Bookman Old Style" w:hAnsi="Bookman Old Style" w:cs="Arial"/>
        <w:sz w:val="22"/>
        <w:szCs w:val="22"/>
      </w:rPr>
    </w:pPr>
    <w:r w:rsidRPr="0042068C">
      <w:rPr>
        <w:noProof/>
      </w:rPr>
      <mc:AlternateContent>
        <mc:Choice Requires="wps">
          <w:drawing>
            <wp:anchor distT="0" distB="0" distL="114300" distR="114300" simplePos="0" relativeHeight="251658240" behindDoc="0" locked="0" layoutInCell="1" allowOverlap="1" wp14:anchorId="569318CA" wp14:editId="2929E67D">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AF616"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94E8BAE" w14:textId="77777777" w:rsidR="006E49CD" w:rsidRDefault="006E49CD" w:rsidP="007D6C0A">
    <w:pPr>
      <w:ind w:left="0"/>
      <w:jc w:val="center"/>
      <w:rPr>
        <w:rFonts w:ascii="Bookman Old Style" w:hAnsi="Bookman Old Style"/>
      </w:rPr>
    </w:pPr>
  </w:p>
  <w:p w14:paraId="78239EF3" w14:textId="0A78D9F7" w:rsidR="007D6C0A" w:rsidRPr="00356462" w:rsidRDefault="007D6C0A" w:rsidP="007D6C0A">
    <w:pPr>
      <w:ind w:left="0"/>
      <w:jc w:val="center"/>
      <w:rPr>
        <w:rFonts w:ascii="Bookman Old Style" w:hAnsi="Bookman Old Style"/>
      </w:rPr>
    </w:pPr>
    <w:r w:rsidRPr="00356462">
      <w:rPr>
        <w:rFonts w:ascii="Bookman Old Style" w:hAnsi="Bookman Old Style"/>
      </w:rPr>
      <w:t xml:space="preserve">Por la cual se </w:t>
    </w:r>
    <w:r>
      <w:rPr>
        <w:rFonts w:ascii="Bookman Old Style" w:hAnsi="Bookman Old Style"/>
      </w:rPr>
      <w:t xml:space="preserve">hacen unos ajustes a la </w:t>
    </w:r>
    <w:r w:rsidRPr="00356462">
      <w:rPr>
        <w:rFonts w:ascii="Bookman Old Style" w:hAnsi="Bookman Old Style"/>
      </w:rPr>
      <w:t>Resolución CREG 152 de 2017</w:t>
    </w:r>
    <w:r>
      <w:rPr>
        <w:rFonts w:ascii="Bookman Old Style" w:hAnsi="Bookman Old Style"/>
      </w:rPr>
      <w:t xml:space="preserve"> </w:t>
    </w:r>
  </w:p>
  <w:p w14:paraId="1DB166B3" w14:textId="770444C8" w:rsidR="00E8238D" w:rsidRPr="001B06AC" w:rsidRDefault="00E8238D" w:rsidP="004D0B60">
    <w:pPr>
      <w:pBdr>
        <w:bottom w:val="single" w:sz="4" w:space="1" w:color="auto"/>
      </w:pBdr>
      <w:ind w:left="142" w:right="148"/>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4FF" w14:textId="77777777" w:rsidR="00E8238D" w:rsidRDefault="00E8238D"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96FA1E5" w14:textId="77777777" w:rsidR="00E8238D" w:rsidRDefault="00E8238D">
    <w:pPr>
      <w:pStyle w:val="Encabezado"/>
      <w:jc w:val="center"/>
      <w:rPr>
        <w:rFonts w:ascii="Arial" w:hAnsi="Arial" w:cs="Arial"/>
        <w:spacing w:val="20"/>
        <w:sz w:val="20"/>
      </w:rPr>
    </w:pPr>
  </w:p>
  <w:p w14:paraId="5AA29E10" w14:textId="62B10CB9" w:rsidR="00E8238D" w:rsidRDefault="00CE76AE"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642AD127" wp14:editId="0F0F8D6B">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3423"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2E2D81"/>
    <w:multiLevelType w:val="hybridMultilevel"/>
    <w:tmpl w:val="968D3A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002C1A"/>
    <w:multiLevelType w:val="hybridMultilevel"/>
    <w:tmpl w:val="A36B4D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352DBACB"/>
    <w:multiLevelType w:val="hybridMultilevel"/>
    <w:tmpl w:val="C2A0B6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94F57A7"/>
    <w:multiLevelType w:val="hybridMultilevel"/>
    <w:tmpl w:val="BA9CA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F92AE0"/>
    <w:multiLevelType w:val="hybridMultilevel"/>
    <w:tmpl w:val="05583B1E"/>
    <w:lvl w:ilvl="0" w:tplc="A32A0CA2">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B911E7D"/>
    <w:multiLevelType w:val="hybridMultilevel"/>
    <w:tmpl w:val="3BF45662"/>
    <w:lvl w:ilvl="0" w:tplc="09DEF590">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5C5045F6"/>
    <w:multiLevelType w:val="hybridMultilevel"/>
    <w:tmpl w:val="3D0A267E"/>
    <w:lvl w:ilvl="0" w:tplc="196C9236">
      <w:start w:val="1"/>
      <w:numFmt w:val="lowerLetter"/>
      <w:lvlText w:val="%1."/>
      <w:lvlJc w:val="left"/>
      <w:pPr>
        <w:tabs>
          <w:tab w:val="num" w:pos="720"/>
        </w:tabs>
        <w:ind w:left="720" w:hanging="360"/>
      </w:pPr>
    </w:lvl>
    <w:lvl w:ilvl="1" w:tplc="B4709D1E" w:tentative="1">
      <w:start w:val="1"/>
      <w:numFmt w:val="lowerLetter"/>
      <w:lvlText w:val="%2."/>
      <w:lvlJc w:val="left"/>
      <w:pPr>
        <w:tabs>
          <w:tab w:val="num" w:pos="1440"/>
        </w:tabs>
        <w:ind w:left="1440" w:hanging="360"/>
      </w:pPr>
    </w:lvl>
    <w:lvl w:ilvl="2" w:tplc="19288F26" w:tentative="1">
      <w:start w:val="1"/>
      <w:numFmt w:val="lowerLetter"/>
      <w:lvlText w:val="%3."/>
      <w:lvlJc w:val="left"/>
      <w:pPr>
        <w:tabs>
          <w:tab w:val="num" w:pos="2160"/>
        </w:tabs>
        <w:ind w:left="2160" w:hanging="360"/>
      </w:pPr>
    </w:lvl>
    <w:lvl w:ilvl="3" w:tplc="1EDAF1B8" w:tentative="1">
      <w:start w:val="1"/>
      <w:numFmt w:val="lowerLetter"/>
      <w:lvlText w:val="%4."/>
      <w:lvlJc w:val="left"/>
      <w:pPr>
        <w:tabs>
          <w:tab w:val="num" w:pos="2880"/>
        </w:tabs>
        <w:ind w:left="2880" w:hanging="360"/>
      </w:pPr>
    </w:lvl>
    <w:lvl w:ilvl="4" w:tplc="B0403466" w:tentative="1">
      <w:start w:val="1"/>
      <w:numFmt w:val="lowerLetter"/>
      <w:lvlText w:val="%5."/>
      <w:lvlJc w:val="left"/>
      <w:pPr>
        <w:tabs>
          <w:tab w:val="num" w:pos="3600"/>
        </w:tabs>
        <w:ind w:left="3600" w:hanging="360"/>
      </w:pPr>
    </w:lvl>
    <w:lvl w:ilvl="5" w:tplc="823E0344" w:tentative="1">
      <w:start w:val="1"/>
      <w:numFmt w:val="lowerLetter"/>
      <w:lvlText w:val="%6."/>
      <w:lvlJc w:val="left"/>
      <w:pPr>
        <w:tabs>
          <w:tab w:val="num" w:pos="4320"/>
        </w:tabs>
        <w:ind w:left="4320" w:hanging="360"/>
      </w:pPr>
    </w:lvl>
    <w:lvl w:ilvl="6" w:tplc="AD3E927C" w:tentative="1">
      <w:start w:val="1"/>
      <w:numFmt w:val="lowerLetter"/>
      <w:lvlText w:val="%7."/>
      <w:lvlJc w:val="left"/>
      <w:pPr>
        <w:tabs>
          <w:tab w:val="num" w:pos="5040"/>
        </w:tabs>
        <w:ind w:left="5040" w:hanging="360"/>
      </w:pPr>
    </w:lvl>
    <w:lvl w:ilvl="7" w:tplc="325EC43E" w:tentative="1">
      <w:start w:val="1"/>
      <w:numFmt w:val="lowerLetter"/>
      <w:lvlText w:val="%8."/>
      <w:lvlJc w:val="left"/>
      <w:pPr>
        <w:tabs>
          <w:tab w:val="num" w:pos="5760"/>
        </w:tabs>
        <w:ind w:left="5760" w:hanging="360"/>
      </w:pPr>
    </w:lvl>
    <w:lvl w:ilvl="8" w:tplc="03D0A652" w:tentative="1">
      <w:start w:val="1"/>
      <w:numFmt w:val="lowerLetter"/>
      <w:lvlText w:val="%9."/>
      <w:lvlJc w:val="left"/>
      <w:pPr>
        <w:tabs>
          <w:tab w:val="num" w:pos="6480"/>
        </w:tabs>
        <w:ind w:left="6480" w:hanging="360"/>
      </w:pPr>
    </w:lvl>
  </w:abstractNum>
  <w:abstractNum w:abstractNumId="10"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11" w15:restartNumberingAfterBreak="0">
    <w:nsid w:val="7C626897"/>
    <w:multiLevelType w:val="hybridMultilevel"/>
    <w:tmpl w:val="4EEE97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7"/>
  </w:num>
  <w:num w:numId="3">
    <w:abstractNumId w:val="10"/>
  </w:num>
  <w:num w:numId="4">
    <w:abstractNumId w:val="8"/>
  </w:num>
  <w:num w:numId="5">
    <w:abstractNumId w:val="6"/>
  </w:num>
  <w:num w:numId="6">
    <w:abstractNumId w:val="9"/>
  </w:num>
  <w:num w:numId="7">
    <w:abstractNumId w:val="5"/>
  </w:num>
  <w:num w:numId="8">
    <w:abstractNumId w:val="4"/>
  </w:num>
  <w:num w:numId="9">
    <w:abstractNumId w:val="1"/>
  </w:num>
  <w:num w:numId="10">
    <w:abstractNumId w:val="11"/>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20AC"/>
    <w:rsid w:val="0000211A"/>
    <w:rsid w:val="000037CB"/>
    <w:rsid w:val="0000635B"/>
    <w:rsid w:val="00006AE2"/>
    <w:rsid w:val="000076A1"/>
    <w:rsid w:val="00010659"/>
    <w:rsid w:val="00010F8E"/>
    <w:rsid w:val="00012259"/>
    <w:rsid w:val="0001329C"/>
    <w:rsid w:val="0001389B"/>
    <w:rsid w:val="00014DEE"/>
    <w:rsid w:val="00016A71"/>
    <w:rsid w:val="00017E26"/>
    <w:rsid w:val="00017F83"/>
    <w:rsid w:val="00021916"/>
    <w:rsid w:val="000238ED"/>
    <w:rsid w:val="00025383"/>
    <w:rsid w:val="00025D64"/>
    <w:rsid w:val="000302BC"/>
    <w:rsid w:val="00030E50"/>
    <w:rsid w:val="00031373"/>
    <w:rsid w:val="0003274F"/>
    <w:rsid w:val="0003357C"/>
    <w:rsid w:val="00033967"/>
    <w:rsid w:val="0003434A"/>
    <w:rsid w:val="00036A8A"/>
    <w:rsid w:val="0004074F"/>
    <w:rsid w:val="000408C2"/>
    <w:rsid w:val="0004220E"/>
    <w:rsid w:val="00043407"/>
    <w:rsid w:val="000437A2"/>
    <w:rsid w:val="000451B7"/>
    <w:rsid w:val="00045D3D"/>
    <w:rsid w:val="000470F5"/>
    <w:rsid w:val="000472DC"/>
    <w:rsid w:val="00047644"/>
    <w:rsid w:val="0004790C"/>
    <w:rsid w:val="00050777"/>
    <w:rsid w:val="00051067"/>
    <w:rsid w:val="00051D24"/>
    <w:rsid w:val="00051F2B"/>
    <w:rsid w:val="000535FE"/>
    <w:rsid w:val="000536D4"/>
    <w:rsid w:val="000551A0"/>
    <w:rsid w:val="00055C8B"/>
    <w:rsid w:val="0005687C"/>
    <w:rsid w:val="0005785B"/>
    <w:rsid w:val="000601E8"/>
    <w:rsid w:val="000613F0"/>
    <w:rsid w:val="00061E5F"/>
    <w:rsid w:val="0006288B"/>
    <w:rsid w:val="000634A1"/>
    <w:rsid w:val="00063657"/>
    <w:rsid w:val="0006490F"/>
    <w:rsid w:val="0006720C"/>
    <w:rsid w:val="000713FC"/>
    <w:rsid w:val="000717B0"/>
    <w:rsid w:val="000726BB"/>
    <w:rsid w:val="0007344B"/>
    <w:rsid w:val="00073BB5"/>
    <w:rsid w:val="000741E0"/>
    <w:rsid w:val="00074BF9"/>
    <w:rsid w:val="00076680"/>
    <w:rsid w:val="00076A1D"/>
    <w:rsid w:val="00077375"/>
    <w:rsid w:val="000773EF"/>
    <w:rsid w:val="0008073E"/>
    <w:rsid w:val="000815B1"/>
    <w:rsid w:val="00081DF4"/>
    <w:rsid w:val="00083948"/>
    <w:rsid w:val="00084694"/>
    <w:rsid w:val="00084E64"/>
    <w:rsid w:val="0008627D"/>
    <w:rsid w:val="00087BDC"/>
    <w:rsid w:val="00091CDB"/>
    <w:rsid w:val="00092DAF"/>
    <w:rsid w:val="00093774"/>
    <w:rsid w:val="00095207"/>
    <w:rsid w:val="00096791"/>
    <w:rsid w:val="00096F80"/>
    <w:rsid w:val="000A0F52"/>
    <w:rsid w:val="000A1412"/>
    <w:rsid w:val="000A14E9"/>
    <w:rsid w:val="000A19AC"/>
    <w:rsid w:val="000A2262"/>
    <w:rsid w:val="000A3D46"/>
    <w:rsid w:val="000A46BC"/>
    <w:rsid w:val="000A49FD"/>
    <w:rsid w:val="000A4E03"/>
    <w:rsid w:val="000A5832"/>
    <w:rsid w:val="000A6828"/>
    <w:rsid w:val="000A6EE8"/>
    <w:rsid w:val="000B2D28"/>
    <w:rsid w:val="000B2EC9"/>
    <w:rsid w:val="000B433F"/>
    <w:rsid w:val="000B4B0F"/>
    <w:rsid w:val="000B5E71"/>
    <w:rsid w:val="000B7A2F"/>
    <w:rsid w:val="000C06C5"/>
    <w:rsid w:val="000C120A"/>
    <w:rsid w:val="000C21B8"/>
    <w:rsid w:val="000C2D58"/>
    <w:rsid w:val="000C44EC"/>
    <w:rsid w:val="000C4E6A"/>
    <w:rsid w:val="000C5EC7"/>
    <w:rsid w:val="000C6979"/>
    <w:rsid w:val="000C6CEB"/>
    <w:rsid w:val="000C7B7C"/>
    <w:rsid w:val="000D25A9"/>
    <w:rsid w:val="000D26F8"/>
    <w:rsid w:val="000D31DD"/>
    <w:rsid w:val="000D368B"/>
    <w:rsid w:val="000D3E19"/>
    <w:rsid w:val="000D4E2C"/>
    <w:rsid w:val="000D573E"/>
    <w:rsid w:val="000D76A2"/>
    <w:rsid w:val="000D7A68"/>
    <w:rsid w:val="000E019A"/>
    <w:rsid w:val="000E2443"/>
    <w:rsid w:val="000E38A4"/>
    <w:rsid w:val="000F1AA5"/>
    <w:rsid w:val="000F1F14"/>
    <w:rsid w:val="000F2F0A"/>
    <w:rsid w:val="000F5E18"/>
    <w:rsid w:val="000F6EC6"/>
    <w:rsid w:val="000F7185"/>
    <w:rsid w:val="0010063F"/>
    <w:rsid w:val="00101D34"/>
    <w:rsid w:val="00102660"/>
    <w:rsid w:val="00102864"/>
    <w:rsid w:val="00102E78"/>
    <w:rsid w:val="00103B60"/>
    <w:rsid w:val="00103D1E"/>
    <w:rsid w:val="001050C9"/>
    <w:rsid w:val="001058B4"/>
    <w:rsid w:val="00106654"/>
    <w:rsid w:val="00107CF3"/>
    <w:rsid w:val="00110188"/>
    <w:rsid w:val="00110F02"/>
    <w:rsid w:val="001119DF"/>
    <w:rsid w:val="00113E92"/>
    <w:rsid w:val="0011701A"/>
    <w:rsid w:val="0011761D"/>
    <w:rsid w:val="00120D10"/>
    <w:rsid w:val="00121147"/>
    <w:rsid w:val="00123824"/>
    <w:rsid w:val="00126C64"/>
    <w:rsid w:val="00127E8E"/>
    <w:rsid w:val="00130398"/>
    <w:rsid w:val="00130642"/>
    <w:rsid w:val="00131B17"/>
    <w:rsid w:val="0013309B"/>
    <w:rsid w:val="00133A19"/>
    <w:rsid w:val="0013526C"/>
    <w:rsid w:val="0013640C"/>
    <w:rsid w:val="001400D5"/>
    <w:rsid w:val="001405C6"/>
    <w:rsid w:val="00141013"/>
    <w:rsid w:val="001426C3"/>
    <w:rsid w:val="00142AFE"/>
    <w:rsid w:val="00142EAF"/>
    <w:rsid w:val="00144364"/>
    <w:rsid w:val="0014536E"/>
    <w:rsid w:val="001464E0"/>
    <w:rsid w:val="00147843"/>
    <w:rsid w:val="0015169C"/>
    <w:rsid w:val="00151D80"/>
    <w:rsid w:val="0015283C"/>
    <w:rsid w:val="00155728"/>
    <w:rsid w:val="00157849"/>
    <w:rsid w:val="00157B53"/>
    <w:rsid w:val="001605E2"/>
    <w:rsid w:val="00162043"/>
    <w:rsid w:val="001621E2"/>
    <w:rsid w:val="0016242F"/>
    <w:rsid w:val="00164181"/>
    <w:rsid w:val="00165335"/>
    <w:rsid w:val="00165475"/>
    <w:rsid w:val="00165876"/>
    <w:rsid w:val="00165E66"/>
    <w:rsid w:val="001705C4"/>
    <w:rsid w:val="00171324"/>
    <w:rsid w:val="00171D8A"/>
    <w:rsid w:val="0017418B"/>
    <w:rsid w:val="0017570C"/>
    <w:rsid w:val="00175D63"/>
    <w:rsid w:val="001772B1"/>
    <w:rsid w:val="00180B97"/>
    <w:rsid w:val="001812AE"/>
    <w:rsid w:val="0018141D"/>
    <w:rsid w:val="00181709"/>
    <w:rsid w:val="00182B93"/>
    <w:rsid w:val="001830BB"/>
    <w:rsid w:val="00184C02"/>
    <w:rsid w:val="00185C58"/>
    <w:rsid w:val="0018674F"/>
    <w:rsid w:val="001877A5"/>
    <w:rsid w:val="001878B5"/>
    <w:rsid w:val="00187DA6"/>
    <w:rsid w:val="00190F95"/>
    <w:rsid w:val="00191701"/>
    <w:rsid w:val="00192CBF"/>
    <w:rsid w:val="00192FF1"/>
    <w:rsid w:val="001972DF"/>
    <w:rsid w:val="001A0083"/>
    <w:rsid w:val="001A18C7"/>
    <w:rsid w:val="001A2891"/>
    <w:rsid w:val="001A2BE5"/>
    <w:rsid w:val="001A35F5"/>
    <w:rsid w:val="001A5977"/>
    <w:rsid w:val="001A5F1B"/>
    <w:rsid w:val="001B06AC"/>
    <w:rsid w:val="001B1129"/>
    <w:rsid w:val="001B1A13"/>
    <w:rsid w:val="001B1C22"/>
    <w:rsid w:val="001B3019"/>
    <w:rsid w:val="001B345B"/>
    <w:rsid w:val="001B34C6"/>
    <w:rsid w:val="001B3C03"/>
    <w:rsid w:val="001B64AB"/>
    <w:rsid w:val="001C0A7D"/>
    <w:rsid w:val="001C12F7"/>
    <w:rsid w:val="001C133D"/>
    <w:rsid w:val="001C3EA2"/>
    <w:rsid w:val="001C4EC5"/>
    <w:rsid w:val="001C5F46"/>
    <w:rsid w:val="001C6144"/>
    <w:rsid w:val="001C6549"/>
    <w:rsid w:val="001C7AC2"/>
    <w:rsid w:val="001D1921"/>
    <w:rsid w:val="001D1C49"/>
    <w:rsid w:val="001D3EC6"/>
    <w:rsid w:val="001D4996"/>
    <w:rsid w:val="001D75FA"/>
    <w:rsid w:val="001D7832"/>
    <w:rsid w:val="001E18C1"/>
    <w:rsid w:val="001E2A0A"/>
    <w:rsid w:val="001E4361"/>
    <w:rsid w:val="001E48D1"/>
    <w:rsid w:val="001E6C21"/>
    <w:rsid w:val="001E7215"/>
    <w:rsid w:val="001F003D"/>
    <w:rsid w:val="001F3C7E"/>
    <w:rsid w:val="001F695F"/>
    <w:rsid w:val="001F6F49"/>
    <w:rsid w:val="001F7150"/>
    <w:rsid w:val="001F7A4E"/>
    <w:rsid w:val="00201563"/>
    <w:rsid w:val="002069C8"/>
    <w:rsid w:val="002105CD"/>
    <w:rsid w:val="00210DC1"/>
    <w:rsid w:val="002115BC"/>
    <w:rsid w:val="00211D34"/>
    <w:rsid w:val="00211EC3"/>
    <w:rsid w:val="00212642"/>
    <w:rsid w:val="00212B6F"/>
    <w:rsid w:val="002142A0"/>
    <w:rsid w:val="00214F04"/>
    <w:rsid w:val="002161E6"/>
    <w:rsid w:val="002171E3"/>
    <w:rsid w:val="00217405"/>
    <w:rsid w:val="00221FAB"/>
    <w:rsid w:val="0022650D"/>
    <w:rsid w:val="0022666A"/>
    <w:rsid w:val="00232097"/>
    <w:rsid w:val="00233610"/>
    <w:rsid w:val="00233816"/>
    <w:rsid w:val="002338A9"/>
    <w:rsid w:val="002352B9"/>
    <w:rsid w:val="002367B2"/>
    <w:rsid w:val="002413D6"/>
    <w:rsid w:val="0024192F"/>
    <w:rsid w:val="0024355B"/>
    <w:rsid w:val="00246CB8"/>
    <w:rsid w:val="002526E3"/>
    <w:rsid w:val="0025319B"/>
    <w:rsid w:val="00255F06"/>
    <w:rsid w:val="0025630B"/>
    <w:rsid w:val="002563ED"/>
    <w:rsid w:val="00257225"/>
    <w:rsid w:val="00262B26"/>
    <w:rsid w:val="00263DFE"/>
    <w:rsid w:val="00265968"/>
    <w:rsid w:val="00265CB6"/>
    <w:rsid w:val="00266CD6"/>
    <w:rsid w:val="002671F1"/>
    <w:rsid w:val="002673AC"/>
    <w:rsid w:val="0026744B"/>
    <w:rsid w:val="00273106"/>
    <w:rsid w:val="00273FC7"/>
    <w:rsid w:val="0027597A"/>
    <w:rsid w:val="00275DAB"/>
    <w:rsid w:val="0027689C"/>
    <w:rsid w:val="00276956"/>
    <w:rsid w:val="0028076F"/>
    <w:rsid w:val="0028113D"/>
    <w:rsid w:val="0028134F"/>
    <w:rsid w:val="00281B74"/>
    <w:rsid w:val="0028541E"/>
    <w:rsid w:val="0028678B"/>
    <w:rsid w:val="00286A55"/>
    <w:rsid w:val="00287A4A"/>
    <w:rsid w:val="002900F4"/>
    <w:rsid w:val="002903C0"/>
    <w:rsid w:val="0029275D"/>
    <w:rsid w:val="002931FF"/>
    <w:rsid w:val="00294C5D"/>
    <w:rsid w:val="00296C25"/>
    <w:rsid w:val="00297324"/>
    <w:rsid w:val="002A392E"/>
    <w:rsid w:val="002A4135"/>
    <w:rsid w:val="002A4381"/>
    <w:rsid w:val="002A4483"/>
    <w:rsid w:val="002A62A0"/>
    <w:rsid w:val="002A67E5"/>
    <w:rsid w:val="002A782A"/>
    <w:rsid w:val="002B11E2"/>
    <w:rsid w:val="002B24B8"/>
    <w:rsid w:val="002B2644"/>
    <w:rsid w:val="002B2819"/>
    <w:rsid w:val="002B4631"/>
    <w:rsid w:val="002B6172"/>
    <w:rsid w:val="002B624F"/>
    <w:rsid w:val="002B714E"/>
    <w:rsid w:val="002B7A7F"/>
    <w:rsid w:val="002C2A53"/>
    <w:rsid w:val="002C364E"/>
    <w:rsid w:val="002C40DE"/>
    <w:rsid w:val="002C4D7F"/>
    <w:rsid w:val="002D30E4"/>
    <w:rsid w:val="002D33BA"/>
    <w:rsid w:val="002D3AE9"/>
    <w:rsid w:val="002D4510"/>
    <w:rsid w:val="002D5821"/>
    <w:rsid w:val="002D7E7C"/>
    <w:rsid w:val="002E0B11"/>
    <w:rsid w:val="002E14F6"/>
    <w:rsid w:val="002E2431"/>
    <w:rsid w:val="002E30B9"/>
    <w:rsid w:val="002E492C"/>
    <w:rsid w:val="002E5130"/>
    <w:rsid w:val="002E58E3"/>
    <w:rsid w:val="002E74AA"/>
    <w:rsid w:val="002F0734"/>
    <w:rsid w:val="002F19F1"/>
    <w:rsid w:val="002F4043"/>
    <w:rsid w:val="002F46E7"/>
    <w:rsid w:val="002F5465"/>
    <w:rsid w:val="002F6AC4"/>
    <w:rsid w:val="00302012"/>
    <w:rsid w:val="003026BF"/>
    <w:rsid w:val="00302D3B"/>
    <w:rsid w:val="00303B47"/>
    <w:rsid w:val="003101DA"/>
    <w:rsid w:val="00310840"/>
    <w:rsid w:val="003111C3"/>
    <w:rsid w:val="00312B4D"/>
    <w:rsid w:val="0031376B"/>
    <w:rsid w:val="00313C26"/>
    <w:rsid w:val="00314757"/>
    <w:rsid w:val="003152AF"/>
    <w:rsid w:val="003163BC"/>
    <w:rsid w:val="00317CB3"/>
    <w:rsid w:val="00320302"/>
    <w:rsid w:val="00320728"/>
    <w:rsid w:val="00320B2E"/>
    <w:rsid w:val="0032114C"/>
    <w:rsid w:val="003211CE"/>
    <w:rsid w:val="003213E2"/>
    <w:rsid w:val="003231E7"/>
    <w:rsid w:val="003248AA"/>
    <w:rsid w:val="00324BD3"/>
    <w:rsid w:val="00325214"/>
    <w:rsid w:val="00334140"/>
    <w:rsid w:val="0033723D"/>
    <w:rsid w:val="00337944"/>
    <w:rsid w:val="00337BA9"/>
    <w:rsid w:val="003416AD"/>
    <w:rsid w:val="00341840"/>
    <w:rsid w:val="003433DB"/>
    <w:rsid w:val="00343580"/>
    <w:rsid w:val="003440ED"/>
    <w:rsid w:val="003446E8"/>
    <w:rsid w:val="00344DB4"/>
    <w:rsid w:val="0034747D"/>
    <w:rsid w:val="00352C4C"/>
    <w:rsid w:val="00353EB5"/>
    <w:rsid w:val="0035403A"/>
    <w:rsid w:val="00355BF1"/>
    <w:rsid w:val="00356462"/>
    <w:rsid w:val="003577BC"/>
    <w:rsid w:val="00360004"/>
    <w:rsid w:val="00361348"/>
    <w:rsid w:val="00361C56"/>
    <w:rsid w:val="00363050"/>
    <w:rsid w:val="0036394B"/>
    <w:rsid w:val="003640CE"/>
    <w:rsid w:val="00365B98"/>
    <w:rsid w:val="00366DB6"/>
    <w:rsid w:val="00366F42"/>
    <w:rsid w:val="003709B5"/>
    <w:rsid w:val="00371CDE"/>
    <w:rsid w:val="00371F66"/>
    <w:rsid w:val="00373166"/>
    <w:rsid w:val="003759C2"/>
    <w:rsid w:val="00375D45"/>
    <w:rsid w:val="0037621F"/>
    <w:rsid w:val="00377644"/>
    <w:rsid w:val="00377F8E"/>
    <w:rsid w:val="003842E6"/>
    <w:rsid w:val="00384E02"/>
    <w:rsid w:val="00386074"/>
    <w:rsid w:val="00387B62"/>
    <w:rsid w:val="0039136A"/>
    <w:rsid w:val="003932D1"/>
    <w:rsid w:val="003969BA"/>
    <w:rsid w:val="00397365"/>
    <w:rsid w:val="00397678"/>
    <w:rsid w:val="003A1969"/>
    <w:rsid w:val="003A1E6E"/>
    <w:rsid w:val="003A2629"/>
    <w:rsid w:val="003A31F6"/>
    <w:rsid w:val="003A3210"/>
    <w:rsid w:val="003A3EA7"/>
    <w:rsid w:val="003A627F"/>
    <w:rsid w:val="003A79AC"/>
    <w:rsid w:val="003B0279"/>
    <w:rsid w:val="003B0484"/>
    <w:rsid w:val="003B1248"/>
    <w:rsid w:val="003B15A1"/>
    <w:rsid w:val="003B26B5"/>
    <w:rsid w:val="003B5D93"/>
    <w:rsid w:val="003B6595"/>
    <w:rsid w:val="003C15B3"/>
    <w:rsid w:val="003C2610"/>
    <w:rsid w:val="003C3213"/>
    <w:rsid w:val="003C3447"/>
    <w:rsid w:val="003C4BAF"/>
    <w:rsid w:val="003C4EC7"/>
    <w:rsid w:val="003C4F5C"/>
    <w:rsid w:val="003C52A1"/>
    <w:rsid w:val="003C73FC"/>
    <w:rsid w:val="003C7822"/>
    <w:rsid w:val="003D076C"/>
    <w:rsid w:val="003D1061"/>
    <w:rsid w:val="003D1F34"/>
    <w:rsid w:val="003D3894"/>
    <w:rsid w:val="003D3D6D"/>
    <w:rsid w:val="003D441A"/>
    <w:rsid w:val="003D504E"/>
    <w:rsid w:val="003D5B33"/>
    <w:rsid w:val="003D5C8C"/>
    <w:rsid w:val="003D7A1B"/>
    <w:rsid w:val="003E0324"/>
    <w:rsid w:val="003E0F31"/>
    <w:rsid w:val="003E1118"/>
    <w:rsid w:val="003E1EC8"/>
    <w:rsid w:val="003E3575"/>
    <w:rsid w:val="003E45D9"/>
    <w:rsid w:val="003E52A1"/>
    <w:rsid w:val="003E562F"/>
    <w:rsid w:val="003E65B5"/>
    <w:rsid w:val="003E78B5"/>
    <w:rsid w:val="003F57AF"/>
    <w:rsid w:val="003F5ABA"/>
    <w:rsid w:val="003F6F22"/>
    <w:rsid w:val="003F76B1"/>
    <w:rsid w:val="003F7ACC"/>
    <w:rsid w:val="003F7C30"/>
    <w:rsid w:val="003F7FC1"/>
    <w:rsid w:val="00400543"/>
    <w:rsid w:val="0040081C"/>
    <w:rsid w:val="004021F5"/>
    <w:rsid w:val="00402982"/>
    <w:rsid w:val="00402E61"/>
    <w:rsid w:val="0040389F"/>
    <w:rsid w:val="00404193"/>
    <w:rsid w:val="00405D9C"/>
    <w:rsid w:val="00406D40"/>
    <w:rsid w:val="00407AE6"/>
    <w:rsid w:val="00407B28"/>
    <w:rsid w:val="00410CFF"/>
    <w:rsid w:val="004112D1"/>
    <w:rsid w:val="00411C3C"/>
    <w:rsid w:val="004123EE"/>
    <w:rsid w:val="00413244"/>
    <w:rsid w:val="00414BA2"/>
    <w:rsid w:val="00415737"/>
    <w:rsid w:val="00415BAB"/>
    <w:rsid w:val="00415ED2"/>
    <w:rsid w:val="004160F5"/>
    <w:rsid w:val="00416288"/>
    <w:rsid w:val="00416484"/>
    <w:rsid w:val="00416746"/>
    <w:rsid w:val="00416DEF"/>
    <w:rsid w:val="00417152"/>
    <w:rsid w:val="0042068C"/>
    <w:rsid w:val="00421899"/>
    <w:rsid w:val="004238A0"/>
    <w:rsid w:val="00423C91"/>
    <w:rsid w:val="00425230"/>
    <w:rsid w:val="004266B3"/>
    <w:rsid w:val="00431F46"/>
    <w:rsid w:val="00432A55"/>
    <w:rsid w:val="00432DDF"/>
    <w:rsid w:val="0043321E"/>
    <w:rsid w:val="004337B4"/>
    <w:rsid w:val="00433839"/>
    <w:rsid w:val="00434013"/>
    <w:rsid w:val="00441294"/>
    <w:rsid w:val="00441A0D"/>
    <w:rsid w:val="00441B8A"/>
    <w:rsid w:val="004423F4"/>
    <w:rsid w:val="0044318E"/>
    <w:rsid w:val="0044368D"/>
    <w:rsid w:val="00443B35"/>
    <w:rsid w:val="00443F47"/>
    <w:rsid w:val="00445F95"/>
    <w:rsid w:val="00446781"/>
    <w:rsid w:val="00455650"/>
    <w:rsid w:val="004563AB"/>
    <w:rsid w:val="004563D8"/>
    <w:rsid w:val="00456D99"/>
    <w:rsid w:val="00460561"/>
    <w:rsid w:val="00461266"/>
    <w:rsid w:val="004612F1"/>
    <w:rsid w:val="004616BB"/>
    <w:rsid w:val="00461994"/>
    <w:rsid w:val="004621D8"/>
    <w:rsid w:val="0046594E"/>
    <w:rsid w:val="0047122B"/>
    <w:rsid w:val="00472012"/>
    <w:rsid w:val="00472C6B"/>
    <w:rsid w:val="00473B7A"/>
    <w:rsid w:val="004754A1"/>
    <w:rsid w:val="00475B35"/>
    <w:rsid w:val="00476080"/>
    <w:rsid w:val="00480541"/>
    <w:rsid w:val="00480AE5"/>
    <w:rsid w:val="00481493"/>
    <w:rsid w:val="00481B80"/>
    <w:rsid w:val="004823DE"/>
    <w:rsid w:val="00483867"/>
    <w:rsid w:val="00483BA1"/>
    <w:rsid w:val="004850E6"/>
    <w:rsid w:val="00487303"/>
    <w:rsid w:val="00490E38"/>
    <w:rsid w:val="00491BA3"/>
    <w:rsid w:val="00491DFC"/>
    <w:rsid w:val="00492103"/>
    <w:rsid w:val="0049217F"/>
    <w:rsid w:val="00493EB1"/>
    <w:rsid w:val="004944C9"/>
    <w:rsid w:val="00494851"/>
    <w:rsid w:val="004948AB"/>
    <w:rsid w:val="00495773"/>
    <w:rsid w:val="00495F92"/>
    <w:rsid w:val="00496043"/>
    <w:rsid w:val="004960E9"/>
    <w:rsid w:val="004A1582"/>
    <w:rsid w:val="004A188B"/>
    <w:rsid w:val="004A2208"/>
    <w:rsid w:val="004A2CC0"/>
    <w:rsid w:val="004A2E88"/>
    <w:rsid w:val="004A3043"/>
    <w:rsid w:val="004A3757"/>
    <w:rsid w:val="004A520F"/>
    <w:rsid w:val="004A5305"/>
    <w:rsid w:val="004A6DC5"/>
    <w:rsid w:val="004A7B61"/>
    <w:rsid w:val="004A7F9E"/>
    <w:rsid w:val="004B0047"/>
    <w:rsid w:val="004B1CF4"/>
    <w:rsid w:val="004B2942"/>
    <w:rsid w:val="004B5C44"/>
    <w:rsid w:val="004B6206"/>
    <w:rsid w:val="004B675F"/>
    <w:rsid w:val="004B6A00"/>
    <w:rsid w:val="004B7723"/>
    <w:rsid w:val="004C0E6A"/>
    <w:rsid w:val="004C2308"/>
    <w:rsid w:val="004C25FE"/>
    <w:rsid w:val="004C2FB7"/>
    <w:rsid w:val="004C4842"/>
    <w:rsid w:val="004C4941"/>
    <w:rsid w:val="004C6CB5"/>
    <w:rsid w:val="004D018D"/>
    <w:rsid w:val="004D04E5"/>
    <w:rsid w:val="004D08BB"/>
    <w:rsid w:val="004D0B60"/>
    <w:rsid w:val="004D1B53"/>
    <w:rsid w:val="004D2A8D"/>
    <w:rsid w:val="004D7634"/>
    <w:rsid w:val="004E2273"/>
    <w:rsid w:val="004E2CA4"/>
    <w:rsid w:val="004E445F"/>
    <w:rsid w:val="004E4BDA"/>
    <w:rsid w:val="004E5D8B"/>
    <w:rsid w:val="004E611A"/>
    <w:rsid w:val="004E6727"/>
    <w:rsid w:val="004E6BB0"/>
    <w:rsid w:val="004F05F8"/>
    <w:rsid w:val="004F1F71"/>
    <w:rsid w:val="004F35B8"/>
    <w:rsid w:val="004F3868"/>
    <w:rsid w:val="004F5EBE"/>
    <w:rsid w:val="004F6122"/>
    <w:rsid w:val="004F6460"/>
    <w:rsid w:val="005002E3"/>
    <w:rsid w:val="00501EE4"/>
    <w:rsid w:val="005030B3"/>
    <w:rsid w:val="005036FC"/>
    <w:rsid w:val="00503D41"/>
    <w:rsid w:val="00505FD7"/>
    <w:rsid w:val="0051077F"/>
    <w:rsid w:val="00510BAC"/>
    <w:rsid w:val="00512F79"/>
    <w:rsid w:val="00514030"/>
    <w:rsid w:val="00522890"/>
    <w:rsid w:val="005228DE"/>
    <w:rsid w:val="00523DD2"/>
    <w:rsid w:val="005241AE"/>
    <w:rsid w:val="005265C2"/>
    <w:rsid w:val="005273BE"/>
    <w:rsid w:val="005300D3"/>
    <w:rsid w:val="005312F8"/>
    <w:rsid w:val="00531F67"/>
    <w:rsid w:val="00533EAB"/>
    <w:rsid w:val="00536866"/>
    <w:rsid w:val="00537E63"/>
    <w:rsid w:val="00540B23"/>
    <w:rsid w:val="005410F3"/>
    <w:rsid w:val="005411C4"/>
    <w:rsid w:val="00542A10"/>
    <w:rsid w:val="00542DBF"/>
    <w:rsid w:val="00544F82"/>
    <w:rsid w:val="00545E9F"/>
    <w:rsid w:val="00546546"/>
    <w:rsid w:val="00546A2B"/>
    <w:rsid w:val="00550507"/>
    <w:rsid w:val="005509D2"/>
    <w:rsid w:val="0055217B"/>
    <w:rsid w:val="005522E4"/>
    <w:rsid w:val="00553313"/>
    <w:rsid w:val="0055564A"/>
    <w:rsid w:val="00555AA0"/>
    <w:rsid w:val="00555F7D"/>
    <w:rsid w:val="00556836"/>
    <w:rsid w:val="00556F42"/>
    <w:rsid w:val="00557839"/>
    <w:rsid w:val="005636B2"/>
    <w:rsid w:val="00564708"/>
    <w:rsid w:val="00566E87"/>
    <w:rsid w:val="0057452A"/>
    <w:rsid w:val="00576B4D"/>
    <w:rsid w:val="005770D2"/>
    <w:rsid w:val="0057729C"/>
    <w:rsid w:val="00577FDA"/>
    <w:rsid w:val="00582816"/>
    <w:rsid w:val="005829EA"/>
    <w:rsid w:val="00583798"/>
    <w:rsid w:val="00583EF3"/>
    <w:rsid w:val="00591367"/>
    <w:rsid w:val="00593C4F"/>
    <w:rsid w:val="0059412A"/>
    <w:rsid w:val="005946A8"/>
    <w:rsid w:val="00594D1E"/>
    <w:rsid w:val="00595112"/>
    <w:rsid w:val="00597D66"/>
    <w:rsid w:val="005A0552"/>
    <w:rsid w:val="005A11F2"/>
    <w:rsid w:val="005A2239"/>
    <w:rsid w:val="005A3C69"/>
    <w:rsid w:val="005A4407"/>
    <w:rsid w:val="005A59EF"/>
    <w:rsid w:val="005A6317"/>
    <w:rsid w:val="005A6461"/>
    <w:rsid w:val="005A6F0A"/>
    <w:rsid w:val="005B011B"/>
    <w:rsid w:val="005B1C7E"/>
    <w:rsid w:val="005B1F9E"/>
    <w:rsid w:val="005B3D6F"/>
    <w:rsid w:val="005B4D2B"/>
    <w:rsid w:val="005B4E3A"/>
    <w:rsid w:val="005B6C5A"/>
    <w:rsid w:val="005C12D3"/>
    <w:rsid w:val="005C3352"/>
    <w:rsid w:val="005C3F4D"/>
    <w:rsid w:val="005C4024"/>
    <w:rsid w:val="005C64AE"/>
    <w:rsid w:val="005C6976"/>
    <w:rsid w:val="005C6F0B"/>
    <w:rsid w:val="005D404B"/>
    <w:rsid w:val="005D40F1"/>
    <w:rsid w:val="005D50AB"/>
    <w:rsid w:val="005D62E6"/>
    <w:rsid w:val="005E1D29"/>
    <w:rsid w:val="005E1DC5"/>
    <w:rsid w:val="005E2757"/>
    <w:rsid w:val="005E41D5"/>
    <w:rsid w:val="005E5A5B"/>
    <w:rsid w:val="005E74E7"/>
    <w:rsid w:val="005F1386"/>
    <w:rsid w:val="005F1702"/>
    <w:rsid w:val="005F1D85"/>
    <w:rsid w:val="005F49FB"/>
    <w:rsid w:val="005F6F41"/>
    <w:rsid w:val="005F74DE"/>
    <w:rsid w:val="006018CA"/>
    <w:rsid w:val="00601DB8"/>
    <w:rsid w:val="00603267"/>
    <w:rsid w:val="00603864"/>
    <w:rsid w:val="00603FD0"/>
    <w:rsid w:val="00605341"/>
    <w:rsid w:val="00605857"/>
    <w:rsid w:val="00605AEA"/>
    <w:rsid w:val="006061D0"/>
    <w:rsid w:val="0061130D"/>
    <w:rsid w:val="00612B00"/>
    <w:rsid w:val="00612F31"/>
    <w:rsid w:val="0061483E"/>
    <w:rsid w:val="00616DBF"/>
    <w:rsid w:val="006171B2"/>
    <w:rsid w:val="00620466"/>
    <w:rsid w:val="006205CB"/>
    <w:rsid w:val="00620C20"/>
    <w:rsid w:val="00621FBC"/>
    <w:rsid w:val="00622C2B"/>
    <w:rsid w:val="006232D9"/>
    <w:rsid w:val="00625DC6"/>
    <w:rsid w:val="00626B17"/>
    <w:rsid w:val="006300D4"/>
    <w:rsid w:val="006302AD"/>
    <w:rsid w:val="006302C7"/>
    <w:rsid w:val="00630F36"/>
    <w:rsid w:val="00632082"/>
    <w:rsid w:val="00632FB9"/>
    <w:rsid w:val="00636080"/>
    <w:rsid w:val="00636712"/>
    <w:rsid w:val="00637C40"/>
    <w:rsid w:val="00637D6A"/>
    <w:rsid w:val="00637E86"/>
    <w:rsid w:val="00642C11"/>
    <w:rsid w:val="00642E02"/>
    <w:rsid w:val="00643892"/>
    <w:rsid w:val="0064391D"/>
    <w:rsid w:val="00644BD0"/>
    <w:rsid w:val="006452AA"/>
    <w:rsid w:val="0065029D"/>
    <w:rsid w:val="00650CAD"/>
    <w:rsid w:val="00651821"/>
    <w:rsid w:val="00652985"/>
    <w:rsid w:val="00654384"/>
    <w:rsid w:val="00664BFB"/>
    <w:rsid w:val="00665317"/>
    <w:rsid w:val="006675CD"/>
    <w:rsid w:val="0066766D"/>
    <w:rsid w:val="00667A21"/>
    <w:rsid w:val="00671418"/>
    <w:rsid w:val="006728DA"/>
    <w:rsid w:val="00672EB5"/>
    <w:rsid w:val="006731C8"/>
    <w:rsid w:val="006734A8"/>
    <w:rsid w:val="00673A8E"/>
    <w:rsid w:val="00675351"/>
    <w:rsid w:val="00680AB7"/>
    <w:rsid w:val="00681288"/>
    <w:rsid w:val="00681D86"/>
    <w:rsid w:val="0068238B"/>
    <w:rsid w:val="00682AE1"/>
    <w:rsid w:val="00683761"/>
    <w:rsid w:val="00684D9B"/>
    <w:rsid w:val="0068510A"/>
    <w:rsid w:val="00687823"/>
    <w:rsid w:val="006906BE"/>
    <w:rsid w:val="00690BD1"/>
    <w:rsid w:val="00691D63"/>
    <w:rsid w:val="00693764"/>
    <w:rsid w:val="006962D4"/>
    <w:rsid w:val="00696640"/>
    <w:rsid w:val="006967B0"/>
    <w:rsid w:val="00697556"/>
    <w:rsid w:val="00697E37"/>
    <w:rsid w:val="006A6867"/>
    <w:rsid w:val="006A6C9F"/>
    <w:rsid w:val="006B1ABD"/>
    <w:rsid w:val="006B309B"/>
    <w:rsid w:val="006B3BE6"/>
    <w:rsid w:val="006B4313"/>
    <w:rsid w:val="006B4647"/>
    <w:rsid w:val="006B4C2B"/>
    <w:rsid w:val="006B6194"/>
    <w:rsid w:val="006B6D47"/>
    <w:rsid w:val="006B6FC9"/>
    <w:rsid w:val="006B7CDC"/>
    <w:rsid w:val="006C12A2"/>
    <w:rsid w:val="006C2B83"/>
    <w:rsid w:val="006C4230"/>
    <w:rsid w:val="006C594D"/>
    <w:rsid w:val="006C5AFE"/>
    <w:rsid w:val="006C6024"/>
    <w:rsid w:val="006D58E4"/>
    <w:rsid w:val="006D5F85"/>
    <w:rsid w:val="006D62FB"/>
    <w:rsid w:val="006D76D0"/>
    <w:rsid w:val="006E2884"/>
    <w:rsid w:val="006E49CD"/>
    <w:rsid w:val="006E59CB"/>
    <w:rsid w:val="006F04E0"/>
    <w:rsid w:val="006F1E33"/>
    <w:rsid w:val="006F2EC8"/>
    <w:rsid w:val="006F2ECC"/>
    <w:rsid w:val="006F4AC1"/>
    <w:rsid w:val="006F4BD8"/>
    <w:rsid w:val="006F69C9"/>
    <w:rsid w:val="006F6D95"/>
    <w:rsid w:val="006F7566"/>
    <w:rsid w:val="00701529"/>
    <w:rsid w:val="00702165"/>
    <w:rsid w:val="00702A5A"/>
    <w:rsid w:val="00702EA4"/>
    <w:rsid w:val="007043E3"/>
    <w:rsid w:val="00705A56"/>
    <w:rsid w:val="00705CC1"/>
    <w:rsid w:val="00706F13"/>
    <w:rsid w:val="007072E8"/>
    <w:rsid w:val="007109C1"/>
    <w:rsid w:val="007111A8"/>
    <w:rsid w:val="007113A4"/>
    <w:rsid w:val="0071165E"/>
    <w:rsid w:val="0071491C"/>
    <w:rsid w:val="00715464"/>
    <w:rsid w:val="00716085"/>
    <w:rsid w:val="0071618D"/>
    <w:rsid w:val="00716C49"/>
    <w:rsid w:val="00716F78"/>
    <w:rsid w:val="00721703"/>
    <w:rsid w:val="0072346A"/>
    <w:rsid w:val="00723B7B"/>
    <w:rsid w:val="007254F7"/>
    <w:rsid w:val="00725FA4"/>
    <w:rsid w:val="0072650C"/>
    <w:rsid w:val="007279A6"/>
    <w:rsid w:val="00731544"/>
    <w:rsid w:val="00732F7E"/>
    <w:rsid w:val="00734B90"/>
    <w:rsid w:val="007356CC"/>
    <w:rsid w:val="00740446"/>
    <w:rsid w:val="0074313A"/>
    <w:rsid w:val="007438A9"/>
    <w:rsid w:val="0074491E"/>
    <w:rsid w:val="007450C9"/>
    <w:rsid w:val="0074573A"/>
    <w:rsid w:val="00747C5C"/>
    <w:rsid w:val="007512FF"/>
    <w:rsid w:val="00752152"/>
    <w:rsid w:val="00753FD3"/>
    <w:rsid w:val="00757080"/>
    <w:rsid w:val="0075709F"/>
    <w:rsid w:val="0076158F"/>
    <w:rsid w:val="007616DA"/>
    <w:rsid w:val="0076247A"/>
    <w:rsid w:val="00762E93"/>
    <w:rsid w:val="00763DF0"/>
    <w:rsid w:val="00765418"/>
    <w:rsid w:val="007663ED"/>
    <w:rsid w:val="007664E7"/>
    <w:rsid w:val="00771D56"/>
    <w:rsid w:val="0077254C"/>
    <w:rsid w:val="007725AA"/>
    <w:rsid w:val="00772669"/>
    <w:rsid w:val="00773043"/>
    <w:rsid w:val="0077398C"/>
    <w:rsid w:val="00775964"/>
    <w:rsid w:val="007765FE"/>
    <w:rsid w:val="00777E5C"/>
    <w:rsid w:val="00780EDB"/>
    <w:rsid w:val="007823E7"/>
    <w:rsid w:val="0078476B"/>
    <w:rsid w:val="00785E25"/>
    <w:rsid w:val="00786070"/>
    <w:rsid w:val="007875BA"/>
    <w:rsid w:val="007875E6"/>
    <w:rsid w:val="0079147F"/>
    <w:rsid w:val="00794E2E"/>
    <w:rsid w:val="00795A5D"/>
    <w:rsid w:val="00795BFB"/>
    <w:rsid w:val="007A19D2"/>
    <w:rsid w:val="007A1F51"/>
    <w:rsid w:val="007A43FA"/>
    <w:rsid w:val="007A5603"/>
    <w:rsid w:val="007B10D6"/>
    <w:rsid w:val="007B1726"/>
    <w:rsid w:val="007B186B"/>
    <w:rsid w:val="007B1C12"/>
    <w:rsid w:val="007B2760"/>
    <w:rsid w:val="007B55E3"/>
    <w:rsid w:val="007B66A3"/>
    <w:rsid w:val="007C1894"/>
    <w:rsid w:val="007C1AA6"/>
    <w:rsid w:val="007C2EBA"/>
    <w:rsid w:val="007C433A"/>
    <w:rsid w:val="007C56A8"/>
    <w:rsid w:val="007C6889"/>
    <w:rsid w:val="007C7E39"/>
    <w:rsid w:val="007D42DA"/>
    <w:rsid w:val="007D51A9"/>
    <w:rsid w:val="007D552F"/>
    <w:rsid w:val="007D599E"/>
    <w:rsid w:val="007D5F9C"/>
    <w:rsid w:val="007D6C0A"/>
    <w:rsid w:val="007D79E8"/>
    <w:rsid w:val="007E0CF9"/>
    <w:rsid w:val="007E12B5"/>
    <w:rsid w:val="007E31BF"/>
    <w:rsid w:val="007E4D67"/>
    <w:rsid w:val="007E5627"/>
    <w:rsid w:val="007E562F"/>
    <w:rsid w:val="007E786C"/>
    <w:rsid w:val="007F0A8D"/>
    <w:rsid w:val="007F1967"/>
    <w:rsid w:val="007F2474"/>
    <w:rsid w:val="007F36D4"/>
    <w:rsid w:val="007F3C27"/>
    <w:rsid w:val="007F5C29"/>
    <w:rsid w:val="007F7688"/>
    <w:rsid w:val="00801933"/>
    <w:rsid w:val="00805868"/>
    <w:rsid w:val="00806C01"/>
    <w:rsid w:val="008074E5"/>
    <w:rsid w:val="008100F5"/>
    <w:rsid w:val="00812D96"/>
    <w:rsid w:val="008148CC"/>
    <w:rsid w:val="00816916"/>
    <w:rsid w:val="00816992"/>
    <w:rsid w:val="0082038A"/>
    <w:rsid w:val="008211A4"/>
    <w:rsid w:val="008224E9"/>
    <w:rsid w:val="0082317D"/>
    <w:rsid w:val="008247D4"/>
    <w:rsid w:val="00831259"/>
    <w:rsid w:val="00835DEA"/>
    <w:rsid w:val="00836D60"/>
    <w:rsid w:val="0084041E"/>
    <w:rsid w:val="00840511"/>
    <w:rsid w:val="00840AD6"/>
    <w:rsid w:val="00841719"/>
    <w:rsid w:val="00841DCC"/>
    <w:rsid w:val="00842DEC"/>
    <w:rsid w:val="008437FC"/>
    <w:rsid w:val="0084693A"/>
    <w:rsid w:val="0085103D"/>
    <w:rsid w:val="008515B7"/>
    <w:rsid w:val="008540DE"/>
    <w:rsid w:val="00854865"/>
    <w:rsid w:val="0085720E"/>
    <w:rsid w:val="0086013D"/>
    <w:rsid w:val="00860CE2"/>
    <w:rsid w:val="0086112D"/>
    <w:rsid w:val="00862FFF"/>
    <w:rsid w:val="00863C10"/>
    <w:rsid w:val="00865986"/>
    <w:rsid w:val="0086715C"/>
    <w:rsid w:val="00867366"/>
    <w:rsid w:val="00870B41"/>
    <w:rsid w:val="0087207D"/>
    <w:rsid w:val="0087253B"/>
    <w:rsid w:val="00872CD6"/>
    <w:rsid w:val="00873150"/>
    <w:rsid w:val="008739C5"/>
    <w:rsid w:val="00874039"/>
    <w:rsid w:val="00874D49"/>
    <w:rsid w:val="00876446"/>
    <w:rsid w:val="0087657D"/>
    <w:rsid w:val="008807D5"/>
    <w:rsid w:val="00880832"/>
    <w:rsid w:val="00880B9B"/>
    <w:rsid w:val="00880BBA"/>
    <w:rsid w:val="00885541"/>
    <w:rsid w:val="00886656"/>
    <w:rsid w:val="00886EE1"/>
    <w:rsid w:val="00887068"/>
    <w:rsid w:val="0088727D"/>
    <w:rsid w:val="00890C28"/>
    <w:rsid w:val="00891A32"/>
    <w:rsid w:val="008954CB"/>
    <w:rsid w:val="0089777B"/>
    <w:rsid w:val="00897C75"/>
    <w:rsid w:val="008A1CF3"/>
    <w:rsid w:val="008A3558"/>
    <w:rsid w:val="008A3B25"/>
    <w:rsid w:val="008A5760"/>
    <w:rsid w:val="008A592D"/>
    <w:rsid w:val="008B1686"/>
    <w:rsid w:val="008B24DB"/>
    <w:rsid w:val="008B2AB2"/>
    <w:rsid w:val="008B2B50"/>
    <w:rsid w:val="008B305C"/>
    <w:rsid w:val="008B3DC7"/>
    <w:rsid w:val="008B4328"/>
    <w:rsid w:val="008B5502"/>
    <w:rsid w:val="008B6B2E"/>
    <w:rsid w:val="008B73C7"/>
    <w:rsid w:val="008C0116"/>
    <w:rsid w:val="008C1130"/>
    <w:rsid w:val="008C3CB1"/>
    <w:rsid w:val="008C3E8D"/>
    <w:rsid w:val="008C457C"/>
    <w:rsid w:val="008D0A88"/>
    <w:rsid w:val="008D18E6"/>
    <w:rsid w:val="008D344F"/>
    <w:rsid w:val="008D4575"/>
    <w:rsid w:val="008D580F"/>
    <w:rsid w:val="008D585A"/>
    <w:rsid w:val="008D670D"/>
    <w:rsid w:val="008D6B86"/>
    <w:rsid w:val="008D7A9B"/>
    <w:rsid w:val="008E0060"/>
    <w:rsid w:val="008E1EA7"/>
    <w:rsid w:val="008E4C01"/>
    <w:rsid w:val="008E4D7A"/>
    <w:rsid w:val="008E5B69"/>
    <w:rsid w:val="008E6605"/>
    <w:rsid w:val="008E7091"/>
    <w:rsid w:val="008E748E"/>
    <w:rsid w:val="008E76AC"/>
    <w:rsid w:val="008E7B20"/>
    <w:rsid w:val="008F0E4C"/>
    <w:rsid w:val="008F21F6"/>
    <w:rsid w:val="008F3E56"/>
    <w:rsid w:val="008F42A1"/>
    <w:rsid w:val="008F539C"/>
    <w:rsid w:val="008F64B6"/>
    <w:rsid w:val="008F6ED5"/>
    <w:rsid w:val="008F7CDC"/>
    <w:rsid w:val="009007C2"/>
    <w:rsid w:val="00900F23"/>
    <w:rsid w:val="0090112D"/>
    <w:rsid w:val="00905D5D"/>
    <w:rsid w:val="009070DB"/>
    <w:rsid w:val="00910696"/>
    <w:rsid w:val="00914105"/>
    <w:rsid w:val="0091414C"/>
    <w:rsid w:val="00916A16"/>
    <w:rsid w:val="00917848"/>
    <w:rsid w:val="00917D84"/>
    <w:rsid w:val="00917E9D"/>
    <w:rsid w:val="00920708"/>
    <w:rsid w:val="009208C4"/>
    <w:rsid w:val="0092135E"/>
    <w:rsid w:val="00923CB3"/>
    <w:rsid w:val="00923F32"/>
    <w:rsid w:val="00925CFC"/>
    <w:rsid w:val="00925D9A"/>
    <w:rsid w:val="00925DE0"/>
    <w:rsid w:val="00931479"/>
    <w:rsid w:val="00931516"/>
    <w:rsid w:val="00931CCE"/>
    <w:rsid w:val="00932536"/>
    <w:rsid w:val="009327FF"/>
    <w:rsid w:val="00933881"/>
    <w:rsid w:val="009348E9"/>
    <w:rsid w:val="00934A31"/>
    <w:rsid w:val="00934BF2"/>
    <w:rsid w:val="00935403"/>
    <w:rsid w:val="00936504"/>
    <w:rsid w:val="0093794D"/>
    <w:rsid w:val="00937AD1"/>
    <w:rsid w:val="00940B83"/>
    <w:rsid w:val="009434E9"/>
    <w:rsid w:val="00944149"/>
    <w:rsid w:val="00944CEF"/>
    <w:rsid w:val="00945E39"/>
    <w:rsid w:val="00946898"/>
    <w:rsid w:val="00946F84"/>
    <w:rsid w:val="00950A98"/>
    <w:rsid w:val="00951F79"/>
    <w:rsid w:val="00952025"/>
    <w:rsid w:val="00952062"/>
    <w:rsid w:val="00952617"/>
    <w:rsid w:val="00955407"/>
    <w:rsid w:val="009600F4"/>
    <w:rsid w:val="00963573"/>
    <w:rsid w:val="00963C0C"/>
    <w:rsid w:val="00963DBD"/>
    <w:rsid w:val="00965FD0"/>
    <w:rsid w:val="009666E9"/>
    <w:rsid w:val="009670AA"/>
    <w:rsid w:val="0096725D"/>
    <w:rsid w:val="00967742"/>
    <w:rsid w:val="00967806"/>
    <w:rsid w:val="00967898"/>
    <w:rsid w:val="00967A06"/>
    <w:rsid w:val="00967B52"/>
    <w:rsid w:val="009735DF"/>
    <w:rsid w:val="00974AB5"/>
    <w:rsid w:val="009750C0"/>
    <w:rsid w:val="009753E1"/>
    <w:rsid w:val="00976A18"/>
    <w:rsid w:val="00976D8D"/>
    <w:rsid w:val="009773A5"/>
    <w:rsid w:val="00980D33"/>
    <w:rsid w:val="009826E2"/>
    <w:rsid w:val="0098466F"/>
    <w:rsid w:val="00985253"/>
    <w:rsid w:val="00985ABB"/>
    <w:rsid w:val="00985E3A"/>
    <w:rsid w:val="00985EE9"/>
    <w:rsid w:val="0098706D"/>
    <w:rsid w:val="009904C8"/>
    <w:rsid w:val="009910B1"/>
    <w:rsid w:val="00991978"/>
    <w:rsid w:val="00991BB8"/>
    <w:rsid w:val="0099205F"/>
    <w:rsid w:val="009925FD"/>
    <w:rsid w:val="009931F5"/>
    <w:rsid w:val="009935FB"/>
    <w:rsid w:val="009936DC"/>
    <w:rsid w:val="009951F0"/>
    <w:rsid w:val="00995BBC"/>
    <w:rsid w:val="00995F7A"/>
    <w:rsid w:val="00996D46"/>
    <w:rsid w:val="00996F6F"/>
    <w:rsid w:val="00997226"/>
    <w:rsid w:val="009A07AC"/>
    <w:rsid w:val="009A0AE0"/>
    <w:rsid w:val="009A2B75"/>
    <w:rsid w:val="009A2FE6"/>
    <w:rsid w:val="009A34AB"/>
    <w:rsid w:val="009A57D3"/>
    <w:rsid w:val="009A6127"/>
    <w:rsid w:val="009A7081"/>
    <w:rsid w:val="009B0C52"/>
    <w:rsid w:val="009B1ED6"/>
    <w:rsid w:val="009B3274"/>
    <w:rsid w:val="009B3DF9"/>
    <w:rsid w:val="009B3F3D"/>
    <w:rsid w:val="009B5B8A"/>
    <w:rsid w:val="009B5F21"/>
    <w:rsid w:val="009B68FB"/>
    <w:rsid w:val="009B7B75"/>
    <w:rsid w:val="009C2F86"/>
    <w:rsid w:val="009C4394"/>
    <w:rsid w:val="009C7503"/>
    <w:rsid w:val="009D0F77"/>
    <w:rsid w:val="009D13D5"/>
    <w:rsid w:val="009D690E"/>
    <w:rsid w:val="009D73AD"/>
    <w:rsid w:val="009E0099"/>
    <w:rsid w:val="009E0E16"/>
    <w:rsid w:val="009E0F3A"/>
    <w:rsid w:val="009E0FC9"/>
    <w:rsid w:val="009E2549"/>
    <w:rsid w:val="009E26C6"/>
    <w:rsid w:val="009E3DB1"/>
    <w:rsid w:val="009E580E"/>
    <w:rsid w:val="009E5FCA"/>
    <w:rsid w:val="009F083C"/>
    <w:rsid w:val="009F09ED"/>
    <w:rsid w:val="009F16EA"/>
    <w:rsid w:val="009F17A6"/>
    <w:rsid w:val="009F331F"/>
    <w:rsid w:val="009F4A54"/>
    <w:rsid w:val="009F4BEC"/>
    <w:rsid w:val="009F5438"/>
    <w:rsid w:val="009F5874"/>
    <w:rsid w:val="009F7433"/>
    <w:rsid w:val="009F7B38"/>
    <w:rsid w:val="00A00881"/>
    <w:rsid w:val="00A01813"/>
    <w:rsid w:val="00A042F4"/>
    <w:rsid w:val="00A048FE"/>
    <w:rsid w:val="00A04B41"/>
    <w:rsid w:val="00A05ADF"/>
    <w:rsid w:val="00A15251"/>
    <w:rsid w:val="00A15568"/>
    <w:rsid w:val="00A1721F"/>
    <w:rsid w:val="00A177AE"/>
    <w:rsid w:val="00A250C2"/>
    <w:rsid w:val="00A25FD7"/>
    <w:rsid w:val="00A26EC0"/>
    <w:rsid w:val="00A27EA4"/>
    <w:rsid w:val="00A307CD"/>
    <w:rsid w:val="00A31951"/>
    <w:rsid w:val="00A319ED"/>
    <w:rsid w:val="00A319F0"/>
    <w:rsid w:val="00A407F8"/>
    <w:rsid w:val="00A43AFF"/>
    <w:rsid w:val="00A43EC3"/>
    <w:rsid w:val="00A441EC"/>
    <w:rsid w:val="00A45831"/>
    <w:rsid w:val="00A46DE0"/>
    <w:rsid w:val="00A50380"/>
    <w:rsid w:val="00A50EC7"/>
    <w:rsid w:val="00A51036"/>
    <w:rsid w:val="00A5127B"/>
    <w:rsid w:val="00A51D5E"/>
    <w:rsid w:val="00A52312"/>
    <w:rsid w:val="00A5292D"/>
    <w:rsid w:val="00A52BA1"/>
    <w:rsid w:val="00A5761E"/>
    <w:rsid w:val="00A57CC6"/>
    <w:rsid w:val="00A60B22"/>
    <w:rsid w:val="00A60C92"/>
    <w:rsid w:val="00A60FB1"/>
    <w:rsid w:val="00A61C25"/>
    <w:rsid w:val="00A61D71"/>
    <w:rsid w:val="00A636DD"/>
    <w:rsid w:val="00A63A31"/>
    <w:rsid w:val="00A66D97"/>
    <w:rsid w:val="00A71184"/>
    <w:rsid w:val="00A739B2"/>
    <w:rsid w:val="00A75049"/>
    <w:rsid w:val="00A754F3"/>
    <w:rsid w:val="00A7793A"/>
    <w:rsid w:val="00A80755"/>
    <w:rsid w:val="00A8106B"/>
    <w:rsid w:val="00A853C3"/>
    <w:rsid w:val="00A86559"/>
    <w:rsid w:val="00A86BF7"/>
    <w:rsid w:val="00A87BBA"/>
    <w:rsid w:val="00A91053"/>
    <w:rsid w:val="00A91206"/>
    <w:rsid w:val="00A928F2"/>
    <w:rsid w:val="00A92A48"/>
    <w:rsid w:val="00A97038"/>
    <w:rsid w:val="00A97F00"/>
    <w:rsid w:val="00AA0CC0"/>
    <w:rsid w:val="00AA19E0"/>
    <w:rsid w:val="00AA32F2"/>
    <w:rsid w:val="00AA4AAB"/>
    <w:rsid w:val="00AA4B32"/>
    <w:rsid w:val="00AA4CC7"/>
    <w:rsid w:val="00AA5E8E"/>
    <w:rsid w:val="00AA5E93"/>
    <w:rsid w:val="00AA7365"/>
    <w:rsid w:val="00AB2BAD"/>
    <w:rsid w:val="00AB2E0D"/>
    <w:rsid w:val="00AB4248"/>
    <w:rsid w:val="00AB4BA0"/>
    <w:rsid w:val="00AB6CA7"/>
    <w:rsid w:val="00AB6EA0"/>
    <w:rsid w:val="00AB6F70"/>
    <w:rsid w:val="00AC1332"/>
    <w:rsid w:val="00AC1F26"/>
    <w:rsid w:val="00AC2D30"/>
    <w:rsid w:val="00AC34AE"/>
    <w:rsid w:val="00AC3AFA"/>
    <w:rsid w:val="00AC4B62"/>
    <w:rsid w:val="00AC61C6"/>
    <w:rsid w:val="00AD01E4"/>
    <w:rsid w:val="00AD0858"/>
    <w:rsid w:val="00AD0EEB"/>
    <w:rsid w:val="00AD1F6F"/>
    <w:rsid w:val="00AD2521"/>
    <w:rsid w:val="00AD721D"/>
    <w:rsid w:val="00AD73B3"/>
    <w:rsid w:val="00AD7AAE"/>
    <w:rsid w:val="00AD7EF7"/>
    <w:rsid w:val="00AE02E3"/>
    <w:rsid w:val="00AE2101"/>
    <w:rsid w:val="00AE2FB2"/>
    <w:rsid w:val="00AE3BF1"/>
    <w:rsid w:val="00AE4524"/>
    <w:rsid w:val="00AE5721"/>
    <w:rsid w:val="00AE6425"/>
    <w:rsid w:val="00AE7340"/>
    <w:rsid w:val="00AE74B9"/>
    <w:rsid w:val="00AF1BBD"/>
    <w:rsid w:val="00AF50CB"/>
    <w:rsid w:val="00B0401E"/>
    <w:rsid w:val="00B0414B"/>
    <w:rsid w:val="00B04848"/>
    <w:rsid w:val="00B04FA3"/>
    <w:rsid w:val="00B0778F"/>
    <w:rsid w:val="00B07797"/>
    <w:rsid w:val="00B07D3D"/>
    <w:rsid w:val="00B10207"/>
    <w:rsid w:val="00B12B8C"/>
    <w:rsid w:val="00B141E7"/>
    <w:rsid w:val="00B15EE0"/>
    <w:rsid w:val="00B1686E"/>
    <w:rsid w:val="00B20CE3"/>
    <w:rsid w:val="00B21424"/>
    <w:rsid w:val="00B2220A"/>
    <w:rsid w:val="00B22CE7"/>
    <w:rsid w:val="00B22F97"/>
    <w:rsid w:val="00B25060"/>
    <w:rsid w:val="00B260EA"/>
    <w:rsid w:val="00B27457"/>
    <w:rsid w:val="00B27B8A"/>
    <w:rsid w:val="00B27E1B"/>
    <w:rsid w:val="00B3017C"/>
    <w:rsid w:val="00B32094"/>
    <w:rsid w:val="00B3287B"/>
    <w:rsid w:val="00B33833"/>
    <w:rsid w:val="00B351B4"/>
    <w:rsid w:val="00B3694F"/>
    <w:rsid w:val="00B36EDC"/>
    <w:rsid w:val="00B37268"/>
    <w:rsid w:val="00B37A5E"/>
    <w:rsid w:val="00B40A7E"/>
    <w:rsid w:val="00B417C5"/>
    <w:rsid w:val="00B41AE7"/>
    <w:rsid w:val="00B458A8"/>
    <w:rsid w:val="00B45B76"/>
    <w:rsid w:val="00B45C74"/>
    <w:rsid w:val="00B46BCA"/>
    <w:rsid w:val="00B478AA"/>
    <w:rsid w:val="00B5264D"/>
    <w:rsid w:val="00B54544"/>
    <w:rsid w:val="00B54F66"/>
    <w:rsid w:val="00B55ABB"/>
    <w:rsid w:val="00B55EB9"/>
    <w:rsid w:val="00B5700A"/>
    <w:rsid w:val="00B57257"/>
    <w:rsid w:val="00B60696"/>
    <w:rsid w:val="00B60D43"/>
    <w:rsid w:val="00B63B4C"/>
    <w:rsid w:val="00B64801"/>
    <w:rsid w:val="00B6646A"/>
    <w:rsid w:val="00B672C1"/>
    <w:rsid w:val="00B71D74"/>
    <w:rsid w:val="00B733CE"/>
    <w:rsid w:val="00B73508"/>
    <w:rsid w:val="00B744E1"/>
    <w:rsid w:val="00B761FB"/>
    <w:rsid w:val="00B76ABC"/>
    <w:rsid w:val="00B779B9"/>
    <w:rsid w:val="00B80B1F"/>
    <w:rsid w:val="00B8138B"/>
    <w:rsid w:val="00B8190C"/>
    <w:rsid w:val="00B82132"/>
    <w:rsid w:val="00B82316"/>
    <w:rsid w:val="00B8492A"/>
    <w:rsid w:val="00B84965"/>
    <w:rsid w:val="00B84E40"/>
    <w:rsid w:val="00B85776"/>
    <w:rsid w:val="00B8642A"/>
    <w:rsid w:val="00B87806"/>
    <w:rsid w:val="00B87EC9"/>
    <w:rsid w:val="00B917BB"/>
    <w:rsid w:val="00B92651"/>
    <w:rsid w:val="00B93D52"/>
    <w:rsid w:val="00B97726"/>
    <w:rsid w:val="00B97BEA"/>
    <w:rsid w:val="00BA29C4"/>
    <w:rsid w:val="00BA2AF6"/>
    <w:rsid w:val="00BA3588"/>
    <w:rsid w:val="00BA3DE7"/>
    <w:rsid w:val="00BA451F"/>
    <w:rsid w:val="00BA45B0"/>
    <w:rsid w:val="00BA47DD"/>
    <w:rsid w:val="00BA5320"/>
    <w:rsid w:val="00BA70D9"/>
    <w:rsid w:val="00BA73B8"/>
    <w:rsid w:val="00BA7C08"/>
    <w:rsid w:val="00BB0FA6"/>
    <w:rsid w:val="00BB1C67"/>
    <w:rsid w:val="00BB3AC2"/>
    <w:rsid w:val="00BB51B2"/>
    <w:rsid w:val="00BB65B6"/>
    <w:rsid w:val="00BB666C"/>
    <w:rsid w:val="00BC2856"/>
    <w:rsid w:val="00BC36FB"/>
    <w:rsid w:val="00BC38FD"/>
    <w:rsid w:val="00BC3BD9"/>
    <w:rsid w:val="00BC50EF"/>
    <w:rsid w:val="00BC59E9"/>
    <w:rsid w:val="00BC5C39"/>
    <w:rsid w:val="00BC5C6D"/>
    <w:rsid w:val="00BC642B"/>
    <w:rsid w:val="00BC64BA"/>
    <w:rsid w:val="00BC65C0"/>
    <w:rsid w:val="00BC6E28"/>
    <w:rsid w:val="00BC79F0"/>
    <w:rsid w:val="00BD1699"/>
    <w:rsid w:val="00BD4A75"/>
    <w:rsid w:val="00BD5B89"/>
    <w:rsid w:val="00BD6273"/>
    <w:rsid w:val="00BD6E63"/>
    <w:rsid w:val="00BD7D5F"/>
    <w:rsid w:val="00BE1AF9"/>
    <w:rsid w:val="00BE1C1C"/>
    <w:rsid w:val="00BE26E3"/>
    <w:rsid w:val="00BE4F97"/>
    <w:rsid w:val="00BE7947"/>
    <w:rsid w:val="00BF02D2"/>
    <w:rsid w:val="00BF0DE0"/>
    <w:rsid w:val="00BF13A7"/>
    <w:rsid w:val="00BF1F46"/>
    <w:rsid w:val="00BF2074"/>
    <w:rsid w:val="00BF2A95"/>
    <w:rsid w:val="00BF2BC2"/>
    <w:rsid w:val="00BF3196"/>
    <w:rsid w:val="00BF38E8"/>
    <w:rsid w:val="00BF4D52"/>
    <w:rsid w:val="00BF4D71"/>
    <w:rsid w:val="00BF59DD"/>
    <w:rsid w:val="00C025CA"/>
    <w:rsid w:val="00C034CB"/>
    <w:rsid w:val="00C04147"/>
    <w:rsid w:val="00C04FE1"/>
    <w:rsid w:val="00C051A8"/>
    <w:rsid w:val="00C054BC"/>
    <w:rsid w:val="00C0555A"/>
    <w:rsid w:val="00C06EEC"/>
    <w:rsid w:val="00C0765A"/>
    <w:rsid w:val="00C07A1C"/>
    <w:rsid w:val="00C1003B"/>
    <w:rsid w:val="00C1346B"/>
    <w:rsid w:val="00C13549"/>
    <w:rsid w:val="00C13878"/>
    <w:rsid w:val="00C13B86"/>
    <w:rsid w:val="00C14A70"/>
    <w:rsid w:val="00C15115"/>
    <w:rsid w:val="00C17897"/>
    <w:rsid w:val="00C20C9B"/>
    <w:rsid w:val="00C21933"/>
    <w:rsid w:val="00C229C0"/>
    <w:rsid w:val="00C243A4"/>
    <w:rsid w:val="00C25C87"/>
    <w:rsid w:val="00C30906"/>
    <w:rsid w:val="00C32C36"/>
    <w:rsid w:val="00C33D19"/>
    <w:rsid w:val="00C3749E"/>
    <w:rsid w:val="00C37739"/>
    <w:rsid w:val="00C409D5"/>
    <w:rsid w:val="00C40FC6"/>
    <w:rsid w:val="00C4132B"/>
    <w:rsid w:val="00C41A2D"/>
    <w:rsid w:val="00C4316D"/>
    <w:rsid w:val="00C435C3"/>
    <w:rsid w:val="00C440F6"/>
    <w:rsid w:val="00C4426D"/>
    <w:rsid w:val="00C44E5F"/>
    <w:rsid w:val="00C47AB3"/>
    <w:rsid w:val="00C5003E"/>
    <w:rsid w:val="00C515FA"/>
    <w:rsid w:val="00C51B7C"/>
    <w:rsid w:val="00C53064"/>
    <w:rsid w:val="00C54105"/>
    <w:rsid w:val="00C54D2F"/>
    <w:rsid w:val="00C54D48"/>
    <w:rsid w:val="00C56417"/>
    <w:rsid w:val="00C56AE1"/>
    <w:rsid w:val="00C600D5"/>
    <w:rsid w:val="00C61436"/>
    <w:rsid w:val="00C61473"/>
    <w:rsid w:val="00C6234B"/>
    <w:rsid w:val="00C63EAE"/>
    <w:rsid w:val="00C64037"/>
    <w:rsid w:val="00C64825"/>
    <w:rsid w:val="00C65F89"/>
    <w:rsid w:val="00C6617B"/>
    <w:rsid w:val="00C669D6"/>
    <w:rsid w:val="00C67523"/>
    <w:rsid w:val="00C67FB0"/>
    <w:rsid w:val="00C7003C"/>
    <w:rsid w:val="00C70DB6"/>
    <w:rsid w:val="00C71F69"/>
    <w:rsid w:val="00C72994"/>
    <w:rsid w:val="00C72E3E"/>
    <w:rsid w:val="00C73260"/>
    <w:rsid w:val="00C74DA8"/>
    <w:rsid w:val="00C74EC8"/>
    <w:rsid w:val="00C757FF"/>
    <w:rsid w:val="00C759A5"/>
    <w:rsid w:val="00C7629F"/>
    <w:rsid w:val="00C77928"/>
    <w:rsid w:val="00C802C0"/>
    <w:rsid w:val="00C81AEE"/>
    <w:rsid w:val="00C83248"/>
    <w:rsid w:val="00C8393A"/>
    <w:rsid w:val="00C83C7A"/>
    <w:rsid w:val="00C83F8F"/>
    <w:rsid w:val="00C84C10"/>
    <w:rsid w:val="00C854FD"/>
    <w:rsid w:val="00C862D0"/>
    <w:rsid w:val="00C8661B"/>
    <w:rsid w:val="00C87CDB"/>
    <w:rsid w:val="00C87E79"/>
    <w:rsid w:val="00C90393"/>
    <w:rsid w:val="00C916E0"/>
    <w:rsid w:val="00C93E97"/>
    <w:rsid w:val="00C93F36"/>
    <w:rsid w:val="00C945E6"/>
    <w:rsid w:val="00C96FCF"/>
    <w:rsid w:val="00CA03C8"/>
    <w:rsid w:val="00CA139A"/>
    <w:rsid w:val="00CA14BE"/>
    <w:rsid w:val="00CA214D"/>
    <w:rsid w:val="00CA2899"/>
    <w:rsid w:val="00CA3A3D"/>
    <w:rsid w:val="00CA3AA6"/>
    <w:rsid w:val="00CA4E59"/>
    <w:rsid w:val="00CA5C94"/>
    <w:rsid w:val="00CA6FAE"/>
    <w:rsid w:val="00CA77FB"/>
    <w:rsid w:val="00CA7B6F"/>
    <w:rsid w:val="00CB0AE1"/>
    <w:rsid w:val="00CB0FF9"/>
    <w:rsid w:val="00CB1EB1"/>
    <w:rsid w:val="00CB2586"/>
    <w:rsid w:val="00CB31D1"/>
    <w:rsid w:val="00CB379B"/>
    <w:rsid w:val="00CB412A"/>
    <w:rsid w:val="00CB5DD0"/>
    <w:rsid w:val="00CB6B6F"/>
    <w:rsid w:val="00CB7E1C"/>
    <w:rsid w:val="00CC04BB"/>
    <w:rsid w:val="00CC0C14"/>
    <w:rsid w:val="00CC1526"/>
    <w:rsid w:val="00CC2EF6"/>
    <w:rsid w:val="00CC47BB"/>
    <w:rsid w:val="00CC51D4"/>
    <w:rsid w:val="00CC65DA"/>
    <w:rsid w:val="00CC6647"/>
    <w:rsid w:val="00CC6C0E"/>
    <w:rsid w:val="00CC74CA"/>
    <w:rsid w:val="00CD054B"/>
    <w:rsid w:val="00CD30F3"/>
    <w:rsid w:val="00CD319C"/>
    <w:rsid w:val="00CD40DF"/>
    <w:rsid w:val="00CD45C6"/>
    <w:rsid w:val="00CD4629"/>
    <w:rsid w:val="00CD6156"/>
    <w:rsid w:val="00CD79A3"/>
    <w:rsid w:val="00CE0894"/>
    <w:rsid w:val="00CE09E6"/>
    <w:rsid w:val="00CE1974"/>
    <w:rsid w:val="00CE1C19"/>
    <w:rsid w:val="00CE2865"/>
    <w:rsid w:val="00CE3587"/>
    <w:rsid w:val="00CE51CA"/>
    <w:rsid w:val="00CE5986"/>
    <w:rsid w:val="00CE7206"/>
    <w:rsid w:val="00CE76AE"/>
    <w:rsid w:val="00CE780F"/>
    <w:rsid w:val="00CF09CC"/>
    <w:rsid w:val="00CF21B9"/>
    <w:rsid w:val="00CF26BB"/>
    <w:rsid w:val="00CF3408"/>
    <w:rsid w:val="00CF4942"/>
    <w:rsid w:val="00CF4A34"/>
    <w:rsid w:val="00CF4E12"/>
    <w:rsid w:val="00CF4F34"/>
    <w:rsid w:val="00CF5145"/>
    <w:rsid w:val="00CF6BF9"/>
    <w:rsid w:val="00CF7C29"/>
    <w:rsid w:val="00D0089F"/>
    <w:rsid w:val="00D03408"/>
    <w:rsid w:val="00D03800"/>
    <w:rsid w:val="00D03E61"/>
    <w:rsid w:val="00D04692"/>
    <w:rsid w:val="00D050E9"/>
    <w:rsid w:val="00D0657F"/>
    <w:rsid w:val="00D065D3"/>
    <w:rsid w:val="00D07D3E"/>
    <w:rsid w:val="00D10608"/>
    <w:rsid w:val="00D10EDB"/>
    <w:rsid w:val="00D115C7"/>
    <w:rsid w:val="00D12030"/>
    <w:rsid w:val="00D146B9"/>
    <w:rsid w:val="00D14C94"/>
    <w:rsid w:val="00D152F3"/>
    <w:rsid w:val="00D15443"/>
    <w:rsid w:val="00D17305"/>
    <w:rsid w:val="00D1781D"/>
    <w:rsid w:val="00D20765"/>
    <w:rsid w:val="00D20EA4"/>
    <w:rsid w:val="00D21EDD"/>
    <w:rsid w:val="00D23347"/>
    <w:rsid w:val="00D250F3"/>
    <w:rsid w:val="00D25D3D"/>
    <w:rsid w:val="00D261E0"/>
    <w:rsid w:val="00D27DEC"/>
    <w:rsid w:val="00D30E83"/>
    <w:rsid w:val="00D31543"/>
    <w:rsid w:val="00D327D9"/>
    <w:rsid w:val="00D33487"/>
    <w:rsid w:val="00D338ED"/>
    <w:rsid w:val="00D342A6"/>
    <w:rsid w:val="00D36533"/>
    <w:rsid w:val="00D402A4"/>
    <w:rsid w:val="00D4063D"/>
    <w:rsid w:val="00D42016"/>
    <w:rsid w:val="00D44B1C"/>
    <w:rsid w:val="00D45557"/>
    <w:rsid w:val="00D45CA6"/>
    <w:rsid w:val="00D464BF"/>
    <w:rsid w:val="00D469B6"/>
    <w:rsid w:val="00D46D9E"/>
    <w:rsid w:val="00D4782E"/>
    <w:rsid w:val="00D512DA"/>
    <w:rsid w:val="00D53E26"/>
    <w:rsid w:val="00D546D1"/>
    <w:rsid w:val="00D612EC"/>
    <w:rsid w:val="00D62C06"/>
    <w:rsid w:val="00D62CAA"/>
    <w:rsid w:val="00D635D0"/>
    <w:rsid w:val="00D6470F"/>
    <w:rsid w:val="00D65121"/>
    <w:rsid w:val="00D67DC7"/>
    <w:rsid w:val="00D70E1D"/>
    <w:rsid w:val="00D71D3B"/>
    <w:rsid w:val="00D741AE"/>
    <w:rsid w:val="00D74726"/>
    <w:rsid w:val="00D76707"/>
    <w:rsid w:val="00D76CEF"/>
    <w:rsid w:val="00D77FE1"/>
    <w:rsid w:val="00D807EB"/>
    <w:rsid w:val="00D81823"/>
    <w:rsid w:val="00D818D5"/>
    <w:rsid w:val="00D84306"/>
    <w:rsid w:val="00D849B8"/>
    <w:rsid w:val="00D84FD5"/>
    <w:rsid w:val="00D86A45"/>
    <w:rsid w:val="00D901F4"/>
    <w:rsid w:val="00D90484"/>
    <w:rsid w:val="00D91658"/>
    <w:rsid w:val="00D919E6"/>
    <w:rsid w:val="00D92074"/>
    <w:rsid w:val="00D92394"/>
    <w:rsid w:val="00D932CA"/>
    <w:rsid w:val="00D94213"/>
    <w:rsid w:val="00D94C0D"/>
    <w:rsid w:val="00D956BA"/>
    <w:rsid w:val="00D9582A"/>
    <w:rsid w:val="00D96A19"/>
    <w:rsid w:val="00D97518"/>
    <w:rsid w:val="00D977D2"/>
    <w:rsid w:val="00D97FDB"/>
    <w:rsid w:val="00DA55D6"/>
    <w:rsid w:val="00DA5662"/>
    <w:rsid w:val="00DA7D67"/>
    <w:rsid w:val="00DA7F7B"/>
    <w:rsid w:val="00DA7FB2"/>
    <w:rsid w:val="00DB182C"/>
    <w:rsid w:val="00DB191A"/>
    <w:rsid w:val="00DB1E1D"/>
    <w:rsid w:val="00DB2BC1"/>
    <w:rsid w:val="00DB492F"/>
    <w:rsid w:val="00DB7965"/>
    <w:rsid w:val="00DB7C8C"/>
    <w:rsid w:val="00DC0A4F"/>
    <w:rsid w:val="00DC165D"/>
    <w:rsid w:val="00DC25BF"/>
    <w:rsid w:val="00DC402C"/>
    <w:rsid w:val="00DC4BF8"/>
    <w:rsid w:val="00DC72DC"/>
    <w:rsid w:val="00DD097B"/>
    <w:rsid w:val="00DD2F69"/>
    <w:rsid w:val="00DD2F89"/>
    <w:rsid w:val="00DD3661"/>
    <w:rsid w:val="00DD3F63"/>
    <w:rsid w:val="00DD4F0E"/>
    <w:rsid w:val="00DD7852"/>
    <w:rsid w:val="00DE1B89"/>
    <w:rsid w:val="00DE25AF"/>
    <w:rsid w:val="00DE2691"/>
    <w:rsid w:val="00DE56B6"/>
    <w:rsid w:val="00DF0BF0"/>
    <w:rsid w:val="00DF2552"/>
    <w:rsid w:val="00DF3CA2"/>
    <w:rsid w:val="00DF4885"/>
    <w:rsid w:val="00DF5AE4"/>
    <w:rsid w:val="00DF78CE"/>
    <w:rsid w:val="00E0047F"/>
    <w:rsid w:val="00E01463"/>
    <w:rsid w:val="00E02691"/>
    <w:rsid w:val="00E0329D"/>
    <w:rsid w:val="00E037F2"/>
    <w:rsid w:val="00E05E0A"/>
    <w:rsid w:val="00E060BE"/>
    <w:rsid w:val="00E068AB"/>
    <w:rsid w:val="00E07EE9"/>
    <w:rsid w:val="00E10A18"/>
    <w:rsid w:val="00E12344"/>
    <w:rsid w:val="00E13D5A"/>
    <w:rsid w:val="00E140B1"/>
    <w:rsid w:val="00E1644E"/>
    <w:rsid w:val="00E225CA"/>
    <w:rsid w:val="00E22C03"/>
    <w:rsid w:val="00E247EE"/>
    <w:rsid w:val="00E26A84"/>
    <w:rsid w:val="00E26A87"/>
    <w:rsid w:val="00E279F4"/>
    <w:rsid w:val="00E27B56"/>
    <w:rsid w:val="00E3050C"/>
    <w:rsid w:val="00E33486"/>
    <w:rsid w:val="00E34A0C"/>
    <w:rsid w:val="00E34FE3"/>
    <w:rsid w:val="00E36565"/>
    <w:rsid w:val="00E375FF"/>
    <w:rsid w:val="00E3761C"/>
    <w:rsid w:val="00E40432"/>
    <w:rsid w:val="00E40D05"/>
    <w:rsid w:val="00E414EB"/>
    <w:rsid w:val="00E433C4"/>
    <w:rsid w:val="00E43FDC"/>
    <w:rsid w:val="00E440BF"/>
    <w:rsid w:val="00E4518E"/>
    <w:rsid w:val="00E45D2E"/>
    <w:rsid w:val="00E46841"/>
    <w:rsid w:val="00E50BC2"/>
    <w:rsid w:val="00E534CF"/>
    <w:rsid w:val="00E62A63"/>
    <w:rsid w:val="00E6473C"/>
    <w:rsid w:val="00E70406"/>
    <w:rsid w:val="00E7077A"/>
    <w:rsid w:val="00E708AE"/>
    <w:rsid w:val="00E70E78"/>
    <w:rsid w:val="00E71485"/>
    <w:rsid w:val="00E7156C"/>
    <w:rsid w:val="00E727AB"/>
    <w:rsid w:val="00E72DBF"/>
    <w:rsid w:val="00E738B2"/>
    <w:rsid w:val="00E73EE9"/>
    <w:rsid w:val="00E7568B"/>
    <w:rsid w:val="00E767BB"/>
    <w:rsid w:val="00E806D2"/>
    <w:rsid w:val="00E80BEA"/>
    <w:rsid w:val="00E815B8"/>
    <w:rsid w:val="00E815EE"/>
    <w:rsid w:val="00E81CB4"/>
    <w:rsid w:val="00E81E0D"/>
    <w:rsid w:val="00E8238D"/>
    <w:rsid w:val="00E83DAF"/>
    <w:rsid w:val="00E84D0D"/>
    <w:rsid w:val="00E8585B"/>
    <w:rsid w:val="00E87F41"/>
    <w:rsid w:val="00E9172B"/>
    <w:rsid w:val="00E9401C"/>
    <w:rsid w:val="00E94D8B"/>
    <w:rsid w:val="00E96581"/>
    <w:rsid w:val="00E97FE5"/>
    <w:rsid w:val="00EA0765"/>
    <w:rsid w:val="00EA3376"/>
    <w:rsid w:val="00EA3F15"/>
    <w:rsid w:val="00EA52A2"/>
    <w:rsid w:val="00EA68B5"/>
    <w:rsid w:val="00EA7847"/>
    <w:rsid w:val="00EB1154"/>
    <w:rsid w:val="00EB1DDC"/>
    <w:rsid w:val="00EB2D5F"/>
    <w:rsid w:val="00EB2FF5"/>
    <w:rsid w:val="00EB33F5"/>
    <w:rsid w:val="00EB387F"/>
    <w:rsid w:val="00EB487F"/>
    <w:rsid w:val="00EB4C2F"/>
    <w:rsid w:val="00EB7BF8"/>
    <w:rsid w:val="00EB7F09"/>
    <w:rsid w:val="00EC0CFF"/>
    <w:rsid w:val="00EC2B82"/>
    <w:rsid w:val="00EC40C0"/>
    <w:rsid w:val="00EC5F85"/>
    <w:rsid w:val="00EC7DE1"/>
    <w:rsid w:val="00ED3075"/>
    <w:rsid w:val="00ED3B1E"/>
    <w:rsid w:val="00ED3C6A"/>
    <w:rsid w:val="00ED46CA"/>
    <w:rsid w:val="00ED5988"/>
    <w:rsid w:val="00ED5DB3"/>
    <w:rsid w:val="00ED5DC6"/>
    <w:rsid w:val="00ED76A8"/>
    <w:rsid w:val="00ED7DB1"/>
    <w:rsid w:val="00EE0289"/>
    <w:rsid w:val="00EE2DBA"/>
    <w:rsid w:val="00EE2E6E"/>
    <w:rsid w:val="00EE2ECF"/>
    <w:rsid w:val="00EE41DA"/>
    <w:rsid w:val="00EE4843"/>
    <w:rsid w:val="00EE722D"/>
    <w:rsid w:val="00EF09D7"/>
    <w:rsid w:val="00EF32DB"/>
    <w:rsid w:val="00EF410E"/>
    <w:rsid w:val="00EF5F59"/>
    <w:rsid w:val="00EF5FE4"/>
    <w:rsid w:val="00EF7499"/>
    <w:rsid w:val="00EF76E1"/>
    <w:rsid w:val="00F008D6"/>
    <w:rsid w:val="00F01077"/>
    <w:rsid w:val="00F018BC"/>
    <w:rsid w:val="00F05279"/>
    <w:rsid w:val="00F0571F"/>
    <w:rsid w:val="00F05D97"/>
    <w:rsid w:val="00F06E3D"/>
    <w:rsid w:val="00F0759E"/>
    <w:rsid w:val="00F07724"/>
    <w:rsid w:val="00F1010C"/>
    <w:rsid w:val="00F10176"/>
    <w:rsid w:val="00F10B2A"/>
    <w:rsid w:val="00F10CE2"/>
    <w:rsid w:val="00F112CC"/>
    <w:rsid w:val="00F12620"/>
    <w:rsid w:val="00F13C2A"/>
    <w:rsid w:val="00F16A43"/>
    <w:rsid w:val="00F17C21"/>
    <w:rsid w:val="00F208BC"/>
    <w:rsid w:val="00F21032"/>
    <w:rsid w:val="00F2218F"/>
    <w:rsid w:val="00F23E24"/>
    <w:rsid w:val="00F26423"/>
    <w:rsid w:val="00F2716D"/>
    <w:rsid w:val="00F271D0"/>
    <w:rsid w:val="00F36DF1"/>
    <w:rsid w:val="00F41420"/>
    <w:rsid w:val="00F42394"/>
    <w:rsid w:val="00F434F0"/>
    <w:rsid w:val="00F46780"/>
    <w:rsid w:val="00F46A88"/>
    <w:rsid w:val="00F50151"/>
    <w:rsid w:val="00F50BDF"/>
    <w:rsid w:val="00F512E7"/>
    <w:rsid w:val="00F53A8B"/>
    <w:rsid w:val="00F54BEC"/>
    <w:rsid w:val="00F55CE7"/>
    <w:rsid w:val="00F5672C"/>
    <w:rsid w:val="00F57967"/>
    <w:rsid w:val="00F60DB7"/>
    <w:rsid w:val="00F61E48"/>
    <w:rsid w:val="00F62981"/>
    <w:rsid w:val="00F71048"/>
    <w:rsid w:val="00F72E2E"/>
    <w:rsid w:val="00F74568"/>
    <w:rsid w:val="00F748EE"/>
    <w:rsid w:val="00F761CB"/>
    <w:rsid w:val="00F76254"/>
    <w:rsid w:val="00F77278"/>
    <w:rsid w:val="00F773A3"/>
    <w:rsid w:val="00F77D2D"/>
    <w:rsid w:val="00F802F1"/>
    <w:rsid w:val="00F81D52"/>
    <w:rsid w:val="00F81FFA"/>
    <w:rsid w:val="00F821A3"/>
    <w:rsid w:val="00F8368B"/>
    <w:rsid w:val="00F8530B"/>
    <w:rsid w:val="00F855DF"/>
    <w:rsid w:val="00F863EB"/>
    <w:rsid w:val="00F86C82"/>
    <w:rsid w:val="00F91220"/>
    <w:rsid w:val="00F92458"/>
    <w:rsid w:val="00F92AE0"/>
    <w:rsid w:val="00F9314A"/>
    <w:rsid w:val="00F933A8"/>
    <w:rsid w:val="00F93B4A"/>
    <w:rsid w:val="00F940B2"/>
    <w:rsid w:val="00F9480F"/>
    <w:rsid w:val="00F956EE"/>
    <w:rsid w:val="00F96F5E"/>
    <w:rsid w:val="00F9707D"/>
    <w:rsid w:val="00F97813"/>
    <w:rsid w:val="00F97CBB"/>
    <w:rsid w:val="00FA1E1C"/>
    <w:rsid w:val="00FA39F7"/>
    <w:rsid w:val="00FA4976"/>
    <w:rsid w:val="00FA6F6F"/>
    <w:rsid w:val="00FA749E"/>
    <w:rsid w:val="00FB0C51"/>
    <w:rsid w:val="00FB1109"/>
    <w:rsid w:val="00FB2117"/>
    <w:rsid w:val="00FB5BBA"/>
    <w:rsid w:val="00FB5DEE"/>
    <w:rsid w:val="00FC1BD4"/>
    <w:rsid w:val="00FC3318"/>
    <w:rsid w:val="00FC58EF"/>
    <w:rsid w:val="00FC594E"/>
    <w:rsid w:val="00FC63A6"/>
    <w:rsid w:val="00FC6530"/>
    <w:rsid w:val="00FC68F6"/>
    <w:rsid w:val="00FC73FF"/>
    <w:rsid w:val="00FD1083"/>
    <w:rsid w:val="00FD1465"/>
    <w:rsid w:val="00FD17D6"/>
    <w:rsid w:val="00FD1CA2"/>
    <w:rsid w:val="00FD2872"/>
    <w:rsid w:val="00FD2CA2"/>
    <w:rsid w:val="00FD308D"/>
    <w:rsid w:val="00FD31B3"/>
    <w:rsid w:val="00FD33DF"/>
    <w:rsid w:val="00FD43DC"/>
    <w:rsid w:val="00FD449E"/>
    <w:rsid w:val="00FD4CE4"/>
    <w:rsid w:val="00FE0E01"/>
    <w:rsid w:val="00FE10D0"/>
    <w:rsid w:val="00FE2C1B"/>
    <w:rsid w:val="00FE39D7"/>
    <w:rsid w:val="00FE3D51"/>
    <w:rsid w:val="00FE4C31"/>
    <w:rsid w:val="00FF1669"/>
    <w:rsid w:val="00FF40EB"/>
    <w:rsid w:val="00FF5219"/>
    <w:rsid w:val="00FF700B"/>
    <w:rsid w:val="00FF79D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75E55A"/>
  <w15:chartTrackingRefBased/>
  <w15:docId w15:val="{7F5651DE-5007-461C-940E-7100E561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67"/>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B73C7"/>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8A592D"/>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notapie">
    <w:name w:val="footnote text"/>
    <w:aliases w:val="fn,footnote text"/>
    <w:basedOn w:val="Normal"/>
    <w:link w:val="TextonotapieCar"/>
    <w:rsid w:val="008B73C7"/>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rsid w:val="008B73C7"/>
    <w:rPr>
      <w:rFonts w:ascii="Arial" w:hAnsi="Arial"/>
      <w:lang w:val="es-ES_tradnl" w:eastAsia="x-none"/>
    </w:rPr>
  </w:style>
  <w:style w:type="paragraph" w:customStyle="1" w:styleId="Textodenotaalfinal">
    <w:name w:val="Texto de nota al final"/>
    <w:basedOn w:val="Normal"/>
    <w:rsid w:val="008B73C7"/>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8B73C7"/>
    <w:pPr>
      <w:numPr>
        <w:ilvl w:val="1"/>
        <w:numId w:val="2"/>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8B73C7"/>
    <w:pPr>
      <w:numPr>
        <w:ilvl w:val="2"/>
        <w:numId w:val="2"/>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8B73C7"/>
    <w:rPr>
      <w:rFonts w:ascii="Bookman Old Style" w:hAnsi="Bookman Old Style"/>
      <w:b/>
      <w:bCs/>
      <w:sz w:val="24"/>
      <w:szCs w:val="24"/>
      <w:lang w:val="es-ES" w:eastAsia="es-ES"/>
    </w:rPr>
  </w:style>
  <w:style w:type="paragraph" w:customStyle="1" w:styleId="Ttuloprincipal">
    <w:name w:val="Título principal"/>
    <w:basedOn w:val="Ttulo1"/>
    <w:qFormat/>
    <w:rsid w:val="008B73C7"/>
    <w:pPr>
      <w:numPr>
        <w:numId w:val="2"/>
      </w:numPr>
      <w:spacing w:before="360" w:after="480"/>
      <w:jc w:val="both"/>
    </w:pPr>
    <w:rPr>
      <w:rFonts w:ascii="Bookman Old Style" w:hAnsi="Bookman Old Style"/>
      <w:szCs w:val="24"/>
    </w:rPr>
  </w:style>
  <w:style w:type="character" w:customStyle="1" w:styleId="SubttuloNivel2Car">
    <w:name w:val="Subtítulo Nivel 2 Car"/>
    <w:link w:val="SubttuloNivel2"/>
    <w:rsid w:val="008B73C7"/>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8B73C7"/>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8B73C7"/>
    <w:pPr>
      <w:numPr>
        <w:ilvl w:val="3"/>
        <w:numId w:val="2"/>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8B73C7"/>
    <w:rPr>
      <w:rFonts w:ascii="Bookman Old Style" w:hAnsi="Bookman Old Style"/>
      <w:spacing w:val="-3"/>
      <w:sz w:val="24"/>
      <w:szCs w:val="24"/>
      <w:lang w:val="es-ES" w:eastAsia="es-ES"/>
    </w:rPr>
  </w:style>
  <w:style w:type="character" w:customStyle="1" w:styleId="Ttulo2Car">
    <w:name w:val="Título 2 Car"/>
    <w:link w:val="Ttulo2"/>
    <w:uiPriority w:val="9"/>
    <w:semiHidden/>
    <w:rsid w:val="008B73C7"/>
    <w:rPr>
      <w:rFonts w:ascii="Cambria" w:eastAsia="Times New Roman" w:hAnsi="Cambria" w:cs="Times New Roman"/>
      <w:b/>
      <w:bCs/>
      <w:i/>
      <w:iCs/>
      <w:sz w:val="28"/>
      <w:szCs w:val="28"/>
      <w:lang w:val="es-ES" w:eastAsia="es-ES"/>
    </w:rPr>
  </w:style>
  <w:style w:type="character" w:customStyle="1" w:styleId="spelle">
    <w:name w:val="spelle"/>
    <w:rsid w:val="007E31BF"/>
  </w:style>
  <w:style w:type="paragraph" w:customStyle="1" w:styleId="pa23">
    <w:name w:val="pa23"/>
    <w:basedOn w:val="Normal"/>
    <w:rsid w:val="00F07724"/>
    <w:pPr>
      <w:spacing w:before="100" w:beforeAutospacing="1" w:after="100" w:afterAutospacing="1"/>
      <w:ind w:left="0"/>
    </w:pPr>
    <w:rPr>
      <w:lang w:val="es-CO" w:eastAsia="es-CO"/>
    </w:rPr>
  </w:style>
  <w:style w:type="character" w:customStyle="1" w:styleId="a11">
    <w:name w:val="a11"/>
    <w:rsid w:val="00F07724"/>
  </w:style>
  <w:style w:type="paragraph" w:customStyle="1" w:styleId="pa36">
    <w:name w:val="pa36"/>
    <w:basedOn w:val="Normal"/>
    <w:rsid w:val="00F07724"/>
    <w:pPr>
      <w:spacing w:before="100" w:beforeAutospacing="1" w:after="100" w:afterAutospacing="1"/>
      <w:ind w:left="0"/>
    </w:pPr>
    <w:rPr>
      <w:lang w:val="es-CO" w:eastAsia="es-CO"/>
    </w:rPr>
  </w:style>
  <w:style w:type="character" w:styleId="Refdecomentario">
    <w:name w:val="annotation reference"/>
    <w:unhideWhenUsed/>
    <w:rsid w:val="00691D63"/>
    <w:rPr>
      <w:sz w:val="16"/>
      <w:szCs w:val="16"/>
    </w:rPr>
  </w:style>
  <w:style w:type="paragraph" w:styleId="Textocomentario">
    <w:name w:val="annotation text"/>
    <w:basedOn w:val="Normal"/>
    <w:link w:val="TextocomentarioCar"/>
    <w:unhideWhenUsed/>
    <w:rsid w:val="00691D63"/>
    <w:rPr>
      <w:sz w:val="20"/>
      <w:szCs w:val="20"/>
    </w:rPr>
  </w:style>
  <w:style w:type="character" w:customStyle="1" w:styleId="TextocomentarioCar">
    <w:name w:val="Texto comentario Car"/>
    <w:link w:val="Textocomentario"/>
    <w:rsid w:val="00691D63"/>
    <w:rPr>
      <w:lang w:val="es-ES" w:eastAsia="es-ES"/>
    </w:rPr>
  </w:style>
  <w:style w:type="paragraph" w:styleId="Asuntodelcomentario">
    <w:name w:val="annotation subject"/>
    <w:basedOn w:val="Textocomentario"/>
    <w:next w:val="Textocomentario"/>
    <w:link w:val="AsuntodelcomentarioCar"/>
    <w:uiPriority w:val="99"/>
    <w:semiHidden/>
    <w:unhideWhenUsed/>
    <w:rsid w:val="00691D63"/>
    <w:rPr>
      <w:b/>
      <w:bCs/>
    </w:rPr>
  </w:style>
  <w:style w:type="character" w:customStyle="1" w:styleId="AsuntodelcomentarioCar">
    <w:name w:val="Asunto del comentario Car"/>
    <w:link w:val="Asuntodelcomentario"/>
    <w:uiPriority w:val="99"/>
    <w:semiHidden/>
    <w:rsid w:val="00691D63"/>
    <w:rPr>
      <w:b/>
      <w:bCs/>
      <w:lang w:val="es-ES" w:eastAsia="es-ES"/>
    </w:rPr>
  </w:style>
  <w:style w:type="paragraph" w:styleId="Revisin">
    <w:name w:val="Revision"/>
    <w:hidden/>
    <w:uiPriority w:val="99"/>
    <w:semiHidden/>
    <w:rsid w:val="005C6F0B"/>
    <w:rPr>
      <w:sz w:val="24"/>
      <w:szCs w:val="24"/>
      <w:lang w:val="es-ES" w:eastAsia="es-ES"/>
    </w:rPr>
  </w:style>
  <w:style w:type="paragraph" w:customStyle="1" w:styleId="Default">
    <w:name w:val="Default"/>
    <w:rsid w:val="002367B2"/>
    <w:pPr>
      <w:autoSpaceDE w:val="0"/>
      <w:autoSpaceDN w:val="0"/>
      <w:adjustRightInd w:val="0"/>
    </w:pPr>
    <w:rPr>
      <w:rFonts w:ascii="Verdana" w:eastAsia="Calibri" w:hAnsi="Verdana" w:cs="Verdana"/>
      <w:color w:val="000000"/>
      <w:sz w:val="24"/>
      <w:szCs w:val="24"/>
      <w:lang w:eastAsia="en-US"/>
    </w:rPr>
  </w:style>
  <w:style w:type="paragraph" w:customStyle="1" w:styleId="ARTICULOS">
    <w:name w:val="ARTICULOS"/>
    <w:basedOn w:val="Normal"/>
    <w:link w:val="ARTICULOSCar"/>
    <w:qFormat/>
    <w:rsid w:val="00E94D8B"/>
    <w:pPr>
      <w:widowControl w:val="0"/>
      <w:numPr>
        <w:numId w:val="3"/>
      </w:numPr>
      <w:tabs>
        <w:tab w:val="left" w:pos="1559"/>
      </w:tabs>
      <w:adjustRightInd w:val="0"/>
      <w:ind w:left="0" w:firstLine="0"/>
      <w:jc w:val="both"/>
      <w:textAlignment w:val="baseline"/>
    </w:pPr>
    <w:rPr>
      <w:rFonts w:ascii="Bookman Old Style" w:hAnsi="Bookman Old Style"/>
      <w:bCs/>
      <w:lang w:val="x-none" w:eastAsia="x-none"/>
    </w:rPr>
  </w:style>
  <w:style w:type="character" w:customStyle="1" w:styleId="ARTICULOSCar">
    <w:name w:val="ARTICULOS Car"/>
    <w:link w:val="ARTICULOS"/>
    <w:rsid w:val="00E94D8B"/>
    <w:rPr>
      <w:rFonts w:ascii="Bookman Old Style" w:hAnsi="Bookman Old Style"/>
      <w:bCs/>
      <w:sz w:val="24"/>
      <w:szCs w:val="24"/>
      <w:lang w:val="x-none" w:eastAsia="x-none"/>
    </w:rPr>
  </w:style>
  <w:style w:type="paragraph" w:styleId="Textosinformato">
    <w:name w:val="Plain Text"/>
    <w:basedOn w:val="Normal"/>
    <w:link w:val="TextosinformatoCar"/>
    <w:rsid w:val="00481B80"/>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481B80"/>
    <w:rPr>
      <w:rFonts w:ascii="Courier New" w:hAnsi="Courier New" w:cs="Courier New"/>
      <w:lang w:val="es-ES" w:eastAsia="es-ES"/>
    </w:rPr>
  </w:style>
  <w:style w:type="paragraph" w:styleId="NormalWeb">
    <w:name w:val="Normal (Web)"/>
    <w:basedOn w:val="Normal"/>
    <w:uiPriority w:val="99"/>
    <w:semiHidden/>
    <w:unhideWhenUsed/>
    <w:rsid w:val="00C64825"/>
    <w:pPr>
      <w:spacing w:before="100" w:beforeAutospacing="1" w:after="100" w:afterAutospacing="1"/>
      <w:ind w:left="0"/>
    </w:pPr>
    <w:rPr>
      <w:lang w:val="es-CO" w:eastAsia="es-CO"/>
    </w:rPr>
  </w:style>
  <w:style w:type="character" w:styleId="Hipervnculo">
    <w:name w:val="Hyperlink"/>
    <w:uiPriority w:val="99"/>
    <w:unhideWhenUsed/>
    <w:rsid w:val="00A04B41"/>
    <w:rPr>
      <w:color w:val="0563C1"/>
      <w:u w:val="single"/>
    </w:rPr>
  </w:style>
  <w:style w:type="character" w:styleId="Mencinsinresolver">
    <w:name w:val="Unresolved Mention"/>
    <w:uiPriority w:val="99"/>
    <w:semiHidden/>
    <w:unhideWhenUsed/>
    <w:rsid w:val="00A04B41"/>
    <w:rPr>
      <w:color w:val="605E5C"/>
      <w:shd w:val="clear" w:color="auto" w:fill="E1DFDD"/>
    </w:rPr>
  </w:style>
  <w:style w:type="paragraph" w:customStyle="1" w:styleId="Estilo8">
    <w:name w:val="Estilo8"/>
    <w:basedOn w:val="Normal"/>
    <w:qFormat/>
    <w:rsid w:val="0044368D"/>
    <w:pPr>
      <w:ind w:left="0"/>
    </w:pPr>
    <w:rPr>
      <w:rFonts w:ascii="Arial" w:hAnsi="Arial" w:cs="Arial"/>
      <w:sz w:val="22"/>
      <w:szCs w:val="22"/>
      <w:lang w:val="es-ES_tradnl" w:eastAsia="es-CO"/>
    </w:rPr>
  </w:style>
  <w:style w:type="character" w:customStyle="1" w:styleId="Estilo1Car">
    <w:name w:val="Estilo1 Car"/>
    <w:link w:val="Estilo1"/>
    <w:locked/>
    <w:rsid w:val="00CE76AE"/>
    <w:rPr>
      <w:rFonts w:ascii="Comic Sans MS" w:hAnsi="Comic Sans M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Textodelmarcadordeposicin">
    <w:name w:val="Placeholder Text"/>
    <w:basedOn w:val="Fuentedeprrafopredeter"/>
    <w:uiPriority w:val="99"/>
    <w:semiHidden/>
    <w:rsid w:val="00391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351">
      <w:bodyDiv w:val="1"/>
      <w:marLeft w:val="0"/>
      <w:marRight w:val="0"/>
      <w:marTop w:val="0"/>
      <w:marBottom w:val="0"/>
      <w:divBdr>
        <w:top w:val="none" w:sz="0" w:space="0" w:color="auto"/>
        <w:left w:val="none" w:sz="0" w:space="0" w:color="auto"/>
        <w:bottom w:val="none" w:sz="0" w:space="0" w:color="auto"/>
        <w:right w:val="none" w:sz="0" w:space="0" w:color="auto"/>
      </w:divBdr>
    </w:div>
    <w:div w:id="79452989">
      <w:bodyDiv w:val="1"/>
      <w:marLeft w:val="0"/>
      <w:marRight w:val="0"/>
      <w:marTop w:val="0"/>
      <w:marBottom w:val="0"/>
      <w:divBdr>
        <w:top w:val="none" w:sz="0" w:space="0" w:color="auto"/>
        <w:left w:val="none" w:sz="0" w:space="0" w:color="auto"/>
        <w:bottom w:val="none" w:sz="0" w:space="0" w:color="auto"/>
        <w:right w:val="none" w:sz="0" w:space="0" w:color="auto"/>
      </w:divBdr>
    </w:div>
    <w:div w:id="542132822">
      <w:bodyDiv w:val="1"/>
      <w:marLeft w:val="0"/>
      <w:marRight w:val="0"/>
      <w:marTop w:val="0"/>
      <w:marBottom w:val="0"/>
      <w:divBdr>
        <w:top w:val="none" w:sz="0" w:space="0" w:color="auto"/>
        <w:left w:val="none" w:sz="0" w:space="0" w:color="auto"/>
        <w:bottom w:val="none" w:sz="0" w:space="0" w:color="auto"/>
        <w:right w:val="none" w:sz="0" w:space="0" w:color="auto"/>
      </w:divBdr>
    </w:div>
    <w:div w:id="657926556">
      <w:bodyDiv w:val="1"/>
      <w:marLeft w:val="0"/>
      <w:marRight w:val="0"/>
      <w:marTop w:val="0"/>
      <w:marBottom w:val="0"/>
      <w:divBdr>
        <w:top w:val="none" w:sz="0" w:space="0" w:color="auto"/>
        <w:left w:val="none" w:sz="0" w:space="0" w:color="auto"/>
        <w:bottom w:val="none" w:sz="0" w:space="0" w:color="auto"/>
        <w:right w:val="none" w:sz="0" w:space="0" w:color="auto"/>
      </w:divBdr>
    </w:div>
    <w:div w:id="687483545">
      <w:bodyDiv w:val="1"/>
      <w:marLeft w:val="0"/>
      <w:marRight w:val="0"/>
      <w:marTop w:val="0"/>
      <w:marBottom w:val="0"/>
      <w:divBdr>
        <w:top w:val="none" w:sz="0" w:space="0" w:color="auto"/>
        <w:left w:val="none" w:sz="0" w:space="0" w:color="auto"/>
        <w:bottom w:val="none" w:sz="0" w:space="0" w:color="auto"/>
        <w:right w:val="none" w:sz="0" w:space="0" w:color="auto"/>
      </w:divBdr>
    </w:div>
    <w:div w:id="929124225">
      <w:bodyDiv w:val="1"/>
      <w:marLeft w:val="0"/>
      <w:marRight w:val="0"/>
      <w:marTop w:val="0"/>
      <w:marBottom w:val="0"/>
      <w:divBdr>
        <w:top w:val="none" w:sz="0" w:space="0" w:color="auto"/>
        <w:left w:val="none" w:sz="0" w:space="0" w:color="auto"/>
        <w:bottom w:val="none" w:sz="0" w:space="0" w:color="auto"/>
        <w:right w:val="none" w:sz="0" w:space="0" w:color="auto"/>
      </w:divBdr>
    </w:div>
    <w:div w:id="1028726469">
      <w:bodyDiv w:val="1"/>
      <w:marLeft w:val="0"/>
      <w:marRight w:val="0"/>
      <w:marTop w:val="0"/>
      <w:marBottom w:val="0"/>
      <w:divBdr>
        <w:top w:val="none" w:sz="0" w:space="0" w:color="auto"/>
        <w:left w:val="none" w:sz="0" w:space="0" w:color="auto"/>
        <w:bottom w:val="none" w:sz="0" w:space="0" w:color="auto"/>
        <w:right w:val="none" w:sz="0" w:space="0" w:color="auto"/>
      </w:divBdr>
    </w:div>
    <w:div w:id="1162890864">
      <w:bodyDiv w:val="1"/>
      <w:marLeft w:val="0"/>
      <w:marRight w:val="0"/>
      <w:marTop w:val="0"/>
      <w:marBottom w:val="0"/>
      <w:divBdr>
        <w:top w:val="none" w:sz="0" w:space="0" w:color="auto"/>
        <w:left w:val="none" w:sz="0" w:space="0" w:color="auto"/>
        <w:bottom w:val="none" w:sz="0" w:space="0" w:color="auto"/>
        <w:right w:val="none" w:sz="0" w:space="0" w:color="auto"/>
      </w:divBdr>
    </w:div>
    <w:div w:id="1364937186">
      <w:bodyDiv w:val="1"/>
      <w:marLeft w:val="0"/>
      <w:marRight w:val="0"/>
      <w:marTop w:val="0"/>
      <w:marBottom w:val="0"/>
      <w:divBdr>
        <w:top w:val="none" w:sz="0" w:space="0" w:color="auto"/>
        <w:left w:val="none" w:sz="0" w:space="0" w:color="auto"/>
        <w:bottom w:val="none" w:sz="0" w:space="0" w:color="auto"/>
        <w:right w:val="none" w:sz="0" w:space="0" w:color="auto"/>
      </w:divBdr>
    </w:div>
    <w:div w:id="1371801060">
      <w:bodyDiv w:val="1"/>
      <w:marLeft w:val="0"/>
      <w:marRight w:val="0"/>
      <w:marTop w:val="0"/>
      <w:marBottom w:val="0"/>
      <w:divBdr>
        <w:top w:val="none" w:sz="0" w:space="0" w:color="auto"/>
        <w:left w:val="none" w:sz="0" w:space="0" w:color="auto"/>
        <w:bottom w:val="none" w:sz="0" w:space="0" w:color="auto"/>
        <w:right w:val="none" w:sz="0" w:space="0" w:color="auto"/>
      </w:divBdr>
    </w:div>
    <w:div w:id="1389646037">
      <w:bodyDiv w:val="1"/>
      <w:marLeft w:val="0"/>
      <w:marRight w:val="0"/>
      <w:marTop w:val="0"/>
      <w:marBottom w:val="0"/>
      <w:divBdr>
        <w:top w:val="none" w:sz="0" w:space="0" w:color="auto"/>
        <w:left w:val="none" w:sz="0" w:space="0" w:color="auto"/>
        <w:bottom w:val="none" w:sz="0" w:space="0" w:color="auto"/>
        <w:right w:val="none" w:sz="0" w:space="0" w:color="auto"/>
      </w:divBdr>
    </w:div>
    <w:div w:id="1630475957">
      <w:bodyDiv w:val="1"/>
      <w:marLeft w:val="0"/>
      <w:marRight w:val="0"/>
      <w:marTop w:val="0"/>
      <w:marBottom w:val="0"/>
      <w:divBdr>
        <w:top w:val="none" w:sz="0" w:space="0" w:color="auto"/>
        <w:left w:val="none" w:sz="0" w:space="0" w:color="auto"/>
        <w:bottom w:val="none" w:sz="0" w:space="0" w:color="auto"/>
        <w:right w:val="none" w:sz="0" w:space="0" w:color="auto"/>
      </w:divBdr>
    </w:div>
    <w:div w:id="17154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4" ma:contentTypeDescription="Crear nuevo documento." ma:contentTypeScope="" ma:versionID="f017fea0e306b011e6a42d55246f1a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87d36996382e533e9b789e51c65b0ef5"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23A32-F158-448A-ADDB-6490406DADAB}">
  <ds:schemaRefs>
    <ds:schemaRef ds:uri="http://schemas.microsoft.com/sharepoint/v3/contenttype/forms"/>
  </ds:schemaRefs>
</ds:datastoreItem>
</file>

<file path=customXml/itemProps2.xml><?xml version="1.0" encoding="utf-8"?>
<ds:datastoreItem xmlns:ds="http://schemas.openxmlformats.org/officeDocument/2006/customXml" ds:itemID="{E76824BF-2735-4E01-B87E-2AAB7E0E9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2FA90-C4BF-4555-84D2-06090819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8C4D-EA8C-4F69-ACE3-F91A68D4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5739</Words>
  <Characters>31565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2021-09-06T20:50:00Z</cp:lastPrinted>
  <dcterms:created xsi:type="dcterms:W3CDTF">2021-09-11T00:20:00Z</dcterms:created>
  <dcterms:modified xsi:type="dcterms:W3CDTF">2021-09-11T00:20:00Z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