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34" w:rsidRDefault="0067673C" w:rsidP="00C07899">
      <w:pPr>
        <w:pStyle w:val="Ttulo4"/>
        <w:tabs>
          <w:tab w:val="left" w:pos="0"/>
          <w:tab w:val="right" w:pos="9356"/>
        </w:tabs>
        <w:ind w:left="0"/>
        <w:contextualSpacing/>
        <w:rPr>
          <w:rFonts w:ascii="Bookman Old Style" w:hAnsi="Bookman Old Style"/>
          <w:b w:val="0"/>
          <w:bCs/>
          <w:sz w:val="24"/>
          <w:szCs w:val="24"/>
        </w:rPr>
      </w:pPr>
      <w:bookmarkStart w:id="0" w:name="_GoBack"/>
      <w:bookmarkEnd w:id="0"/>
      <w:r>
        <w:rPr>
          <w:rFonts w:ascii="Bookman Old Style" w:hAnsi="Bookman Old Style"/>
          <w:b w:val="0"/>
          <w:bCs/>
          <w:noProof/>
          <w:snapToGrid/>
          <w:sz w:val="24"/>
          <w:szCs w:val="24"/>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9" o:title=""/>
          </v:shape>
          <o:OLEObject Type="Embed" ProgID="PBrush" ShapeID="_x0000_s1026" DrawAspect="Content" ObjectID="_1525244327" r:id="rId10"/>
        </w:pict>
      </w:r>
      <w:r w:rsidR="004C4C34" w:rsidRPr="00C07899">
        <w:rPr>
          <w:rFonts w:ascii="Bookman Old Style" w:hAnsi="Bookman Old Style"/>
          <w:b w:val="0"/>
          <w:bCs/>
          <w:sz w:val="24"/>
          <w:szCs w:val="24"/>
        </w:rPr>
        <w:t>Ministerio de Minas y Energía</w:t>
      </w:r>
    </w:p>
    <w:p w:rsidR="00BB73A6" w:rsidRPr="00BB73A6" w:rsidRDefault="00BB73A6" w:rsidP="00BB73A6">
      <w:pPr>
        <w:rPr>
          <w:lang w:val="es-ES_tradnl"/>
        </w:rPr>
      </w:pPr>
    </w:p>
    <w:p w:rsidR="004C4C34" w:rsidRPr="00C07899" w:rsidRDefault="004C4C34" w:rsidP="00C07899">
      <w:pPr>
        <w:pStyle w:val="Ttulo4"/>
        <w:tabs>
          <w:tab w:val="left" w:pos="0"/>
          <w:tab w:val="right" w:pos="9356"/>
        </w:tabs>
        <w:ind w:left="0"/>
        <w:contextualSpacing/>
        <w:rPr>
          <w:rFonts w:ascii="Bookman Old Style" w:hAnsi="Bookman Old Style"/>
          <w:b w:val="0"/>
          <w:bCs/>
          <w:sz w:val="24"/>
          <w:szCs w:val="24"/>
        </w:rPr>
      </w:pPr>
    </w:p>
    <w:p w:rsidR="004C4C34" w:rsidRPr="00C07899" w:rsidRDefault="004C4C34" w:rsidP="00C07899">
      <w:pPr>
        <w:pStyle w:val="Ttulo3"/>
        <w:tabs>
          <w:tab w:val="left" w:pos="0"/>
          <w:tab w:val="right" w:pos="9356"/>
        </w:tabs>
        <w:ind w:left="0"/>
        <w:contextualSpacing/>
        <w:rPr>
          <w:rFonts w:ascii="Bookman Old Style" w:hAnsi="Bookman Old Style" w:cs="Arial"/>
          <w:spacing w:val="20"/>
          <w:szCs w:val="24"/>
        </w:rPr>
      </w:pPr>
      <w:r w:rsidRPr="00C07899">
        <w:rPr>
          <w:rFonts w:ascii="Bookman Old Style" w:hAnsi="Bookman Old Style" w:cs="Arial"/>
          <w:spacing w:val="20"/>
          <w:szCs w:val="24"/>
        </w:rPr>
        <w:t>COMISIÓN DE REGULACIÓN DE ENERGÍA Y GAS</w:t>
      </w:r>
    </w:p>
    <w:p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rsidR="004C4C34" w:rsidRPr="00C07899" w:rsidRDefault="004C4C34" w:rsidP="00C07899">
      <w:pPr>
        <w:pStyle w:val="Ttulo5"/>
        <w:tabs>
          <w:tab w:val="left" w:pos="0"/>
          <w:tab w:val="right" w:pos="9356"/>
        </w:tabs>
        <w:ind w:left="0"/>
        <w:contextualSpacing/>
        <w:rPr>
          <w:rFonts w:ascii="Bookman Old Style" w:hAnsi="Bookman Old Style"/>
          <w:sz w:val="24"/>
          <w:szCs w:val="24"/>
        </w:rPr>
      </w:pPr>
      <w:r w:rsidRPr="00C07899">
        <w:rPr>
          <w:rFonts w:ascii="Bookman Old Style" w:hAnsi="Bookman Old Style"/>
          <w:sz w:val="24"/>
          <w:szCs w:val="24"/>
        </w:rPr>
        <w:t>RESOLUCI</w:t>
      </w:r>
      <w:r w:rsidR="00323F4B" w:rsidRPr="00C07899">
        <w:rPr>
          <w:rFonts w:ascii="Bookman Old Style" w:hAnsi="Bookman Old Style"/>
          <w:sz w:val="24"/>
          <w:szCs w:val="24"/>
        </w:rPr>
        <w:t>ÓN No.                   DE 2016</w:t>
      </w:r>
    </w:p>
    <w:p w:rsidR="004C4C34" w:rsidRPr="00C07899"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rsidR="004C4C34" w:rsidRPr="00C07899" w:rsidRDefault="004C4C34" w:rsidP="00C07899">
      <w:pPr>
        <w:pStyle w:val="Ttulo3"/>
        <w:tabs>
          <w:tab w:val="left" w:pos="0"/>
          <w:tab w:val="right" w:pos="9356"/>
        </w:tabs>
        <w:ind w:left="0"/>
        <w:contextualSpacing/>
        <w:rPr>
          <w:rFonts w:ascii="Bookman Old Style" w:hAnsi="Bookman Old Style"/>
          <w:b w:val="0"/>
          <w:szCs w:val="24"/>
        </w:rPr>
      </w:pPr>
      <w:r w:rsidRPr="00C07899">
        <w:rPr>
          <w:rFonts w:ascii="Bookman Old Style" w:hAnsi="Bookman Old Style"/>
          <w:b w:val="0"/>
          <w:szCs w:val="24"/>
        </w:rPr>
        <w:t>(                                  )</w:t>
      </w:r>
    </w:p>
    <w:p w:rsidR="004C4C34" w:rsidRDefault="004C4C34" w:rsidP="00C07899">
      <w:pPr>
        <w:tabs>
          <w:tab w:val="left" w:pos="0"/>
          <w:tab w:val="right" w:pos="9356"/>
        </w:tabs>
        <w:ind w:left="0"/>
        <w:contextualSpacing/>
        <w:jc w:val="center"/>
        <w:rPr>
          <w:rFonts w:ascii="Bookman Old Style" w:hAnsi="Bookman Old Style"/>
          <w:lang w:val="es-ES_tradnl"/>
        </w:rPr>
      </w:pPr>
    </w:p>
    <w:p w:rsidR="00741008" w:rsidRPr="00C07899" w:rsidRDefault="00741008" w:rsidP="005E49A4">
      <w:pPr>
        <w:tabs>
          <w:tab w:val="left" w:pos="0"/>
          <w:tab w:val="right" w:pos="9356"/>
        </w:tabs>
        <w:ind w:left="0"/>
        <w:contextualSpacing/>
        <w:rPr>
          <w:rFonts w:ascii="Bookman Old Style" w:hAnsi="Bookman Old Style"/>
          <w:lang w:val="es-ES_tradnl"/>
        </w:rPr>
      </w:pPr>
    </w:p>
    <w:p w:rsidR="00E10B3E" w:rsidRPr="00E10B3E" w:rsidRDefault="00A640EA" w:rsidP="00E10B3E">
      <w:pPr>
        <w:ind w:left="0"/>
        <w:jc w:val="center"/>
        <w:rPr>
          <w:rFonts w:ascii="Bookman Old Style" w:hAnsi="Bookman Old Style" w:cs="Arial"/>
          <w:color w:val="000000"/>
        </w:rPr>
      </w:pPr>
      <w:r w:rsidRPr="00A640EA">
        <w:rPr>
          <w:rFonts w:ascii="Bookman Old Style" w:hAnsi="Bookman Old Style" w:cs="Arial"/>
          <w:color w:val="000000"/>
        </w:rPr>
        <w:t>Por la cual se adoptan medidas regulatorias como parte de la actualización del balance oferta demanda del gas licuado de petróleo para las fuentes con precio regulado</w:t>
      </w:r>
    </w:p>
    <w:p w:rsidR="00E10B3E" w:rsidRPr="00E10B3E" w:rsidRDefault="00E10B3E" w:rsidP="00E10B3E">
      <w:pPr>
        <w:widowControl w:val="0"/>
        <w:suppressAutoHyphens/>
        <w:ind w:left="0"/>
        <w:jc w:val="center"/>
        <w:rPr>
          <w:rFonts w:ascii="Bookman Old Style" w:hAnsi="Bookman Old Style" w:cs="Arial"/>
          <w:spacing w:val="-3"/>
        </w:rPr>
      </w:pPr>
    </w:p>
    <w:p w:rsidR="00E10B3E" w:rsidRPr="00E10B3E" w:rsidRDefault="00E10B3E" w:rsidP="00E10B3E">
      <w:pPr>
        <w:widowControl w:val="0"/>
        <w:ind w:left="0"/>
        <w:rPr>
          <w:rFonts w:ascii="Bookman Old Style" w:hAnsi="Bookman Old Style"/>
        </w:rPr>
      </w:pPr>
    </w:p>
    <w:p w:rsidR="00E10B3E" w:rsidRPr="00E10B3E" w:rsidRDefault="00E10B3E" w:rsidP="00E10B3E">
      <w:pPr>
        <w:widowControl w:val="0"/>
        <w:ind w:left="0"/>
        <w:jc w:val="center"/>
        <w:rPr>
          <w:rFonts w:ascii="Bookman Old Style" w:hAnsi="Bookman Old Style"/>
          <w:b/>
        </w:rPr>
      </w:pPr>
      <w:r w:rsidRPr="00E10B3E">
        <w:rPr>
          <w:rFonts w:ascii="Bookman Old Style" w:hAnsi="Bookman Old Style"/>
          <w:b/>
        </w:rPr>
        <w:t>LA COMISIÓN DE REGULACIÓN DE  ENERGÍA Y GAS</w:t>
      </w:r>
    </w:p>
    <w:p w:rsidR="00E10B3E" w:rsidRPr="00E10B3E" w:rsidRDefault="00E10B3E" w:rsidP="00E10B3E">
      <w:pPr>
        <w:widowControl w:val="0"/>
        <w:ind w:left="0"/>
        <w:rPr>
          <w:rFonts w:ascii="Bookman Old Style" w:hAnsi="Bookman Old Style"/>
        </w:rPr>
      </w:pPr>
    </w:p>
    <w:p w:rsidR="00E10B3E" w:rsidRPr="00E10B3E" w:rsidRDefault="00E10B3E" w:rsidP="00E10B3E">
      <w:pPr>
        <w:widowControl w:val="0"/>
        <w:ind w:left="0"/>
        <w:rPr>
          <w:rFonts w:ascii="Bookman Old Style" w:hAnsi="Bookman Old Style"/>
        </w:rPr>
      </w:pPr>
    </w:p>
    <w:p w:rsidR="00E10B3E" w:rsidRPr="00E10B3E" w:rsidRDefault="00E10B3E" w:rsidP="00E10B3E">
      <w:pPr>
        <w:widowControl w:val="0"/>
        <w:ind w:left="0"/>
        <w:jc w:val="center"/>
        <w:rPr>
          <w:rFonts w:ascii="Bookman Old Style" w:hAnsi="Bookman Old Style" w:cs="Arial"/>
          <w:bCs/>
          <w:spacing w:val="-3"/>
          <w:lang w:val="es-CO"/>
        </w:rPr>
      </w:pPr>
      <w:r w:rsidRPr="00E10B3E">
        <w:rPr>
          <w:rFonts w:ascii="Bookman Old Style" w:hAnsi="Bookman Old Style" w:cs="Arial"/>
          <w:bCs/>
          <w:spacing w:val="-3"/>
        </w:rPr>
        <w:t xml:space="preserve">En ejercicio de sus atribuciones legales, en especial las conferidas por las </w:t>
      </w:r>
      <w:r w:rsidRPr="00E10B3E">
        <w:rPr>
          <w:rFonts w:ascii="Bookman Old Style" w:hAnsi="Bookman Old Style" w:cs="Arial"/>
          <w:bCs/>
          <w:spacing w:val="-3"/>
          <w:lang w:val="es-CO"/>
        </w:rPr>
        <w:t>l</w:t>
      </w:r>
      <w:r w:rsidRPr="00E10B3E">
        <w:rPr>
          <w:rFonts w:ascii="Bookman Old Style" w:hAnsi="Bookman Old Style" w:cs="Arial"/>
          <w:bCs/>
          <w:spacing w:val="-3"/>
        </w:rPr>
        <w:t>eyes 142, 143 de 1994, y en desarrollo de los Decretos 1524</w:t>
      </w:r>
      <w:r w:rsidRPr="00E10B3E">
        <w:rPr>
          <w:rFonts w:ascii="Bookman Old Style" w:hAnsi="Bookman Old Style" w:cs="Arial"/>
          <w:bCs/>
          <w:spacing w:val="-3"/>
          <w:lang w:val="es-CO"/>
        </w:rPr>
        <w:t>,</w:t>
      </w:r>
      <w:r w:rsidRPr="00E10B3E">
        <w:rPr>
          <w:rFonts w:ascii="Bookman Old Style" w:hAnsi="Bookman Old Style" w:cs="Arial"/>
          <w:bCs/>
          <w:spacing w:val="-3"/>
        </w:rPr>
        <w:t xml:space="preserve"> 2253 de 1994</w:t>
      </w:r>
      <w:r>
        <w:rPr>
          <w:rFonts w:ascii="Bookman Old Style" w:hAnsi="Bookman Old Style" w:cs="Arial"/>
          <w:bCs/>
          <w:spacing w:val="-3"/>
          <w:lang w:val="es-CO"/>
        </w:rPr>
        <w:t>,</w:t>
      </w:r>
      <w:r w:rsidRPr="00E10B3E">
        <w:rPr>
          <w:rFonts w:ascii="Bookman Old Style" w:hAnsi="Bookman Old Style" w:cs="Arial"/>
          <w:bCs/>
          <w:spacing w:val="-3"/>
          <w:lang w:val="es-CO"/>
        </w:rPr>
        <w:t xml:space="preserve"> 1260 de 2013</w:t>
      </w:r>
      <w:r>
        <w:rPr>
          <w:rFonts w:ascii="Bookman Old Style" w:hAnsi="Bookman Old Style" w:cs="Arial"/>
          <w:bCs/>
          <w:spacing w:val="-3"/>
          <w:lang w:val="es-CO"/>
        </w:rPr>
        <w:t xml:space="preserve"> y 2251 de 2015</w:t>
      </w:r>
    </w:p>
    <w:p w:rsidR="00E10B3E" w:rsidRPr="00E10B3E" w:rsidRDefault="00E10B3E" w:rsidP="00E10B3E">
      <w:pPr>
        <w:widowControl w:val="0"/>
        <w:ind w:left="0"/>
        <w:rPr>
          <w:rFonts w:ascii="Bookman Old Style" w:hAnsi="Bookman Old Style"/>
        </w:rPr>
      </w:pPr>
    </w:p>
    <w:p w:rsidR="00E10B3E" w:rsidRPr="00E10B3E" w:rsidRDefault="00E10B3E" w:rsidP="00E10B3E">
      <w:pPr>
        <w:widowControl w:val="0"/>
        <w:ind w:left="0"/>
        <w:rPr>
          <w:rFonts w:ascii="Bookman Old Style" w:hAnsi="Bookman Old Style"/>
        </w:rPr>
      </w:pPr>
    </w:p>
    <w:p w:rsidR="00E10B3E" w:rsidRPr="00E10B3E" w:rsidRDefault="00E10B3E" w:rsidP="00E10B3E">
      <w:pPr>
        <w:widowControl w:val="0"/>
        <w:ind w:left="0"/>
        <w:jc w:val="center"/>
        <w:rPr>
          <w:rFonts w:ascii="Bookman Old Style" w:hAnsi="Bookman Old Style"/>
          <w:b/>
        </w:rPr>
      </w:pPr>
      <w:r w:rsidRPr="00E10B3E">
        <w:rPr>
          <w:rFonts w:ascii="Bookman Old Style" w:hAnsi="Bookman Old Style"/>
          <w:b/>
        </w:rPr>
        <w:t>C O N S I D E R A N D O  Q U E:</w:t>
      </w:r>
    </w:p>
    <w:p w:rsidR="00BB73A6" w:rsidRPr="00C07899" w:rsidRDefault="00BB73A6" w:rsidP="00741008">
      <w:pPr>
        <w:ind w:left="0"/>
        <w:contextualSpacing/>
        <w:rPr>
          <w:rFonts w:ascii="Bookman Old Style" w:hAnsi="Bookman Old Style" w:cs="Arial"/>
          <w:b/>
          <w:color w:val="000000"/>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 xml:space="preserve">Mediante Resolución CREG 066 de 2007, modificada por las resoluciones CREG 059 de 2008, 002 de 2009, 123 de 2010 y 095 de 2011, la Comisión estableció “la regulación de precios de suministro de GLP de comercializadores mayoristas a distribuidores”. La resolución en mención señala la metodología </w:t>
      </w:r>
      <w:r w:rsidRPr="007F428A">
        <w:rPr>
          <w:rFonts w:ascii="Bookman Old Style" w:hAnsi="Bookman Old Style"/>
        </w:rPr>
        <w:lastRenderedPageBreak/>
        <w:t>para calcular el precio máximo regulado de suministro de GLP producido en las fuentes reguladas</w:t>
      </w:r>
      <w:r w:rsidRPr="007F428A">
        <w:rPr>
          <w:rStyle w:val="Refdenotaalpie"/>
          <w:rFonts w:ascii="Bookman Old Style" w:hAnsi="Bookman Old Style"/>
        </w:rPr>
        <w:footnoteReference w:id="1"/>
      </w:r>
      <w:r w:rsidRPr="007F428A">
        <w:rPr>
          <w:rFonts w:ascii="Bookman Old Style" w:hAnsi="Bookman Old Style"/>
        </w:rPr>
        <w:t xml:space="preserve">, mencionando adicionalmente que las demás fuentes de producción de GLP pueden fijar libremente su tarifa. </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Las medidas adoptadas en la Resolución CREG 066 de 2007 se expidieron por parte de la CREG con el fin de brindar las señales necesarias para la promoción de la competencia en la comercialización mayorista, que permitieran que en un futuro se llegara a la desregulación del precio de suministro de GLP, así como a garantizar la oferta de producto dentro de la prestación del servicio público domiciliario, diferenciando la posición de cada agente comercializador mayorista en el mercado</w:t>
      </w:r>
      <w:r w:rsidRPr="007F428A">
        <w:rPr>
          <w:rStyle w:val="Refdenotaalpie"/>
          <w:rFonts w:ascii="Bookman Old Style" w:hAnsi="Bookman Old Style"/>
        </w:rPr>
        <w:footnoteReference w:id="2"/>
      </w:r>
      <w:r w:rsidRPr="007F428A">
        <w:rPr>
          <w:rFonts w:ascii="Bookman Old Style" w:hAnsi="Bookman Old Style"/>
        </w:rPr>
        <w:t>. Lo anterior, en concordancia con los fines previstos en la Ley 142 de 1994</w:t>
      </w:r>
      <w:r w:rsidRPr="007F428A">
        <w:rPr>
          <w:rStyle w:val="Refdenotaalpie"/>
          <w:rFonts w:ascii="Bookman Old Style" w:hAnsi="Bookman Old Style"/>
        </w:rPr>
        <w:footnoteReference w:id="3"/>
      </w:r>
      <w:r w:rsidRPr="007F428A">
        <w:rPr>
          <w:rFonts w:ascii="Bookman Old Style" w:hAnsi="Bookman Old Style"/>
        </w:rPr>
        <w:t>.</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De acuerdo con esto, desde el punto de vista tarifario, atendiendo las facultades regulatorias con las que cuenta la CREG en esta materia y como parte de la fijación de los precios y la remuneración que se debía dar al producto en la comercialización mayorista, la CREG consideró que a través de esta resolución: i) se debía proporcionar al mercado señales regulatorias de escasez (en el corto y mediano plazo a fin de incentivar la entrada de nuevos agentes) y remunerar el verdadero costo económico del bien (a fin de incentivar igualmente la competencia, como la búsqueda de nuevas fuentes de suministro que garanticen la prestación del servicio público); ii) dichas señales debían estar en consonancia con el cumplimiento de los criterios que en esta materia se encuentran previstos en el artículo 87 de la Ley 142 de 1994, principalmente en materia de eficiencia económica y suficiencia financiera; iii) las señales de precios debían orientar el interés privado (el cual incorpora, entre otros, generar utilidades acordes a dicha actividad), así como el beneficio para los usuarios en relación con las tarifas, en términos de eficiencia y una adecuada remuneración que permitiera contar con el producto para la prestación del servicio público domiciliario.</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rPr>
        <w:t xml:space="preserve">Para estos efectos se tuvo en cuenta aspectos como: i) las condiciones de los agentes en el mercado, en especial, la posición dominante y las condiciones monopólicas que ostentaba el productor dentro de la comercialización mayorista del GLP; ii) la estructura del mercado, la cual incluía la posibilidad de hacer transable y competitivo el mercado del GLP, así como las perspectivas </w:t>
      </w:r>
      <w:r w:rsidRPr="007F428A">
        <w:rPr>
          <w:rFonts w:ascii="Bookman Old Style" w:hAnsi="Bookman Old Style"/>
        </w:rPr>
        <w:lastRenderedPageBreak/>
        <w:t xml:space="preserve">a mediano y largo plazo del mercado doméstico de GLP; iii) señales de precio para el abastecimiento del mercado nacional con el GLP producido en el país que permitiera la garantía de la prestación del servicio público domiciliario; iv) el fomento a la competencia para la entrada de nuevos agentes o nuevas fuentes de suministro. </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De acuerdo con lo anterior, dentro del trámite de consulta de la regulación que se habría de adoptar para la definición de la remuneración del producto, dentro de las resoluciones CREG 066 de 2002, 072 de 2005, 066 de 2007</w:t>
      </w:r>
      <w:r>
        <w:rPr>
          <w:rFonts w:ascii="Bookman Old Style" w:hAnsi="Bookman Old Style"/>
          <w:lang w:val="es-CO"/>
        </w:rPr>
        <w:t xml:space="preserve"> y el D</w:t>
      </w:r>
      <w:r w:rsidRPr="007F428A">
        <w:rPr>
          <w:rFonts w:ascii="Bookman Old Style" w:hAnsi="Bookman Old Style"/>
          <w:lang w:val="es-CO"/>
        </w:rPr>
        <w:t>ocumento CREG 034 de 2007, se estableció por parte de la CREG la necesidad de adoptar una metodología en la cual se habría de remunerar al productor con base en el costo de oportunidad</w:t>
      </w:r>
      <w:r w:rsidRPr="007F428A">
        <w:rPr>
          <w:rStyle w:val="Refdenotaalpie"/>
          <w:rFonts w:ascii="Bookman Old Style" w:hAnsi="Bookman Old Style"/>
          <w:lang w:val="es-CO"/>
        </w:rPr>
        <w:footnoteReference w:id="4"/>
      </w:r>
      <w:r w:rsidRPr="007F428A">
        <w:rPr>
          <w:rFonts w:ascii="Bookman Old Style" w:hAnsi="Bookman Old Style"/>
          <w:lang w:val="es-CO"/>
        </w:rPr>
        <w:t xml:space="preserve">, en este caso, de acceder al mercado externo. Lo anterior se hizo con el fin de abastecer la demanda interna (esto bajo la consideración que la capacidad de </w:t>
      </w:r>
      <w:r>
        <w:rPr>
          <w:rFonts w:ascii="Bookman Old Style" w:hAnsi="Bookman Old Style"/>
          <w:lang w:val="es-CO"/>
        </w:rPr>
        <w:t>producción es</w:t>
      </w:r>
      <w:r w:rsidRPr="007F428A">
        <w:rPr>
          <w:rFonts w:ascii="Bookman Old Style" w:hAnsi="Bookman Old Style"/>
          <w:lang w:val="es-CO"/>
        </w:rPr>
        <w:t xml:space="preserve"> suficiente para atender el mercado doméstico, sin necesidad de acudir sistemáticamente a la importación de combustible), trasladando la eficiencia del mercado externo al mercado doméstico, de acuerdo con la remuneración, a través de precios internacionales. En la teoría económica esto corresponde al costo de oportunidad de “paridad exportación”.</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Igualmente, para adoptar dicha decisión, la CREG, dentr</w:t>
      </w:r>
      <w:r>
        <w:rPr>
          <w:rFonts w:ascii="Bookman Old Style" w:hAnsi="Bookman Old Style"/>
          <w:lang w:val="es-CO"/>
        </w:rPr>
        <w:t>o de sus consideraciones</w:t>
      </w:r>
      <w:r w:rsidRPr="007F428A">
        <w:rPr>
          <w:rFonts w:ascii="Bookman Old Style" w:hAnsi="Bookman Old Style"/>
          <w:lang w:val="es-CO"/>
        </w:rPr>
        <w:t xml:space="preserve"> realizó un balance entre oferta y demanda. Dicho análisis permitió establecer que existía una oferta mayor a la demanda y, por tanto, era viable que el productor destinara el producto excedente al mercado internacional.</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 xml:space="preserve">Así mismo, la adopción de dicha metodología de remuneración del producto incorporó un análisis de las diversas alternativas, a fin de determinar cuál era el costo de oportunidad que permitiría atender los objetivos perseguidos por la regulación, a los que se ha hecho referencia, en concordancia con </w:t>
      </w:r>
      <w:r>
        <w:rPr>
          <w:rFonts w:ascii="Bookman Old Style" w:hAnsi="Bookman Old Style"/>
          <w:lang w:val="es-CO"/>
        </w:rPr>
        <w:t xml:space="preserve">el cumplimiento de </w:t>
      </w:r>
      <w:r w:rsidRPr="007F428A">
        <w:rPr>
          <w:rFonts w:ascii="Bookman Old Style" w:hAnsi="Bookman Old Style"/>
          <w:lang w:val="es-CO"/>
        </w:rPr>
        <w:t>los fines previstos en la Ley 142 de 1994. Como se ha advertido, dentro de estos objetivos se encontraba el reflejar la situación diferencial de los agentes en el mercado, en particular la posición domina</w:t>
      </w:r>
      <w:r>
        <w:rPr>
          <w:rFonts w:ascii="Bookman Old Style" w:hAnsi="Bookman Old Style"/>
          <w:lang w:val="es-CO"/>
        </w:rPr>
        <w:t>nte de Ecopetrol</w:t>
      </w:r>
      <w:r w:rsidRPr="007F428A">
        <w:rPr>
          <w:rFonts w:ascii="Bookman Old Style" w:hAnsi="Bookman Old Style"/>
          <w:lang w:val="es-CO"/>
        </w:rPr>
        <w:t>; dar señales económicas para la entrada de nuevos competidores, permitir en un futuro la desregulación del precio de suministro de GLP, así como asegurar la oferta de GLP para el mercado interno. Evidencia de los objetivos propuesto</w:t>
      </w:r>
      <w:r>
        <w:rPr>
          <w:rFonts w:ascii="Bookman Old Style" w:hAnsi="Bookman Old Style"/>
          <w:lang w:val="es-CO"/>
        </w:rPr>
        <w:t>s</w:t>
      </w:r>
      <w:r w:rsidRPr="007F428A">
        <w:rPr>
          <w:rFonts w:ascii="Bookman Old Style" w:hAnsi="Bookman Old Style"/>
          <w:lang w:val="es-CO"/>
        </w:rPr>
        <w:t xml:space="preserve"> y obtenidos con estas medidas, es la comercialización de una nueva oferta, como es el caso de la fuente de Cusiana, a partir del año 2010.</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rPr>
      </w:pPr>
      <w:r w:rsidRPr="007F428A">
        <w:rPr>
          <w:rFonts w:ascii="Bookman Old Style" w:hAnsi="Bookman Old Style"/>
          <w:lang w:val="es-CO"/>
        </w:rPr>
        <w:t>De acuerdo con esto, el</w:t>
      </w:r>
      <w:r w:rsidRPr="007F428A">
        <w:rPr>
          <w:rFonts w:ascii="Bookman Old Style" w:hAnsi="Bookman Old Style"/>
        </w:rPr>
        <w:t xml:space="preserve"> costo de oportunidad, considerado para determinar el precio máximo regulado de suministro, se basa en la valoración del GLP en el mercado internacional de Mont Belvieu, Texas, y la oportunidad de Ecopetrol de vender el producto proveniente de sus diferentes fuentes de producción en ese mercado. Por lo tanto, en el costo de oportunidad no solo se considera el precio internacional, sino también los costos en que incurre Ecopetrol para disponer del producto en dicho mercado.</w:t>
      </w:r>
    </w:p>
    <w:p w:rsidR="00B62FDD" w:rsidRDefault="00B62FDD" w:rsidP="00B62FDD">
      <w:pPr>
        <w:ind w:left="0"/>
        <w:jc w:val="both"/>
        <w:rPr>
          <w:rFonts w:ascii="Bookman Old Style" w:hAnsi="Bookman Old Style"/>
        </w:rPr>
      </w:pPr>
    </w:p>
    <w:p w:rsidR="00B62FDD" w:rsidRPr="00AC78CC" w:rsidRDefault="00B62FDD" w:rsidP="00B62FDD">
      <w:pPr>
        <w:ind w:left="0"/>
        <w:jc w:val="both"/>
        <w:rPr>
          <w:rFonts w:ascii="Bookman Old Style" w:hAnsi="Bookman Old Style"/>
          <w:lang w:val="es-CO"/>
        </w:rPr>
      </w:pPr>
      <w:r>
        <w:rPr>
          <w:rFonts w:ascii="Bookman Old Style" w:hAnsi="Bookman Old Style"/>
        </w:rPr>
        <w:lastRenderedPageBreak/>
        <w:t>Ahora, p</w:t>
      </w:r>
      <w:r w:rsidRPr="00AC78CC">
        <w:rPr>
          <w:rFonts w:ascii="Bookman Old Style" w:hAnsi="Bookman Old Style"/>
          <w:lang w:val="es-CO"/>
        </w:rPr>
        <w:t>ara el caso del producto proveniente de Cusiana, dentro de estos antecedentes se debe tener en cuenta que la CREG</w:t>
      </w:r>
      <w:r w:rsidR="009C4838">
        <w:rPr>
          <w:rFonts w:ascii="Bookman Old Style" w:hAnsi="Bookman Old Style"/>
          <w:lang w:val="es-CO"/>
        </w:rPr>
        <w:t>,</w:t>
      </w:r>
      <w:r w:rsidRPr="00AC78CC">
        <w:rPr>
          <w:rFonts w:ascii="Bookman Old Style" w:hAnsi="Bookman Old Style"/>
          <w:lang w:val="es-CO"/>
        </w:rPr>
        <w:t xml:space="preserve"> mediante Resolución CREG 123 de 2010</w:t>
      </w:r>
      <w:r w:rsidR="009C4838">
        <w:rPr>
          <w:rFonts w:ascii="Bookman Old Style" w:hAnsi="Bookman Old Style"/>
          <w:lang w:val="es-CO"/>
        </w:rPr>
        <w:t>,</w:t>
      </w:r>
      <w:r w:rsidRPr="00AC78CC">
        <w:rPr>
          <w:rFonts w:ascii="Bookman Old Style" w:hAnsi="Bookman Old Style"/>
          <w:lang w:val="es-CO"/>
        </w:rPr>
        <w:t xml:space="preserve"> amplió el régimen de libertad regulada para </w:t>
      </w:r>
      <w:r w:rsidR="009C4838">
        <w:rPr>
          <w:rFonts w:ascii="Bookman Old Style" w:hAnsi="Bookman Old Style"/>
          <w:lang w:val="es-CO"/>
        </w:rPr>
        <w:t xml:space="preserve">todas </w:t>
      </w:r>
      <w:r w:rsidRPr="00AC78CC">
        <w:rPr>
          <w:rFonts w:ascii="Bookman Old Style" w:hAnsi="Bookman Old Style"/>
          <w:lang w:val="es-CO"/>
        </w:rPr>
        <w:t>las fuentes</w:t>
      </w:r>
      <w:r w:rsidR="009C4838">
        <w:rPr>
          <w:rFonts w:ascii="Bookman Old Style" w:hAnsi="Bookman Old Style"/>
          <w:lang w:val="es-CO"/>
        </w:rPr>
        <w:t xml:space="preserve"> de suministro de GLP</w:t>
      </w:r>
      <w:r w:rsidRPr="00AC78CC">
        <w:rPr>
          <w:rFonts w:ascii="Bookman Old Style" w:hAnsi="Bookman Old Style"/>
          <w:lang w:val="es-CO"/>
        </w:rPr>
        <w:t xml:space="preserve">, </w:t>
      </w:r>
      <w:r w:rsidR="009C4838">
        <w:rPr>
          <w:rFonts w:ascii="Bookman Old Style" w:hAnsi="Bookman Old Style"/>
          <w:lang w:val="es-CO"/>
        </w:rPr>
        <w:t>tanto las que se encontraban en producción como las nuevas fuentes, que fueran comercializadas por Ecopetrol.</w:t>
      </w:r>
    </w:p>
    <w:p w:rsidR="00B62FDD" w:rsidRPr="00AC78CC" w:rsidRDefault="00B62FDD" w:rsidP="00B62FDD">
      <w:pPr>
        <w:ind w:left="0"/>
        <w:jc w:val="both"/>
        <w:rPr>
          <w:rFonts w:ascii="Bookman Old Style" w:hAnsi="Bookman Old Style"/>
          <w:lang w:val="es-CO"/>
        </w:rPr>
      </w:pPr>
    </w:p>
    <w:p w:rsidR="00B62FDD" w:rsidRDefault="00B62FDD" w:rsidP="00B62FDD">
      <w:pPr>
        <w:ind w:left="0"/>
        <w:jc w:val="both"/>
        <w:rPr>
          <w:rFonts w:ascii="Bookman Old Style" w:hAnsi="Bookman Old Style"/>
          <w:lang w:val="es-CO"/>
        </w:rPr>
      </w:pPr>
      <w:r w:rsidRPr="00AC78CC">
        <w:rPr>
          <w:rFonts w:ascii="Bookman Old Style" w:hAnsi="Bookman Old Style"/>
          <w:lang w:val="es-CO"/>
        </w:rPr>
        <w:t>A partir de dicha decisión, se estableció que el precio máximo regulado de suministro del GLP producido en el campo de Cusiana sería determinado aplicando lo dispuesto en el artículo 3 de la Resolución CREG 066 de 2007, el cual corresponde al</w:t>
      </w:r>
      <w:r w:rsidRPr="00AC78CC">
        <w:t xml:space="preserve"> </w:t>
      </w:r>
      <w:r w:rsidRPr="00AC78CC">
        <w:rPr>
          <w:rFonts w:ascii="Bookman Old Style" w:hAnsi="Bookman Old Style"/>
          <w:lang w:val="es-CO"/>
        </w:rPr>
        <w:t xml:space="preserve">precio máximo regulado de suministro de GLP producido en la refinería de Barrancabermeja y en el campo de Apiay. </w:t>
      </w:r>
    </w:p>
    <w:p w:rsidR="00B62FDD" w:rsidRDefault="00B62FDD" w:rsidP="00B62FDD">
      <w:pPr>
        <w:ind w:left="0"/>
        <w:jc w:val="both"/>
        <w:rPr>
          <w:rFonts w:ascii="Bookman Old Style" w:hAnsi="Bookman Old Style"/>
          <w:lang w:val="es-CO"/>
        </w:rPr>
      </w:pPr>
    </w:p>
    <w:p w:rsidR="00B62FDD" w:rsidRDefault="00B62FDD" w:rsidP="00B62FDD">
      <w:pPr>
        <w:ind w:left="0"/>
        <w:jc w:val="both"/>
        <w:rPr>
          <w:rFonts w:ascii="Bookman Old Style" w:hAnsi="Bookman Old Style"/>
          <w:lang w:val="es-CO"/>
        </w:rPr>
      </w:pPr>
      <w:r>
        <w:rPr>
          <w:rFonts w:ascii="Bookman Old Style" w:hAnsi="Bookman Old Style"/>
          <w:lang w:val="es-CO"/>
        </w:rPr>
        <w:t xml:space="preserve">Esta decisión fue adoptada </w:t>
      </w:r>
      <w:r w:rsidRPr="00AC78CC">
        <w:rPr>
          <w:rFonts w:ascii="Bookman Old Style" w:hAnsi="Bookman Old Style"/>
          <w:lang w:val="es-CO"/>
        </w:rPr>
        <w:t>bajo la consideración que el costo de oportunidad de dicho producto era el mercado doméstico del interior del país, dada la dificultad de poder exportarlo.</w:t>
      </w:r>
      <w:r>
        <w:rPr>
          <w:rFonts w:ascii="Bookman Old Style" w:hAnsi="Bookman Old Style"/>
          <w:lang w:val="es-CO"/>
        </w:rPr>
        <w:t xml:space="preserve"> De igual forma, se advirtió la necesidad de </w:t>
      </w:r>
      <w:r w:rsidRPr="00AC78CC">
        <w:rPr>
          <w:rFonts w:ascii="Bookman Old Style" w:hAnsi="Bookman Old Style"/>
          <w:lang w:val="es-CO"/>
        </w:rPr>
        <w:t>eliminar la existencia de una doble señal de precios para el G</w:t>
      </w:r>
      <w:r>
        <w:rPr>
          <w:rFonts w:ascii="Bookman Old Style" w:hAnsi="Bookman Old Style"/>
          <w:lang w:val="es-CO"/>
        </w:rPr>
        <w:t xml:space="preserve">LP comercializado por Ecopetrol y la posibilidad de que Ecopetrol pudiese </w:t>
      </w:r>
      <w:r w:rsidRPr="00AC78CC">
        <w:rPr>
          <w:rFonts w:ascii="Bookman Old Style" w:hAnsi="Bookman Old Style"/>
          <w:lang w:val="es-CO"/>
        </w:rPr>
        <w:t>arbitrar el precio y las cantidades en el mercado</w:t>
      </w:r>
      <w:r>
        <w:rPr>
          <w:rFonts w:ascii="Bookman Old Style" w:hAnsi="Bookman Old Style"/>
          <w:lang w:val="es-CO"/>
        </w:rPr>
        <w:t xml:space="preserve"> de GLP, si se mantenía el </w:t>
      </w:r>
      <w:r w:rsidRPr="00AC78CC">
        <w:rPr>
          <w:rFonts w:ascii="Bookman Old Style" w:hAnsi="Bookman Old Style"/>
          <w:lang w:val="es-CO"/>
        </w:rPr>
        <w:t xml:space="preserve">régimen de libertad vigilada </w:t>
      </w:r>
      <w:r>
        <w:rPr>
          <w:rFonts w:ascii="Bookman Old Style" w:hAnsi="Bookman Old Style"/>
          <w:lang w:val="es-CO"/>
        </w:rPr>
        <w:t xml:space="preserve">que en dicho momento </w:t>
      </w:r>
      <w:r w:rsidRPr="00AC78CC">
        <w:rPr>
          <w:rFonts w:ascii="Bookman Old Style" w:hAnsi="Bookman Old Style"/>
          <w:lang w:val="es-CO"/>
        </w:rPr>
        <w:t>estaba planteado en la Resolución CREG 066 de 2007</w:t>
      </w:r>
      <w:r>
        <w:rPr>
          <w:rFonts w:ascii="Bookman Old Style" w:hAnsi="Bookman Old Style"/>
          <w:lang w:val="es-CO"/>
        </w:rPr>
        <w:t xml:space="preserve">, ante la </w:t>
      </w:r>
      <w:r w:rsidRPr="00AC78CC">
        <w:rPr>
          <w:rFonts w:ascii="Bookman Old Style" w:hAnsi="Bookman Old Style"/>
          <w:lang w:val="es-CO"/>
        </w:rPr>
        <w:t>falta de prorroga en el contrato de asociación bajo el cual se podría dar la comercialización del GLP de Cusiana a través de un</w:t>
      </w:r>
      <w:r>
        <w:rPr>
          <w:rFonts w:ascii="Bookman Old Style" w:hAnsi="Bookman Old Style"/>
          <w:lang w:val="es-CO"/>
        </w:rPr>
        <w:t xml:space="preserve"> tercero diferente de Ecopetrol.</w:t>
      </w:r>
      <w:r w:rsidRPr="00AC78CC">
        <w:rPr>
          <w:rFonts w:ascii="Bookman Old Style" w:hAnsi="Bookman Old Style"/>
          <w:lang w:val="es-CO"/>
        </w:rPr>
        <w:t xml:space="preserve"> </w:t>
      </w:r>
    </w:p>
    <w:p w:rsidR="00B62FDD" w:rsidRPr="00AC78CC" w:rsidRDefault="00B62FDD" w:rsidP="00B62FDD">
      <w:pPr>
        <w:ind w:left="0"/>
        <w:jc w:val="both"/>
        <w:rPr>
          <w:rFonts w:ascii="Bookman Old Style" w:hAnsi="Bookman Old Style"/>
          <w:lang w:val="es-CO"/>
        </w:rPr>
      </w:pPr>
    </w:p>
    <w:p w:rsidR="00B62FDD" w:rsidRPr="00AC78CC" w:rsidRDefault="00B62FDD" w:rsidP="00B62FDD">
      <w:pPr>
        <w:ind w:left="0"/>
        <w:jc w:val="both"/>
        <w:rPr>
          <w:rFonts w:ascii="Bookman Old Style" w:hAnsi="Bookman Old Style"/>
          <w:lang w:val="es-CO"/>
        </w:rPr>
      </w:pPr>
      <w:r w:rsidRPr="00AC78CC">
        <w:rPr>
          <w:rFonts w:ascii="Bookman Old Style" w:hAnsi="Bookman Old Style"/>
          <w:lang w:val="es-CO"/>
        </w:rPr>
        <w:t>En relación con lo anterior, dentro de los análisis consignados por la CREG</w:t>
      </w:r>
      <w:r w:rsidR="009B3F5D">
        <w:rPr>
          <w:rFonts w:ascii="Bookman Old Style" w:hAnsi="Bookman Old Style"/>
          <w:lang w:val="es-CO"/>
        </w:rPr>
        <w:t xml:space="preserve"> a</w:t>
      </w:r>
      <w:r w:rsidRPr="00AC78CC">
        <w:rPr>
          <w:rFonts w:ascii="Bookman Old Style" w:hAnsi="Bookman Old Style"/>
          <w:lang w:val="es-CO"/>
        </w:rPr>
        <w:t xml:space="preserve"> efectos de adoptar dicha medida, en el Documento CREG 095 de 2010 </w:t>
      </w:r>
      <w:r w:rsidR="009B3F5D">
        <w:rPr>
          <w:rFonts w:ascii="Bookman Old Style" w:hAnsi="Bookman Old Style"/>
          <w:lang w:val="es-CO"/>
        </w:rPr>
        <w:t xml:space="preserve">se </w:t>
      </w:r>
      <w:r w:rsidRPr="00AC78CC">
        <w:rPr>
          <w:rFonts w:ascii="Bookman Old Style" w:hAnsi="Bookman Old Style"/>
          <w:lang w:val="es-CO"/>
        </w:rPr>
        <w:t>expuso lo siguiente:</w:t>
      </w:r>
    </w:p>
    <w:p w:rsidR="00B62FDD" w:rsidRPr="00AC78CC" w:rsidRDefault="00B62FDD" w:rsidP="00B62FDD">
      <w:pPr>
        <w:ind w:left="284" w:right="284"/>
        <w:jc w:val="both"/>
        <w:rPr>
          <w:rFonts w:ascii="Bookman Old Style" w:hAnsi="Bookman Old Style"/>
          <w:sz w:val="22"/>
          <w:szCs w:val="22"/>
          <w:lang w:val="es-CO"/>
        </w:rPr>
      </w:pPr>
    </w:p>
    <w:p w:rsidR="00B62FDD" w:rsidRPr="00AC78CC" w:rsidRDefault="00B62FDD" w:rsidP="00B62FDD">
      <w:pPr>
        <w:ind w:left="284" w:right="284"/>
        <w:jc w:val="both"/>
        <w:rPr>
          <w:rFonts w:ascii="Bookman Old Style" w:hAnsi="Bookman Old Style"/>
          <w:sz w:val="22"/>
          <w:szCs w:val="22"/>
          <w:lang w:val="es-CO"/>
        </w:rPr>
      </w:pPr>
      <w:r w:rsidRPr="00AC78CC">
        <w:rPr>
          <w:rFonts w:ascii="Bookman Old Style" w:hAnsi="Bookman Old Style"/>
          <w:sz w:val="22"/>
          <w:szCs w:val="22"/>
          <w:lang w:val="es-CO"/>
        </w:rPr>
        <w:t xml:space="preserve">“Así, con la potencial oferta de Cusiana, cercana a los 6.5 KBDC, Ecopetrol podría reemplazar oferta regulada equivalente al 34% de la demanda actual, por oferta con precio libre y los compradores no tendrían otra opción que adquirir este producto al precio que Ecopetrol determine, siempre y cuando este sea igual o menor al precio de paridad importación puesto en el centro del país. </w:t>
      </w:r>
    </w:p>
    <w:p w:rsidR="00B62FDD" w:rsidRPr="00AC78CC" w:rsidRDefault="00B62FDD" w:rsidP="00B62FDD">
      <w:pPr>
        <w:ind w:left="284" w:right="284"/>
        <w:jc w:val="both"/>
        <w:rPr>
          <w:rFonts w:ascii="Bookman Old Style" w:hAnsi="Bookman Old Style"/>
          <w:sz w:val="22"/>
          <w:szCs w:val="22"/>
          <w:lang w:val="es-CO"/>
        </w:rPr>
      </w:pPr>
    </w:p>
    <w:p w:rsidR="00B62FDD" w:rsidRPr="00AC78CC" w:rsidRDefault="00B62FDD" w:rsidP="00B62FDD">
      <w:pPr>
        <w:ind w:left="284" w:right="284"/>
        <w:jc w:val="both"/>
        <w:rPr>
          <w:rFonts w:ascii="Bookman Old Style" w:hAnsi="Bookman Old Style"/>
          <w:sz w:val="22"/>
          <w:szCs w:val="22"/>
          <w:lang w:val="es-CO"/>
        </w:rPr>
      </w:pPr>
      <w:r w:rsidRPr="00AC78CC">
        <w:rPr>
          <w:rFonts w:ascii="Bookman Old Style" w:hAnsi="Bookman Old Style"/>
          <w:sz w:val="22"/>
          <w:szCs w:val="22"/>
          <w:lang w:val="es-CO"/>
        </w:rPr>
        <w:t>Siendo el propósito principal de la regulación establecida en la Resolución CREG 066 de 2007 el de regular la posición dominante de Ecopetrol para evitar un abuso de la misma y además el de aprovechar la situación de autosuficiencia en la oferta nacional para atender la demanda, la CREG considera conveniente extender el régimen de libertad regulada a todas las fuentes nacionales que sean comercializadas por Ecopetrol determinando para cada caso en particular el precio aplicable. Conocida la cercana comercialización del GLP procedente del campo de Cusiana, se considera oportuno establecer en esta misma ocasión el precio para este producto en particular.”</w:t>
      </w:r>
    </w:p>
    <w:p w:rsidR="00B62FDD" w:rsidRPr="007F428A" w:rsidRDefault="00B62FDD" w:rsidP="00B62FDD">
      <w:pPr>
        <w:ind w:left="0"/>
        <w:contextualSpacing/>
        <w:jc w:val="both"/>
        <w:rPr>
          <w:rFonts w:ascii="Bookman Old Style" w:hAnsi="Bookman Old Style"/>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Ahora bien, como parte de las medidas adoptadas en la Resolución CREG 066 de 2007 y la adopción de esta metodología, la CREG advirtió dentro del proceso de consulta la posibilidad de analizar la condición de valor de referencia, tomada como costo de oportunidad, como parte de la revisión de las condiciones del balance entre oferta y demanda</w:t>
      </w:r>
      <w:r>
        <w:rPr>
          <w:rFonts w:ascii="Bookman Old Style" w:hAnsi="Bookman Old Style"/>
          <w:lang w:val="es-CO"/>
        </w:rPr>
        <w:t>, ante la evidencia de algún evento que afectara dicho balance y la señal de precio</w:t>
      </w:r>
      <w:r w:rsidRPr="007F428A">
        <w:rPr>
          <w:rFonts w:ascii="Bookman Old Style" w:hAnsi="Bookman Old Style"/>
          <w:lang w:val="es-CO"/>
        </w:rPr>
        <w:t>. Lo anterior, debido a que dentro del marco de prestación del servicio público domiciliario, la regulación, en cumplimiento de lo previsto en la Ley 142 de 1994, debía brindar señales de precio eficiente que aseguraran el suministro de GLP para el servicio público domiciliario.</w:t>
      </w:r>
    </w:p>
    <w:p w:rsidR="00B62FDD"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Ejemplo de esto, es el contenido del Documento CREG 046 de 2005, soporte de la propuesta regulatoria de la Resolución CREG 072 de 2005, en donde se manifestó lo siguiente por parte de la CREG, al momento de establecer que el costo de oportunidad era el de paridad exportación:</w:t>
      </w:r>
    </w:p>
    <w:p w:rsidR="00B62FDD" w:rsidRPr="007F428A" w:rsidRDefault="00B62FDD" w:rsidP="00B62FDD">
      <w:pPr>
        <w:ind w:left="284" w:right="284"/>
        <w:contextualSpacing/>
        <w:jc w:val="both"/>
        <w:rPr>
          <w:rFonts w:ascii="Bookman Old Style" w:hAnsi="Bookman Old Style"/>
          <w:sz w:val="22"/>
          <w:szCs w:val="22"/>
          <w:lang w:val="es-CO"/>
        </w:rPr>
      </w:pPr>
    </w:p>
    <w:p w:rsidR="00B62FDD" w:rsidRPr="008C1452" w:rsidRDefault="00B62FDD" w:rsidP="00B62FDD">
      <w:pPr>
        <w:ind w:left="284" w:right="284"/>
        <w:contextualSpacing/>
        <w:jc w:val="both"/>
        <w:rPr>
          <w:rFonts w:ascii="Bookman Old Style" w:hAnsi="Bookman Old Style"/>
          <w:sz w:val="22"/>
          <w:szCs w:val="22"/>
          <w:lang w:val="es-CO"/>
        </w:rPr>
      </w:pPr>
      <w:r w:rsidRPr="008C1452">
        <w:rPr>
          <w:rFonts w:ascii="Bookman Old Style" w:hAnsi="Bookman Old Style"/>
          <w:sz w:val="22"/>
          <w:szCs w:val="22"/>
          <w:lang w:val="es-CO"/>
        </w:rPr>
        <w:t>“Con base en lo anterior, se recomienda adoptar la paridad de exportación como la metodología para determinar el precio máximo regulado de suministro de GLP; por cuanto corresponde a la remuneración del costo de oportunidad del productor – comercializador durante la mayor parte del período tarifario según información sobre oferta y demanda conocida por la Comisión a la fecha.</w:t>
      </w:r>
    </w:p>
    <w:p w:rsidR="00B62FDD" w:rsidRPr="008C1452" w:rsidRDefault="00B62FDD" w:rsidP="00B62FDD">
      <w:pPr>
        <w:ind w:left="284" w:right="284"/>
        <w:contextualSpacing/>
        <w:jc w:val="both"/>
        <w:rPr>
          <w:rFonts w:ascii="Bookman Old Style" w:hAnsi="Bookman Old Style"/>
          <w:sz w:val="22"/>
          <w:szCs w:val="22"/>
          <w:lang w:val="es-CO"/>
        </w:rPr>
      </w:pPr>
    </w:p>
    <w:p w:rsidR="00B62FDD" w:rsidRPr="008C1452" w:rsidRDefault="00B62FDD" w:rsidP="00B62FDD">
      <w:pPr>
        <w:ind w:left="284" w:right="284"/>
        <w:contextualSpacing/>
        <w:jc w:val="both"/>
        <w:rPr>
          <w:rFonts w:ascii="Bookman Old Style" w:hAnsi="Bookman Old Style"/>
          <w:b/>
          <w:sz w:val="22"/>
          <w:szCs w:val="22"/>
          <w:u w:val="single"/>
          <w:lang w:val="es-CO"/>
        </w:rPr>
      </w:pPr>
      <w:r w:rsidRPr="008C1452">
        <w:rPr>
          <w:rFonts w:ascii="Bookman Old Style" w:hAnsi="Bookman Old Style"/>
          <w:sz w:val="22"/>
          <w:szCs w:val="22"/>
          <w:lang w:val="es-CO"/>
        </w:rPr>
        <w:t xml:space="preserve">Sin embargo, reconociendo la posibilidad de que surjan nuevos nichos de demanda que pongan en riesgo el abastecimiento de la demanda doméstica, </w:t>
      </w:r>
      <w:r w:rsidRPr="008C1452">
        <w:rPr>
          <w:rFonts w:ascii="Bookman Old Style" w:hAnsi="Bookman Old Style"/>
          <w:b/>
          <w:sz w:val="22"/>
          <w:szCs w:val="22"/>
          <w:u w:val="single"/>
          <w:lang w:val="es-CO"/>
        </w:rPr>
        <w:t>la Comisión considera prudente anunciar su disposición a modificar la remuneración basada en paridad de exportación e incorporar la paridad de importación, en tanto ECOPETROL demuestre que efectivamente este es el costo de oportunidad de atender el mercado doméstico.</w:t>
      </w:r>
    </w:p>
    <w:p w:rsidR="00B62FDD" w:rsidRPr="008C1452" w:rsidRDefault="00B62FDD" w:rsidP="00B62FDD">
      <w:pPr>
        <w:ind w:left="284" w:right="284"/>
        <w:contextualSpacing/>
        <w:jc w:val="both"/>
        <w:rPr>
          <w:rFonts w:ascii="Bookman Old Style" w:hAnsi="Bookman Old Style"/>
          <w:sz w:val="22"/>
          <w:szCs w:val="22"/>
          <w:lang w:val="es-CO"/>
        </w:rPr>
      </w:pPr>
    </w:p>
    <w:p w:rsidR="00B62FDD" w:rsidRPr="007F428A" w:rsidRDefault="00B62FDD" w:rsidP="00B62FDD">
      <w:pPr>
        <w:ind w:left="284" w:right="284"/>
        <w:contextualSpacing/>
        <w:jc w:val="both"/>
        <w:rPr>
          <w:rFonts w:ascii="Bookman Old Style" w:hAnsi="Bookman Old Style"/>
          <w:sz w:val="22"/>
          <w:szCs w:val="22"/>
          <w:lang w:val="es-CO"/>
        </w:rPr>
      </w:pPr>
      <w:r w:rsidRPr="008C1452">
        <w:rPr>
          <w:rFonts w:ascii="Bookman Old Style" w:hAnsi="Bookman Old Style"/>
          <w:sz w:val="22"/>
          <w:szCs w:val="22"/>
          <w:lang w:val="es-CO"/>
        </w:rPr>
        <w:t xml:space="preserve">Además, en concordancia con el objetivo de desregulación gradual de los mercados con potencial competitivo, </w:t>
      </w:r>
      <w:r w:rsidRPr="008C1452">
        <w:rPr>
          <w:rFonts w:ascii="Bookman Old Style" w:hAnsi="Bookman Old Style"/>
          <w:b/>
          <w:sz w:val="22"/>
          <w:szCs w:val="22"/>
          <w:u w:val="single"/>
          <w:lang w:val="es-CO"/>
        </w:rPr>
        <w:t>la Comisión también implementaría la paridad importación cuando se observen las condiciones de acceso a la infraestructura de transporte y de importación y de homogeneidad del producto, posibiliten la nueva entrada de agentes en la actividad de comercialización de GLP</w:t>
      </w:r>
      <w:r w:rsidRPr="008C1452">
        <w:rPr>
          <w:rFonts w:ascii="Bookman Old Style" w:hAnsi="Bookman Old Style"/>
          <w:sz w:val="22"/>
          <w:szCs w:val="22"/>
          <w:lang w:val="es-CO"/>
        </w:rPr>
        <w:t>”</w:t>
      </w:r>
      <w:r w:rsidRPr="007F428A">
        <w:rPr>
          <w:rFonts w:ascii="Bookman Old Style" w:hAnsi="Bookman Old Style"/>
          <w:sz w:val="22"/>
          <w:szCs w:val="22"/>
          <w:lang w:val="es-CO"/>
        </w:rPr>
        <w:t xml:space="preserve"> (Resaltado fuera de texto)</w:t>
      </w:r>
    </w:p>
    <w:p w:rsidR="00B62FDD" w:rsidRPr="007F428A" w:rsidRDefault="00B62FDD" w:rsidP="00B62FDD">
      <w:pPr>
        <w:ind w:left="0" w:right="284"/>
        <w:contextualSpacing/>
        <w:jc w:val="both"/>
        <w:rPr>
          <w:rFonts w:ascii="Bookman Old Style" w:hAnsi="Bookman Old Style"/>
          <w:sz w:val="22"/>
          <w:szCs w:val="22"/>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Igualmente, en el documento CREG 034 de 2007, que también hace parte del proceso de consulta de la Resolución CREG 066 de 2007, la CREG precisó lo siguiente:</w:t>
      </w:r>
    </w:p>
    <w:p w:rsidR="00B62FDD" w:rsidRPr="007F428A" w:rsidRDefault="00B62FDD" w:rsidP="00B62FDD">
      <w:pPr>
        <w:ind w:left="0"/>
        <w:contextualSpacing/>
        <w:jc w:val="both"/>
        <w:rPr>
          <w:rFonts w:ascii="Bookman Old Style" w:hAnsi="Bookman Old Style"/>
          <w:lang w:val="es-CO"/>
        </w:rPr>
      </w:pPr>
    </w:p>
    <w:p w:rsidR="00B62FDD" w:rsidRPr="008C1452" w:rsidRDefault="00B62FDD" w:rsidP="00B62FDD">
      <w:pPr>
        <w:ind w:left="284" w:right="284"/>
        <w:contextualSpacing/>
        <w:jc w:val="both"/>
        <w:rPr>
          <w:rFonts w:ascii="Bookman Old Style" w:hAnsi="Bookman Old Style"/>
          <w:sz w:val="22"/>
          <w:szCs w:val="22"/>
          <w:lang w:val="es-CO"/>
        </w:rPr>
      </w:pPr>
      <w:r w:rsidRPr="008C1452">
        <w:rPr>
          <w:rFonts w:ascii="Bookman Old Style" w:hAnsi="Bookman Old Style"/>
          <w:sz w:val="22"/>
          <w:szCs w:val="22"/>
          <w:lang w:val="es-CO"/>
        </w:rPr>
        <w:t xml:space="preserve">"La regulación propuesta aborda los dos temas cruciales en la problemática actual del suministro de GLP al mercado colombiano: (i) da señales de largo plazo para incentivar la entrada de nuevos agentes, sean ellos productores locales ó importadores del producto, y (ii) limita las rentas del proveedor dominante al costo de oportunidad que puede obtener de su producción, con lo cual también se da una señal de eficiencia frente a los usos alternos de algunas corrientes que hoy se comercializan como GLP." </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En este mismo sentido y atendiendo la finalidad que persigue la metodología de costo de oportunidad</w:t>
      </w:r>
      <w:r>
        <w:rPr>
          <w:rFonts w:ascii="Bookman Old Style" w:hAnsi="Bookman Old Style"/>
          <w:lang w:val="es-CO"/>
        </w:rPr>
        <w:t xml:space="preserve">, </w:t>
      </w:r>
      <w:r w:rsidRPr="007F428A">
        <w:rPr>
          <w:rFonts w:ascii="Bookman Old Style" w:hAnsi="Bookman Old Style"/>
          <w:lang w:val="es-CO"/>
        </w:rPr>
        <w:t xml:space="preserve">la CREG adoptó medidas regulatorias como la expedición de la propuesta de la Resolución CREG 025 de 2008 y la Resolución CREG 059 de 2008, en la cual se consideró la necesidad de adelantar la aplicación de las disposiciones contenidas en la Resolución CREG 066 de 2007 </w:t>
      </w:r>
      <w:r w:rsidRPr="007F428A">
        <w:rPr>
          <w:rFonts w:ascii="Bookman Old Style" w:hAnsi="Bookman Old Style"/>
          <w:i/>
          <w:lang w:val="es-CO"/>
        </w:rPr>
        <w:t>“con el fin de disponer oportunamente de las señales apropiadas de precio que viabilicen, por una parte la importación de GLP que se pueda requerir para atender la demanda y por otra parte también garanticen disponibilidad de la oferta nacional”.</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 xml:space="preserve">Ahora, las medidas regulatorias adoptadas por la CREG en este sentido y dirigidas al cumplimiento de dicho objetivo, en el marco de la comercialización mayorista, incluían aspectos no solamente desde el punto de vista tarifario, sino que estos incorporaban aspectos de la asignación del producto que estaban relacionadas con los parámetros de conducta de los agentes y su posición en el mercado. Ejemplo de esto es la propuesta regulatoria de la Resolución CREG 020 de 2010, como parte del reglamento de comercialización </w:t>
      </w:r>
      <w:r w:rsidRPr="007F428A">
        <w:rPr>
          <w:rFonts w:ascii="Bookman Old Style" w:hAnsi="Bookman Old Style"/>
          <w:lang w:val="es-CO"/>
        </w:rPr>
        <w:lastRenderedPageBreak/>
        <w:t xml:space="preserve">mayorista, </w:t>
      </w:r>
      <w:r>
        <w:rPr>
          <w:rFonts w:ascii="Bookman Old Style" w:hAnsi="Bookman Old Style"/>
          <w:lang w:val="es-CO"/>
        </w:rPr>
        <w:t>y su d</w:t>
      </w:r>
      <w:r w:rsidRPr="007F428A">
        <w:rPr>
          <w:rFonts w:ascii="Bookman Old Style" w:hAnsi="Bookman Old Style"/>
          <w:lang w:val="es-CO"/>
        </w:rPr>
        <w:t>ocumento soporte, D-020 de 2010, en donde la CREG expuso lo siguiente:</w:t>
      </w:r>
    </w:p>
    <w:p w:rsidR="00B62FDD" w:rsidRPr="007F428A" w:rsidRDefault="00B62FDD" w:rsidP="00B62FDD">
      <w:pPr>
        <w:ind w:left="0"/>
        <w:contextualSpacing/>
        <w:jc w:val="both"/>
        <w:rPr>
          <w:rFonts w:ascii="Bookman Old Style" w:hAnsi="Bookman Old Style"/>
          <w:lang w:val="es-CO"/>
        </w:rPr>
      </w:pPr>
    </w:p>
    <w:p w:rsidR="00B62FDD" w:rsidRPr="008C1452" w:rsidRDefault="00B62FDD" w:rsidP="00B62FDD">
      <w:pPr>
        <w:ind w:left="284" w:right="284"/>
        <w:contextualSpacing/>
        <w:jc w:val="both"/>
        <w:rPr>
          <w:rFonts w:ascii="Bookman Old Style" w:hAnsi="Bookman Old Style"/>
          <w:sz w:val="22"/>
          <w:szCs w:val="22"/>
          <w:lang w:val="es-CO"/>
        </w:rPr>
      </w:pPr>
      <w:r w:rsidRPr="008C1452">
        <w:rPr>
          <w:rFonts w:ascii="Bookman Old Style" w:hAnsi="Bookman Old Style"/>
          <w:sz w:val="22"/>
          <w:szCs w:val="22"/>
          <w:lang w:val="es-CO"/>
        </w:rPr>
        <w:t xml:space="preserve">“El marco regulatorio asociado a la actividad de Comercialización Mayorista busca asignar claramente las responsabilidades asociadas con la garantía de abastecimiento de la demanda. </w:t>
      </w:r>
      <w:r w:rsidRPr="008C1452">
        <w:rPr>
          <w:rFonts w:ascii="Bookman Old Style" w:hAnsi="Bookman Old Style"/>
          <w:b/>
          <w:sz w:val="22"/>
          <w:szCs w:val="22"/>
          <w:u w:val="single"/>
          <w:lang w:val="es-CO"/>
        </w:rPr>
        <w:t>Es así como la señal de precios, referenciada a un precio competitivo que se forma en un mercado internacional, responde a las condiciones de oferta y demanda del producto pero además involucra la responsabilidad asociada con la adecuada planeación y manejo del riesgo de incumplimiento en el suministro y/o entrega de producto en firme de acuerdo con las condiciones de contratación.</w:t>
      </w:r>
      <w:r w:rsidRPr="008C1452">
        <w:rPr>
          <w:rFonts w:ascii="Bookman Old Style" w:hAnsi="Bookman Old Style"/>
          <w:sz w:val="22"/>
          <w:szCs w:val="22"/>
          <w:lang w:val="es-CO"/>
        </w:rPr>
        <w:t xml:space="preserve"> De esta forma, los Comercializadores Mayoristas deben valorar en forma adecuada las acciones que deben tomar para evitar problemas de confiabilidad de manera que cumplan plenamente los contratos que suscriban.” (Resaltado fuera de texto)  </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Así mismo, dentro de dicho documento en este mismo sentido se expuso lo siguiente:</w:t>
      </w:r>
    </w:p>
    <w:p w:rsidR="00B62FDD" w:rsidRPr="007F428A" w:rsidRDefault="00B62FDD" w:rsidP="00B62FDD">
      <w:pPr>
        <w:ind w:left="0"/>
        <w:contextualSpacing/>
        <w:jc w:val="both"/>
        <w:rPr>
          <w:rFonts w:ascii="Bookman Old Style" w:hAnsi="Bookman Old Style"/>
          <w:lang w:val="es-CO"/>
        </w:rPr>
      </w:pPr>
    </w:p>
    <w:p w:rsidR="00B62FDD" w:rsidRPr="008C1452" w:rsidRDefault="00B62FDD" w:rsidP="00B62FDD">
      <w:pPr>
        <w:ind w:left="284" w:right="284"/>
        <w:contextualSpacing/>
        <w:jc w:val="both"/>
        <w:rPr>
          <w:rFonts w:ascii="Bookman Old Style" w:hAnsi="Bookman Old Style"/>
          <w:sz w:val="22"/>
          <w:szCs w:val="22"/>
          <w:lang w:val="es-CO"/>
        </w:rPr>
      </w:pPr>
      <w:r w:rsidRPr="008C1452">
        <w:rPr>
          <w:rFonts w:ascii="Bookman Old Style" w:hAnsi="Bookman Old Style"/>
          <w:sz w:val="22"/>
          <w:szCs w:val="22"/>
          <w:lang w:val="es-CO"/>
        </w:rPr>
        <w:t xml:space="preserve">“Durante el proceso de expedición de la nueva regulación, la CREG ha sido consciente de que el cambio de las reglas debe involucrar procesos de transición que les permita a las empresas existentes acomodarse a la nueva situación. Así, hoy existe una gran multiplicidad de compradores, bien Distribuidores o bien Comercializadores Mayoristas, que presentan diversidad de condiciones y se encuentran en diferentes estadios del proceso de transición. Para ellos, en este momento de transformación y siempre y cuando cumplan los requisitos exigidos para adquirir el GLP, el acceso al producto no debería convertirse en una barrera que influya sus decisiones de permanencia, transformación o entrada al mercado y, por lo tanto, debe generarse un escenario en donde la asignación del GLP del que disponga Ecopetrol para el mercado se haga en igualdad de oportunidades de compra, en forma transparente para hacer claros los resultados de la asignación y en forma eficiente reflejando la disponibilidad a pagar de la demanda. </w:t>
      </w:r>
      <w:r w:rsidRPr="008C1452">
        <w:rPr>
          <w:rFonts w:ascii="Bookman Old Style" w:hAnsi="Bookman Old Style"/>
          <w:b/>
          <w:sz w:val="22"/>
          <w:szCs w:val="22"/>
          <w:u w:val="single"/>
          <w:lang w:val="es-CO"/>
        </w:rPr>
        <w:t>Este proceso de asignación debe además servir para conocer de manera adecuada el balance de oferta/demanda que le permita a la CREG tomar decisiones oportunas para definir la señal de precios que asegure el suministro de GLP para el servicio público domiciliario de gas combustible</w:t>
      </w:r>
      <w:r w:rsidRPr="008C1452">
        <w:rPr>
          <w:rFonts w:ascii="Bookman Old Style" w:hAnsi="Bookman Old Style"/>
          <w:sz w:val="22"/>
          <w:szCs w:val="22"/>
          <w:lang w:val="es-CO"/>
        </w:rPr>
        <w:t>”. (Resaltado fuera de texto)</w:t>
      </w:r>
    </w:p>
    <w:p w:rsidR="00B62FDD" w:rsidRPr="007F428A" w:rsidRDefault="00B62FDD" w:rsidP="00B62FDD">
      <w:pPr>
        <w:ind w:left="0"/>
        <w:contextualSpacing/>
        <w:jc w:val="both"/>
        <w:rPr>
          <w:rFonts w:ascii="Bookman Old Style" w:hAnsi="Bookman Old Style"/>
          <w:lang w:val="es-CO"/>
        </w:rPr>
      </w:pPr>
    </w:p>
    <w:p w:rsidR="00B62FDD" w:rsidRPr="007F428A" w:rsidRDefault="00B62FDD" w:rsidP="00B62FDD">
      <w:pPr>
        <w:ind w:left="0"/>
        <w:contextualSpacing/>
        <w:jc w:val="both"/>
        <w:rPr>
          <w:rFonts w:ascii="Bookman Old Style" w:hAnsi="Bookman Old Style"/>
          <w:lang w:val="es-CO"/>
        </w:rPr>
      </w:pPr>
      <w:r w:rsidRPr="007F428A">
        <w:rPr>
          <w:rFonts w:ascii="Bookman Old Style" w:hAnsi="Bookman Old Style"/>
          <w:lang w:val="es-CO"/>
        </w:rPr>
        <w:t>En relación con lo anterior, como parte de las medidas regulatorias adoptadas por la CREG, en el marco de la comercialización mayorista del producto, los resultados de la aplicación de la oferta pública de cantidades (OPC), como mecanismo para la compra y venta del producto al por mayor, y el acceso al producto por parte de los diferentes agentes de la cadena, de acuerdo con lo previsto en el reglamento de comercialización mayorista de GLP, Resolución CREG 053 de 2011</w:t>
      </w:r>
      <w:r w:rsidRPr="007F428A">
        <w:rPr>
          <w:rFonts w:ascii="Bookman Old Style" w:hAnsi="Bookman Old Style"/>
          <w:vertAlign w:val="superscript"/>
          <w:lang w:val="es-CO"/>
        </w:rPr>
        <w:footnoteReference w:id="5"/>
      </w:r>
      <w:r w:rsidRPr="007F428A">
        <w:rPr>
          <w:rFonts w:ascii="Bookman Old Style" w:hAnsi="Bookman Old Style"/>
          <w:lang w:val="es-CO"/>
        </w:rPr>
        <w:t>, permiten evidenciar y conocer de manera adecuada, así como en un mayor grado de realidad, el resultado del balance entre oferta y demanda. Esto, toda vez que mediante dicha regulación se busca dar igual oportunidad a todos los agentes interesados en adquirir el producto nacional regulado para atender su demanda, sea esta residencial, comercial o industrial</w:t>
      </w:r>
      <w:r>
        <w:rPr>
          <w:rFonts w:ascii="Bookman Old Style" w:hAnsi="Bookman Old Style"/>
          <w:lang w:val="es-CO"/>
        </w:rPr>
        <w:t xml:space="preserve">, de acuerdo con la </w:t>
      </w:r>
      <w:r w:rsidRPr="007F428A">
        <w:rPr>
          <w:rFonts w:ascii="Bookman Old Style" w:hAnsi="Bookman Old Style"/>
          <w:lang w:val="es-CO"/>
        </w:rPr>
        <w:t xml:space="preserve">aplicación </w:t>
      </w:r>
      <w:r>
        <w:rPr>
          <w:rFonts w:ascii="Bookman Old Style" w:hAnsi="Bookman Old Style"/>
          <w:lang w:val="es-CO"/>
        </w:rPr>
        <w:t xml:space="preserve">que de éste mecanismo </w:t>
      </w:r>
      <w:r w:rsidRPr="007F428A">
        <w:rPr>
          <w:rFonts w:ascii="Bookman Old Style" w:hAnsi="Bookman Old Style"/>
          <w:lang w:val="es-CO"/>
        </w:rPr>
        <w:t xml:space="preserve">se viene realizando a partir del 1º de octubre de 2011. </w:t>
      </w:r>
    </w:p>
    <w:p w:rsidR="00B62FDD" w:rsidRDefault="00B62FDD" w:rsidP="00B62FDD">
      <w:pPr>
        <w:ind w:left="0"/>
        <w:contextualSpacing/>
        <w:jc w:val="both"/>
        <w:rPr>
          <w:rFonts w:ascii="Bookman Old Style" w:hAnsi="Bookman Old Style"/>
          <w:lang w:val="es-CO"/>
        </w:rPr>
      </w:pPr>
    </w:p>
    <w:p w:rsidR="00BB73A6" w:rsidRDefault="00B62FDD" w:rsidP="00B62FDD">
      <w:pPr>
        <w:ind w:left="0"/>
        <w:contextualSpacing/>
        <w:jc w:val="both"/>
        <w:rPr>
          <w:rFonts w:ascii="Bookman Old Style" w:hAnsi="Bookman Old Style"/>
          <w:lang w:val="es-CO"/>
        </w:rPr>
      </w:pPr>
      <w:r w:rsidRPr="007F428A">
        <w:rPr>
          <w:rFonts w:ascii="Bookman Old Style" w:hAnsi="Bookman Old Style"/>
          <w:lang w:val="es-CO"/>
        </w:rPr>
        <w:lastRenderedPageBreak/>
        <w:t xml:space="preserve">De acuerdo con lo expuesto, la CREG ha advertido desde el proceso de consulta, así como dentro de las medidas adoptadas para la regulación de la comercialización mayorista de GLP, como parte de la adopción de la metodología de costo de oportunidad, que existe la posibilidad de analizar la condición de valor de referencia como parte de la actualización que se debe hacer del balance entre oferta y demanda. </w:t>
      </w:r>
    </w:p>
    <w:p w:rsidR="003454A1" w:rsidRPr="007F428A" w:rsidRDefault="003454A1" w:rsidP="00B62FDD">
      <w:pPr>
        <w:ind w:left="0"/>
        <w:contextualSpacing/>
        <w:jc w:val="both"/>
        <w:rPr>
          <w:rFonts w:ascii="Bookman Old Style" w:hAnsi="Bookman Old Style"/>
          <w:lang w:val="es-CO"/>
        </w:rPr>
      </w:pPr>
    </w:p>
    <w:p w:rsidR="00B62FDD" w:rsidRPr="00B62FDD" w:rsidRDefault="00B62FDD" w:rsidP="00B62FDD">
      <w:pPr>
        <w:ind w:left="0"/>
        <w:contextualSpacing/>
        <w:jc w:val="both"/>
        <w:rPr>
          <w:rFonts w:ascii="Bookman Old Style" w:hAnsi="Bookman Old Style"/>
        </w:rPr>
      </w:pPr>
      <w:r w:rsidRPr="003454A1">
        <w:rPr>
          <w:rFonts w:ascii="Bookman Old Style" w:hAnsi="Bookman Old Style"/>
        </w:rPr>
        <w:t xml:space="preserve">Atendiendo lo anterior, </w:t>
      </w:r>
      <w:r w:rsidRPr="003454A1">
        <w:rPr>
          <w:rFonts w:ascii="Bookman Old Style" w:hAnsi="Bookman Old Style"/>
          <w:lang w:val="es-CO"/>
        </w:rPr>
        <w:t>la CREG expidió la Resolución CREG 079 de 2015 mediante la cual se adoptaron medidas regulatorias como parte de la actualización del balance oferta demanda del gas licuado de petróleo para las fuentes con precio regulado. Lo anterior, toda vez que le corresponde expedir a esta Comisión las medidas regulatorias oportunas que brinden señales de precio eficiente, en especial las asociadas a la escasez, que aseguren el suministro de GLP para el servicio público domiciliario, dando cumplimiento a los fines y criterios previstos en la Ley 142 de 1994, así como de los objetivos perseguidos por la regulación.</w:t>
      </w:r>
      <w:r w:rsidRPr="00C07899">
        <w:rPr>
          <w:rFonts w:ascii="Bookman Old Style" w:hAnsi="Bookman Old Style"/>
          <w:lang w:val="es-CO"/>
        </w:rPr>
        <w:t xml:space="preserve"> </w:t>
      </w:r>
    </w:p>
    <w:p w:rsidR="00B62FDD" w:rsidRPr="00363C55" w:rsidRDefault="00B62FDD" w:rsidP="00B62FDD">
      <w:pPr>
        <w:ind w:left="0"/>
        <w:contextualSpacing/>
        <w:jc w:val="both"/>
        <w:rPr>
          <w:rFonts w:ascii="Bookman Old Style" w:hAnsi="Bookman Old Style"/>
          <w:sz w:val="32"/>
          <w:lang w:val="es-CO"/>
        </w:rPr>
      </w:pPr>
    </w:p>
    <w:p w:rsidR="00B62FDD" w:rsidRDefault="00B62FDD" w:rsidP="00B62FDD">
      <w:pPr>
        <w:ind w:left="0"/>
        <w:contextualSpacing/>
        <w:jc w:val="both"/>
        <w:rPr>
          <w:rFonts w:ascii="Bookman Old Style" w:hAnsi="Bookman Old Style"/>
          <w:lang w:val="es-CO"/>
        </w:rPr>
      </w:pPr>
      <w:r w:rsidRPr="00C07899">
        <w:rPr>
          <w:rFonts w:ascii="Bookman Old Style" w:hAnsi="Bookman Old Style"/>
          <w:lang w:val="es-CO"/>
        </w:rPr>
        <w:t xml:space="preserve">Esta medida regulatoria es resultado de la aplicación de la regulación vigente, prevista entre otras en la Resolución CREG 066 de 2007, para determinar el precio máximo de suministro </w:t>
      </w:r>
      <w:r w:rsidR="00FE5FA0">
        <w:rPr>
          <w:rFonts w:ascii="Bookman Old Style" w:hAnsi="Bookman Old Style"/>
          <w:lang w:val="es-CO"/>
        </w:rPr>
        <w:t xml:space="preserve">a ser trasladado a los distribuidores de producto proveniente de </w:t>
      </w:r>
      <w:r w:rsidRPr="00C07899">
        <w:rPr>
          <w:rFonts w:ascii="Bookman Old Style" w:hAnsi="Bookman Old Style"/>
          <w:lang w:val="es-CO"/>
        </w:rPr>
        <w:t>fuentes reguladas</w:t>
      </w:r>
      <w:r w:rsidR="00FE5FA0">
        <w:rPr>
          <w:rFonts w:ascii="Bookman Old Style" w:hAnsi="Bookman Old Style"/>
          <w:lang w:val="es-CO"/>
        </w:rPr>
        <w:t>,</w:t>
      </w:r>
      <w:r w:rsidRPr="00C07899">
        <w:rPr>
          <w:rFonts w:ascii="Bookman Old Style" w:hAnsi="Bookman Old Style"/>
          <w:lang w:val="es-CO"/>
        </w:rPr>
        <w:t xml:space="preserve"> que </w:t>
      </w:r>
      <w:r w:rsidR="00FE5FA0">
        <w:rPr>
          <w:rFonts w:ascii="Bookman Old Style" w:hAnsi="Bookman Old Style"/>
          <w:lang w:val="es-CO"/>
        </w:rPr>
        <w:t xml:space="preserve">en este caso </w:t>
      </w:r>
      <w:r w:rsidRPr="00C07899">
        <w:rPr>
          <w:rFonts w:ascii="Bookman Old Style" w:hAnsi="Bookman Old Style"/>
          <w:lang w:val="es-CO"/>
        </w:rPr>
        <w:t xml:space="preserve">corresponde al costo de oportunidad. Lo anterior, toda vez que la CREG identificó que el costo de oportunidad del GLP para el productor cambió dada la situación de los precios internacionales del butano y del propano, así como por la posibilidad de sustituir el gas natural por GLP en </w:t>
      </w:r>
      <w:r w:rsidR="00FE5FA0">
        <w:rPr>
          <w:rFonts w:ascii="Bookman Old Style" w:hAnsi="Bookman Old Style"/>
          <w:lang w:val="es-CO"/>
        </w:rPr>
        <w:t xml:space="preserve">los </w:t>
      </w:r>
      <w:r w:rsidRPr="00C07899">
        <w:rPr>
          <w:rFonts w:ascii="Bookman Old Style" w:hAnsi="Bookman Old Style"/>
          <w:lang w:val="es-CO"/>
        </w:rPr>
        <w:t xml:space="preserve">procesos de combustión en refinería. Ante esta situación, la Resolución </w:t>
      </w:r>
      <w:r w:rsidR="00FE5FA0">
        <w:rPr>
          <w:rFonts w:ascii="Bookman Old Style" w:hAnsi="Bookman Old Style"/>
          <w:lang w:val="es-CO"/>
        </w:rPr>
        <w:t xml:space="preserve">CREG </w:t>
      </w:r>
      <w:r w:rsidRPr="00C07899">
        <w:rPr>
          <w:rFonts w:ascii="Bookman Old Style" w:hAnsi="Bookman Old Style"/>
          <w:lang w:val="es-CO"/>
        </w:rPr>
        <w:t>079 de 2015 busca enviar una señal de precios eficiente</w:t>
      </w:r>
      <w:r w:rsidR="00FE5FA0">
        <w:rPr>
          <w:rFonts w:ascii="Bookman Old Style" w:hAnsi="Bookman Old Style"/>
          <w:lang w:val="es-CO"/>
        </w:rPr>
        <w:t>,</w:t>
      </w:r>
      <w:r w:rsidRPr="00C07899">
        <w:rPr>
          <w:rFonts w:ascii="Bookman Old Style" w:hAnsi="Bookman Old Style"/>
          <w:lang w:val="es-CO"/>
        </w:rPr>
        <w:t xml:space="preserve"> concord</w:t>
      </w:r>
      <w:r w:rsidR="00FE5FA0">
        <w:rPr>
          <w:rFonts w:ascii="Bookman Old Style" w:hAnsi="Bookman Old Style"/>
          <w:lang w:val="es-CO"/>
        </w:rPr>
        <w:t>ante</w:t>
      </w:r>
      <w:r w:rsidRPr="00C07899">
        <w:rPr>
          <w:rFonts w:ascii="Bookman Old Style" w:hAnsi="Bookman Old Style"/>
          <w:lang w:val="es-CO"/>
        </w:rPr>
        <w:t xml:space="preserve"> con la regulación vigente, que incentive al productor a of</w:t>
      </w:r>
      <w:r w:rsidR="00FE5FA0">
        <w:rPr>
          <w:rFonts w:ascii="Bookman Old Style" w:hAnsi="Bookman Old Style"/>
          <w:lang w:val="es-CO"/>
        </w:rPr>
        <w:t xml:space="preserve">recer </w:t>
      </w:r>
      <w:r w:rsidRPr="00C07899">
        <w:rPr>
          <w:rFonts w:ascii="Bookman Old Style" w:hAnsi="Bookman Old Style"/>
          <w:lang w:val="es-CO"/>
        </w:rPr>
        <w:t xml:space="preserve">el GLP </w:t>
      </w:r>
      <w:r w:rsidR="00FE5FA0">
        <w:rPr>
          <w:rFonts w:ascii="Bookman Old Style" w:hAnsi="Bookman Old Style"/>
          <w:lang w:val="es-CO"/>
        </w:rPr>
        <w:t>a</w:t>
      </w:r>
      <w:r w:rsidRPr="00C07899">
        <w:rPr>
          <w:rFonts w:ascii="Bookman Old Style" w:hAnsi="Bookman Old Style"/>
          <w:lang w:val="es-CO"/>
        </w:rPr>
        <w:t>l mercado nacional para el servicio público domiciliario</w:t>
      </w:r>
      <w:r w:rsidR="00FE5FA0">
        <w:rPr>
          <w:rFonts w:ascii="Bookman Old Style" w:hAnsi="Bookman Old Style"/>
          <w:lang w:val="es-CO"/>
        </w:rPr>
        <w:t>,</w:t>
      </w:r>
      <w:r w:rsidRPr="00C07899">
        <w:rPr>
          <w:rFonts w:ascii="Bookman Old Style" w:hAnsi="Bookman Old Style"/>
          <w:lang w:val="es-CO"/>
        </w:rPr>
        <w:t xml:space="preserve"> en lugar de </w:t>
      </w:r>
      <w:r w:rsidR="00FE5FA0">
        <w:rPr>
          <w:rFonts w:ascii="Bookman Old Style" w:hAnsi="Bookman Old Style"/>
          <w:lang w:val="es-CO"/>
        </w:rPr>
        <w:t>destinarlo al auto</w:t>
      </w:r>
      <w:r w:rsidRPr="00C07899">
        <w:rPr>
          <w:rFonts w:ascii="Bookman Old Style" w:hAnsi="Bookman Old Style"/>
          <w:lang w:val="es-CO"/>
        </w:rPr>
        <w:t>consumo en su refinería</w:t>
      </w:r>
      <w:r w:rsidRPr="00C07899">
        <w:rPr>
          <w:rFonts w:ascii="Bookman Old Style" w:hAnsi="Bookman Old Style"/>
          <w:vertAlign w:val="superscript"/>
        </w:rPr>
        <w:footnoteReference w:id="6"/>
      </w:r>
      <w:r w:rsidRPr="00C07899">
        <w:rPr>
          <w:rFonts w:ascii="Bookman Old Style" w:hAnsi="Bookman Old Style"/>
          <w:lang w:val="es-CO"/>
        </w:rPr>
        <w:t>.</w:t>
      </w:r>
      <w:r w:rsidR="00B5168F">
        <w:rPr>
          <w:rFonts w:ascii="Bookman Old Style" w:hAnsi="Bookman Old Style"/>
          <w:lang w:val="es-CO"/>
        </w:rPr>
        <w:t xml:space="preserve"> En relación con lo anterior, dentro de las consideraciones expuestas en dicho acto administrativo se </w:t>
      </w:r>
      <w:r w:rsidR="00D945FA">
        <w:rPr>
          <w:rFonts w:ascii="Bookman Old Style" w:hAnsi="Bookman Old Style"/>
          <w:lang w:val="es-CO"/>
        </w:rPr>
        <w:t xml:space="preserve">mencionó </w:t>
      </w:r>
      <w:r w:rsidR="00B5168F">
        <w:rPr>
          <w:rFonts w:ascii="Bookman Old Style" w:hAnsi="Bookman Old Style"/>
          <w:lang w:val="es-CO"/>
        </w:rPr>
        <w:t>lo siguiente:</w:t>
      </w:r>
    </w:p>
    <w:p w:rsidR="00B5168F" w:rsidRDefault="00B5168F" w:rsidP="00B62FDD">
      <w:pPr>
        <w:ind w:left="0"/>
        <w:contextualSpacing/>
        <w:jc w:val="both"/>
        <w:rPr>
          <w:rFonts w:ascii="Bookman Old Style" w:hAnsi="Bookman Old Style"/>
          <w:lang w:val="es-CO"/>
        </w:rPr>
      </w:pPr>
    </w:p>
    <w:p w:rsidR="00B5168F" w:rsidRPr="00B5168F" w:rsidRDefault="00B5168F" w:rsidP="00B5168F">
      <w:pPr>
        <w:ind w:left="284" w:right="284"/>
        <w:contextualSpacing/>
        <w:jc w:val="both"/>
        <w:rPr>
          <w:rFonts w:ascii="Bookman Old Style" w:hAnsi="Bookman Old Style" w:cs="Calibri"/>
          <w:iCs/>
          <w:sz w:val="22"/>
          <w:szCs w:val="22"/>
          <w:lang w:val="es-CO" w:eastAsia="es-CO"/>
        </w:rPr>
      </w:pPr>
      <w:r>
        <w:rPr>
          <w:rFonts w:ascii="Bookman Old Style" w:hAnsi="Bookman Old Style" w:cs="Calibri"/>
          <w:iCs/>
          <w:sz w:val="22"/>
          <w:szCs w:val="22"/>
          <w:lang w:val="es-CO" w:eastAsia="es-CO"/>
        </w:rPr>
        <w:t>“</w:t>
      </w:r>
      <w:r w:rsidRPr="00B5168F">
        <w:rPr>
          <w:rFonts w:ascii="Bookman Old Style" w:hAnsi="Bookman Old Style" w:cs="Calibri"/>
          <w:iCs/>
          <w:sz w:val="22"/>
          <w:szCs w:val="22"/>
          <w:lang w:val="es-CO" w:eastAsia="es-CO"/>
        </w:rPr>
        <w:t>Como parte del análisis del balance entre oferta y demanda, la situación actual muestra que los precios internacionales, a los que se encuentra indexado el precio máximo de suministro de GLP para fuentes con precio regulado, han caído sustancialmente, hecho que tuvo inicio durante el segundo semestre de 2014. Se observa que en el último trimestre de 2014 el precio máximo regulado de GLP tiene su mayor disminución y si se revisa la variación de dicho precio entre enero de 2014 y enero de 2015 la reducción fue del orden del 26.7%.</w:t>
      </w:r>
    </w:p>
    <w:p w:rsidR="00B5168F" w:rsidRPr="00B5168F" w:rsidRDefault="00B5168F" w:rsidP="00B5168F">
      <w:pPr>
        <w:ind w:left="284" w:right="284"/>
        <w:contextualSpacing/>
        <w:jc w:val="both"/>
        <w:rPr>
          <w:rFonts w:ascii="Bookman Old Style" w:hAnsi="Bookman Old Style" w:cs="Calibri"/>
          <w:iCs/>
          <w:sz w:val="22"/>
          <w:szCs w:val="22"/>
          <w:lang w:val="es-CO" w:eastAsia="es-CO"/>
        </w:rPr>
      </w:pPr>
    </w:p>
    <w:p w:rsidR="00B5168F" w:rsidRPr="00B5168F" w:rsidRDefault="00B5168F" w:rsidP="00B5168F">
      <w:pPr>
        <w:ind w:left="284" w:right="284"/>
        <w:contextualSpacing/>
        <w:jc w:val="both"/>
        <w:rPr>
          <w:rFonts w:ascii="Bookman Old Style" w:hAnsi="Bookman Old Style" w:cs="Calibri"/>
          <w:iCs/>
          <w:sz w:val="22"/>
          <w:szCs w:val="22"/>
          <w:lang w:val="es-CO" w:eastAsia="es-CO"/>
        </w:rPr>
      </w:pPr>
      <w:r w:rsidRPr="00B5168F">
        <w:rPr>
          <w:rFonts w:ascii="Bookman Old Style" w:hAnsi="Bookman Old Style" w:cs="Calibri"/>
          <w:iCs/>
          <w:sz w:val="22"/>
          <w:szCs w:val="22"/>
          <w:lang w:val="es-CO" w:eastAsia="es-CO"/>
        </w:rPr>
        <w:t>En la coyuntura actual de precios internacionales, diferentes alternativas para el uso del GLP empiezan a tener mayor racionalidad para un productor, desde el punto de vista económico y financiero, que considerar la opción de exportar el producto. El mercado internacional pasa a un segundo plano y la disminución de los costos, a través de la utilización de GLP como alternativa de combustible, en los procesos de refinación y secado de gas natural, comienza a ser la prioridad para el productor.</w:t>
      </w:r>
    </w:p>
    <w:p w:rsidR="00B5168F" w:rsidRPr="00B5168F" w:rsidRDefault="00B5168F" w:rsidP="00B5168F">
      <w:pPr>
        <w:ind w:left="284" w:right="284"/>
        <w:contextualSpacing/>
        <w:jc w:val="both"/>
        <w:rPr>
          <w:rFonts w:ascii="Bookman Old Style" w:hAnsi="Bookman Old Style" w:cs="Calibri"/>
          <w:iCs/>
          <w:sz w:val="22"/>
          <w:szCs w:val="22"/>
          <w:lang w:val="es-CO" w:eastAsia="es-CO"/>
        </w:rPr>
      </w:pPr>
    </w:p>
    <w:p w:rsidR="00B5168F" w:rsidRPr="00B5168F" w:rsidRDefault="00B5168F" w:rsidP="00B5168F">
      <w:pPr>
        <w:ind w:left="284" w:right="284"/>
        <w:contextualSpacing/>
        <w:jc w:val="both"/>
        <w:rPr>
          <w:rFonts w:ascii="Bookman Old Style" w:hAnsi="Bookman Old Style" w:cs="Calibri"/>
          <w:iCs/>
          <w:sz w:val="22"/>
          <w:szCs w:val="22"/>
          <w:lang w:val="es-CO" w:eastAsia="es-CO"/>
        </w:rPr>
      </w:pPr>
      <w:r w:rsidRPr="00B5168F">
        <w:rPr>
          <w:rFonts w:ascii="Bookman Old Style" w:hAnsi="Bookman Old Style" w:cs="Calibri"/>
          <w:iCs/>
          <w:sz w:val="22"/>
          <w:szCs w:val="22"/>
          <w:lang w:val="es-CO" w:eastAsia="es-CO"/>
        </w:rPr>
        <w:lastRenderedPageBreak/>
        <w:t xml:space="preserve">A partir de enero de 2015, al comparar el promedio histórico de cantidades de GLP asignadas mediante OPC y la cantidad de producto ofertado, se pasó de una situación de exceso de oferta a una situación en la que se demanda todo lo ofrecido. Al analizar la cantidad de producto ofrecida por Ecopetrol, según comunicación de Ecopetrol del 20 de febrero de 2015, con radicado CREG </w:t>
      </w:r>
      <w:r w:rsidR="008C1452">
        <w:rPr>
          <w:rFonts w:ascii="Bookman Old Style" w:hAnsi="Bookman Old Style" w:cs="Calibri"/>
          <w:iCs/>
          <w:sz w:val="22"/>
          <w:szCs w:val="22"/>
          <w:lang w:val="es-CO" w:eastAsia="es-CO"/>
        </w:rPr>
        <w:t>No. E-2015-001630 y con asunto ‘</w:t>
      </w:r>
      <w:r w:rsidRPr="00B5168F">
        <w:rPr>
          <w:rFonts w:ascii="Bookman Old Style" w:hAnsi="Bookman Old Style" w:cs="Calibri"/>
          <w:iCs/>
          <w:sz w:val="22"/>
          <w:szCs w:val="22"/>
          <w:lang w:val="es-CO" w:eastAsia="es-CO"/>
        </w:rPr>
        <w:t>Cantidades de GLP para la OPC del periodo abril 2015 – marzo 201</w:t>
      </w:r>
      <w:r w:rsidR="008C1452">
        <w:rPr>
          <w:rFonts w:ascii="Bookman Old Style" w:hAnsi="Bookman Old Style" w:cs="Calibri"/>
          <w:iCs/>
          <w:sz w:val="22"/>
          <w:szCs w:val="22"/>
          <w:lang w:val="es-CO" w:eastAsia="es-CO"/>
        </w:rPr>
        <w:t>6’</w:t>
      </w:r>
      <w:r w:rsidRPr="00B5168F">
        <w:rPr>
          <w:rFonts w:ascii="Bookman Old Style" w:hAnsi="Bookman Old Style" w:cs="Calibri"/>
          <w:iCs/>
          <w:sz w:val="22"/>
          <w:szCs w:val="22"/>
          <w:lang w:val="es-CO" w:eastAsia="es-CO"/>
        </w:rPr>
        <w:t>, y el promedio histórico de las cantidades demandas en las OPC, se evidencia una posible coyuntura de desabastecimiento a partir del mes de julio de 2015. Con una demanda nacional cercana a los 45 millones de kg de GLP al mes y una oferta agregada de las fuentes con precio regulado, disponibles para las OPC, de 30 millones de kg al mes, se podría prever un déficit de oferta cercano al 33%.</w:t>
      </w:r>
    </w:p>
    <w:p w:rsidR="00B5168F" w:rsidRPr="00B5168F" w:rsidRDefault="00B5168F" w:rsidP="00B5168F">
      <w:pPr>
        <w:ind w:left="284" w:right="284"/>
        <w:contextualSpacing/>
        <w:jc w:val="both"/>
        <w:rPr>
          <w:rFonts w:ascii="Bookman Old Style" w:hAnsi="Bookman Old Style" w:cs="Calibri"/>
          <w:iCs/>
          <w:sz w:val="22"/>
          <w:szCs w:val="22"/>
          <w:lang w:val="es-CO" w:eastAsia="es-CO"/>
        </w:rPr>
      </w:pPr>
    </w:p>
    <w:p w:rsidR="00B5168F" w:rsidRPr="00B5168F" w:rsidRDefault="00B5168F" w:rsidP="00B5168F">
      <w:pPr>
        <w:ind w:left="284" w:right="284"/>
        <w:contextualSpacing/>
        <w:jc w:val="both"/>
        <w:rPr>
          <w:rFonts w:ascii="Bookman Old Style" w:hAnsi="Bookman Old Style" w:cs="Calibri"/>
          <w:iCs/>
          <w:sz w:val="22"/>
          <w:szCs w:val="22"/>
          <w:lang w:val="es-CO" w:eastAsia="es-CO"/>
        </w:rPr>
      </w:pPr>
      <w:r w:rsidRPr="00B5168F">
        <w:rPr>
          <w:rFonts w:ascii="Bookman Old Style" w:hAnsi="Bookman Old Style" w:cs="Calibri"/>
          <w:iCs/>
          <w:sz w:val="22"/>
          <w:szCs w:val="22"/>
          <w:lang w:val="es-CO" w:eastAsia="es-CO"/>
        </w:rPr>
        <w:t>Al efectuar el análisis por fuente</w:t>
      </w:r>
      <w:r w:rsidR="00FE5FA0">
        <w:rPr>
          <w:rFonts w:ascii="Bookman Old Style" w:hAnsi="Bookman Old Style" w:cs="Calibri"/>
          <w:iCs/>
          <w:sz w:val="22"/>
          <w:szCs w:val="22"/>
          <w:lang w:val="es-CO" w:eastAsia="es-CO"/>
        </w:rPr>
        <w:t>,</w:t>
      </w:r>
      <w:r w:rsidRPr="00B5168F">
        <w:rPr>
          <w:rFonts w:ascii="Bookman Old Style" w:hAnsi="Bookman Old Style" w:cs="Calibri"/>
          <w:iCs/>
          <w:sz w:val="22"/>
          <w:szCs w:val="22"/>
          <w:lang w:val="es-CO" w:eastAsia="es-CO"/>
        </w:rPr>
        <w:t xml:space="preserve"> de la cantidad de producto ofrecido por parte de Ecopetrol para la OPC del periodo abril 2015 – marzo 2016, se puede identificar que la reducción notable en la oferta de GLP corresponde, entre otras, principalmente a la fuente Barrancabermeja. Revisando la información histórica de oferta para esta fuente y la información de oferta remitida por Ecopetrol, mediante comunicación con radicado CREG No. E-2015-001630, se evidencia un recorte de oferta del producto cercana al 50%.</w:t>
      </w:r>
    </w:p>
    <w:p w:rsidR="00B5168F" w:rsidRPr="00B5168F" w:rsidRDefault="00B5168F" w:rsidP="00B5168F">
      <w:pPr>
        <w:ind w:left="284" w:right="284"/>
        <w:contextualSpacing/>
        <w:jc w:val="both"/>
        <w:rPr>
          <w:rFonts w:ascii="Bookman Old Style" w:hAnsi="Bookman Old Style" w:cs="Calibri"/>
          <w:iCs/>
          <w:sz w:val="22"/>
          <w:szCs w:val="22"/>
          <w:lang w:val="es-CO" w:eastAsia="es-CO"/>
        </w:rPr>
      </w:pPr>
    </w:p>
    <w:p w:rsidR="00B5168F" w:rsidRPr="00B5168F" w:rsidRDefault="00B5168F" w:rsidP="00B5168F">
      <w:pPr>
        <w:ind w:left="284" w:right="284"/>
        <w:contextualSpacing/>
        <w:jc w:val="both"/>
        <w:rPr>
          <w:rFonts w:ascii="Bookman Old Style" w:hAnsi="Bookman Old Style" w:cs="Calibri"/>
          <w:iCs/>
          <w:sz w:val="22"/>
          <w:szCs w:val="22"/>
          <w:lang w:val="es-CO" w:eastAsia="es-CO"/>
        </w:rPr>
      </w:pPr>
      <w:r w:rsidRPr="00B5168F">
        <w:rPr>
          <w:rFonts w:ascii="Bookman Old Style" w:hAnsi="Bookman Old Style" w:cs="Calibri"/>
          <w:iCs/>
          <w:sz w:val="22"/>
          <w:szCs w:val="22"/>
          <w:lang w:val="es-CO" w:eastAsia="es-CO"/>
        </w:rPr>
        <w:t>En virtud del análisis anterior, en este momento el mercado internacional no refleja necesariamente el costo de oportunidad del producto en todas las fuentes con precio regulado. Con el fin de que el productor destine su producción al consumo de la demanda nacional, se debe entonces reconocer por lo menos el valor equivalente a su mejor alternativa.</w:t>
      </w:r>
      <w:r>
        <w:rPr>
          <w:rFonts w:ascii="Bookman Old Style" w:hAnsi="Bookman Old Style" w:cs="Calibri"/>
          <w:iCs/>
          <w:sz w:val="22"/>
          <w:szCs w:val="22"/>
          <w:lang w:val="es-CO" w:eastAsia="es-CO"/>
        </w:rPr>
        <w:t>”</w:t>
      </w:r>
    </w:p>
    <w:p w:rsidR="00B5168F" w:rsidRDefault="00B5168F" w:rsidP="00B62FDD">
      <w:pPr>
        <w:ind w:left="0"/>
        <w:contextualSpacing/>
        <w:jc w:val="both"/>
        <w:rPr>
          <w:rFonts w:ascii="Bookman Old Style" w:hAnsi="Bookman Old Style"/>
          <w:lang w:val="es-CO"/>
        </w:rPr>
      </w:pPr>
    </w:p>
    <w:p w:rsidR="00957328" w:rsidRDefault="00957328" w:rsidP="00957328">
      <w:pPr>
        <w:ind w:left="0"/>
        <w:contextualSpacing/>
        <w:jc w:val="both"/>
        <w:rPr>
          <w:rFonts w:ascii="Bookman Old Style" w:hAnsi="Bookman Old Style"/>
          <w:lang w:val="es-CO"/>
        </w:rPr>
      </w:pPr>
      <w:r>
        <w:rPr>
          <w:rFonts w:ascii="Bookman Old Style" w:hAnsi="Bookman Old Style"/>
          <w:lang w:val="es-CO"/>
        </w:rPr>
        <w:t>En este sentido, se evidenció en la Resolución CREG 079 de 2015 que</w:t>
      </w:r>
      <w:r w:rsidRPr="007F428A">
        <w:rPr>
          <w:rFonts w:ascii="Bookman Old Style" w:hAnsi="Bookman Old Style"/>
          <w:lang w:val="es-CO"/>
        </w:rPr>
        <w:t xml:space="preserve"> </w:t>
      </w:r>
      <w:r>
        <w:rPr>
          <w:rFonts w:ascii="Bookman Old Style" w:hAnsi="Bookman Old Style"/>
          <w:lang w:val="es-CO"/>
        </w:rPr>
        <w:t>ante la coyuntura de precios internacionales, los usos alternativos que tiene el productor</w:t>
      </w:r>
      <w:r w:rsidRPr="007F428A">
        <w:rPr>
          <w:rFonts w:ascii="Bookman Old Style" w:hAnsi="Bookman Old Style"/>
          <w:lang w:val="es-CO"/>
        </w:rPr>
        <w:t xml:space="preserve"> se vuelve</w:t>
      </w:r>
      <w:r>
        <w:rPr>
          <w:rFonts w:ascii="Bookman Old Style" w:hAnsi="Bookman Old Style"/>
          <w:lang w:val="es-CO"/>
        </w:rPr>
        <w:t>n</w:t>
      </w:r>
      <w:r w:rsidRPr="007F428A">
        <w:rPr>
          <w:rFonts w:ascii="Bookman Old Style" w:hAnsi="Bookman Old Style"/>
          <w:lang w:val="es-CO"/>
        </w:rPr>
        <w:t xml:space="preserve"> entonces el nuevo referente de la remuneración a pagar por el GLP, reflejando en estas circunstancias el costo de oportunidad del productor.</w:t>
      </w:r>
    </w:p>
    <w:p w:rsidR="00957328" w:rsidRPr="007F428A" w:rsidRDefault="00957328" w:rsidP="00957328">
      <w:pPr>
        <w:ind w:left="0"/>
        <w:contextualSpacing/>
        <w:jc w:val="both"/>
        <w:rPr>
          <w:rFonts w:ascii="Bookman Old Style" w:hAnsi="Bookman Old Style"/>
          <w:lang w:val="es-CO"/>
        </w:rPr>
      </w:pPr>
    </w:p>
    <w:p w:rsidR="00957328" w:rsidRPr="007F428A" w:rsidRDefault="00E22660" w:rsidP="00957328">
      <w:pPr>
        <w:ind w:left="0"/>
        <w:contextualSpacing/>
        <w:jc w:val="both"/>
        <w:rPr>
          <w:rFonts w:ascii="Bookman Old Style" w:hAnsi="Bookman Old Style"/>
          <w:lang w:val="es-CO"/>
        </w:rPr>
      </w:pPr>
      <w:r>
        <w:rPr>
          <w:rFonts w:ascii="Bookman Old Style" w:hAnsi="Bookman Old Style"/>
          <w:lang w:val="es-CO"/>
        </w:rPr>
        <w:t>Ahora bien</w:t>
      </w:r>
      <w:r w:rsidR="00957328">
        <w:rPr>
          <w:rFonts w:ascii="Bookman Old Style" w:hAnsi="Bookman Old Style"/>
          <w:lang w:val="es-CO"/>
        </w:rPr>
        <w:t xml:space="preserve">, </w:t>
      </w:r>
      <w:r w:rsidR="008C1452">
        <w:rPr>
          <w:rFonts w:ascii="Bookman Old Style" w:hAnsi="Bookman Old Style"/>
          <w:lang w:val="es-CO"/>
        </w:rPr>
        <w:t xml:space="preserve">se debe tener en cuenta que </w:t>
      </w:r>
      <w:r w:rsidR="00957328" w:rsidRPr="007F428A">
        <w:rPr>
          <w:rFonts w:ascii="Bookman Old Style" w:hAnsi="Bookman Old Style"/>
          <w:lang w:val="es-CO"/>
        </w:rPr>
        <w:t>la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00957328" w:rsidRPr="007F428A">
        <w:rPr>
          <w:rStyle w:val="Refdenotaalpie"/>
          <w:rFonts w:ascii="Bookman Old Style" w:hAnsi="Bookman Old Style"/>
          <w:lang w:val="es-CO"/>
        </w:rPr>
        <w:footnoteReference w:id="7"/>
      </w:r>
      <w:r w:rsidR="00957328" w:rsidRPr="007F428A">
        <w:rPr>
          <w:rFonts w:ascii="Bookman Old Style" w:hAnsi="Bookman Old Style"/>
          <w:lang w:val="es-CO"/>
        </w:rPr>
        <w:t>.</w:t>
      </w:r>
    </w:p>
    <w:p w:rsidR="00957328" w:rsidRPr="007F428A" w:rsidRDefault="00957328" w:rsidP="00957328">
      <w:pPr>
        <w:ind w:left="0"/>
        <w:contextualSpacing/>
        <w:jc w:val="both"/>
        <w:rPr>
          <w:rFonts w:ascii="Bookman Old Style" w:hAnsi="Bookman Old Style"/>
          <w:lang w:val="es-CO"/>
        </w:rPr>
      </w:pPr>
    </w:p>
    <w:p w:rsidR="00957328" w:rsidRPr="007F428A" w:rsidRDefault="00957328" w:rsidP="00957328">
      <w:pPr>
        <w:ind w:left="0"/>
        <w:contextualSpacing/>
        <w:jc w:val="both"/>
        <w:rPr>
          <w:rFonts w:ascii="Bookman Old Style" w:hAnsi="Bookman Old Style"/>
          <w:lang w:val="es-CO"/>
        </w:rPr>
      </w:pPr>
      <w:r w:rsidRPr="007F428A">
        <w:rPr>
          <w:rFonts w:ascii="Bookman Old Style" w:hAnsi="Bookman Old Style"/>
          <w:lang w:val="es-CO"/>
        </w:rPr>
        <w:t xml:space="preserve">Así mismo, las medidas regulatorias que se adopten </w:t>
      </w:r>
      <w:r w:rsidRPr="007F428A">
        <w:rPr>
          <w:rFonts w:ascii="Bookman Old Style" w:eastAsia="Calibri" w:hAnsi="Bookman Old Style"/>
          <w:lang w:val="es-ES_tradnl" w:eastAsia="en-US"/>
        </w:rPr>
        <w:t>deben propender tanto por la convergencia entre los intereses colectivos que persigue la prestación de los servicios públicos, como por aquellos intereses de las empresas en relación con la competencia, la iniciativa privada y la libertad de empresa, entendidas como la existencia de “</w:t>
      </w:r>
      <w:r w:rsidRPr="007F428A">
        <w:rPr>
          <w:rFonts w:ascii="Bookman Old Style" w:eastAsia="Calibri" w:hAnsi="Bookman Old Style"/>
          <w:i/>
          <w:lang w:val="es-ES_tradnl" w:eastAsia="en-US"/>
        </w:rPr>
        <w:t>relaciones jurídicas de equilibrio entre usuarios y las empresas prestadoras de servicios públicos domiciliarios”</w:t>
      </w:r>
      <w:r w:rsidRPr="007F428A">
        <w:rPr>
          <w:rFonts w:ascii="Bookman Old Style" w:eastAsia="Calibri" w:hAnsi="Bookman Old Style"/>
          <w:vertAlign w:val="superscript"/>
          <w:lang w:val="es-ES_tradnl" w:eastAsia="en-US"/>
        </w:rPr>
        <w:footnoteReference w:id="8"/>
      </w:r>
      <w:r w:rsidRPr="007F428A">
        <w:rPr>
          <w:rFonts w:ascii="Bookman Old Style" w:eastAsia="Calibri" w:hAnsi="Bookman Old Style"/>
          <w:i/>
          <w:lang w:val="es-ES_tradnl" w:eastAsia="en-US"/>
        </w:rPr>
        <w:t>.</w:t>
      </w:r>
    </w:p>
    <w:p w:rsidR="00957328" w:rsidRPr="007F428A" w:rsidRDefault="00957328" w:rsidP="00957328">
      <w:pPr>
        <w:ind w:left="0"/>
        <w:contextualSpacing/>
        <w:jc w:val="both"/>
        <w:rPr>
          <w:rFonts w:ascii="Bookman Old Style" w:hAnsi="Bookman Old Style"/>
          <w:lang w:val="es-CO"/>
        </w:rPr>
      </w:pPr>
    </w:p>
    <w:p w:rsidR="00957328" w:rsidRDefault="00957328" w:rsidP="00957328">
      <w:pPr>
        <w:ind w:left="0"/>
        <w:contextualSpacing/>
        <w:jc w:val="both"/>
        <w:rPr>
          <w:rFonts w:ascii="Bookman Old Style" w:eastAsia="Calibri" w:hAnsi="Bookman Old Style"/>
          <w:lang w:val="es-ES_tradnl" w:eastAsia="en-US"/>
        </w:rPr>
      </w:pPr>
      <w:r w:rsidRPr="007F428A">
        <w:rPr>
          <w:rFonts w:ascii="Bookman Old Style" w:eastAsia="Calibri" w:hAnsi="Bookman Old Style"/>
          <w:lang w:val="es-CO" w:eastAsia="en-US"/>
        </w:rPr>
        <w:lastRenderedPageBreak/>
        <w:t>Dicha</w:t>
      </w:r>
      <w:r w:rsidRPr="007F428A">
        <w:rPr>
          <w:rFonts w:ascii="Bookman Old Style" w:eastAsia="Calibri" w:hAnsi="Bookman Old Style"/>
          <w:lang w:val="es-ES_tradnl" w:eastAsia="en-US"/>
        </w:rPr>
        <w:t xml:space="preserve">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7F428A">
        <w:rPr>
          <w:rFonts w:ascii="Bookman Old Style" w:eastAsia="Calibri" w:hAnsi="Bookman Old Style"/>
          <w:vertAlign w:val="superscript"/>
          <w:lang w:val="es-ES_tradnl" w:eastAsia="en-US"/>
        </w:rPr>
        <w:footnoteReference w:id="9"/>
      </w:r>
      <w:r w:rsidRPr="007F428A">
        <w:rPr>
          <w:rFonts w:ascii="Bookman Old Style" w:eastAsia="Calibri" w:hAnsi="Bookman Old Style"/>
          <w:lang w:val="es-ES_tradnl" w:eastAsia="en-US"/>
        </w:rPr>
        <w:t>. Sobre este punto expone la Corte:</w:t>
      </w:r>
    </w:p>
    <w:p w:rsidR="00957328" w:rsidRPr="007F428A" w:rsidRDefault="00957328" w:rsidP="00957328">
      <w:pPr>
        <w:ind w:left="0"/>
        <w:contextualSpacing/>
        <w:jc w:val="both"/>
        <w:rPr>
          <w:rFonts w:ascii="Bookman Old Style" w:hAnsi="Bookman Old Style"/>
          <w:lang w:val="es-CO"/>
        </w:rPr>
      </w:pPr>
    </w:p>
    <w:p w:rsidR="00957328" w:rsidRDefault="00957328" w:rsidP="00957328">
      <w:pPr>
        <w:ind w:left="284" w:right="284"/>
        <w:contextualSpacing/>
        <w:jc w:val="both"/>
        <w:rPr>
          <w:rFonts w:ascii="Bookman Old Style" w:hAnsi="Bookman Old Style" w:cs="Calibri"/>
          <w:iCs/>
          <w:sz w:val="22"/>
          <w:szCs w:val="22"/>
          <w:lang w:val="es-CO" w:eastAsia="es-CO"/>
        </w:rPr>
      </w:pPr>
      <w:r w:rsidRPr="007F428A">
        <w:rPr>
          <w:rFonts w:ascii="Bookman Old Style" w:hAnsi="Bookman Old Style" w:cs="Calibri"/>
          <w:i/>
          <w:iCs/>
          <w:sz w:val="22"/>
          <w:szCs w:val="22"/>
          <w:lang w:val="es-CO" w:eastAsia="es-CO"/>
        </w:rPr>
        <w:t>“Los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r w:rsidRPr="007F428A">
        <w:rPr>
          <w:rFonts w:ascii="Bookman Old Style" w:hAnsi="Bookman Old Style" w:cs="Calibri"/>
          <w:iCs/>
          <w:sz w:val="22"/>
          <w:szCs w:val="22"/>
          <w:lang w:val="es-CO" w:eastAsia="es-CO"/>
        </w:rPr>
        <w:t>.</w:t>
      </w:r>
    </w:p>
    <w:p w:rsidR="00957328" w:rsidRDefault="00957328" w:rsidP="00957328">
      <w:pPr>
        <w:ind w:left="284" w:right="284"/>
        <w:contextualSpacing/>
        <w:jc w:val="both"/>
        <w:rPr>
          <w:rFonts w:ascii="Bookman Old Style" w:hAnsi="Bookman Old Style" w:cs="Calibri"/>
          <w:i/>
          <w:iCs/>
          <w:sz w:val="22"/>
          <w:szCs w:val="22"/>
          <w:lang w:val="es-CO" w:eastAsia="es-CO"/>
        </w:rPr>
      </w:pPr>
    </w:p>
    <w:p w:rsidR="00957328" w:rsidRDefault="00957328" w:rsidP="00957328">
      <w:pPr>
        <w:ind w:left="284" w:right="284"/>
        <w:contextualSpacing/>
        <w:jc w:val="both"/>
        <w:rPr>
          <w:rFonts w:ascii="Bookman Old Style" w:hAnsi="Bookman Old Style" w:cs="Calibri"/>
          <w:sz w:val="22"/>
          <w:szCs w:val="22"/>
          <w:lang w:val="es-CO" w:eastAsia="es-CO"/>
        </w:rPr>
      </w:pPr>
      <w:r>
        <w:rPr>
          <w:rFonts w:ascii="Bookman Old Style" w:hAnsi="Bookman Old Style" w:cs="Calibri"/>
          <w:i/>
          <w:iCs/>
          <w:sz w:val="22"/>
          <w:szCs w:val="22"/>
          <w:lang w:val="es-CO" w:eastAsia="es-CO"/>
        </w:rPr>
        <w:t>(</w:t>
      </w:r>
      <w:r>
        <w:rPr>
          <w:rFonts w:ascii="Bookman Old Style" w:hAnsi="Bookman Old Style" w:cs="Calibri"/>
          <w:sz w:val="22"/>
          <w:szCs w:val="22"/>
          <w:lang w:val="es-CO" w:eastAsia="es-CO"/>
        </w:rPr>
        <w:t>…)</w:t>
      </w:r>
    </w:p>
    <w:p w:rsidR="00957328" w:rsidRPr="007F428A" w:rsidRDefault="00957328" w:rsidP="00957328">
      <w:pPr>
        <w:ind w:left="284" w:right="284"/>
        <w:contextualSpacing/>
        <w:jc w:val="both"/>
        <w:rPr>
          <w:rFonts w:ascii="Bookman Old Style" w:hAnsi="Bookman Old Style" w:cs="Calibri"/>
          <w:sz w:val="22"/>
          <w:szCs w:val="22"/>
          <w:lang w:val="es-CO" w:eastAsia="es-CO"/>
        </w:rPr>
      </w:pPr>
    </w:p>
    <w:p w:rsidR="00957328" w:rsidRPr="007F428A" w:rsidRDefault="00957328" w:rsidP="00957328">
      <w:pPr>
        <w:ind w:left="284" w:right="284"/>
        <w:contextualSpacing/>
        <w:jc w:val="both"/>
        <w:rPr>
          <w:rFonts w:ascii="Bookman Old Style" w:eastAsia="Calibri" w:hAnsi="Bookman Old Style"/>
          <w:lang w:val="es-ES_tradnl" w:eastAsia="en-US"/>
        </w:rPr>
      </w:pPr>
      <w:r w:rsidRPr="007F428A">
        <w:rPr>
          <w:rFonts w:ascii="Bookman Old Style" w:hAnsi="Bookman Old Style" w:cs="Calibri"/>
          <w:i/>
          <w:iCs/>
          <w:color w:val="000000"/>
          <w:sz w:val="20"/>
          <w:szCs w:val="20"/>
          <w:lang w:val="es-CO" w:eastAsia="es-CO"/>
        </w:rPr>
        <w:t>“</w:t>
      </w:r>
      <w:r w:rsidRPr="007F428A">
        <w:rPr>
          <w:rFonts w:ascii="Bookman Old Style" w:hAnsi="Bookman Old Style" w:cs="Calibri"/>
          <w:b/>
          <w:i/>
          <w:iCs/>
          <w:color w:val="000000"/>
          <w:sz w:val="20"/>
          <w:szCs w:val="20"/>
          <w:u w:val="single"/>
          <w:lang w:val="es-CO" w:eastAsia="es-CO"/>
        </w:rPr>
        <w:t xml:space="preserve">La regulación, en tanto que mecanismo de intervención del Estado, busca garantizar </w:t>
      </w:r>
      <w:r w:rsidRPr="007F428A">
        <w:rPr>
          <w:rFonts w:ascii="Bookman Old Style" w:hAnsi="Bookman Old Style" w:cs="Calibri"/>
          <w:b/>
          <w:i/>
          <w:iCs/>
          <w:sz w:val="20"/>
          <w:szCs w:val="20"/>
          <w:u w:val="single"/>
          <w:lang w:val="es-CO" w:eastAsia="es-CO"/>
        </w:rPr>
        <w:t>la efectividad de los principios sociales y el adecuado funcionamiento del mercado</w:t>
      </w:r>
      <w:r w:rsidRPr="007F428A">
        <w:rPr>
          <w:rFonts w:ascii="Bookman Old Style" w:hAnsi="Bookman Old Style" w:cs="Calibri"/>
          <w:i/>
          <w:iCs/>
          <w:sz w:val="20"/>
          <w:szCs w:val="20"/>
          <w:u w:val="single"/>
          <w:lang w:val="es-CO" w:eastAsia="es-CO"/>
        </w:rPr>
        <w:t xml:space="preserve"> (…)”.</w:t>
      </w:r>
      <w:r w:rsidRPr="007F428A">
        <w:rPr>
          <w:rFonts w:ascii="Bookman Old Style" w:hAnsi="Bookman Old Style" w:cs="Calibri"/>
          <w:i/>
          <w:iCs/>
          <w:sz w:val="20"/>
          <w:szCs w:val="20"/>
          <w:u w:val="single"/>
          <w:vertAlign w:val="superscript"/>
          <w:lang w:val="es-CO" w:eastAsia="es-CO"/>
        </w:rPr>
        <w:footnoteReference w:id="10"/>
      </w:r>
      <w:r w:rsidRPr="007F428A">
        <w:rPr>
          <w:rFonts w:ascii="Bookman Old Style" w:hAnsi="Bookman Old Style" w:cs="Calibri"/>
          <w:iCs/>
          <w:sz w:val="20"/>
          <w:szCs w:val="20"/>
          <w:lang w:val="es-CO" w:eastAsia="es-CO"/>
        </w:rPr>
        <w:t xml:space="preserve"> (Resaltado fuera de texto)</w:t>
      </w:r>
    </w:p>
    <w:p w:rsidR="00957328" w:rsidRPr="007F428A" w:rsidRDefault="00957328" w:rsidP="00957328">
      <w:pPr>
        <w:ind w:left="0"/>
        <w:contextualSpacing/>
        <w:jc w:val="both"/>
        <w:rPr>
          <w:rFonts w:ascii="Bookman Old Style" w:hAnsi="Bookman Old Style"/>
          <w:lang w:val="es-ES_tradnl"/>
        </w:rPr>
      </w:pPr>
    </w:p>
    <w:p w:rsidR="00957328" w:rsidRPr="007F428A" w:rsidRDefault="00957328" w:rsidP="00957328">
      <w:pPr>
        <w:ind w:left="0"/>
        <w:contextualSpacing/>
        <w:jc w:val="both"/>
        <w:rPr>
          <w:rFonts w:ascii="Bookman Old Style" w:hAnsi="Bookman Old Style"/>
          <w:lang w:val="es-CO"/>
        </w:rPr>
      </w:pPr>
      <w:r w:rsidRPr="007F428A">
        <w:rPr>
          <w:rFonts w:ascii="Bookman Old Style" w:hAnsi="Bookman Old Style"/>
          <w:lang w:val="es-CO"/>
        </w:rPr>
        <w:t>Esto, teniendo en cuenta que la jurisprudencia constitucional</w:t>
      </w:r>
      <w:r w:rsidRPr="007F428A">
        <w:rPr>
          <w:rFonts w:ascii="Bookman Old Style" w:hAnsi="Bookman Old Style"/>
          <w:vertAlign w:val="superscript"/>
          <w:lang w:val="es-CO"/>
        </w:rPr>
        <w:footnoteReference w:id="11"/>
      </w:r>
      <w:r w:rsidRPr="007F428A">
        <w:rPr>
          <w:rFonts w:ascii="Bookman Old Style" w:hAnsi="Bookman Old Style"/>
          <w:vertAlign w:val="superscript"/>
          <w:lang w:val="es-CO"/>
        </w:rPr>
        <w:t xml:space="preserve"> </w:t>
      </w:r>
      <w:r w:rsidRPr="007F428A">
        <w:rPr>
          <w:rFonts w:ascii="Bookman Old Style" w:hAnsi="Bookman Old Style"/>
          <w:lang w:val="es-CO"/>
        </w:rPr>
        <w:t xml:space="preserve">ha precisado que la regulación, como mecanismo de intervención del Estado en la economía, así como las funciones que en esta materia le han sido atribuidas a las comisiones de regulación en materia de servicios públicos domiciliarios, se debe ejercer a fin de garantizar la prestación eficiente de los servicios, en este caso de energía eléctrica y gas combustible, el buen funcionamiento del mercado, </w:t>
      </w:r>
      <w:r w:rsidRPr="007F428A">
        <w:rPr>
          <w:rFonts w:ascii="Bookman Old Style" w:eastAsia="Calibri" w:hAnsi="Bookman Old Style"/>
          <w:lang w:val="es-ES_tradnl" w:eastAsia="en-US"/>
        </w:rPr>
        <w:t>los fines sociales del Estado</w:t>
      </w:r>
      <w:r w:rsidRPr="007F428A">
        <w:rPr>
          <w:rFonts w:ascii="Bookman Old Style" w:eastAsia="Calibri" w:hAnsi="Bookman Old Style"/>
          <w:vertAlign w:val="superscript"/>
          <w:lang w:val="es-ES_tradnl" w:eastAsia="en-US"/>
        </w:rPr>
        <w:footnoteReference w:id="12"/>
      </w:r>
      <w:r w:rsidRPr="007F428A">
        <w:rPr>
          <w:rFonts w:ascii="Bookman Old Style" w:eastAsia="Calibri" w:hAnsi="Bookman Old Style"/>
          <w:lang w:val="es-ES_tradnl" w:eastAsia="en-US"/>
        </w:rPr>
        <w:t>, la corrección de las imperfecciones del mercado</w:t>
      </w:r>
      <w:r w:rsidRPr="007F428A">
        <w:rPr>
          <w:rFonts w:ascii="Bookman Old Style" w:eastAsia="Calibri" w:hAnsi="Bookman Old Style"/>
          <w:vertAlign w:val="superscript"/>
          <w:lang w:val="es-ES_tradnl" w:eastAsia="en-US"/>
        </w:rPr>
        <w:footnoteReference w:id="13"/>
      </w:r>
      <w:r w:rsidRPr="007F428A">
        <w:rPr>
          <w:rFonts w:ascii="Bookman Old Style" w:eastAsia="Calibri" w:hAnsi="Bookman Old Style"/>
          <w:lang w:val="es-ES_tradnl" w:eastAsia="en-US"/>
        </w:rPr>
        <w:t>, así como la satisfacción del interés general, entre otros.</w:t>
      </w:r>
    </w:p>
    <w:p w:rsidR="00B62FDD" w:rsidRPr="00957328" w:rsidRDefault="00B62FDD" w:rsidP="00B62FDD">
      <w:pPr>
        <w:ind w:left="0"/>
        <w:jc w:val="both"/>
        <w:rPr>
          <w:rFonts w:ascii="Bookman Old Style" w:hAnsi="Bookman Old Style"/>
          <w:lang w:val="es-CO"/>
        </w:rPr>
      </w:pPr>
    </w:p>
    <w:p w:rsidR="00542351" w:rsidRPr="00542351" w:rsidRDefault="00A71269" w:rsidP="00542351">
      <w:pPr>
        <w:ind w:left="0"/>
        <w:jc w:val="both"/>
        <w:rPr>
          <w:rFonts w:ascii="Bookman Old Style" w:hAnsi="Bookman Old Style"/>
        </w:rPr>
      </w:pPr>
      <w:r>
        <w:rPr>
          <w:rFonts w:ascii="Bookman Old Style" w:hAnsi="Bookman Old Style"/>
        </w:rPr>
        <w:t xml:space="preserve">En este sentido, </w:t>
      </w:r>
      <w:r w:rsidR="00542351">
        <w:rPr>
          <w:rFonts w:ascii="Bookman Old Style" w:hAnsi="Bookman Old Style"/>
        </w:rPr>
        <w:t>se ha preci</w:t>
      </w:r>
      <w:r w:rsidR="00D945FA">
        <w:rPr>
          <w:rFonts w:ascii="Bookman Old Style" w:hAnsi="Bookman Old Style"/>
        </w:rPr>
        <w:t xml:space="preserve">sado por parte de esta Comisión, </w:t>
      </w:r>
      <w:r w:rsidR="00542351" w:rsidRPr="007F428A">
        <w:rPr>
          <w:rFonts w:ascii="Bookman Old Style" w:hAnsi="Bookman Old Style"/>
          <w:lang w:val="es-CO"/>
        </w:rPr>
        <w:t>de</w:t>
      </w:r>
      <w:r w:rsidR="00D945FA">
        <w:rPr>
          <w:rFonts w:ascii="Bookman Old Style" w:hAnsi="Bookman Old Style"/>
          <w:lang w:val="es-CO"/>
        </w:rPr>
        <w:t>ntro de</w:t>
      </w:r>
      <w:r w:rsidR="00542351" w:rsidRPr="007F428A">
        <w:rPr>
          <w:rFonts w:ascii="Bookman Old Style" w:hAnsi="Bookman Old Style"/>
          <w:lang w:val="es-CO"/>
        </w:rPr>
        <w:t xml:space="preserve"> las medidas adoptadas en la Resolución CREG 066 de 2007 y la adopción de esta metodología, la posibilidad de analizar la condición de valor de referencia, tomada como costo de oportunidad, como parte de la revisión de las condiciones del balance entre oferta y demanda</w:t>
      </w:r>
      <w:r w:rsidR="00542351">
        <w:rPr>
          <w:rFonts w:ascii="Bookman Old Style" w:hAnsi="Bookman Old Style"/>
          <w:lang w:val="es-CO"/>
        </w:rPr>
        <w:t>, ante la evidencia de algún evento que afectara dicho balance y la señal de precio</w:t>
      </w:r>
      <w:r w:rsidR="00542351" w:rsidRPr="007F428A">
        <w:rPr>
          <w:rFonts w:ascii="Bookman Old Style" w:hAnsi="Bookman Old Style"/>
          <w:lang w:val="es-CO"/>
        </w:rPr>
        <w:t>. Lo anterior, debido a que dentro del marco de prestación del servicio público domiciliario, la regulación, en cumplimiento de lo previsto en la Ley 142 de 1994, debía brindar señales de precio eficiente que aseguraran el suministro de GLP para el servicio público domiciliario.</w:t>
      </w:r>
    </w:p>
    <w:p w:rsidR="00DF6C71" w:rsidRDefault="00DF6C71" w:rsidP="00B62FDD">
      <w:pPr>
        <w:ind w:left="0"/>
        <w:jc w:val="both"/>
        <w:rPr>
          <w:rFonts w:ascii="Bookman Old Style" w:hAnsi="Bookman Old Style"/>
          <w:lang w:val="es-CO"/>
        </w:rPr>
      </w:pPr>
    </w:p>
    <w:p w:rsidR="00760FFF" w:rsidRDefault="00DF6C71" w:rsidP="00B62FDD">
      <w:pPr>
        <w:ind w:left="0"/>
        <w:jc w:val="both"/>
        <w:rPr>
          <w:rFonts w:ascii="Bookman Old Style" w:hAnsi="Bookman Old Style"/>
          <w:lang w:val="es-CO"/>
        </w:rPr>
      </w:pPr>
      <w:r>
        <w:rPr>
          <w:rFonts w:ascii="Bookman Old Style" w:hAnsi="Bookman Old Style"/>
          <w:lang w:val="es-CO"/>
        </w:rPr>
        <w:t>C</w:t>
      </w:r>
      <w:r w:rsidR="0058608B" w:rsidRPr="0058608B">
        <w:rPr>
          <w:rFonts w:ascii="Bookman Old Style" w:hAnsi="Bookman Old Style"/>
          <w:lang w:val="es-CO"/>
        </w:rPr>
        <w:t xml:space="preserve">omo </w:t>
      </w:r>
      <w:r>
        <w:rPr>
          <w:rFonts w:ascii="Bookman Old Style" w:hAnsi="Bookman Old Style"/>
          <w:lang w:val="es-CO"/>
        </w:rPr>
        <w:t xml:space="preserve">resultado </w:t>
      </w:r>
      <w:r w:rsidR="0058608B" w:rsidRPr="0058608B">
        <w:rPr>
          <w:rFonts w:ascii="Bookman Old Style" w:hAnsi="Bookman Old Style"/>
          <w:lang w:val="es-CO"/>
        </w:rPr>
        <w:t>del análisis del balance entre oferta y demanda</w:t>
      </w:r>
      <w:r w:rsidR="0058608B">
        <w:rPr>
          <w:rFonts w:ascii="Bookman Old Style" w:hAnsi="Bookman Old Style"/>
          <w:lang w:val="es-CO"/>
        </w:rPr>
        <w:t xml:space="preserve">, así como del seguimiento a las medidas adoptadas en la Resolución CREG 079 de 2015, </w:t>
      </w:r>
      <w:r w:rsidR="002B1F56">
        <w:rPr>
          <w:rFonts w:ascii="Bookman Old Style" w:hAnsi="Bookman Old Style"/>
          <w:lang w:val="es-CO"/>
        </w:rPr>
        <w:t xml:space="preserve">la </w:t>
      </w:r>
      <w:r w:rsidR="002B1F56">
        <w:rPr>
          <w:rFonts w:ascii="Bookman Old Style" w:hAnsi="Bookman Old Style"/>
          <w:lang w:val="es-CO"/>
        </w:rPr>
        <w:lastRenderedPageBreak/>
        <w:t>Comisión</w:t>
      </w:r>
      <w:r>
        <w:rPr>
          <w:rFonts w:ascii="Bookman Old Style" w:hAnsi="Bookman Old Style"/>
          <w:lang w:val="es-CO"/>
        </w:rPr>
        <w:t>,</w:t>
      </w:r>
      <w:r w:rsidR="002B1F56">
        <w:rPr>
          <w:rFonts w:ascii="Bookman Old Style" w:hAnsi="Bookman Old Style"/>
          <w:lang w:val="es-CO"/>
        </w:rPr>
        <w:t xml:space="preserve"> en dicha resolución</w:t>
      </w:r>
      <w:r>
        <w:rPr>
          <w:rFonts w:ascii="Bookman Old Style" w:hAnsi="Bookman Old Style"/>
          <w:lang w:val="es-CO"/>
        </w:rPr>
        <w:t>,</w:t>
      </w:r>
      <w:r w:rsidR="002B1F56">
        <w:rPr>
          <w:rFonts w:ascii="Bookman Old Style" w:hAnsi="Bookman Old Style"/>
          <w:lang w:val="es-CO"/>
        </w:rPr>
        <w:t xml:space="preserve"> </w:t>
      </w:r>
      <w:r>
        <w:rPr>
          <w:rFonts w:ascii="Bookman Old Style" w:hAnsi="Bookman Old Style"/>
          <w:lang w:val="es-CO"/>
        </w:rPr>
        <w:t>dio</w:t>
      </w:r>
      <w:r w:rsidR="002B1F56">
        <w:rPr>
          <w:rFonts w:ascii="Bookman Old Style" w:hAnsi="Bookman Old Style"/>
          <w:lang w:val="es-CO"/>
        </w:rPr>
        <w:t xml:space="preserve"> una señal de precio </w:t>
      </w:r>
      <w:r w:rsidR="002B1F56" w:rsidRPr="002B1F56">
        <w:rPr>
          <w:rFonts w:ascii="Bookman Old Style" w:hAnsi="Bookman Old Style"/>
          <w:lang w:val="es-CO"/>
        </w:rPr>
        <w:t xml:space="preserve">eficiente </w:t>
      </w:r>
      <w:r w:rsidR="002B1F56">
        <w:rPr>
          <w:rFonts w:ascii="Bookman Old Style" w:hAnsi="Bookman Old Style"/>
          <w:lang w:val="es-CO"/>
        </w:rPr>
        <w:t>a las fuentes con precio regulado a fin de asegurar</w:t>
      </w:r>
      <w:r w:rsidR="002B1F56" w:rsidRPr="002B1F56">
        <w:rPr>
          <w:rFonts w:ascii="Bookman Old Style" w:hAnsi="Bookman Old Style"/>
          <w:lang w:val="es-CO"/>
        </w:rPr>
        <w:t xml:space="preserve"> el suministro de GLP para el servicio público domiciliario</w:t>
      </w:r>
      <w:r w:rsidR="00D65A37">
        <w:rPr>
          <w:rFonts w:ascii="Bookman Old Style" w:hAnsi="Bookman Old Style"/>
          <w:lang w:val="es-CO"/>
        </w:rPr>
        <w:t>. S</w:t>
      </w:r>
      <w:r w:rsidR="002B1F56">
        <w:rPr>
          <w:rFonts w:ascii="Bookman Old Style" w:hAnsi="Bookman Old Style"/>
          <w:lang w:val="es-CO"/>
        </w:rPr>
        <w:t>in embargo, para el</w:t>
      </w:r>
      <w:r w:rsidR="001D631B">
        <w:rPr>
          <w:rFonts w:ascii="Bookman Old Style" w:hAnsi="Bookman Old Style"/>
          <w:lang w:val="es-CO"/>
        </w:rPr>
        <w:t xml:space="preserve"> caso de la fuente Cartagena, existen eventos que han sido identificados por parte de esta Comisión</w:t>
      </w:r>
      <w:r>
        <w:rPr>
          <w:rFonts w:ascii="Bookman Old Style" w:hAnsi="Bookman Old Style"/>
          <w:lang w:val="es-CO"/>
        </w:rPr>
        <w:t xml:space="preserve"> que le permiten establecer que el productor considera el mejor uso para el GLP corresponde al del mercado externo. Dichos eventos tienen </w:t>
      </w:r>
      <w:r w:rsidR="001D631B">
        <w:rPr>
          <w:rFonts w:ascii="Bookman Old Style" w:hAnsi="Bookman Old Style"/>
          <w:lang w:val="es-CO"/>
        </w:rPr>
        <w:t xml:space="preserve">relación </w:t>
      </w:r>
      <w:r w:rsidR="00F43FC4">
        <w:rPr>
          <w:rFonts w:ascii="Bookman Old Style" w:hAnsi="Bookman Old Style"/>
          <w:lang w:val="es-CO"/>
        </w:rPr>
        <w:t>con comportamientos del comercializad</w:t>
      </w:r>
      <w:r w:rsidR="00760FFF">
        <w:rPr>
          <w:rFonts w:ascii="Bookman Old Style" w:hAnsi="Bookman Old Style"/>
          <w:lang w:val="es-CO"/>
        </w:rPr>
        <w:t>or mayorista de precio regulado, con respecto a que este no</w:t>
      </w:r>
      <w:r w:rsidR="00F43FC4">
        <w:rPr>
          <w:rFonts w:ascii="Bookman Old Style" w:hAnsi="Bookman Old Style"/>
          <w:lang w:val="es-CO"/>
        </w:rPr>
        <w:t xml:space="preserve"> </w:t>
      </w:r>
      <w:r w:rsidR="006A5709">
        <w:rPr>
          <w:rFonts w:ascii="Bookman Old Style" w:hAnsi="Bookman Old Style"/>
          <w:lang w:val="es-CO"/>
        </w:rPr>
        <w:t>está</w:t>
      </w:r>
      <w:r w:rsidR="002049E4">
        <w:rPr>
          <w:rFonts w:ascii="Bookman Old Style" w:hAnsi="Bookman Old Style"/>
          <w:lang w:val="es-CO"/>
        </w:rPr>
        <w:t xml:space="preserve"> utilizando ni priorizando el </w:t>
      </w:r>
      <w:r>
        <w:rPr>
          <w:rFonts w:ascii="Bookman Old Style" w:hAnsi="Bookman Old Style"/>
          <w:lang w:val="es-CO"/>
        </w:rPr>
        <w:t xml:space="preserve">producto </w:t>
      </w:r>
      <w:r w:rsidR="006A5709">
        <w:rPr>
          <w:rFonts w:ascii="Bookman Old Style" w:hAnsi="Bookman Old Style"/>
          <w:lang w:val="es-CO"/>
        </w:rPr>
        <w:t>como alternativa de combustible</w:t>
      </w:r>
      <w:r w:rsidR="002049E4" w:rsidRPr="00F43FC4">
        <w:rPr>
          <w:rFonts w:ascii="Bookman Old Style" w:hAnsi="Bookman Old Style"/>
          <w:lang w:val="es-CO"/>
        </w:rPr>
        <w:t xml:space="preserve"> en los procesos de refinación y</w:t>
      </w:r>
      <w:r w:rsidR="002049E4">
        <w:rPr>
          <w:rFonts w:ascii="Bookman Old Style" w:hAnsi="Bookman Old Style"/>
          <w:lang w:val="es-CO"/>
        </w:rPr>
        <w:t xml:space="preserve"> secado de gas natural, </w:t>
      </w:r>
      <w:r w:rsidR="00760FFF">
        <w:rPr>
          <w:rFonts w:ascii="Bookman Old Style" w:hAnsi="Bookman Old Style"/>
          <w:lang w:val="es-CO"/>
        </w:rPr>
        <w:t>sino que</w:t>
      </w:r>
      <w:r w:rsidR="00D65A37">
        <w:rPr>
          <w:rFonts w:ascii="Bookman Old Style" w:hAnsi="Bookman Old Style"/>
          <w:lang w:val="es-CO"/>
        </w:rPr>
        <w:t>,</w:t>
      </w:r>
      <w:r w:rsidR="006A5709">
        <w:rPr>
          <w:rFonts w:ascii="Bookman Old Style" w:hAnsi="Bookman Old Style"/>
          <w:lang w:val="es-CO"/>
        </w:rPr>
        <w:t xml:space="preserve"> por el contrario</w:t>
      </w:r>
      <w:r w:rsidR="00760FFF">
        <w:rPr>
          <w:rFonts w:ascii="Bookman Old Style" w:hAnsi="Bookman Old Style"/>
          <w:lang w:val="es-CO"/>
        </w:rPr>
        <w:t xml:space="preserve">, </w:t>
      </w:r>
      <w:r w:rsidR="00D65A37">
        <w:rPr>
          <w:rFonts w:ascii="Bookman Old Style" w:hAnsi="Bookman Old Style"/>
          <w:lang w:val="es-CO"/>
        </w:rPr>
        <w:t xml:space="preserve">se ha destinado a la celebración de </w:t>
      </w:r>
      <w:r w:rsidR="0009364F">
        <w:rPr>
          <w:rFonts w:ascii="Bookman Old Style" w:hAnsi="Bookman Old Style"/>
          <w:lang w:val="es-CO"/>
        </w:rPr>
        <w:t xml:space="preserve">OPC adicionales, así como </w:t>
      </w:r>
      <w:r w:rsidR="00D65A37">
        <w:rPr>
          <w:rFonts w:ascii="Bookman Old Style" w:hAnsi="Bookman Old Style"/>
          <w:lang w:val="es-CO"/>
        </w:rPr>
        <w:t xml:space="preserve">a </w:t>
      </w:r>
      <w:r>
        <w:rPr>
          <w:rFonts w:ascii="Bookman Old Style" w:hAnsi="Bookman Old Style"/>
          <w:lang w:val="es-CO"/>
        </w:rPr>
        <w:t xml:space="preserve">contraer </w:t>
      </w:r>
      <w:r w:rsidR="0009364F">
        <w:rPr>
          <w:rFonts w:ascii="Bookman Old Style" w:hAnsi="Bookman Old Style"/>
          <w:lang w:val="es-CO"/>
        </w:rPr>
        <w:t xml:space="preserve">compromisos </w:t>
      </w:r>
      <w:r w:rsidR="00D65A37">
        <w:rPr>
          <w:rFonts w:ascii="Bookman Old Style" w:hAnsi="Bookman Old Style"/>
          <w:lang w:val="es-CO"/>
        </w:rPr>
        <w:t>de exportación</w:t>
      </w:r>
      <w:r w:rsidR="00760FFF">
        <w:rPr>
          <w:rFonts w:ascii="Bookman Old Style" w:hAnsi="Bookman Old Style"/>
          <w:lang w:val="es-CO"/>
        </w:rPr>
        <w:t>.</w:t>
      </w:r>
    </w:p>
    <w:p w:rsidR="009C088B" w:rsidRPr="00DF6C71" w:rsidRDefault="009C088B" w:rsidP="00B62FDD">
      <w:pPr>
        <w:ind w:left="0"/>
        <w:contextualSpacing/>
        <w:jc w:val="both"/>
        <w:rPr>
          <w:rFonts w:ascii="Bookman Old Style" w:hAnsi="Bookman Old Style"/>
          <w:lang w:val="es-CO"/>
        </w:rPr>
      </w:pPr>
    </w:p>
    <w:p w:rsidR="005E49A4" w:rsidRDefault="009C088B" w:rsidP="009C088B">
      <w:pPr>
        <w:ind w:left="0"/>
        <w:jc w:val="both"/>
        <w:rPr>
          <w:rFonts w:ascii="Bookman Old Style" w:hAnsi="Bookman Old Style"/>
        </w:rPr>
      </w:pPr>
      <w:r>
        <w:rPr>
          <w:rFonts w:ascii="Bookman Old Style" w:hAnsi="Bookman Old Style"/>
        </w:rPr>
        <w:t xml:space="preserve">Mediante la Resolución CREG 036 de 2016 se sometió a consulta un proyecto de resolución </w:t>
      </w:r>
      <w:r w:rsidRPr="00351C5D">
        <w:rPr>
          <w:rFonts w:ascii="Bookman Old Style" w:hAnsi="Bookman Old Style"/>
        </w:rPr>
        <w:t>“</w:t>
      </w:r>
      <w:r w:rsidRPr="009C088B">
        <w:rPr>
          <w:rFonts w:ascii="Bookman Old Style" w:hAnsi="Bookman Old Style"/>
        </w:rPr>
        <w:t>Por la cual se adoptan medidas regulatorias como parte de la actualización del balance oferta demanda del gas licuado de petróleo para las fuentes con precio regulado</w:t>
      </w:r>
      <w:r w:rsidRPr="00351C5D">
        <w:rPr>
          <w:rFonts w:ascii="Bookman Old Style" w:hAnsi="Bookman Old Style"/>
        </w:rPr>
        <w:t>”</w:t>
      </w:r>
      <w:r>
        <w:rPr>
          <w:rFonts w:ascii="Bookman Old Style" w:hAnsi="Bookman Old Style"/>
        </w:rPr>
        <w:t>.</w:t>
      </w:r>
      <w:r w:rsidRPr="004C1979">
        <w:rPr>
          <w:rFonts w:ascii="Bookman Old Style" w:hAnsi="Bookman Old Style"/>
        </w:rPr>
        <w:t xml:space="preserve"> </w:t>
      </w:r>
      <w:r>
        <w:rPr>
          <w:rFonts w:ascii="Bookman Old Style" w:hAnsi="Bookman Old Style"/>
        </w:rPr>
        <w:t xml:space="preserve">Frente a dicha propuesta regulatoria se recibieron los comentarios de los siguientes personas: </w:t>
      </w:r>
      <w:r w:rsidR="000A2E74">
        <w:rPr>
          <w:rFonts w:ascii="Bookman Old Style" w:hAnsi="Bookman Old Style"/>
        </w:rPr>
        <w:t xml:space="preserve">Montagas S.A. E.S.P., </w:t>
      </w:r>
      <w:r>
        <w:rPr>
          <w:rFonts w:ascii="Bookman Old Style" w:hAnsi="Bookman Old Style"/>
        </w:rPr>
        <w:t>E</w:t>
      </w:r>
      <w:r w:rsidR="000A2E74">
        <w:rPr>
          <w:rFonts w:ascii="Bookman Old Style" w:hAnsi="Bookman Old Style"/>
        </w:rPr>
        <w:t>copetrol</w:t>
      </w:r>
      <w:r>
        <w:rPr>
          <w:rFonts w:ascii="Bookman Old Style" w:hAnsi="Bookman Old Style"/>
        </w:rPr>
        <w:t xml:space="preserve">, </w:t>
      </w:r>
      <w:r w:rsidRPr="004C1979">
        <w:rPr>
          <w:rFonts w:ascii="Bookman Old Style" w:hAnsi="Bookman Old Style"/>
        </w:rPr>
        <w:t>AGREMGAS</w:t>
      </w:r>
      <w:r w:rsidR="000A2E74">
        <w:rPr>
          <w:rFonts w:ascii="Bookman Old Style" w:hAnsi="Bookman Old Style"/>
        </w:rPr>
        <w:t>, Corporación Soluciones Energéticas Integrales S.A.</w:t>
      </w:r>
      <w:r>
        <w:rPr>
          <w:rFonts w:ascii="Bookman Old Style" w:hAnsi="Bookman Old Style"/>
        </w:rPr>
        <w:t>,</w:t>
      </w:r>
      <w:r w:rsidR="000A2E74">
        <w:rPr>
          <w:rFonts w:ascii="Bookman Old Style" w:hAnsi="Bookman Old Style"/>
        </w:rPr>
        <w:t xml:space="preserve"> Combustibles Líquidos de Colombia S.A. E.S.P.,</w:t>
      </w:r>
      <w:r>
        <w:rPr>
          <w:rFonts w:ascii="Bookman Old Style" w:hAnsi="Bookman Old Style"/>
        </w:rPr>
        <w:t xml:space="preserve"> </w:t>
      </w:r>
      <w:r w:rsidRPr="004C1979">
        <w:rPr>
          <w:rFonts w:ascii="Bookman Old Style" w:hAnsi="Bookman Old Style"/>
        </w:rPr>
        <w:t>U</w:t>
      </w:r>
      <w:r w:rsidR="000A2E74">
        <w:rPr>
          <w:rFonts w:ascii="Bookman Old Style" w:hAnsi="Bookman Old Style"/>
        </w:rPr>
        <w:t xml:space="preserve">nión de </w:t>
      </w:r>
      <w:r w:rsidRPr="004C1979">
        <w:rPr>
          <w:rFonts w:ascii="Bookman Old Style" w:hAnsi="Bookman Old Style"/>
        </w:rPr>
        <w:t>E</w:t>
      </w:r>
      <w:r w:rsidR="000A2E74">
        <w:rPr>
          <w:rFonts w:ascii="Bookman Old Style" w:hAnsi="Bookman Old Style"/>
        </w:rPr>
        <w:t xml:space="preserve">mpresas </w:t>
      </w:r>
      <w:r w:rsidRPr="004C1979">
        <w:rPr>
          <w:rFonts w:ascii="Bookman Old Style" w:hAnsi="Bookman Old Style"/>
        </w:rPr>
        <w:t>C</w:t>
      </w:r>
      <w:r w:rsidR="000A2E74">
        <w:rPr>
          <w:rFonts w:ascii="Bookman Old Style" w:hAnsi="Bookman Old Style"/>
        </w:rPr>
        <w:t xml:space="preserve">olombianas de </w:t>
      </w:r>
      <w:r w:rsidRPr="004C1979">
        <w:rPr>
          <w:rFonts w:ascii="Bookman Old Style" w:hAnsi="Bookman Old Style"/>
        </w:rPr>
        <w:t xml:space="preserve">GLP </w:t>
      </w:r>
      <w:r>
        <w:rPr>
          <w:rFonts w:ascii="Bookman Old Style" w:hAnsi="Bookman Old Style"/>
        </w:rPr>
        <w:t>–</w:t>
      </w:r>
      <w:r w:rsidRPr="004C1979">
        <w:rPr>
          <w:rFonts w:ascii="Bookman Old Style" w:hAnsi="Bookman Old Style"/>
        </w:rPr>
        <w:t xml:space="preserve"> GASNOVA</w:t>
      </w:r>
      <w:r>
        <w:rPr>
          <w:rFonts w:ascii="Bookman Old Style" w:hAnsi="Bookman Old Style"/>
        </w:rPr>
        <w:t xml:space="preserve">, </w:t>
      </w:r>
      <w:r w:rsidR="000A2E74">
        <w:rPr>
          <w:rFonts w:ascii="Bookman Old Style" w:hAnsi="Bookman Old Style"/>
        </w:rPr>
        <w:t>Superintendencia de Servicios Públicos Domiciliarios</w:t>
      </w:r>
      <w:r>
        <w:rPr>
          <w:rFonts w:ascii="Bookman Old Style" w:hAnsi="Bookman Old Style"/>
        </w:rPr>
        <w:t>.</w:t>
      </w:r>
      <w:r w:rsidR="005E49A4">
        <w:rPr>
          <w:rFonts w:ascii="Bookman Old Style" w:hAnsi="Bookman Old Style"/>
        </w:rPr>
        <w:t xml:space="preserve"> </w:t>
      </w:r>
    </w:p>
    <w:p w:rsidR="005E49A4" w:rsidRDefault="005E49A4" w:rsidP="009C088B">
      <w:pPr>
        <w:ind w:left="0"/>
        <w:jc w:val="both"/>
        <w:rPr>
          <w:rFonts w:ascii="Bookman Old Style" w:hAnsi="Bookman Old Style"/>
        </w:rPr>
      </w:pPr>
    </w:p>
    <w:p w:rsidR="009C088B" w:rsidRDefault="009C088B" w:rsidP="009C088B">
      <w:pPr>
        <w:ind w:left="0"/>
        <w:jc w:val="both"/>
        <w:rPr>
          <w:rFonts w:ascii="Bookman Old Style" w:hAnsi="Bookman Old Style"/>
        </w:rPr>
      </w:pPr>
      <w:r w:rsidRPr="00872AC9">
        <w:rPr>
          <w:rFonts w:ascii="Bookman Old Style" w:hAnsi="Bookman Old Style"/>
        </w:rPr>
        <w:t>Según lo previsto en el artículo 8 del Código de Procedimiento Administrativo y de lo Contencioso Administrativo, la regulación que mediante la presente resolución se adopta ha surtido el proceso de publicidad previo correspondiente.</w:t>
      </w:r>
    </w:p>
    <w:p w:rsidR="009C088B" w:rsidRDefault="009C088B" w:rsidP="009C088B">
      <w:pPr>
        <w:ind w:left="0"/>
        <w:contextualSpacing/>
        <w:jc w:val="both"/>
        <w:rPr>
          <w:rFonts w:ascii="Bookman Old Style" w:hAnsi="Bookman Old Style"/>
        </w:rPr>
      </w:pPr>
    </w:p>
    <w:p w:rsidR="00FB20FE" w:rsidRDefault="009C088B" w:rsidP="009C088B">
      <w:pPr>
        <w:ind w:left="0"/>
        <w:jc w:val="both"/>
        <w:rPr>
          <w:rFonts w:ascii="Bookman Old Style" w:hAnsi="Bookman Old Style"/>
          <w:lang w:val="es-ES_tradnl"/>
        </w:rPr>
      </w:pPr>
      <w:r w:rsidRPr="00837ECA">
        <w:rPr>
          <w:rFonts w:ascii="Bookman Old Style" w:hAnsi="Bookman Old Style"/>
          <w:lang w:val="es-ES_tradnl"/>
        </w:rPr>
        <w:t>Con base en lo establecido en el artículo 4 del Decreto 2897 de 2010</w:t>
      </w:r>
      <w:r w:rsidRPr="00837ECA">
        <w:rPr>
          <w:rFonts w:ascii="Bookman Old Style" w:hAnsi="Bookman Old Style"/>
          <w:vertAlign w:val="superscript"/>
          <w:lang w:val="es-ES_tradnl"/>
        </w:rPr>
        <w:footnoteReference w:id="14"/>
      </w:r>
      <w:r w:rsidRPr="00837ECA">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872AC9">
        <w:rPr>
          <w:rFonts w:ascii="Bookman Old Style" w:hAnsi="Bookman Old Style"/>
          <w:lang w:val="es-ES_tradnl"/>
        </w:rPr>
        <w:t xml:space="preserve">En el Documento CREG </w:t>
      </w:r>
      <w:r w:rsidR="00FB20FE">
        <w:rPr>
          <w:rFonts w:ascii="Bookman Old Style" w:hAnsi="Bookman Old Style"/>
          <w:lang w:val="es-ES_tradnl"/>
        </w:rPr>
        <w:t xml:space="preserve">031 </w:t>
      </w:r>
      <w:r>
        <w:rPr>
          <w:rFonts w:ascii="Bookman Old Style" w:hAnsi="Bookman Old Style"/>
          <w:lang w:val="es-ES_tradnl"/>
        </w:rPr>
        <w:t xml:space="preserve">de mayo </w:t>
      </w:r>
      <w:r w:rsidR="00FB20FE">
        <w:rPr>
          <w:rFonts w:ascii="Bookman Old Style" w:hAnsi="Bookman Old Style"/>
          <w:lang w:val="es-ES_tradnl"/>
        </w:rPr>
        <w:t xml:space="preserve">16 </w:t>
      </w:r>
      <w:r>
        <w:rPr>
          <w:rFonts w:ascii="Bookman Old Style" w:hAnsi="Bookman Old Style"/>
          <w:lang w:val="es-ES_tradnl"/>
        </w:rPr>
        <w:t xml:space="preserve">de </w:t>
      </w:r>
      <w:r w:rsidRPr="00872AC9">
        <w:rPr>
          <w:rFonts w:ascii="Bookman Old Style" w:hAnsi="Bookman Old Style"/>
          <w:lang w:val="es-ES_tradnl"/>
        </w:rPr>
        <w:t>201</w:t>
      </w:r>
      <w:r>
        <w:rPr>
          <w:rFonts w:ascii="Bookman Old Style" w:hAnsi="Bookman Old Style"/>
          <w:lang w:val="es-ES_tradnl"/>
        </w:rPr>
        <w:t>6</w:t>
      </w:r>
      <w:r w:rsidRPr="00872AC9">
        <w:rPr>
          <w:rFonts w:ascii="Bookman Old Style" w:hAnsi="Bookman Old Style"/>
          <w:lang w:val="es-ES_tradnl"/>
        </w:rPr>
        <w:t xml:space="preserve"> se </w:t>
      </w:r>
      <w:r>
        <w:rPr>
          <w:rFonts w:ascii="Bookman Old Style" w:hAnsi="Bookman Old Style"/>
          <w:lang w:val="es-ES_tradnl"/>
        </w:rPr>
        <w:t>transcribe</w:t>
      </w:r>
      <w:r w:rsidRPr="00872AC9">
        <w:rPr>
          <w:rFonts w:ascii="Bookman Old Style" w:hAnsi="Bookman Old Style"/>
          <w:lang w:val="es-ES_tradnl"/>
        </w:rPr>
        <w:t xml:space="preserve"> el cuestionario </w:t>
      </w:r>
      <w:r>
        <w:rPr>
          <w:rFonts w:ascii="Bookman Old Style" w:hAnsi="Bookman Old Style"/>
          <w:lang w:val="es-ES_tradnl"/>
        </w:rPr>
        <w:t>y se da respuesta a los comentarios recibidos</w:t>
      </w:r>
      <w:r w:rsidRPr="00872AC9">
        <w:rPr>
          <w:rFonts w:ascii="Bookman Old Style" w:hAnsi="Bookman Old Style"/>
          <w:lang w:val="es-ES_tradnl"/>
        </w:rPr>
        <w:t>.</w:t>
      </w:r>
    </w:p>
    <w:p w:rsidR="00FB20FE" w:rsidRDefault="00FB20FE" w:rsidP="009C088B">
      <w:pPr>
        <w:ind w:left="0"/>
        <w:jc w:val="both"/>
        <w:rPr>
          <w:rFonts w:ascii="Bookman Old Style" w:hAnsi="Bookman Old Style"/>
          <w:lang w:val="es-ES_tradnl"/>
        </w:rPr>
      </w:pPr>
    </w:p>
    <w:p w:rsidR="00446649" w:rsidRDefault="0057462B" w:rsidP="003C1693">
      <w:pPr>
        <w:ind w:left="0"/>
        <w:contextualSpacing/>
        <w:jc w:val="both"/>
        <w:rPr>
          <w:rFonts w:ascii="Bookman Old Style" w:hAnsi="Bookman Old Style"/>
        </w:rPr>
      </w:pPr>
      <w:r>
        <w:rPr>
          <w:rFonts w:ascii="Bookman Old Style" w:hAnsi="Bookman Old Style"/>
          <w:lang w:val="es-ES_tradnl"/>
        </w:rPr>
        <w:t>Ahora</w:t>
      </w:r>
      <w:r w:rsidR="00FB20FE">
        <w:rPr>
          <w:rFonts w:ascii="Bookman Old Style" w:hAnsi="Bookman Old Style"/>
          <w:lang w:val="es-ES_tradnl"/>
        </w:rPr>
        <w:t xml:space="preserve"> bien</w:t>
      </w:r>
      <w:r>
        <w:rPr>
          <w:rFonts w:ascii="Bookman Old Style" w:hAnsi="Bookman Old Style"/>
          <w:lang w:val="es-ES_tradnl"/>
        </w:rPr>
        <w:t xml:space="preserve">, </w:t>
      </w:r>
      <w:r w:rsidR="00FB20FE">
        <w:rPr>
          <w:rFonts w:ascii="Bookman Old Style" w:hAnsi="Bookman Old Style"/>
        </w:rPr>
        <w:t>ante los eventos planteados en relación con la alternativa de uso y destina</w:t>
      </w:r>
      <w:r w:rsidR="00BC3494">
        <w:rPr>
          <w:rFonts w:ascii="Bookman Old Style" w:hAnsi="Bookman Old Style"/>
        </w:rPr>
        <w:t>ción del GLP</w:t>
      </w:r>
      <w:r w:rsidR="00606756">
        <w:rPr>
          <w:rFonts w:ascii="Bookman Old Style" w:hAnsi="Bookman Old Style"/>
        </w:rPr>
        <w:t>,</w:t>
      </w:r>
      <w:r w:rsidR="00BC3494">
        <w:rPr>
          <w:rFonts w:ascii="Bookman Old Style" w:hAnsi="Bookman Old Style"/>
        </w:rPr>
        <w:t xml:space="preserve"> del análisis de</w:t>
      </w:r>
      <w:r w:rsidR="00FB20FE">
        <w:rPr>
          <w:rFonts w:ascii="Bookman Old Style" w:hAnsi="Bookman Old Style"/>
        </w:rPr>
        <w:t xml:space="preserve"> </w:t>
      </w:r>
      <w:r w:rsidR="00FB20FE" w:rsidRPr="00C97D73">
        <w:rPr>
          <w:rFonts w:ascii="Bookman Old Style" w:hAnsi="Bookman Old Style"/>
        </w:rPr>
        <w:t xml:space="preserve">la </w:t>
      </w:r>
      <w:r w:rsidR="00606756">
        <w:rPr>
          <w:rFonts w:ascii="Bookman Old Style" w:hAnsi="Bookman Old Style"/>
        </w:rPr>
        <w:t xml:space="preserve">situación del mercado en cuanto a la </w:t>
      </w:r>
      <w:r w:rsidR="00FB20FE" w:rsidRPr="00C97D73">
        <w:rPr>
          <w:rFonts w:ascii="Bookman Old Style" w:hAnsi="Bookman Old Style"/>
        </w:rPr>
        <w:t>c</w:t>
      </w:r>
      <w:r w:rsidR="00FB20FE">
        <w:rPr>
          <w:rFonts w:ascii="Bookman Old Style" w:hAnsi="Bookman Old Style"/>
        </w:rPr>
        <w:t>ondición de valor de referencia</w:t>
      </w:r>
      <w:r w:rsidR="00FB20FE" w:rsidRPr="00C97D73">
        <w:rPr>
          <w:rFonts w:ascii="Bookman Old Style" w:hAnsi="Bookman Old Style"/>
        </w:rPr>
        <w:t xml:space="preserve"> tomada como costo de oportunidad</w:t>
      </w:r>
      <w:r w:rsidR="00BC3494">
        <w:rPr>
          <w:rFonts w:ascii="Bookman Old Style" w:hAnsi="Bookman Old Style"/>
        </w:rPr>
        <w:t>, así como del resultado del proceso de consulta</w:t>
      </w:r>
      <w:r w:rsidR="00606756">
        <w:rPr>
          <w:rFonts w:ascii="Bookman Old Style" w:hAnsi="Bookman Old Style"/>
        </w:rPr>
        <w:t xml:space="preserve"> llevado a cabo a través de la Resolución CREG 036 de 2016,</w:t>
      </w:r>
      <w:r w:rsidR="00BC3494">
        <w:rPr>
          <w:rFonts w:ascii="Bookman Old Style" w:hAnsi="Bookman Old Style"/>
        </w:rPr>
        <w:t xml:space="preserve"> </w:t>
      </w:r>
      <w:r w:rsidR="00606756" w:rsidRPr="00606756">
        <w:rPr>
          <w:rFonts w:ascii="Bookman Old Style" w:hAnsi="Bookman Old Style"/>
        </w:rPr>
        <w:t>esta Comis</w:t>
      </w:r>
      <w:r w:rsidR="00606756">
        <w:rPr>
          <w:rFonts w:ascii="Bookman Old Style" w:hAnsi="Bookman Old Style"/>
        </w:rPr>
        <w:t>ión considera procedente</w:t>
      </w:r>
      <w:r w:rsidR="003C1693">
        <w:rPr>
          <w:rFonts w:ascii="Bookman Old Style" w:hAnsi="Bookman Old Style"/>
        </w:rPr>
        <w:t xml:space="preserve"> y razonable</w:t>
      </w:r>
      <w:r w:rsidR="00606756">
        <w:rPr>
          <w:rFonts w:ascii="Bookman Old Style" w:hAnsi="Bookman Old Style"/>
        </w:rPr>
        <w:t xml:space="preserve"> </w:t>
      </w:r>
      <w:r w:rsidR="003C1693">
        <w:rPr>
          <w:rFonts w:ascii="Bookman Old Style" w:hAnsi="Bookman Old Style"/>
        </w:rPr>
        <w:t>incorporar</w:t>
      </w:r>
      <w:r w:rsidR="00606756">
        <w:rPr>
          <w:rFonts w:ascii="Bookman Old Style" w:hAnsi="Bookman Old Style"/>
        </w:rPr>
        <w:t xml:space="preserve"> a la propuesta inicial, </w:t>
      </w:r>
      <w:r w:rsidR="00606756" w:rsidRPr="00606756">
        <w:rPr>
          <w:rFonts w:ascii="Bookman Old Style" w:hAnsi="Bookman Old Style"/>
        </w:rPr>
        <w:t>las demás fuentes con precio regulado (Barrancabermeja, Cusiana, Dina y Apiay).</w:t>
      </w:r>
    </w:p>
    <w:p w:rsidR="00446649" w:rsidRDefault="00446649" w:rsidP="003C1693">
      <w:pPr>
        <w:ind w:left="0"/>
        <w:contextualSpacing/>
        <w:jc w:val="both"/>
        <w:rPr>
          <w:rFonts w:ascii="Bookman Old Style" w:hAnsi="Bookman Old Style"/>
        </w:rPr>
      </w:pPr>
    </w:p>
    <w:p w:rsidR="006048A1" w:rsidRDefault="003C1693" w:rsidP="003C1693">
      <w:pPr>
        <w:ind w:left="0"/>
        <w:contextualSpacing/>
        <w:jc w:val="both"/>
        <w:rPr>
          <w:rFonts w:ascii="Bookman Old Style" w:hAnsi="Bookman Old Style"/>
        </w:rPr>
      </w:pPr>
      <w:r>
        <w:rPr>
          <w:rFonts w:ascii="Bookman Old Style" w:hAnsi="Bookman Old Style"/>
        </w:rPr>
        <w:t xml:space="preserve">Esto en la medida </w:t>
      </w:r>
      <w:r w:rsidR="00446649">
        <w:rPr>
          <w:rFonts w:ascii="Bookman Old Style" w:hAnsi="Bookman Old Style"/>
        </w:rPr>
        <w:t xml:space="preserve">en </w:t>
      </w:r>
      <w:r>
        <w:rPr>
          <w:rFonts w:ascii="Bookman Old Style" w:hAnsi="Bookman Old Style"/>
        </w:rPr>
        <w:t>que el análisis llevado a cabo por la Comisión, incluido el proceso de consulta, permite evidenciar</w:t>
      </w:r>
      <w:r w:rsidRPr="0057462B">
        <w:rPr>
          <w:rFonts w:ascii="Bookman Old Style" w:hAnsi="Bookman Old Style"/>
        </w:rPr>
        <w:t xml:space="preserve"> que</w:t>
      </w:r>
      <w:r>
        <w:rPr>
          <w:rFonts w:ascii="Bookman Old Style" w:hAnsi="Bookman Old Style"/>
        </w:rPr>
        <w:t>: i)</w:t>
      </w:r>
      <w:r w:rsidRPr="0057462B">
        <w:rPr>
          <w:rFonts w:ascii="Bookman Old Style" w:hAnsi="Bookman Old Style"/>
        </w:rPr>
        <w:t xml:space="preserve"> el comercializador mayorista de precio regulado, para el caso de la fuente Cartagena, </w:t>
      </w:r>
      <w:r w:rsidR="00446649">
        <w:rPr>
          <w:rFonts w:ascii="Bookman Old Style" w:hAnsi="Bookman Old Style"/>
        </w:rPr>
        <w:t xml:space="preserve">presenta una disponibilidad adicional de producto, al ofrecido inicialmente en la OPC, cuya prioridad resulta ser diferente a la de ser utilizado </w:t>
      </w:r>
      <w:r w:rsidRPr="0057462B">
        <w:rPr>
          <w:rFonts w:ascii="Bookman Old Style" w:hAnsi="Bookman Old Style"/>
        </w:rPr>
        <w:t xml:space="preserve">como alternativa de </w:t>
      </w:r>
      <w:r w:rsidRPr="0057462B">
        <w:rPr>
          <w:rFonts w:ascii="Bookman Old Style" w:hAnsi="Bookman Old Style"/>
        </w:rPr>
        <w:lastRenderedPageBreak/>
        <w:t>combustible en los procesos de ref</w:t>
      </w:r>
      <w:r>
        <w:rPr>
          <w:rFonts w:ascii="Bookman Old Style" w:hAnsi="Bookman Old Style"/>
        </w:rPr>
        <w:t>inación y secado de gas natural;</w:t>
      </w:r>
      <w:r w:rsidRPr="0057462B">
        <w:rPr>
          <w:rFonts w:ascii="Bookman Old Style" w:hAnsi="Bookman Old Style"/>
        </w:rPr>
        <w:t xml:space="preserve"> </w:t>
      </w:r>
      <w:r>
        <w:rPr>
          <w:rFonts w:ascii="Bookman Old Style" w:hAnsi="Bookman Old Style"/>
        </w:rPr>
        <w:t xml:space="preserve">ii) </w:t>
      </w:r>
      <w:r w:rsidR="000946B1">
        <w:rPr>
          <w:rFonts w:ascii="Bookman Old Style" w:hAnsi="Bookman Old Style"/>
        </w:rPr>
        <w:t xml:space="preserve">esta misma situación se presenta en </w:t>
      </w:r>
      <w:r w:rsidRPr="0057462B">
        <w:rPr>
          <w:rFonts w:ascii="Bookman Old Style" w:hAnsi="Bookman Old Style"/>
        </w:rPr>
        <w:t>el caso de las demás fuentes con precio reg</w:t>
      </w:r>
      <w:r>
        <w:rPr>
          <w:rFonts w:ascii="Bookman Old Style" w:hAnsi="Bookman Old Style"/>
        </w:rPr>
        <w:t xml:space="preserve">ulado, </w:t>
      </w:r>
      <w:r w:rsidR="000946B1">
        <w:rPr>
          <w:rFonts w:ascii="Bookman Old Style" w:hAnsi="Bookman Old Style"/>
        </w:rPr>
        <w:t xml:space="preserve">en particular, para la fuente Barrancabermeja; iii) </w:t>
      </w:r>
      <w:r w:rsidR="002B148D">
        <w:rPr>
          <w:rFonts w:ascii="Bookman Old Style" w:hAnsi="Bookman Old Style"/>
        </w:rPr>
        <w:t>se presenta la sustitución de una parte de la disponibilidad histórica de GLP</w:t>
      </w:r>
      <w:r w:rsidR="002B148D" w:rsidRPr="002B148D">
        <w:rPr>
          <w:rFonts w:ascii="Bookman Old Style" w:hAnsi="Bookman Old Style"/>
        </w:rPr>
        <w:t xml:space="preserve"> </w:t>
      </w:r>
      <w:r w:rsidR="002B148D">
        <w:rPr>
          <w:rFonts w:ascii="Bookman Old Style" w:hAnsi="Bookman Old Style"/>
        </w:rPr>
        <w:t xml:space="preserve">proveniente de la refinería de Barrancabermeja, con </w:t>
      </w:r>
      <w:r w:rsidR="00446649">
        <w:rPr>
          <w:rFonts w:ascii="Bookman Old Style" w:hAnsi="Bookman Old Style"/>
        </w:rPr>
        <w:t xml:space="preserve">la disponibilidad resultante de la entrada en operación </w:t>
      </w:r>
      <w:r w:rsidR="002B148D">
        <w:rPr>
          <w:rFonts w:ascii="Bookman Old Style" w:hAnsi="Bookman Old Style"/>
        </w:rPr>
        <w:t xml:space="preserve">de </w:t>
      </w:r>
      <w:r w:rsidR="00446649">
        <w:rPr>
          <w:rFonts w:ascii="Bookman Old Style" w:hAnsi="Bookman Old Style"/>
        </w:rPr>
        <w:t xml:space="preserve">la refinería de </w:t>
      </w:r>
      <w:r w:rsidR="002B148D">
        <w:rPr>
          <w:rFonts w:ascii="Bookman Old Style" w:hAnsi="Bookman Old Style"/>
        </w:rPr>
        <w:t>Cartagena,</w:t>
      </w:r>
      <w:r w:rsidR="00704FA8">
        <w:rPr>
          <w:rFonts w:ascii="Bookman Old Style" w:hAnsi="Bookman Old Style"/>
        </w:rPr>
        <w:t xml:space="preserve"> al tiempo que </w:t>
      </w:r>
      <w:r w:rsidR="002B148D">
        <w:rPr>
          <w:rFonts w:ascii="Bookman Old Style" w:hAnsi="Bookman Old Style"/>
        </w:rPr>
        <w:t>la señal de precio dada por esta Comisión</w:t>
      </w:r>
      <w:r w:rsidR="00704FA8">
        <w:rPr>
          <w:rFonts w:ascii="Bookman Old Style" w:hAnsi="Bookman Old Style"/>
        </w:rPr>
        <w:t>,</w:t>
      </w:r>
      <w:r w:rsidR="002B148D">
        <w:rPr>
          <w:rFonts w:ascii="Bookman Old Style" w:hAnsi="Bookman Old Style"/>
        </w:rPr>
        <w:t xml:space="preserve"> con la expedición de la Resolución CREG 079 de 2015</w:t>
      </w:r>
      <w:r w:rsidR="00704FA8">
        <w:rPr>
          <w:rFonts w:ascii="Bookman Old Style" w:hAnsi="Bookman Old Style"/>
        </w:rPr>
        <w:t xml:space="preserve">´, </w:t>
      </w:r>
      <w:r w:rsidR="002B148D">
        <w:rPr>
          <w:rFonts w:ascii="Bookman Old Style" w:hAnsi="Bookman Old Style"/>
        </w:rPr>
        <w:t>incentiv</w:t>
      </w:r>
      <w:r w:rsidR="00704FA8">
        <w:rPr>
          <w:rFonts w:ascii="Bookman Old Style" w:hAnsi="Bookman Old Style"/>
        </w:rPr>
        <w:t>a</w:t>
      </w:r>
      <w:r w:rsidR="002B148D">
        <w:rPr>
          <w:rFonts w:ascii="Bookman Old Style" w:hAnsi="Bookman Old Style"/>
        </w:rPr>
        <w:t xml:space="preserve"> la adición </w:t>
      </w:r>
      <w:r w:rsidR="00704FA8">
        <w:rPr>
          <w:rFonts w:ascii="Bookman Old Style" w:hAnsi="Bookman Old Style"/>
        </w:rPr>
        <w:t xml:space="preserve">de </w:t>
      </w:r>
      <w:r w:rsidR="002B148D">
        <w:rPr>
          <w:rFonts w:ascii="Bookman Old Style" w:hAnsi="Bookman Old Style"/>
        </w:rPr>
        <w:t>la disponibilidad de producto</w:t>
      </w:r>
      <w:r w:rsidR="00704FA8">
        <w:rPr>
          <w:rFonts w:ascii="Bookman Old Style" w:hAnsi="Bookman Old Style"/>
        </w:rPr>
        <w:t xml:space="preserve"> de esta última </w:t>
      </w:r>
      <w:r w:rsidR="002B148D">
        <w:rPr>
          <w:rFonts w:ascii="Bookman Old Style" w:hAnsi="Bookman Old Style"/>
        </w:rPr>
        <w:t>a la oferta de las demás fuentes;</w:t>
      </w:r>
      <w:r w:rsidR="00704FA8">
        <w:rPr>
          <w:rFonts w:ascii="Bookman Old Style" w:hAnsi="Bookman Old Style"/>
        </w:rPr>
        <w:t xml:space="preserve"> </w:t>
      </w:r>
      <w:r w:rsidR="002B148D">
        <w:rPr>
          <w:rFonts w:ascii="Bookman Old Style" w:hAnsi="Bookman Old Style"/>
        </w:rPr>
        <w:t>iv) que la CREG</w:t>
      </w:r>
      <w:r w:rsidR="00FE3C38">
        <w:rPr>
          <w:rFonts w:ascii="Bookman Old Style" w:hAnsi="Bookman Old Style"/>
        </w:rPr>
        <w:t xml:space="preserve">, atendiendo lo dispuesto en la metodología, estableció </w:t>
      </w:r>
      <w:r w:rsidR="002B148D">
        <w:rPr>
          <w:rFonts w:ascii="Bookman Old Style" w:hAnsi="Bookman Old Style"/>
        </w:rPr>
        <w:t xml:space="preserve">para las fuentes </w:t>
      </w:r>
      <w:r w:rsidR="00FE3C38">
        <w:rPr>
          <w:rFonts w:ascii="Bookman Old Style" w:hAnsi="Bookman Old Style"/>
        </w:rPr>
        <w:t>Apiay, Dina y</w:t>
      </w:r>
      <w:r w:rsidR="002B148D">
        <w:rPr>
          <w:rFonts w:ascii="Bookman Old Style" w:hAnsi="Bookman Old Style"/>
        </w:rPr>
        <w:t xml:space="preserve"> </w:t>
      </w:r>
      <w:r w:rsidR="00FE3C38">
        <w:rPr>
          <w:rFonts w:ascii="Bookman Old Style" w:hAnsi="Bookman Old Style"/>
        </w:rPr>
        <w:t xml:space="preserve">Cusiana </w:t>
      </w:r>
      <w:r w:rsidR="002B148D">
        <w:rPr>
          <w:rFonts w:ascii="Bookman Old Style" w:hAnsi="Bookman Old Style"/>
        </w:rPr>
        <w:t>la aplicación del mismo costo de oportunidad de referencia para la fuente Barrancabermeja</w:t>
      </w:r>
      <w:r w:rsidR="00FE3C38">
        <w:rPr>
          <w:rFonts w:ascii="Bookman Old Style" w:hAnsi="Bookman Old Style"/>
        </w:rPr>
        <w:t>.</w:t>
      </w:r>
      <w:r w:rsidR="006048A1">
        <w:rPr>
          <w:rFonts w:ascii="Bookman Old Style" w:hAnsi="Bookman Old Style"/>
        </w:rPr>
        <w:t xml:space="preserve"> </w:t>
      </w:r>
    </w:p>
    <w:p w:rsidR="003C1693" w:rsidRDefault="003C1693" w:rsidP="0057462B">
      <w:pPr>
        <w:ind w:left="0"/>
        <w:contextualSpacing/>
        <w:jc w:val="both"/>
        <w:rPr>
          <w:rFonts w:ascii="Bookman Old Style" w:hAnsi="Bookman Old Style"/>
        </w:rPr>
      </w:pPr>
    </w:p>
    <w:p w:rsidR="0057462B" w:rsidRDefault="00F04065" w:rsidP="0057462B">
      <w:pPr>
        <w:ind w:left="0"/>
        <w:contextualSpacing/>
        <w:jc w:val="both"/>
        <w:rPr>
          <w:rFonts w:ascii="Bookman Old Style" w:hAnsi="Bookman Old Style"/>
        </w:rPr>
      </w:pPr>
      <w:r>
        <w:rPr>
          <w:rFonts w:ascii="Bookman Old Style" w:hAnsi="Bookman Old Style"/>
        </w:rPr>
        <w:t>En este sentido</w:t>
      </w:r>
      <w:r w:rsidR="00606756">
        <w:rPr>
          <w:rFonts w:ascii="Bookman Old Style" w:hAnsi="Bookman Old Style"/>
        </w:rPr>
        <w:t xml:space="preserve">, </w:t>
      </w:r>
      <w:r>
        <w:rPr>
          <w:rFonts w:ascii="Bookman Old Style" w:hAnsi="Bookman Old Style"/>
        </w:rPr>
        <w:t xml:space="preserve">esta Comisión identifica </w:t>
      </w:r>
      <w:r w:rsidR="00FB20FE">
        <w:rPr>
          <w:rFonts w:ascii="Bookman Old Style" w:hAnsi="Bookman Old Style"/>
        </w:rPr>
        <w:t>que se deben adoptar medidas regulatorias</w:t>
      </w:r>
      <w:r w:rsidR="00FB20FE" w:rsidRPr="002A2733">
        <w:rPr>
          <w:rFonts w:ascii="Bookman Old Style" w:hAnsi="Bookman Old Style"/>
        </w:rPr>
        <w:t xml:space="preserve"> </w:t>
      </w:r>
      <w:r w:rsidR="00FB20FE">
        <w:rPr>
          <w:rFonts w:ascii="Bookman Old Style" w:hAnsi="Bookman Old Style"/>
        </w:rPr>
        <w:t xml:space="preserve">oportunas </w:t>
      </w:r>
      <w:r>
        <w:rPr>
          <w:rFonts w:ascii="Bookman Old Style" w:hAnsi="Bookman Old Style"/>
          <w:lang w:val="es-CO"/>
        </w:rPr>
        <w:t>como parte del balance oferta demanda de GLP,</w:t>
      </w:r>
      <w:r w:rsidRPr="007F428A">
        <w:rPr>
          <w:rFonts w:ascii="Bookman Old Style" w:hAnsi="Bookman Old Style"/>
        </w:rPr>
        <w:t xml:space="preserve"> </w:t>
      </w:r>
      <w:r w:rsidR="00FB20FE" w:rsidRPr="007F428A">
        <w:rPr>
          <w:rFonts w:ascii="Bookman Old Style" w:hAnsi="Bookman Old Style"/>
        </w:rPr>
        <w:t>que den cumplimiento a los fines y criterios previstos en la Ley 142 de 1994</w:t>
      </w:r>
      <w:r w:rsidR="00FB20FE">
        <w:rPr>
          <w:rFonts w:ascii="Bookman Old Style" w:hAnsi="Bookman Old Style"/>
        </w:rPr>
        <w:t>,</w:t>
      </w:r>
      <w:r w:rsidR="00FB20FE" w:rsidRPr="007F428A">
        <w:rPr>
          <w:rFonts w:ascii="Bookman Old Style" w:hAnsi="Bookman Old Style"/>
        </w:rPr>
        <w:t xml:space="preserve"> </w:t>
      </w:r>
      <w:r w:rsidR="00FB20FE">
        <w:rPr>
          <w:rFonts w:ascii="Bookman Old Style" w:hAnsi="Bookman Old Style"/>
        </w:rPr>
        <w:t>así como</w:t>
      </w:r>
      <w:r w:rsidR="00FB20FE" w:rsidRPr="007F428A">
        <w:rPr>
          <w:rFonts w:ascii="Bookman Old Style" w:hAnsi="Bookman Old Style"/>
        </w:rPr>
        <w:t xml:space="preserve"> </w:t>
      </w:r>
      <w:r w:rsidR="00FB20FE">
        <w:rPr>
          <w:rFonts w:ascii="Bookman Old Style" w:hAnsi="Bookman Old Style"/>
        </w:rPr>
        <w:t xml:space="preserve">a </w:t>
      </w:r>
      <w:r w:rsidR="00FB20FE" w:rsidRPr="007F428A">
        <w:rPr>
          <w:rFonts w:ascii="Bookman Old Style" w:hAnsi="Bookman Old Style"/>
        </w:rPr>
        <w:t xml:space="preserve">los objetivos perseguidos por la regulación, en especial aquellos relacionados con brindar las señales de precio eficiente </w:t>
      </w:r>
      <w:r w:rsidR="00FB20FE" w:rsidRPr="007F428A">
        <w:rPr>
          <w:rFonts w:ascii="Bookman Old Style" w:hAnsi="Bookman Old Style"/>
          <w:lang w:val="es-CO"/>
        </w:rPr>
        <w:t>que permita</w:t>
      </w:r>
      <w:r w:rsidR="00FB20FE">
        <w:rPr>
          <w:rFonts w:ascii="Bookman Old Style" w:hAnsi="Bookman Old Style"/>
          <w:lang w:val="es-CO"/>
        </w:rPr>
        <w:t>n</w:t>
      </w:r>
      <w:r w:rsidR="00FB20FE" w:rsidRPr="007F428A">
        <w:rPr>
          <w:rFonts w:ascii="Bookman Old Style" w:hAnsi="Bookman Old Style"/>
          <w:lang w:val="es-CO"/>
        </w:rPr>
        <w:t xml:space="preserve"> contar con una adecuada oferta de producto para atender la demanda nacional, asegurando el suministro de GLP para e</w:t>
      </w:r>
      <w:r w:rsidR="00FB20FE">
        <w:rPr>
          <w:rFonts w:ascii="Bookman Old Style" w:hAnsi="Bookman Old Style"/>
          <w:lang w:val="es-CO"/>
        </w:rPr>
        <w:t>l servicio público domiciliario</w:t>
      </w:r>
      <w:r w:rsidR="00FB20FE" w:rsidRPr="007F428A">
        <w:rPr>
          <w:rFonts w:ascii="Bookman Old Style" w:hAnsi="Bookman Old Style"/>
          <w:lang w:val="es-CO"/>
        </w:rPr>
        <w:t>, reflejando en estas circunstancias el costo de oportunidad del productor</w:t>
      </w:r>
      <w:r w:rsidR="00FB20FE">
        <w:rPr>
          <w:rFonts w:ascii="Bookman Old Style" w:hAnsi="Bookman Old Style"/>
          <w:lang w:val="es-CO"/>
        </w:rPr>
        <w:t>.</w:t>
      </w:r>
      <w:r>
        <w:rPr>
          <w:rFonts w:ascii="Bookman Old Style" w:hAnsi="Bookman Old Style"/>
        </w:rPr>
        <w:t xml:space="preserve"> </w:t>
      </w:r>
      <w:r w:rsidR="00FF47F9">
        <w:rPr>
          <w:rFonts w:ascii="Bookman Old Style" w:hAnsi="Bookman Old Style"/>
        </w:rPr>
        <w:t xml:space="preserve">Así mismo, se considera que dichas medidas </w:t>
      </w:r>
      <w:r>
        <w:rPr>
          <w:rFonts w:ascii="Bookman Old Style" w:hAnsi="Bookman Old Style"/>
        </w:rPr>
        <w:t xml:space="preserve">deben ser </w:t>
      </w:r>
      <w:r w:rsidR="0057462B">
        <w:rPr>
          <w:rFonts w:ascii="Bookman Old Style" w:hAnsi="Bookman Old Style"/>
        </w:rPr>
        <w:t>coherentes y concordantes con los ajustes que se realicen al reglamento de comercialización mayorista</w:t>
      </w:r>
      <w:r>
        <w:rPr>
          <w:rFonts w:ascii="Bookman Old Style" w:hAnsi="Bookman Old Style"/>
        </w:rPr>
        <w:t>,</w:t>
      </w:r>
      <w:r w:rsidR="0057462B">
        <w:rPr>
          <w:rFonts w:ascii="Bookman Old Style" w:hAnsi="Bookman Old Style"/>
        </w:rPr>
        <w:t xml:space="preserve"> de acuerdo con los fines y objetivos allí previstos.</w:t>
      </w:r>
    </w:p>
    <w:p w:rsidR="009C088B" w:rsidRPr="00837ECA" w:rsidRDefault="009C088B" w:rsidP="009C088B">
      <w:pPr>
        <w:ind w:left="0"/>
        <w:jc w:val="both"/>
        <w:rPr>
          <w:rFonts w:ascii="Bookman Old Style" w:hAnsi="Bookman Old Style" w:cs="Arial"/>
          <w:lang w:val="es-ES_tradnl"/>
        </w:rPr>
      </w:pPr>
    </w:p>
    <w:p w:rsidR="00FF47F9" w:rsidRPr="005E49A4" w:rsidRDefault="009C088B" w:rsidP="005E49A4">
      <w:pPr>
        <w:ind w:left="0"/>
        <w:contextualSpacing/>
        <w:jc w:val="both"/>
        <w:rPr>
          <w:rFonts w:ascii="Bookman Old Style" w:hAnsi="Bookman Old Style"/>
          <w:lang w:val="es-ES_tradnl"/>
        </w:rPr>
      </w:pPr>
      <w:r w:rsidRPr="00C25448">
        <w:rPr>
          <w:rFonts w:ascii="Bookman Old Style" w:hAnsi="Bookman Old Style"/>
          <w:lang w:val="es-ES_tradnl"/>
        </w:rPr>
        <w:t xml:space="preserve">La Comisión de Regulación de Energía y Gas aprobó el presente acto administrativo en la sesión No. </w:t>
      </w:r>
      <w:r w:rsidR="00545590">
        <w:rPr>
          <w:rFonts w:ascii="Bookman Old Style" w:hAnsi="Bookman Old Style"/>
          <w:lang w:val="es-ES_tradnl"/>
        </w:rPr>
        <w:t>717</w:t>
      </w:r>
      <w:r w:rsidRPr="00C25448">
        <w:rPr>
          <w:rFonts w:ascii="Bookman Old Style" w:hAnsi="Bookman Old Style"/>
          <w:lang w:val="es-ES_tradnl"/>
        </w:rPr>
        <w:t xml:space="preserve"> de</w:t>
      </w:r>
      <w:r w:rsidR="00545590">
        <w:rPr>
          <w:rFonts w:ascii="Bookman Old Style" w:hAnsi="Bookman Old Style"/>
          <w:lang w:val="es-ES_tradnl"/>
        </w:rPr>
        <w:t>l</w:t>
      </w:r>
      <w:r w:rsidRPr="00C25448">
        <w:rPr>
          <w:rFonts w:ascii="Bookman Old Style" w:hAnsi="Bookman Old Style"/>
          <w:lang w:val="es-ES_tradnl"/>
        </w:rPr>
        <w:t xml:space="preserve"> </w:t>
      </w:r>
      <w:r w:rsidR="00545590">
        <w:rPr>
          <w:rFonts w:ascii="Bookman Old Style" w:hAnsi="Bookman Old Style"/>
          <w:lang w:val="es-ES_tradnl"/>
        </w:rPr>
        <w:t xml:space="preserve">16 </w:t>
      </w:r>
      <w:r w:rsidRPr="00C25448">
        <w:rPr>
          <w:rFonts w:ascii="Bookman Old Style" w:hAnsi="Bookman Old Style"/>
          <w:lang w:val="es-ES_tradnl"/>
        </w:rPr>
        <w:t xml:space="preserve">de </w:t>
      </w:r>
      <w:r>
        <w:rPr>
          <w:rFonts w:ascii="Bookman Old Style" w:hAnsi="Bookman Old Style"/>
          <w:lang w:val="es-ES_tradnl"/>
        </w:rPr>
        <w:t>mayo</w:t>
      </w:r>
      <w:r w:rsidRPr="00C25448">
        <w:rPr>
          <w:rFonts w:ascii="Bookman Old Style" w:hAnsi="Bookman Old Style"/>
          <w:lang w:val="es-ES_tradnl"/>
        </w:rPr>
        <w:t xml:space="preserve"> de 2016.</w:t>
      </w:r>
    </w:p>
    <w:p w:rsidR="009C088B" w:rsidRPr="00B12860" w:rsidRDefault="009C088B" w:rsidP="006B0FF2">
      <w:pPr>
        <w:ind w:left="0"/>
        <w:contextualSpacing/>
        <w:rPr>
          <w:rFonts w:ascii="Bookman Old Style" w:hAnsi="Bookman Old Style"/>
        </w:rPr>
      </w:pPr>
    </w:p>
    <w:p w:rsidR="009C088B" w:rsidRPr="00741008" w:rsidRDefault="00B62FDD" w:rsidP="009C088B">
      <w:pPr>
        <w:ind w:left="0"/>
        <w:contextualSpacing/>
        <w:jc w:val="center"/>
        <w:rPr>
          <w:rFonts w:ascii="Bookman Old Style" w:hAnsi="Bookman Old Style"/>
          <w:b/>
        </w:rPr>
      </w:pPr>
      <w:r w:rsidRPr="003208F5">
        <w:rPr>
          <w:rFonts w:ascii="Bookman Old Style" w:hAnsi="Bookman Old Style"/>
          <w:b/>
        </w:rPr>
        <w:t>R E S U E L V E:</w:t>
      </w:r>
    </w:p>
    <w:p w:rsidR="00B12860" w:rsidRPr="00B12860" w:rsidRDefault="00B12860" w:rsidP="000C5190">
      <w:pPr>
        <w:ind w:left="0"/>
        <w:contextualSpacing/>
        <w:jc w:val="both"/>
        <w:rPr>
          <w:rFonts w:ascii="Bookman Old Style" w:hAnsi="Bookman Old Style"/>
        </w:rPr>
      </w:pPr>
    </w:p>
    <w:p w:rsidR="00B62FDD" w:rsidRPr="000C5190" w:rsidRDefault="00B62FDD" w:rsidP="000C5190">
      <w:pPr>
        <w:ind w:left="0"/>
        <w:contextualSpacing/>
        <w:jc w:val="both"/>
        <w:rPr>
          <w:rFonts w:ascii="Bookman Old Style" w:hAnsi="Bookman Old Style"/>
        </w:rPr>
      </w:pPr>
      <w:r w:rsidRPr="007F428A">
        <w:rPr>
          <w:rFonts w:ascii="Bookman Old Style" w:hAnsi="Bookman Old Style"/>
          <w:b/>
        </w:rPr>
        <w:t>ARTÍCULO 1.</w:t>
      </w:r>
      <w:r w:rsidR="001E1D2D">
        <w:rPr>
          <w:rFonts w:ascii="Bookman Old Style" w:hAnsi="Bookman Old Style"/>
          <w:b/>
        </w:rPr>
        <w:t xml:space="preserve"> </w:t>
      </w:r>
      <w:r w:rsidR="00124F62">
        <w:rPr>
          <w:rFonts w:ascii="Bookman Old Style" w:hAnsi="Bookman Old Style"/>
          <w:b/>
        </w:rPr>
        <w:t xml:space="preserve">Medidas regulatorias como parte del balance oferta demanda de GLP. </w:t>
      </w:r>
      <w:r w:rsidR="00124F62" w:rsidRPr="00124F62">
        <w:rPr>
          <w:rFonts w:ascii="Bookman Old Style" w:hAnsi="Bookman Old Style"/>
        </w:rPr>
        <w:t>El precio máximo regulado</w:t>
      </w:r>
      <w:r w:rsidR="00124F62">
        <w:rPr>
          <w:rFonts w:ascii="Bookman Old Style" w:hAnsi="Bookman Old Style"/>
        </w:rPr>
        <w:t xml:space="preserve">, </w:t>
      </w:r>
      <w:r w:rsidR="00124F62" w:rsidRPr="00124F62">
        <w:rPr>
          <w:rFonts w:ascii="Bookman Old Style" w:hAnsi="Bookman Old Style"/>
        </w:rPr>
        <w:t>expresado en pesos por kilogramo,</w:t>
      </w:r>
      <w:r w:rsidR="007776CD">
        <w:rPr>
          <w:rFonts w:ascii="Bookman Old Style" w:hAnsi="Bookman Old Style"/>
        </w:rPr>
        <w:t xml:space="preserve"> </w:t>
      </w:r>
      <w:r w:rsidR="007776CD" w:rsidRPr="00124F62">
        <w:rPr>
          <w:rFonts w:ascii="Bookman Old Style" w:hAnsi="Bookman Old Style"/>
        </w:rPr>
        <w:t>del GLP</w:t>
      </w:r>
      <w:r w:rsidR="007776CD">
        <w:rPr>
          <w:rFonts w:ascii="Bookman Old Style" w:hAnsi="Bookman Old Style"/>
        </w:rPr>
        <w:t xml:space="preserve"> comercializado mediante</w:t>
      </w:r>
      <w:r w:rsidR="00124F62" w:rsidRPr="00124F62">
        <w:rPr>
          <w:rFonts w:ascii="Bookman Old Style" w:hAnsi="Bookman Old Style"/>
        </w:rPr>
        <w:t xml:space="preserve"> </w:t>
      </w:r>
      <w:r w:rsidR="000C5190">
        <w:rPr>
          <w:rFonts w:ascii="Bookman Old Style" w:hAnsi="Bookman Old Style"/>
        </w:rPr>
        <w:t xml:space="preserve">OPC que cubra la demanda desde </w:t>
      </w:r>
      <w:r w:rsidR="00FF47F9" w:rsidRPr="00124F62">
        <w:rPr>
          <w:rFonts w:ascii="Bookman Old Style" w:hAnsi="Bookman Old Style"/>
        </w:rPr>
        <w:t>el primero de julio de 2016</w:t>
      </w:r>
      <w:r w:rsidR="00725779">
        <w:rPr>
          <w:rFonts w:ascii="Bookman Old Style" w:hAnsi="Bookman Old Style"/>
        </w:rPr>
        <w:t>, en adelante</w:t>
      </w:r>
      <w:r w:rsidR="00FF47F9" w:rsidRPr="00124F62">
        <w:rPr>
          <w:rFonts w:ascii="Bookman Old Style" w:hAnsi="Bookman Old Style"/>
        </w:rPr>
        <w:t>,</w:t>
      </w:r>
      <w:r w:rsidR="00124F62" w:rsidRPr="00124F62">
        <w:rPr>
          <w:rFonts w:ascii="Bookman Old Style" w:hAnsi="Bookman Old Style"/>
        </w:rPr>
        <w:t xml:space="preserve"> </w:t>
      </w:r>
      <w:r w:rsidR="00124F62">
        <w:rPr>
          <w:rFonts w:ascii="Bookman Old Style" w:hAnsi="Bookman Old Style"/>
        </w:rPr>
        <w:t>s</w:t>
      </w:r>
      <w:r w:rsidR="00124F62" w:rsidRPr="00124F62">
        <w:rPr>
          <w:rFonts w:ascii="Bookman Old Style" w:hAnsi="Bookman Old Style"/>
        </w:rPr>
        <w:t>e</w:t>
      </w:r>
      <w:r w:rsidR="000C5190">
        <w:rPr>
          <w:rFonts w:ascii="Bookman Old Style" w:hAnsi="Bookman Old Style"/>
        </w:rPr>
        <w:t xml:space="preserve">rá el que resulte de aplicar </w:t>
      </w:r>
      <w:r w:rsidR="00124F62" w:rsidRPr="00124F62">
        <w:rPr>
          <w:rFonts w:ascii="Bookman Old Style" w:hAnsi="Bookman Old Style"/>
        </w:rPr>
        <w:t xml:space="preserve">las disposiciones vigentes de la metodología </w:t>
      </w:r>
      <w:r w:rsidR="000C5190">
        <w:rPr>
          <w:rFonts w:ascii="Bookman Old Style" w:hAnsi="Bookman Old Style"/>
        </w:rPr>
        <w:t>de</w:t>
      </w:r>
      <w:r w:rsidR="00124F62" w:rsidRPr="00124F62">
        <w:rPr>
          <w:rFonts w:ascii="Bookman Old Style" w:hAnsi="Bookman Old Style"/>
        </w:rPr>
        <w:t xml:space="preserve"> la Resolución CREG 066 de 2007</w:t>
      </w:r>
      <w:r w:rsidR="007776CD">
        <w:rPr>
          <w:rFonts w:ascii="Bookman Old Style" w:hAnsi="Bookman Old Style"/>
        </w:rPr>
        <w:t xml:space="preserve">, de acuerdo con el </w:t>
      </w:r>
      <w:r w:rsidR="00124F62" w:rsidRPr="00124F62">
        <w:rPr>
          <w:rFonts w:ascii="Bookman Old Style" w:hAnsi="Bookman Old Style"/>
        </w:rPr>
        <w:t>costo de oportunidad allí</w:t>
      </w:r>
      <w:r w:rsidR="00124F62">
        <w:rPr>
          <w:rFonts w:ascii="Bookman Old Style" w:hAnsi="Bookman Old Style"/>
        </w:rPr>
        <w:t xml:space="preserve"> previsto</w:t>
      </w:r>
      <w:r w:rsidR="003F440C">
        <w:rPr>
          <w:rFonts w:ascii="Bookman Old Style" w:hAnsi="Bookman Old Style"/>
        </w:rPr>
        <w:t>.</w:t>
      </w:r>
    </w:p>
    <w:p w:rsidR="00B62FDD" w:rsidRPr="003F440C" w:rsidRDefault="00B62FDD" w:rsidP="00B62FDD">
      <w:pPr>
        <w:ind w:left="0"/>
        <w:contextualSpacing/>
        <w:jc w:val="both"/>
        <w:rPr>
          <w:rFonts w:ascii="Bookman Old Style" w:hAnsi="Bookman Old Style" w:cs="Arial"/>
        </w:rPr>
      </w:pPr>
    </w:p>
    <w:p w:rsidR="00B62FDD" w:rsidRPr="007F428A" w:rsidRDefault="00B62FDD" w:rsidP="00B62FDD">
      <w:pPr>
        <w:ind w:left="0"/>
        <w:contextualSpacing/>
        <w:jc w:val="both"/>
        <w:rPr>
          <w:rFonts w:ascii="Bookman Old Style" w:hAnsi="Bookman Old Style"/>
          <w:i/>
        </w:rPr>
      </w:pPr>
      <w:r w:rsidRPr="007F428A">
        <w:rPr>
          <w:rFonts w:ascii="Bookman Old Style" w:hAnsi="Bookman Old Style"/>
          <w:b/>
        </w:rPr>
        <w:t xml:space="preserve">ARTÍCULO </w:t>
      </w:r>
      <w:r w:rsidR="000C5190">
        <w:rPr>
          <w:rFonts w:ascii="Bookman Old Style" w:hAnsi="Bookman Old Style"/>
          <w:b/>
        </w:rPr>
        <w:t>2</w:t>
      </w:r>
      <w:r>
        <w:rPr>
          <w:rFonts w:ascii="Bookman Old Style" w:hAnsi="Bookman Old Style"/>
          <w:b/>
        </w:rPr>
        <w:t>.</w:t>
      </w:r>
      <w:r w:rsidRPr="007F428A">
        <w:rPr>
          <w:rFonts w:ascii="Bookman Old Style" w:hAnsi="Bookman Old Style"/>
          <w:b/>
        </w:rPr>
        <w:t xml:space="preserve"> </w:t>
      </w:r>
      <w:r w:rsidR="000C5190" w:rsidRPr="007F428A">
        <w:rPr>
          <w:rFonts w:ascii="Bookman Old Style" w:hAnsi="Bookman Old Style"/>
          <w:b/>
        </w:rPr>
        <w:t>Vigencia</w:t>
      </w:r>
      <w:r w:rsidRPr="007F428A">
        <w:rPr>
          <w:rFonts w:ascii="Bookman Old Style" w:hAnsi="Bookman Old Style"/>
          <w:b/>
        </w:rPr>
        <w:t xml:space="preserve">. </w:t>
      </w:r>
      <w:r w:rsidRPr="007F428A">
        <w:rPr>
          <w:rFonts w:ascii="Bookman Old Style" w:hAnsi="Bookman Old Style"/>
        </w:rPr>
        <w:t xml:space="preserve">Esta resolución rige a partir de su publicación en el </w:t>
      </w:r>
      <w:r w:rsidRPr="007F428A">
        <w:rPr>
          <w:rFonts w:ascii="Bookman Old Style" w:hAnsi="Bookman Old Style"/>
          <w:i/>
        </w:rPr>
        <w:t>Diario Oficial</w:t>
      </w:r>
      <w:r w:rsidRPr="007F428A">
        <w:rPr>
          <w:rFonts w:ascii="Bookman Old Style" w:hAnsi="Bookman Old Style"/>
        </w:rPr>
        <w:t xml:space="preserve"> y deroga las </w:t>
      </w:r>
      <w:r w:rsidR="00BE6CDD">
        <w:rPr>
          <w:rFonts w:ascii="Bookman Old Style" w:hAnsi="Bookman Old Style"/>
        </w:rPr>
        <w:t xml:space="preserve">demás </w:t>
      </w:r>
      <w:r w:rsidRPr="007F428A">
        <w:rPr>
          <w:rFonts w:ascii="Bookman Old Style" w:hAnsi="Bookman Old Style"/>
        </w:rPr>
        <w:t>normas que le sean contrarias.</w:t>
      </w:r>
    </w:p>
    <w:p w:rsidR="00124F62" w:rsidRPr="007F428A" w:rsidRDefault="00124F62" w:rsidP="00B62FDD">
      <w:pPr>
        <w:ind w:left="0"/>
        <w:contextualSpacing/>
        <w:rPr>
          <w:rFonts w:ascii="Bookman Old Style" w:hAnsi="Bookman Old Style"/>
        </w:rPr>
      </w:pPr>
    </w:p>
    <w:p w:rsidR="00B62FDD" w:rsidRPr="00EB29EB" w:rsidRDefault="00B62FDD" w:rsidP="00B62FDD">
      <w:pPr>
        <w:jc w:val="center"/>
        <w:rPr>
          <w:rFonts w:ascii="Bookman Old Style" w:hAnsi="Bookman Old Style"/>
          <w:b/>
        </w:rPr>
      </w:pPr>
      <w:r w:rsidRPr="00EB29EB">
        <w:rPr>
          <w:rFonts w:ascii="Bookman Old Style" w:hAnsi="Bookman Old Style"/>
          <w:b/>
        </w:rPr>
        <w:t>PUBLÍQUESE Y CÚMPLASE</w:t>
      </w:r>
    </w:p>
    <w:p w:rsidR="00B62FDD" w:rsidRPr="00EB29EB" w:rsidRDefault="00B62FDD" w:rsidP="00B62FDD">
      <w:pPr>
        <w:rPr>
          <w:rFonts w:ascii="Bookman Old Style" w:hAnsi="Bookman Old Style"/>
        </w:rPr>
      </w:pPr>
    </w:p>
    <w:p w:rsidR="00B62FDD" w:rsidRDefault="009C088B" w:rsidP="00B62FDD">
      <w:pPr>
        <w:ind w:left="0"/>
        <w:rPr>
          <w:rFonts w:ascii="Bookman Old Style" w:hAnsi="Bookman Old Style"/>
        </w:rPr>
      </w:pPr>
      <w:r w:rsidRPr="009C088B">
        <w:rPr>
          <w:rFonts w:ascii="Bookman Old Style" w:hAnsi="Bookman Old Style"/>
        </w:rPr>
        <w:t>Dada en Bogotá D.C., a</w:t>
      </w:r>
      <w:r w:rsidR="001A79FB">
        <w:rPr>
          <w:rFonts w:ascii="Bookman Old Style" w:hAnsi="Bookman Old Style"/>
        </w:rPr>
        <w:t>,</w:t>
      </w:r>
    </w:p>
    <w:p w:rsidR="005E49A4" w:rsidRPr="005176E7" w:rsidRDefault="005E49A4" w:rsidP="00B62FDD">
      <w:pPr>
        <w:ind w:left="0"/>
        <w:rPr>
          <w:rFonts w:ascii="Bookman Old Style" w:hAnsi="Bookman Old Style"/>
          <w:sz w:val="32"/>
        </w:rPr>
      </w:pPr>
    </w:p>
    <w:p w:rsidR="000D2D08" w:rsidRPr="005176E7" w:rsidRDefault="000D2D08" w:rsidP="00B62FDD">
      <w:pPr>
        <w:ind w:left="0"/>
        <w:rPr>
          <w:rFonts w:ascii="Bookman Old Style" w:hAnsi="Bookman Old Style"/>
          <w:sz w:val="28"/>
        </w:rPr>
      </w:pPr>
    </w:p>
    <w:p w:rsidR="00B62FDD" w:rsidRPr="005176E7" w:rsidRDefault="00B62FDD" w:rsidP="00B62FDD">
      <w:pPr>
        <w:widowControl w:val="0"/>
        <w:ind w:left="0"/>
        <w:rPr>
          <w:rFonts w:ascii="Bookman Old Style" w:hAnsi="Bookman Old Style"/>
          <w:sz w:val="32"/>
        </w:rPr>
      </w:pPr>
    </w:p>
    <w:tbl>
      <w:tblPr>
        <w:tblW w:w="9676" w:type="dxa"/>
        <w:jc w:val="center"/>
        <w:tblInd w:w="-38" w:type="dxa"/>
        <w:tblLayout w:type="fixed"/>
        <w:tblLook w:val="04A0" w:firstRow="1" w:lastRow="0" w:firstColumn="1" w:lastColumn="0" w:noHBand="0" w:noVBand="1"/>
      </w:tblPr>
      <w:tblGrid>
        <w:gridCol w:w="4928"/>
        <w:gridCol w:w="4748"/>
      </w:tblGrid>
      <w:tr w:rsidR="00B62FDD" w:rsidTr="00B62FDD">
        <w:trPr>
          <w:jc w:val="center"/>
        </w:trPr>
        <w:tc>
          <w:tcPr>
            <w:tcW w:w="4928" w:type="dxa"/>
            <w:hideMark/>
          </w:tcPr>
          <w:p w:rsidR="00B62FDD" w:rsidRDefault="00B62FDD" w:rsidP="00B62FDD">
            <w:pPr>
              <w:ind w:left="0" w:right="-288"/>
              <w:rPr>
                <w:rFonts w:ascii="Bookman Old Style" w:hAnsi="Bookman Old Style"/>
                <w:b/>
              </w:rPr>
            </w:pPr>
            <w:r>
              <w:rPr>
                <w:rFonts w:ascii="Bookman Old Style" w:hAnsi="Bookman Old Style"/>
                <w:b/>
              </w:rPr>
              <w:t>CARLOS FERNANDO ERASO CALERO</w:t>
            </w:r>
          </w:p>
          <w:p w:rsidR="00B62FDD" w:rsidRDefault="00B62FDD" w:rsidP="00B62FDD">
            <w:pPr>
              <w:ind w:left="0"/>
              <w:jc w:val="center"/>
              <w:rPr>
                <w:rFonts w:ascii="Bookman Old Style" w:hAnsi="Bookman Old Style"/>
              </w:rPr>
            </w:pPr>
            <w:r>
              <w:rPr>
                <w:rFonts w:ascii="Bookman Old Style" w:hAnsi="Bookman Old Style"/>
              </w:rPr>
              <w:t>Viceministro de Energía</w:t>
            </w:r>
          </w:p>
          <w:p w:rsidR="00B62FDD" w:rsidRDefault="00B62FDD" w:rsidP="00B62FDD">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B62FDD" w:rsidRDefault="008C1452" w:rsidP="00B62FDD">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B62FDD" w:rsidRDefault="00B62FDD" w:rsidP="00B62FDD">
            <w:pPr>
              <w:ind w:left="0"/>
              <w:jc w:val="center"/>
              <w:rPr>
                <w:rFonts w:ascii="Bookman Old Style" w:hAnsi="Bookman Old Style"/>
                <w:b/>
              </w:rPr>
            </w:pPr>
            <w:r>
              <w:rPr>
                <w:rFonts w:ascii="Bookman Old Style" w:hAnsi="Bookman Old Style"/>
                <w:b/>
              </w:rPr>
              <w:t>JORGE PINTO NOLLA</w:t>
            </w:r>
          </w:p>
          <w:p w:rsidR="00B62FDD" w:rsidRDefault="00B62FDD" w:rsidP="00B62FDD">
            <w:pPr>
              <w:ind w:left="0"/>
              <w:jc w:val="center"/>
              <w:rPr>
                <w:rFonts w:ascii="Bookman Old Style" w:hAnsi="Bookman Old Style"/>
              </w:rPr>
            </w:pPr>
            <w:r>
              <w:rPr>
                <w:rFonts w:ascii="Bookman Old Style" w:hAnsi="Bookman Old Style"/>
              </w:rPr>
              <w:t>Director Ejecutivo</w:t>
            </w:r>
          </w:p>
        </w:tc>
      </w:tr>
    </w:tbl>
    <w:p w:rsidR="008C1452" w:rsidRPr="00C07899" w:rsidRDefault="008C1452" w:rsidP="008C1452">
      <w:pPr>
        <w:ind w:left="0"/>
        <w:contextualSpacing/>
        <w:jc w:val="both"/>
        <w:rPr>
          <w:rFonts w:ascii="Bookman Old Style" w:hAnsi="Bookman Old Style"/>
        </w:rPr>
      </w:pPr>
    </w:p>
    <w:sectPr w:rsidR="008C1452" w:rsidRPr="00C0789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D8" w:rsidRDefault="00F126D8">
      <w:r>
        <w:separator/>
      </w:r>
    </w:p>
  </w:endnote>
  <w:endnote w:type="continuationSeparator" w:id="0">
    <w:p w:rsidR="00F126D8" w:rsidRDefault="00F1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D8" w:rsidRDefault="00F126D8">
      <w:r>
        <w:separator/>
      </w:r>
    </w:p>
  </w:footnote>
  <w:footnote w:type="continuationSeparator" w:id="0">
    <w:p w:rsidR="00F126D8" w:rsidRDefault="00F126D8">
      <w:r>
        <w:continuationSeparator/>
      </w:r>
    </w:p>
  </w:footnote>
  <w:footnote w:id="1">
    <w:p w:rsidR="00B62FDD" w:rsidRPr="006428D2" w:rsidRDefault="00B62FDD" w:rsidP="008C1452">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w:t>
      </w:r>
      <w:r w:rsidRPr="00A51EFB">
        <w:rPr>
          <w:rFonts w:ascii="Bookman Old Style" w:hAnsi="Bookman Old Style" w:cs="Arial"/>
          <w:sz w:val="16"/>
          <w:szCs w:val="16"/>
        </w:rPr>
        <w:t xml:space="preserve">, la CREG estableció un precio regulado para el producto proveniente de las principales fuentes de producción nacional, es decir Barranca, Apiay y Cartagena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rsidR="00B62FDD" w:rsidRPr="006428D2" w:rsidRDefault="00B62FDD" w:rsidP="008C1452">
      <w:pPr>
        <w:pStyle w:val="Textonotapie"/>
        <w:ind w:left="0"/>
        <w:jc w:val="both"/>
        <w:rPr>
          <w:rFonts w:ascii="Bookman Old Style" w:hAnsi="Bookman Old Style" w:cs="Arial"/>
          <w:sz w:val="16"/>
          <w:szCs w:val="16"/>
        </w:rPr>
      </w:pPr>
    </w:p>
    <w:p w:rsidR="00B62FDD" w:rsidRDefault="00B62FDD" w:rsidP="008C1452">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Así mismo, cuando se hizo el análisis por parte de la CREG para la expedición de la Resolución CREG 066 de 2007 se observó que el Campo de Cusiana era operado por un agente diferente al Comercializador Mayorista que en ese momento tenía posición dominante en el mercado y por lo tanto podría considerarse como un posible competidor.</w:t>
      </w:r>
    </w:p>
    <w:p w:rsidR="00B62FDD" w:rsidRPr="00A51EFB" w:rsidRDefault="00B62FDD" w:rsidP="008C1452">
      <w:pPr>
        <w:pStyle w:val="Textonotapie"/>
        <w:ind w:left="0"/>
        <w:jc w:val="both"/>
        <w:rPr>
          <w:rFonts w:ascii="Bookman Old Style" w:hAnsi="Bookman Old Style" w:cs="Arial"/>
          <w:sz w:val="16"/>
          <w:szCs w:val="16"/>
        </w:rPr>
      </w:pPr>
    </w:p>
  </w:footnote>
  <w:footnote w:id="2">
    <w:p w:rsidR="00B62FDD" w:rsidRPr="00A51EFB" w:rsidRDefault="00B62FDD" w:rsidP="008C1452">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w:t>
      </w:r>
      <w:r w:rsidR="00D945FA">
        <w:rPr>
          <w:rFonts w:ascii="Bookman Old Style" w:hAnsi="Bookman Old Style" w:cs="Arial"/>
          <w:sz w:val="16"/>
          <w:szCs w:val="16"/>
        </w:rPr>
        <w:t>c</w:t>
      </w:r>
      <w:r w:rsidRPr="00A51EFB">
        <w:rPr>
          <w:rFonts w:ascii="Bookman Old Style" w:hAnsi="Bookman Old Style" w:cs="Arial"/>
          <w:sz w:val="16"/>
          <w:szCs w:val="16"/>
        </w:rPr>
        <w:t xml:space="preserve">omercializadores </w:t>
      </w:r>
      <w:r w:rsidR="00D945FA">
        <w:rPr>
          <w:rFonts w:ascii="Bookman Old Style" w:hAnsi="Bookman Old Style" w:cs="Arial"/>
          <w:sz w:val="16"/>
          <w:szCs w:val="16"/>
        </w:rPr>
        <w:t>m</w:t>
      </w:r>
      <w:r w:rsidRPr="00A51EFB">
        <w:rPr>
          <w:rFonts w:ascii="Bookman Old Style" w:hAnsi="Bookman Old Style" w:cs="Arial"/>
          <w:sz w:val="16"/>
          <w:szCs w:val="16"/>
        </w:rPr>
        <w:t xml:space="preserve">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w:t>
      </w:r>
      <w:r w:rsidR="00D945FA">
        <w:rPr>
          <w:rFonts w:ascii="Bookman Old Style" w:hAnsi="Bookman Old Style" w:cs="Arial"/>
          <w:sz w:val="16"/>
          <w:szCs w:val="16"/>
        </w:rPr>
        <w:t>c</w:t>
      </w:r>
      <w:r w:rsidRPr="00A51EFB">
        <w:rPr>
          <w:rFonts w:ascii="Bookman Old Style" w:hAnsi="Bookman Old Style" w:cs="Arial"/>
          <w:sz w:val="16"/>
          <w:szCs w:val="16"/>
        </w:rPr>
        <w:t xml:space="preserve">omercializador </w:t>
      </w:r>
      <w:r w:rsidR="00D945FA">
        <w:rPr>
          <w:rFonts w:ascii="Bookman Old Style" w:hAnsi="Bookman Old Style" w:cs="Arial"/>
          <w:sz w:val="16"/>
          <w:szCs w:val="16"/>
        </w:rPr>
        <w:t>m</w:t>
      </w:r>
      <w:r w:rsidRPr="00A51EFB">
        <w:rPr>
          <w:rFonts w:ascii="Bookman Old Style" w:hAnsi="Bookman Old Style" w:cs="Arial"/>
          <w:sz w:val="16"/>
          <w:szCs w:val="16"/>
        </w:rPr>
        <w:t>ayorista. Sin embargo, la CREG reconoció que inicialmente la entrada de nuevos agentes capaces de dinamizar la competencia no será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3">
    <w:p w:rsidR="00B62FDD" w:rsidRPr="00A51EFB" w:rsidRDefault="00B62FDD" w:rsidP="008C1452">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4">
    <w:p w:rsidR="00B62FDD" w:rsidRPr="00A51EFB" w:rsidRDefault="00B62FDD" w:rsidP="008C1452">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5">
    <w:p w:rsidR="00B62FDD" w:rsidRPr="00A51EFB" w:rsidRDefault="00B62FDD" w:rsidP="008C1452">
      <w:pPr>
        <w:pStyle w:val="Textonotapie"/>
        <w:ind w:left="0"/>
        <w:jc w:val="both"/>
        <w:rPr>
          <w:rFonts w:ascii="Bookman Old Style" w:hAnsi="Bookman Old Style"/>
          <w:sz w:val="16"/>
          <w:szCs w:val="16"/>
          <w:lang w:val="es-CO"/>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Modificada por las resoluciones CREG 108 de 2011 y 154 de 2014</w:t>
      </w:r>
      <w:r>
        <w:rPr>
          <w:rFonts w:ascii="Bookman Old Style" w:hAnsi="Bookman Old Style" w:cs="Arial"/>
          <w:sz w:val="16"/>
          <w:szCs w:val="16"/>
        </w:rPr>
        <w:t>.</w:t>
      </w:r>
    </w:p>
  </w:footnote>
  <w:footnote w:id="6">
    <w:p w:rsidR="00B62FDD" w:rsidRPr="002255C7" w:rsidRDefault="00B62FDD" w:rsidP="008C1452">
      <w:pPr>
        <w:pStyle w:val="Textonotapie"/>
        <w:ind w:left="0"/>
        <w:jc w:val="both"/>
        <w:rPr>
          <w:rFonts w:ascii="Bookman Old Style" w:hAnsi="Bookman Old Style" w:cs="Arial"/>
          <w:sz w:val="16"/>
          <w:szCs w:val="16"/>
        </w:rPr>
      </w:pPr>
      <w:r w:rsidRPr="002255C7">
        <w:rPr>
          <w:rFonts w:ascii="Bookman Old Style" w:hAnsi="Bookman Old Style" w:cs="Arial"/>
          <w:sz w:val="16"/>
          <w:szCs w:val="16"/>
        </w:rPr>
        <w:footnoteRef/>
      </w:r>
      <w:r w:rsidRPr="002255C7">
        <w:rPr>
          <w:rFonts w:ascii="Bookman Old Style" w:hAnsi="Bookman Old Style" w:cs="Arial"/>
          <w:sz w:val="16"/>
          <w:szCs w:val="16"/>
        </w:rPr>
        <w:t xml:space="preserve"> Así mismo, con la Resolución</w:t>
      </w:r>
      <w:r w:rsidR="00FE5FA0">
        <w:rPr>
          <w:rFonts w:ascii="Bookman Old Style" w:hAnsi="Bookman Old Style" w:cs="Arial"/>
          <w:sz w:val="16"/>
          <w:szCs w:val="16"/>
        </w:rPr>
        <w:t xml:space="preserve"> CREG</w:t>
      </w:r>
      <w:r w:rsidRPr="002255C7">
        <w:rPr>
          <w:rFonts w:ascii="Bookman Old Style" w:hAnsi="Bookman Old Style" w:cs="Arial"/>
          <w:sz w:val="16"/>
          <w:szCs w:val="16"/>
        </w:rPr>
        <w:t xml:space="preserve"> 079 de 2015 se pretende que para el </w:t>
      </w:r>
      <w:r w:rsidR="00D945FA">
        <w:rPr>
          <w:rFonts w:ascii="Bookman Old Style" w:hAnsi="Bookman Old Style" w:cs="Arial"/>
          <w:sz w:val="16"/>
          <w:szCs w:val="16"/>
        </w:rPr>
        <w:t>c</w:t>
      </w:r>
      <w:r w:rsidRPr="002255C7">
        <w:rPr>
          <w:rFonts w:ascii="Bookman Old Style" w:hAnsi="Bookman Old Style" w:cs="Arial"/>
          <w:sz w:val="16"/>
          <w:szCs w:val="16"/>
        </w:rPr>
        <w:t xml:space="preserve">omercializador </w:t>
      </w:r>
      <w:r w:rsidR="00D945FA">
        <w:rPr>
          <w:rFonts w:ascii="Bookman Old Style" w:hAnsi="Bookman Old Style" w:cs="Arial"/>
          <w:sz w:val="16"/>
          <w:szCs w:val="16"/>
        </w:rPr>
        <w:t>m</w:t>
      </w:r>
      <w:r w:rsidRPr="002255C7">
        <w:rPr>
          <w:rFonts w:ascii="Bookman Old Style" w:hAnsi="Bookman Old Style" w:cs="Arial"/>
          <w:sz w:val="16"/>
          <w:szCs w:val="16"/>
        </w:rPr>
        <w:t>ayorista con</w:t>
      </w:r>
      <w:r w:rsidR="00FE5FA0">
        <w:rPr>
          <w:rFonts w:ascii="Bookman Old Style" w:hAnsi="Bookman Old Style" w:cs="Arial"/>
          <w:sz w:val="16"/>
          <w:szCs w:val="16"/>
        </w:rPr>
        <w:t xml:space="preserve"> GLP de </w:t>
      </w:r>
      <w:r w:rsidRPr="002255C7">
        <w:rPr>
          <w:rFonts w:ascii="Bookman Old Style" w:hAnsi="Bookman Old Style" w:cs="Arial"/>
          <w:sz w:val="16"/>
          <w:szCs w:val="16"/>
        </w:rPr>
        <w:t>fuente</w:t>
      </w:r>
      <w:r w:rsidR="00FE5FA0">
        <w:rPr>
          <w:rFonts w:ascii="Bookman Old Style" w:hAnsi="Bookman Old Style" w:cs="Arial"/>
          <w:sz w:val="16"/>
          <w:szCs w:val="16"/>
        </w:rPr>
        <w:t>s</w:t>
      </w:r>
      <w:r w:rsidRPr="002255C7">
        <w:rPr>
          <w:rFonts w:ascii="Bookman Old Style" w:hAnsi="Bookman Old Style" w:cs="Arial"/>
          <w:sz w:val="16"/>
          <w:szCs w:val="16"/>
        </w:rPr>
        <w:t xml:space="preserve"> con precio regulado, en este caso Ecopetrol, sea indiferente entre utilizar gas natural y GLP en las refinerías.  El objetivo de esta resolución es enviar una señal de precio para que el GLP que Ecopetrol tenía destinado para uso propio, sea puesto a disposición de los usuarios nacionales del servicio público domiciliario de GLP.</w:t>
      </w:r>
    </w:p>
  </w:footnote>
  <w:footnote w:id="7">
    <w:p w:rsidR="00957328" w:rsidRPr="00A51EFB" w:rsidRDefault="00957328" w:rsidP="008C1452">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Constitucional, Sentencia C-150 de 2003.</w:t>
      </w:r>
    </w:p>
  </w:footnote>
  <w:footnote w:id="8">
    <w:p w:rsidR="00957328" w:rsidRPr="00A51EFB" w:rsidRDefault="00957328" w:rsidP="008C1452">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Constitucional, Sentencia C- 075 de 2006</w:t>
      </w:r>
      <w:r>
        <w:rPr>
          <w:rFonts w:ascii="Bookman Old Style" w:hAnsi="Bookman Old Style" w:cs="Arial"/>
          <w:sz w:val="16"/>
          <w:szCs w:val="16"/>
        </w:rPr>
        <w:t>.</w:t>
      </w:r>
    </w:p>
  </w:footnote>
  <w:footnote w:id="9">
    <w:p w:rsidR="00957328" w:rsidRPr="00A51EFB" w:rsidRDefault="00957328" w:rsidP="008C1452">
      <w:pPr>
        <w:pStyle w:val="Textonotapie"/>
        <w:ind w:left="0"/>
        <w:rPr>
          <w:rFonts w:ascii="Bookman Old Style" w:hAnsi="Bookman Old Style"/>
          <w:sz w:val="16"/>
          <w:szCs w:val="16"/>
        </w:rPr>
      </w:pPr>
      <w:r w:rsidRPr="00A51EFB">
        <w:rPr>
          <w:rStyle w:val="Refdenotaalpie"/>
          <w:rFonts w:ascii="Bookman Old Style" w:hAnsi="Bookman Old Style"/>
          <w:sz w:val="16"/>
          <w:szCs w:val="16"/>
          <w:vertAlign w:val="baseline"/>
        </w:rPr>
        <w:footnoteRef/>
      </w:r>
      <w:r w:rsidRPr="00A51EFB">
        <w:rPr>
          <w:rFonts w:ascii="Bookman Old Style" w:hAnsi="Bookman Old Style"/>
          <w:sz w:val="16"/>
          <w:szCs w:val="16"/>
        </w:rPr>
        <w:t xml:space="preserve"> Corte Constitucional, Sentencia C-353 de 2006</w:t>
      </w:r>
      <w:r>
        <w:rPr>
          <w:rFonts w:ascii="Bookman Old Style" w:hAnsi="Bookman Old Style"/>
          <w:sz w:val="16"/>
          <w:szCs w:val="16"/>
        </w:rPr>
        <w:t>.</w:t>
      </w:r>
    </w:p>
  </w:footnote>
  <w:footnote w:id="10">
    <w:p w:rsidR="00957328" w:rsidRPr="00A51EFB" w:rsidRDefault="00957328" w:rsidP="008C1452">
      <w:pPr>
        <w:pStyle w:val="Textonotapie"/>
        <w:ind w:left="0"/>
        <w:rPr>
          <w:rFonts w:ascii="Bookman Old Style" w:hAnsi="Bookman Old Style"/>
          <w:sz w:val="16"/>
          <w:szCs w:val="16"/>
        </w:rPr>
      </w:pPr>
      <w:r w:rsidRPr="00A51EFB">
        <w:rPr>
          <w:rStyle w:val="Refdenotaalpie"/>
          <w:rFonts w:ascii="Bookman Old Style" w:hAnsi="Bookman Old Style"/>
          <w:sz w:val="16"/>
          <w:szCs w:val="16"/>
          <w:vertAlign w:val="baseline"/>
        </w:rPr>
        <w:footnoteRef/>
      </w:r>
      <w:r w:rsidRPr="00A51EFB">
        <w:rPr>
          <w:rFonts w:ascii="Bookman Old Style" w:hAnsi="Bookman Old Style"/>
          <w:sz w:val="16"/>
          <w:szCs w:val="16"/>
        </w:rPr>
        <w:t xml:space="preserve"> Corte Constitucional, Sentencia C-150 de 2003.</w:t>
      </w:r>
    </w:p>
  </w:footnote>
  <w:footnote w:id="11">
    <w:p w:rsidR="00957328" w:rsidRPr="00A51EFB" w:rsidRDefault="00957328" w:rsidP="008C1452">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Ver entre otras las sentencias de la H. Corte Constitucional C-150 de 2003, C-1162 de 2000, C-186 de 2011.</w:t>
      </w:r>
    </w:p>
  </w:footnote>
  <w:footnote w:id="12">
    <w:p w:rsidR="00957328" w:rsidRPr="00A51EFB" w:rsidRDefault="00957328" w:rsidP="008C1452">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Constitucional, Sentencia C-075 de 2006.</w:t>
      </w:r>
    </w:p>
  </w:footnote>
  <w:footnote w:id="13">
    <w:p w:rsidR="00957328" w:rsidRPr="004E0D42" w:rsidRDefault="00957328" w:rsidP="008C1452">
      <w:pPr>
        <w:pStyle w:val="Textonotapie"/>
        <w:ind w:left="0"/>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Constitucional, Sentencia C-150 de 2003, C-1120-05 Consejo de Estado, Sala de lo contencioso administrativo, Sección primera, Consejero </w:t>
      </w:r>
      <w:r w:rsidRPr="004E0D42">
        <w:rPr>
          <w:rFonts w:ascii="Bookman Old Style" w:hAnsi="Bookman Old Style"/>
          <w:sz w:val="16"/>
          <w:szCs w:val="16"/>
        </w:rPr>
        <w:t>ponente: doctor: Rafael E. Ostau de Lafont Pianeta, Bogotá, D.C., treinta (30) de abril de dos mil nueve (2009), Núm. Rad.: 11001 032400020040012301.</w:t>
      </w:r>
    </w:p>
  </w:footnote>
  <w:footnote w:id="14">
    <w:p w:rsidR="009C088B" w:rsidRPr="00837ECA" w:rsidRDefault="009C088B" w:rsidP="009C088B">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DD" w:rsidRDefault="00B62FDD" w:rsidP="00951F79">
    <w:pPr>
      <w:pStyle w:val="Ttulo1"/>
      <w:ind w:right="6"/>
      <w:jc w:val="left"/>
      <w:rPr>
        <w:rFonts w:ascii="Bookman Old Style" w:hAnsi="Bookman Old Style" w:cs="Arial"/>
        <w:b w:val="0"/>
        <w:sz w:val="22"/>
        <w:szCs w:val="22"/>
      </w:rPr>
    </w:pPr>
  </w:p>
  <w:p w:rsidR="00B62FDD" w:rsidRPr="00951F79" w:rsidRDefault="00B62FD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7673C">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7673C">
      <w:fldChar w:fldCharType="begin"/>
    </w:r>
    <w:r w:rsidR="0067673C">
      <w:instrText xml:space="preserve"> NUMPAGES  \* MERGEFORMAT </w:instrText>
    </w:r>
    <w:r w:rsidR="0067673C">
      <w:fldChar w:fldCharType="separate"/>
    </w:r>
    <w:r w:rsidR="0067673C" w:rsidRPr="0067673C">
      <w:rPr>
        <w:rFonts w:ascii="Bookman Old Style" w:hAnsi="Bookman Old Style" w:cs="Arial"/>
        <w:b w:val="0"/>
        <w:noProof/>
        <w:sz w:val="22"/>
        <w:szCs w:val="22"/>
      </w:rPr>
      <w:t>11</w:t>
    </w:r>
    <w:r w:rsidR="0067673C">
      <w:rPr>
        <w:rFonts w:ascii="Bookman Old Style" w:hAnsi="Bookman Old Style" w:cs="Arial"/>
        <w:b w:val="0"/>
        <w:noProof/>
        <w:sz w:val="22"/>
        <w:szCs w:val="22"/>
      </w:rPr>
      <w:fldChar w:fldCharType="end"/>
    </w:r>
  </w:p>
  <w:p w:rsidR="00B62FDD" w:rsidRDefault="00B62FDD"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7216" behindDoc="0" locked="0" layoutInCell="1" allowOverlap="1" wp14:anchorId="1F27D7BA" wp14:editId="568BAB0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62FDD" w:rsidRPr="00421700" w:rsidRDefault="00B62FDD" w:rsidP="00A00D24">
    <w:pPr>
      <w:pBdr>
        <w:bottom w:val="single" w:sz="4" w:space="1" w:color="auto"/>
      </w:pBdr>
      <w:ind w:left="142" w:right="148"/>
      <w:jc w:val="both"/>
      <w:rPr>
        <w:b/>
        <w:sz w:val="22"/>
        <w:szCs w:val="22"/>
      </w:rPr>
    </w:pPr>
    <w:r w:rsidRPr="00B62FDD">
      <w:rPr>
        <w:rFonts w:ascii="Bookman Old Style" w:hAnsi="Bookman Old Style"/>
        <w:sz w:val="22"/>
        <w:szCs w:val="22"/>
      </w:rPr>
      <w:t>Por la cual se adoptan medidas regulatorias como parte de la actualización del balance oferta demanda del gas licuado de petróleo para las fuentes con precio regulado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DD" w:rsidRDefault="00B62FD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62FDD" w:rsidRDefault="00B62FDD">
    <w:pPr>
      <w:pStyle w:val="Encabezado"/>
      <w:jc w:val="center"/>
      <w:rPr>
        <w:rFonts w:ascii="Arial" w:hAnsi="Arial" w:cs="Arial"/>
        <w:spacing w:val="20"/>
        <w:sz w:val="20"/>
      </w:rPr>
    </w:pPr>
  </w:p>
  <w:p w:rsidR="00B62FDD" w:rsidRDefault="00B62FD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D94875F" wp14:editId="261A2E1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1983FCD"/>
    <w:multiLevelType w:val="hybridMultilevel"/>
    <w:tmpl w:val="B9F20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7">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6"/>
  </w:num>
  <w:num w:numId="4">
    <w:abstractNumId w:val="6"/>
  </w:num>
  <w:num w:numId="5">
    <w:abstractNumId w:val="18"/>
  </w:num>
  <w:num w:numId="6">
    <w:abstractNumId w:val="4"/>
  </w:num>
  <w:num w:numId="7">
    <w:abstractNumId w:val="3"/>
  </w:num>
  <w:num w:numId="8">
    <w:abstractNumId w:val="21"/>
  </w:num>
  <w:num w:numId="9">
    <w:abstractNumId w:val="20"/>
  </w:num>
  <w:num w:numId="10">
    <w:abstractNumId w:val="13"/>
  </w:num>
  <w:num w:numId="11">
    <w:abstractNumId w:val="27"/>
  </w:num>
  <w:num w:numId="12">
    <w:abstractNumId w:val="24"/>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23"/>
  </w:num>
  <w:num w:numId="20">
    <w:abstractNumId w:val="17"/>
  </w:num>
  <w:num w:numId="21">
    <w:abstractNumId w:val="7"/>
  </w:num>
  <w:num w:numId="22">
    <w:abstractNumId w:val="8"/>
  </w:num>
  <w:num w:numId="23">
    <w:abstractNumId w:val="25"/>
  </w:num>
  <w:num w:numId="24">
    <w:abstractNumId w:val="16"/>
  </w:num>
  <w:num w:numId="25">
    <w:abstractNumId w:val="22"/>
  </w:num>
  <w:num w:numId="26">
    <w:abstractNumId w:val="15"/>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03E"/>
    <w:rsid w:val="00006AE2"/>
    <w:rsid w:val="000071F6"/>
    <w:rsid w:val="000076A1"/>
    <w:rsid w:val="00012259"/>
    <w:rsid w:val="00013272"/>
    <w:rsid w:val="000160AD"/>
    <w:rsid w:val="000212FD"/>
    <w:rsid w:val="000231D5"/>
    <w:rsid w:val="00025383"/>
    <w:rsid w:val="0003070A"/>
    <w:rsid w:val="00042D02"/>
    <w:rsid w:val="00045D3D"/>
    <w:rsid w:val="00062C6F"/>
    <w:rsid w:val="00063657"/>
    <w:rsid w:val="000643E9"/>
    <w:rsid w:val="00070155"/>
    <w:rsid w:val="00070799"/>
    <w:rsid w:val="000711E4"/>
    <w:rsid w:val="000716FC"/>
    <w:rsid w:val="00076680"/>
    <w:rsid w:val="00076A1D"/>
    <w:rsid w:val="0008073E"/>
    <w:rsid w:val="00081739"/>
    <w:rsid w:val="000831E9"/>
    <w:rsid w:val="00083BD1"/>
    <w:rsid w:val="0009054B"/>
    <w:rsid w:val="00091CDB"/>
    <w:rsid w:val="0009364F"/>
    <w:rsid w:val="000946B1"/>
    <w:rsid w:val="000A19AC"/>
    <w:rsid w:val="000A2E74"/>
    <w:rsid w:val="000A5655"/>
    <w:rsid w:val="000B1F9B"/>
    <w:rsid w:val="000B2EC9"/>
    <w:rsid w:val="000B5BB2"/>
    <w:rsid w:val="000B6A56"/>
    <w:rsid w:val="000C137E"/>
    <w:rsid w:val="000C5161"/>
    <w:rsid w:val="000C5190"/>
    <w:rsid w:val="000C5738"/>
    <w:rsid w:val="000C7728"/>
    <w:rsid w:val="000D26F8"/>
    <w:rsid w:val="000D2D08"/>
    <w:rsid w:val="000E0E85"/>
    <w:rsid w:val="000F165C"/>
    <w:rsid w:val="000F5513"/>
    <w:rsid w:val="00106654"/>
    <w:rsid w:val="001151E1"/>
    <w:rsid w:val="00115313"/>
    <w:rsid w:val="00117256"/>
    <w:rsid w:val="00124F62"/>
    <w:rsid w:val="0013521E"/>
    <w:rsid w:val="0013526C"/>
    <w:rsid w:val="001405C6"/>
    <w:rsid w:val="00141013"/>
    <w:rsid w:val="00141CB4"/>
    <w:rsid w:val="00155A7B"/>
    <w:rsid w:val="00155DF3"/>
    <w:rsid w:val="001651AE"/>
    <w:rsid w:val="00170282"/>
    <w:rsid w:val="001737C5"/>
    <w:rsid w:val="00181A77"/>
    <w:rsid w:val="001828E3"/>
    <w:rsid w:val="001829CA"/>
    <w:rsid w:val="0018400C"/>
    <w:rsid w:val="00190ECF"/>
    <w:rsid w:val="00192CBF"/>
    <w:rsid w:val="00192FF1"/>
    <w:rsid w:val="0019374F"/>
    <w:rsid w:val="001A5F1B"/>
    <w:rsid w:val="001A79FB"/>
    <w:rsid w:val="001B1C22"/>
    <w:rsid w:val="001B316E"/>
    <w:rsid w:val="001B34C6"/>
    <w:rsid w:val="001B6907"/>
    <w:rsid w:val="001D631B"/>
    <w:rsid w:val="001D645A"/>
    <w:rsid w:val="001D7832"/>
    <w:rsid w:val="001E0A71"/>
    <w:rsid w:val="001E0ADC"/>
    <w:rsid w:val="001E1616"/>
    <w:rsid w:val="001E1D2D"/>
    <w:rsid w:val="001E25FF"/>
    <w:rsid w:val="001E3A15"/>
    <w:rsid w:val="001F01DF"/>
    <w:rsid w:val="001F336C"/>
    <w:rsid w:val="001F3F66"/>
    <w:rsid w:val="001F6046"/>
    <w:rsid w:val="00203510"/>
    <w:rsid w:val="002049E4"/>
    <w:rsid w:val="00210DC1"/>
    <w:rsid w:val="00211D34"/>
    <w:rsid w:val="00214F04"/>
    <w:rsid w:val="00220BAE"/>
    <w:rsid w:val="002255C7"/>
    <w:rsid w:val="00225C74"/>
    <w:rsid w:val="0023102B"/>
    <w:rsid w:val="002331A2"/>
    <w:rsid w:val="002352B9"/>
    <w:rsid w:val="00251EB7"/>
    <w:rsid w:val="00266CD6"/>
    <w:rsid w:val="002673AC"/>
    <w:rsid w:val="00267860"/>
    <w:rsid w:val="00272F8D"/>
    <w:rsid w:val="00275DAB"/>
    <w:rsid w:val="0028701A"/>
    <w:rsid w:val="002903C0"/>
    <w:rsid w:val="002927E2"/>
    <w:rsid w:val="002A23E6"/>
    <w:rsid w:val="002A2733"/>
    <w:rsid w:val="002A511E"/>
    <w:rsid w:val="002A5B32"/>
    <w:rsid w:val="002A782A"/>
    <w:rsid w:val="002A7E18"/>
    <w:rsid w:val="002B11E2"/>
    <w:rsid w:val="002B148D"/>
    <w:rsid w:val="002B1F56"/>
    <w:rsid w:val="002B24B8"/>
    <w:rsid w:val="002C1B57"/>
    <w:rsid w:val="002C7D29"/>
    <w:rsid w:val="002D17C0"/>
    <w:rsid w:val="002D3AE9"/>
    <w:rsid w:val="002D4510"/>
    <w:rsid w:val="002E71B2"/>
    <w:rsid w:val="002F0734"/>
    <w:rsid w:val="002F3B58"/>
    <w:rsid w:val="002F46E7"/>
    <w:rsid w:val="00300CDE"/>
    <w:rsid w:val="00304AE0"/>
    <w:rsid w:val="00306BD0"/>
    <w:rsid w:val="00307432"/>
    <w:rsid w:val="003101DA"/>
    <w:rsid w:val="003111C3"/>
    <w:rsid w:val="003142BA"/>
    <w:rsid w:val="00314757"/>
    <w:rsid w:val="00314DB7"/>
    <w:rsid w:val="00315BA7"/>
    <w:rsid w:val="003163BC"/>
    <w:rsid w:val="003208F5"/>
    <w:rsid w:val="003211CE"/>
    <w:rsid w:val="00323F4B"/>
    <w:rsid w:val="00335684"/>
    <w:rsid w:val="003454A1"/>
    <w:rsid w:val="00352CBF"/>
    <w:rsid w:val="0035403A"/>
    <w:rsid w:val="0035423F"/>
    <w:rsid w:val="00355AD7"/>
    <w:rsid w:val="00356C05"/>
    <w:rsid w:val="0036394B"/>
    <w:rsid w:val="00363C55"/>
    <w:rsid w:val="00366DB6"/>
    <w:rsid w:val="0036796E"/>
    <w:rsid w:val="003709B5"/>
    <w:rsid w:val="003759C2"/>
    <w:rsid w:val="00381CAD"/>
    <w:rsid w:val="0038316E"/>
    <w:rsid w:val="00384415"/>
    <w:rsid w:val="00385A60"/>
    <w:rsid w:val="00397365"/>
    <w:rsid w:val="003A31F6"/>
    <w:rsid w:val="003A65C9"/>
    <w:rsid w:val="003B1CCF"/>
    <w:rsid w:val="003B7EA4"/>
    <w:rsid w:val="003C1693"/>
    <w:rsid w:val="003C3447"/>
    <w:rsid w:val="003D076C"/>
    <w:rsid w:val="003D48F2"/>
    <w:rsid w:val="003E78B5"/>
    <w:rsid w:val="003F440C"/>
    <w:rsid w:val="003F5F1C"/>
    <w:rsid w:val="003F6B65"/>
    <w:rsid w:val="00403BC2"/>
    <w:rsid w:val="004079D4"/>
    <w:rsid w:val="00411398"/>
    <w:rsid w:val="00415BAB"/>
    <w:rsid w:val="00415ED2"/>
    <w:rsid w:val="0042068C"/>
    <w:rsid w:val="00421700"/>
    <w:rsid w:val="0042263B"/>
    <w:rsid w:val="00424C41"/>
    <w:rsid w:val="004315AA"/>
    <w:rsid w:val="00440E69"/>
    <w:rsid w:val="00442C06"/>
    <w:rsid w:val="0044318E"/>
    <w:rsid w:val="00443B35"/>
    <w:rsid w:val="004458F6"/>
    <w:rsid w:val="00445E36"/>
    <w:rsid w:val="00446649"/>
    <w:rsid w:val="004571A4"/>
    <w:rsid w:val="0047122B"/>
    <w:rsid w:val="00472A4C"/>
    <w:rsid w:val="00473B7A"/>
    <w:rsid w:val="004857B2"/>
    <w:rsid w:val="00490832"/>
    <w:rsid w:val="004960E9"/>
    <w:rsid w:val="004A2E88"/>
    <w:rsid w:val="004A5182"/>
    <w:rsid w:val="004A52FE"/>
    <w:rsid w:val="004A5305"/>
    <w:rsid w:val="004C0288"/>
    <w:rsid w:val="004C4C34"/>
    <w:rsid w:val="004D4F78"/>
    <w:rsid w:val="004D7634"/>
    <w:rsid w:val="004D7696"/>
    <w:rsid w:val="004E0D42"/>
    <w:rsid w:val="004E37B4"/>
    <w:rsid w:val="004E410D"/>
    <w:rsid w:val="004E611A"/>
    <w:rsid w:val="004F1EB2"/>
    <w:rsid w:val="004F6460"/>
    <w:rsid w:val="00503764"/>
    <w:rsid w:val="00513775"/>
    <w:rsid w:val="005176E7"/>
    <w:rsid w:val="00523D2F"/>
    <w:rsid w:val="005300D3"/>
    <w:rsid w:val="00531A78"/>
    <w:rsid w:val="00542351"/>
    <w:rsid w:val="00542A10"/>
    <w:rsid w:val="00544F70"/>
    <w:rsid w:val="00544F82"/>
    <w:rsid w:val="00545590"/>
    <w:rsid w:val="005459C9"/>
    <w:rsid w:val="00547D77"/>
    <w:rsid w:val="005509D2"/>
    <w:rsid w:val="00564259"/>
    <w:rsid w:val="00565A32"/>
    <w:rsid w:val="00570E04"/>
    <w:rsid w:val="0057462B"/>
    <w:rsid w:val="00581DC0"/>
    <w:rsid w:val="00583700"/>
    <w:rsid w:val="0058608B"/>
    <w:rsid w:val="00593C4F"/>
    <w:rsid w:val="005946A8"/>
    <w:rsid w:val="005A03B9"/>
    <w:rsid w:val="005A0CE2"/>
    <w:rsid w:val="005A4407"/>
    <w:rsid w:val="005A59EF"/>
    <w:rsid w:val="005A70AD"/>
    <w:rsid w:val="005B1C7E"/>
    <w:rsid w:val="005B390F"/>
    <w:rsid w:val="005B4C18"/>
    <w:rsid w:val="005C6976"/>
    <w:rsid w:val="005C6C19"/>
    <w:rsid w:val="005C6E73"/>
    <w:rsid w:val="005D200B"/>
    <w:rsid w:val="005E0CFA"/>
    <w:rsid w:val="005E46BF"/>
    <w:rsid w:val="005E49A4"/>
    <w:rsid w:val="005F08C5"/>
    <w:rsid w:val="005F14D0"/>
    <w:rsid w:val="005F6E30"/>
    <w:rsid w:val="005F6F41"/>
    <w:rsid w:val="006048A1"/>
    <w:rsid w:val="00606756"/>
    <w:rsid w:val="006106FA"/>
    <w:rsid w:val="00611363"/>
    <w:rsid w:val="00625DC6"/>
    <w:rsid w:val="00627B63"/>
    <w:rsid w:val="00630022"/>
    <w:rsid w:val="006301B1"/>
    <w:rsid w:val="00630C79"/>
    <w:rsid w:val="0064273A"/>
    <w:rsid w:val="006428D2"/>
    <w:rsid w:val="0064391D"/>
    <w:rsid w:val="0064719D"/>
    <w:rsid w:val="00651821"/>
    <w:rsid w:val="006522CA"/>
    <w:rsid w:val="006525B3"/>
    <w:rsid w:val="00654384"/>
    <w:rsid w:val="00660DB0"/>
    <w:rsid w:val="00661DF3"/>
    <w:rsid w:val="006675CD"/>
    <w:rsid w:val="0067673C"/>
    <w:rsid w:val="00676E8D"/>
    <w:rsid w:val="006818AB"/>
    <w:rsid w:val="006822BE"/>
    <w:rsid w:val="00683C2A"/>
    <w:rsid w:val="00683F16"/>
    <w:rsid w:val="00684D9B"/>
    <w:rsid w:val="0068510A"/>
    <w:rsid w:val="00685FAD"/>
    <w:rsid w:val="006875B4"/>
    <w:rsid w:val="006926D9"/>
    <w:rsid w:val="0069281E"/>
    <w:rsid w:val="006972FD"/>
    <w:rsid w:val="00697556"/>
    <w:rsid w:val="006A1FC0"/>
    <w:rsid w:val="006A5709"/>
    <w:rsid w:val="006B0E5F"/>
    <w:rsid w:val="006B0FF2"/>
    <w:rsid w:val="006B12FB"/>
    <w:rsid w:val="006B3D69"/>
    <w:rsid w:val="006B4114"/>
    <w:rsid w:val="006B4647"/>
    <w:rsid w:val="006B4C2B"/>
    <w:rsid w:val="006B6194"/>
    <w:rsid w:val="006B6D47"/>
    <w:rsid w:val="006C548A"/>
    <w:rsid w:val="006C5AFE"/>
    <w:rsid w:val="006D5B22"/>
    <w:rsid w:val="006E4C67"/>
    <w:rsid w:val="006E6CE7"/>
    <w:rsid w:val="006F0143"/>
    <w:rsid w:val="006F2EC8"/>
    <w:rsid w:val="006F4941"/>
    <w:rsid w:val="006F669D"/>
    <w:rsid w:val="006F6D95"/>
    <w:rsid w:val="006F6F53"/>
    <w:rsid w:val="007009F8"/>
    <w:rsid w:val="00704FA8"/>
    <w:rsid w:val="00706F13"/>
    <w:rsid w:val="007072E8"/>
    <w:rsid w:val="0071618D"/>
    <w:rsid w:val="00720721"/>
    <w:rsid w:val="0072440E"/>
    <w:rsid w:val="00725779"/>
    <w:rsid w:val="00725FA4"/>
    <w:rsid w:val="00730F03"/>
    <w:rsid w:val="00731266"/>
    <w:rsid w:val="0073688E"/>
    <w:rsid w:val="00740446"/>
    <w:rsid w:val="00741008"/>
    <w:rsid w:val="0074256A"/>
    <w:rsid w:val="007438A9"/>
    <w:rsid w:val="0074491E"/>
    <w:rsid w:val="00745568"/>
    <w:rsid w:val="00760CBC"/>
    <w:rsid w:val="00760FFF"/>
    <w:rsid w:val="0076247A"/>
    <w:rsid w:val="00762AEC"/>
    <w:rsid w:val="00766064"/>
    <w:rsid w:val="00766843"/>
    <w:rsid w:val="00775964"/>
    <w:rsid w:val="007765FE"/>
    <w:rsid w:val="007776CD"/>
    <w:rsid w:val="007807EF"/>
    <w:rsid w:val="00780826"/>
    <w:rsid w:val="0078164B"/>
    <w:rsid w:val="00783769"/>
    <w:rsid w:val="00784EF6"/>
    <w:rsid w:val="00794BEE"/>
    <w:rsid w:val="00794E2E"/>
    <w:rsid w:val="00795BFB"/>
    <w:rsid w:val="007A0C27"/>
    <w:rsid w:val="007A19A9"/>
    <w:rsid w:val="007B09AC"/>
    <w:rsid w:val="007B2760"/>
    <w:rsid w:val="007B5838"/>
    <w:rsid w:val="007C29D5"/>
    <w:rsid w:val="007C7343"/>
    <w:rsid w:val="007D60EF"/>
    <w:rsid w:val="007E572C"/>
    <w:rsid w:val="007F0040"/>
    <w:rsid w:val="007F428A"/>
    <w:rsid w:val="007F4FC4"/>
    <w:rsid w:val="00806713"/>
    <w:rsid w:val="00806C01"/>
    <w:rsid w:val="00810B35"/>
    <w:rsid w:val="008148CC"/>
    <w:rsid w:val="00820408"/>
    <w:rsid w:val="008211A4"/>
    <w:rsid w:val="008238A7"/>
    <w:rsid w:val="00827041"/>
    <w:rsid w:val="0083410E"/>
    <w:rsid w:val="00837ECA"/>
    <w:rsid w:val="00843B8C"/>
    <w:rsid w:val="00844822"/>
    <w:rsid w:val="0084693A"/>
    <w:rsid w:val="00846C96"/>
    <w:rsid w:val="00851E26"/>
    <w:rsid w:val="008546BD"/>
    <w:rsid w:val="00860FD3"/>
    <w:rsid w:val="00863E90"/>
    <w:rsid w:val="008706CA"/>
    <w:rsid w:val="00873150"/>
    <w:rsid w:val="0087657D"/>
    <w:rsid w:val="008807D5"/>
    <w:rsid w:val="00880832"/>
    <w:rsid w:val="008822F5"/>
    <w:rsid w:val="008823D8"/>
    <w:rsid w:val="00886EE1"/>
    <w:rsid w:val="0088727D"/>
    <w:rsid w:val="008874A7"/>
    <w:rsid w:val="008875B6"/>
    <w:rsid w:val="00890088"/>
    <w:rsid w:val="00897A7E"/>
    <w:rsid w:val="00897C75"/>
    <w:rsid w:val="008B7183"/>
    <w:rsid w:val="008C1130"/>
    <w:rsid w:val="008C1452"/>
    <w:rsid w:val="008C2771"/>
    <w:rsid w:val="008C2854"/>
    <w:rsid w:val="008D18E6"/>
    <w:rsid w:val="008D18ED"/>
    <w:rsid w:val="008D3D83"/>
    <w:rsid w:val="008D7A9B"/>
    <w:rsid w:val="008E0060"/>
    <w:rsid w:val="008E69D3"/>
    <w:rsid w:val="008E7091"/>
    <w:rsid w:val="008E76AC"/>
    <w:rsid w:val="008F21F6"/>
    <w:rsid w:val="00901B09"/>
    <w:rsid w:val="0091022A"/>
    <w:rsid w:val="009140FD"/>
    <w:rsid w:val="009242CC"/>
    <w:rsid w:val="009351FA"/>
    <w:rsid w:val="00947F40"/>
    <w:rsid w:val="00951F79"/>
    <w:rsid w:val="009538AC"/>
    <w:rsid w:val="00954306"/>
    <w:rsid w:val="00955B3F"/>
    <w:rsid w:val="00957328"/>
    <w:rsid w:val="00963AA9"/>
    <w:rsid w:val="00972BB7"/>
    <w:rsid w:val="00974AB5"/>
    <w:rsid w:val="0098706D"/>
    <w:rsid w:val="0099331D"/>
    <w:rsid w:val="009935FB"/>
    <w:rsid w:val="00994B98"/>
    <w:rsid w:val="00996123"/>
    <w:rsid w:val="009A07A3"/>
    <w:rsid w:val="009A0826"/>
    <w:rsid w:val="009A2320"/>
    <w:rsid w:val="009A7527"/>
    <w:rsid w:val="009B3F5D"/>
    <w:rsid w:val="009B5DAE"/>
    <w:rsid w:val="009C088B"/>
    <w:rsid w:val="009C4838"/>
    <w:rsid w:val="009C4E55"/>
    <w:rsid w:val="009D1053"/>
    <w:rsid w:val="009D6790"/>
    <w:rsid w:val="009F4A54"/>
    <w:rsid w:val="009F4BEC"/>
    <w:rsid w:val="009F5874"/>
    <w:rsid w:val="009F6992"/>
    <w:rsid w:val="00A00D24"/>
    <w:rsid w:val="00A03159"/>
    <w:rsid w:val="00A1378A"/>
    <w:rsid w:val="00A17DBC"/>
    <w:rsid w:val="00A25FD7"/>
    <w:rsid w:val="00A42277"/>
    <w:rsid w:val="00A431B1"/>
    <w:rsid w:val="00A43AFF"/>
    <w:rsid w:val="00A44651"/>
    <w:rsid w:val="00A51EFB"/>
    <w:rsid w:val="00A541FE"/>
    <w:rsid w:val="00A548BC"/>
    <w:rsid w:val="00A54C10"/>
    <w:rsid w:val="00A57AC1"/>
    <w:rsid w:val="00A60D6B"/>
    <w:rsid w:val="00A62293"/>
    <w:rsid w:val="00A640EA"/>
    <w:rsid w:val="00A71269"/>
    <w:rsid w:val="00A7793A"/>
    <w:rsid w:val="00A96879"/>
    <w:rsid w:val="00AA4CC7"/>
    <w:rsid w:val="00AA5E8E"/>
    <w:rsid w:val="00AB29CB"/>
    <w:rsid w:val="00AB2BAD"/>
    <w:rsid w:val="00AB32B3"/>
    <w:rsid w:val="00AB454B"/>
    <w:rsid w:val="00AB5828"/>
    <w:rsid w:val="00AB6CA7"/>
    <w:rsid w:val="00AB757C"/>
    <w:rsid w:val="00AC0149"/>
    <w:rsid w:val="00AC18A8"/>
    <w:rsid w:val="00AC47A9"/>
    <w:rsid w:val="00AC78CC"/>
    <w:rsid w:val="00AD01E4"/>
    <w:rsid w:val="00AD0858"/>
    <w:rsid w:val="00AD39D5"/>
    <w:rsid w:val="00AD45EB"/>
    <w:rsid w:val="00AD5E3B"/>
    <w:rsid w:val="00AE02E3"/>
    <w:rsid w:val="00AE08B3"/>
    <w:rsid w:val="00AE7340"/>
    <w:rsid w:val="00AF1BBD"/>
    <w:rsid w:val="00AF1D2B"/>
    <w:rsid w:val="00AF3448"/>
    <w:rsid w:val="00AF66B3"/>
    <w:rsid w:val="00AF765E"/>
    <w:rsid w:val="00AF7A4A"/>
    <w:rsid w:val="00B0044D"/>
    <w:rsid w:val="00B10207"/>
    <w:rsid w:val="00B12860"/>
    <w:rsid w:val="00B141E7"/>
    <w:rsid w:val="00B351B4"/>
    <w:rsid w:val="00B37316"/>
    <w:rsid w:val="00B40C76"/>
    <w:rsid w:val="00B41391"/>
    <w:rsid w:val="00B426AE"/>
    <w:rsid w:val="00B46BCA"/>
    <w:rsid w:val="00B478AA"/>
    <w:rsid w:val="00B5168F"/>
    <w:rsid w:val="00B53899"/>
    <w:rsid w:val="00B555CC"/>
    <w:rsid w:val="00B576AE"/>
    <w:rsid w:val="00B613A9"/>
    <w:rsid w:val="00B62FDD"/>
    <w:rsid w:val="00B64016"/>
    <w:rsid w:val="00B67A6F"/>
    <w:rsid w:val="00B8124D"/>
    <w:rsid w:val="00B81932"/>
    <w:rsid w:val="00B8286D"/>
    <w:rsid w:val="00B87806"/>
    <w:rsid w:val="00B87EC9"/>
    <w:rsid w:val="00B91747"/>
    <w:rsid w:val="00BA0475"/>
    <w:rsid w:val="00BA223D"/>
    <w:rsid w:val="00BB5646"/>
    <w:rsid w:val="00BB73A6"/>
    <w:rsid w:val="00BC21D3"/>
    <w:rsid w:val="00BC3494"/>
    <w:rsid w:val="00BC3745"/>
    <w:rsid w:val="00BC38FD"/>
    <w:rsid w:val="00BD7733"/>
    <w:rsid w:val="00BE1AC3"/>
    <w:rsid w:val="00BE3D35"/>
    <w:rsid w:val="00BE6CDD"/>
    <w:rsid w:val="00C00C5C"/>
    <w:rsid w:val="00C01069"/>
    <w:rsid w:val="00C034CB"/>
    <w:rsid w:val="00C051A8"/>
    <w:rsid w:val="00C054BC"/>
    <w:rsid w:val="00C06E2A"/>
    <w:rsid w:val="00C07899"/>
    <w:rsid w:val="00C17897"/>
    <w:rsid w:val="00C27D36"/>
    <w:rsid w:val="00C313C6"/>
    <w:rsid w:val="00C35D2A"/>
    <w:rsid w:val="00C409D5"/>
    <w:rsid w:val="00C41343"/>
    <w:rsid w:val="00C42D39"/>
    <w:rsid w:val="00C43597"/>
    <w:rsid w:val="00C435C3"/>
    <w:rsid w:val="00C44E5F"/>
    <w:rsid w:val="00C51B7C"/>
    <w:rsid w:val="00C55F46"/>
    <w:rsid w:val="00C6234B"/>
    <w:rsid w:val="00C63EAE"/>
    <w:rsid w:val="00C64A32"/>
    <w:rsid w:val="00C73260"/>
    <w:rsid w:val="00C74602"/>
    <w:rsid w:val="00C75AB4"/>
    <w:rsid w:val="00C7629F"/>
    <w:rsid w:val="00C8169A"/>
    <w:rsid w:val="00C842F6"/>
    <w:rsid w:val="00C84430"/>
    <w:rsid w:val="00C8661B"/>
    <w:rsid w:val="00C878FA"/>
    <w:rsid w:val="00C91BC0"/>
    <w:rsid w:val="00C931EF"/>
    <w:rsid w:val="00C97D73"/>
    <w:rsid w:val="00CA03C8"/>
    <w:rsid w:val="00CA139A"/>
    <w:rsid w:val="00CA2899"/>
    <w:rsid w:val="00CA2D04"/>
    <w:rsid w:val="00CA3A3D"/>
    <w:rsid w:val="00CA3AA6"/>
    <w:rsid w:val="00CA77FB"/>
    <w:rsid w:val="00CB0582"/>
    <w:rsid w:val="00CB379B"/>
    <w:rsid w:val="00CB4B28"/>
    <w:rsid w:val="00CB5DD0"/>
    <w:rsid w:val="00CB768E"/>
    <w:rsid w:val="00CB7711"/>
    <w:rsid w:val="00CC05BF"/>
    <w:rsid w:val="00CC51D4"/>
    <w:rsid w:val="00CC65DA"/>
    <w:rsid w:val="00CD0DE2"/>
    <w:rsid w:val="00CD5428"/>
    <w:rsid w:val="00CE1FFF"/>
    <w:rsid w:val="00CE7B91"/>
    <w:rsid w:val="00CF1894"/>
    <w:rsid w:val="00CF21B9"/>
    <w:rsid w:val="00CF339C"/>
    <w:rsid w:val="00CF6BF9"/>
    <w:rsid w:val="00D03800"/>
    <w:rsid w:val="00D065D3"/>
    <w:rsid w:val="00D11513"/>
    <w:rsid w:val="00D14B7D"/>
    <w:rsid w:val="00D14C94"/>
    <w:rsid w:val="00D261A2"/>
    <w:rsid w:val="00D26339"/>
    <w:rsid w:val="00D26F83"/>
    <w:rsid w:val="00D27586"/>
    <w:rsid w:val="00D3390C"/>
    <w:rsid w:val="00D342A6"/>
    <w:rsid w:val="00D359AE"/>
    <w:rsid w:val="00D4012E"/>
    <w:rsid w:val="00D45CA6"/>
    <w:rsid w:val="00D464BF"/>
    <w:rsid w:val="00D51CE2"/>
    <w:rsid w:val="00D53E26"/>
    <w:rsid w:val="00D54E02"/>
    <w:rsid w:val="00D62D50"/>
    <w:rsid w:val="00D65A37"/>
    <w:rsid w:val="00D66628"/>
    <w:rsid w:val="00D85FA9"/>
    <w:rsid w:val="00D875B7"/>
    <w:rsid w:val="00D945FA"/>
    <w:rsid w:val="00DA64E7"/>
    <w:rsid w:val="00DB1524"/>
    <w:rsid w:val="00DB182C"/>
    <w:rsid w:val="00DC2D7A"/>
    <w:rsid w:val="00DC3454"/>
    <w:rsid w:val="00DC47AC"/>
    <w:rsid w:val="00DD3999"/>
    <w:rsid w:val="00DD4F0E"/>
    <w:rsid w:val="00DD4FB1"/>
    <w:rsid w:val="00DE77C7"/>
    <w:rsid w:val="00DF0BF0"/>
    <w:rsid w:val="00DF3CA2"/>
    <w:rsid w:val="00DF5572"/>
    <w:rsid w:val="00DF62F6"/>
    <w:rsid w:val="00DF6C71"/>
    <w:rsid w:val="00DF753C"/>
    <w:rsid w:val="00E01463"/>
    <w:rsid w:val="00E033F2"/>
    <w:rsid w:val="00E036D8"/>
    <w:rsid w:val="00E05E0A"/>
    <w:rsid w:val="00E060BE"/>
    <w:rsid w:val="00E070DF"/>
    <w:rsid w:val="00E106CE"/>
    <w:rsid w:val="00E10B3E"/>
    <w:rsid w:val="00E22660"/>
    <w:rsid w:val="00E22FB3"/>
    <w:rsid w:val="00E2694A"/>
    <w:rsid w:val="00E27469"/>
    <w:rsid w:val="00E27D16"/>
    <w:rsid w:val="00E3059A"/>
    <w:rsid w:val="00E41A4A"/>
    <w:rsid w:val="00E41B40"/>
    <w:rsid w:val="00E4553D"/>
    <w:rsid w:val="00E50A35"/>
    <w:rsid w:val="00E534CF"/>
    <w:rsid w:val="00E53AB4"/>
    <w:rsid w:val="00E562A9"/>
    <w:rsid w:val="00E56772"/>
    <w:rsid w:val="00E71FA9"/>
    <w:rsid w:val="00E72CA9"/>
    <w:rsid w:val="00E81CB4"/>
    <w:rsid w:val="00E8585B"/>
    <w:rsid w:val="00E87E3A"/>
    <w:rsid w:val="00E87F41"/>
    <w:rsid w:val="00E91FD9"/>
    <w:rsid w:val="00EA3F15"/>
    <w:rsid w:val="00EA6CD0"/>
    <w:rsid w:val="00EA7847"/>
    <w:rsid w:val="00EB29EB"/>
    <w:rsid w:val="00EB4C2F"/>
    <w:rsid w:val="00EC12D6"/>
    <w:rsid w:val="00EC13BC"/>
    <w:rsid w:val="00EC3F9F"/>
    <w:rsid w:val="00ED4CAB"/>
    <w:rsid w:val="00ED72E3"/>
    <w:rsid w:val="00EE2CB5"/>
    <w:rsid w:val="00EE2E6E"/>
    <w:rsid w:val="00EE6A92"/>
    <w:rsid w:val="00EE75F0"/>
    <w:rsid w:val="00EF4206"/>
    <w:rsid w:val="00F0367E"/>
    <w:rsid w:val="00F04065"/>
    <w:rsid w:val="00F06208"/>
    <w:rsid w:val="00F0759E"/>
    <w:rsid w:val="00F10044"/>
    <w:rsid w:val="00F126D8"/>
    <w:rsid w:val="00F16A43"/>
    <w:rsid w:val="00F2495F"/>
    <w:rsid w:val="00F43FC4"/>
    <w:rsid w:val="00F46780"/>
    <w:rsid w:val="00F526B2"/>
    <w:rsid w:val="00F5275B"/>
    <w:rsid w:val="00F72D53"/>
    <w:rsid w:val="00F73B93"/>
    <w:rsid w:val="00F7538B"/>
    <w:rsid w:val="00F769CD"/>
    <w:rsid w:val="00F77159"/>
    <w:rsid w:val="00F77D2D"/>
    <w:rsid w:val="00F81605"/>
    <w:rsid w:val="00F821A3"/>
    <w:rsid w:val="00F83849"/>
    <w:rsid w:val="00F871A0"/>
    <w:rsid w:val="00F8760A"/>
    <w:rsid w:val="00F92F07"/>
    <w:rsid w:val="00F9314A"/>
    <w:rsid w:val="00F940AC"/>
    <w:rsid w:val="00F940B2"/>
    <w:rsid w:val="00F958F4"/>
    <w:rsid w:val="00FA61B6"/>
    <w:rsid w:val="00FB20FE"/>
    <w:rsid w:val="00FC58EF"/>
    <w:rsid w:val="00FC6EE1"/>
    <w:rsid w:val="00FD231B"/>
    <w:rsid w:val="00FD33DF"/>
    <w:rsid w:val="00FD554F"/>
    <w:rsid w:val="00FE39D7"/>
    <w:rsid w:val="00FE3C38"/>
    <w:rsid w:val="00FE5FA0"/>
    <w:rsid w:val="00FF3FA1"/>
    <w:rsid w:val="00FF47F9"/>
    <w:rsid w:val="00FF640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3D09-8504-4196-ACAF-5963BB41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5199</Words>
  <Characters>27075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Plaza</dc:creator>
  <cp:lastModifiedBy>Luz Stella Rojas Macias</cp:lastModifiedBy>
  <cp:revision>2</cp:revision>
  <cp:lastPrinted>2016-05-17T22:07:00Z</cp:lastPrinted>
  <dcterms:created xsi:type="dcterms:W3CDTF">2016-05-20T15:12:00Z</dcterms:created>
  <dcterms:modified xsi:type="dcterms:W3CDTF">2016-05-20T15:12:00Z</dcterms:modified>
</cp:coreProperties>
</file>