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3B187B" w:rsidRDefault="000B5828"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4pt;margin-top:-4.6pt;width:52.5pt;height:48.75pt;z-index:251657216" fillcolor="#0c9">
            <v:imagedata r:id="rId9" o:title=""/>
          </v:shape>
          <o:OLEObject Type="Embed" ProgID="PBrush" ShapeID="_x0000_s1026" DrawAspect="Content" ObjectID="_1525505222" r:id="rId10"/>
        </w:pict>
      </w:r>
    </w:p>
    <w:p w:rsidR="007C1D23" w:rsidRDefault="007C1D23" w:rsidP="00012259">
      <w:pPr>
        <w:pStyle w:val="Ttulo4"/>
        <w:tabs>
          <w:tab w:val="left" w:pos="0"/>
          <w:tab w:val="right" w:pos="9356"/>
        </w:tabs>
        <w:ind w:left="0"/>
        <w:rPr>
          <w:rFonts w:ascii="Bookman Old Style" w:hAnsi="Bookman Old Style"/>
          <w:b w:val="0"/>
          <w:bCs/>
          <w:sz w:val="24"/>
          <w:szCs w:val="24"/>
        </w:rPr>
      </w:pPr>
    </w:p>
    <w:p w:rsidR="007C1D23" w:rsidRDefault="007C1D23" w:rsidP="00012259">
      <w:pPr>
        <w:pStyle w:val="Ttulo4"/>
        <w:tabs>
          <w:tab w:val="left" w:pos="0"/>
          <w:tab w:val="right" w:pos="9356"/>
        </w:tabs>
        <w:ind w:left="0"/>
        <w:rPr>
          <w:rFonts w:ascii="Bookman Old Style" w:hAnsi="Bookman Old Style"/>
          <w:b w:val="0"/>
          <w:bCs/>
          <w:sz w:val="24"/>
          <w:szCs w:val="24"/>
        </w:rPr>
      </w:pPr>
    </w:p>
    <w:p w:rsidR="007C1D23" w:rsidRDefault="007C1D23" w:rsidP="00012259">
      <w:pPr>
        <w:pStyle w:val="Ttulo4"/>
        <w:tabs>
          <w:tab w:val="left" w:pos="0"/>
          <w:tab w:val="right" w:pos="9356"/>
        </w:tabs>
        <w:ind w:left="0"/>
        <w:rPr>
          <w:rFonts w:ascii="Bookman Old Style" w:hAnsi="Bookman Old Style"/>
          <w:b w:val="0"/>
          <w:bCs/>
          <w:sz w:val="24"/>
          <w:szCs w:val="24"/>
        </w:rPr>
      </w:pPr>
    </w:p>
    <w:p w:rsidR="00CA77FB" w:rsidRPr="003B187B" w:rsidRDefault="00CA77FB" w:rsidP="00012259">
      <w:pPr>
        <w:pStyle w:val="Ttulo4"/>
        <w:tabs>
          <w:tab w:val="left" w:pos="0"/>
          <w:tab w:val="right" w:pos="9356"/>
        </w:tabs>
        <w:ind w:left="0"/>
        <w:rPr>
          <w:rFonts w:ascii="Bookman Old Style" w:hAnsi="Bookman Old Style"/>
          <w:b w:val="0"/>
          <w:bCs/>
          <w:noProof/>
          <w:sz w:val="24"/>
          <w:szCs w:val="24"/>
          <w:lang w:val="es-ES"/>
        </w:rPr>
      </w:pPr>
      <w:r w:rsidRPr="003B187B">
        <w:rPr>
          <w:rFonts w:ascii="Bookman Old Style" w:hAnsi="Bookman Old Style"/>
          <w:b w:val="0"/>
          <w:bCs/>
          <w:sz w:val="24"/>
          <w:szCs w:val="24"/>
        </w:rPr>
        <w:t>Ministerio de Minas y Energía</w:t>
      </w:r>
    </w:p>
    <w:p w:rsidR="00CA77FB" w:rsidRPr="003B187B" w:rsidRDefault="00CA77FB" w:rsidP="00012259">
      <w:pPr>
        <w:pStyle w:val="Ttulo4"/>
        <w:tabs>
          <w:tab w:val="left" w:pos="0"/>
          <w:tab w:val="right" w:pos="9356"/>
        </w:tabs>
        <w:ind w:left="0"/>
        <w:rPr>
          <w:rFonts w:ascii="Bookman Old Style" w:hAnsi="Bookman Old Style"/>
          <w:b w:val="0"/>
          <w:bCs/>
          <w:sz w:val="24"/>
          <w:szCs w:val="24"/>
        </w:rPr>
      </w:pPr>
    </w:p>
    <w:p w:rsidR="00C8069E" w:rsidRPr="003B187B" w:rsidRDefault="00C8069E" w:rsidP="00012259">
      <w:pPr>
        <w:pStyle w:val="Ttulo3"/>
        <w:tabs>
          <w:tab w:val="left" w:pos="0"/>
          <w:tab w:val="right" w:pos="9356"/>
        </w:tabs>
        <w:ind w:left="0"/>
        <w:rPr>
          <w:rFonts w:ascii="Bookman Old Style" w:hAnsi="Bookman Old Style" w:cs="Arial"/>
          <w:spacing w:val="20"/>
          <w:szCs w:val="24"/>
        </w:rPr>
      </w:pPr>
    </w:p>
    <w:p w:rsidR="00CA77FB" w:rsidRPr="003B187B" w:rsidRDefault="00CA77FB" w:rsidP="00012259">
      <w:pPr>
        <w:pStyle w:val="Ttulo3"/>
        <w:tabs>
          <w:tab w:val="left" w:pos="0"/>
          <w:tab w:val="right" w:pos="9356"/>
        </w:tabs>
        <w:ind w:left="0"/>
        <w:rPr>
          <w:rFonts w:ascii="Bookman Old Style" w:hAnsi="Bookman Old Style" w:cs="Arial"/>
          <w:spacing w:val="20"/>
          <w:szCs w:val="24"/>
        </w:rPr>
      </w:pPr>
      <w:r w:rsidRPr="003B187B">
        <w:rPr>
          <w:rFonts w:ascii="Bookman Old Style" w:hAnsi="Bookman Old Style" w:cs="Arial"/>
          <w:spacing w:val="20"/>
          <w:szCs w:val="24"/>
        </w:rPr>
        <w:t>COMISIÓN DE REGULACIÓN DE ENERGÍA Y GAS</w:t>
      </w:r>
    </w:p>
    <w:p w:rsidR="00CA77FB" w:rsidRPr="003B187B" w:rsidRDefault="00CA77FB" w:rsidP="00012259">
      <w:pPr>
        <w:pStyle w:val="Ttulo5"/>
        <w:tabs>
          <w:tab w:val="left" w:pos="0"/>
          <w:tab w:val="right" w:pos="9356"/>
        </w:tabs>
        <w:ind w:left="0"/>
        <w:rPr>
          <w:rFonts w:ascii="Bookman Old Style" w:hAnsi="Bookman Old Style"/>
          <w:sz w:val="24"/>
          <w:szCs w:val="24"/>
        </w:rPr>
      </w:pPr>
    </w:p>
    <w:p w:rsidR="008A1AE5" w:rsidRPr="003B187B" w:rsidRDefault="008A1AE5" w:rsidP="00C8069E">
      <w:pPr>
        <w:rPr>
          <w:rFonts w:ascii="Bookman Old Style" w:hAnsi="Bookman Old Style"/>
          <w:lang w:val="es-ES_tradnl"/>
        </w:rPr>
      </w:pPr>
    </w:p>
    <w:p w:rsidR="00CA77FB" w:rsidRPr="003B187B" w:rsidRDefault="00CA77FB" w:rsidP="00012259">
      <w:pPr>
        <w:pStyle w:val="Ttulo5"/>
        <w:tabs>
          <w:tab w:val="left" w:pos="0"/>
          <w:tab w:val="right" w:pos="9356"/>
        </w:tabs>
        <w:ind w:left="0"/>
        <w:rPr>
          <w:rFonts w:ascii="Bookman Old Style" w:hAnsi="Bookman Old Style"/>
          <w:sz w:val="24"/>
          <w:szCs w:val="24"/>
        </w:rPr>
      </w:pPr>
      <w:r w:rsidRPr="003B187B">
        <w:rPr>
          <w:rFonts w:ascii="Bookman Old Style" w:hAnsi="Bookman Old Style"/>
          <w:sz w:val="24"/>
          <w:szCs w:val="24"/>
        </w:rPr>
        <w:t xml:space="preserve">RESOLUCIÓN No. </w:t>
      </w:r>
      <w:r w:rsidR="00795BFB" w:rsidRPr="003B187B">
        <w:rPr>
          <w:rFonts w:ascii="Bookman Old Style" w:hAnsi="Bookman Old Style"/>
          <w:sz w:val="24"/>
          <w:szCs w:val="24"/>
        </w:rPr>
        <w:t xml:space="preserve">                  </w:t>
      </w:r>
      <w:r w:rsidRPr="003B187B">
        <w:rPr>
          <w:rFonts w:ascii="Bookman Old Style" w:hAnsi="Bookman Old Style"/>
          <w:sz w:val="24"/>
          <w:szCs w:val="24"/>
        </w:rPr>
        <w:t xml:space="preserve">DE </w:t>
      </w:r>
      <w:r w:rsidR="00433F71" w:rsidRPr="003B187B">
        <w:rPr>
          <w:rFonts w:ascii="Bookman Old Style" w:hAnsi="Bookman Old Style"/>
          <w:sz w:val="24"/>
          <w:szCs w:val="24"/>
        </w:rPr>
        <w:t>201</w:t>
      </w:r>
      <w:r w:rsidR="009F35AB">
        <w:rPr>
          <w:rFonts w:ascii="Bookman Old Style" w:hAnsi="Bookman Old Style"/>
          <w:sz w:val="24"/>
          <w:szCs w:val="24"/>
        </w:rPr>
        <w:t>6</w:t>
      </w:r>
    </w:p>
    <w:p w:rsidR="00CA77FB"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8069E" w:rsidRPr="003B187B" w:rsidRDefault="00C8069E" w:rsidP="00012259">
      <w:pPr>
        <w:tabs>
          <w:tab w:val="left" w:pos="0"/>
          <w:tab w:val="right" w:pos="9356"/>
        </w:tabs>
        <w:ind w:left="0"/>
        <w:jc w:val="center"/>
        <w:rPr>
          <w:rFonts w:ascii="Bookman Old Style" w:hAnsi="Bookman Old Style" w:cs="Arial"/>
          <w:b/>
          <w:snapToGrid w:val="0"/>
          <w:color w:val="000000"/>
          <w:lang w:val="es-ES_tradnl"/>
        </w:rPr>
      </w:pPr>
    </w:p>
    <w:p w:rsidR="00CA77FB" w:rsidRPr="003B187B" w:rsidRDefault="00CA77FB" w:rsidP="00012259">
      <w:pPr>
        <w:pStyle w:val="Ttulo3"/>
        <w:tabs>
          <w:tab w:val="left" w:pos="0"/>
          <w:tab w:val="right" w:pos="9356"/>
        </w:tabs>
        <w:ind w:left="0"/>
        <w:rPr>
          <w:rFonts w:ascii="Bookman Old Style" w:hAnsi="Bookman Old Style"/>
          <w:b w:val="0"/>
          <w:szCs w:val="24"/>
        </w:rPr>
      </w:pPr>
      <w:r w:rsidRPr="003B187B">
        <w:rPr>
          <w:rFonts w:ascii="Bookman Old Style" w:hAnsi="Bookman Old Style"/>
          <w:b w:val="0"/>
          <w:szCs w:val="24"/>
        </w:rPr>
        <w:t>(                                  )</w:t>
      </w:r>
    </w:p>
    <w:p w:rsidR="00CA77FB" w:rsidRPr="003B187B" w:rsidRDefault="00CA77FB" w:rsidP="00012259">
      <w:pPr>
        <w:tabs>
          <w:tab w:val="left" w:pos="0"/>
          <w:tab w:val="right" w:pos="9356"/>
        </w:tabs>
        <w:ind w:left="0"/>
        <w:jc w:val="center"/>
        <w:rPr>
          <w:rFonts w:ascii="Bookman Old Style" w:hAnsi="Bookman Old Style"/>
          <w:lang w:val="es-ES_tradnl"/>
        </w:rPr>
      </w:pPr>
    </w:p>
    <w:p w:rsidR="00C034CB" w:rsidRDefault="00C034CB" w:rsidP="00012259">
      <w:pPr>
        <w:ind w:left="0"/>
        <w:rPr>
          <w:rFonts w:ascii="Bookman Old Style" w:hAnsi="Bookman Old Style"/>
          <w:bCs/>
          <w:lang w:val="es-CO"/>
        </w:rPr>
      </w:pPr>
    </w:p>
    <w:p w:rsidR="004341E9" w:rsidRPr="003C3499" w:rsidRDefault="004341E9" w:rsidP="004341E9">
      <w:pPr>
        <w:ind w:left="0"/>
        <w:jc w:val="both"/>
        <w:rPr>
          <w:rFonts w:ascii="Bookman Old Style" w:hAnsi="Bookman Old Style" w:cs="Arial"/>
        </w:rPr>
      </w:pPr>
      <w:r w:rsidRPr="003C3499">
        <w:rPr>
          <w:rFonts w:ascii="Bookman Old Style" w:hAnsi="Bookman Old Style" w:cs="Arial"/>
        </w:rPr>
        <w:t xml:space="preserve">Por la cual se </w:t>
      </w:r>
      <w:r w:rsidR="009F35AB">
        <w:rPr>
          <w:rFonts w:ascii="Bookman Old Style" w:hAnsi="Bookman Old Style" w:cs="Arial"/>
        </w:rPr>
        <w:t>modifica la fecha de finalización de la auditoría para plantas que respaldan las Obligaciones de Energía Firme del período 2016 – 2017 con combustibles líquidos</w:t>
      </w:r>
    </w:p>
    <w:p w:rsidR="004341E9" w:rsidRDefault="004341E9" w:rsidP="00E43031">
      <w:pPr>
        <w:ind w:left="0"/>
        <w:jc w:val="both"/>
        <w:rPr>
          <w:rFonts w:ascii="Bookman Old Style" w:hAnsi="Bookman Old Style"/>
        </w:rPr>
      </w:pPr>
    </w:p>
    <w:p w:rsidR="004341E9" w:rsidRPr="003B187B" w:rsidRDefault="004341E9" w:rsidP="00E43031">
      <w:pPr>
        <w:ind w:left="0"/>
        <w:jc w:val="both"/>
        <w:rPr>
          <w:rFonts w:ascii="Bookman Old Style" w:hAnsi="Bookman Old Style"/>
        </w:rPr>
      </w:pPr>
    </w:p>
    <w:p w:rsidR="00E43031" w:rsidRPr="003B187B" w:rsidRDefault="00E43031" w:rsidP="00E43031">
      <w:pPr>
        <w:ind w:left="0"/>
        <w:jc w:val="center"/>
        <w:rPr>
          <w:rFonts w:ascii="Bookman Old Style" w:hAnsi="Bookman Old Style"/>
          <w:b/>
        </w:rPr>
      </w:pPr>
      <w:r w:rsidRPr="003B187B">
        <w:rPr>
          <w:rFonts w:ascii="Bookman Old Style" w:hAnsi="Bookman Old Style"/>
          <w:b/>
        </w:rPr>
        <w:t>LA COMISIÓN DE REGULACIÓN DE ENERGÍA Y GAS</w:t>
      </w:r>
    </w:p>
    <w:p w:rsidR="00E43031" w:rsidRPr="003B187B" w:rsidRDefault="00E43031" w:rsidP="00E43031">
      <w:pPr>
        <w:ind w:left="0"/>
        <w:jc w:val="both"/>
        <w:rPr>
          <w:rFonts w:ascii="Bookman Old Style" w:hAnsi="Bookman Old Style"/>
        </w:rPr>
      </w:pPr>
    </w:p>
    <w:p w:rsidR="009D4A5A" w:rsidRPr="003B187B" w:rsidRDefault="009D4A5A" w:rsidP="009D4A5A">
      <w:pPr>
        <w:jc w:val="center"/>
        <w:rPr>
          <w:rFonts w:ascii="Bookman Old Style" w:hAnsi="Bookman Old Style"/>
        </w:rPr>
      </w:pPr>
      <w:r w:rsidRPr="003B187B">
        <w:rPr>
          <w:rFonts w:ascii="Bookman Old Style" w:hAnsi="Bookman Old Style"/>
        </w:rPr>
        <w:t>En  ejercicio de sus atribuciones constitucionales y legales, en especial las conferidas por las Leyes 142 y 143 de 1994, y en desarrollo de los Decretos 1524</w:t>
      </w:r>
      <w:r w:rsidR="00E40140">
        <w:rPr>
          <w:rFonts w:ascii="Bookman Old Style" w:hAnsi="Bookman Old Style"/>
        </w:rPr>
        <w:t xml:space="preserve">, </w:t>
      </w:r>
      <w:r w:rsidRPr="003B187B">
        <w:rPr>
          <w:rFonts w:ascii="Bookman Old Style" w:hAnsi="Bookman Old Style"/>
        </w:rPr>
        <w:t>2253 de 1994, y</w:t>
      </w:r>
      <w:r w:rsidR="00E40140">
        <w:rPr>
          <w:rFonts w:ascii="Bookman Old Style" w:hAnsi="Bookman Old Style"/>
        </w:rPr>
        <w:t xml:space="preserve"> 1260 de 2013</w:t>
      </w:r>
    </w:p>
    <w:p w:rsidR="009D4A5A" w:rsidRDefault="009D4A5A" w:rsidP="009D4A5A">
      <w:pPr>
        <w:jc w:val="center"/>
        <w:rPr>
          <w:rFonts w:ascii="Bookman Old Style" w:hAnsi="Bookman Old Style"/>
        </w:rPr>
      </w:pPr>
    </w:p>
    <w:p w:rsidR="009D4A5A" w:rsidRPr="003B187B" w:rsidRDefault="009D4A5A" w:rsidP="009D4A5A">
      <w:pPr>
        <w:jc w:val="center"/>
        <w:rPr>
          <w:rFonts w:ascii="Bookman Old Style" w:hAnsi="Bookman Old Style"/>
        </w:rPr>
      </w:pPr>
    </w:p>
    <w:p w:rsidR="009D4A5A" w:rsidRPr="003B187B" w:rsidRDefault="009D4A5A" w:rsidP="009D4A5A">
      <w:pPr>
        <w:jc w:val="center"/>
        <w:outlineLvl w:val="0"/>
        <w:rPr>
          <w:rFonts w:ascii="Bookman Old Style" w:hAnsi="Bookman Old Style"/>
          <w:b/>
        </w:rPr>
      </w:pPr>
      <w:r w:rsidRPr="003B187B">
        <w:rPr>
          <w:rFonts w:ascii="Bookman Old Style" w:hAnsi="Bookman Old Style"/>
          <w:b/>
        </w:rPr>
        <w:t>C O N S I D E R A N D O  Q U E:</w:t>
      </w:r>
    </w:p>
    <w:p w:rsidR="009D4A5A" w:rsidRDefault="009D4A5A" w:rsidP="009D4A5A">
      <w:pPr>
        <w:jc w:val="center"/>
        <w:rPr>
          <w:rFonts w:ascii="Bookman Old Style" w:hAnsi="Bookman Old Style"/>
        </w:rPr>
      </w:pPr>
    </w:p>
    <w:p w:rsidR="004341E9" w:rsidRDefault="004341E9" w:rsidP="004341E9">
      <w:pPr>
        <w:ind w:left="0"/>
        <w:jc w:val="both"/>
        <w:rPr>
          <w:rFonts w:ascii="Bookman Old Style" w:hAnsi="Bookman Old Style" w:cs="Arial"/>
        </w:rPr>
      </w:pPr>
      <w:r w:rsidRPr="003C3499">
        <w:rPr>
          <w:rFonts w:ascii="Bookman Old Style" w:hAnsi="Bookman Old Style" w:cs="Arial"/>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4341E9" w:rsidRPr="003C3499" w:rsidRDefault="004341E9" w:rsidP="004341E9">
      <w:pPr>
        <w:rPr>
          <w:rFonts w:ascii="Bookman Old Style" w:hAnsi="Bookman Old Style" w:cs="Arial"/>
        </w:rPr>
      </w:pPr>
    </w:p>
    <w:p w:rsidR="004341E9" w:rsidRDefault="004341E9" w:rsidP="004341E9">
      <w:pPr>
        <w:ind w:left="0"/>
        <w:jc w:val="both"/>
        <w:rPr>
          <w:rFonts w:ascii="Bookman Old Style" w:hAnsi="Bookman Old Style" w:cs="Arial"/>
        </w:rPr>
      </w:pPr>
      <w:r w:rsidRPr="003C3499">
        <w:rPr>
          <w:rFonts w:ascii="Bookman Old Style" w:hAnsi="Bookman Old Style" w:cs="Arial"/>
        </w:rPr>
        <w:t xml:space="preserve">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 </w:t>
      </w:r>
    </w:p>
    <w:p w:rsidR="004341E9" w:rsidRPr="003C3499" w:rsidRDefault="004341E9" w:rsidP="004341E9">
      <w:pPr>
        <w:rPr>
          <w:rFonts w:ascii="Bookman Old Style" w:hAnsi="Bookman Old Style" w:cs="Arial"/>
        </w:rPr>
      </w:pPr>
    </w:p>
    <w:p w:rsidR="00E02EB9" w:rsidRDefault="004341E9" w:rsidP="00B42406">
      <w:pPr>
        <w:ind w:left="0"/>
        <w:jc w:val="both"/>
        <w:rPr>
          <w:rFonts w:ascii="Bookman Old Style" w:hAnsi="Bookman Old Style" w:cs="Arial"/>
        </w:rPr>
      </w:pPr>
      <w:r w:rsidRPr="003C3499">
        <w:rPr>
          <w:rFonts w:ascii="Bookman Old Style" w:hAnsi="Bookman Old Style" w:cs="Arial"/>
        </w:rPr>
        <w:t>Para el cumplimiento del objetivo señalado, la Ley 143 de 1994, artículo 23, le atribuyó a la Comisión de Regulación de Energía y Gas, entre otras, las siguientes funciones:</w:t>
      </w:r>
    </w:p>
    <w:p w:rsidR="004341E9" w:rsidRDefault="004341E9" w:rsidP="00B42406">
      <w:pPr>
        <w:ind w:left="426"/>
        <w:jc w:val="both"/>
        <w:rPr>
          <w:rFonts w:ascii="Bookman Old Style" w:hAnsi="Bookman Old Style"/>
        </w:rPr>
      </w:pPr>
      <w:r w:rsidRPr="003C3499">
        <w:rPr>
          <w:rFonts w:ascii="Bookman Old Style" w:hAnsi="Bookman Old Style"/>
        </w:rPr>
        <w:br/>
        <w:t>- 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rsidR="00E02EB9" w:rsidRDefault="00E02EB9" w:rsidP="00E02EB9">
      <w:pPr>
        <w:ind w:left="426"/>
        <w:rPr>
          <w:rFonts w:ascii="Bookman Old Style" w:hAnsi="Bookman Old Style"/>
        </w:rPr>
      </w:pPr>
    </w:p>
    <w:p w:rsidR="004341E9" w:rsidRDefault="004341E9" w:rsidP="00E02EB9">
      <w:pPr>
        <w:ind w:left="426"/>
        <w:rPr>
          <w:rFonts w:ascii="Bookman Old Style" w:hAnsi="Bookman Old Style" w:cs="Arial"/>
        </w:rPr>
      </w:pPr>
      <w:r w:rsidRPr="003C3499">
        <w:rPr>
          <w:rFonts w:ascii="Bookman Old Style" w:hAnsi="Bookman Old Style" w:cs="Arial"/>
        </w:rPr>
        <w:t>- Valorar la capacidad de generación de respaldo de la oferta eficiente;</w:t>
      </w:r>
    </w:p>
    <w:p w:rsidR="004341E9" w:rsidRPr="003C3499" w:rsidRDefault="004341E9" w:rsidP="00E02EB9">
      <w:pPr>
        <w:ind w:left="426"/>
        <w:rPr>
          <w:rFonts w:ascii="Bookman Old Style" w:hAnsi="Bookman Old Style" w:cs="Arial"/>
        </w:rPr>
      </w:pPr>
      <w:r w:rsidRPr="003C3499">
        <w:rPr>
          <w:rFonts w:ascii="Bookman Old Style" w:hAnsi="Bookman Old Style" w:cs="Arial"/>
        </w:rPr>
        <w:lastRenderedPageBreak/>
        <w:t>- Definir y hacer operativos los criterios técnicos de calidad, confiabilidad y seguridad del servicio de energía; y</w:t>
      </w:r>
    </w:p>
    <w:p w:rsidR="004341E9" w:rsidRPr="003C3499" w:rsidRDefault="004341E9" w:rsidP="00E02EB9">
      <w:pPr>
        <w:ind w:left="426"/>
        <w:rPr>
          <w:rFonts w:ascii="Bookman Old Style" w:hAnsi="Bookman Old Style" w:cs="Arial"/>
        </w:rPr>
      </w:pPr>
    </w:p>
    <w:p w:rsidR="004341E9" w:rsidRPr="003C3499" w:rsidRDefault="004341E9" w:rsidP="00E02EB9">
      <w:pPr>
        <w:ind w:left="426"/>
        <w:rPr>
          <w:rFonts w:ascii="Bookman Old Style" w:hAnsi="Bookman Old Style" w:cs="Arial"/>
        </w:rPr>
      </w:pPr>
      <w:r w:rsidRPr="003C3499">
        <w:rPr>
          <w:rFonts w:ascii="Bookman Old Style" w:hAnsi="Bookman Old Style" w:cs="Arial"/>
        </w:rPr>
        <w:t>- Determinar las condiciones para la liberación gradual del mercado hacia la libre competencia.</w:t>
      </w:r>
    </w:p>
    <w:p w:rsidR="004341E9" w:rsidRPr="003C3499" w:rsidRDefault="004341E9" w:rsidP="004341E9">
      <w:pPr>
        <w:rPr>
          <w:rFonts w:ascii="Bookman Old Style" w:hAnsi="Bookman Old Style" w:cs="Arial"/>
          <w:b/>
        </w:rPr>
      </w:pPr>
    </w:p>
    <w:p w:rsidR="004341E9" w:rsidRPr="003C3499" w:rsidRDefault="004341E9" w:rsidP="00B42406">
      <w:pPr>
        <w:ind w:left="0"/>
        <w:jc w:val="both"/>
        <w:rPr>
          <w:rFonts w:ascii="Bookman Old Style" w:hAnsi="Bookman Old Style" w:cs="Arial"/>
        </w:rPr>
      </w:pPr>
      <w:r w:rsidRPr="003C3499">
        <w:rPr>
          <w:rFonts w:ascii="Bookman Old Style" w:hAnsi="Bookman Old Style" w:cs="Arial"/>
        </w:rPr>
        <w:t>De acuerdo con lo establecido en el literal c) del artículo 74.1 de la ley 142 de 1994, le corresponde a la CREG establecer el Reglamento de Operación, para regular el funcionamiento del Mercado Mayorista.</w:t>
      </w:r>
    </w:p>
    <w:p w:rsidR="004341E9" w:rsidRPr="003C3499" w:rsidRDefault="004341E9"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p>
    <w:p w:rsidR="000775BC" w:rsidRDefault="004341E9"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3C3499">
        <w:rPr>
          <w:rFonts w:ascii="Bookman Old Style" w:hAnsi="Bookman Old Style" w:cs="Arial"/>
          <w:bCs/>
          <w:szCs w:val="24"/>
          <w:lang w:val="es-CO" w:eastAsia="es-ES"/>
        </w:rPr>
        <w:t>L</w:t>
      </w:r>
      <w:r>
        <w:rPr>
          <w:rFonts w:ascii="Bookman Old Style" w:hAnsi="Bookman Old Style" w:cs="Arial"/>
          <w:bCs/>
          <w:szCs w:val="24"/>
          <w:lang w:val="es-CO" w:eastAsia="es-ES"/>
        </w:rPr>
        <w:t xml:space="preserve">a CREG mediante Resolución </w:t>
      </w:r>
      <w:r w:rsidRPr="003C3499">
        <w:rPr>
          <w:rFonts w:ascii="Bookman Old Style" w:hAnsi="Bookman Old Style" w:cs="Arial"/>
          <w:bCs/>
          <w:szCs w:val="24"/>
          <w:lang w:val="es-CO" w:eastAsia="es-ES"/>
        </w:rPr>
        <w:t xml:space="preserve">071 de 2006, adoptó </w:t>
      </w:r>
      <w:r w:rsidR="000775BC">
        <w:rPr>
          <w:rFonts w:ascii="Bookman Old Style" w:hAnsi="Bookman Old Style" w:cs="Arial"/>
          <w:bCs/>
          <w:szCs w:val="24"/>
          <w:lang w:val="es-CO" w:eastAsia="es-ES"/>
        </w:rPr>
        <w:t>el esquema regulatorio para asegurar la confiabilidad en el suministro de energía eléctrica en Colombia.</w:t>
      </w:r>
    </w:p>
    <w:p w:rsidR="000775BC" w:rsidRDefault="000775BC"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p>
    <w:p w:rsidR="000775BC" w:rsidRDefault="000775BC"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r>
        <w:rPr>
          <w:rFonts w:ascii="Bookman Old Style" w:hAnsi="Bookman Old Style" w:cs="Arial"/>
          <w:bCs/>
          <w:szCs w:val="24"/>
          <w:lang w:val="es-CO" w:eastAsia="es-ES"/>
        </w:rPr>
        <w:t>La CREG adoptó la Resolución 177 de 2015 para adelantar el procedimiento de asignación de las Obligaciones de Energía Firme para los períodos comprendidos entre diciembre 1 de 2016 a noviembre 30 de 2017, diciembre 1 de 2017 a noviembre 30 de 2018 y diciembre 1 de 2018 a noviembre 30 de 2019 y definió las fechas para adelantar las auditorias de contratos y documentos de logística para plantas que operan con combustibles líquidos.</w:t>
      </w:r>
    </w:p>
    <w:p w:rsidR="000775BC" w:rsidRDefault="000775BC"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p>
    <w:p w:rsidR="004341E9" w:rsidRPr="003C3499" w:rsidRDefault="000775BC"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r>
        <w:rPr>
          <w:rFonts w:ascii="Bookman Old Style" w:hAnsi="Bookman Old Style" w:cs="Arial"/>
          <w:bCs/>
          <w:szCs w:val="24"/>
          <w:lang w:val="es-CO" w:eastAsia="es-ES"/>
        </w:rPr>
        <w:t xml:space="preserve">El Centro Nacional de Despacho (CND) mediante comunicación con radicado CREG E-2016-002324 solicita modificar el plazo para realizar la auditoria de contratos y documentos de logística para el período diciembre 1 de 2016 a noviembre 30 de 2017, dado que el </w:t>
      </w:r>
      <w:r w:rsidR="00CC109B">
        <w:rPr>
          <w:rFonts w:ascii="Bookman Old Style" w:hAnsi="Bookman Old Style" w:cs="Arial"/>
          <w:bCs/>
          <w:szCs w:val="24"/>
          <w:lang w:val="es-CO" w:eastAsia="es-ES"/>
        </w:rPr>
        <w:t xml:space="preserve">tiempo efectivo </w:t>
      </w:r>
      <w:r>
        <w:rPr>
          <w:rFonts w:ascii="Bookman Old Style" w:hAnsi="Bookman Old Style" w:cs="Arial"/>
          <w:bCs/>
          <w:szCs w:val="24"/>
          <w:lang w:val="es-CO" w:eastAsia="es-ES"/>
        </w:rPr>
        <w:t>para hacer la auditoria</w:t>
      </w:r>
      <w:r w:rsidR="00CC109B">
        <w:rPr>
          <w:rFonts w:ascii="Bookman Old Style" w:hAnsi="Bookman Old Style" w:cs="Arial"/>
          <w:bCs/>
          <w:szCs w:val="24"/>
          <w:lang w:val="es-CO" w:eastAsia="es-ES"/>
        </w:rPr>
        <w:t xml:space="preserve"> se acorta por el proceso de contratación y la presencia de la semana santa.</w:t>
      </w:r>
    </w:p>
    <w:p w:rsidR="004341E9" w:rsidRDefault="004341E9" w:rsidP="00FB72C8">
      <w:pPr>
        <w:ind w:left="0"/>
        <w:rPr>
          <w:rFonts w:ascii="Bookman Old Style" w:hAnsi="Bookman Old Style" w:cs="Arial"/>
          <w:bCs/>
          <w:sz w:val="22"/>
          <w:lang w:val="es-CO"/>
        </w:rPr>
      </w:pPr>
    </w:p>
    <w:p w:rsidR="00FB72C8" w:rsidRDefault="00FB72C8" w:rsidP="00FB72C8">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FB72C8">
        <w:rPr>
          <w:rFonts w:ascii="Bookman Old Style" w:hAnsi="Bookman Old Style" w:cs="Arial"/>
          <w:bCs/>
          <w:szCs w:val="24"/>
          <w:lang w:val="es-CO" w:eastAsia="es-ES"/>
        </w:rPr>
        <w:t>La CREG expidi</w:t>
      </w:r>
      <w:r>
        <w:rPr>
          <w:rFonts w:ascii="Bookman Old Style" w:hAnsi="Bookman Old Style" w:cs="Arial"/>
          <w:bCs/>
          <w:szCs w:val="24"/>
          <w:lang w:val="es-CO" w:eastAsia="es-ES"/>
        </w:rPr>
        <w:t>ó la Resolución CREG 032 de 2016 mediante la cual modificó la fecha de finalización de la auditoría para plantas que respaldar las Obligaciones de Energía Firme del periodo 2016 – 2017 con combustible líquido a cinco (5) meses antes del Inicio del Periodo de Vigencia de la Obligación.</w:t>
      </w:r>
    </w:p>
    <w:p w:rsidR="00FB72C8" w:rsidRDefault="00FB72C8" w:rsidP="00FB72C8">
      <w:pPr>
        <w:ind w:left="0"/>
        <w:rPr>
          <w:lang w:val="es-CO"/>
        </w:rPr>
      </w:pPr>
    </w:p>
    <w:p w:rsidR="00FB72C8" w:rsidRPr="00FB72C8" w:rsidRDefault="00FB72C8" w:rsidP="00FB72C8">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FB72C8">
        <w:rPr>
          <w:rFonts w:ascii="Bookman Old Style" w:hAnsi="Bookman Old Style" w:cs="Arial"/>
          <w:bCs/>
          <w:szCs w:val="24"/>
          <w:lang w:val="es-CO" w:eastAsia="es-ES"/>
        </w:rPr>
        <w:t>El Centro</w:t>
      </w:r>
      <w:r>
        <w:rPr>
          <w:rFonts w:ascii="Bookman Old Style" w:hAnsi="Bookman Old Style" w:cs="Arial"/>
          <w:bCs/>
          <w:szCs w:val="24"/>
          <w:lang w:val="es-CO" w:eastAsia="es-ES"/>
        </w:rPr>
        <w:t xml:space="preserve"> Nacional de Despacho (CND) mediante comunicación con radicado CREG E-2016-004295 solicita nuevamente modificar el plazo para realizar la auditoria de contratos y documentos de logística para el período diciembre 1 de 2016 a noviembre 30 de 2017 porque adelantó el proceso de contratación con lista definida por el C.N.O. y adjudicó la auditoría a LEE E INFANTE SAS para las plantas Cartagena 1, Cartagena 2, Cartagena 3, </w:t>
      </w:r>
      <w:proofErr w:type="spellStart"/>
      <w:r>
        <w:rPr>
          <w:rFonts w:ascii="Bookman Old Style" w:hAnsi="Bookman Old Style" w:cs="Arial"/>
          <w:bCs/>
          <w:szCs w:val="24"/>
          <w:lang w:val="es-CO" w:eastAsia="es-ES"/>
        </w:rPr>
        <w:t>Termoemcali</w:t>
      </w:r>
      <w:proofErr w:type="spellEnd"/>
      <w:r>
        <w:rPr>
          <w:rFonts w:ascii="Bookman Old Style" w:hAnsi="Bookman Old Style" w:cs="Arial"/>
          <w:bCs/>
          <w:szCs w:val="24"/>
          <w:lang w:val="es-CO" w:eastAsia="es-ES"/>
        </w:rPr>
        <w:t xml:space="preserve"> y </w:t>
      </w:r>
      <w:proofErr w:type="spellStart"/>
      <w:r>
        <w:rPr>
          <w:rFonts w:ascii="Bookman Old Style" w:hAnsi="Bookman Old Style" w:cs="Arial"/>
          <w:bCs/>
          <w:szCs w:val="24"/>
          <w:lang w:val="es-CO" w:eastAsia="es-ES"/>
        </w:rPr>
        <w:t>Termovalle</w:t>
      </w:r>
      <w:proofErr w:type="spellEnd"/>
      <w:r>
        <w:rPr>
          <w:rFonts w:ascii="Bookman Old Style" w:hAnsi="Bookman Old Style" w:cs="Arial"/>
          <w:bCs/>
          <w:szCs w:val="24"/>
          <w:lang w:val="es-CO" w:eastAsia="es-ES"/>
        </w:rPr>
        <w:t xml:space="preserve">. Sin embargo, para la auditoría de </w:t>
      </w:r>
      <w:proofErr w:type="spellStart"/>
      <w:r>
        <w:rPr>
          <w:rFonts w:ascii="Bookman Old Style" w:hAnsi="Bookman Old Style" w:cs="Arial"/>
          <w:bCs/>
          <w:szCs w:val="24"/>
          <w:lang w:val="es-CO" w:eastAsia="es-ES"/>
        </w:rPr>
        <w:t>Termodorada</w:t>
      </w:r>
      <w:proofErr w:type="spellEnd"/>
      <w:r>
        <w:rPr>
          <w:rFonts w:ascii="Bookman Old Style" w:hAnsi="Bookman Old Style" w:cs="Arial"/>
          <w:bCs/>
          <w:szCs w:val="24"/>
          <w:lang w:val="es-CO" w:eastAsia="es-ES"/>
        </w:rPr>
        <w:t xml:space="preserve">, </w:t>
      </w:r>
      <w:proofErr w:type="spellStart"/>
      <w:r>
        <w:rPr>
          <w:rFonts w:ascii="Bookman Old Style" w:hAnsi="Bookman Old Style" w:cs="Arial"/>
          <w:bCs/>
          <w:szCs w:val="24"/>
          <w:lang w:val="es-CO" w:eastAsia="es-ES"/>
        </w:rPr>
        <w:t>Termosierra</w:t>
      </w:r>
      <w:proofErr w:type="spellEnd"/>
      <w:r>
        <w:rPr>
          <w:rFonts w:ascii="Bookman Old Style" w:hAnsi="Bookman Old Style" w:cs="Arial"/>
          <w:bCs/>
          <w:szCs w:val="24"/>
          <w:lang w:val="es-CO" w:eastAsia="es-ES"/>
        </w:rPr>
        <w:t xml:space="preserve"> y </w:t>
      </w:r>
      <w:proofErr w:type="spellStart"/>
      <w:r>
        <w:rPr>
          <w:rFonts w:ascii="Bookman Old Style" w:hAnsi="Bookman Old Style" w:cs="Arial"/>
          <w:bCs/>
          <w:szCs w:val="24"/>
          <w:lang w:val="es-CO" w:eastAsia="es-ES"/>
        </w:rPr>
        <w:t>Termocentro</w:t>
      </w:r>
      <w:proofErr w:type="spellEnd"/>
      <w:r>
        <w:rPr>
          <w:rFonts w:ascii="Bookman Old Style" w:hAnsi="Bookman Old Style" w:cs="Arial"/>
          <w:bCs/>
          <w:szCs w:val="24"/>
          <w:lang w:val="es-CO" w:eastAsia="es-ES"/>
        </w:rPr>
        <w:t xml:space="preserve"> no se presentaron interesados, por lo cual solicitó al C.N.O. ampliar la lista de auditores para adelantar nuevamente el proceso de contratación para dichas plantas.</w:t>
      </w:r>
    </w:p>
    <w:p w:rsidR="00FB72C8" w:rsidRPr="000775BC" w:rsidRDefault="00FB72C8" w:rsidP="00FB72C8">
      <w:pPr>
        <w:ind w:left="0"/>
        <w:rPr>
          <w:rFonts w:ascii="Bookman Old Style" w:hAnsi="Bookman Old Style" w:cs="Arial"/>
          <w:bCs/>
          <w:sz w:val="22"/>
          <w:lang w:val="es-CO"/>
        </w:rPr>
      </w:pPr>
    </w:p>
    <w:p w:rsidR="00D313FC" w:rsidRDefault="00ED20DF" w:rsidP="00C912C4">
      <w:pPr>
        <w:ind w:left="0"/>
        <w:jc w:val="both"/>
        <w:rPr>
          <w:rFonts w:ascii="Bookman Old Style" w:hAnsi="Bookman Old Style"/>
        </w:rPr>
      </w:pPr>
      <w:r w:rsidRPr="00ED20DF">
        <w:rPr>
          <w:rFonts w:ascii="Bookman Old Style" w:hAnsi="Bookman Old Style" w:cs="Arial"/>
          <w:lang w:val="es-ES_tradnl"/>
        </w:rPr>
        <w:t xml:space="preserve">De conformidad con lo establecido </w:t>
      </w:r>
      <w:r w:rsidRPr="00ED20DF">
        <w:rPr>
          <w:rFonts w:ascii="Arial" w:hAnsi="Arial" w:cs="Arial"/>
          <w:i/>
          <w:noProof/>
          <w:sz w:val="22"/>
        </w:rPr>
        <w:t xml:space="preserve"> </w:t>
      </w:r>
      <w:r w:rsidRPr="00ED20DF">
        <w:rPr>
          <w:rFonts w:ascii="Bookman Old Style" w:hAnsi="Bookman Old Style" w:cs="Arial"/>
        </w:rPr>
        <w:t>en el</w:t>
      </w:r>
      <w:r w:rsidR="00FC16A1">
        <w:rPr>
          <w:rFonts w:ascii="Bookman Old Style" w:hAnsi="Bookman Old Style" w:cs="Arial"/>
        </w:rPr>
        <w:t xml:space="preserve"> parágrafo del</w:t>
      </w:r>
      <w:r w:rsidRPr="00ED20DF">
        <w:rPr>
          <w:rFonts w:ascii="Bookman Old Style" w:hAnsi="Bookman Old Style" w:cs="Arial"/>
        </w:rPr>
        <w:t xml:space="preserve"> artículo 2.2.13.3.2 del</w:t>
      </w:r>
      <w:r w:rsidRPr="00ED20DF">
        <w:rPr>
          <w:rFonts w:ascii="Bookman Old Style" w:hAnsi="Bookman Old Style" w:cs="Arial"/>
          <w:lang w:val="es-ES_tradnl"/>
        </w:rPr>
        <w:t xml:space="preserve"> Decreto 1078 de 2015 “Por el cual se expide el Decreto Único Reglamentario del Sector Tecnologías de la Información y las Comunicaciones” y el numeral</w:t>
      </w:r>
      <w:r w:rsidR="00B649DE">
        <w:rPr>
          <w:rFonts w:ascii="Bookman Old Style" w:hAnsi="Bookman Old Style" w:cs="Arial"/>
          <w:lang w:val="es-ES_tradnl"/>
        </w:rPr>
        <w:t xml:space="preserve"> 3</w:t>
      </w:r>
      <w:r w:rsidRPr="00ED20DF">
        <w:rPr>
          <w:rFonts w:ascii="Bookman Old Style" w:hAnsi="Bookman Old Style" w:cs="Arial"/>
          <w:lang w:val="es-ES_tradnl"/>
        </w:rPr>
        <w:t xml:space="preserve"> </w:t>
      </w:r>
      <w:r>
        <w:rPr>
          <w:rFonts w:ascii="Bookman Old Style" w:hAnsi="Bookman Old Style" w:cs="Arial"/>
          <w:lang w:val="es-ES_tradnl"/>
        </w:rPr>
        <w:t>del artículo</w:t>
      </w:r>
      <w:r w:rsidRPr="00ED20DF">
        <w:rPr>
          <w:rFonts w:ascii="Bookman Old Style" w:hAnsi="Bookman Old Style" w:cs="Arial"/>
          <w:lang w:val="es-ES_tradnl"/>
        </w:rPr>
        <w:t xml:space="preserve"> del artículo </w:t>
      </w:r>
      <w:r>
        <w:rPr>
          <w:rFonts w:ascii="Bookman Old Style" w:hAnsi="Bookman Old Style" w:cs="Arial"/>
          <w:lang w:val="es-ES_tradnl"/>
        </w:rPr>
        <w:t>2</w:t>
      </w:r>
      <w:r w:rsidRPr="00ED20DF">
        <w:rPr>
          <w:rFonts w:ascii="Bookman Old Style" w:hAnsi="Bookman Old Style" w:cs="Arial"/>
          <w:lang w:val="es-ES_tradnl"/>
        </w:rPr>
        <w:t xml:space="preserve"> de la Resolución CREG 097 de 2004, la Comisión decidió por unanimidad no someter la presente Resolución a las disposiciones sobre </w:t>
      </w:r>
      <w:r w:rsidRPr="00ED20DF">
        <w:rPr>
          <w:rFonts w:ascii="Bookman Old Style" w:hAnsi="Bookman Old Style" w:cs="Arial"/>
          <w:lang w:val="es-ES_tradnl"/>
        </w:rPr>
        <w:lastRenderedPageBreak/>
        <w:t xml:space="preserve">publicidad de proyectos de regulación previstas en el citado Decreto, debido a la existencia de razones de conveniencia general y de oportunidad, toda vez que </w:t>
      </w:r>
      <w:r w:rsidR="00B649DE">
        <w:rPr>
          <w:rFonts w:ascii="Bookman Old Style" w:hAnsi="Bookman Old Style" w:cs="Arial"/>
          <w:lang w:val="es-ES_tradnl"/>
        </w:rPr>
        <w:t>el CND se encuentra</w:t>
      </w:r>
      <w:r w:rsidR="00CC109B">
        <w:rPr>
          <w:rFonts w:ascii="Bookman Old Style" w:hAnsi="Bookman Old Style" w:cs="Arial"/>
          <w:lang w:val="es-ES_tradnl"/>
        </w:rPr>
        <w:t xml:space="preserve"> adelantando el proceso de contratación del auditor</w:t>
      </w:r>
      <w:r w:rsidR="00A97007" w:rsidRPr="00A97007">
        <w:rPr>
          <w:rFonts w:ascii="Bookman Old Style" w:hAnsi="Bookman Old Style"/>
        </w:rPr>
        <w:t>.</w:t>
      </w:r>
    </w:p>
    <w:p w:rsidR="00A97007" w:rsidRDefault="00A97007" w:rsidP="00C912C4">
      <w:pPr>
        <w:ind w:left="0"/>
        <w:jc w:val="both"/>
        <w:rPr>
          <w:rFonts w:ascii="Bookman Old Style" w:hAnsi="Bookman Old Style"/>
        </w:rPr>
      </w:pPr>
    </w:p>
    <w:p w:rsidR="00C912C4" w:rsidRDefault="00C912C4" w:rsidP="00C912C4">
      <w:pPr>
        <w:ind w:left="0"/>
        <w:jc w:val="both"/>
        <w:rPr>
          <w:rFonts w:ascii="Bookman Old Style" w:hAnsi="Bookman Old Style"/>
        </w:rPr>
      </w:pPr>
      <w:r>
        <w:rPr>
          <w:rFonts w:ascii="Bookman Old Style" w:hAnsi="Bookman Old Style"/>
        </w:rPr>
        <w:t>No se informó</w:t>
      </w:r>
      <w:r w:rsidR="00B649DE">
        <w:rPr>
          <w:rFonts w:ascii="Bookman Old Style" w:hAnsi="Bookman Old Style"/>
        </w:rPr>
        <w:t xml:space="preserve"> de</w:t>
      </w:r>
      <w:r>
        <w:rPr>
          <w:rFonts w:ascii="Bookman Old Style" w:hAnsi="Bookman Old Style"/>
        </w:rPr>
        <w:t xml:space="preserve"> este acto a la Superi</w:t>
      </w:r>
      <w:r w:rsidR="009F486C">
        <w:rPr>
          <w:rFonts w:ascii="Bookman Old Style" w:hAnsi="Bookman Old Style"/>
        </w:rPr>
        <w:t>n</w:t>
      </w:r>
      <w:r>
        <w:rPr>
          <w:rFonts w:ascii="Bookman Old Style" w:hAnsi="Bookman Old Style"/>
        </w:rPr>
        <w:t xml:space="preserve">tendencia de Industria y Comercio por cuanto se evaluó que no tiene incidencia sobre la libre competencia  </w:t>
      </w:r>
      <w:r w:rsidR="00B649DE">
        <w:rPr>
          <w:rFonts w:ascii="Bookman Old Style" w:hAnsi="Bookman Old Style"/>
        </w:rPr>
        <w:t xml:space="preserve">conforme  al </w:t>
      </w:r>
      <w:r>
        <w:rPr>
          <w:rFonts w:ascii="Bookman Old Style" w:hAnsi="Bookman Old Style"/>
        </w:rPr>
        <w:t xml:space="preserve">cuestionario del que trata el Decreto </w:t>
      </w:r>
      <w:r w:rsidR="00B737CB">
        <w:rPr>
          <w:rFonts w:ascii="Bookman Old Style" w:hAnsi="Bookman Old Style"/>
        </w:rPr>
        <w:t>1074 de 2015.</w:t>
      </w:r>
    </w:p>
    <w:p w:rsidR="00C912C4" w:rsidRDefault="00C912C4" w:rsidP="004341E9">
      <w:pPr>
        <w:ind w:left="0"/>
        <w:jc w:val="both"/>
        <w:rPr>
          <w:rFonts w:ascii="Bookman Old Style" w:hAnsi="Bookman Old Style"/>
          <w:bCs/>
        </w:rPr>
      </w:pPr>
    </w:p>
    <w:p w:rsidR="009D4A5A" w:rsidRPr="003B187B" w:rsidRDefault="004341E9" w:rsidP="00E02EB9">
      <w:pPr>
        <w:widowControl w:val="0"/>
        <w:ind w:left="0"/>
        <w:jc w:val="both"/>
        <w:rPr>
          <w:rFonts w:ascii="Bookman Old Style" w:hAnsi="Bookman Old Style"/>
        </w:rPr>
      </w:pPr>
      <w:r w:rsidRPr="003C3499">
        <w:rPr>
          <w:rFonts w:ascii="Bookman Old Style" w:hAnsi="Bookman Old Style"/>
          <w:bCs/>
        </w:rPr>
        <w:t>La Comisión de Regulación de Energía y Gas, en su sesión</w:t>
      </w:r>
      <w:r>
        <w:rPr>
          <w:rFonts w:ascii="Bookman Old Style" w:hAnsi="Bookman Old Style"/>
          <w:bCs/>
        </w:rPr>
        <w:t xml:space="preserve"> </w:t>
      </w:r>
      <w:r w:rsidR="005A375F">
        <w:rPr>
          <w:rFonts w:ascii="Bookman Old Style" w:hAnsi="Bookman Old Style"/>
          <w:bCs/>
        </w:rPr>
        <w:t>716</w:t>
      </w:r>
      <w:r w:rsidRPr="003C3499">
        <w:rPr>
          <w:rFonts w:ascii="Bookman Old Style" w:hAnsi="Bookman Old Style"/>
          <w:bCs/>
        </w:rPr>
        <w:t xml:space="preserve"> de</w:t>
      </w:r>
      <w:r>
        <w:rPr>
          <w:rFonts w:ascii="Bookman Old Style" w:hAnsi="Bookman Old Style"/>
          <w:bCs/>
        </w:rPr>
        <w:t xml:space="preserve">l </w:t>
      </w:r>
      <w:r w:rsidR="005A375F">
        <w:rPr>
          <w:rFonts w:ascii="Bookman Old Style" w:hAnsi="Bookman Old Style"/>
          <w:bCs/>
        </w:rPr>
        <w:t>06</w:t>
      </w:r>
      <w:r w:rsidR="00B42406">
        <w:rPr>
          <w:rFonts w:ascii="Bookman Old Style" w:hAnsi="Bookman Old Style"/>
          <w:bCs/>
        </w:rPr>
        <w:t xml:space="preserve"> </w:t>
      </w:r>
      <w:r>
        <w:rPr>
          <w:rFonts w:ascii="Bookman Old Style" w:hAnsi="Bookman Old Style"/>
          <w:bCs/>
        </w:rPr>
        <w:t xml:space="preserve">de </w:t>
      </w:r>
      <w:r w:rsidR="00287832">
        <w:rPr>
          <w:rFonts w:ascii="Bookman Old Style" w:hAnsi="Bookman Old Style"/>
          <w:bCs/>
        </w:rPr>
        <w:t>mayo</w:t>
      </w:r>
      <w:r>
        <w:rPr>
          <w:rFonts w:ascii="Bookman Old Style" w:hAnsi="Bookman Old Style"/>
          <w:bCs/>
        </w:rPr>
        <w:t xml:space="preserve"> </w:t>
      </w:r>
      <w:r w:rsidRPr="003C3499">
        <w:rPr>
          <w:rFonts w:ascii="Bookman Old Style" w:hAnsi="Bookman Old Style"/>
          <w:bCs/>
        </w:rPr>
        <w:t>de 20</w:t>
      </w:r>
      <w:r w:rsidR="00CC109B">
        <w:rPr>
          <w:rFonts w:ascii="Bookman Old Style" w:hAnsi="Bookman Old Style"/>
          <w:bCs/>
        </w:rPr>
        <w:t>16</w:t>
      </w:r>
      <w:r w:rsidRPr="003C3499">
        <w:rPr>
          <w:rFonts w:ascii="Bookman Old Style" w:hAnsi="Bookman Old Style"/>
          <w:bCs/>
        </w:rPr>
        <w:t>, acordó expedir la presente resolución</w:t>
      </w:r>
      <w:r>
        <w:rPr>
          <w:rFonts w:ascii="Bookman Old Style" w:hAnsi="Bookman Old Style"/>
          <w:bCs/>
        </w:rPr>
        <w:t>.</w:t>
      </w:r>
    </w:p>
    <w:p w:rsidR="009D4A5A" w:rsidRPr="003B187B" w:rsidRDefault="009D4A5A" w:rsidP="00E02EB9">
      <w:pPr>
        <w:pStyle w:val="Textoindependiente"/>
        <w:widowControl w:val="0"/>
        <w:jc w:val="both"/>
        <w:rPr>
          <w:rFonts w:ascii="Bookman Old Style" w:hAnsi="Bookman Old Style"/>
          <w:color w:val="000000"/>
        </w:rPr>
      </w:pPr>
    </w:p>
    <w:p w:rsidR="009D4A5A" w:rsidRDefault="009D4A5A" w:rsidP="00E02EB9">
      <w:pPr>
        <w:pStyle w:val="Textoindependiente"/>
        <w:widowControl w:val="0"/>
        <w:jc w:val="both"/>
        <w:rPr>
          <w:rFonts w:ascii="Bookman Old Style" w:hAnsi="Bookman Old Style"/>
          <w:color w:val="000000"/>
        </w:rPr>
      </w:pPr>
    </w:p>
    <w:p w:rsidR="00F420E6" w:rsidRDefault="009D4A5A" w:rsidP="00E02EB9">
      <w:pPr>
        <w:widowControl w:val="0"/>
        <w:ind w:left="0"/>
        <w:jc w:val="center"/>
        <w:rPr>
          <w:rFonts w:ascii="Bookman Old Style" w:hAnsi="Bookman Old Style"/>
          <w:b/>
        </w:rPr>
      </w:pPr>
      <w:r w:rsidRPr="003B187B">
        <w:rPr>
          <w:rFonts w:ascii="Bookman Old Style" w:hAnsi="Bookman Old Style"/>
          <w:b/>
        </w:rPr>
        <w:t>R E S U E L V E:</w:t>
      </w:r>
    </w:p>
    <w:p w:rsidR="004341E9" w:rsidRDefault="004341E9" w:rsidP="00E02EB9">
      <w:pPr>
        <w:widowControl w:val="0"/>
        <w:ind w:left="0"/>
        <w:jc w:val="center"/>
        <w:rPr>
          <w:rFonts w:ascii="Bookman Old Style" w:hAnsi="Bookman Old Style"/>
          <w:b/>
        </w:rPr>
      </w:pPr>
    </w:p>
    <w:p w:rsidR="002606F0" w:rsidRDefault="002606F0" w:rsidP="00E02EB9">
      <w:pPr>
        <w:widowControl w:val="0"/>
        <w:ind w:left="0"/>
        <w:jc w:val="center"/>
        <w:rPr>
          <w:rFonts w:ascii="Bookman Old Style" w:hAnsi="Bookman Old Style"/>
          <w:b/>
        </w:rPr>
      </w:pPr>
    </w:p>
    <w:p w:rsidR="009C7BCF" w:rsidRDefault="001401C9" w:rsidP="001401C9">
      <w:pPr>
        <w:ind w:left="0"/>
        <w:jc w:val="both"/>
        <w:rPr>
          <w:rFonts w:ascii="Bookman Old Style" w:hAnsi="Bookman Old Style" w:cs="Arial"/>
          <w:lang w:eastAsia="ar-SA"/>
        </w:rPr>
      </w:pPr>
      <w:r>
        <w:rPr>
          <w:rFonts w:ascii="Bookman Old Style" w:hAnsi="Bookman Old Style" w:cs="Arial"/>
          <w:b/>
          <w:lang w:eastAsia="ar-SA"/>
        </w:rPr>
        <w:t xml:space="preserve">Artículo </w:t>
      </w:r>
      <w:r w:rsidR="009C7BCF">
        <w:rPr>
          <w:rFonts w:ascii="Bookman Old Style" w:hAnsi="Bookman Old Style" w:cs="Arial"/>
          <w:b/>
          <w:lang w:eastAsia="ar-SA"/>
        </w:rPr>
        <w:t>1</w:t>
      </w:r>
      <w:r>
        <w:rPr>
          <w:rFonts w:ascii="Bookman Old Style" w:hAnsi="Bookman Old Style" w:cs="Arial"/>
          <w:b/>
          <w:lang w:eastAsia="ar-SA"/>
        </w:rPr>
        <w:t xml:space="preserve">. </w:t>
      </w:r>
      <w:r w:rsidR="009C7BCF">
        <w:rPr>
          <w:rFonts w:ascii="Bookman Old Style" w:hAnsi="Bookman Old Style" w:cs="Arial"/>
          <w:b/>
          <w:lang w:eastAsia="ar-SA"/>
        </w:rPr>
        <w:t>Modificar el artículo 6 de la Resolución CREG 177 de 201</w:t>
      </w:r>
      <w:r w:rsidR="004402D4">
        <w:rPr>
          <w:rFonts w:ascii="Bookman Old Style" w:hAnsi="Bookman Old Style" w:cs="Arial"/>
          <w:b/>
          <w:lang w:eastAsia="ar-SA"/>
        </w:rPr>
        <w:t>5</w:t>
      </w:r>
      <w:r w:rsidR="009C7BCF">
        <w:rPr>
          <w:rFonts w:ascii="Bookman Old Style" w:hAnsi="Bookman Old Style" w:cs="Arial"/>
          <w:b/>
          <w:lang w:eastAsia="ar-SA"/>
        </w:rPr>
        <w:t xml:space="preserve">. </w:t>
      </w:r>
      <w:r w:rsidR="009C7BCF">
        <w:rPr>
          <w:rFonts w:ascii="Bookman Old Style" w:hAnsi="Bookman Old Style" w:cs="Arial"/>
          <w:lang w:eastAsia="ar-SA"/>
        </w:rPr>
        <w:t>El artículo 6 de la Resolución CREG 177 de 2015 quedará así:</w:t>
      </w:r>
    </w:p>
    <w:p w:rsidR="00287832" w:rsidRDefault="00287832" w:rsidP="00F10392">
      <w:pPr>
        <w:ind w:left="708"/>
        <w:jc w:val="both"/>
        <w:rPr>
          <w:rFonts w:ascii="Bookman Old Style" w:hAnsi="Bookman Old Style" w:cs="Arial"/>
          <w:i/>
          <w:sz w:val="22"/>
          <w:lang w:eastAsia="ar-SA"/>
        </w:rPr>
      </w:pPr>
    </w:p>
    <w:p w:rsidR="001401C9" w:rsidRPr="00F10392" w:rsidRDefault="00F10392" w:rsidP="00F10392">
      <w:pPr>
        <w:ind w:left="708"/>
        <w:jc w:val="both"/>
        <w:rPr>
          <w:rFonts w:ascii="Bookman Old Style" w:hAnsi="Bookman Old Style" w:cs="Arial"/>
          <w:i/>
          <w:sz w:val="22"/>
          <w:lang w:eastAsia="ar-SA"/>
        </w:rPr>
      </w:pPr>
      <w:r w:rsidRPr="00F10392">
        <w:rPr>
          <w:rFonts w:ascii="Bookman Old Style" w:hAnsi="Bookman Old Style" w:cs="Arial"/>
          <w:i/>
          <w:sz w:val="22"/>
          <w:lang w:eastAsia="ar-SA"/>
        </w:rPr>
        <w:t>“</w:t>
      </w:r>
      <w:r>
        <w:rPr>
          <w:rFonts w:ascii="Bookman Old Style" w:hAnsi="Bookman Old Style" w:cs="Arial"/>
          <w:b/>
          <w:i/>
          <w:sz w:val="22"/>
          <w:lang w:eastAsia="ar-SA"/>
        </w:rPr>
        <w:t xml:space="preserve">Artículo 6. </w:t>
      </w:r>
      <w:r w:rsidR="001401C9" w:rsidRPr="00F10392">
        <w:rPr>
          <w:rFonts w:ascii="Bookman Old Style" w:hAnsi="Bookman Old Style" w:cs="Arial"/>
          <w:b/>
          <w:i/>
          <w:sz w:val="22"/>
          <w:lang w:eastAsia="ar-SA"/>
        </w:rPr>
        <w:t xml:space="preserve">Fecha de finalización del proceso de auditoría definido en el artículo 4 de la Resolución CREG 181 de 2010 para los contratos y documentos de logística del </w:t>
      </w:r>
      <w:r w:rsidR="001401C9" w:rsidRPr="00287832">
        <w:rPr>
          <w:rFonts w:ascii="Bookman Old Style" w:hAnsi="Bookman Old Style" w:cs="Arial"/>
          <w:b/>
          <w:i/>
          <w:sz w:val="22"/>
          <w:lang w:eastAsia="ar-SA"/>
        </w:rPr>
        <w:t xml:space="preserve">período </w:t>
      </w:r>
      <w:r w:rsidR="001401C9" w:rsidRPr="00F10392">
        <w:rPr>
          <w:rFonts w:ascii="Bookman Old Style" w:hAnsi="Bookman Old Style" w:cs="Arial"/>
          <w:b/>
          <w:i/>
          <w:sz w:val="22"/>
          <w:lang w:eastAsia="ar-SA"/>
        </w:rPr>
        <w:t>2016-2017</w:t>
      </w:r>
      <w:r w:rsidR="005D4957" w:rsidRPr="00F10392">
        <w:rPr>
          <w:rFonts w:ascii="Bookman Old Style" w:hAnsi="Bookman Old Style" w:cs="Arial"/>
          <w:b/>
          <w:i/>
          <w:sz w:val="22"/>
          <w:lang w:eastAsia="ar-SA"/>
        </w:rPr>
        <w:t xml:space="preserve">, </w:t>
      </w:r>
      <w:r w:rsidR="001401C9" w:rsidRPr="00F10392">
        <w:rPr>
          <w:rFonts w:ascii="Bookman Old Style" w:hAnsi="Bookman Old Style" w:cs="Arial"/>
          <w:b/>
          <w:i/>
          <w:sz w:val="22"/>
          <w:lang w:eastAsia="ar-SA"/>
        </w:rPr>
        <w:t>2017-2018</w:t>
      </w:r>
      <w:r w:rsidR="005D4957" w:rsidRPr="00F10392">
        <w:rPr>
          <w:rFonts w:ascii="Bookman Old Style" w:hAnsi="Bookman Old Style" w:cs="Arial"/>
          <w:b/>
          <w:i/>
          <w:sz w:val="22"/>
          <w:lang w:eastAsia="ar-SA"/>
        </w:rPr>
        <w:t xml:space="preserve"> y 2018-2019</w:t>
      </w:r>
      <w:r w:rsidR="001401C9" w:rsidRPr="00F10392">
        <w:rPr>
          <w:rFonts w:ascii="Bookman Old Style" w:hAnsi="Bookman Old Style" w:cs="Arial"/>
          <w:b/>
          <w:i/>
          <w:sz w:val="22"/>
          <w:lang w:eastAsia="ar-SA"/>
        </w:rPr>
        <w:t>.</w:t>
      </w:r>
      <w:r w:rsidR="001401C9" w:rsidRPr="00F10392">
        <w:rPr>
          <w:rFonts w:ascii="Bookman Old Style" w:hAnsi="Bookman Old Style" w:cs="Arial"/>
          <w:i/>
          <w:sz w:val="22"/>
          <w:lang w:eastAsia="ar-SA"/>
        </w:rPr>
        <w:t xml:space="preserve"> El proceso de auditoría definido en el artículo 4 de la Resolución CREG 181 de 2010 para los contratos y documentos de logística de combustibles líquidos entregados para </w:t>
      </w:r>
      <w:r w:rsidR="005D4957" w:rsidRPr="00F10392">
        <w:rPr>
          <w:rFonts w:ascii="Bookman Old Style" w:hAnsi="Bookman Old Style" w:cs="Arial"/>
          <w:i/>
          <w:sz w:val="22"/>
          <w:lang w:eastAsia="ar-SA"/>
        </w:rPr>
        <w:t xml:space="preserve">el </w:t>
      </w:r>
      <w:r w:rsidR="001401C9" w:rsidRPr="00F10392">
        <w:rPr>
          <w:rFonts w:ascii="Bookman Old Style" w:hAnsi="Bookman Old Style" w:cs="Arial"/>
          <w:i/>
          <w:sz w:val="22"/>
          <w:lang w:eastAsia="ar-SA"/>
        </w:rPr>
        <w:t xml:space="preserve">período 2016-2017 deberá finalizar a más tardar </w:t>
      </w:r>
      <w:r w:rsidR="00287832">
        <w:rPr>
          <w:rFonts w:ascii="Bookman Old Style" w:hAnsi="Bookman Old Style" w:cs="Arial"/>
          <w:i/>
          <w:sz w:val="22"/>
          <w:lang w:eastAsia="ar-SA"/>
        </w:rPr>
        <w:t>tres</w:t>
      </w:r>
      <w:r w:rsidR="001401C9" w:rsidRPr="00F10392">
        <w:rPr>
          <w:rFonts w:ascii="Bookman Old Style" w:hAnsi="Bookman Old Style" w:cs="Arial"/>
          <w:i/>
          <w:sz w:val="22"/>
          <w:lang w:eastAsia="ar-SA"/>
        </w:rPr>
        <w:t xml:space="preserve"> (</w:t>
      </w:r>
      <w:r w:rsidR="00287832">
        <w:rPr>
          <w:rFonts w:ascii="Bookman Old Style" w:hAnsi="Bookman Old Style" w:cs="Arial"/>
          <w:i/>
          <w:sz w:val="22"/>
          <w:lang w:eastAsia="ar-SA"/>
        </w:rPr>
        <w:t>3</w:t>
      </w:r>
      <w:r w:rsidR="001401C9" w:rsidRPr="00F10392">
        <w:rPr>
          <w:rFonts w:ascii="Bookman Old Style" w:hAnsi="Bookman Old Style" w:cs="Arial"/>
          <w:i/>
          <w:sz w:val="22"/>
          <w:lang w:eastAsia="ar-SA"/>
        </w:rPr>
        <w:t xml:space="preserve">) meses antes del Inicio del Período de Vigencia de la Obligación de dicho período y </w:t>
      </w:r>
      <w:r w:rsidR="005D4957" w:rsidRPr="00F10392">
        <w:rPr>
          <w:rFonts w:ascii="Bookman Old Style" w:hAnsi="Bookman Old Style" w:cs="Arial"/>
          <w:i/>
          <w:sz w:val="22"/>
          <w:lang w:eastAsia="ar-SA"/>
        </w:rPr>
        <w:t xml:space="preserve">para el período 2017-2018 deberá finalizar </w:t>
      </w:r>
      <w:r w:rsidR="00B35C8D">
        <w:rPr>
          <w:rFonts w:ascii="Bookman Old Style" w:hAnsi="Bookman Old Style" w:cs="Arial"/>
          <w:i/>
          <w:sz w:val="22"/>
          <w:lang w:eastAsia="ar-SA"/>
        </w:rPr>
        <w:t>nueve</w:t>
      </w:r>
      <w:r w:rsidRPr="00F10392">
        <w:rPr>
          <w:rFonts w:ascii="Bookman Old Style" w:hAnsi="Bookman Old Style" w:cs="Arial"/>
          <w:i/>
          <w:sz w:val="22"/>
          <w:lang w:eastAsia="ar-SA"/>
        </w:rPr>
        <w:t xml:space="preserve"> </w:t>
      </w:r>
      <w:r w:rsidR="005D4957" w:rsidRPr="00F10392">
        <w:rPr>
          <w:rFonts w:ascii="Bookman Old Style" w:hAnsi="Bookman Old Style" w:cs="Arial"/>
          <w:i/>
          <w:sz w:val="22"/>
          <w:lang w:eastAsia="ar-SA"/>
        </w:rPr>
        <w:t>(</w:t>
      </w:r>
      <w:r w:rsidR="00B35C8D">
        <w:rPr>
          <w:rFonts w:ascii="Bookman Old Style" w:hAnsi="Bookman Old Style" w:cs="Arial"/>
          <w:i/>
          <w:sz w:val="22"/>
          <w:lang w:eastAsia="ar-SA"/>
        </w:rPr>
        <w:t>9</w:t>
      </w:r>
      <w:r w:rsidR="005D4957" w:rsidRPr="00F10392">
        <w:rPr>
          <w:rFonts w:ascii="Bookman Old Style" w:hAnsi="Bookman Old Style" w:cs="Arial"/>
          <w:i/>
          <w:sz w:val="22"/>
          <w:lang w:eastAsia="ar-SA"/>
        </w:rPr>
        <w:t>) meses antes del Inicio del Período de Vigencia de la Obligación de dicho período.</w:t>
      </w:r>
    </w:p>
    <w:p w:rsidR="005D4957" w:rsidRPr="00F10392" w:rsidRDefault="005D4957" w:rsidP="00F10392">
      <w:pPr>
        <w:ind w:left="708"/>
        <w:jc w:val="both"/>
        <w:rPr>
          <w:rFonts w:ascii="Bookman Old Style" w:hAnsi="Bookman Old Style" w:cs="Arial"/>
          <w:i/>
          <w:sz w:val="22"/>
          <w:lang w:eastAsia="ar-SA"/>
        </w:rPr>
      </w:pPr>
    </w:p>
    <w:p w:rsidR="003856AB" w:rsidRPr="00F10392" w:rsidRDefault="005D4957" w:rsidP="00F10392">
      <w:pPr>
        <w:ind w:left="708"/>
        <w:jc w:val="both"/>
        <w:rPr>
          <w:rFonts w:ascii="Bookman Old Style" w:hAnsi="Bookman Old Style"/>
          <w:i/>
          <w:sz w:val="22"/>
        </w:rPr>
      </w:pPr>
      <w:r w:rsidRPr="00F10392">
        <w:rPr>
          <w:rFonts w:ascii="Bookman Old Style" w:hAnsi="Bookman Old Style"/>
          <w:i/>
          <w:sz w:val="22"/>
        </w:rPr>
        <w:t>Para el período 2018-2019 la finalización de la auditoría será según lo definido el artículo 4 de la Resoluci</w:t>
      </w:r>
      <w:r w:rsidR="00F10392">
        <w:rPr>
          <w:rFonts w:ascii="Bookman Old Style" w:hAnsi="Bookman Old Style"/>
          <w:i/>
          <w:sz w:val="22"/>
        </w:rPr>
        <w:t>ón CREG 181 de 2010”</w:t>
      </w:r>
      <w:r w:rsidR="00B42406">
        <w:rPr>
          <w:rFonts w:ascii="Bookman Old Style" w:hAnsi="Bookman Old Style"/>
          <w:i/>
          <w:sz w:val="22"/>
        </w:rPr>
        <w:t>.</w:t>
      </w:r>
    </w:p>
    <w:p w:rsidR="003856AB" w:rsidRDefault="003856AB" w:rsidP="005D4957">
      <w:pPr>
        <w:ind w:left="0"/>
        <w:jc w:val="both"/>
        <w:rPr>
          <w:rFonts w:ascii="Bookman Old Style" w:hAnsi="Bookman Old Style"/>
        </w:rPr>
      </w:pPr>
    </w:p>
    <w:p w:rsidR="004341E9" w:rsidRPr="00F2180C" w:rsidRDefault="004341E9" w:rsidP="004341E9">
      <w:pPr>
        <w:pStyle w:val="Ttulo1"/>
        <w:ind w:left="0"/>
        <w:jc w:val="both"/>
        <w:rPr>
          <w:rFonts w:ascii="Bookman Old Style" w:hAnsi="Bookman Old Style"/>
          <w:b w:val="0"/>
        </w:rPr>
      </w:pPr>
      <w:r w:rsidRPr="003C3499">
        <w:rPr>
          <w:rFonts w:ascii="Bookman Old Style" w:hAnsi="Bookman Old Style"/>
        </w:rPr>
        <w:t xml:space="preserve">Artículo </w:t>
      </w:r>
      <w:r w:rsidR="00F10392">
        <w:rPr>
          <w:rFonts w:ascii="Bookman Old Style" w:hAnsi="Bookman Old Style"/>
        </w:rPr>
        <w:t>2</w:t>
      </w:r>
      <w:r w:rsidRPr="003C3499">
        <w:rPr>
          <w:rFonts w:ascii="Bookman Old Style" w:hAnsi="Bookman Old Style"/>
        </w:rPr>
        <w:t xml:space="preserve">. Vigencia. </w:t>
      </w:r>
      <w:r w:rsidRPr="00F2180C">
        <w:rPr>
          <w:rFonts w:ascii="Bookman Old Style" w:hAnsi="Bookman Old Style"/>
          <w:b w:val="0"/>
        </w:rPr>
        <w:t xml:space="preserve">Esta Resolución rige a partir de la fecha de su publicación en el </w:t>
      </w:r>
      <w:r w:rsidRPr="00B42406">
        <w:rPr>
          <w:rFonts w:ascii="Bookman Old Style" w:hAnsi="Bookman Old Style"/>
          <w:b w:val="0"/>
          <w:i/>
        </w:rPr>
        <w:t>Diario Oficial</w:t>
      </w:r>
      <w:r w:rsidRPr="00F2180C">
        <w:rPr>
          <w:rFonts w:ascii="Bookman Old Style" w:hAnsi="Bookman Old Style"/>
          <w:b w:val="0"/>
        </w:rPr>
        <w:t>.</w:t>
      </w:r>
    </w:p>
    <w:p w:rsidR="003B187B" w:rsidRPr="004341E9" w:rsidRDefault="003B187B" w:rsidP="009D4A5A">
      <w:pPr>
        <w:ind w:left="0"/>
        <w:jc w:val="both"/>
        <w:rPr>
          <w:rFonts w:ascii="Bookman Old Style" w:hAnsi="Bookman Old Style" w:cs="Arial"/>
          <w:lang w:val="es-CO"/>
        </w:rPr>
      </w:pPr>
    </w:p>
    <w:p w:rsidR="008F2F9F" w:rsidRDefault="008F2F9F" w:rsidP="009D4A5A">
      <w:pPr>
        <w:ind w:left="0"/>
        <w:jc w:val="both"/>
        <w:rPr>
          <w:rFonts w:ascii="Bookman Old Style" w:hAnsi="Bookman Old Style" w:cs="Arial"/>
          <w:b/>
          <w:bCs/>
          <w:color w:val="000000"/>
          <w:szCs w:val="27"/>
        </w:rPr>
      </w:pPr>
    </w:p>
    <w:p w:rsidR="009D4A5A" w:rsidRPr="003B187B" w:rsidRDefault="009D4A5A" w:rsidP="009D4A5A">
      <w:pPr>
        <w:ind w:left="0"/>
        <w:jc w:val="center"/>
        <w:outlineLvl w:val="0"/>
        <w:rPr>
          <w:rFonts w:ascii="Bookman Old Style" w:hAnsi="Bookman Old Style" w:cs="Arial"/>
          <w:b/>
          <w:bCs/>
          <w:color w:val="000000"/>
          <w:szCs w:val="27"/>
        </w:rPr>
      </w:pPr>
      <w:r w:rsidRPr="003B187B">
        <w:rPr>
          <w:rFonts w:ascii="Bookman Old Style" w:hAnsi="Bookman Old Style" w:cs="Arial"/>
          <w:b/>
          <w:bCs/>
          <w:color w:val="000000"/>
          <w:szCs w:val="27"/>
        </w:rPr>
        <w:t>PUBLÍQUESE Y CÚMPLASE</w:t>
      </w:r>
    </w:p>
    <w:p w:rsidR="009D4A5A" w:rsidRPr="003B187B" w:rsidRDefault="009D4A5A" w:rsidP="009D4A5A">
      <w:pPr>
        <w:spacing w:after="240"/>
        <w:ind w:left="0"/>
        <w:jc w:val="both"/>
        <w:rPr>
          <w:rFonts w:ascii="Bookman Old Style" w:hAnsi="Bookman Old Style" w:cs="Arial"/>
          <w:color w:val="000000"/>
          <w:szCs w:val="27"/>
        </w:rPr>
      </w:pPr>
    </w:p>
    <w:p w:rsidR="009D4A5A" w:rsidRDefault="009D4A5A" w:rsidP="009D4A5A">
      <w:pPr>
        <w:spacing w:after="240"/>
        <w:ind w:left="0"/>
        <w:jc w:val="both"/>
        <w:outlineLvl w:val="0"/>
        <w:rPr>
          <w:rFonts w:ascii="Bookman Old Style" w:hAnsi="Bookman Old Style" w:cs="Arial"/>
          <w:color w:val="000000"/>
          <w:szCs w:val="27"/>
        </w:rPr>
      </w:pPr>
      <w:r w:rsidRPr="003B187B">
        <w:rPr>
          <w:rFonts w:ascii="Bookman Old Style" w:hAnsi="Bookman Old Style" w:cs="Arial"/>
          <w:color w:val="000000"/>
          <w:szCs w:val="27"/>
        </w:rPr>
        <w:t xml:space="preserve">Dada en Bogotá, D.C., </w:t>
      </w:r>
    </w:p>
    <w:p w:rsidR="00B42406" w:rsidRDefault="00B42406" w:rsidP="009D4A5A">
      <w:pPr>
        <w:spacing w:after="240"/>
        <w:ind w:left="0"/>
        <w:jc w:val="both"/>
        <w:outlineLvl w:val="0"/>
        <w:rPr>
          <w:rFonts w:ascii="Bookman Old Style" w:hAnsi="Bookman Old Style" w:cs="Arial"/>
          <w:color w:val="000000"/>
          <w:szCs w:val="27"/>
        </w:rPr>
      </w:pPr>
    </w:p>
    <w:p w:rsidR="00B42406" w:rsidRPr="003B187B" w:rsidRDefault="00B42406" w:rsidP="009D4A5A">
      <w:pPr>
        <w:spacing w:after="240"/>
        <w:ind w:left="0"/>
        <w:jc w:val="both"/>
        <w:outlineLvl w:val="0"/>
        <w:rPr>
          <w:rFonts w:ascii="Bookman Old Style" w:hAnsi="Bookman Old Style" w:cs="Arial"/>
          <w:color w:val="000000"/>
          <w:szCs w:val="27"/>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B42406" w:rsidRPr="0041407C" w:rsidTr="00BB474E">
        <w:trPr>
          <w:tblCellSpacing w:w="0" w:type="dxa"/>
        </w:trPr>
        <w:tc>
          <w:tcPr>
            <w:tcW w:w="5104" w:type="dxa"/>
          </w:tcPr>
          <w:p w:rsidR="00B42406" w:rsidRPr="0041407C" w:rsidRDefault="00B42406" w:rsidP="00BB474E">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Pr="0041407C">
              <w:rPr>
                <w:rFonts w:ascii="Bookman Old Style" w:hAnsi="Bookman Old Style" w:cs="Arial"/>
                <w:spacing w:val="-3"/>
              </w:rPr>
              <w:t>Viceministro de Energía</w:t>
            </w:r>
          </w:p>
          <w:p w:rsidR="00B42406" w:rsidRDefault="00C86F55" w:rsidP="00B42406">
            <w:pPr>
              <w:ind w:left="66"/>
              <w:jc w:val="center"/>
              <w:rPr>
                <w:rFonts w:ascii="Bookman Old Style" w:hAnsi="Bookman Old Style" w:cs="Arial"/>
                <w:spacing w:val="-3"/>
              </w:rPr>
            </w:pPr>
            <w:r>
              <w:rPr>
                <w:rFonts w:ascii="Bookman Old Style" w:hAnsi="Bookman Old Style" w:cs="Arial"/>
                <w:spacing w:val="-3"/>
              </w:rPr>
              <w:t>Delegado del</w:t>
            </w:r>
            <w:r w:rsidR="00B42406" w:rsidRPr="0041407C">
              <w:rPr>
                <w:rFonts w:ascii="Bookman Old Style" w:hAnsi="Bookman Old Style" w:cs="Arial"/>
                <w:spacing w:val="-3"/>
              </w:rPr>
              <w:t xml:space="preserve"> Ministr</w:t>
            </w:r>
            <w:r>
              <w:rPr>
                <w:rFonts w:ascii="Bookman Old Style" w:hAnsi="Bookman Old Style" w:cs="Arial"/>
                <w:spacing w:val="-3"/>
              </w:rPr>
              <w:t>o de</w:t>
            </w:r>
            <w:r w:rsidR="00B42406" w:rsidRPr="0041407C">
              <w:rPr>
                <w:rFonts w:ascii="Bookman Old Style" w:hAnsi="Bookman Old Style" w:cs="Arial"/>
                <w:spacing w:val="-3"/>
              </w:rPr>
              <w:t xml:space="preserve"> Minas y </w:t>
            </w:r>
          </w:p>
          <w:p w:rsidR="00B42406" w:rsidRPr="0041407C" w:rsidRDefault="00B42406" w:rsidP="00B42406">
            <w:pPr>
              <w:ind w:left="66"/>
              <w:jc w:val="center"/>
              <w:rPr>
                <w:rFonts w:ascii="Bookman Old Style" w:hAnsi="Bookman Old Style" w:cs="Arial"/>
                <w:spacing w:val="-3"/>
              </w:rPr>
            </w:pPr>
            <w:r w:rsidRPr="0041407C">
              <w:rPr>
                <w:rFonts w:ascii="Bookman Old Style" w:hAnsi="Bookman Old Style" w:cs="Arial"/>
                <w:spacing w:val="-3"/>
              </w:rPr>
              <w:t>Energía</w:t>
            </w:r>
          </w:p>
        </w:tc>
        <w:tc>
          <w:tcPr>
            <w:tcW w:w="4678" w:type="dxa"/>
          </w:tcPr>
          <w:p w:rsidR="00B42406" w:rsidRPr="0041407C" w:rsidRDefault="00B42406" w:rsidP="00BB474E">
            <w:pPr>
              <w:ind w:left="89"/>
              <w:jc w:val="center"/>
              <w:rPr>
                <w:rFonts w:ascii="Bookman Old Style" w:hAnsi="Bookman Old Style" w:cs="Arial"/>
                <w:b/>
                <w:spacing w:val="-3"/>
              </w:rPr>
            </w:pPr>
            <w:r>
              <w:rPr>
                <w:rFonts w:ascii="Bookman Old Style" w:hAnsi="Bookman Old Style" w:cs="Arial"/>
                <w:b/>
                <w:spacing w:val="-3"/>
              </w:rPr>
              <w:t>JORGE PINTO NOLLA</w:t>
            </w:r>
          </w:p>
          <w:p w:rsidR="00B42406" w:rsidRPr="0041407C" w:rsidRDefault="00B42406" w:rsidP="00BB474E">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B42406" w:rsidRPr="00EE5AC7" w:rsidTr="00BB474E">
        <w:trPr>
          <w:tblCellSpacing w:w="0" w:type="dxa"/>
        </w:trPr>
        <w:tc>
          <w:tcPr>
            <w:tcW w:w="5104" w:type="dxa"/>
          </w:tcPr>
          <w:p w:rsidR="00B42406" w:rsidRPr="00EE5AC7" w:rsidRDefault="00B42406" w:rsidP="00B42406">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B42406" w:rsidRPr="00EE5AC7" w:rsidRDefault="00B42406" w:rsidP="00BB474E">
            <w:pPr>
              <w:jc w:val="center"/>
              <w:rPr>
                <w:rFonts w:ascii="Bookman Old Style" w:eastAsia="Arial Unicode MS" w:hAnsi="Bookman Old Style" w:cs="Arial"/>
                <w:color w:val="000000"/>
              </w:rPr>
            </w:pPr>
          </w:p>
        </w:tc>
      </w:tr>
    </w:tbl>
    <w:p w:rsidR="00E0232A" w:rsidRPr="003B187B" w:rsidRDefault="00F10392" w:rsidP="00B42406">
      <w:pPr>
        <w:spacing w:after="240"/>
        <w:ind w:left="0"/>
        <w:jc w:val="both"/>
        <w:rPr>
          <w:rFonts w:ascii="Bookman Old Style" w:hAnsi="Bookman Old Style"/>
        </w:rPr>
      </w:pPr>
      <w:r w:rsidRPr="003B187B">
        <w:rPr>
          <w:rFonts w:ascii="Bookman Old Style" w:hAnsi="Bookman Old Style"/>
        </w:rPr>
        <w:t xml:space="preserve"> </w:t>
      </w:r>
    </w:p>
    <w:sectPr w:rsidR="00E0232A" w:rsidRPr="003B187B" w:rsidSect="00B42406">
      <w:headerReference w:type="default" r:id="rId11"/>
      <w:headerReference w:type="first" r:id="rId12"/>
      <w:type w:val="continuous"/>
      <w:pgSz w:w="12242" w:h="18722" w:code="123"/>
      <w:pgMar w:top="142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14" w:rsidRDefault="00943714">
      <w:r>
        <w:separator/>
      </w:r>
    </w:p>
  </w:endnote>
  <w:endnote w:type="continuationSeparator" w:id="0">
    <w:p w:rsidR="00943714" w:rsidRDefault="0094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14" w:rsidRDefault="00943714">
      <w:r>
        <w:separator/>
      </w:r>
    </w:p>
  </w:footnote>
  <w:footnote w:type="continuationSeparator" w:id="0">
    <w:p w:rsidR="00943714" w:rsidRDefault="00943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49" w:rsidRDefault="002C6449" w:rsidP="00951F79">
    <w:pPr>
      <w:pStyle w:val="Ttulo1"/>
      <w:ind w:right="6"/>
      <w:jc w:val="left"/>
      <w:rPr>
        <w:rFonts w:ascii="Bookman Old Style" w:hAnsi="Bookman Old Style" w:cs="Arial"/>
        <w:b w:val="0"/>
        <w:sz w:val="22"/>
        <w:szCs w:val="22"/>
      </w:rPr>
    </w:pPr>
  </w:p>
  <w:p w:rsidR="002C6449" w:rsidRPr="00951F79" w:rsidRDefault="002C644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6E640D"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6E640D" w:rsidRPr="00654384">
      <w:rPr>
        <w:rFonts w:ascii="Bookman Old Style" w:hAnsi="Bookman Old Style" w:cs="Arial"/>
        <w:b w:val="0"/>
        <w:sz w:val="22"/>
        <w:szCs w:val="22"/>
      </w:rPr>
      <w:fldChar w:fldCharType="separate"/>
    </w:r>
    <w:r w:rsidR="000B5828">
      <w:rPr>
        <w:rFonts w:ascii="Bookman Old Style" w:hAnsi="Bookman Old Style" w:cs="Arial"/>
        <w:b w:val="0"/>
        <w:noProof/>
        <w:sz w:val="22"/>
        <w:szCs w:val="22"/>
      </w:rPr>
      <w:t>3</w:t>
    </w:r>
    <w:r w:rsidR="006E640D"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B5828">
      <w:fldChar w:fldCharType="begin"/>
    </w:r>
    <w:r w:rsidR="000B5828">
      <w:instrText xml:space="preserve"> NUMPAGES  \* MERGEFORMAT </w:instrText>
    </w:r>
    <w:r w:rsidR="000B5828">
      <w:fldChar w:fldCharType="separate"/>
    </w:r>
    <w:r w:rsidR="000B5828" w:rsidRPr="000B5828">
      <w:rPr>
        <w:rFonts w:ascii="Bookman Old Style" w:hAnsi="Bookman Old Style" w:cs="Arial"/>
        <w:b w:val="0"/>
        <w:noProof/>
        <w:sz w:val="22"/>
        <w:szCs w:val="22"/>
      </w:rPr>
      <w:t>3</w:t>
    </w:r>
    <w:r w:rsidR="000B5828">
      <w:rPr>
        <w:rFonts w:ascii="Bookman Old Style" w:hAnsi="Bookman Old Style" w:cs="Arial"/>
        <w:b w:val="0"/>
        <w:noProof/>
        <w:sz w:val="22"/>
        <w:szCs w:val="22"/>
      </w:rPr>
      <w:fldChar w:fldCharType="end"/>
    </w:r>
  </w:p>
  <w:p w:rsidR="002C6449" w:rsidRDefault="00D223C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39F5951" wp14:editId="13322AB5">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B1109" w:rsidRPr="00B42406" w:rsidRDefault="00B42406" w:rsidP="006B1109">
    <w:pPr>
      <w:ind w:left="0"/>
      <w:jc w:val="both"/>
      <w:rPr>
        <w:rFonts w:ascii="Bookman Old Style" w:hAnsi="Bookman Old Style" w:cs="Arial"/>
        <w:sz w:val="22"/>
        <w:szCs w:val="22"/>
      </w:rPr>
    </w:pPr>
    <w:r w:rsidRPr="00B42406">
      <w:rPr>
        <w:rFonts w:ascii="Bookman Old Style" w:hAnsi="Bookman Old Style" w:cs="Arial"/>
        <w:sz w:val="22"/>
        <w:szCs w:val="22"/>
      </w:rPr>
      <w:t>Por la cual se modifica la fecha de finalización de la auditoría para plantas que respaldan las Obligaciones de Energía Firme del período 2016 – 2017 con combustibles líquidos</w:t>
    </w:r>
  </w:p>
  <w:p w:rsidR="00AD52CA" w:rsidRPr="00EE7C65" w:rsidRDefault="00AD52CA" w:rsidP="00AD52CA">
    <w:pPr>
      <w:pBdr>
        <w:bottom w:val="single" w:sz="4" w:space="1" w:color="auto"/>
      </w:pBdr>
      <w:spacing w:after="240"/>
      <w:ind w:left="0"/>
      <w:jc w:val="both"/>
      <w:rPr>
        <w:rFonts w:ascii="Bookman Old Style" w:hAnsi="Bookman Old Style" w:cs="Arial"/>
        <w:szCs w:val="20"/>
      </w:rPr>
    </w:pPr>
  </w:p>
  <w:p w:rsidR="00CC1065" w:rsidRDefault="00CC10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49" w:rsidRDefault="002C644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C6449" w:rsidRDefault="002C6449">
    <w:pPr>
      <w:pStyle w:val="Encabezado"/>
      <w:jc w:val="center"/>
      <w:rPr>
        <w:rFonts w:ascii="Arial" w:hAnsi="Arial" w:cs="Arial"/>
        <w:spacing w:val="20"/>
        <w:sz w:val="20"/>
      </w:rPr>
    </w:pPr>
  </w:p>
  <w:p w:rsidR="002C6449" w:rsidRDefault="00D223C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30B53C8" wp14:editId="2499F11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7A7307"/>
    <w:multiLevelType w:val="hybridMultilevel"/>
    <w:tmpl w:val="94309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C3EAE"/>
    <w:multiLevelType w:val="hybridMultilevel"/>
    <w:tmpl w:val="4F362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F62D4"/>
    <w:multiLevelType w:val="hybridMultilevel"/>
    <w:tmpl w:val="4F362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E6F15E2"/>
    <w:multiLevelType w:val="hybridMultilevel"/>
    <w:tmpl w:val="896A3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D5EB8"/>
    <w:multiLevelType w:val="hybridMultilevel"/>
    <w:tmpl w:val="C7E67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F0FB7"/>
    <w:multiLevelType w:val="hybridMultilevel"/>
    <w:tmpl w:val="B5FC30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68F269C2"/>
    <w:multiLevelType w:val="hybridMultilevel"/>
    <w:tmpl w:val="11147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20619"/>
    <w:multiLevelType w:val="hybridMultilevel"/>
    <w:tmpl w:val="381860F8"/>
    <w:lvl w:ilvl="0" w:tplc="D66C8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3764AAD"/>
    <w:multiLevelType w:val="hybridMultilevel"/>
    <w:tmpl w:val="4588C6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745F3BF1"/>
    <w:multiLevelType w:val="hybridMultilevel"/>
    <w:tmpl w:val="B72ED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A74CE"/>
    <w:multiLevelType w:val="hybridMultilevel"/>
    <w:tmpl w:val="DA4413A6"/>
    <w:lvl w:ilvl="0" w:tplc="728E111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4"/>
  </w:num>
  <w:num w:numId="4">
    <w:abstractNumId w:val="8"/>
  </w:num>
  <w:num w:numId="5">
    <w:abstractNumId w:val="15"/>
  </w:num>
  <w:num w:numId="6">
    <w:abstractNumId w:val="3"/>
  </w:num>
  <w:num w:numId="7">
    <w:abstractNumId w:val="2"/>
  </w:num>
  <w:num w:numId="8">
    <w:abstractNumId w:val="17"/>
  </w:num>
  <w:num w:numId="9">
    <w:abstractNumId w:val="16"/>
  </w:num>
  <w:num w:numId="10">
    <w:abstractNumId w:val="14"/>
  </w:num>
  <w:num w:numId="11">
    <w:abstractNumId w:val="25"/>
  </w:num>
  <w:num w:numId="12">
    <w:abstractNumId w:val="20"/>
  </w:num>
  <w:num w:numId="13">
    <w:abstractNumId w:val="11"/>
  </w:num>
  <w:num w:numId="14">
    <w:abstractNumId w:val="1"/>
  </w:num>
  <w:num w:numId="15">
    <w:abstractNumId w:val="23"/>
  </w:num>
  <w:num w:numId="16">
    <w:abstractNumId w:val="21"/>
  </w:num>
  <w:num w:numId="17">
    <w:abstractNumId w:val="18"/>
  </w:num>
  <w:num w:numId="18">
    <w:abstractNumId w:val="19"/>
  </w:num>
  <w:num w:numId="19">
    <w:abstractNumId w:val="7"/>
  </w:num>
  <w:num w:numId="20">
    <w:abstractNumId w:val="5"/>
  </w:num>
  <w:num w:numId="21">
    <w:abstractNumId w:val="9"/>
  </w:num>
  <w:num w:numId="22">
    <w:abstractNumId w:val="22"/>
  </w:num>
  <w:num w:numId="23">
    <w:abstractNumId w:val="6"/>
  </w:num>
  <w:num w:numId="24">
    <w:abstractNumId w:val="12"/>
  </w:num>
  <w:num w:numId="25">
    <w:abstractNumId w:val="10"/>
  </w:num>
  <w:num w:numId="26">
    <w:abstractNumId w:val="0"/>
  </w:num>
  <w:num w:numId="27">
    <w:abstractNumId w:val="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1290B"/>
    <w:rsid w:val="00013D7A"/>
    <w:rsid w:val="00017CCF"/>
    <w:rsid w:val="00025383"/>
    <w:rsid w:val="00051403"/>
    <w:rsid w:val="00056455"/>
    <w:rsid w:val="00057F80"/>
    <w:rsid w:val="00060E2A"/>
    <w:rsid w:val="00063657"/>
    <w:rsid w:val="00073C24"/>
    <w:rsid w:val="00074186"/>
    <w:rsid w:val="00076680"/>
    <w:rsid w:val="000775BC"/>
    <w:rsid w:val="0008073E"/>
    <w:rsid w:val="00091CDB"/>
    <w:rsid w:val="00095E18"/>
    <w:rsid w:val="000A19AC"/>
    <w:rsid w:val="000B5828"/>
    <w:rsid w:val="000D24B4"/>
    <w:rsid w:val="000D26F8"/>
    <w:rsid w:val="000F0183"/>
    <w:rsid w:val="000F0EDA"/>
    <w:rsid w:val="0011507D"/>
    <w:rsid w:val="00130626"/>
    <w:rsid w:val="00133C55"/>
    <w:rsid w:val="001401C9"/>
    <w:rsid w:val="001405C6"/>
    <w:rsid w:val="00141013"/>
    <w:rsid w:val="001424E8"/>
    <w:rsid w:val="001578EE"/>
    <w:rsid w:val="00163CF4"/>
    <w:rsid w:val="0017511E"/>
    <w:rsid w:val="001826DA"/>
    <w:rsid w:val="001870A8"/>
    <w:rsid w:val="001912BB"/>
    <w:rsid w:val="0019263E"/>
    <w:rsid w:val="00192CBF"/>
    <w:rsid w:val="00192FF1"/>
    <w:rsid w:val="001A5F1B"/>
    <w:rsid w:val="001B1C22"/>
    <w:rsid w:val="001B34C6"/>
    <w:rsid w:val="001C0711"/>
    <w:rsid w:val="001D4E48"/>
    <w:rsid w:val="001D5D1A"/>
    <w:rsid w:val="001D7832"/>
    <w:rsid w:val="001E34B4"/>
    <w:rsid w:val="0020215B"/>
    <w:rsid w:val="00203FEE"/>
    <w:rsid w:val="00211D34"/>
    <w:rsid w:val="00212AF5"/>
    <w:rsid w:val="00214F04"/>
    <w:rsid w:val="00220D83"/>
    <w:rsid w:val="0022375C"/>
    <w:rsid w:val="00227434"/>
    <w:rsid w:val="002606F0"/>
    <w:rsid w:val="002620D7"/>
    <w:rsid w:val="002661C7"/>
    <w:rsid w:val="00266CD6"/>
    <w:rsid w:val="00287832"/>
    <w:rsid w:val="00294244"/>
    <w:rsid w:val="002B11E2"/>
    <w:rsid w:val="002B24B8"/>
    <w:rsid w:val="002B46C3"/>
    <w:rsid w:val="002B7C74"/>
    <w:rsid w:val="002C39F7"/>
    <w:rsid w:val="002C6449"/>
    <w:rsid w:val="002C71BC"/>
    <w:rsid w:val="002C7416"/>
    <w:rsid w:val="002D3AE9"/>
    <w:rsid w:val="002E40CC"/>
    <w:rsid w:val="002F0734"/>
    <w:rsid w:val="002F46E7"/>
    <w:rsid w:val="003101DA"/>
    <w:rsid w:val="0031283C"/>
    <w:rsid w:val="00313DFE"/>
    <w:rsid w:val="00314757"/>
    <w:rsid w:val="00315076"/>
    <w:rsid w:val="00320B5E"/>
    <w:rsid w:val="003211CE"/>
    <w:rsid w:val="0033483B"/>
    <w:rsid w:val="003372BE"/>
    <w:rsid w:val="003409CA"/>
    <w:rsid w:val="0034127A"/>
    <w:rsid w:val="00343A89"/>
    <w:rsid w:val="003462F1"/>
    <w:rsid w:val="0035403A"/>
    <w:rsid w:val="0036394B"/>
    <w:rsid w:val="003709B5"/>
    <w:rsid w:val="003759C2"/>
    <w:rsid w:val="00381417"/>
    <w:rsid w:val="00383BA2"/>
    <w:rsid w:val="0038433C"/>
    <w:rsid w:val="003856AB"/>
    <w:rsid w:val="00393E9A"/>
    <w:rsid w:val="00397365"/>
    <w:rsid w:val="003A0575"/>
    <w:rsid w:val="003A31F6"/>
    <w:rsid w:val="003A659C"/>
    <w:rsid w:val="003B187B"/>
    <w:rsid w:val="003C1EF8"/>
    <w:rsid w:val="003C3447"/>
    <w:rsid w:val="003C542C"/>
    <w:rsid w:val="003D076C"/>
    <w:rsid w:val="003D1EC9"/>
    <w:rsid w:val="003E4B7A"/>
    <w:rsid w:val="00415BAB"/>
    <w:rsid w:val="00415ED2"/>
    <w:rsid w:val="0042068C"/>
    <w:rsid w:val="00433F71"/>
    <w:rsid w:val="004341E9"/>
    <w:rsid w:val="00436ACD"/>
    <w:rsid w:val="004402D4"/>
    <w:rsid w:val="0046722B"/>
    <w:rsid w:val="0047122B"/>
    <w:rsid w:val="00473B7A"/>
    <w:rsid w:val="0049161E"/>
    <w:rsid w:val="004960E9"/>
    <w:rsid w:val="004A2E88"/>
    <w:rsid w:val="004A5305"/>
    <w:rsid w:val="004A7CD8"/>
    <w:rsid w:val="004C3457"/>
    <w:rsid w:val="004D40FA"/>
    <w:rsid w:val="004D7634"/>
    <w:rsid w:val="004F0085"/>
    <w:rsid w:val="004F4873"/>
    <w:rsid w:val="00513E5E"/>
    <w:rsid w:val="005225B7"/>
    <w:rsid w:val="00524AB5"/>
    <w:rsid w:val="005300D3"/>
    <w:rsid w:val="005332B4"/>
    <w:rsid w:val="00544F82"/>
    <w:rsid w:val="00557151"/>
    <w:rsid w:val="00583A49"/>
    <w:rsid w:val="00593C4F"/>
    <w:rsid w:val="005946A8"/>
    <w:rsid w:val="005A375F"/>
    <w:rsid w:val="005A4368"/>
    <w:rsid w:val="005A4407"/>
    <w:rsid w:val="005A59EF"/>
    <w:rsid w:val="005D4957"/>
    <w:rsid w:val="005E29C2"/>
    <w:rsid w:val="00606C59"/>
    <w:rsid w:val="00620B0B"/>
    <w:rsid w:val="00625DC6"/>
    <w:rsid w:val="0063001A"/>
    <w:rsid w:val="00651821"/>
    <w:rsid w:val="00654384"/>
    <w:rsid w:val="00656DB1"/>
    <w:rsid w:val="00665D74"/>
    <w:rsid w:val="006675CD"/>
    <w:rsid w:val="0068063C"/>
    <w:rsid w:val="00684D9B"/>
    <w:rsid w:val="00687450"/>
    <w:rsid w:val="00697556"/>
    <w:rsid w:val="006B1109"/>
    <w:rsid w:val="006B35B6"/>
    <w:rsid w:val="006B4C2B"/>
    <w:rsid w:val="006B5608"/>
    <w:rsid w:val="006B6D47"/>
    <w:rsid w:val="006C29FF"/>
    <w:rsid w:val="006D6DB2"/>
    <w:rsid w:val="006E640D"/>
    <w:rsid w:val="006F6D95"/>
    <w:rsid w:val="00701547"/>
    <w:rsid w:val="00703B29"/>
    <w:rsid w:val="00704760"/>
    <w:rsid w:val="00706F13"/>
    <w:rsid w:val="007072E8"/>
    <w:rsid w:val="0070753D"/>
    <w:rsid w:val="0071618D"/>
    <w:rsid w:val="0072211A"/>
    <w:rsid w:val="00723AE2"/>
    <w:rsid w:val="00725FA4"/>
    <w:rsid w:val="00740446"/>
    <w:rsid w:val="007438A9"/>
    <w:rsid w:val="0074491E"/>
    <w:rsid w:val="007451C4"/>
    <w:rsid w:val="00761BD7"/>
    <w:rsid w:val="0076318B"/>
    <w:rsid w:val="007643E5"/>
    <w:rsid w:val="00765DFC"/>
    <w:rsid w:val="00766C3B"/>
    <w:rsid w:val="007710CE"/>
    <w:rsid w:val="007734B2"/>
    <w:rsid w:val="00774B22"/>
    <w:rsid w:val="00775964"/>
    <w:rsid w:val="007854E2"/>
    <w:rsid w:val="00791DC8"/>
    <w:rsid w:val="00795BFB"/>
    <w:rsid w:val="007A2557"/>
    <w:rsid w:val="007B08AA"/>
    <w:rsid w:val="007B2760"/>
    <w:rsid w:val="007C030A"/>
    <w:rsid w:val="007C1886"/>
    <w:rsid w:val="007C1C11"/>
    <w:rsid w:val="007C1D23"/>
    <w:rsid w:val="007F2648"/>
    <w:rsid w:val="00805933"/>
    <w:rsid w:val="00806C01"/>
    <w:rsid w:val="008148CC"/>
    <w:rsid w:val="00816D4F"/>
    <w:rsid w:val="008211A4"/>
    <w:rsid w:val="008265A3"/>
    <w:rsid w:val="008511B3"/>
    <w:rsid w:val="00853198"/>
    <w:rsid w:val="00873150"/>
    <w:rsid w:val="0087657D"/>
    <w:rsid w:val="008807D5"/>
    <w:rsid w:val="00880832"/>
    <w:rsid w:val="00886EE1"/>
    <w:rsid w:val="0088727D"/>
    <w:rsid w:val="00892643"/>
    <w:rsid w:val="008974BA"/>
    <w:rsid w:val="00897C75"/>
    <w:rsid w:val="008A1AE5"/>
    <w:rsid w:val="008A5678"/>
    <w:rsid w:val="008C0A0A"/>
    <w:rsid w:val="008C1130"/>
    <w:rsid w:val="008D18E6"/>
    <w:rsid w:val="008D7A9B"/>
    <w:rsid w:val="008E0A19"/>
    <w:rsid w:val="008E76AC"/>
    <w:rsid w:val="008F21F6"/>
    <w:rsid w:val="008F2F9F"/>
    <w:rsid w:val="0091502B"/>
    <w:rsid w:val="009178BD"/>
    <w:rsid w:val="00943714"/>
    <w:rsid w:val="00944D96"/>
    <w:rsid w:val="00946843"/>
    <w:rsid w:val="0094762B"/>
    <w:rsid w:val="00951F79"/>
    <w:rsid w:val="0095701A"/>
    <w:rsid w:val="00960CF3"/>
    <w:rsid w:val="00963E3B"/>
    <w:rsid w:val="00974AB5"/>
    <w:rsid w:val="0098706D"/>
    <w:rsid w:val="00990CCE"/>
    <w:rsid w:val="009935FB"/>
    <w:rsid w:val="009A5590"/>
    <w:rsid w:val="009B3AA6"/>
    <w:rsid w:val="009C7BCF"/>
    <w:rsid w:val="009D4A5A"/>
    <w:rsid w:val="009D7464"/>
    <w:rsid w:val="009F35AB"/>
    <w:rsid w:val="009F486C"/>
    <w:rsid w:val="009F4A54"/>
    <w:rsid w:val="009F4BEC"/>
    <w:rsid w:val="00A06234"/>
    <w:rsid w:val="00A13CDB"/>
    <w:rsid w:val="00A20D31"/>
    <w:rsid w:val="00A25FD7"/>
    <w:rsid w:val="00A40F14"/>
    <w:rsid w:val="00A43AFF"/>
    <w:rsid w:val="00A46BA1"/>
    <w:rsid w:val="00A50C3F"/>
    <w:rsid w:val="00A71907"/>
    <w:rsid w:val="00A7793A"/>
    <w:rsid w:val="00A81878"/>
    <w:rsid w:val="00A97007"/>
    <w:rsid w:val="00AB472B"/>
    <w:rsid w:val="00AB59BD"/>
    <w:rsid w:val="00AB6CA7"/>
    <w:rsid w:val="00AC4344"/>
    <w:rsid w:val="00AD01E4"/>
    <w:rsid w:val="00AD0858"/>
    <w:rsid w:val="00AD52CA"/>
    <w:rsid w:val="00AE2220"/>
    <w:rsid w:val="00AE7340"/>
    <w:rsid w:val="00AF1BBD"/>
    <w:rsid w:val="00B10207"/>
    <w:rsid w:val="00B141E7"/>
    <w:rsid w:val="00B17339"/>
    <w:rsid w:val="00B351B4"/>
    <w:rsid w:val="00B35C8D"/>
    <w:rsid w:val="00B42406"/>
    <w:rsid w:val="00B46BCA"/>
    <w:rsid w:val="00B53875"/>
    <w:rsid w:val="00B558B8"/>
    <w:rsid w:val="00B6357F"/>
    <w:rsid w:val="00B649DE"/>
    <w:rsid w:val="00B716EF"/>
    <w:rsid w:val="00B737CB"/>
    <w:rsid w:val="00B84BDB"/>
    <w:rsid w:val="00B87806"/>
    <w:rsid w:val="00B87EC9"/>
    <w:rsid w:val="00B916D6"/>
    <w:rsid w:val="00BA27FD"/>
    <w:rsid w:val="00BA28B5"/>
    <w:rsid w:val="00BC38FD"/>
    <w:rsid w:val="00BC5168"/>
    <w:rsid w:val="00C026CD"/>
    <w:rsid w:val="00C034CB"/>
    <w:rsid w:val="00C051A8"/>
    <w:rsid w:val="00C054BC"/>
    <w:rsid w:val="00C17897"/>
    <w:rsid w:val="00C316A2"/>
    <w:rsid w:val="00C348AA"/>
    <w:rsid w:val="00C36D78"/>
    <w:rsid w:val="00C409D5"/>
    <w:rsid w:val="00C42180"/>
    <w:rsid w:val="00C43158"/>
    <w:rsid w:val="00C516DD"/>
    <w:rsid w:val="00C617E5"/>
    <w:rsid w:val="00C6234B"/>
    <w:rsid w:val="00C63EAE"/>
    <w:rsid w:val="00C7629F"/>
    <w:rsid w:val="00C8069E"/>
    <w:rsid w:val="00C82113"/>
    <w:rsid w:val="00C86417"/>
    <w:rsid w:val="00C86494"/>
    <w:rsid w:val="00C8661B"/>
    <w:rsid w:val="00C86F55"/>
    <w:rsid w:val="00C912C4"/>
    <w:rsid w:val="00C93F87"/>
    <w:rsid w:val="00C97086"/>
    <w:rsid w:val="00CA139A"/>
    <w:rsid w:val="00CA2899"/>
    <w:rsid w:val="00CA48D6"/>
    <w:rsid w:val="00CA77FB"/>
    <w:rsid w:val="00CB379B"/>
    <w:rsid w:val="00CB5DD0"/>
    <w:rsid w:val="00CB799C"/>
    <w:rsid w:val="00CC1065"/>
    <w:rsid w:val="00CC109B"/>
    <w:rsid w:val="00CC51D4"/>
    <w:rsid w:val="00CC65DA"/>
    <w:rsid w:val="00CF21B9"/>
    <w:rsid w:val="00CF21C4"/>
    <w:rsid w:val="00CF6BF9"/>
    <w:rsid w:val="00D015DD"/>
    <w:rsid w:val="00D03800"/>
    <w:rsid w:val="00D065D3"/>
    <w:rsid w:val="00D10CF2"/>
    <w:rsid w:val="00D14C94"/>
    <w:rsid w:val="00D154E5"/>
    <w:rsid w:val="00D223C8"/>
    <w:rsid w:val="00D313FC"/>
    <w:rsid w:val="00D342A6"/>
    <w:rsid w:val="00D464BF"/>
    <w:rsid w:val="00D53E26"/>
    <w:rsid w:val="00D63D2B"/>
    <w:rsid w:val="00D7048E"/>
    <w:rsid w:val="00D72413"/>
    <w:rsid w:val="00D809CE"/>
    <w:rsid w:val="00D96017"/>
    <w:rsid w:val="00DA69AB"/>
    <w:rsid w:val="00DB51A3"/>
    <w:rsid w:val="00DB5598"/>
    <w:rsid w:val="00DD4F0E"/>
    <w:rsid w:val="00DE5B55"/>
    <w:rsid w:val="00DF293A"/>
    <w:rsid w:val="00DF35E5"/>
    <w:rsid w:val="00E0232A"/>
    <w:rsid w:val="00E02EB9"/>
    <w:rsid w:val="00E05E0A"/>
    <w:rsid w:val="00E06471"/>
    <w:rsid w:val="00E13DC4"/>
    <w:rsid w:val="00E36A74"/>
    <w:rsid w:val="00E40140"/>
    <w:rsid w:val="00E43031"/>
    <w:rsid w:val="00E46DC7"/>
    <w:rsid w:val="00E534CF"/>
    <w:rsid w:val="00E60FC9"/>
    <w:rsid w:val="00E81CB4"/>
    <w:rsid w:val="00E8585B"/>
    <w:rsid w:val="00EA3F15"/>
    <w:rsid w:val="00EA7847"/>
    <w:rsid w:val="00EB038D"/>
    <w:rsid w:val="00EC36FA"/>
    <w:rsid w:val="00ED20DF"/>
    <w:rsid w:val="00ED4DC0"/>
    <w:rsid w:val="00EE14FD"/>
    <w:rsid w:val="00EE2E6E"/>
    <w:rsid w:val="00EE7C65"/>
    <w:rsid w:val="00EE7CDB"/>
    <w:rsid w:val="00EF24A4"/>
    <w:rsid w:val="00EF4DD3"/>
    <w:rsid w:val="00F0759E"/>
    <w:rsid w:val="00F10392"/>
    <w:rsid w:val="00F27802"/>
    <w:rsid w:val="00F420E6"/>
    <w:rsid w:val="00F54945"/>
    <w:rsid w:val="00F54AA2"/>
    <w:rsid w:val="00F678B7"/>
    <w:rsid w:val="00F71E99"/>
    <w:rsid w:val="00F75256"/>
    <w:rsid w:val="00F77715"/>
    <w:rsid w:val="00F821A3"/>
    <w:rsid w:val="00F842B2"/>
    <w:rsid w:val="00F9314A"/>
    <w:rsid w:val="00F9549C"/>
    <w:rsid w:val="00FA7924"/>
    <w:rsid w:val="00FB5349"/>
    <w:rsid w:val="00FB5A0A"/>
    <w:rsid w:val="00FB72C8"/>
    <w:rsid w:val="00FC16A1"/>
    <w:rsid w:val="00FC58EF"/>
    <w:rsid w:val="00FD27E1"/>
    <w:rsid w:val="00FD33DF"/>
    <w:rsid w:val="00FD3ABF"/>
    <w:rsid w:val="00FE39D7"/>
    <w:rsid w:val="00FF1FEB"/>
    <w:rsid w:val="00FF3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ableHeading">
    <w:name w:val="Table Heading"/>
    <w:basedOn w:val="Normal"/>
    <w:rsid w:val="00701547"/>
    <w:pPr>
      <w:suppressLineNumbers/>
      <w:suppressAutoHyphens/>
      <w:ind w:left="0"/>
      <w:jc w:val="center"/>
    </w:pPr>
    <w:rPr>
      <w:rFonts w:ascii="Arial" w:hAnsi="Arial"/>
      <w:b/>
      <w:bCs/>
      <w:sz w:val="22"/>
      <w:lang w:val="es-CO" w:eastAsia="ar-SA"/>
    </w:rPr>
  </w:style>
  <w:style w:type="paragraph" w:customStyle="1" w:styleId="Textodebloque1">
    <w:name w:val="Texto de bloque1"/>
    <w:basedOn w:val="Normal"/>
    <w:rsid w:val="00701547"/>
    <w:pPr>
      <w:suppressAutoHyphens/>
      <w:ind w:left="1701" w:right="1468"/>
      <w:jc w:val="both"/>
    </w:pPr>
    <w:rPr>
      <w:rFonts w:ascii="Arial" w:hAnsi="Arial"/>
      <w:szCs w:val="20"/>
      <w:lang w:val="es-ES_tradnl" w:eastAsia="ar-SA"/>
    </w:rPr>
  </w:style>
  <w:style w:type="character" w:styleId="Refdecomentario">
    <w:name w:val="annotation reference"/>
    <w:basedOn w:val="Fuentedeprrafopredeter"/>
    <w:uiPriority w:val="99"/>
    <w:semiHidden/>
    <w:unhideWhenUsed/>
    <w:rsid w:val="005332B4"/>
    <w:rPr>
      <w:sz w:val="16"/>
      <w:szCs w:val="16"/>
    </w:rPr>
  </w:style>
  <w:style w:type="paragraph" w:styleId="Textocomentario">
    <w:name w:val="annotation text"/>
    <w:basedOn w:val="Normal"/>
    <w:link w:val="TextocomentarioCar"/>
    <w:uiPriority w:val="99"/>
    <w:semiHidden/>
    <w:unhideWhenUsed/>
    <w:rsid w:val="005332B4"/>
    <w:rPr>
      <w:sz w:val="20"/>
      <w:szCs w:val="20"/>
    </w:rPr>
  </w:style>
  <w:style w:type="character" w:customStyle="1" w:styleId="TextocomentarioCar">
    <w:name w:val="Texto comentario Car"/>
    <w:basedOn w:val="Fuentedeprrafopredeter"/>
    <w:link w:val="Textocomentario"/>
    <w:uiPriority w:val="99"/>
    <w:semiHidden/>
    <w:rsid w:val="005332B4"/>
    <w:rPr>
      <w:lang w:val="es-ES" w:eastAsia="es-ES"/>
    </w:rPr>
  </w:style>
  <w:style w:type="paragraph" w:styleId="Asuntodelcomentario">
    <w:name w:val="annotation subject"/>
    <w:basedOn w:val="Textocomentario"/>
    <w:next w:val="Textocomentario"/>
    <w:link w:val="AsuntodelcomentarioCar"/>
    <w:uiPriority w:val="99"/>
    <w:semiHidden/>
    <w:unhideWhenUsed/>
    <w:rsid w:val="005332B4"/>
    <w:rPr>
      <w:b/>
      <w:bCs/>
    </w:rPr>
  </w:style>
  <w:style w:type="character" w:customStyle="1" w:styleId="AsuntodelcomentarioCar">
    <w:name w:val="Asunto del comentario Car"/>
    <w:basedOn w:val="TextocomentarioCar"/>
    <w:link w:val="Asuntodelcomentario"/>
    <w:uiPriority w:val="99"/>
    <w:semiHidden/>
    <w:rsid w:val="005332B4"/>
    <w:rPr>
      <w:b/>
      <w:bCs/>
      <w:lang w:val="es-ES" w:eastAsia="es-ES"/>
    </w:rPr>
  </w:style>
  <w:style w:type="paragraph" w:styleId="Revisin">
    <w:name w:val="Revision"/>
    <w:hidden/>
    <w:uiPriority w:val="99"/>
    <w:semiHidden/>
    <w:rsid w:val="00F54945"/>
    <w:rPr>
      <w:sz w:val="24"/>
      <w:szCs w:val="24"/>
      <w:lang w:val="es-ES" w:eastAsia="es-ES"/>
    </w:rPr>
  </w:style>
  <w:style w:type="paragraph" w:styleId="Sangradetextonormal">
    <w:name w:val="Body Text Indent"/>
    <w:basedOn w:val="Normal"/>
    <w:link w:val="SangradetextonormalCar"/>
    <w:uiPriority w:val="99"/>
    <w:semiHidden/>
    <w:unhideWhenUsed/>
    <w:rsid w:val="004341E9"/>
    <w:pPr>
      <w:spacing w:after="120"/>
      <w:ind w:left="283"/>
    </w:pPr>
  </w:style>
  <w:style w:type="character" w:customStyle="1" w:styleId="SangradetextonormalCar">
    <w:name w:val="Sangría de texto normal Car"/>
    <w:basedOn w:val="Fuentedeprrafopredeter"/>
    <w:link w:val="Sangradetextonormal"/>
    <w:uiPriority w:val="99"/>
    <w:semiHidden/>
    <w:rsid w:val="004341E9"/>
    <w:rPr>
      <w:sz w:val="24"/>
      <w:szCs w:val="24"/>
      <w:lang w:val="es-ES" w:eastAsia="es-ES"/>
    </w:rPr>
  </w:style>
  <w:style w:type="paragraph" w:customStyle="1" w:styleId="Vietaletra">
    <w:name w:val="Viñeta letra"/>
    <w:basedOn w:val="Normal"/>
    <w:next w:val="Normal"/>
    <w:rsid w:val="004341E9"/>
    <w:pPr>
      <w:numPr>
        <w:numId w:val="26"/>
      </w:numPr>
      <w:suppressAutoHyphens/>
      <w:overflowPunct w:val="0"/>
      <w:autoSpaceDE w:val="0"/>
      <w:ind w:left="0"/>
      <w:jc w:val="both"/>
      <w:textAlignment w:val="baseline"/>
    </w:pPr>
    <w:rPr>
      <w:rFonts w:ascii="Arial" w:hAnsi="Arial"/>
      <w:szCs w:val="20"/>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ableHeading">
    <w:name w:val="Table Heading"/>
    <w:basedOn w:val="Normal"/>
    <w:rsid w:val="00701547"/>
    <w:pPr>
      <w:suppressLineNumbers/>
      <w:suppressAutoHyphens/>
      <w:ind w:left="0"/>
      <w:jc w:val="center"/>
    </w:pPr>
    <w:rPr>
      <w:rFonts w:ascii="Arial" w:hAnsi="Arial"/>
      <w:b/>
      <w:bCs/>
      <w:sz w:val="22"/>
      <w:lang w:val="es-CO" w:eastAsia="ar-SA"/>
    </w:rPr>
  </w:style>
  <w:style w:type="paragraph" w:customStyle="1" w:styleId="Textodebloque1">
    <w:name w:val="Texto de bloque1"/>
    <w:basedOn w:val="Normal"/>
    <w:rsid w:val="00701547"/>
    <w:pPr>
      <w:suppressAutoHyphens/>
      <w:ind w:left="1701" w:right="1468"/>
      <w:jc w:val="both"/>
    </w:pPr>
    <w:rPr>
      <w:rFonts w:ascii="Arial" w:hAnsi="Arial"/>
      <w:szCs w:val="20"/>
      <w:lang w:val="es-ES_tradnl" w:eastAsia="ar-SA"/>
    </w:rPr>
  </w:style>
  <w:style w:type="character" w:styleId="Refdecomentario">
    <w:name w:val="annotation reference"/>
    <w:basedOn w:val="Fuentedeprrafopredeter"/>
    <w:uiPriority w:val="99"/>
    <w:semiHidden/>
    <w:unhideWhenUsed/>
    <w:rsid w:val="005332B4"/>
    <w:rPr>
      <w:sz w:val="16"/>
      <w:szCs w:val="16"/>
    </w:rPr>
  </w:style>
  <w:style w:type="paragraph" w:styleId="Textocomentario">
    <w:name w:val="annotation text"/>
    <w:basedOn w:val="Normal"/>
    <w:link w:val="TextocomentarioCar"/>
    <w:uiPriority w:val="99"/>
    <w:semiHidden/>
    <w:unhideWhenUsed/>
    <w:rsid w:val="005332B4"/>
    <w:rPr>
      <w:sz w:val="20"/>
      <w:szCs w:val="20"/>
    </w:rPr>
  </w:style>
  <w:style w:type="character" w:customStyle="1" w:styleId="TextocomentarioCar">
    <w:name w:val="Texto comentario Car"/>
    <w:basedOn w:val="Fuentedeprrafopredeter"/>
    <w:link w:val="Textocomentario"/>
    <w:uiPriority w:val="99"/>
    <w:semiHidden/>
    <w:rsid w:val="005332B4"/>
    <w:rPr>
      <w:lang w:val="es-ES" w:eastAsia="es-ES"/>
    </w:rPr>
  </w:style>
  <w:style w:type="paragraph" w:styleId="Asuntodelcomentario">
    <w:name w:val="annotation subject"/>
    <w:basedOn w:val="Textocomentario"/>
    <w:next w:val="Textocomentario"/>
    <w:link w:val="AsuntodelcomentarioCar"/>
    <w:uiPriority w:val="99"/>
    <w:semiHidden/>
    <w:unhideWhenUsed/>
    <w:rsid w:val="005332B4"/>
    <w:rPr>
      <w:b/>
      <w:bCs/>
    </w:rPr>
  </w:style>
  <w:style w:type="character" w:customStyle="1" w:styleId="AsuntodelcomentarioCar">
    <w:name w:val="Asunto del comentario Car"/>
    <w:basedOn w:val="TextocomentarioCar"/>
    <w:link w:val="Asuntodelcomentario"/>
    <w:uiPriority w:val="99"/>
    <w:semiHidden/>
    <w:rsid w:val="005332B4"/>
    <w:rPr>
      <w:b/>
      <w:bCs/>
      <w:lang w:val="es-ES" w:eastAsia="es-ES"/>
    </w:rPr>
  </w:style>
  <w:style w:type="paragraph" w:styleId="Revisin">
    <w:name w:val="Revision"/>
    <w:hidden/>
    <w:uiPriority w:val="99"/>
    <w:semiHidden/>
    <w:rsid w:val="00F54945"/>
    <w:rPr>
      <w:sz w:val="24"/>
      <w:szCs w:val="24"/>
      <w:lang w:val="es-ES" w:eastAsia="es-ES"/>
    </w:rPr>
  </w:style>
  <w:style w:type="paragraph" w:styleId="Sangradetextonormal">
    <w:name w:val="Body Text Indent"/>
    <w:basedOn w:val="Normal"/>
    <w:link w:val="SangradetextonormalCar"/>
    <w:uiPriority w:val="99"/>
    <w:semiHidden/>
    <w:unhideWhenUsed/>
    <w:rsid w:val="004341E9"/>
    <w:pPr>
      <w:spacing w:after="120"/>
      <w:ind w:left="283"/>
    </w:pPr>
  </w:style>
  <w:style w:type="character" w:customStyle="1" w:styleId="SangradetextonormalCar">
    <w:name w:val="Sangría de texto normal Car"/>
    <w:basedOn w:val="Fuentedeprrafopredeter"/>
    <w:link w:val="Sangradetextonormal"/>
    <w:uiPriority w:val="99"/>
    <w:semiHidden/>
    <w:rsid w:val="004341E9"/>
    <w:rPr>
      <w:sz w:val="24"/>
      <w:szCs w:val="24"/>
      <w:lang w:val="es-ES" w:eastAsia="es-ES"/>
    </w:rPr>
  </w:style>
  <w:style w:type="paragraph" w:customStyle="1" w:styleId="Vietaletra">
    <w:name w:val="Viñeta letra"/>
    <w:basedOn w:val="Normal"/>
    <w:next w:val="Normal"/>
    <w:rsid w:val="004341E9"/>
    <w:pPr>
      <w:numPr>
        <w:numId w:val="26"/>
      </w:numPr>
      <w:suppressAutoHyphens/>
      <w:overflowPunct w:val="0"/>
      <w:autoSpaceDE w:val="0"/>
      <w:ind w:left="0"/>
      <w:jc w:val="both"/>
      <w:textAlignment w:val="baseline"/>
    </w:pPr>
    <w:rPr>
      <w:rFonts w:ascii="Arial" w:hAnsi="Arial"/>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391F-412A-476E-88BC-10806DF5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1075</Words>
  <Characters>5570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2016-05-20T19:28:00Z</cp:lastPrinted>
  <dcterms:created xsi:type="dcterms:W3CDTF">2016-05-23T15:41:00Z</dcterms:created>
  <dcterms:modified xsi:type="dcterms:W3CDTF">2016-05-23T15:41:00Z</dcterms:modified>
</cp:coreProperties>
</file>