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36" w:rsidRPr="003301B8" w:rsidRDefault="00E16E95" w:rsidP="00FA2D36">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544278214" r:id="rId8"/>
        </w:object>
      </w:r>
    </w:p>
    <w:p w:rsidR="00FA2D36" w:rsidRPr="003301B8" w:rsidRDefault="00FA2D36" w:rsidP="00FA2D36">
      <w:pPr>
        <w:pStyle w:val="Ttulo4"/>
        <w:tabs>
          <w:tab w:val="left" w:pos="0"/>
          <w:tab w:val="right" w:pos="9356"/>
        </w:tabs>
        <w:ind w:left="0"/>
        <w:rPr>
          <w:rFonts w:ascii="Bookman Old Style" w:hAnsi="Bookman Old Style"/>
          <w:b w:val="0"/>
          <w:bCs/>
          <w:sz w:val="24"/>
          <w:szCs w:val="24"/>
        </w:rPr>
      </w:pPr>
    </w:p>
    <w:p w:rsidR="00FA2D36" w:rsidRPr="003301B8" w:rsidRDefault="00FA2D36" w:rsidP="00FA2D36">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FA2D36" w:rsidRPr="003301B8" w:rsidRDefault="00FA2D36" w:rsidP="00FA2D36">
      <w:pPr>
        <w:pStyle w:val="Ttulo4"/>
        <w:tabs>
          <w:tab w:val="left" w:pos="0"/>
          <w:tab w:val="right" w:pos="9356"/>
        </w:tabs>
        <w:ind w:left="0"/>
        <w:rPr>
          <w:rFonts w:ascii="Bookman Old Style" w:hAnsi="Bookman Old Style"/>
          <w:b w:val="0"/>
          <w:bCs/>
          <w:sz w:val="24"/>
          <w:szCs w:val="24"/>
        </w:rPr>
      </w:pPr>
    </w:p>
    <w:p w:rsidR="00FA2D36" w:rsidRPr="003301B8" w:rsidRDefault="00FA2D36" w:rsidP="00FA2D36">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 -CREG-</w:t>
      </w:r>
    </w:p>
    <w:p w:rsidR="00FA2D36" w:rsidRPr="003301B8" w:rsidRDefault="00FA2D36" w:rsidP="00FA2D36">
      <w:pPr>
        <w:pStyle w:val="Ttulo5"/>
        <w:tabs>
          <w:tab w:val="left" w:pos="0"/>
          <w:tab w:val="right" w:pos="9356"/>
        </w:tabs>
        <w:ind w:left="0"/>
        <w:rPr>
          <w:rFonts w:ascii="Bookman Old Style" w:hAnsi="Bookman Old Style"/>
          <w:sz w:val="24"/>
          <w:szCs w:val="24"/>
        </w:rPr>
      </w:pPr>
    </w:p>
    <w:p w:rsidR="00FA2D36" w:rsidRPr="003301B8" w:rsidRDefault="00FA2D36" w:rsidP="00FA2D36">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F20A85">
        <w:rPr>
          <w:rFonts w:ascii="Bookman Old Style" w:hAnsi="Bookman Old Style"/>
          <w:sz w:val="24"/>
          <w:szCs w:val="24"/>
        </w:rPr>
        <w:t xml:space="preserve">  </w:t>
      </w:r>
      <w:r w:rsidRPr="003301B8">
        <w:rPr>
          <w:rFonts w:ascii="Bookman Old Style" w:hAnsi="Bookman Old Style"/>
          <w:sz w:val="24"/>
          <w:szCs w:val="24"/>
        </w:rPr>
        <w:t xml:space="preserve">        DE 2016</w:t>
      </w:r>
    </w:p>
    <w:p w:rsidR="00FA2D36" w:rsidRPr="003301B8" w:rsidRDefault="00FA2D36" w:rsidP="00FA2D36">
      <w:pPr>
        <w:tabs>
          <w:tab w:val="left" w:pos="0"/>
          <w:tab w:val="right" w:pos="9356"/>
        </w:tabs>
        <w:ind w:left="0"/>
        <w:jc w:val="center"/>
        <w:rPr>
          <w:rFonts w:ascii="Bookman Old Style" w:hAnsi="Bookman Old Style" w:cs="Arial"/>
          <w:b/>
          <w:snapToGrid w:val="0"/>
          <w:color w:val="000000"/>
          <w:lang w:val="es-ES_tradnl"/>
        </w:rPr>
      </w:pPr>
    </w:p>
    <w:p w:rsidR="00FA2D36" w:rsidRPr="003301B8" w:rsidRDefault="00FA2D36" w:rsidP="00FA2D36">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F20A85">
        <w:rPr>
          <w:rFonts w:ascii="Bookman Old Style" w:hAnsi="Bookman Old Style"/>
          <w:b w:val="0"/>
          <w:szCs w:val="24"/>
        </w:rPr>
        <w:t xml:space="preserve">           </w:t>
      </w:r>
      <w:r w:rsidRPr="003301B8">
        <w:rPr>
          <w:rFonts w:ascii="Bookman Old Style" w:hAnsi="Bookman Old Style"/>
          <w:b w:val="0"/>
          <w:szCs w:val="24"/>
        </w:rPr>
        <w:t xml:space="preserve">         )</w:t>
      </w:r>
    </w:p>
    <w:p w:rsidR="00FA2D36" w:rsidRPr="003301B8" w:rsidRDefault="00FA2D36" w:rsidP="00FA2D36">
      <w:pPr>
        <w:tabs>
          <w:tab w:val="left" w:pos="0"/>
          <w:tab w:val="right" w:pos="9356"/>
        </w:tabs>
        <w:ind w:left="0"/>
        <w:jc w:val="center"/>
        <w:rPr>
          <w:rFonts w:ascii="Bookman Old Style" w:hAnsi="Bookman Old Style"/>
          <w:lang w:val="es-ES_tradnl"/>
        </w:rPr>
      </w:pPr>
    </w:p>
    <w:p w:rsidR="00FA2D36" w:rsidRPr="003301B8" w:rsidRDefault="00FA2D36" w:rsidP="00FA2D36">
      <w:pPr>
        <w:ind w:left="0"/>
        <w:rPr>
          <w:rFonts w:ascii="Bookman Old Style" w:hAnsi="Bookman Old Style"/>
          <w:bCs/>
          <w:lang w:val="es-ES_tradnl"/>
        </w:rPr>
      </w:pPr>
    </w:p>
    <w:p w:rsidR="00FA2D36" w:rsidRDefault="00FA2D36" w:rsidP="00F20A85">
      <w:pPr>
        <w:ind w:left="0"/>
        <w:jc w:val="center"/>
        <w:rPr>
          <w:rFonts w:ascii="Bookman Old Style" w:hAnsi="Bookman Old Style"/>
        </w:rPr>
      </w:pPr>
      <w:r w:rsidRPr="003301B8">
        <w:rPr>
          <w:rFonts w:ascii="Bookman Old Style" w:hAnsi="Bookman Old Style"/>
        </w:rPr>
        <w:t>Por medio de la cual se resuelve un recurso de reposición en contra de la Resolución CREG 188 de 2016</w:t>
      </w:r>
    </w:p>
    <w:p w:rsidR="00F20A85" w:rsidRPr="003301B8" w:rsidRDefault="00F20A85" w:rsidP="00FA2D36">
      <w:pPr>
        <w:ind w:left="227" w:right="-737"/>
        <w:jc w:val="center"/>
        <w:rPr>
          <w:rFonts w:ascii="Bookman Old Style" w:hAnsi="Bookman Old Style"/>
        </w:rPr>
      </w:pPr>
      <w:bookmarkStart w:id="0" w:name="_GoBack"/>
      <w:bookmarkEnd w:id="0"/>
    </w:p>
    <w:p w:rsidR="00FA2D36" w:rsidRPr="003301B8" w:rsidRDefault="00FA2D36" w:rsidP="00FA2D36">
      <w:pPr>
        <w:ind w:left="170" w:right="-454"/>
        <w:jc w:val="both"/>
        <w:rPr>
          <w:rFonts w:ascii="Bookman Old Style" w:hAnsi="Bookman Old Style"/>
        </w:rPr>
      </w:pPr>
    </w:p>
    <w:p w:rsidR="00FA2D36" w:rsidRPr="003301B8" w:rsidRDefault="00FA2D36" w:rsidP="00FA2D36">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FA2D36" w:rsidRPr="003301B8" w:rsidRDefault="00FA2D36" w:rsidP="00FA2D36">
      <w:pPr>
        <w:ind w:left="170" w:right="-454"/>
        <w:jc w:val="both"/>
        <w:rPr>
          <w:rFonts w:ascii="Bookman Old Style" w:hAnsi="Bookman Old Style"/>
        </w:rPr>
      </w:pPr>
    </w:p>
    <w:p w:rsidR="00FA2D36" w:rsidRPr="003301B8" w:rsidRDefault="00FA2D36" w:rsidP="00FA2D36">
      <w:pPr>
        <w:ind w:left="170"/>
        <w:jc w:val="both"/>
        <w:rPr>
          <w:rFonts w:ascii="Bookman Old Style" w:hAnsi="Bookman Old Style"/>
        </w:rPr>
      </w:pPr>
      <w:r w:rsidRPr="003301B8">
        <w:rPr>
          <w:rFonts w:ascii="Bookman Old Style" w:hAnsi="Bookman Old Style"/>
        </w:rPr>
        <w:t xml:space="preserve">En uso de sus facultades legales, en especial las conferidas por las Leyes 142 de 1994 y 143 de 1994, y en desarrollo de los decretos 1524 y 2253 de 1994, </w:t>
      </w:r>
    </w:p>
    <w:p w:rsidR="00FA2D36" w:rsidRPr="003301B8" w:rsidRDefault="00FA2D36" w:rsidP="00FA2D36">
      <w:pPr>
        <w:ind w:left="0" w:right="-454"/>
        <w:jc w:val="both"/>
        <w:rPr>
          <w:rFonts w:ascii="Bookman Old Style" w:hAnsi="Bookman Old Style"/>
        </w:rPr>
      </w:pPr>
    </w:p>
    <w:p w:rsidR="00FA2D36" w:rsidRPr="003301B8" w:rsidRDefault="00FA2D36" w:rsidP="00FA2D36">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FA2D36" w:rsidRPr="003301B8" w:rsidRDefault="00FA2D36" w:rsidP="00FA2D36">
      <w:pPr>
        <w:ind w:left="0"/>
        <w:jc w:val="both"/>
        <w:rPr>
          <w:rFonts w:ascii="Bookman Old Style" w:hAnsi="Bookman Old Style" w:cs="Arial"/>
        </w:rPr>
      </w:pP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FA2D36" w:rsidRPr="003301B8" w:rsidRDefault="00FA2D36" w:rsidP="00FA2D36">
      <w:pPr>
        <w:pStyle w:val="Prrafodelista"/>
        <w:ind w:left="720"/>
        <w:jc w:val="both"/>
        <w:rPr>
          <w:rFonts w:ascii="Bookman Old Style" w:hAnsi="Bookman Old Style" w:cs="Arial"/>
          <w:sz w:val="24"/>
          <w:szCs w:val="24"/>
        </w:rPr>
      </w:pP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Que mediante resolución CREG-188 DE 2016 se señala la contribución que debe pagar a la Comisión de Regulación de Energía y Gas –CREG- cada una de las entidades reguladas por el año 2016.</w:t>
      </w: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 xml:space="preserve"> </w:t>
      </w: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 xml:space="preserve">Que las EMPRESAS PUBLICAS DE MEDELLÍN EPM S.A. E.S.P. fue notificada de manera oportuna del contenido de la resolución CREG-188 de 2016. </w:t>
      </w:r>
    </w:p>
    <w:p w:rsidR="00FA2D36" w:rsidRPr="003301B8" w:rsidRDefault="00FA2D36" w:rsidP="00FA2D36">
      <w:pPr>
        <w:pStyle w:val="Prrafodelista"/>
        <w:rPr>
          <w:rFonts w:ascii="Bookman Old Style" w:hAnsi="Bookman Old Style" w:cs="Arial"/>
          <w:sz w:val="24"/>
          <w:szCs w:val="24"/>
        </w:rPr>
      </w:pPr>
    </w:p>
    <w:p w:rsidR="00FA2D36" w:rsidRPr="003301B8" w:rsidRDefault="00FA2D36" w:rsidP="00FA2D36">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Regulación de Energía y Gas -CREG- bajo radicado número E-2016-013</w:t>
      </w:r>
      <w:r w:rsidR="00852758" w:rsidRPr="003301B8">
        <w:rPr>
          <w:rFonts w:ascii="Bookman Old Style" w:hAnsi="Bookman Old Style" w:cs="Arial"/>
        </w:rPr>
        <w:t>916</w:t>
      </w:r>
      <w:r w:rsidRPr="003301B8">
        <w:rPr>
          <w:rFonts w:ascii="Bookman Old Style" w:hAnsi="Bookman Old Style" w:cs="Arial"/>
        </w:rPr>
        <w:t xml:space="preserve"> del </w:t>
      </w:r>
      <w:r w:rsidR="00852758" w:rsidRPr="003301B8">
        <w:rPr>
          <w:rFonts w:ascii="Bookman Old Style" w:hAnsi="Bookman Old Style" w:cs="Arial"/>
        </w:rPr>
        <w:t>diecinueve</w:t>
      </w:r>
      <w:r w:rsidRPr="003301B8">
        <w:rPr>
          <w:rFonts w:ascii="Bookman Old Style" w:hAnsi="Bookman Old Style" w:cs="Arial"/>
        </w:rPr>
        <w:t xml:space="preserve"> (1</w:t>
      </w:r>
      <w:r w:rsidR="00852758" w:rsidRPr="003301B8">
        <w:rPr>
          <w:rFonts w:ascii="Bookman Old Style" w:hAnsi="Bookman Old Style" w:cs="Arial"/>
        </w:rPr>
        <w:t>9</w:t>
      </w:r>
      <w:r w:rsidRPr="003301B8">
        <w:rPr>
          <w:rFonts w:ascii="Bookman Old Style" w:hAnsi="Bookman Old Style" w:cs="Arial"/>
        </w:rPr>
        <w:t>) de diciembre de 2016., el Gerente General de la empresa EMPRESAS PUBLICAS DE MEDELLÍN EPM S.A. E.S.P., presentó recurso de reposición contra la resolución CREG-188 de 2016.</w:t>
      </w:r>
    </w:p>
    <w:p w:rsidR="00FA2D36" w:rsidRPr="003301B8" w:rsidRDefault="00FA2D36" w:rsidP="00FA2D36">
      <w:pPr>
        <w:ind w:left="0"/>
        <w:jc w:val="both"/>
        <w:rPr>
          <w:rFonts w:ascii="Bookman Old Style" w:hAnsi="Bookman Old Style" w:cs="Arial"/>
        </w:rPr>
      </w:pP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lastRenderedPageBreak/>
        <w:t>Que mediante la presente resolución, se procede a resolver este recurso en contra de la Resolución CREG 188 de 2016, con base en las siguientes consideraciones:</w:t>
      </w:r>
    </w:p>
    <w:p w:rsidR="00FA2D36" w:rsidRPr="003301B8" w:rsidRDefault="00FA2D36" w:rsidP="00FA2D36">
      <w:pPr>
        <w:ind w:left="0"/>
        <w:jc w:val="both"/>
        <w:rPr>
          <w:rFonts w:ascii="Bookman Old Style" w:hAnsi="Bookman Old Style" w:cs="Arial"/>
        </w:rPr>
      </w:pPr>
    </w:p>
    <w:p w:rsidR="00FA2D36" w:rsidRPr="003301B8" w:rsidRDefault="00FA2D36" w:rsidP="00FA2D36">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FA2D36" w:rsidRPr="003301B8" w:rsidRDefault="00FA2D36" w:rsidP="00FA2D36">
      <w:pPr>
        <w:ind w:left="0"/>
        <w:jc w:val="both"/>
        <w:rPr>
          <w:rFonts w:ascii="Bookman Old Style" w:hAnsi="Bookman Old Style" w:cs="Arial"/>
        </w:rPr>
      </w:pPr>
    </w:p>
    <w:p w:rsidR="00FA2D36" w:rsidRPr="003301B8" w:rsidRDefault="00FA2D36" w:rsidP="00FA2D36">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FA2D36" w:rsidRPr="003301B8" w:rsidRDefault="00FA2D36" w:rsidP="00FA2D36">
      <w:pPr>
        <w:pStyle w:val="Prrafodelista"/>
        <w:ind w:left="720"/>
        <w:rPr>
          <w:rFonts w:ascii="Bookman Old Style" w:hAnsi="Bookman Old Style" w:cs="Arial"/>
          <w:b/>
          <w:sz w:val="24"/>
          <w:szCs w:val="24"/>
        </w:rPr>
      </w:pPr>
    </w:p>
    <w:p w:rsidR="00FA2D36" w:rsidRPr="003301B8" w:rsidRDefault="00FA2D36" w:rsidP="00FA2D36">
      <w:pPr>
        <w:ind w:left="0"/>
        <w:jc w:val="both"/>
        <w:rPr>
          <w:rFonts w:ascii="Bookman Old Style" w:hAnsi="Bookman Old Style" w:cs="Arial"/>
        </w:rPr>
      </w:pPr>
      <w:r w:rsidRPr="003301B8">
        <w:rPr>
          <w:rFonts w:ascii="Bookman Old Style" w:hAnsi="Bookman Old Style" w:cs="Arial"/>
        </w:rPr>
        <w:t>El recurrente presentó el recurso de reposición contra el artículo 1 de la resolución CREG-188 de  2016, proferida por la Comisión de Regulación de Energía y Gas –CREG-, por medio de la cual se señala la contribución que debe pagar a la Comisión de Regulación de Energía y Gas –CREG- cada una de las entidades reguladas por el año 2016.</w:t>
      </w:r>
    </w:p>
    <w:p w:rsidR="00FA2D36" w:rsidRPr="003301B8" w:rsidRDefault="00FA2D36" w:rsidP="00FA2D36">
      <w:pPr>
        <w:pStyle w:val="Prrafodelista"/>
        <w:ind w:left="0"/>
        <w:jc w:val="both"/>
        <w:rPr>
          <w:rFonts w:ascii="Bookman Old Style" w:hAnsi="Bookman Old Style" w:cs="Arial"/>
          <w:sz w:val="24"/>
          <w:szCs w:val="24"/>
        </w:rPr>
      </w:pPr>
    </w:p>
    <w:p w:rsidR="00FA2D36" w:rsidRPr="003301B8" w:rsidRDefault="00FA2D36" w:rsidP="00FA2D36">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FA2D36" w:rsidRPr="003301B8" w:rsidRDefault="00FA2D36" w:rsidP="00FA2D36">
      <w:pPr>
        <w:pStyle w:val="Prrafodelista"/>
        <w:ind w:left="0"/>
        <w:jc w:val="both"/>
        <w:rPr>
          <w:rFonts w:ascii="Bookman Old Style" w:hAnsi="Bookman Old Style" w:cs="Arial"/>
          <w:sz w:val="24"/>
          <w:szCs w:val="24"/>
        </w:rPr>
      </w:pPr>
    </w:p>
    <w:p w:rsidR="00FA2D36" w:rsidRPr="003301B8" w:rsidRDefault="00FA2D36" w:rsidP="00FA2D36">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FA2D36" w:rsidRPr="003301B8" w:rsidRDefault="00FA2D36" w:rsidP="00FA2D36">
      <w:pPr>
        <w:pStyle w:val="Prrafodelista"/>
        <w:ind w:left="0"/>
        <w:jc w:val="both"/>
        <w:rPr>
          <w:rFonts w:ascii="Bookman Old Style" w:hAnsi="Bookman Old Style" w:cs="Arial"/>
          <w:sz w:val="24"/>
          <w:szCs w:val="24"/>
        </w:rPr>
      </w:pPr>
    </w:p>
    <w:p w:rsidR="00FA2D36" w:rsidRPr="003301B8" w:rsidRDefault="00FA2D36" w:rsidP="00FA2D36">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cs="Arial"/>
          <w:i/>
          <w:lang w:val="es-CO"/>
        </w:rPr>
      </w:pPr>
      <w:r w:rsidRPr="003301B8">
        <w:rPr>
          <w:rFonts w:ascii="Bookman Old Style" w:hAnsi="Bookman Old Style" w:cs="Arial"/>
          <w:i/>
          <w:lang w:val="es-CO"/>
        </w:rPr>
        <w:t>Los fundamentos del recurrente se exponen a continuación:</w:t>
      </w:r>
    </w:p>
    <w:p w:rsidR="00FA2D36" w:rsidRPr="003301B8" w:rsidRDefault="00FA2D36" w:rsidP="00FA2D36">
      <w:pPr>
        <w:ind w:left="170"/>
        <w:jc w:val="both"/>
        <w:rPr>
          <w:rFonts w:ascii="Bookman Old Style" w:hAnsi="Bookman Old Style" w:cs="Arial"/>
          <w:i/>
          <w:lang w:val="es-CO"/>
        </w:rPr>
      </w:pPr>
    </w:p>
    <w:p w:rsidR="00FA2D36" w:rsidRPr="003301B8" w:rsidRDefault="00FA2D36" w:rsidP="00FA2D36">
      <w:pPr>
        <w:ind w:left="170"/>
        <w:jc w:val="both"/>
        <w:rPr>
          <w:rFonts w:ascii="Bookman Old Style" w:hAnsi="Bookman Old Style" w:cs="Arial"/>
          <w:i/>
          <w:lang w:val="es-CO"/>
        </w:rPr>
      </w:pPr>
      <w:r w:rsidRPr="003301B8">
        <w:rPr>
          <w:rFonts w:ascii="Bookman Old Style" w:hAnsi="Bookman Old Style" w:cs="Arial"/>
          <w:i/>
          <w:lang w:val="es-CO"/>
        </w:rPr>
        <w:t>Argumenta el recurrente que:</w:t>
      </w:r>
    </w:p>
    <w:p w:rsidR="00FA2D36" w:rsidRPr="003301B8" w:rsidRDefault="00FA2D36" w:rsidP="00FA2D36">
      <w:pPr>
        <w:ind w:left="0"/>
        <w:jc w:val="both"/>
        <w:rPr>
          <w:rFonts w:ascii="Bookman Old Style" w:hAnsi="Bookman Old Style" w:cs="Arial"/>
          <w:i/>
          <w:lang w:val="es-CO"/>
        </w:rPr>
      </w:pPr>
    </w:p>
    <w:p w:rsidR="00FF21FA" w:rsidRPr="003301B8" w:rsidRDefault="00FA2D36" w:rsidP="00FF21FA">
      <w:pPr>
        <w:pStyle w:val="Style12"/>
        <w:shd w:val="clear" w:color="auto" w:fill="auto"/>
        <w:spacing w:after="176" w:line="235"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w:t>
      </w:r>
      <w:r w:rsidR="00FF21FA" w:rsidRPr="003301B8">
        <w:rPr>
          <w:rFonts w:ascii="Bookman Old Style" w:eastAsia="Times New Roman" w:hAnsi="Bookman Old Style" w:cs="Times New Roman"/>
          <w:i/>
          <w:sz w:val="24"/>
          <w:szCs w:val="24"/>
          <w:lang w:val="es-ES" w:eastAsia="es-ES"/>
        </w:rPr>
        <w:t>Señala la Constitución Política de Colombia en su Artículo 370 que corresponde al Presidente de la República señalar las políticas generales de administración y control de eficiencia de los servicios públicos domiciliarios por medio de las comisiones de regulación de los servicios públicos.</w:t>
      </w:r>
    </w:p>
    <w:p w:rsidR="00FF21FA" w:rsidRPr="003301B8" w:rsidRDefault="00FF21FA" w:rsidP="00FF21FA">
      <w:pPr>
        <w:pStyle w:val="Style12"/>
        <w:shd w:val="clear" w:color="auto" w:fill="auto"/>
        <w:spacing w:after="180" w:line="240"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En desarrollo de la disposición de rango constitucional anteriormente mencionada, se expidió la Ley 142 de 1994 dentro de la cual se creó como unidad administrativa especial, la Comisión de Regulación de Energía y Gas Combustible, adscrita al Ministerio de Minas y Energía, con independencia administrativa, técnica y patrimonial, según lo establecido en el Artículo 69 de la citada ley.</w:t>
      </w:r>
    </w:p>
    <w:p w:rsidR="00FF21FA" w:rsidRPr="003301B8" w:rsidRDefault="00FF21FA" w:rsidP="00FF21FA">
      <w:pPr>
        <w:pStyle w:val="Style12"/>
        <w:shd w:val="clear" w:color="auto" w:fill="auto"/>
        <w:spacing w:after="180" w:line="240"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Con el fin recuperar los costos del servicio de regulación prestado por la Comisión de Regulación de Energía y Gas Combustible, se dotó a esa entidad de una fuente de recursos denominada “contribución especial". Esta contribución especial encuentra su definición legal en el Artículo 85 de la Ley 142 de 1994 que señala</w:t>
      </w:r>
      <w:r w:rsidRPr="003301B8">
        <w:rPr>
          <w:rFonts w:ascii="Bookman Old Style" w:eastAsia="Times New Roman" w:hAnsi="Bookman Old Style" w:cs="Times New Roman"/>
          <w:sz w:val="24"/>
          <w:szCs w:val="24"/>
          <w:lang w:val="es-ES" w:eastAsia="es-ES"/>
        </w:rPr>
        <w:t>:</w:t>
      </w:r>
    </w:p>
    <w:p w:rsidR="00FF21FA" w:rsidRPr="003301B8" w:rsidRDefault="00FF21FA" w:rsidP="00FF21FA">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w:t>
      </w:r>
    </w:p>
    <w:p w:rsidR="00FF21FA" w:rsidRPr="003301B8" w:rsidRDefault="00FF21FA" w:rsidP="00FF21FA">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“85.1.- Para definir los costes de los servicios que presten las comisiones y la Superintendencia, se tendrán en cuenta todos los gastos de funcionamiento, y la depreciación, amortización u obsolescencia de sus activos, en el período anual respectivo.</w:t>
      </w:r>
    </w:p>
    <w:p w:rsidR="00FF21FA" w:rsidRPr="003301B8" w:rsidRDefault="00FF21FA" w:rsidP="00FF21FA">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"85.2.- La Superintendencia y las comisiones presupuestarán sus gastos cada año y cobrarán dentro de los límites que enseguida se señalan, solamente la tarifa que arroje él valor necesario para cubrir su presupuesto anual.</w:t>
      </w:r>
    </w:p>
    <w:p w:rsidR="00FF21FA" w:rsidRPr="003301B8" w:rsidRDefault="00FF21FA" w:rsidP="00FF21FA">
      <w:pPr>
        <w:pStyle w:val="Style15"/>
        <w:shd w:val="clear" w:color="auto" w:fill="auto"/>
        <w:spacing w:after="252"/>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“La tarifa máxima de cada contribución no podrá ser superior al uno por ciento (1%) del valor de tos gastos de funcionamiento, asociados al servicio sometido a regulación, de la entidad contribuyente en el año anterior a aquel en el que se haga el cobro, de acuerdo con los estados financ</w:t>
      </w:r>
      <w:r w:rsidR="00A54316" w:rsidRPr="003301B8">
        <w:rPr>
          <w:rFonts w:ascii="Bookman Old Style" w:eastAsia="Times New Roman" w:hAnsi="Bookman Old Style" w:cs="Times New Roman"/>
          <w:sz w:val="24"/>
          <w:szCs w:val="24"/>
          <w:lang w:val="es-ES" w:eastAsia="es-ES"/>
        </w:rPr>
        <w:t>ieros puestos a disposición de l</w:t>
      </w:r>
      <w:r w:rsidRPr="003301B8">
        <w:rPr>
          <w:rFonts w:ascii="Bookman Old Style" w:eastAsia="Times New Roman" w:hAnsi="Bookman Old Style" w:cs="Times New Roman"/>
          <w:sz w:val="24"/>
          <w:szCs w:val="24"/>
          <w:lang w:val="es-ES" w:eastAsia="es-ES"/>
        </w:rPr>
        <w:t>a Superintendencia y de las comisiones, cada una de las cuales e independientemente y con base en su estudio fijarán la tarifa correspondiente.</w:t>
      </w:r>
    </w:p>
    <w:p w:rsidR="00FF21FA" w:rsidRPr="003301B8" w:rsidRDefault="00FF21FA" w:rsidP="00FF21FA">
      <w:pPr>
        <w:pStyle w:val="Style29"/>
        <w:shd w:val="clear" w:color="auto" w:fill="auto"/>
        <w:spacing w:before="0" w:after="126" w:line="150" w:lineRule="exact"/>
        <w:ind w:left="300"/>
        <w:rPr>
          <w:rFonts w:ascii="Bookman Old Style" w:eastAsia="Times New Roman" w:hAnsi="Bookman Old Style" w:cs="Times New Roman"/>
          <w:iCs w:val="0"/>
          <w:spacing w:val="0"/>
          <w:sz w:val="24"/>
          <w:szCs w:val="24"/>
          <w:lang w:val="es-ES" w:eastAsia="es-ES"/>
        </w:rPr>
      </w:pPr>
      <w:r w:rsidRPr="003301B8">
        <w:rPr>
          <w:rFonts w:ascii="Bookman Old Style" w:eastAsia="Times New Roman" w:hAnsi="Bookman Old Style" w:cs="Times New Roman"/>
          <w:spacing w:val="0"/>
          <w:sz w:val="24"/>
          <w:szCs w:val="24"/>
          <w:lang w:val="es-ES" w:eastAsia="es-ES"/>
        </w:rPr>
        <w:t>(...)</w:t>
      </w:r>
    </w:p>
    <w:p w:rsidR="00FF21FA" w:rsidRPr="003301B8" w:rsidRDefault="00FF21FA" w:rsidP="00FF21FA">
      <w:pPr>
        <w:pStyle w:val="Style11"/>
        <w:shd w:val="clear" w:color="auto" w:fill="auto"/>
        <w:spacing w:after="180"/>
        <w:ind w:firstLine="0"/>
        <w:jc w:val="both"/>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Parágrafo 1 o.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rsidR="00FF21FA" w:rsidRPr="003301B8" w:rsidRDefault="00FF21FA" w:rsidP="00FF21FA">
      <w:pPr>
        <w:pStyle w:val="Style11"/>
        <w:shd w:val="clear" w:color="auto" w:fill="auto"/>
        <w:spacing w:after="180"/>
        <w:ind w:firstLine="0"/>
        <w:jc w:val="both"/>
        <w:rPr>
          <w:rStyle w:val="CharStyle16"/>
          <w:rFonts w:ascii="Bookman Old Style" w:hAnsi="Bookman Old Style"/>
          <w:i w:val="0"/>
          <w:iCs w:val="0"/>
          <w:color w:val="000000"/>
          <w:lang w:eastAsia="es-ES_tradnl"/>
        </w:rPr>
      </w:pPr>
      <w:r w:rsidRPr="003301B8">
        <w:rPr>
          <w:rFonts w:ascii="Bookman Old Style" w:eastAsia="Times New Roman" w:hAnsi="Bookman Old Style" w:cs="Times New Roman"/>
          <w:i/>
          <w:iCs/>
          <w:sz w:val="24"/>
          <w:szCs w:val="24"/>
          <w:lang w:val="es-ES" w:eastAsia="es-ES"/>
        </w:rPr>
        <w:t>Parágrafo 2o. al fijar las contribuciones especiales se eliminaran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r w:rsidRPr="003301B8">
        <w:rPr>
          <w:rStyle w:val="CharStyle13"/>
          <w:rFonts w:ascii="Bookman Old Style" w:hAnsi="Bookman Old Style"/>
          <w:i/>
          <w:color w:val="000000"/>
          <w:lang w:eastAsia="es-ES_tradnl"/>
        </w:rPr>
        <w:t>"</w:t>
      </w:r>
    </w:p>
    <w:p w:rsidR="00FA2D36" w:rsidRPr="003301B8" w:rsidRDefault="00FA2D36" w:rsidP="00FA2D36">
      <w:pPr>
        <w:ind w:left="0"/>
        <w:jc w:val="both"/>
        <w:rPr>
          <w:rFonts w:ascii="Bookman Old Style" w:hAnsi="Bookman Old Style"/>
        </w:rPr>
      </w:pPr>
    </w:p>
    <w:p w:rsidR="00FA2D36" w:rsidRPr="003301B8" w:rsidRDefault="00FA2D36" w:rsidP="00FA2D36">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rPr>
      </w:pPr>
      <w:r w:rsidRPr="003301B8">
        <w:rPr>
          <w:rFonts w:ascii="Bookman Old Style" w:hAnsi="Bookman Old Style"/>
        </w:rPr>
        <w:t>De acuerdo con los argumentos del recurrente, estos se circunscriben a un aspecto fundamental:</w:t>
      </w:r>
    </w:p>
    <w:p w:rsidR="00FA2D36" w:rsidRPr="003301B8" w:rsidRDefault="00FA2D36" w:rsidP="00FA2D36">
      <w:pPr>
        <w:ind w:left="0"/>
        <w:jc w:val="both"/>
        <w:rPr>
          <w:rFonts w:ascii="Bookman Old Style" w:hAnsi="Bookman Old Style"/>
        </w:rPr>
      </w:pPr>
    </w:p>
    <w:p w:rsidR="00FF21FA" w:rsidRPr="003301B8" w:rsidRDefault="00FF21FA" w:rsidP="00FF21FA">
      <w:pPr>
        <w:ind w:left="0"/>
        <w:jc w:val="both"/>
        <w:rPr>
          <w:rFonts w:ascii="Bookman Old Style" w:hAnsi="Bookman Old Style"/>
          <w:i/>
        </w:rPr>
      </w:pPr>
      <w:r w:rsidRPr="003301B8">
        <w:rPr>
          <w:rFonts w:ascii="Bookman Old Style" w:hAnsi="Bookman Old Style"/>
          <w:i/>
        </w:rPr>
        <w:t>Como consecuencia de lo anterior, que se modifique la liquidación de la contribución objeto del recurso, excluyendo de la base gravable los siguientes valores correspondientes a las cuentas del Grupo '53 "Provisiones, Amortizaciones y Depreciaciones" asociados al servicio de gas natural, y a los activos sociales relacionados con los servicios de energía y gas, de conformidad con lo expuesto en este texto, así:</w:t>
      </w:r>
    </w:p>
    <w:p w:rsidR="00FF21FA" w:rsidRPr="003301B8" w:rsidRDefault="00FF21FA" w:rsidP="00FF21FA">
      <w:pPr>
        <w:ind w:left="0"/>
        <w:jc w:val="both"/>
        <w:rPr>
          <w:rFonts w:ascii="Bookman Old Style" w:hAnsi="Bookman Old Style"/>
          <w:i/>
        </w:rPr>
      </w:pPr>
    </w:p>
    <w:tbl>
      <w:tblPr>
        <w:tblW w:w="0" w:type="auto"/>
        <w:tblInd w:w="5" w:type="dxa"/>
        <w:tblLayout w:type="fixed"/>
        <w:tblCellMar>
          <w:left w:w="0" w:type="dxa"/>
          <w:right w:w="0" w:type="dxa"/>
        </w:tblCellMar>
        <w:tblLook w:val="0000" w:firstRow="0" w:lastRow="0" w:firstColumn="0" w:lastColumn="0" w:noHBand="0" w:noVBand="0"/>
      </w:tblPr>
      <w:tblGrid>
        <w:gridCol w:w="4133"/>
        <w:gridCol w:w="1669"/>
        <w:gridCol w:w="1418"/>
        <w:gridCol w:w="1701"/>
      </w:tblGrid>
      <w:tr w:rsidR="00FF21FA" w:rsidRPr="003301B8" w:rsidTr="00FF21FA">
        <w:trPr>
          <w:trHeight w:hRule="exact" w:val="804"/>
        </w:trPr>
        <w:tc>
          <w:tcPr>
            <w:tcW w:w="4133" w:type="dxa"/>
            <w:tcBorders>
              <w:top w:val="single" w:sz="4" w:space="0" w:color="auto"/>
              <w:left w:val="single" w:sz="4" w:space="0" w:color="auto"/>
              <w:bottom w:val="nil"/>
              <w:right w:val="nil"/>
            </w:tcBorders>
            <w:shd w:val="clear" w:color="auto" w:fill="FFFFFF"/>
            <w:vAlign w:val="center"/>
          </w:tcPr>
          <w:p w:rsidR="00FF21FA" w:rsidRPr="003301B8" w:rsidRDefault="00FF21FA" w:rsidP="00C756DF">
            <w:pPr>
              <w:pStyle w:val="Style12"/>
              <w:shd w:val="clear" w:color="auto" w:fill="auto"/>
              <w:spacing w:after="0" w:line="200" w:lineRule="exact"/>
              <w:ind w:left="660"/>
              <w:jc w:val="center"/>
              <w:rPr>
                <w:rFonts w:ascii="Bookman Old Style" w:hAnsi="Bookman Old Style"/>
                <w:b/>
                <w:sz w:val="18"/>
                <w:szCs w:val="18"/>
              </w:rPr>
            </w:pPr>
            <w:r w:rsidRPr="003301B8">
              <w:rPr>
                <w:rStyle w:val="CharStyle72"/>
                <w:rFonts w:ascii="Bookman Old Style" w:hAnsi="Bookman Old Style"/>
                <w:color w:val="000000"/>
                <w:sz w:val="18"/>
                <w:szCs w:val="18"/>
                <w:lang w:eastAsia="es-ES_tradnl"/>
              </w:rPr>
              <w:t xml:space="preserve">VALORES A EXCLUIR DE LA BASE GRAVABLE: </w:t>
            </w:r>
          </w:p>
        </w:tc>
        <w:tc>
          <w:tcPr>
            <w:tcW w:w="1669" w:type="dxa"/>
            <w:tcBorders>
              <w:top w:val="single" w:sz="4" w:space="0" w:color="auto"/>
              <w:left w:val="single" w:sz="4" w:space="0" w:color="auto"/>
              <w:bottom w:val="nil"/>
              <w:right w:val="nil"/>
            </w:tcBorders>
            <w:shd w:val="clear" w:color="auto" w:fill="FFFFFF"/>
            <w:vAlign w:val="center"/>
          </w:tcPr>
          <w:p w:rsidR="00FF21FA" w:rsidRPr="003301B8" w:rsidRDefault="00FF21FA" w:rsidP="00FF21FA">
            <w:pPr>
              <w:pStyle w:val="Style12"/>
              <w:shd w:val="clear" w:color="auto" w:fill="auto"/>
              <w:spacing w:after="0" w:line="200" w:lineRule="exact"/>
              <w:ind w:right="60"/>
              <w:jc w:val="center"/>
              <w:rPr>
                <w:rStyle w:val="CharStyle72"/>
                <w:rFonts w:ascii="Bookman Old Style" w:hAnsi="Bookman Old Style"/>
                <w:bCs w:val="0"/>
                <w:color w:val="000000"/>
                <w:sz w:val="18"/>
                <w:szCs w:val="18"/>
                <w:lang w:eastAsia="es-ES_tradnl"/>
              </w:rPr>
            </w:pPr>
            <w:r w:rsidRPr="003301B8">
              <w:rPr>
                <w:rStyle w:val="CharStyle72"/>
                <w:rFonts w:ascii="Bookman Old Style" w:hAnsi="Bookman Old Style"/>
                <w:bCs w:val="0"/>
                <w:color w:val="000000"/>
                <w:sz w:val="18"/>
                <w:szCs w:val="18"/>
                <w:lang w:eastAsia="es-ES_tradnl"/>
              </w:rPr>
              <w:t>ENERGIA</w:t>
            </w:r>
          </w:p>
        </w:tc>
        <w:tc>
          <w:tcPr>
            <w:tcW w:w="1418" w:type="dxa"/>
            <w:tcBorders>
              <w:top w:val="single" w:sz="4" w:space="0" w:color="auto"/>
              <w:left w:val="single" w:sz="4" w:space="0" w:color="auto"/>
              <w:bottom w:val="nil"/>
              <w:right w:val="nil"/>
            </w:tcBorders>
            <w:shd w:val="clear" w:color="auto" w:fill="FFFFFF"/>
            <w:vAlign w:val="center"/>
          </w:tcPr>
          <w:p w:rsidR="00FF21FA" w:rsidRPr="003301B8" w:rsidRDefault="00FF21FA" w:rsidP="00FF21FA">
            <w:pPr>
              <w:pStyle w:val="Style12"/>
              <w:shd w:val="clear" w:color="auto" w:fill="auto"/>
              <w:spacing w:after="0" w:line="200" w:lineRule="exact"/>
              <w:ind w:right="60"/>
              <w:jc w:val="center"/>
              <w:rPr>
                <w:rStyle w:val="CharStyle72"/>
                <w:rFonts w:ascii="Bookman Old Style" w:hAnsi="Bookman Old Style"/>
                <w:b w:val="0"/>
                <w:color w:val="000000"/>
                <w:sz w:val="18"/>
                <w:szCs w:val="18"/>
                <w:lang w:eastAsia="es-ES_tradnl"/>
              </w:rPr>
            </w:pPr>
            <w:r w:rsidRPr="003301B8">
              <w:rPr>
                <w:rStyle w:val="CharStyle72"/>
                <w:rFonts w:ascii="Bookman Old Style" w:hAnsi="Bookman Old Style"/>
                <w:bCs w:val="0"/>
                <w:color w:val="000000"/>
                <w:sz w:val="18"/>
                <w:szCs w:val="18"/>
                <w:lang w:eastAsia="es-ES_tradnl"/>
              </w:rPr>
              <w:t>GAS</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F21FA" w:rsidRPr="003301B8" w:rsidRDefault="00FF21FA" w:rsidP="00FF21FA">
            <w:pPr>
              <w:pStyle w:val="Style12"/>
              <w:shd w:val="clear" w:color="auto" w:fill="auto"/>
              <w:spacing w:after="0" w:line="110" w:lineRule="exact"/>
              <w:ind w:left="180"/>
              <w:rPr>
                <w:rStyle w:val="CharStyle72"/>
                <w:rFonts w:ascii="Bookman Old Style" w:hAnsi="Bookman Old Style"/>
                <w:b w:val="0"/>
                <w:color w:val="000000"/>
                <w:sz w:val="18"/>
                <w:szCs w:val="18"/>
                <w:lang w:eastAsia="es-ES_tradnl"/>
              </w:rPr>
            </w:pPr>
            <w:r w:rsidRPr="003301B8">
              <w:rPr>
                <w:rStyle w:val="CharStyle72"/>
                <w:rFonts w:ascii="Bookman Old Style" w:hAnsi="Bookman Old Style"/>
                <w:b w:val="0"/>
                <w:color w:val="000000"/>
                <w:sz w:val="18"/>
                <w:szCs w:val="18"/>
                <w:lang w:eastAsia="es-ES_tradnl"/>
              </w:rPr>
              <w:t xml:space="preserve">TOTAL </w:t>
            </w:r>
          </w:p>
        </w:tc>
      </w:tr>
      <w:tr w:rsidR="00FF21FA" w:rsidRPr="003301B8" w:rsidTr="00FF21FA">
        <w:trPr>
          <w:trHeight w:hRule="exact" w:val="701"/>
        </w:trPr>
        <w:tc>
          <w:tcPr>
            <w:tcW w:w="4133" w:type="dxa"/>
            <w:tcBorders>
              <w:top w:val="single" w:sz="4" w:space="0" w:color="auto"/>
              <w:left w:val="single" w:sz="4" w:space="0" w:color="auto"/>
              <w:bottom w:val="nil"/>
              <w:right w:val="nil"/>
            </w:tcBorders>
            <w:shd w:val="clear" w:color="auto" w:fill="FFFFFF"/>
            <w:vAlign w:val="center"/>
          </w:tcPr>
          <w:p w:rsidR="00FF21FA" w:rsidRPr="003301B8" w:rsidRDefault="00FF21FA" w:rsidP="00FF21FA">
            <w:pPr>
              <w:pStyle w:val="Style12"/>
              <w:shd w:val="clear" w:color="auto" w:fill="auto"/>
              <w:spacing w:after="60" w:line="160" w:lineRule="exact"/>
              <w:ind w:left="80"/>
              <w:jc w:val="center"/>
              <w:rPr>
                <w:rFonts w:ascii="Bookman Old Style" w:hAnsi="Bookman Old Style"/>
                <w:b/>
                <w:sz w:val="18"/>
                <w:szCs w:val="18"/>
              </w:rPr>
            </w:pPr>
            <w:r w:rsidRPr="003301B8">
              <w:rPr>
                <w:rStyle w:val="CharStyle56"/>
                <w:rFonts w:ascii="Bookman Old Style" w:hAnsi="Bookman Old Style"/>
                <w:b/>
                <w:color w:val="000000"/>
                <w:sz w:val="18"/>
                <w:szCs w:val="18"/>
                <w:lang w:eastAsia="es-ES_tradnl"/>
              </w:rPr>
              <w:t>511167 Activos Sociales</w:t>
            </w:r>
          </w:p>
          <w:p w:rsidR="00FF21FA" w:rsidRPr="003301B8" w:rsidRDefault="00FF21FA" w:rsidP="00FF21FA">
            <w:pPr>
              <w:pStyle w:val="Style12"/>
              <w:shd w:val="clear" w:color="auto" w:fill="auto"/>
              <w:spacing w:before="60" w:after="0" w:line="160" w:lineRule="exact"/>
              <w:ind w:right="80"/>
              <w:jc w:val="center"/>
              <w:rPr>
                <w:rFonts w:ascii="Bookman Old Style" w:hAnsi="Bookman Old Style"/>
                <w:b/>
                <w:sz w:val="18"/>
                <w:szCs w:val="18"/>
              </w:rPr>
            </w:pPr>
            <w:r w:rsidRPr="003301B8">
              <w:rPr>
                <w:rStyle w:val="CharStyle56"/>
                <w:rFonts w:ascii="Bookman Old Style" w:hAnsi="Bookman Old Style"/>
                <w:b/>
                <w:color w:val="000000"/>
                <w:sz w:val="18"/>
                <w:szCs w:val="18"/>
                <w:lang w:eastAsia="es-ES_tradnl"/>
              </w:rPr>
              <w:t>53 Provisiones, depreciaciones y amortizaciones</w:t>
            </w:r>
          </w:p>
        </w:tc>
        <w:tc>
          <w:tcPr>
            <w:tcW w:w="1669" w:type="dxa"/>
            <w:tcBorders>
              <w:top w:val="single" w:sz="4" w:space="0" w:color="auto"/>
              <w:left w:val="single" w:sz="4" w:space="0" w:color="auto"/>
              <w:bottom w:val="nil"/>
              <w:right w:val="nil"/>
            </w:tcBorders>
            <w:shd w:val="clear" w:color="auto" w:fill="FFFFFF"/>
            <w:vAlign w:val="center"/>
          </w:tcPr>
          <w:p w:rsidR="00FF21FA" w:rsidRPr="003301B8" w:rsidRDefault="00FF21FA" w:rsidP="00FF21FA">
            <w:pPr>
              <w:pStyle w:val="Style12"/>
              <w:shd w:val="clear" w:color="auto" w:fill="auto"/>
              <w:spacing w:after="0" w:line="170" w:lineRule="exact"/>
              <w:ind w:left="26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68.170.318.959</w:t>
            </w:r>
          </w:p>
        </w:tc>
        <w:tc>
          <w:tcPr>
            <w:tcW w:w="1418" w:type="dxa"/>
            <w:tcBorders>
              <w:top w:val="single" w:sz="4" w:space="0" w:color="auto"/>
              <w:left w:val="single" w:sz="4" w:space="0" w:color="auto"/>
              <w:bottom w:val="nil"/>
              <w:right w:val="nil"/>
            </w:tcBorders>
            <w:shd w:val="clear" w:color="auto" w:fill="FFFFFF"/>
            <w:vAlign w:val="center"/>
          </w:tcPr>
          <w:p w:rsidR="00FF21FA" w:rsidRPr="003301B8" w:rsidRDefault="00FF21FA" w:rsidP="00FF21FA">
            <w:pPr>
              <w:pStyle w:val="Style12"/>
              <w:shd w:val="clear" w:color="auto" w:fill="auto"/>
              <w:spacing w:after="60" w:line="170" w:lineRule="exact"/>
              <w:ind w:right="6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3.039.971.144</w:t>
            </w:r>
          </w:p>
          <w:p w:rsidR="00FF21FA" w:rsidRPr="003301B8" w:rsidRDefault="00FF21FA" w:rsidP="00FF21FA">
            <w:pPr>
              <w:pStyle w:val="Style12"/>
              <w:shd w:val="clear" w:color="auto" w:fill="auto"/>
              <w:spacing w:before="60" w:after="0" w:line="170" w:lineRule="exact"/>
              <w:ind w:right="6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4.718,764.972</w:t>
            </w:r>
          </w:p>
        </w:tc>
        <w:tc>
          <w:tcPr>
            <w:tcW w:w="1701" w:type="dxa"/>
            <w:tcBorders>
              <w:top w:val="single" w:sz="4" w:space="0" w:color="auto"/>
              <w:left w:val="single" w:sz="4" w:space="0" w:color="auto"/>
              <w:bottom w:val="nil"/>
              <w:right w:val="single" w:sz="4" w:space="0" w:color="auto"/>
            </w:tcBorders>
            <w:shd w:val="clear" w:color="auto" w:fill="FFFFFF"/>
            <w:vAlign w:val="center"/>
          </w:tcPr>
          <w:p w:rsidR="00FF21FA" w:rsidRPr="003301B8" w:rsidRDefault="00FF21FA" w:rsidP="00FF21FA">
            <w:pPr>
              <w:pStyle w:val="Style12"/>
              <w:shd w:val="clear" w:color="auto" w:fill="auto"/>
              <w:spacing w:after="60" w:line="160" w:lineRule="exact"/>
              <w:ind w:right="100"/>
              <w:jc w:val="center"/>
              <w:rPr>
                <w:rFonts w:ascii="Bookman Old Style" w:hAnsi="Bookman Old Style"/>
                <w:b/>
                <w:sz w:val="18"/>
                <w:szCs w:val="18"/>
              </w:rPr>
            </w:pPr>
            <w:r w:rsidRPr="003301B8">
              <w:rPr>
                <w:rStyle w:val="CharStyle56"/>
                <w:rFonts w:ascii="Bookman Old Style" w:hAnsi="Bookman Old Style"/>
                <w:b/>
                <w:color w:val="000000"/>
                <w:sz w:val="18"/>
                <w:szCs w:val="18"/>
                <w:lang w:eastAsia="es-ES_tradnl"/>
              </w:rPr>
              <w:t>71.210.290.103</w:t>
            </w:r>
          </w:p>
          <w:p w:rsidR="00FF21FA" w:rsidRPr="003301B8" w:rsidRDefault="00FF21FA" w:rsidP="00FF21FA">
            <w:pPr>
              <w:pStyle w:val="Style12"/>
              <w:shd w:val="clear" w:color="auto" w:fill="auto"/>
              <w:spacing w:before="60" w:after="0" w:line="170" w:lineRule="exact"/>
              <w:ind w:right="10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4.718.764.972</w:t>
            </w:r>
          </w:p>
        </w:tc>
      </w:tr>
      <w:tr w:rsidR="00FF21FA" w:rsidRPr="003301B8" w:rsidTr="00FF21FA">
        <w:trPr>
          <w:trHeight w:hRule="exact" w:val="620"/>
        </w:trPr>
        <w:tc>
          <w:tcPr>
            <w:tcW w:w="4133" w:type="dxa"/>
            <w:tcBorders>
              <w:top w:val="single" w:sz="4" w:space="0" w:color="auto"/>
              <w:left w:val="single" w:sz="4" w:space="0" w:color="auto"/>
              <w:bottom w:val="single" w:sz="4" w:space="0" w:color="auto"/>
              <w:right w:val="nil"/>
            </w:tcBorders>
            <w:shd w:val="clear" w:color="auto" w:fill="FFFFFF"/>
            <w:vAlign w:val="center"/>
          </w:tcPr>
          <w:p w:rsidR="00FF21FA" w:rsidRPr="003301B8" w:rsidRDefault="00FF21FA" w:rsidP="00FF21FA">
            <w:pPr>
              <w:pStyle w:val="Style12"/>
              <w:shd w:val="clear" w:color="auto" w:fill="auto"/>
              <w:spacing w:after="0" w:line="170" w:lineRule="exact"/>
              <w:ind w:left="66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Total Base</w:t>
            </w:r>
          </w:p>
        </w:tc>
        <w:tc>
          <w:tcPr>
            <w:tcW w:w="1669" w:type="dxa"/>
            <w:tcBorders>
              <w:top w:val="single" w:sz="4" w:space="0" w:color="auto"/>
              <w:left w:val="single" w:sz="4" w:space="0" w:color="auto"/>
              <w:bottom w:val="single" w:sz="4" w:space="0" w:color="auto"/>
              <w:right w:val="nil"/>
            </w:tcBorders>
            <w:shd w:val="clear" w:color="auto" w:fill="FFFFFF"/>
            <w:vAlign w:val="center"/>
          </w:tcPr>
          <w:p w:rsidR="00FF21FA" w:rsidRPr="003301B8" w:rsidRDefault="00FF21FA" w:rsidP="00FF21FA">
            <w:pPr>
              <w:pStyle w:val="Style12"/>
              <w:shd w:val="clear" w:color="auto" w:fill="auto"/>
              <w:spacing w:after="0" w:line="200" w:lineRule="exact"/>
              <w:ind w:left="260"/>
              <w:jc w:val="center"/>
              <w:rPr>
                <w:rFonts w:ascii="Bookman Old Style" w:hAnsi="Bookman Old Style"/>
                <w:b/>
                <w:sz w:val="18"/>
                <w:szCs w:val="18"/>
              </w:rPr>
            </w:pPr>
            <w:r w:rsidRPr="003301B8">
              <w:rPr>
                <w:rStyle w:val="CharStyle72"/>
                <w:rFonts w:ascii="Bookman Old Style" w:hAnsi="Bookman Old Style"/>
                <w:color w:val="000000"/>
                <w:sz w:val="18"/>
                <w:szCs w:val="18"/>
                <w:lang w:eastAsia="es-ES_tradnl"/>
              </w:rPr>
              <w:t>68.170.318.959</w:t>
            </w:r>
          </w:p>
        </w:tc>
        <w:tc>
          <w:tcPr>
            <w:tcW w:w="1418" w:type="dxa"/>
            <w:tcBorders>
              <w:top w:val="single" w:sz="4" w:space="0" w:color="auto"/>
              <w:left w:val="single" w:sz="4" w:space="0" w:color="auto"/>
              <w:bottom w:val="single" w:sz="4" w:space="0" w:color="auto"/>
              <w:right w:val="nil"/>
            </w:tcBorders>
            <w:shd w:val="clear" w:color="auto" w:fill="FFFFFF"/>
            <w:vAlign w:val="center"/>
          </w:tcPr>
          <w:p w:rsidR="00FF21FA" w:rsidRPr="003301B8" w:rsidRDefault="00FF21FA" w:rsidP="00FF21FA">
            <w:pPr>
              <w:pStyle w:val="Style12"/>
              <w:shd w:val="clear" w:color="auto" w:fill="auto"/>
              <w:spacing w:after="0" w:line="170" w:lineRule="exact"/>
              <w:ind w:right="6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7.758.736,116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21FA" w:rsidRPr="003301B8" w:rsidRDefault="00FF21FA" w:rsidP="00FF21FA">
            <w:pPr>
              <w:pStyle w:val="Style12"/>
              <w:shd w:val="clear" w:color="auto" w:fill="auto"/>
              <w:spacing w:after="0" w:line="170" w:lineRule="exact"/>
              <w:ind w:right="100"/>
              <w:jc w:val="center"/>
              <w:rPr>
                <w:rFonts w:ascii="Bookman Old Style" w:hAnsi="Bookman Old Style"/>
                <w:b/>
                <w:sz w:val="18"/>
                <w:szCs w:val="18"/>
              </w:rPr>
            </w:pPr>
            <w:r w:rsidRPr="003301B8">
              <w:rPr>
                <w:rStyle w:val="CharStyle55"/>
                <w:rFonts w:ascii="Bookman Old Style" w:hAnsi="Bookman Old Style"/>
                <w:color w:val="000000"/>
                <w:sz w:val="18"/>
                <w:szCs w:val="18"/>
                <w:lang w:eastAsia="es-ES_tradnl"/>
              </w:rPr>
              <w:t>75.929.055,075</w:t>
            </w:r>
          </w:p>
        </w:tc>
      </w:tr>
    </w:tbl>
    <w:p w:rsidR="00FA2D36" w:rsidRPr="003301B8" w:rsidRDefault="00FA2D36" w:rsidP="00FA2D36">
      <w:pPr>
        <w:ind w:left="0"/>
        <w:jc w:val="both"/>
        <w:rPr>
          <w:rFonts w:ascii="Bookman Old Style" w:hAnsi="Bookman Old Style" w:cs="Arial"/>
          <w:b/>
          <w:sz w:val="18"/>
          <w:szCs w:val="18"/>
        </w:rPr>
      </w:pPr>
    </w:p>
    <w:p w:rsidR="00FA2D36" w:rsidRPr="003301B8" w:rsidRDefault="00FA2D36" w:rsidP="00FA2D36">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 –CREG efectuará un análisis acerca de los requisitos de la contribución.</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FA2D36" w:rsidRPr="003301B8" w:rsidRDefault="00FA2D36" w:rsidP="00FA2D36">
      <w:pPr>
        <w:ind w:left="0"/>
        <w:jc w:val="both"/>
        <w:rPr>
          <w:rFonts w:ascii="Bookman Old Style" w:hAnsi="Bookman Old Style"/>
        </w:rPr>
      </w:pPr>
    </w:p>
    <w:p w:rsidR="00FA2D36" w:rsidRPr="003301B8" w:rsidRDefault="00FA2D36" w:rsidP="00FA2D36">
      <w:pPr>
        <w:ind w:left="0"/>
        <w:jc w:val="both"/>
        <w:rPr>
          <w:rFonts w:ascii="Bookman Old Style" w:hAnsi="Bookman Old Style" w:cs="Arial"/>
          <w:bCs/>
        </w:rPr>
      </w:pPr>
      <w:r w:rsidRPr="003301B8">
        <w:rPr>
          <w:rFonts w:ascii="Bookman Old Style" w:hAnsi="Bookman Old Style" w:cs="Arial"/>
          <w:bCs/>
        </w:rPr>
        <w:t xml:space="preserve">La Comisión de Regulación de Energía y Gas- CREG-, para llevar a cabo la contribución especial se fundamentó en la información del Registro Único de Prestadores de Servicios Públicos –RUPS, encontrando que las </w:t>
      </w:r>
      <w:r w:rsidRPr="003301B8">
        <w:rPr>
          <w:rFonts w:ascii="Bookman Old Style" w:hAnsi="Bookman Old Style" w:cs="Arial"/>
        </w:rPr>
        <w:t>EMPRESAS PUBLICAS DE MEDELLÍN EPM</w:t>
      </w:r>
      <w:r w:rsidRPr="003301B8">
        <w:rPr>
          <w:rFonts w:ascii="Bookman Old Style" w:hAnsi="Bookman Old Style"/>
          <w:bCs/>
        </w:rPr>
        <w:t xml:space="preserve"> S.A. E.S.P., desarrolla actividades objeto de regulación.</w:t>
      </w:r>
    </w:p>
    <w:p w:rsidR="00FA2D36" w:rsidRPr="003301B8" w:rsidRDefault="00FA2D36" w:rsidP="00FA2D36">
      <w:pPr>
        <w:pStyle w:val="NormalWeb"/>
        <w:spacing w:before="0" w:beforeAutospacing="0" w:after="0" w:afterAutospacing="0"/>
        <w:jc w:val="both"/>
        <w:rPr>
          <w:rFonts w:ascii="Bookman Old Style" w:hAnsi="Bookman Old Style" w:cs="Arial"/>
          <w:bCs/>
          <w:lang w:val="es-MX"/>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Igualmente es importante señalar lo siguiente:</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FA2D36" w:rsidRPr="003301B8" w:rsidRDefault="00FA2D36" w:rsidP="00FA2D36">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ind w:left="0"/>
        <w:jc w:val="both"/>
        <w:rPr>
          <w:rFonts w:ascii="Bookman Old Style" w:hAnsi="Bookman Old Style" w:cs="Arial"/>
          <w:lang w:eastAsia="es-CO"/>
        </w:rPr>
      </w:pPr>
      <w:r w:rsidRPr="003301B8">
        <w:rPr>
          <w:rFonts w:ascii="Bookman Old Style" w:hAnsi="Bookman Old Style" w:cs="Arial"/>
          <w:bCs/>
          <w:lang w:val="es-CO" w:eastAsia="es-CO"/>
        </w:rPr>
        <w:t>De acuerdo con la Teoría General del</w:t>
      </w:r>
      <w:r w:rsidRPr="003301B8">
        <w:rPr>
          <w:rFonts w:ascii="Bookman Old Style" w:hAnsi="Bookman Old Style" w:cs="Arial"/>
          <w:bCs/>
          <w:lang w:eastAsia="es-CO"/>
        </w:rPr>
        <w:t xml:space="preserve"> Acto Administrativo, e</w:t>
      </w:r>
      <w:r w:rsidRPr="003301B8">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FA2D36" w:rsidRPr="003301B8" w:rsidRDefault="00FA2D36" w:rsidP="00FA2D36">
      <w:pPr>
        <w:ind w:left="0"/>
        <w:jc w:val="both"/>
        <w:rPr>
          <w:rFonts w:ascii="Bookman Old Style" w:hAnsi="Bookman Old Style" w:cs="Arial"/>
          <w:lang w:eastAsia="es-CO"/>
        </w:rPr>
      </w:pPr>
    </w:p>
    <w:p w:rsidR="00FA2D36" w:rsidRPr="003301B8" w:rsidRDefault="00FA2D36" w:rsidP="00FA2D36">
      <w:pPr>
        <w:ind w:left="0"/>
        <w:jc w:val="both"/>
        <w:rPr>
          <w:rFonts w:ascii="Bookman Old Style" w:hAnsi="Bookman Old Style" w:cs="Arial"/>
          <w:lang w:eastAsia="es-CO"/>
        </w:rPr>
      </w:pPr>
      <w:r w:rsidRPr="003301B8">
        <w:rPr>
          <w:rFonts w:ascii="Bookman Old Style" w:hAnsi="Bookman Old Style" w:cs="Arial"/>
          <w:lang w:eastAsia="es-CO"/>
        </w:rPr>
        <w:t>Dentro de la clasificación de los actos administrativos pueden ser de carácter general o de carácter particular y concreto así:</w:t>
      </w:r>
    </w:p>
    <w:p w:rsidR="00FA2D36" w:rsidRPr="003301B8" w:rsidRDefault="00FA2D36" w:rsidP="00FA2D36">
      <w:pPr>
        <w:spacing w:before="120" w:after="120"/>
        <w:ind w:left="0"/>
        <w:jc w:val="both"/>
        <w:rPr>
          <w:rFonts w:ascii="Bookman Old Style" w:hAnsi="Bookman Old Style" w:cs="Arial"/>
          <w:lang w:eastAsia="es-CO"/>
        </w:rPr>
      </w:pPr>
      <w:r w:rsidRPr="003301B8">
        <w:rPr>
          <w:rFonts w:ascii="Bookman Old Style" w:hAnsi="Bookman Old Style" w:cs="Arial"/>
          <w:iCs/>
          <w:lang w:eastAsia="es-CO"/>
        </w:rPr>
        <w:t>Son actos administrativos de carácter general</w:t>
      </w:r>
      <w:r w:rsidRPr="003301B8">
        <w:rPr>
          <w:rFonts w:ascii="Bookman Old Style" w:hAnsi="Bookman Old Style" w:cs="Arial"/>
          <w:lang w:eastAsia="es-CO"/>
        </w:rPr>
        <w:t xml:space="preserve"> los que recaen sobre un grupo general o indeterminado de personas, o cuando el texto del Acto Administrativo no especifica a quien va dirigido. </w:t>
      </w: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cs="Arial"/>
          <w:bCs/>
          <w:sz w:val="24"/>
          <w:szCs w:val="24"/>
          <w:lang w:eastAsia="es-CO"/>
        </w:rPr>
        <w:t>Son Actos Administrativos de carácter particular y concreto los que recaen sobre un sujeto</w:t>
      </w:r>
      <w:r w:rsidRPr="003301B8">
        <w:rPr>
          <w:rFonts w:ascii="Bookman Old Style" w:hAnsi="Bookman Old Style" w:cs="Arial"/>
          <w:b/>
          <w:bCs/>
          <w:sz w:val="24"/>
          <w:szCs w:val="24"/>
          <w:lang w:eastAsia="es-CO"/>
        </w:rPr>
        <w:t xml:space="preserve"> </w:t>
      </w:r>
      <w:r w:rsidRPr="003301B8">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o más personas y conservar las características de un acto administrativo particular, </w:t>
      </w:r>
      <w:r w:rsidRPr="003301B8">
        <w:rPr>
          <w:rFonts w:ascii="Bookman Old Style" w:hAnsi="Bookman Old Style" w:cs="Arial"/>
          <w:bCs/>
          <w:sz w:val="24"/>
          <w:szCs w:val="24"/>
          <w:lang w:eastAsia="es-CO"/>
        </w:rPr>
        <w:t>por citar un ejemplo, esto puede suceder c</w:t>
      </w:r>
      <w:r w:rsidRPr="003301B8">
        <w:rPr>
          <w:rFonts w:ascii="Bookman Old Style" w:hAnsi="Bookman Old Style" w:cs="Arial"/>
          <w:sz w:val="24"/>
          <w:szCs w:val="24"/>
          <w:lang w:eastAsia="es-CO"/>
        </w:rPr>
        <w:t>uando se otorga una pensión a una persona, o cuando se les da a más de una persona.</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Por lo tanto, siempre que los afectados por el acto estén nominalmente identificados, individualizados, el acto es particular independientemente del número de personas afectadas. Sobre éste punto el Honorable Consejo de Estado ha expuesto:</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jc w:val="both"/>
        <w:rPr>
          <w:rFonts w:ascii="Bookman Old Style" w:hAnsi="Bookman Old Style"/>
          <w:i/>
          <w:sz w:val="24"/>
          <w:szCs w:val="24"/>
        </w:rPr>
      </w:pPr>
      <w:r w:rsidRPr="003301B8">
        <w:rPr>
          <w:rFonts w:ascii="Bookman Old Style" w:hAnsi="Bookman Old Style"/>
          <w:i/>
          <w:sz w:val="24"/>
          <w:szCs w:val="24"/>
        </w:rPr>
        <w:t>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3301B8">
        <w:rPr>
          <w:rStyle w:val="Refdenotaalpie"/>
          <w:rFonts w:ascii="Bookman Old Style" w:hAnsi="Bookman Old Style"/>
          <w:i/>
          <w:sz w:val="24"/>
          <w:szCs w:val="24"/>
        </w:rPr>
        <w:footnoteReference w:id="2"/>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sz w:val="24"/>
          <w:szCs w:val="24"/>
        </w:rPr>
      </w:pPr>
      <w:r w:rsidRPr="003301B8">
        <w:rPr>
          <w:rFonts w:ascii="Bookman Old Style" w:hAnsi="Bookman Old Style"/>
          <w:sz w:val="24"/>
          <w:szCs w:val="24"/>
        </w:rPr>
        <w:t>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FA2D36" w:rsidRPr="003301B8" w:rsidRDefault="00FA2D36" w:rsidP="00FA2D36">
      <w:pPr>
        <w:pStyle w:val="Prrafodelista"/>
        <w:ind w:left="0"/>
        <w:jc w:val="both"/>
        <w:rPr>
          <w:rFonts w:ascii="Bookman Old Style" w:hAnsi="Bookman Old Style"/>
          <w:sz w:val="24"/>
          <w:szCs w:val="24"/>
        </w:rPr>
      </w:pPr>
    </w:p>
    <w:p w:rsidR="00FA2D36" w:rsidRPr="003301B8" w:rsidRDefault="00FA2D36" w:rsidP="00FA2D36">
      <w:pPr>
        <w:pStyle w:val="Prrafodelista"/>
        <w:ind w:left="0"/>
        <w:jc w:val="both"/>
        <w:rPr>
          <w:rFonts w:ascii="Bookman Old Style" w:hAnsi="Bookman Old Style"/>
          <w:i/>
          <w:sz w:val="24"/>
          <w:szCs w:val="24"/>
        </w:rPr>
      </w:pPr>
      <w:r w:rsidRPr="003301B8">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FA2D36" w:rsidRPr="003301B8" w:rsidRDefault="00FA2D36" w:rsidP="00FA2D36">
      <w:pPr>
        <w:pStyle w:val="Prrafodelista"/>
        <w:ind w:left="0"/>
        <w:jc w:val="both"/>
        <w:rPr>
          <w:rFonts w:ascii="Bookman Old Style" w:hAnsi="Bookman Old Style"/>
          <w:i/>
          <w:sz w:val="24"/>
          <w:szCs w:val="24"/>
        </w:rPr>
      </w:pPr>
    </w:p>
    <w:p w:rsidR="00FA2D36" w:rsidRPr="003301B8" w:rsidRDefault="00FA2D36" w:rsidP="00FA2D36">
      <w:pPr>
        <w:pStyle w:val="Prrafodelista"/>
        <w:ind w:left="0"/>
        <w:jc w:val="both"/>
        <w:rPr>
          <w:rFonts w:ascii="Bookman Old Style" w:hAnsi="Bookman Old Style"/>
          <w:i/>
          <w:sz w:val="24"/>
          <w:szCs w:val="24"/>
        </w:rPr>
      </w:pPr>
      <w:r w:rsidRPr="003301B8">
        <w:rPr>
          <w:rFonts w:ascii="Bookman Old Style" w:hAnsi="Bookman Old Style"/>
          <w:i/>
          <w:sz w:val="24"/>
          <w:szCs w:val="24"/>
        </w:rPr>
        <w:t>•</w:t>
      </w:r>
      <w:r w:rsidRPr="003301B8">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FA2D36" w:rsidRPr="003301B8" w:rsidRDefault="00FA2D36" w:rsidP="00FA2D36">
      <w:pPr>
        <w:pStyle w:val="Prrafodelista"/>
        <w:ind w:left="0"/>
        <w:jc w:val="both"/>
        <w:rPr>
          <w:rFonts w:ascii="Bookman Old Style" w:hAnsi="Bookman Old Style"/>
          <w:i/>
          <w:sz w:val="24"/>
          <w:szCs w:val="24"/>
        </w:rPr>
      </w:pPr>
    </w:p>
    <w:p w:rsidR="00FA2D36" w:rsidRPr="003301B8" w:rsidRDefault="00FA2D36" w:rsidP="00FA2D36">
      <w:pPr>
        <w:pStyle w:val="Prrafodelista"/>
        <w:ind w:left="0"/>
        <w:jc w:val="both"/>
        <w:rPr>
          <w:rFonts w:ascii="Bookman Old Style" w:hAnsi="Bookman Old Style"/>
          <w:i/>
          <w:sz w:val="24"/>
          <w:szCs w:val="24"/>
          <w:highlight w:val="yellow"/>
        </w:rPr>
      </w:pPr>
      <w:r w:rsidRPr="003301B8">
        <w:rPr>
          <w:rFonts w:ascii="Bookman Old Style" w:hAnsi="Bookman Old Style"/>
          <w:i/>
          <w:sz w:val="24"/>
          <w:szCs w:val="24"/>
        </w:rPr>
        <w:t>•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base gravable del tributo con erogaciones que (no) hacen parte de los gastos de funcionamiento de las entidades vigiladas".</w:t>
      </w:r>
    </w:p>
    <w:p w:rsidR="00FA2D36" w:rsidRPr="003301B8" w:rsidRDefault="00FA2D36" w:rsidP="00FA2D36">
      <w:pPr>
        <w:pStyle w:val="Prrafodelista"/>
        <w:ind w:left="0"/>
        <w:jc w:val="both"/>
        <w:rPr>
          <w:rFonts w:ascii="Bookman Old Style" w:hAnsi="Bookman Old Style"/>
          <w:i/>
          <w:sz w:val="24"/>
          <w:szCs w:val="24"/>
          <w:highlight w:val="yellow"/>
        </w:rPr>
      </w:pPr>
    </w:p>
    <w:p w:rsidR="00FA2D36" w:rsidRPr="003301B8" w:rsidRDefault="00FA2D36" w:rsidP="00FA2D36">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301B8">
        <w:rPr>
          <w:rFonts w:ascii="Bookman Old Style" w:eastAsia="Times New Roman" w:hAnsi="Bookman Old Style" w:cs="Times New Roman"/>
          <w:sz w:val="24"/>
          <w:szCs w:val="24"/>
          <w:lang w:eastAsia="es-ES"/>
        </w:rPr>
        <w:t>Igualmente la Ley 142 de 1994 en su artículo 85 establece que para efectos de la contribución especial se tomarán los estados financieros, con corte a 31 de diciembre del año anterior, reportados en oportunidad al SUI.</w:t>
      </w:r>
    </w:p>
    <w:p w:rsidR="00FA2D36" w:rsidRPr="003301B8" w:rsidRDefault="00FA2D36" w:rsidP="00FA2D36">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301B8">
        <w:rPr>
          <w:rFonts w:ascii="Bookman Old Style" w:eastAsia="Times New Roman" w:hAnsi="Bookman Old Style" w:cs="Times New Roman"/>
          <w:sz w:val="24"/>
          <w:szCs w:val="24"/>
          <w:lang w:eastAsia="es-ES"/>
        </w:rPr>
        <w:t xml:space="preserve">La Ley 1314 de 2009, establece el proceso de convergencia a normas internacionales de información financiera, que fue reglamentado para el Grupo 1 mediante el Decreto 2784 de 2012, estableciendo los requisitos para pertenecer a este grupo, así como el cronograma de aplicación de marco normativo internacional (NIIF PLENAS), el cual estableció como período de aplicación el año 2015, por lo tanto, los primeros estados financieros de la empresas clasificados en este grupo son con corte a 31 de diciembre de 2015, como es el caso de la empresa EMPRESAS PUBLICAS DE MEDELLÍN EPM S.A. E.S.P. </w:t>
      </w:r>
    </w:p>
    <w:p w:rsidR="00FA2D36" w:rsidRPr="003301B8" w:rsidRDefault="00FA2D36" w:rsidP="00FA2D36">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301B8">
        <w:rPr>
          <w:rFonts w:ascii="Bookman Old Style" w:eastAsia="Times New Roman" w:hAnsi="Bookman Old Style" w:cs="Times New Roman"/>
          <w:sz w:val="24"/>
          <w:szCs w:val="24"/>
          <w:lang w:eastAsia="es-ES"/>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w:t>
      </w:r>
    </w:p>
    <w:p w:rsidR="00FA2D36" w:rsidRPr="003301B8" w:rsidRDefault="00FA2D36" w:rsidP="00FA2D36">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3301B8">
        <w:rPr>
          <w:rFonts w:ascii="Bookman Old Style" w:eastAsia="Times New Roman" w:hAnsi="Bookman Old Style" w:cs="Times New Roman"/>
          <w:sz w:val="24"/>
          <w:szCs w:val="24"/>
          <w:lang w:eastAsia="es-ES"/>
        </w:rPr>
        <w:t>Adicionalmente, es importante aclarar que la Ley 142 de 1994, no establece que la contribución especial este sujeto a un régimen financiero o contable, sino a los estados financieros vigentes.</w:t>
      </w:r>
    </w:p>
    <w:p w:rsidR="00FA2D36" w:rsidRPr="003301B8" w:rsidRDefault="00FA2D36" w:rsidP="00FA2D36">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r w:rsidRPr="003301B8">
        <w:rPr>
          <w:rFonts w:ascii="Bookman Old Style" w:eastAsia="Times New Roman" w:hAnsi="Bookman Old Style" w:cs="Times New Roman"/>
          <w:sz w:val="24"/>
          <w:szCs w:val="24"/>
          <w:lang w:eastAsia="es-ES"/>
        </w:rPr>
        <w:t xml:space="preserve">En este sentido, en atención a que el Consejo de Estado en </w:t>
      </w:r>
      <w:r w:rsidR="00210F7A" w:rsidRPr="003301B8">
        <w:rPr>
          <w:rFonts w:ascii="Bookman Old Style" w:eastAsia="Times New Roman" w:hAnsi="Bookman Old Style" w:cs="Times New Roman"/>
          <w:sz w:val="24"/>
          <w:szCs w:val="24"/>
          <w:lang w:eastAsia="es-ES"/>
        </w:rPr>
        <w:t>reiterada jurisprudencia ha manifestado que los gastos objeto de contribución fijada mediante la Ley 142 deben ser gastos directamente relacionados con la prestación del servicio y teniendo en cuenta que los activos sociales no corresponden a gastos directamente relacionados con la prestación del servicio</w:t>
      </w:r>
      <w:r w:rsidRPr="003301B8">
        <w:rPr>
          <w:rFonts w:ascii="Bookman Old Style" w:eastAsia="Times New Roman" w:hAnsi="Bookman Old Style" w:cs="Times New Roman"/>
          <w:sz w:val="24"/>
          <w:szCs w:val="24"/>
          <w:lang w:val="es-ES" w:eastAsia="es-ES"/>
        </w:rPr>
        <w:t xml:space="preserve">, procederá la CREG a excluir estos conceptos de la base gravable establecida en la Resolución 188 de 2016, correspondiente a la contribución especial año 2016, a cargo de </w:t>
      </w:r>
      <w:r w:rsidR="00210F7A" w:rsidRPr="003301B8">
        <w:rPr>
          <w:rFonts w:ascii="Bookman Old Style" w:eastAsia="Times New Roman" w:hAnsi="Bookman Old Style" w:cs="Times New Roman"/>
          <w:sz w:val="24"/>
          <w:szCs w:val="24"/>
          <w:lang w:val="es-ES" w:eastAsia="es-ES"/>
        </w:rPr>
        <w:t>las EMPRESAS PUBLICAS DE MEDELLÍN EPM S.A. E.S.P</w:t>
      </w:r>
      <w:r w:rsidR="00852758" w:rsidRPr="003301B8">
        <w:rPr>
          <w:rFonts w:ascii="Bookman Old Style" w:eastAsia="Times New Roman" w:hAnsi="Bookman Old Style" w:cs="Times New Roman"/>
          <w:sz w:val="24"/>
          <w:szCs w:val="24"/>
          <w:lang w:val="es-ES" w:eastAsia="es-ES"/>
        </w:rPr>
        <w:t xml:space="preserve">, </w:t>
      </w:r>
      <w:r w:rsidR="00210F7A" w:rsidRPr="003301B8">
        <w:rPr>
          <w:rFonts w:ascii="Bookman Old Style" w:eastAsia="Times New Roman" w:hAnsi="Bookman Old Style" w:cs="Times New Roman"/>
          <w:sz w:val="24"/>
          <w:szCs w:val="24"/>
          <w:lang w:val="es-ES" w:eastAsia="es-ES"/>
        </w:rPr>
        <w:t xml:space="preserve">por </w:t>
      </w:r>
      <w:r w:rsidRPr="003301B8">
        <w:rPr>
          <w:rFonts w:ascii="Bookman Old Style" w:eastAsia="Times New Roman" w:hAnsi="Bookman Old Style" w:cs="Times New Roman"/>
          <w:sz w:val="24"/>
          <w:szCs w:val="24"/>
          <w:lang w:val="es-ES" w:eastAsia="es-ES"/>
        </w:rPr>
        <w:t>l</w:t>
      </w:r>
      <w:r w:rsidR="00210F7A" w:rsidRPr="003301B8">
        <w:rPr>
          <w:rFonts w:ascii="Bookman Old Style" w:eastAsia="Times New Roman" w:hAnsi="Bookman Old Style" w:cs="Times New Roman"/>
          <w:sz w:val="24"/>
          <w:szCs w:val="24"/>
          <w:lang w:val="es-ES" w:eastAsia="es-ES"/>
        </w:rPr>
        <w:t>os</w:t>
      </w:r>
      <w:r w:rsidRPr="003301B8">
        <w:rPr>
          <w:rFonts w:ascii="Bookman Old Style" w:eastAsia="Times New Roman" w:hAnsi="Bookman Old Style" w:cs="Times New Roman"/>
          <w:sz w:val="24"/>
          <w:szCs w:val="24"/>
          <w:lang w:val="es-ES" w:eastAsia="es-ES"/>
        </w:rPr>
        <w:t xml:space="preserve"> servicio</w:t>
      </w:r>
      <w:r w:rsidR="00210F7A" w:rsidRPr="003301B8">
        <w:rPr>
          <w:rFonts w:ascii="Bookman Old Style" w:eastAsia="Times New Roman" w:hAnsi="Bookman Old Style" w:cs="Times New Roman"/>
          <w:sz w:val="24"/>
          <w:szCs w:val="24"/>
          <w:lang w:val="es-ES" w:eastAsia="es-ES"/>
        </w:rPr>
        <w:t>s</w:t>
      </w:r>
      <w:r w:rsidRPr="003301B8">
        <w:rPr>
          <w:rFonts w:ascii="Bookman Old Style" w:eastAsia="Times New Roman" w:hAnsi="Bookman Old Style" w:cs="Times New Roman"/>
          <w:sz w:val="24"/>
          <w:szCs w:val="24"/>
          <w:lang w:val="es-ES" w:eastAsia="es-ES"/>
        </w:rPr>
        <w:t xml:space="preserve"> público</w:t>
      </w:r>
      <w:r w:rsidR="00210F7A" w:rsidRPr="003301B8">
        <w:rPr>
          <w:rFonts w:ascii="Bookman Old Style" w:eastAsia="Times New Roman" w:hAnsi="Bookman Old Style" w:cs="Times New Roman"/>
          <w:sz w:val="24"/>
          <w:szCs w:val="24"/>
          <w:lang w:val="es-ES" w:eastAsia="es-ES"/>
        </w:rPr>
        <w:t>s</w:t>
      </w:r>
      <w:r w:rsidRPr="003301B8">
        <w:rPr>
          <w:rFonts w:ascii="Bookman Old Style" w:eastAsia="Times New Roman" w:hAnsi="Bookman Old Style" w:cs="Times New Roman"/>
          <w:sz w:val="24"/>
          <w:szCs w:val="24"/>
          <w:lang w:val="es-ES" w:eastAsia="es-ES"/>
        </w:rPr>
        <w:t xml:space="preserve"> de energía</w:t>
      </w:r>
      <w:r w:rsidR="00210F7A" w:rsidRPr="003301B8">
        <w:rPr>
          <w:rFonts w:ascii="Bookman Old Style" w:eastAsia="Times New Roman" w:hAnsi="Bookman Old Style" w:cs="Times New Roman"/>
          <w:sz w:val="24"/>
          <w:szCs w:val="24"/>
          <w:lang w:val="es-ES" w:eastAsia="es-ES"/>
        </w:rPr>
        <w:t xml:space="preserve"> y gas natural</w:t>
      </w:r>
      <w:r w:rsidRPr="003301B8">
        <w:rPr>
          <w:rFonts w:ascii="Bookman Old Style" w:eastAsia="Times New Roman" w:hAnsi="Bookman Old Style" w:cs="Times New Roman"/>
          <w:sz w:val="24"/>
          <w:szCs w:val="24"/>
          <w:lang w:val="es-ES" w:eastAsia="es-ES"/>
        </w:rPr>
        <w:t>, el valor correspondiente a “</w:t>
      </w:r>
      <w:r w:rsidR="00210F7A" w:rsidRPr="003301B8">
        <w:rPr>
          <w:rFonts w:ascii="Bookman Old Style" w:eastAsia="Times New Roman" w:hAnsi="Bookman Old Style" w:cs="Times New Roman"/>
          <w:sz w:val="24"/>
          <w:szCs w:val="24"/>
          <w:lang w:val="es-ES" w:eastAsia="es-ES"/>
        </w:rPr>
        <w:t>ACTIVOS SOCIALES</w:t>
      </w:r>
      <w:r w:rsidRPr="003301B8">
        <w:rPr>
          <w:rFonts w:ascii="Bookman Old Style" w:eastAsia="Times New Roman" w:hAnsi="Bookman Old Style" w:cs="Times New Roman"/>
          <w:sz w:val="24"/>
          <w:szCs w:val="24"/>
          <w:lang w:val="es-ES" w:eastAsia="es-ES"/>
        </w:rPr>
        <w:t>".</w:t>
      </w:r>
    </w:p>
    <w:p w:rsidR="003B272B" w:rsidRPr="003301B8" w:rsidRDefault="003B272B" w:rsidP="00FA2D36">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r w:rsidRPr="003301B8">
        <w:rPr>
          <w:rFonts w:ascii="Bookman Old Style" w:eastAsia="Times New Roman" w:hAnsi="Bookman Old Style" w:cs="Times New Roman"/>
          <w:sz w:val="24"/>
          <w:szCs w:val="24"/>
          <w:lang w:val="es-ES" w:eastAsia="es-ES"/>
        </w:rPr>
        <w:t xml:space="preserve">Así las cosas, y teniendo en cuenta que </w:t>
      </w:r>
      <w:r w:rsidR="00B50649" w:rsidRPr="003301B8">
        <w:rPr>
          <w:rFonts w:ascii="Bookman Old Style" w:eastAsia="Times New Roman" w:hAnsi="Bookman Old Style" w:cs="Times New Roman"/>
          <w:sz w:val="24"/>
          <w:szCs w:val="24"/>
          <w:lang w:val="es-ES" w:eastAsia="es-ES"/>
        </w:rPr>
        <w:t xml:space="preserve">las EMPRESAS PUBLICAS DE MEDELLÍN EPM S.A. E.S.P., </w:t>
      </w:r>
      <w:r w:rsidRPr="003301B8">
        <w:rPr>
          <w:rFonts w:ascii="Bookman Old Style" w:eastAsia="Times New Roman" w:hAnsi="Bookman Old Style" w:cs="Times New Roman"/>
          <w:sz w:val="24"/>
          <w:szCs w:val="24"/>
          <w:lang w:val="es-ES" w:eastAsia="es-ES"/>
        </w:rPr>
        <w:t>ya se hab</w:t>
      </w:r>
      <w:r w:rsidR="00B50649" w:rsidRPr="003301B8">
        <w:rPr>
          <w:rFonts w:ascii="Bookman Old Style" w:eastAsia="Times New Roman" w:hAnsi="Bookman Old Style" w:cs="Times New Roman"/>
          <w:sz w:val="24"/>
          <w:szCs w:val="24"/>
          <w:lang w:val="es-ES" w:eastAsia="es-ES"/>
        </w:rPr>
        <w:t>ía presentado</w:t>
      </w:r>
      <w:r w:rsidRPr="003301B8">
        <w:rPr>
          <w:rFonts w:ascii="Bookman Old Style" w:eastAsia="Times New Roman" w:hAnsi="Bookman Old Style" w:cs="Times New Roman"/>
          <w:sz w:val="24"/>
          <w:szCs w:val="24"/>
          <w:lang w:val="es-ES" w:eastAsia="es-ES"/>
        </w:rPr>
        <w:t xml:space="preserve"> comentarios,</w:t>
      </w:r>
      <w:r w:rsidR="00B50649" w:rsidRPr="003301B8">
        <w:rPr>
          <w:rFonts w:ascii="Bookman Old Style" w:eastAsia="Times New Roman" w:hAnsi="Bookman Old Style" w:cs="Times New Roman"/>
          <w:sz w:val="24"/>
          <w:szCs w:val="24"/>
          <w:lang w:val="es-ES" w:eastAsia="es-ES"/>
        </w:rPr>
        <w:t xml:space="preserve"> a la resolución los cuales fueron aceptados parcialmente</w:t>
      </w:r>
      <w:r w:rsidRPr="003301B8">
        <w:rPr>
          <w:rFonts w:ascii="Bookman Old Style" w:eastAsia="Times New Roman" w:hAnsi="Bookman Old Style" w:cs="Times New Roman"/>
          <w:sz w:val="24"/>
          <w:szCs w:val="24"/>
          <w:lang w:val="es-ES" w:eastAsia="es-ES"/>
        </w:rPr>
        <w:t xml:space="preserve"> la CREG tendrá en cuenta los siguientes valores: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52"/>
        <w:gridCol w:w="2033"/>
        <w:gridCol w:w="2503"/>
      </w:tblGrid>
      <w:tr w:rsidR="003B272B" w:rsidRPr="003301B8" w:rsidTr="003B272B">
        <w:trPr>
          <w:jc w:val="center"/>
        </w:trPr>
        <w:tc>
          <w:tcPr>
            <w:tcW w:w="7088" w:type="dxa"/>
            <w:gridSpan w:val="3"/>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center"/>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EMPRESAS PÚBLICAS DE MEDELLÍN</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p>
        </w:tc>
        <w:tc>
          <w:tcPr>
            <w:tcW w:w="203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center"/>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Sector Energía</w:t>
            </w:r>
          </w:p>
        </w:tc>
        <w:tc>
          <w:tcPr>
            <w:tcW w:w="250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center"/>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Sector Gas Natural</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Base Reportada</w:t>
            </w:r>
          </w:p>
        </w:tc>
        <w:tc>
          <w:tcPr>
            <w:tcW w:w="2033" w:type="dxa"/>
            <w:vAlign w:val="bottom"/>
          </w:tcPr>
          <w:p w:rsidR="003B272B"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w:t>
            </w:r>
            <w:r w:rsidR="003B272B" w:rsidRPr="003301B8">
              <w:rPr>
                <w:rFonts w:ascii="Bookman Old Style" w:eastAsiaTheme="minorHAnsi" w:hAnsi="Bookman Old Style" w:cs="Calibri"/>
                <w:color w:val="000000"/>
                <w:sz w:val="18"/>
                <w:szCs w:val="18"/>
                <w:lang w:val="es-CO" w:eastAsia="en-US"/>
              </w:rPr>
              <w:t>527,888,899,562.00</w:t>
            </w:r>
          </w:p>
        </w:tc>
        <w:tc>
          <w:tcPr>
            <w:tcW w:w="2503" w:type="dxa"/>
            <w:vAlign w:val="bottom"/>
          </w:tcPr>
          <w:p w:rsidR="003B272B"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w:t>
            </w:r>
            <w:r w:rsidR="003B272B" w:rsidRPr="003301B8">
              <w:rPr>
                <w:rFonts w:ascii="Bookman Old Style" w:eastAsiaTheme="minorHAnsi" w:hAnsi="Bookman Old Style" w:cs="Calibri"/>
                <w:color w:val="000000"/>
                <w:sz w:val="18"/>
                <w:szCs w:val="18"/>
                <w:lang w:val="es-CO" w:eastAsia="en-US"/>
              </w:rPr>
              <w:t>53,712,022,671.00</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Impuestos</w:t>
            </w:r>
          </w:p>
        </w:tc>
        <w:tc>
          <w:tcPr>
            <w:tcW w:w="203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-99,550,478,244.00</w:t>
            </w:r>
          </w:p>
        </w:tc>
        <w:tc>
          <w:tcPr>
            <w:tcW w:w="250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-11,595,754,459.00</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Provisiones y Amortizaciones</w:t>
            </w:r>
          </w:p>
        </w:tc>
        <w:tc>
          <w:tcPr>
            <w:tcW w:w="203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-58,025,279,797.00</w:t>
            </w:r>
          </w:p>
        </w:tc>
        <w:tc>
          <w:tcPr>
            <w:tcW w:w="250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-4,718,764,972.00</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Activos Sociales</w:t>
            </w:r>
          </w:p>
        </w:tc>
        <w:tc>
          <w:tcPr>
            <w:tcW w:w="203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-65,130,347,815.00</w:t>
            </w:r>
          </w:p>
        </w:tc>
        <w:tc>
          <w:tcPr>
            <w:tcW w:w="2503"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-3,039,971,144.00</w:t>
            </w:r>
          </w:p>
        </w:tc>
      </w:tr>
      <w:tr w:rsidR="003B272B" w:rsidRPr="003301B8" w:rsidTr="003B272B">
        <w:trPr>
          <w:jc w:val="center"/>
        </w:trPr>
        <w:tc>
          <w:tcPr>
            <w:tcW w:w="2552" w:type="dxa"/>
            <w:vAlign w:val="bottom"/>
          </w:tcPr>
          <w:p w:rsidR="003B272B" w:rsidRPr="003301B8" w:rsidRDefault="003B272B"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Base Final</w:t>
            </w:r>
          </w:p>
        </w:tc>
        <w:tc>
          <w:tcPr>
            <w:tcW w:w="2033" w:type="dxa"/>
            <w:vAlign w:val="bottom"/>
          </w:tcPr>
          <w:p w:rsidR="003B272B"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w:t>
            </w:r>
            <w:r w:rsidR="003B272B" w:rsidRPr="003301B8">
              <w:rPr>
                <w:rFonts w:ascii="Bookman Old Style" w:eastAsiaTheme="minorHAnsi" w:hAnsi="Bookman Old Style" w:cs="Calibri"/>
                <w:color w:val="000000"/>
                <w:sz w:val="18"/>
                <w:szCs w:val="18"/>
                <w:lang w:val="es-CO" w:eastAsia="en-US"/>
              </w:rPr>
              <w:t>305,182,793,706.00</w:t>
            </w:r>
          </w:p>
        </w:tc>
        <w:tc>
          <w:tcPr>
            <w:tcW w:w="2503" w:type="dxa"/>
            <w:vAlign w:val="bottom"/>
          </w:tcPr>
          <w:p w:rsidR="003B272B"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w:t>
            </w:r>
            <w:r w:rsidR="003B272B" w:rsidRPr="003301B8">
              <w:rPr>
                <w:rFonts w:ascii="Bookman Old Style" w:eastAsiaTheme="minorHAnsi" w:hAnsi="Bookman Old Style" w:cs="Calibri"/>
                <w:color w:val="000000"/>
                <w:sz w:val="18"/>
                <w:szCs w:val="18"/>
                <w:lang w:val="es-CO" w:eastAsia="en-US"/>
              </w:rPr>
              <w:t>34,357,532,096.00</w:t>
            </w:r>
          </w:p>
        </w:tc>
      </w:tr>
      <w:tr w:rsidR="00F63CE3" w:rsidRPr="003301B8" w:rsidTr="003B272B">
        <w:trPr>
          <w:jc w:val="center"/>
        </w:trPr>
        <w:tc>
          <w:tcPr>
            <w:tcW w:w="2552" w:type="dxa"/>
            <w:vAlign w:val="bottom"/>
          </w:tcPr>
          <w:p w:rsidR="00F63CE3"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Valor Contribución</w:t>
            </w:r>
          </w:p>
        </w:tc>
        <w:tc>
          <w:tcPr>
            <w:tcW w:w="2033" w:type="dxa"/>
            <w:vAlign w:val="bottom"/>
          </w:tcPr>
          <w:p w:rsidR="00F63CE3"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$2.531.033.500</w:t>
            </w:r>
          </w:p>
        </w:tc>
        <w:tc>
          <w:tcPr>
            <w:tcW w:w="2503" w:type="dxa"/>
            <w:vAlign w:val="bottom"/>
          </w:tcPr>
          <w:p w:rsidR="00F63CE3" w:rsidRPr="003301B8" w:rsidRDefault="00F63CE3" w:rsidP="003B272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0"/>
              <w:jc w:val="right"/>
              <w:rPr>
                <w:rFonts w:ascii="Bookman Old Style" w:eastAsiaTheme="minorHAnsi" w:hAnsi="Bookman Old Style" w:cs="Calibri"/>
                <w:color w:val="000000"/>
                <w:sz w:val="18"/>
                <w:szCs w:val="18"/>
                <w:lang w:val="es-CO" w:eastAsia="en-US"/>
              </w:rPr>
            </w:pPr>
            <w:r w:rsidRPr="003301B8">
              <w:rPr>
                <w:rFonts w:ascii="Bookman Old Style" w:eastAsiaTheme="minorHAnsi" w:hAnsi="Bookman Old Style" w:cs="Calibri"/>
                <w:color w:val="000000"/>
                <w:sz w:val="18"/>
                <w:szCs w:val="18"/>
                <w:lang w:val="es-CO" w:eastAsia="en-US"/>
              </w:rPr>
              <w:t>$284.944.122</w:t>
            </w:r>
          </w:p>
        </w:tc>
      </w:tr>
    </w:tbl>
    <w:p w:rsidR="003B272B" w:rsidRPr="003301B8" w:rsidRDefault="003B272B" w:rsidP="00FA2D36">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p>
    <w:p w:rsidR="00852758" w:rsidRPr="003301B8" w:rsidRDefault="00852758" w:rsidP="00FA2D36">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p>
    <w:p w:rsidR="00FA2D36" w:rsidRDefault="00FA2D36" w:rsidP="00FA2D36">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r w:rsidRPr="003301B8">
        <w:rPr>
          <w:rFonts w:ascii="Bookman Old Style" w:eastAsia="Times New Roman" w:hAnsi="Bookman Old Style" w:cs="Times New Roman"/>
          <w:sz w:val="24"/>
          <w:szCs w:val="24"/>
          <w:lang w:val="es-ES" w:eastAsia="es-ES"/>
        </w:rPr>
        <w:t xml:space="preserve">En este orden de ideas, una vez efectuada la exclusión solicitada la base gravable de contribución para las EMPRESAS PUBLICAS DE MEDELLÍN EPM S.A. E.S.P., </w:t>
      </w:r>
      <w:r w:rsidR="00BD58F8" w:rsidRPr="003301B8">
        <w:rPr>
          <w:rFonts w:ascii="Bookman Old Style" w:eastAsia="Times New Roman" w:hAnsi="Bookman Old Style" w:cs="Times New Roman"/>
          <w:sz w:val="24"/>
          <w:szCs w:val="24"/>
          <w:lang w:val="es-ES" w:eastAsia="es-ES"/>
        </w:rPr>
        <w:t xml:space="preserve">por el sector de energía </w:t>
      </w:r>
      <w:r w:rsidRPr="003301B8">
        <w:rPr>
          <w:rFonts w:ascii="Bookman Old Style" w:eastAsia="Times New Roman" w:hAnsi="Bookman Old Style" w:cs="Times New Roman"/>
          <w:sz w:val="24"/>
          <w:szCs w:val="24"/>
          <w:lang w:val="es-ES" w:eastAsia="es-ES"/>
        </w:rPr>
        <w:t xml:space="preserve">corresponde al valor de </w:t>
      </w:r>
      <w:r w:rsidR="003B272B" w:rsidRPr="003301B8">
        <w:rPr>
          <w:rFonts w:ascii="Bookman Old Style" w:eastAsia="Times New Roman" w:hAnsi="Bookman Old Style" w:cs="Times New Roman"/>
          <w:sz w:val="24"/>
          <w:szCs w:val="24"/>
          <w:lang w:val="es-ES" w:eastAsia="es-ES"/>
        </w:rPr>
        <w:t xml:space="preserve">TRESCIENTOS CINCO MIL CIENTO OCHENTA Y DOS MILLONES SETECIENTOS NOVENTA Y TRES MIL SETECIENTOS SEIS </w:t>
      </w:r>
      <w:r w:rsidR="00BD58F8" w:rsidRPr="003301B8">
        <w:rPr>
          <w:rFonts w:ascii="Bookman Old Style" w:eastAsia="Times New Roman" w:hAnsi="Bookman Old Style" w:cs="Times New Roman"/>
          <w:sz w:val="24"/>
          <w:szCs w:val="24"/>
          <w:lang w:val="es-ES" w:eastAsia="es-ES"/>
        </w:rPr>
        <w:t>PESOS</w:t>
      </w:r>
      <w:r w:rsidR="00CE714D">
        <w:rPr>
          <w:rFonts w:ascii="Bookman Old Style" w:eastAsia="Times New Roman" w:hAnsi="Bookman Old Style" w:cs="Times New Roman"/>
          <w:sz w:val="24"/>
          <w:szCs w:val="24"/>
          <w:lang w:val="es-ES" w:eastAsia="es-ES"/>
        </w:rPr>
        <w:t xml:space="preserve"> M/CTE</w:t>
      </w:r>
      <w:r w:rsidR="00BD58F8" w:rsidRPr="003301B8">
        <w:rPr>
          <w:rFonts w:ascii="Bookman Old Style" w:eastAsia="Times New Roman" w:hAnsi="Bookman Old Style" w:cs="Times New Roman"/>
          <w:sz w:val="24"/>
          <w:szCs w:val="24"/>
          <w:lang w:val="es-ES" w:eastAsia="es-ES"/>
        </w:rPr>
        <w:t xml:space="preserve"> </w:t>
      </w:r>
      <w:r w:rsidRPr="003301B8">
        <w:rPr>
          <w:rFonts w:ascii="Bookman Old Style" w:eastAsia="Times New Roman" w:hAnsi="Bookman Old Style" w:cs="Times New Roman"/>
          <w:sz w:val="24"/>
          <w:szCs w:val="24"/>
          <w:lang w:val="es-ES" w:eastAsia="es-ES"/>
        </w:rPr>
        <w:t>($</w:t>
      </w:r>
      <w:r w:rsidR="003B272B" w:rsidRPr="003301B8">
        <w:rPr>
          <w:rFonts w:ascii="Bookman Old Style" w:eastAsia="Times New Roman" w:hAnsi="Bookman Old Style" w:cs="Times New Roman"/>
          <w:sz w:val="24"/>
          <w:szCs w:val="24"/>
          <w:lang w:val="es-ES" w:eastAsia="es-ES"/>
        </w:rPr>
        <w:t>305.182.793.706</w:t>
      </w:r>
      <w:r w:rsidRPr="003301B8">
        <w:rPr>
          <w:rFonts w:ascii="Bookman Old Style" w:eastAsia="Times New Roman" w:hAnsi="Bookman Old Style" w:cs="Times New Roman"/>
          <w:sz w:val="24"/>
          <w:szCs w:val="24"/>
          <w:lang w:val="es-ES" w:eastAsia="es-ES"/>
        </w:rPr>
        <w:t>.oo</w:t>
      </w:r>
      <w:r w:rsidR="00BD58F8" w:rsidRPr="003301B8">
        <w:rPr>
          <w:rFonts w:ascii="Bookman Old Style" w:eastAsia="Times New Roman" w:hAnsi="Bookman Old Style" w:cs="Times New Roman"/>
          <w:sz w:val="24"/>
          <w:szCs w:val="24"/>
          <w:lang w:val="es-ES" w:eastAsia="es-ES"/>
        </w:rPr>
        <w:t xml:space="preserve">) </w:t>
      </w:r>
      <w:r w:rsidRPr="003301B8">
        <w:rPr>
          <w:rFonts w:ascii="Bookman Old Style" w:eastAsia="Times New Roman" w:hAnsi="Bookman Old Style" w:cs="Times New Roman"/>
          <w:sz w:val="24"/>
          <w:szCs w:val="24"/>
          <w:lang w:val="es-ES" w:eastAsia="es-ES"/>
        </w:rPr>
        <w:t xml:space="preserve">el valor correspondiente a pagar por concepto de contribución </w:t>
      </w:r>
      <w:r w:rsidR="00BD58F8" w:rsidRPr="003301B8">
        <w:rPr>
          <w:rFonts w:ascii="Bookman Old Style" w:eastAsia="Times New Roman" w:hAnsi="Bookman Old Style" w:cs="Times New Roman"/>
          <w:sz w:val="24"/>
          <w:szCs w:val="24"/>
          <w:lang w:val="es-ES" w:eastAsia="es-ES"/>
        </w:rPr>
        <w:t xml:space="preserve">sector energía </w:t>
      </w:r>
      <w:r w:rsidRPr="003301B8">
        <w:rPr>
          <w:rFonts w:ascii="Bookman Old Style" w:eastAsia="Times New Roman" w:hAnsi="Bookman Old Style" w:cs="Times New Roman"/>
          <w:sz w:val="24"/>
          <w:szCs w:val="24"/>
          <w:lang w:val="es-ES" w:eastAsia="es-ES"/>
        </w:rPr>
        <w:t xml:space="preserve">asciende a la suma de </w:t>
      </w:r>
      <w:r w:rsidR="00BD58F8" w:rsidRPr="003301B8">
        <w:rPr>
          <w:rFonts w:ascii="Bookman Old Style" w:eastAsia="Times New Roman" w:hAnsi="Bookman Old Style" w:cs="Times New Roman"/>
          <w:sz w:val="24"/>
          <w:szCs w:val="24"/>
          <w:lang w:val="es-ES" w:eastAsia="es-ES"/>
        </w:rPr>
        <w:t>DOS MIL QUINIENTOS TREINTA Y UN MILLONES TREINTA Y TRES MIL QUINIENTOS PESOS</w:t>
      </w:r>
      <w:r w:rsidR="00CE714D">
        <w:rPr>
          <w:rFonts w:ascii="Bookman Old Style" w:eastAsia="Times New Roman" w:hAnsi="Bookman Old Style" w:cs="Times New Roman"/>
          <w:sz w:val="24"/>
          <w:szCs w:val="24"/>
          <w:lang w:val="es-ES" w:eastAsia="es-ES"/>
        </w:rPr>
        <w:t xml:space="preserve"> M/CTE</w:t>
      </w:r>
      <w:r w:rsidR="00BD58F8" w:rsidRPr="003301B8">
        <w:rPr>
          <w:rFonts w:ascii="Bookman Old Style" w:eastAsia="Times New Roman" w:hAnsi="Bookman Old Style" w:cs="Times New Roman"/>
          <w:sz w:val="24"/>
          <w:szCs w:val="24"/>
          <w:lang w:val="es-ES" w:eastAsia="es-ES"/>
        </w:rPr>
        <w:t xml:space="preserve"> ($2.531.033.500.oo) y por el sector de gas natural  corresponde al valor de </w:t>
      </w:r>
      <w:r w:rsidR="007F3B28" w:rsidRPr="003301B8">
        <w:rPr>
          <w:rFonts w:ascii="Bookman Old Style" w:eastAsia="Times New Roman" w:hAnsi="Bookman Old Style" w:cs="Times New Roman"/>
          <w:sz w:val="24"/>
          <w:szCs w:val="24"/>
          <w:lang w:val="es-ES" w:eastAsia="es-ES"/>
        </w:rPr>
        <w:t>TREINTA Y C</w:t>
      </w:r>
      <w:r w:rsidR="00F63CE3" w:rsidRPr="003301B8">
        <w:rPr>
          <w:rFonts w:ascii="Bookman Old Style" w:eastAsia="Times New Roman" w:hAnsi="Bookman Old Style" w:cs="Times New Roman"/>
          <w:sz w:val="24"/>
          <w:szCs w:val="24"/>
          <w:lang w:val="es-ES" w:eastAsia="es-ES"/>
        </w:rPr>
        <w:t>U</w:t>
      </w:r>
      <w:r w:rsidR="007F3B28" w:rsidRPr="003301B8">
        <w:rPr>
          <w:rFonts w:ascii="Bookman Old Style" w:eastAsia="Times New Roman" w:hAnsi="Bookman Old Style" w:cs="Times New Roman"/>
          <w:sz w:val="24"/>
          <w:szCs w:val="24"/>
          <w:lang w:val="es-ES" w:eastAsia="es-ES"/>
        </w:rPr>
        <w:t>A</w:t>
      </w:r>
      <w:r w:rsidR="00F63CE3" w:rsidRPr="003301B8">
        <w:rPr>
          <w:rFonts w:ascii="Bookman Old Style" w:eastAsia="Times New Roman" w:hAnsi="Bookman Old Style" w:cs="Times New Roman"/>
          <w:sz w:val="24"/>
          <w:szCs w:val="24"/>
          <w:lang w:val="es-ES" w:eastAsia="es-ES"/>
        </w:rPr>
        <w:t xml:space="preserve">TRO MIL TRESCIENTOS CINCUENTA Y SIETE MILLONES QUINIENTOS TREINTA </w:t>
      </w:r>
      <w:r w:rsidR="00CE714D">
        <w:rPr>
          <w:rFonts w:ascii="Bookman Old Style" w:eastAsia="Times New Roman" w:hAnsi="Bookman Old Style" w:cs="Times New Roman"/>
          <w:sz w:val="24"/>
          <w:szCs w:val="24"/>
          <w:lang w:val="es-ES" w:eastAsia="es-ES"/>
        </w:rPr>
        <w:t xml:space="preserve">Y DOS MIL NOVENTA Y SEIS PESOS M/CTE </w:t>
      </w:r>
      <w:r w:rsidR="00BD58F8" w:rsidRPr="003301B8">
        <w:rPr>
          <w:rFonts w:ascii="Bookman Old Style" w:eastAsia="Times New Roman" w:hAnsi="Bookman Old Style" w:cs="Times New Roman"/>
          <w:sz w:val="24"/>
          <w:szCs w:val="24"/>
          <w:lang w:val="es-ES" w:eastAsia="es-ES"/>
        </w:rPr>
        <w:t>($</w:t>
      </w:r>
      <w:r w:rsidR="00F63CE3" w:rsidRPr="003301B8">
        <w:rPr>
          <w:rFonts w:ascii="Bookman Old Style" w:eastAsia="Times New Roman" w:hAnsi="Bookman Old Style" w:cs="Times New Roman"/>
          <w:sz w:val="24"/>
          <w:szCs w:val="24"/>
          <w:lang w:val="es-ES" w:eastAsia="es-ES"/>
        </w:rPr>
        <w:t>34.357.532.096</w:t>
      </w:r>
      <w:r w:rsidR="00BD58F8" w:rsidRPr="003301B8">
        <w:rPr>
          <w:rFonts w:ascii="Bookman Old Style" w:eastAsia="Times New Roman" w:hAnsi="Bookman Old Style" w:cs="Times New Roman"/>
          <w:sz w:val="24"/>
          <w:szCs w:val="24"/>
          <w:lang w:val="es-ES" w:eastAsia="es-ES"/>
        </w:rPr>
        <w:t>.oo) el valor correspondiente a pagar por concepto de contribución sector gas natural  as</w:t>
      </w:r>
      <w:r w:rsidR="00CE714D">
        <w:rPr>
          <w:rFonts w:ascii="Bookman Old Style" w:eastAsia="Times New Roman" w:hAnsi="Bookman Old Style" w:cs="Times New Roman"/>
          <w:sz w:val="24"/>
          <w:szCs w:val="24"/>
          <w:lang w:val="es-ES" w:eastAsia="es-ES"/>
        </w:rPr>
        <w:t>ciende a la suma de DOSCIENTOS OCHENTA Y CUATRO MILLONES NOVECIENTOS CUARENTA Y CUATRO MIL CIENTO VEINTIDOS PESOS M/CTE ($284.944.12</w:t>
      </w:r>
      <w:r w:rsidR="00BD58F8" w:rsidRPr="003301B8">
        <w:rPr>
          <w:rFonts w:ascii="Bookman Old Style" w:eastAsia="Times New Roman" w:hAnsi="Bookman Old Style" w:cs="Times New Roman"/>
          <w:sz w:val="24"/>
          <w:szCs w:val="24"/>
          <w:lang w:val="es-ES" w:eastAsia="es-ES"/>
        </w:rPr>
        <w:t>2.oo)</w:t>
      </w:r>
      <w:r w:rsidR="00CE714D">
        <w:rPr>
          <w:rFonts w:ascii="Bookman Old Style" w:eastAsia="Times New Roman" w:hAnsi="Bookman Old Style" w:cs="Times New Roman"/>
          <w:sz w:val="24"/>
          <w:szCs w:val="24"/>
          <w:lang w:val="es-ES" w:eastAsia="es-ES"/>
        </w:rPr>
        <w:t>.</w:t>
      </w:r>
    </w:p>
    <w:p w:rsidR="00F20A85" w:rsidRPr="00B84711" w:rsidRDefault="00F20A85" w:rsidP="00F20A85">
      <w:pPr>
        <w:tabs>
          <w:tab w:val="center" w:pos="4680"/>
        </w:tabs>
        <w:spacing w:after="280"/>
        <w:ind w:left="0"/>
        <w:jc w:val="both"/>
        <w:rPr>
          <w:rFonts w:ascii="Bookman Old Style" w:hAnsi="Bookman Old Style" w:cs="Arial"/>
          <w:spacing w:val="-3"/>
        </w:rPr>
      </w:pPr>
      <w:r w:rsidRPr="00B40F3E">
        <w:rPr>
          <w:rFonts w:ascii="Bookman Old Style" w:hAnsi="Bookman Old Style" w:cs="Arial"/>
          <w:spacing w:val="-3"/>
        </w:rPr>
        <w:t xml:space="preserve">La Comisión de Regulación de Energía y Gas, en su sesión </w:t>
      </w:r>
      <w:r w:rsidRPr="00EB00FC">
        <w:rPr>
          <w:rFonts w:ascii="Bookman Old Style" w:hAnsi="Bookman Old Style" w:cs="Arial"/>
          <w:spacing w:val="-3"/>
        </w:rPr>
        <w:t>7</w:t>
      </w:r>
      <w:r>
        <w:rPr>
          <w:rFonts w:ascii="Bookman Old Style" w:hAnsi="Bookman Old Style" w:cs="Arial"/>
          <w:spacing w:val="-3"/>
        </w:rPr>
        <w:t>54</w:t>
      </w:r>
      <w:r w:rsidRPr="00EB00FC">
        <w:rPr>
          <w:rFonts w:ascii="Bookman Old Style" w:hAnsi="Bookman Old Style" w:cs="Arial"/>
          <w:spacing w:val="-3"/>
        </w:rPr>
        <w:t xml:space="preserve"> del </w:t>
      </w:r>
      <w:r>
        <w:rPr>
          <w:rFonts w:ascii="Bookman Old Style" w:hAnsi="Bookman Old Style" w:cs="Arial"/>
          <w:spacing w:val="-3"/>
        </w:rPr>
        <w:t>26</w:t>
      </w:r>
      <w:r w:rsidRPr="00EB00FC">
        <w:rPr>
          <w:rFonts w:ascii="Bookman Old Style" w:hAnsi="Bookman Old Style" w:cs="Arial"/>
          <w:spacing w:val="-3"/>
        </w:rPr>
        <w:t xml:space="preserve"> </w:t>
      </w:r>
      <w:r>
        <w:rPr>
          <w:rFonts w:ascii="Bookman Old Style" w:hAnsi="Bookman Old Style" w:cs="Arial"/>
          <w:spacing w:val="-3"/>
        </w:rPr>
        <w:t>de diciembre</w:t>
      </w:r>
      <w:r w:rsidRPr="00B84711">
        <w:rPr>
          <w:rFonts w:ascii="Bookman Old Style" w:hAnsi="Bookman Old Style" w:cs="Arial"/>
          <w:spacing w:val="-3"/>
        </w:rPr>
        <w:t xml:space="preserve"> de 201</w:t>
      </w:r>
      <w:r>
        <w:rPr>
          <w:rFonts w:ascii="Bookman Old Style" w:hAnsi="Bookman Old Style" w:cs="Arial"/>
          <w:spacing w:val="-3"/>
        </w:rPr>
        <w:t>6</w:t>
      </w:r>
      <w:r w:rsidRPr="00B84711">
        <w:rPr>
          <w:rFonts w:ascii="Bookman Old Style" w:hAnsi="Bookman Old Style" w:cs="Arial"/>
          <w:spacing w:val="-3"/>
        </w:rPr>
        <w:t xml:space="preserve">, aprobó </w:t>
      </w:r>
      <w:r>
        <w:rPr>
          <w:rFonts w:ascii="Bookman Old Style" w:hAnsi="Bookman Old Style"/>
        </w:rPr>
        <w:t>expedir la presente resolución</w:t>
      </w:r>
      <w:r w:rsidRPr="00B84711">
        <w:rPr>
          <w:rFonts w:ascii="Bookman Old Style" w:hAnsi="Bookman Old Style" w:cs="Arial"/>
          <w:spacing w:val="-3"/>
        </w:rPr>
        <w:t>.</w:t>
      </w:r>
    </w:p>
    <w:p w:rsidR="00FA2D36" w:rsidRPr="003301B8" w:rsidRDefault="00FA2D36" w:rsidP="00FA2D36">
      <w:pPr>
        <w:tabs>
          <w:tab w:val="center" w:pos="4512"/>
        </w:tabs>
        <w:suppressAutoHyphens/>
        <w:ind w:left="0"/>
        <w:jc w:val="both"/>
        <w:rPr>
          <w:rFonts w:ascii="Bookman Old Style" w:hAnsi="Bookman Old Style"/>
          <w:b/>
          <w:i/>
          <w:spacing w:val="-3"/>
        </w:rPr>
      </w:pPr>
    </w:p>
    <w:p w:rsidR="00FA2D36" w:rsidRPr="003301B8" w:rsidRDefault="00FA2D36" w:rsidP="00FA2D36">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FA2D36" w:rsidRPr="003301B8" w:rsidRDefault="00FA2D36" w:rsidP="00FA2D36">
      <w:pPr>
        <w:ind w:left="0"/>
        <w:jc w:val="both"/>
        <w:rPr>
          <w:rFonts w:ascii="Bookman Old Style" w:hAnsi="Bookman Old Style"/>
          <w:b/>
        </w:rPr>
      </w:pPr>
    </w:p>
    <w:p w:rsidR="00FA2D36" w:rsidRPr="003301B8" w:rsidRDefault="00FA2D36" w:rsidP="00FA2D36">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Pr="003301B8">
        <w:rPr>
          <w:rFonts w:ascii="Bookman Old Style" w:hAnsi="Bookman Old Style"/>
          <w:b/>
        </w:rPr>
        <w:t xml:space="preserve">MODIFICAR, </w:t>
      </w:r>
      <w:r w:rsidRPr="003301B8">
        <w:rPr>
          <w:rFonts w:ascii="Bookman Old Style" w:hAnsi="Bookman Old Style"/>
        </w:rPr>
        <w:t xml:space="preserve"> El artículo primero de la resolución CREG-188 de  2016, en la cual se señala la base gravable y el valor a pagar por las </w:t>
      </w:r>
      <w:r w:rsidRPr="003301B8">
        <w:rPr>
          <w:rFonts w:ascii="Bookman Old Style" w:hAnsi="Bookman Old Style" w:cs="Arial"/>
        </w:rPr>
        <w:t>EMPRESAS PUBLICAS DE MEDELLÍN EPM</w:t>
      </w:r>
      <w:r w:rsidRPr="003301B8">
        <w:rPr>
          <w:rFonts w:ascii="Bookman Old Style" w:hAnsi="Bookman Old Style"/>
          <w:bCs/>
        </w:rPr>
        <w:t xml:space="preserve"> S.A. E.S.P., </w:t>
      </w:r>
      <w:r w:rsidRPr="003301B8">
        <w:rPr>
          <w:rFonts w:ascii="Bookman Old Style" w:hAnsi="Bookman Old Style"/>
        </w:rPr>
        <w:t xml:space="preserve"> con fundamento en las razones expuestas en la parte motiva de este proveído.</w:t>
      </w:r>
    </w:p>
    <w:p w:rsidR="00FA2D36" w:rsidRPr="003301B8" w:rsidRDefault="00FA2D36" w:rsidP="00FA2D36">
      <w:pPr>
        <w:ind w:left="0"/>
        <w:jc w:val="both"/>
        <w:rPr>
          <w:rFonts w:ascii="Bookman Old Style" w:hAnsi="Bookman Old Style"/>
          <w:b/>
        </w:rPr>
      </w:pPr>
    </w:p>
    <w:p w:rsidR="00BD58F8" w:rsidRPr="003301B8" w:rsidRDefault="00FA2D36" w:rsidP="00FA2D36">
      <w:pPr>
        <w:ind w:left="0"/>
        <w:jc w:val="both"/>
        <w:rPr>
          <w:rFonts w:ascii="Bookman Old Style" w:hAnsi="Bookman Old Style"/>
          <w:bCs/>
        </w:rPr>
      </w:pPr>
      <w:r w:rsidRPr="003301B8">
        <w:rPr>
          <w:rFonts w:ascii="Bookman Old Style" w:hAnsi="Bookman Old Style"/>
          <w:b/>
        </w:rPr>
        <w:t>Parágrafo:</w:t>
      </w:r>
      <w:r w:rsidRPr="003301B8">
        <w:rPr>
          <w:rFonts w:ascii="Bookman Old Style" w:hAnsi="Bookman Old Style"/>
        </w:rPr>
        <w:t xml:space="preserve"> En consecuencia de lo anterior, el valor a pagar </w:t>
      </w:r>
      <w:r w:rsidR="00BD58F8" w:rsidRPr="003301B8">
        <w:rPr>
          <w:rFonts w:ascii="Bookman Old Style" w:hAnsi="Bookman Old Style"/>
        </w:rPr>
        <w:t xml:space="preserve">y la base gravable </w:t>
      </w:r>
      <w:r w:rsidRPr="003301B8">
        <w:rPr>
          <w:rFonts w:ascii="Bookman Old Style" w:hAnsi="Bookman Old Style"/>
        </w:rPr>
        <w:t>por parte de la</w:t>
      </w:r>
      <w:r w:rsidR="00C267A3" w:rsidRPr="003301B8">
        <w:rPr>
          <w:rFonts w:ascii="Bookman Old Style" w:hAnsi="Bookman Old Style"/>
        </w:rPr>
        <w:t>s</w:t>
      </w:r>
      <w:r w:rsidRPr="003301B8">
        <w:rPr>
          <w:rFonts w:ascii="Bookman Old Style" w:hAnsi="Bookman Old Style"/>
        </w:rPr>
        <w:t xml:space="preserve"> </w:t>
      </w:r>
      <w:r w:rsidR="00C267A3" w:rsidRPr="003301B8">
        <w:rPr>
          <w:rFonts w:ascii="Bookman Old Style" w:hAnsi="Bookman Old Style" w:cs="Arial"/>
        </w:rPr>
        <w:t>EMPRESAS PUBLICAS DE MEDELLÍN EPM</w:t>
      </w:r>
      <w:r w:rsidRPr="003301B8">
        <w:rPr>
          <w:rFonts w:ascii="Bookman Old Style" w:hAnsi="Bookman Old Style"/>
          <w:bCs/>
        </w:rPr>
        <w:t xml:space="preserve"> S.A. E.S.P., corresponde a la suma de </w:t>
      </w:r>
      <w:r w:rsidR="007F3B28" w:rsidRPr="003301B8">
        <w:rPr>
          <w:rFonts w:ascii="Bookman Old Style" w:hAnsi="Bookman Old Style"/>
        </w:rPr>
        <w:t>TRESCIENTOS CINCO MIL CIENTO OCHENTA Y DOS MILLONES SETECIENTOS NOVENTA Y TRES MIL SETECIENTOS SEIS PESOS</w:t>
      </w:r>
      <w:r w:rsidR="00CE714D">
        <w:rPr>
          <w:rFonts w:ascii="Bookman Old Style" w:hAnsi="Bookman Old Style"/>
        </w:rPr>
        <w:t xml:space="preserve"> M/CTE</w:t>
      </w:r>
      <w:r w:rsidR="007F3B28" w:rsidRPr="003301B8">
        <w:rPr>
          <w:rFonts w:ascii="Bookman Old Style" w:hAnsi="Bookman Old Style"/>
        </w:rPr>
        <w:t xml:space="preserve"> ($305.182.793.706.oo) el valor correspondiente a pagar por concepto de contribución sector energía asciende a la suma de DOS MIL QUINIENTOS TREINTA Y UN MILLONES TREINTA Y TRES MIL QUINIENTOS PESOS </w:t>
      </w:r>
      <w:r w:rsidR="00CE714D">
        <w:rPr>
          <w:rFonts w:ascii="Bookman Old Style" w:hAnsi="Bookman Old Style"/>
        </w:rPr>
        <w:t xml:space="preserve">M/CTE </w:t>
      </w:r>
      <w:r w:rsidR="007F3B28" w:rsidRPr="003301B8">
        <w:rPr>
          <w:rFonts w:ascii="Bookman Old Style" w:hAnsi="Bookman Old Style"/>
        </w:rPr>
        <w:t>($2.531.033.500.oo) y por el sector de gas natural  corresponde al valor de TREINTA Y CUATRO MIL TRESCIENTOS CINCUENTA Y SIETE MILLONES QUINIENTOS TREINTA</w:t>
      </w:r>
      <w:r w:rsidR="00CE714D">
        <w:rPr>
          <w:rFonts w:ascii="Bookman Old Style" w:hAnsi="Bookman Old Style"/>
        </w:rPr>
        <w:t xml:space="preserve"> Y DOS MIL NOVENTA Y SEIS PESOS M/CTE</w:t>
      </w:r>
      <w:r w:rsidR="007F3B28" w:rsidRPr="003301B8">
        <w:rPr>
          <w:rFonts w:ascii="Bookman Old Style" w:hAnsi="Bookman Old Style"/>
        </w:rPr>
        <w:t xml:space="preserve"> ($34.357.532.096.oo), </w:t>
      </w:r>
      <w:r w:rsidR="00CE714D">
        <w:rPr>
          <w:rFonts w:ascii="Bookman Old Style" w:hAnsi="Bookman Old Style"/>
        </w:rPr>
        <w:t xml:space="preserve">y </w:t>
      </w:r>
      <w:r w:rsidR="00CE714D" w:rsidRPr="003301B8">
        <w:rPr>
          <w:rFonts w:ascii="Bookman Old Style" w:hAnsi="Bookman Old Style"/>
        </w:rPr>
        <w:t>el valor correspondiente a pagar por concepto de contribución sector gas natural  as</w:t>
      </w:r>
      <w:r w:rsidR="00CE714D">
        <w:rPr>
          <w:rFonts w:ascii="Bookman Old Style" w:hAnsi="Bookman Old Style"/>
        </w:rPr>
        <w:t>ciende a la suma de DOSCIENTOS OCHENTA Y CUATRO MILLONES NOVECIENTOS CUARENTA Y CUATRO MIL CIENTO VEINTIDOS PESOS M/CTE ($284.944.12</w:t>
      </w:r>
      <w:r w:rsidR="00CE714D" w:rsidRPr="003301B8">
        <w:rPr>
          <w:rFonts w:ascii="Bookman Old Style" w:hAnsi="Bookman Old Style"/>
        </w:rPr>
        <w:t>2.oo)</w:t>
      </w:r>
      <w:r w:rsidR="00CE714D">
        <w:rPr>
          <w:rFonts w:ascii="Bookman Old Style" w:hAnsi="Bookman Old Style"/>
        </w:rPr>
        <w:t xml:space="preserve">, </w:t>
      </w:r>
      <w:r w:rsidR="007F3B28" w:rsidRPr="003301B8">
        <w:rPr>
          <w:rFonts w:ascii="Bookman Old Style" w:hAnsi="Bookman Old Style"/>
        </w:rPr>
        <w:t xml:space="preserve">para un total a cargo de las </w:t>
      </w:r>
      <w:r w:rsidR="007F3B28" w:rsidRPr="003301B8">
        <w:rPr>
          <w:rFonts w:ascii="Bookman Old Style" w:hAnsi="Bookman Old Style" w:cs="Arial"/>
        </w:rPr>
        <w:t>EMPRESAS PUBLICAS DE MEDELLÍN EPM</w:t>
      </w:r>
      <w:r w:rsidR="007F3B28" w:rsidRPr="003301B8">
        <w:rPr>
          <w:rFonts w:ascii="Bookman Old Style" w:hAnsi="Bookman Old Style"/>
          <w:bCs/>
        </w:rPr>
        <w:t xml:space="preserve"> S.A. E.S.P., de DOS MIL OCHOCIENTOS QUINCE MILLONES NOVECIENTOS SETENTA Y SIETE MIL SEISCIENTOS NOVENTA Y DOS PESOS ($.2.815.977.692.oo) M/CTE.</w:t>
      </w:r>
    </w:p>
    <w:p w:rsidR="00BD58F8" w:rsidRPr="003301B8" w:rsidRDefault="00BD58F8" w:rsidP="00FA2D36">
      <w:pPr>
        <w:ind w:left="0"/>
        <w:jc w:val="both"/>
        <w:rPr>
          <w:rFonts w:ascii="Bookman Old Style" w:hAnsi="Bookman Old Style"/>
          <w:bCs/>
        </w:rPr>
      </w:pPr>
    </w:p>
    <w:p w:rsidR="00FA2D36" w:rsidRPr="003301B8" w:rsidRDefault="00FA2D36" w:rsidP="00FA2D36">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a quien corresponda el contenido de la presente resolución para que efectué los ajustes contables necesarios y se emita el respectivo paz y salvo de la resolución 188 de  2016 con destino al recurrente.</w:t>
      </w:r>
    </w:p>
    <w:p w:rsidR="00FA2D36" w:rsidRPr="003301B8" w:rsidRDefault="00FA2D36" w:rsidP="00FA2D36">
      <w:pPr>
        <w:ind w:left="0"/>
        <w:jc w:val="both"/>
        <w:rPr>
          <w:rFonts w:ascii="Bookman Old Style" w:hAnsi="Bookman Old Style" w:cs="Arial"/>
          <w:color w:val="000000"/>
        </w:rPr>
      </w:pPr>
    </w:p>
    <w:p w:rsidR="00FA2D36" w:rsidRPr="003301B8" w:rsidRDefault="00FA2D36" w:rsidP="00FA2D36">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sidR="00C267A3" w:rsidRPr="003301B8">
        <w:rPr>
          <w:rFonts w:ascii="Bookman Old Style" w:hAnsi="Bookman Old Style"/>
        </w:rPr>
        <w:t>s</w:t>
      </w:r>
      <w:r w:rsidRPr="003301B8">
        <w:rPr>
          <w:rFonts w:ascii="Bookman Old Style" w:hAnsi="Bookman Old Style"/>
        </w:rPr>
        <w:t xml:space="preserve"> </w:t>
      </w:r>
      <w:r w:rsidR="00C267A3" w:rsidRPr="003301B8">
        <w:rPr>
          <w:rFonts w:ascii="Bookman Old Style" w:hAnsi="Bookman Old Style" w:cs="Arial"/>
        </w:rPr>
        <w:t>EMPRESAS PUBLICAS DE MEDELLÍN EPM</w:t>
      </w:r>
      <w:r w:rsidRPr="003301B8">
        <w:rPr>
          <w:rFonts w:ascii="Bookman Old Style" w:hAnsi="Bookman Old Style" w:cs="Arial"/>
        </w:rPr>
        <w:t xml:space="preserve"> S.A. E.S.P.</w:t>
      </w:r>
      <w:r w:rsidRPr="003301B8">
        <w:rPr>
          <w:rFonts w:ascii="Bookman Old Style" w:hAnsi="Bookman Old Style"/>
          <w:bCs/>
        </w:rPr>
        <w:t xml:space="preserve">,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FA2D36" w:rsidRPr="003301B8" w:rsidRDefault="00FA2D36" w:rsidP="00FA2D36">
      <w:pPr>
        <w:ind w:left="170"/>
        <w:jc w:val="both"/>
        <w:rPr>
          <w:rFonts w:ascii="Bookman Old Style" w:hAnsi="Bookman Old Style" w:cs="Arial"/>
        </w:rPr>
      </w:pPr>
    </w:p>
    <w:p w:rsidR="00FA2D36" w:rsidRPr="003301B8" w:rsidRDefault="00FA2D36" w:rsidP="00FA2D36">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FA2D36" w:rsidRPr="003301B8" w:rsidRDefault="00FA2D36" w:rsidP="00FA2D36">
      <w:pPr>
        <w:ind w:left="0"/>
        <w:jc w:val="both"/>
        <w:rPr>
          <w:rFonts w:ascii="Bookman Old Style" w:hAnsi="Bookman Old Style" w:cs="Arial"/>
        </w:rPr>
      </w:pPr>
    </w:p>
    <w:p w:rsidR="00FA2D36" w:rsidRPr="003301B8" w:rsidRDefault="00FA2D36" w:rsidP="00FA2D36">
      <w:pPr>
        <w:ind w:left="0"/>
        <w:jc w:val="both"/>
        <w:rPr>
          <w:rFonts w:ascii="Bookman Old Style" w:hAnsi="Bookman Old Style" w:cs="Arial"/>
        </w:rPr>
      </w:pPr>
    </w:p>
    <w:p w:rsidR="00FA2D36" w:rsidRPr="003301B8" w:rsidRDefault="00FA2D36" w:rsidP="00FA2D36">
      <w:pPr>
        <w:ind w:left="0"/>
        <w:jc w:val="center"/>
        <w:rPr>
          <w:rFonts w:ascii="Bookman Old Style" w:hAnsi="Bookman Old Style" w:cs="Arial"/>
          <w:b/>
        </w:rPr>
      </w:pPr>
      <w:r w:rsidRPr="003301B8">
        <w:rPr>
          <w:rFonts w:ascii="Bookman Old Style" w:hAnsi="Bookman Old Style" w:cs="Arial"/>
          <w:b/>
        </w:rPr>
        <w:t>NOTIFÍQUESE Y CÚMPLASE</w:t>
      </w:r>
    </w:p>
    <w:p w:rsidR="00FA2D36" w:rsidRPr="003301B8" w:rsidRDefault="00FA2D36" w:rsidP="00FA2D36">
      <w:pPr>
        <w:ind w:left="0"/>
        <w:jc w:val="center"/>
        <w:rPr>
          <w:rFonts w:ascii="Bookman Old Style" w:hAnsi="Bookman Old Style" w:cs="Arial"/>
          <w:b/>
        </w:rPr>
      </w:pPr>
    </w:p>
    <w:p w:rsidR="00FA2D36" w:rsidRPr="003301B8" w:rsidRDefault="00FA2D36" w:rsidP="00FA2D36">
      <w:pPr>
        <w:ind w:left="0"/>
        <w:rPr>
          <w:rFonts w:ascii="Bookman Old Style" w:hAnsi="Bookman Old Style" w:cs="Arial"/>
        </w:rPr>
      </w:pPr>
    </w:p>
    <w:p w:rsidR="00FA2D36" w:rsidRPr="003301B8" w:rsidRDefault="00FA2D36" w:rsidP="00FA2D36">
      <w:pPr>
        <w:ind w:left="0"/>
        <w:rPr>
          <w:rFonts w:ascii="Bookman Old Style" w:hAnsi="Bookman Old Style" w:cs="Arial"/>
        </w:rPr>
      </w:pPr>
      <w:r w:rsidRPr="003301B8">
        <w:rPr>
          <w:rFonts w:ascii="Bookman Old Style" w:hAnsi="Bookman Old Style" w:cs="Arial"/>
        </w:rPr>
        <w:t xml:space="preserve">Dada en Bogotá D.C, a </w:t>
      </w:r>
    </w:p>
    <w:p w:rsidR="00FA2D36" w:rsidRDefault="00FA2D36" w:rsidP="00FA2D36">
      <w:pPr>
        <w:ind w:left="0"/>
        <w:jc w:val="both"/>
        <w:rPr>
          <w:rFonts w:ascii="Bookman Old Style" w:hAnsi="Bookman Old Style" w:cs="Arial"/>
          <w:b/>
        </w:rPr>
      </w:pPr>
    </w:p>
    <w:p w:rsidR="00F20A85" w:rsidRDefault="00F20A85" w:rsidP="00FA2D36">
      <w:pPr>
        <w:ind w:left="0"/>
        <w:jc w:val="both"/>
        <w:rPr>
          <w:rFonts w:ascii="Bookman Old Style" w:hAnsi="Bookman Old Style" w:cs="Arial"/>
          <w:b/>
        </w:rPr>
      </w:pPr>
    </w:p>
    <w:p w:rsidR="00F20A85" w:rsidRDefault="00F20A85" w:rsidP="00FA2D36">
      <w:pPr>
        <w:ind w:left="0"/>
        <w:jc w:val="both"/>
        <w:rPr>
          <w:rFonts w:ascii="Bookman Old Style" w:hAnsi="Bookman Old Style" w:cs="Arial"/>
          <w:b/>
        </w:rPr>
      </w:pPr>
    </w:p>
    <w:p w:rsidR="00F20A85" w:rsidRPr="003301B8" w:rsidRDefault="00F20A85" w:rsidP="00FA2D36">
      <w:pPr>
        <w:ind w:left="0"/>
        <w:jc w:val="both"/>
        <w:rPr>
          <w:rFonts w:ascii="Bookman Old Style" w:hAnsi="Bookman Old Style" w:cs="Arial"/>
          <w:b/>
        </w:rPr>
      </w:pPr>
    </w:p>
    <w:p w:rsidR="00FA2D36" w:rsidRDefault="00FA2D36" w:rsidP="00FA2D36">
      <w:pPr>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F20A85" w:rsidTr="00B55351">
        <w:trPr>
          <w:tblCellSpacing w:w="0" w:type="dxa"/>
          <w:jc w:val="center"/>
        </w:trPr>
        <w:tc>
          <w:tcPr>
            <w:tcW w:w="5529" w:type="dxa"/>
            <w:hideMark/>
          </w:tcPr>
          <w:p w:rsidR="00F20A85" w:rsidRDefault="00F20A85" w:rsidP="00B55351">
            <w:pPr>
              <w:ind w:left="66"/>
              <w:jc w:val="center"/>
              <w:rPr>
                <w:rFonts w:ascii="Bookman Old Style" w:hAnsi="Bookman Old Style" w:cs="Arial"/>
                <w:b/>
                <w:spacing w:val="-3"/>
              </w:rPr>
            </w:pPr>
            <w:r>
              <w:rPr>
                <w:rFonts w:ascii="Bookman Old Style" w:hAnsi="Bookman Old Style" w:cs="Arial"/>
                <w:b/>
                <w:spacing w:val="-3"/>
              </w:rPr>
              <w:t>RUTTY PAOLA ORTIZ JARA</w:t>
            </w:r>
          </w:p>
        </w:tc>
        <w:tc>
          <w:tcPr>
            <w:tcW w:w="3969" w:type="dxa"/>
            <w:hideMark/>
          </w:tcPr>
          <w:p w:rsidR="00F20A85" w:rsidRDefault="00F20A85" w:rsidP="00B55351">
            <w:pPr>
              <w:ind w:left="89"/>
              <w:jc w:val="center"/>
              <w:rPr>
                <w:rFonts w:ascii="Bookman Old Style" w:hAnsi="Bookman Old Style" w:cs="Arial"/>
                <w:b/>
                <w:spacing w:val="-3"/>
              </w:rPr>
            </w:pPr>
            <w:r>
              <w:rPr>
                <w:rFonts w:ascii="Bookman Old Style" w:hAnsi="Bookman Old Style" w:cs="Arial"/>
                <w:b/>
                <w:spacing w:val="-3"/>
              </w:rPr>
              <w:t>GERMÁN CASTRO FERREIRA</w:t>
            </w:r>
          </w:p>
        </w:tc>
      </w:tr>
      <w:tr w:rsidR="00F20A85" w:rsidTr="00B55351">
        <w:trPr>
          <w:tblCellSpacing w:w="0" w:type="dxa"/>
          <w:jc w:val="center"/>
        </w:trPr>
        <w:tc>
          <w:tcPr>
            <w:tcW w:w="5529" w:type="dxa"/>
            <w:hideMark/>
          </w:tcPr>
          <w:p w:rsidR="00F20A85" w:rsidRDefault="00F20A85" w:rsidP="00B55351">
            <w:pPr>
              <w:ind w:left="66"/>
              <w:jc w:val="center"/>
              <w:rPr>
                <w:rFonts w:ascii="Bookman Old Style" w:eastAsia="Arial Unicode MS" w:hAnsi="Bookman Old Style" w:cs="Arial"/>
                <w:color w:val="000000"/>
              </w:rPr>
            </w:pPr>
            <w:r>
              <w:rPr>
                <w:rFonts w:ascii="Bookman Old Style" w:hAnsi="Bookman Old Style" w:cs="Arial"/>
                <w:spacing w:val="-3"/>
              </w:rPr>
              <w:t>Delegada del Ministro de Minas y Energía Viceministra de Energía</w:t>
            </w:r>
          </w:p>
        </w:tc>
        <w:tc>
          <w:tcPr>
            <w:tcW w:w="3969" w:type="dxa"/>
            <w:hideMark/>
          </w:tcPr>
          <w:p w:rsidR="00F20A85" w:rsidRDefault="00F20A85" w:rsidP="00B55351">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F20A85" w:rsidTr="00B55351">
        <w:trPr>
          <w:tblCellSpacing w:w="0" w:type="dxa"/>
          <w:jc w:val="center"/>
        </w:trPr>
        <w:tc>
          <w:tcPr>
            <w:tcW w:w="5529" w:type="dxa"/>
            <w:hideMark/>
          </w:tcPr>
          <w:p w:rsidR="00F20A85" w:rsidRDefault="00F20A85" w:rsidP="00B55351">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3969" w:type="dxa"/>
          </w:tcPr>
          <w:p w:rsidR="00F20A85" w:rsidRDefault="00F20A85" w:rsidP="00B55351">
            <w:pPr>
              <w:jc w:val="center"/>
              <w:rPr>
                <w:rFonts w:ascii="Bookman Old Style" w:eastAsia="Arial Unicode MS" w:hAnsi="Bookman Old Style" w:cs="Arial"/>
                <w:color w:val="000000"/>
              </w:rPr>
            </w:pPr>
          </w:p>
        </w:tc>
      </w:tr>
    </w:tbl>
    <w:p w:rsidR="00CE714D" w:rsidRPr="003301B8" w:rsidRDefault="00CE714D" w:rsidP="00FA2D36">
      <w:pPr>
        <w:rPr>
          <w:rFonts w:ascii="Bookman Old Style" w:hAnsi="Bookman Old Style" w:cs="Arial"/>
          <w:szCs w:val="20"/>
        </w:rPr>
      </w:pPr>
    </w:p>
    <w:p w:rsidR="003C6F78" w:rsidRPr="003301B8" w:rsidRDefault="003C6F78">
      <w:pPr>
        <w:rPr>
          <w:rFonts w:ascii="Bookman Old Style" w:hAnsi="Bookman Old Style"/>
        </w:rPr>
      </w:pPr>
    </w:p>
    <w:sectPr w:rsidR="003C6F78" w:rsidRPr="003301B8" w:rsidSect="00337231">
      <w:headerReference w:type="default" r:id="rId9"/>
      <w:headerReference w:type="first" r:id="rId1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E5E" w:rsidRDefault="002D0E5E" w:rsidP="00FA2D36">
      <w:r>
        <w:separator/>
      </w:r>
    </w:p>
  </w:endnote>
  <w:endnote w:type="continuationSeparator" w:id="0">
    <w:p w:rsidR="002D0E5E" w:rsidRDefault="002D0E5E" w:rsidP="00FA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E5E" w:rsidRDefault="002D0E5E" w:rsidP="00FA2D36">
      <w:r>
        <w:separator/>
      </w:r>
    </w:p>
  </w:footnote>
  <w:footnote w:type="continuationSeparator" w:id="0">
    <w:p w:rsidR="002D0E5E" w:rsidRDefault="002D0E5E" w:rsidP="00FA2D36">
      <w:r>
        <w:continuationSeparator/>
      </w:r>
    </w:p>
  </w:footnote>
  <w:footnote w:id="1">
    <w:p w:rsidR="00FA2D36" w:rsidRPr="000C6060" w:rsidRDefault="00FA2D36" w:rsidP="00FA2D36">
      <w:pPr>
        <w:pStyle w:val="Textonotapie"/>
      </w:pPr>
      <w:r>
        <w:rPr>
          <w:rStyle w:val="Refdenotaalpie"/>
        </w:rPr>
        <w:footnoteRef/>
      </w:r>
      <w:r>
        <w:t xml:space="preserve"> Artículo 85 Ley 142 de 1994</w:t>
      </w:r>
    </w:p>
  </w:footnote>
  <w:footnote w:id="2">
    <w:p w:rsidR="00FA2D36" w:rsidRPr="003D5A97" w:rsidRDefault="00FA2D36" w:rsidP="00FA2D36">
      <w:pPr>
        <w:pStyle w:val="Textonotapie"/>
        <w:rPr>
          <w:b/>
        </w:rPr>
      </w:pPr>
      <w:r>
        <w:rPr>
          <w:rStyle w:val="Refdenotaalpie"/>
        </w:rPr>
        <w:footnoteRef/>
      </w:r>
      <w:r>
        <w:t xml:space="preserve"> </w:t>
      </w:r>
    </w:p>
    <w:p w:rsidR="00FA2D36" w:rsidRPr="003D5A97" w:rsidRDefault="00FA2D36" w:rsidP="00FA2D36">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E16E95" w:rsidP="00951F79">
    <w:pPr>
      <w:pStyle w:val="Ttulo1"/>
      <w:ind w:right="6"/>
      <w:jc w:val="left"/>
      <w:rPr>
        <w:rFonts w:ascii="Bookman Old Style" w:hAnsi="Bookman Old Style" w:cs="Arial"/>
        <w:b w:val="0"/>
        <w:sz w:val="22"/>
        <w:szCs w:val="22"/>
      </w:rPr>
    </w:pPr>
  </w:p>
  <w:p w:rsidR="00227116" w:rsidRPr="00951F79" w:rsidRDefault="00EE3EC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16E95">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16E95" w:rsidRPr="00E16E95">
        <w:rPr>
          <w:rFonts w:ascii="Bookman Old Style" w:hAnsi="Bookman Old Style" w:cs="Arial"/>
          <w:b w:val="0"/>
          <w:noProof/>
          <w:sz w:val="22"/>
          <w:szCs w:val="22"/>
        </w:rPr>
        <w:t>8</w:t>
      </w:r>
    </w:fldSimple>
  </w:p>
  <w:p w:rsidR="00227116" w:rsidRDefault="00EE3EC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8FA7AF4" wp14:editId="5C4BA507">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00343"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EE3ECC" w:rsidP="00617704">
    <w:pPr>
      <w:ind w:left="0"/>
      <w:jc w:val="both"/>
      <w:rPr>
        <w:rFonts w:ascii="Bookman Old Style" w:hAnsi="Bookman Old Style" w:cs="Arial"/>
        <w:sz w:val="22"/>
        <w:szCs w:val="22"/>
      </w:rPr>
    </w:pPr>
    <w:r w:rsidRPr="00617704">
      <w:rPr>
        <w:rFonts w:ascii="Bookman Old Style" w:hAnsi="Bookman Old Style" w:cs="Arial"/>
        <w:sz w:val="22"/>
        <w:szCs w:val="22"/>
      </w:rPr>
      <w:t>Por medio de la cual se resuelve un recurso de reposición en contra de la Resolución CREG 1</w:t>
    </w:r>
    <w:r w:rsidR="00FA5B2E">
      <w:rPr>
        <w:rFonts w:ascii="Bookman Old Style" w:hAnsi="Bookman Old Style" w:cs="Arial"/>
        <w:sz w:val="22"/>
        <w:szCs w:val="22"/>
      </w:rPr>
      <w:t>88</w:t>
    </w:r>
    <w:r w:rsidRPr="00617704">
      <w:rPr>
        <w:rFonts w:ascii="Bookman Old Style" w:hAnsi="Bookman Old Style" w:cs="Arial"/>
        <w:sz w:val="22"/>
        <w:szCs w:val="22"/>
      </w:rPr>
      <w:t xml:space="preserve"> de 201</w:t>
    </w:r>
    <w:r w:rsidR="00FA5B2E">
      <w:rPr>
        <w:rFonts w:ascii="Bookman Old Style" w:hAnsi="Bookman Old Style" w:cs="Arial"/>
        <w:sz w:val="22"/>
        <w:szCs w:val="22"/>
      </w:rPr>
      <w:t>6</w:t>
    </w:r>
  </w:p>
  <w:p w:rsidR="00227116" w:rsidRPr="00CB5DD0" w:rsidRDefault="00E16E95"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EE3EC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E16E95">
    <w:pPr>
      <w:pStyle w:val="Encabezado"/>
      <w:jc w:val="center"/>
      <w:rPr>
        <w:rFonts w:ascii="Arial" w:hAnsi="Arial" w:cs="Arial"/>
        <w:spacing w:val="20"/>
        <w:sz w:val="20"/>
      </w:rPr>
    </w:pPr>
  </w:p>
  <w:p w:rsidR="00227116" w:rsidRDefault="00EE3EC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D06D4D5" wp14:editId="6A1FE0A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609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36"/>
    <w:rsid w:val="0001566D"/>
    <w:rsid w:val="000307EA"/>
    <w:rsid w:val="000F3094"/>
    <w:rsid w:val="00167437"/>
    <w:rsid w:val="001B7B4F"/>
    <w:rsid w:val="00210F7A"/>
    <w:rsid w:val="00231B8D"/>
    <w:rsid w:val="002D0E5E"/>
    <w:rsid w:val="003301B8"/>
    <w:rsid w:val="003B272B"/>
    <w:rsid w:val="003C6F78"/>
    <w:rsid w:val="005D68E8"/>
    <w:rsid w:val="00744E2E"/>
    <w:rsid w:val="007F3B28"/>
    <w:rsid w:val="00852758"/>
    <w:rsid w:val="00853C82"/>
    <w:rsid w:val="00A54316"/>
    <w:rsid w:val="00B21BF2"/>
    <w:rsid w:val="00B50649"/>
    <w:rsid w:val="00BD58F8"/>
    <w:rsid w:val="00C267A3"/>
    <w:rsid w:val="00C57474"/>
    <w:rsid w:val="00C756DF"/>
    <w:rsid w:val="00CE714D"/>
    <w:rsid w:val="00E16E95"/>
    <w:rsid w:val="00E44A58"/>
    <w:rsid w:val="00EE3ECC"/>
    <w:rsid w:val="00F07DA5"/>
    <w:rsid w:val="00F20A85"/>
    <w:rsid w:val="00F63CE3"/>
    <w:rsid w:val="00FA2D36"/>
    <w:rsid w:val="00FA5B2E"/>
    <w:rsid w:val="00FF21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DFFE110-369B-4BF3-99D5-CDAA97C4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36"/>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A2D36"/>
    <w:pPr>
      <w:keepNext/>
      <w:jc w:val="center"/>
      <w:outlineLvl w:val="0"/>
    </w:pPr>
    <w:rPr>
      <w:rFonts w:ascii="CG Times" w:hAnsi="CG Times"/>
      <w:b/>
      <w:szCs w:val="20"/>
      <w:lang w:val="es-CO"/>
    </w:rPr>
  </w:style>
  <w:style w:type="paragraph" w:styleId="Ttulo3">
    <w:name w:val="heading 3"/>
    <w:basedOn w:val="Normal"/>
    <w:next w:val="Normal"/>
    <w:link w:val="Ttulo3Car"/>
    <w:qFormat/>
    <w:rsid w:val="00FA2D36"/>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A2D36"/>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A2D36"/>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2D36"/>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A2D36"/>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A2D36"/>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A2D36"/>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FA2D36"/>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FA2D36"/>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FA2D36"/>
    <w:pPr>
      <w:ind w:left="708"/>
    </w:pPr>
    <w:rPr>
      <w:sz w:val="20"/>
      <w:szCs w:val="20"/>
      <w:lang w:val="es-CO"/>
    </w:rPr>
  </w:style>
  <w:style w:type="character" w:customStyle="1" w:styleId="PrrafodelistaCar">
    <w:name w:val="Párrafo de lista Car"/>
    <w:basedOn w:val="Fuentedeprrafopredeter"/>
    <w:link w:val="Prrafodelista"/>
    <w:uiPriority w:val="34"/>
    <w:rsid w:val="00FA2D36"/>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A2D36"/>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FA2D36"/>
    <w:rPr>
      <w:sz w:val="20"/>
      <w:szCs w:val="20"/>
    </w:rPr>
  </w:style>
  <w:style w:type="character" w:customStyle="1" w:styleId="TextonotapieCar">
    <w:name w:val="Texto nota pie Car"/>
    <w:basedOn w:val="Fuentedeprrafopredeter"/>
    <w:link w:val="Textonotapie"/>
    <w:uiPriority w:val="99"/>
    <w:semiHidden/>
    <w:rsid w:val="00FA2D3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A2D36"/>
    <w:rPr>
      <w:vertAlign w:val="superscript"/>
    </w:rPr>
  </w:style>
  <w:style w:type="character" w:customStyle="1" w:styleId="CharStyle25">
    <w:name w:val="Char Style 25"/>
    <w:basedOn w:val="Fuentedeprrafopredeter"/>
    <w:link w:val="Style24"/>
    <w:uiPriority w:val="99"/>
    <w:rsid w:val="00FA2D36"/>
    <w:rPr>
      <w:rFonts w:ascii="Arial" w:hAnsi="Arial" w:cs="Arial"/>
      <w:sz w:val="17"/>
      <w:szCs w:val="17"/>
      <w:shd w:val="clear" w:color="auto" w:fill="FFFFFF"/>
    </w:rPr>
  </w:style>
  <w:style w:type="paragraph" w:customStyle="1" w:styleId="Style24">
    <w:name w:val="Style 24"/>
    <w:basedOn w:val="Normal"/>
    <w:link w:val="CharStyle25"/>
    <w:uiPriority w:val="99"/>
    <w:rsid w:val="00FA2D36"/>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0">
    <w:name w:val="Char Style 10"/>
    <w:basedOn w:val="Fuentedeprrafopredeter"/>
    <w:link w:val="Style9"/>
    <w:uiPriority w:val="99"/>
    <w:rsid w:val="00FA2D36"/>
    <w:rPr>
      <w:rFonts w:ascii="Arial" w:hAnsi="Arial" w:cs="Arial"/>
      <w:sz w:val="19"/>
      <w:szCs w:val="19"/>
      <w:shd w:val="clear" w:color="auto" w:fill="FFFFFF"/>
    </w:rPr>
  </w:style>
  <w:style w:type="paragraph" w:customStyle="1" w:styleId="Style9">
    <w:name w:val="Style 9"/>
    <w:basedOn w:val="Normal"/>
    <w:link w:val="CharStyle10"/>
    <w:uiPriority w:val="99"/>
    <w:rsid w:val="00FA2D36"/>
    <w:pPr>
      <w:widowControl w:val="0"/>
      <w:shd w:val="clear" w:color="auto" w:fill="FFFFFF"/>
      <w:spacing w:before="720" w:line="240" w:lineRule="atLeast"/>
      <w:ind w:left="0"/>
    </w:pPr>
    <w:rPr>
      <w:rFonts w:ascii="Arial" w:eastAsiaTheme="minorHAnsi" w:hAnsi="Arial" w:cs="Arial"/>
      <w:sz w:val="19"/>
      <w:szCs w:val="19"/>
      <w:lang w:val="es-CO" w:eastAsia="en-US"/>
    </w:rPr>
  </w:style>
  <w:style w:type="character" w:customStyle="1" w:styleId="CharStyle12">
    <w:name w:val="Char Style 12"/>
    <w:basedOn w:val="Fuentedeprrafopredeter"/>
    <w:link w:val="Style11"/>
    <w:uiPriority w:val="99"/>
    <w:rsid w:val="00FA2D36"/>
    <w:rPr>
      <w:rFonts w:ascii="Arial" w:hAnsi="Arial" w:cs="Arial"/>
      <w:sz w:val="19"/>
      <w:szCs w:val="19"/>
      <w:shd w:val="clear" w:color="auto" w:fill="FFFFFF"/>
    </w:rPr>
  </w:style>
  <w:style w:type="paragraph" w:customStyle="1" w:styleId="Style11">
    <w:name w:val="Style 11"/>
    <w:basedOn w:val="Normal"/>
    <w:link w:val="CharStyle12"/>
    <w:uiPriority w:val="99"/>
    <w:rsid w:val="00FA2D36"/>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FF21FA"/>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FF21FA"/>
    <w:rPr>
      <w:rFonts w:ascii="Arial" w:hAnsi="Arial" w:cs="Arial"/>
      <w:i/>
      <w:iCs/>
      <w:sz w:val="20"/>
      <w:szCs w:val="20"/>
      <w:shd w:val="clear" w:color="auto" w:fill="FFFFFF"/>
    </w:rPr>
  </w:style>
  <w:style w:type="character" w:customStyle="1" w:styleId="CharStyle17">
    <w:name w:val="Char Style 17"/>
    <w:basedOn w:val="CharStyle16"/>
    <w:uiPriority w:val="99"/>
    <w:rsid w:val="00FF21FA"/>
    <w:rPr>
      <w:rFonts w:ascii="Arial" w:hAnsi="Arial" w:cs="Arial"/>
      <w:i w:val="0"/>
      <w:iCs w:val="0"/>
      <w:sz w:val="20"/>
      <w:szCs w:val="20"/>
      <w:shd w:val="clear" w:color="auto" w:fill="FFFFFF"/>
    </w:rPr>
  </w:style>
  <w:style w:type="character" w:customStyle="1" w:styleId="CharStyle30">
    <w:name w:val="Char Style 30"/>
    <w:basedOn w:val="Fuentedeprrafopredeter"/>
    <w:link w:val="Style29"/>
    <w:uiPriority w:val="99"/>
    <w:rsid w:val="00FF21FA"/>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FF21FA"/>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FF21FA"/>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FF21FA"/>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18">
    <w:name w:val="Char Style 18"/>
    <w:basedOn w:val="CharStyle13"/>
    <w:uiPriority w:val="99"/>
    <w:rsid w:val="00FF21FA"/>
    <w:rPr>
      <w:rFonts w:ascii="Arial" w:hAnsi="Arial" w:cs="Arial"/>
      <w:i/>
      <w:iCs/>
      <w:sz w:val="20"/>
      <w:szCs w:val="20"/>
      <w:u w:val="none"/>
      <w:shd w:val="clear" w:color="auto" w:fill="FFFFFF"/>
    </w:rPr>
  </w:style>
  <w:style w:type="character" w:customStyle="1" w:styleId="CharStyle34">
    <w:name w:val="Char Style 34"/>
    <w:basedOn w:val="CharStyle13"/>
    <w:uiPriority w:val="99"/>
    <w:rsid w:val="00FF21FA"/>
    <w:rPr>
      <w:rFonts w:ascii="Arial" w:hAnsi="Arial" w:cs="Arial"/>
      <w:b/>
      <w:bCs/>
      <w:sz w:val="22"/>
      <w:szCs w:val="22"/>
      <w:u w:val="none"/>
      <w:shd w:val="clear" w:color="auto" w:fill="FFFFFF"/>
    </w:rPr>
  </w:style>
  <w:style w:type="character" w:customStyle="1" w:styleId="CharStyle55">
    <w:name w:val="Char Style 55"/>
    <w:basedOn w:val="CharStyle13"/>
    <w:uiPriority w:val="99"/>
    <w:rsid w:val="00FF21FA"/>
    <w:rPr>
      <w:rFonts w:ascii="Arial" w:hAnsi="Arial" w:cs="Arial"/>
      <w:b/>
      <w:bCs/>
      <w:spacing w:val="-10"/>
      <w:sz w:val="17"/>
      <w:szCs w:val="17"/>
      <w:u w:val="none"/>
      <w:shd w:val="clear" w:color="auto" w:fill="FFFFFF"/>
    </w:rPr>
  </w:style>
  <w:style w:type="character" w:customStyle="1" w:styleId="CharStyle56">
    <w:name w:val="Char Style 56"/>
    <w:basedOn w:val="CharStyle13"/>
    <w:uiPriority w:val="99"/>
    <w:rsid w:val="00FF21FA"/>
    <w:rPr>
      <w:rFonts w:ascii="Arial" w:hAnsi="Arial" w:cs="Arial"/>
      <w:sz w:val="16"/>
      <w:szCs w:val="16"/>
      <w:u w:val="none"/>
      <w:shd w:val="clear" w:color="auto" w:fill="FFFFFF"/>
    </w:rPr>
  </w:style>
  <w:style w:type="character" w:customStyle="1" w:styleId="CharStyle72">
    <w:name w:val="Char Style 72"/>
    <w:basedOn w:val="CharStyle13"/>
    <w:uiPriority w:val="99"/>
    <w:rsid w:val="00FF21FA"/>
    <w:rPr>
      <w:rFonts w:ascii="Arial" w:hAnsi="Arial" w:cs="Arial"/>
      <w:b/>
      <w:bCs/>
      <w:spacing w:val="-10"/>
      <w:sz w:val="20"/>
      <w:szCs w:val="20"/>
      <w:u w:val="none"/>
      <w:shd w:val="clear" w:color="auto" w:fill="FFFFFF"/>
    </w:rPr>
  </w:style>
  <w:style w:type="character" w:customStyle="1" w:styleId="CharStyle73">
    <w:name w:val="Char Style 73"/>
    <w:basedOn w:val="CharStyle13"/>
    <w:uiPriority w:val="99"/>
    <w:rsid w:val="00FF21FA"/>
    <w:rPr>
      <w:rFonts w:ascii="Arial" w:hAnsi="Arial" w:cs="Arial"/>
      <w:spacing w:val="20"/>
      <w:sz w:val="11"/>
      <w:szCs w:val="11"/>
      <w:u w:val="none"/>
      <w:shd w:val="clear" w:color="auto" w:fill="FFFFFF"/>
    </w:rPr>
  </w:style>
  <w:style w:type="paragraph" w:styleId="Textodeglobo">
    <w:name w:val="Balloon Text"/>
    <w:basedOn w:val="Normal"/>
    <w:link w:val="TextodegloboCar"/>
    <w:uiPriority w:val="99"/>
    <w:semiHidden/>
    <w:unhideWhenUsed/>
    <w:rsid w:val="007F3B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B28"/>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FA5B2E"/>
    <w:pPr>
      <w:tabs>
        <w:tab w:val="center" w:pos="4419"/>
        <w:tab w:val="right" w:pos="8838"/>
      </w:tabs>
    </w:pPr>
  </w:style>
  <w:style w:type="character" w:customStyle="1" w:styleId="PiedepginaCar">
    <w:name w:val="Pie de página Car"/>
    <w:basedOn w:val="Fuentedeprrafopredeter"/>
    <w:link w:val="Piedepgina"/>
    <w:uiPriority w:val="99"/>
    <w:rsid w:val="00FA5B2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3320</Words>
  <Characters>18260</Characters>
  <Application>Microsoft Office Word</Application>
  <DocSecurity>0</DocSecurity>
  <Lines>152</Lines>
  <Paragraphs>43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 -CREG-</vt:lpstr>
      <vt:lpstr>        (                            )</vt:lpstr>
    </vt:vector>
  </TitlesOfParts>
  <Company/>
  <LinksUpToDate>false</LinksUpToDate>
  <CharactersWithSpaces>21537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2016-12-26T16:19:00Z</cp:lastPrinted>
  <dcterms:created xsi:type="dcterms:W3CDTF">2016-12-26T22:24:00Z</dcterms:created>
  <dcterms:modified xsi:type="dcterms:W3CDTF">2016-12-26T22:24:00Z</dcterms:modified>
</cp:coreProperties>
</file>