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C5FCA" w14:textId="77777777" w:rsidR="00625DC6" w:rsidRPr="006B4647" w:rsidRDefault="007E3712"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76A06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539411680" r:id="rId9"/>
        </w:object>
      </w:r>
    </w:p>
    <w:p w14:paraId="2943920A" w14:textId="77777777" w:rsidR="00625DC6" w:rsidRPr="006B4647" w:rsidRDefault="00625DC6" w:rsidP="00012259">
      <w:pPr>
        <w:pStyle w:val="Encabezado"/>
        <w:tabs>
          <w:tab w:val="clear" w:pos="8504"/>
          <w:tab w:val="left" w:pos="0"/>
          <w:tab w:val="right" w:pos="9356"/>
        </w:tabs>
        <w:ind w:left="0"/>
        <w:jc w:val="both"/>
        <w:rPr>
          <w:rFonts w:ascii="Bookman Old Style" w:hAnsi="Bookman Old Style"/>
          <w:szCs w:val="24"/>
        </w:rPr>
      </w:pPr>
    </w:p>
    <w:p w14:paraId="20465251" w14:textId="77777777" w:rsidR="00CA77FB" w:rsidRPr="006B4647" w:rsidRDefault="00CA77FB" w:rsidP="00012259">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44D0A83F" w14:textId="77777777" w:rsidR="00CA77FB" w:rsidRPr="006B4647" w:rsidRDefault="00CA77FB" w:rsidP="00012259">
      <w:pPr>
        <w:pStyle w:val="Ttulo4"/>
        <w:tabs>
          <w:tab w:val="left" w:pos="0"/>
          <w:tab w:val="right" w:pos="9356"/>
        </w:tabs>
        <w:ind w:left="0"/>
        <w:rPr>
          <w:rFonts w:ascii="Bookman Old Style" w:hAnsi="Bookman Old Style"/>
          <w:b w:val="0"/>
          <w:bCs/>
          <w:sz w:val="24"/>
          <w:szCs w:val="24"/>
        </w:rPr>
      </w:pPr>
    </w:p>
    <w:p w14:paraId="13D342EB" w14:textId="77777777" w:rsidR="00CA77FB" w:rsidRPr="006B4647" w:rsidRDefault="00CA77FB" w:rsidP="00012259">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2ABAF688" w14:textId="77777777" w:rsidR="00CA77FB" w:rsidRPr="006B4647" w:rsidRDefault="00CA77FB" w:rsidP="00012259">
      <w:pPr>
        <w:pStyle w:val="Ttulo5"/>
        <w:tabs>
          <w:tab w:val="left" w:pos="0"/>
          <w:tab w:val="right" w:pos="9356"/>
        </w:tabs>
        <w:ind w:left="0"/>
        <w:rPr>
          <w:rFonts w:ascii="Bookman Old Style" w:hAnsi="Bookman Old Style"/>
          <w:sz w:val="24"/>
          <w:szCs w:val="24"/>
        </w:rPr>
      </w:pPr>
    </w:p>
    <w:p w14:paraId="61908BFB" w14:textId="77777777" w:rsidR="00CA77FB" w:rsidRPr="006B4647" w:rsidRDefault="00CA77FB" w:rsidP="00012259">
      <w:pPr>
        <w:pStyle w:val="Ttulo5"/>
        <w:tabs>
          <w:tab w:val="left" w:pos="0"/>
          <w:tab w:val="right" w:pos="9356"/>
        </w:tabs>
        <w:ind w:left="0"/>
        <w:rPr>
          <w:rFonts w:ascii="Bookman Old Style" w:hAnsi="Bookman Old Style"/>
          <w:sz w:val="24"/>
          <w:szCs w:val="24"/>
        </w:rPr>
      </w:pPr>
    </w:p>
    <w:p w14:paraId="01570E74" w14:textId="77777777" w:rsidR="00CA77FB" w:rsidRPr="006B4647" w:rsidRDefault="00CA77FB" w:rsidP="00012259">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Pr="006B4647">
        <w:rPr>
          <w:rFonts w:ascii="Bookman Old Style" w:hAnsi="Bookman Old Style"/>
          <w:sz w:val="24"/>
          <w:szCs w:val="24"/>
        </w:rPr>
        <w:t>DE 20</w:t>
      </w:r>
      <w:r w:rsidR="00795BFB" w:rsidRPr="006B4647">
        <w:rPr>
          <w:rFonts w:ascii="Bookman Old Style" w:hAnsi="Bookman Old Style"/>
          <w:sz w:val="24"/>
          <w:szCs w:val="24"/>
        </w:rPr>
        <w:t>1</w:t>
      </w:r>
      <w:r w:rsidR="001E263B">
        <w:rPr>
          <w:rFonts w:ascii="Bookman Old Style" w:hAnsi="Bookman Old Style"/>
          <w:sz w:val="24"/>
          <w:szCs w:val="24"/>
        </w:rPr>
        <w:t>6</w:t>
      </w:r>
    </w:p>
    <w:p w14:paraId="03D22BB2" w14:textId="77777777" w:rsidR="00CA77FB" w:rsidRPr="006B4647"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30E2FDF2" w14:textId="77777777" w:rsidR="00CA77FB" w:rsidRPr="006B4647" w:rsidRDefault="00CA77FB" w:rsidP="00012259">
      <w:pPr>
        <w:pStyle w:val="Ttulo3"/>
        <w:tabs>
          <w:tab w:val="left" w:pos="0"/>
          <w:tab w:val="right" w:pos="9356"/>
        </w:tabs>
        <w:ind w:left="0"/>
        <w:rPr>
          <w:rFonts w:ascii="Bookman Old Style" w:hAnsi="Bookman Old Style"/>
          <w:b w:val="0"/>
          <w:szCs w:val="24"/>
        </w:rPr>
      </w:pPr>
      <w:r w:rsidRPr="006B4647">
        <w:rPr>
          <w:rFonts w:ascii="Bookman Old Style" w:hAnsi="Bookman Old Style"/>
          <w:b w:val="0"/>
          <w:szCs w:val="24"/>
        </w:rPr>
        <w:t>(                                  )</w:t>
      </w:r>
    </w:p>
    <w:p w14:paraId="0F34E752" w14:textId="77777777" w:rsidR="00CA77FB" w:rsidRPr="006B4647" w:rsidRDefault="00CA77FB" w:rsidP="00012259">
      <w:pPr>
        <w:tabs>
          <w:tab w:val="left" w:pos="0"/>
          <w:tab w:val="right" w:pos="9356"/>
        </w:tabs>
        <w:ind w:left="0"/>
        <w:jc w:val="center"/>
        <w:rPr>
          <w:rFonts w:ascii="Bookman Old Style" w:hAnsi="Bookman Old Style"/>
          <w:lang w:val="es-ES_tradnl"/>
        </w:rPr>
      </w:pPr>
    </w:p>
    <w:p w14:paraId="7B9AE407" w14:textId="77777777" w:rsidR="00C034CB" w:rsidRDefault="00C034CB" w:rsidP="00012259">
      <w:pPr>
        <w:ind w:left="0"/>
        <w:rPr>
          <w:rFonts w:ascii="Bookman Old Style" w:hAnsi="Bookman Old Style"/>
          <w:bCs/>
          <w:lang w:val="es-CO"/>
        </w:rPr>
      </w:pPr>
    </w:p>
    <w:p w14:paraId="002AE1B0" w14:textId="77777777" w:rsidR="00775D5F" w:rsidRDefault="00775D5F" w:rsidP="00012259">
      <w:pPr>
        <w:ind w:left="0"/>
        <w:rPr>
          <w:rFonts w:ascii="Bookman Old Style" w:hAnsi="Bookman Old Style"/>
          <w:bCs/>
          <w:lang w:val="es-CO"/>
        </w:rPr>
      </w:pPr>
    </w:p>
    <w:p w14:paraId="0820BF7C" w14:textId="77777777" w:rsidR="00775D5F" w:rsidRPr="006B4647" w:rsidRDefault="00775D5F" w:rsidP="00012259">
      <w:pPr>
        <w:ind w:left="0"/>
        <w:rPr>
          <w:rFonts w:ascii="Bookman Old Style" w:hAnsi="Bookman Old Style"/>
          <w:bCs/>
          <w:lang w:val="es-CO"/>
        </w:rPr>
      </w:pPr>
    </w:p>
    <w:p w14:paraId="6B5EA168" w14:textId="77777777" w:rsidR="009D4454" w:rsidRPr="00B84711" w:rsidRDefault="009D4454" w:rsidP="00041441">
      <w:pPr>
        <w:ind w:left="0"/>
        <w:jc w:val="center"/>
        <w:rPr>
          <w:rFonts w:ascii="Bookman Old Style" w:hAnsi="Bookman Old Style"/>
        </w:rPr>
      </w:pPr>
      <w:r w:rsidRPr="00B84711">
        <w:rPr>
          <w:rFonts w:ascii="Bookman Old Style" w:hAnsi="Bookman Old Style"/>
        </w:rPr>
        <w:t xml:space="preserve">Por la cual se </w:t>
      </w:r>
      <w:r w:rsidR="001E263B">
        <w:rPr>
          <w:rFonts w:ascii="Bookman Old Style" w:hAnsi="Bookman Old Style"/>
        </w:rPr>
        <w:t xml:space="preserve">decide sobre una solicitud de </w:t>
      </w:r>
      <w:proofErr w:type="spellStart"/>
      <w:r w:rsidR="00234986">
        <w:rPr>
          <w:rFonts w:ascii="Bookman Old Style" w:hAnsi="Bookman Old Style"/>
        </w:rPr>
        <w:t>Intercolombia</w:t>
      </w:r>
      <w:proofErr w:type="spellEnd"/>
      <w:r>
        <w:rPr>
          <w:rFonts w:ascii="Bookman Old Style" w:hAnsi="Bookman Old Style"/>
        </w:rPr>
        <w:t xml:space="preserve"> </w:t>
      </w:r>
      <w:r w:rsidRPr="00B84711">
        <w:rPr>
          <w:rFonts w:ascii="Bookman Old Style" w:hAnsi="Bookman Old Style"/>
        </w:rPr>
        <w:t xml:space="preserve">S.A. E.S.P. </w:t>
      </w:r>
      <w:r w:rsidR="001E263B">
        <w:rPr>
          <w:rFonts w:ascii="Bookman Old Style" w:hAnsi="Bookman Old Style"/>
        </w:rPr>
        <w:t xml:space="preserve">para actualizar </w:t>
      </w:r>
      <w:r>
        <w:rPr>
          <w:rFonts w:ascii="Bookman Old Style" w:hAnsi="Bookman Old Style"/>
        </w:rPr>
        <w:t>su</w:t>
      </w:r>
      <w:r w:rsidRPr="00C63A34">
        <w:rPr>
          <w:rFonts w:ascii="Bookman Old Style" w:hAnsi="Bookman Old Style"/>
        </w:rPr>
        <w:t xml:space="preserve"> remuneración en el Sistema de Transmisión Nacional.</w:t>
      </w:r>
    </w:p>
    <w:p w14:paraId="28630530" w14:textId="77777777" w:rsidR="009D4454" w:rsidRPr="00B84711" w:rsidRDefault="009D4454" w:rsidP="009D4454">
      <w:pPr>
        <w:ind w:left="0"/>
        <w:rPr>
          <w:rFonts w:ascii="Bookman Old Style" w:hAnsi="Bookman Old Style"/>
        </w:rPr>
      </w:pPr>
    </w:p>
    <w:p w14:paraId="79CADB13" w14:textId="77777777" w:rsidR="009D4454" w:rsidRPr="00B84711" w:rsidRDefault="009D4454" w:rsidP="009D4454">
      <w:pPr>
        <w:ind w:left="0"/>
        <w:rPr>
          <w:rFonts w:ascii="Bookman Old Style" w:hAnsi="Bookman Old Style"/>
        </w:rPr>
      </w:pPr>
    </w:p>
    <w:p w14:paraId="76436388" w14:textId="77777777" w:rsidR="009D4454" w:rsidRPr="00B84711" w:rsidRDefault="009D4454" w:rsidP="009D4454">
      <w:pPr>
        <w:jc w:val="center"/>
        <w:rPr>
          <w:rFonts w:ascii="Bookman Old Style" w:hAnsi="Bookman Old Style" w:cs="Arial"/>
          <w:b/>
        </w:rPr>
      </w:pPr>
      <w:r w:rsidRPr="00B84711">
        <w:rPr>
          <w:rFonts w:ascii="Bookman Old Style" w:hAnsi="Bookman Old Style" w:cs="Arial"/>
          <w:b/>
        </w:rPr>
        <w:t>LA COMISIÓN DE REGULACIÓN DE ENERGÍA Y GAS</w:t>
      </w:r>
    </w:p>
    <w:p w14:paraId="124E4D86" w14:textId="77777777" w:rsidR="009D4454" w:rsidRPr="00B84711" w:rsidRDefault="009D4454" w:rsidP="009D4454">
      <w:pPr>
        <w:jc w:val="center"/>
        <w:rPr>
          <w:rFonts w:ascii="Bookman Old Style" w:hAnsi="Bookman Old Style" w:cs="Arial"/>
        </w:rPr>
      </w:pPr>
    </w:p>
    <w:p w14:paraId="6100BD8F" w14:textId="77777777" w:rsidR="009D4454" w:rsidRPr="00B84711" w:rsidRDefault="009D4454" w:rsidP="009D4454">
      <w:pPr>
        <w:jc w:val="center"/>
        <w:rPr>
          <w:rFonts w:ascii="Bookman Old Style" w:hAnsi="Bookman Old Style" w:cs="Arial"/>
        </w:rPr>
      </w:pPr>
    </w:p>
    <w:p w14:paraId="7474F368" w14:textId="77777777" w:rsidR="009D4454" w:rsidRPr="00B84711" w:rsidRDefault="009D4454" w:rsidP="009D4454">
      <w:pPr>
        <w:ind w:left="0"/>
        <w:jc w:val="both"/>
        <w:rPr>
          <w:rFonts w:ascii="Bookman Old Style" w:hAnsi="Bookman Old Style"/>
        </w:rPr>
      </w:pPr>
      <w:r w:rsidRPr="00B84711">
        <w:rPr>
          <w:rFonts w:ascii="Bookman Old Style" w:hAnsi="Bookman Old Style"/>
        </w:rPr>
        <w:t xml:space="preserve">En ejercicio de sus atribuciones constitucionales y legales, en especial las conferidas por las </w:t>
      </w:r>
      <w:r w:rsidR="00A62BE1">
        <w:rPr>
          <w:rFonts w:ascii="Bookman Old Style" w:hAnsi="Bookman Old Style"/>
        </w:rPr>
        <w:t>l</w:t>
      </w:r>
      <w:r w:rsidR="00A62BE1" w:rsidRPr="00B84711">
        <w:rPr>
          <w:rFonts w:ascii="Bookman Old Style" w:hAnsi="Bookman Old Style"/>
        </w:rPr>
        <w:t xml:space="preserve">eyes </w:t>
      </w:r>
      <w:r w:rsidRPr="00B84711">
        <w:rPr>
          <w:rFonts w:ascii="Bookman Old Style" w:hAnsi="Bookman Old Style"/>
        </w:rPr>
        <w:t xml:space="preserve">142 y 143 de 1994, y en desarrollo de los </w:t>
      </w:r>
      <w:r w:rsidR="00A00F4D">
        <w:rPr>
          <w:rFonts w:ascii="Bookman Old Style" w:hAnsi="Bookman Old Style" w:cs="Arial"/>
        </w:rPr>
        <w:t>d</w:t>
      </w:r>
      <w:r w:rsidR="00A00F4D" w:rsidRPr="0041407C">
        <w:rPr>
          <w:rFonts w:ascii="Bookman Old Style" w:hAnsi="Bookman Old Style" w:cs="Arial"/>
        </w:rPr>
        <w:t>ecretos 1524 y</w:t>
      </w:r>
      <w:r w:rsidR="00A00F4D">
        <w:rPr>
          <w:rFonts w:ascii="Bookman Old Style" w:hAnsi="Bookman Old Style" w:cs="Arial"/>
        </w:rPr>
        <w:t xml:space="preserve"> 2253 de 1994</w:t>
      </w:r>
      <w:r w:rsidR="00A00F4D" w:rsidRPr="0041407C">
        <w:rPr>
          <w:rFonts w:ascii="Bookman Old Style" w:hAnsi="Bookman Old Style" w:cs="Arial"/>
        </w:rPr>
        <w:t xml:space="preserve"> y</w:t>
      </w:r>
      <w:r w:rsidR="00A00F4D">
        <w:rPr>
          <w:rFonts w:ascii="Bookman Old Style" w:hAnsi="Bookman Old Style" w:cs="Arial"/>
        </w:rPr>
        <w:t xml:space="preserve"> 1260 de 2013, y</w:t>
      </w:r>
    </w:p>
    <w:p w14:paraId="45AAE287" w14:textId="77777777" w:rsidR="009D4454" w:rsidRDefault="009D4454" w:rsidP="009D4454">
      <w:pPr>
        <w:jc w:val="center"/>
        <w:rPr>
          <w:rFonts w:ascii="Bookman Old Style" w:hAnsi="Bookman Old Style" w:cs="Arial"/>
        </w:rPr>
      </w:pPr>
    </w:p>
    <w:p w14:paraId="47C137B9" w14:textId="77777777" w:rsidR="009D4454" w:rsidRPr="00B84711" w:rsidRDefault="009D4454" w:rsidP="009D4454">
      <w:pPr>
        <w:jc w:val="center"/>
        <w:rPr>
          <w:rFonts w:ascii="Bookman Old Style" w:hAnsi="Bookman Old Style" w:cs="Arial"/>
        </w:rPr>
      </w:pPr>
    </w:p>
    <w:p w14:paraId="5A839683" w14:textId="77777777" w:rsidR="009D4454" w:rsidRPr="00B84711" w:rsidRDefault="009D4454" w:rsidP="009D4454">
      <w:pPr>
        <w:jc w:val="center"/>
        <w:rPr>
          <w:rFonts w:ascii="Bookman Old Style" w:hAnsi="Bookman Old Style" w:cs="Arial"/>
          <w:b/>
        </w:rPr>
      </w:pPr>
      <w:r w:rsidRPr="00B84711">
        <w:rPr>
          <w:rFonts w:ascii="Bookman Old Style" w:hAnsi="Bookman Old Style"/>
          <w:b/>
          <w:spacing w:val="100"/>
        </w:rPr>
        <w:t>CONSIDERANDO</w:t>
      </w:r>
      <w:r w:rsidR="00470313">
        <w:rPr>
          <w:rFonts w:ascii="Bookman Old Style" w:hAnsi="Bookman Old Style"/>
          <w:b/>
          <w:spacing w:val="100"/>
        </w:rPr>
        <w:t xml:space="preserve"> QUE</w:t>
      </w:r>
      <w:r w:rsidRPr="00B84711">
        <w:rPr>
          <w:rFonts w:ascii="Bookman Old Style" w:hAnsi="Bookman Old Style" w:cs="Arial"/>
          <w:b/>
        </w:rPr>
        <w:t>:</w:t>
      </w:r>
    </w:p>
    <w:p w14:paraId="0532056C" w14:textId="77777777" w:rsidR="009D4454" w:rsidRDefault="009D4454" w:rsidP="009D4454">
      <w:pPr>
        <w:ind w:left="0"/>
        <w:rPr>
          <w:rFonts w:ascii="Bookman Old Style" w:hAnsi="Bookman Old Style"/>
        </w:rPr>
      </w:pPr>
    </w:p>
    <w:p w14:paraId="6B06ADF0" w14:textId="77777777" w:rsidR="009D4454" w:rsidRPr="00C63A34" w:rsidRDefault="00470313" w:rsidP="00A60380">
      <w:pPr>
        <w:spacing w:after="240"/>
        <w:ind w:left="0"/>
        <w:jc w:val="both"/>
        <w:rPr>
          <w:rFonts w:ascii="Bookman Old Style" w:hAnsi="Bookman Old Style"/>
        </w:rPr>
      </w:pPr>
      <w:r>
        <w:rPr>
          <w:rFonts w:ascii="Bookman Old Style" w:hAnsi="Bookman Old Style"/>
        </w:rPr>
        <w:t>D</w:t>
      </w:r>
      <w:r w:rsidR="009D4454" w:rsidRPr="00C63A34">
        <w:rPr>
          <w:rFonts w:ascii="Bookman Old Style" w:hAnsi="Bookman Old Style"/>
        </w:rPr>
        <w:t>e</w:t>
      </w:r>
      <w:r w:rsidR="00043EE4">
        <w:rPr>
          <w:rFonts w:ascii="Bookman Old Style" w:hAnsi="Bookman Old Style"/>
        </w:rPr>
        <w:t xml:space="preserve"> acuerdo con lo previsto en el </w:t>
      </w:r>
      <w:r w:rsidR="002A4B5A" w:rsidRPr="00C63A34">
        <w:rPr>
          <w:rFonts w:ascii="Bookman Old Style" w:hAnsi="Bookman Old Style"/>
        </w:rPr>
        <w:t>literal d)</w:t>
      </w:r>
      <w:r w:rsidR="002A4B5A">
        <w:rPr>
          <w:rFonts w:ascii="Bookman Old Style" w:hAnsi="Bookman Old Style"/>
        </w:rPr>
        <w:t xml:space="preserve"> del </w:t>
      </w:r>
      <w:r w:rsidR="00043EE4">
        <w:rPr>
          <w:rFonts w:ascii="Bookman Old Style" w:hAnsi="Bookman Old Style"/>
        </w:rPr>
        <w:t>a</w:t>
      </w:r>
      <w:r w:rsidR="009D4454" w:rsidRPr="00C63A34">
        <w:rPr>
          <w:rFonts w:ascii="Bookman Old Style" w:hAnsi="Bookman Old Style"/>
        </w:rPr>
        <w:t>rtículo 23</w:t>
      </w:r>
      <w:r w:rsidR="002A4B5A">
        <w:rPr>
          <w:rFonts w:ascii="Bookman Old Style" w:hAnsi="Bookman Old Style"/>
        </w:rPr>
        <w:t xml:space="preserve"> </w:t>
      </w:r>
      <w:r w:rsidR="009D4454" w:rsidRPr="00C63A34">
        <w:rPr>
          <w:rFonts w:ascii="Bookman Old Style" w:hAnsi="Bookman Old Style"/>
        </w:rPr>
        <w:t xml:space="preserve">y </w:t>
      </w:r>
      <w:r w:rsidR="002A4B5A">
        <w:rPr>
          <w:rFonts w:ascii="Bookman Old Style" w:hAnsi="Bookman Old Style"/>
        </w:rPr>
        <w:t>en el a</w:t>
      </w:r>
      <w:r w:rsidR="002A4B5A" w:rsidRPr="00C63A34">
        <w:rPr>
          <w:rFonts w:ascii="Bookman Old Style" w:hAnsi="Bookman Old Style"/>
        </w:rPr>
        <w:t xml:space="preserve">rtículo </w:t>
      </w:r>
      <w:r w:rsidR="009D4454" w:rsidRPr="00C63A34">
        <w:rPr>
          <w:rFonts w:ascii="Bookman Old Style" w:hAnsi="Bookman Old Style"/>
        </w:rPr>
        <w:t>41 de la Ley 143 de 1994, es función de la Comisión de Regulación de Energía y Gas fijar las tarifas por el acceso y uso de las redes eléctricas.</w:t>
      </w:r>
    </w:p>
    <w:p w14:paraId="7A4BC8BE" w14:textId="2C008C96" w:rsidR="002A4B5A" w:rsidRDefault="002A4B5A" w:rsidP="00A60380">
      <w:pPr>
        <w:spacing w:after="240"/>
        <w:ind w:left="0"/>
        <w:jc w:val="both"/>
        <w:rPr>
          <w:rFonts w:ascii="Bookman Old Style" w:hAnsi="Bookman Old Style" w:cs="Arial"/>
          <w:spacing w:val="-3"/>
        </w:rPr>
      </w:pPr>
      <w:r w:rsidRPr="002A4B5A">
        <w:rPr>
          <w:rFonts w:ascii="Bookman Old Style" w:hAnsi="Bookman Old Style" w:cs="Arial"/>
          <w:spacing w:val="-3"/>
        </w:rPr>
        <w:t>Mediante la Resolución CREG 022 de 2001, modificada por las resoluciones  CREG 085 de 2002</w:t>
      </w:r>
      <w:r>
        <w:rPr>
          <w:rFonts w:ascii="Bookman Old Style" w:hAnsi="Bookman Old Style" w:cs="Arial"/>
          <w:spacing w:val="-3"/>
        </w:rPr>
        <w:t>,</w:t>
      </w:r>
      <w:r w:rsidRPr="002A4B5A">
        <w:rPr>
          <w:rFonts w:ascii="Bookman Old Style" w:hAnsi="Bookman Old Style" w:cs="Arial"/>
          <w:spacing w:val="-3"/>
        </w:rPr>
        <w:t xml:space="preserve"> 093 de 2007, </w:t>
      </w:r>
      <w:r w:rsidR="00EF2704">
        <w:rPr>
          <w:rFonts w:ascii="Bookman Old Style" w:hAnsi="Bookman Old Style" w:cs="Arial"/>
          <w:spacing w:val="-3"/>
        </w:rPr>
        <w:t xml:space="preserve">147 </w:t>
      </w:r>
      <w:r>
        <w:rPr>
          <w:rFonts w:ascii="Bookman Old Style" w:hAnsi="Bookman Old Style" w:cs="Arial"/>
          <w:spacing w:val="-3"/>
        </w:rPr>
        <w:t xml:space="preserve">de 2011 y 064 de 2013, entre otras, </w:t>
      </w:r>
      <w:r w:rsidRPr="002A4B5A">
        <w:rPr>
          <w:rFonts w:ascii="Bookman Old Style" w:hAnsi="Bookman Old Style" w:cs="Arial"/>
          <w:spacing w:val="-3"/>
        </w:rPr>
        <w:t>la CREG estableció los principios generales y los procedimientos para la preparación del plan de expansión de referencia del Sistema de Transmisión Nacional, STN, y se estableció la metodología para determinar el ingreso regulado por concepto del uso de este sistema, y dispuso que la expansión del STN se haga mediante la ejecución, a mínimo costo, de los proyectos del Plan de Expansión de Transmisión de Referencia, por parte de los inversionistas que resulten seleccionados en procesos que estimulen y garanticen la libre competencia.</w:t>
      </w:r>
    </w:p>
    <w:p w14:paraId="48612B44" w14:textId="77777777" w:rsidR="009D4454" w:rsidRDefault="002A4B5A" w:rsidP="00A60380">
      <w:pPr>
        <w:spacing w:after="240"/>
        <w:ind w:left="0"/>
        <w:jc w:val="both"/>
        <w:rPr>
          <w:rFonts w:ascii="Bookman Old Style" w:hAnsi="Bookman Old Style" w:cs="Arial"/>
          <w:spacing w:val="-3"/>
        </w:rPr>
      </w:pPr>
      <w:r>
        <w:rPr>
          <w:rFonts w:ascii="Bookman Old Style" w:hAnsi="Bookman Old Style" w:cs="Arial"/>
          <w:spacing w:val="-3"/>
        </w:rPr>
        <w:t>En</w:t>
      </w:r>
      <w:r w:rsidR="009D4454" w:rsidRPr="00934E08">
        <w:rPr>
          <w:rFonts w:ascii="Bookman Old Style" w:hAnsi="Bookman Old Style" w:cs="Arial"/>
          <w:spacing w:val="-3"/>
        </w:rPr>
        <w:t xml:space="preserve"> la Resolución CREG 011 de 2009 se estableció la metodología y fórmulas tarifarias para la remuneración de la actividad de transmisión de energía eléctrica en el Sistema de Transmisión Nacional.</w:t>
      </w:r>
      <w:r w:rsidR="009D4454">
        <w:rPr>
          <w:rFonts w:ascii="Bookman Old Style" w:hAnsi="Bookman Old Style" w:cs="Arial"/>
          <w:spacing w:val="-3"/>
        </w:rPr>
        <w:t xml:space="preserve"> </w:t>
      </w:r>
    </w:p>
    <w:p w14:paraId="52C5AE7D" w14:textId="77777777" w:rsidR="009D4454" w:rsidRPr="00C63A34" w:rsidRDefault="00470313" w:rsidP="00A60380">
      <w:pPr>
        <w:spacing w:after="240"/>
        <w:ind w:left="0"/>
        <w:jc w:val="both"/>
        <w:rPr>
          <w:rFonts w:ascii="Bookman Old Style" w:hAnsi="Bookman Old Style"/>
        </w:rPr>
      </w:pPr>
      <w:r>
        <w:rPr>
          <w:rFonts w:ascii="Bookman Old Style" w:hAnsi="Bookman Old Style" w:cs="Arial"/>
          <w:spacing w:val="-3"/>
        </w:rPr>
        <w:t>M</w:t>
      </w:r>
      <w:r w:rsidR="005548F8" w:rsidRPr="005548F8">
        <w:rPr>
          <w:rFonts w:ascii="Bookman Old Style" w:hAnsi="Bookman Old Style" w:cs="Arial"/>
          <w:spacing w:val="-3"/>
        </w:rPr>
        <w:t xml:space="preserve">ediante </w:t>
      </w:r>
      <w:r w:rsidR="00234986" w:rsidRPr="00234986">
        <w:rPr>
          <w:rFonts w:ascii="Bookman Old Style" w:hAnsi="Bookman Old Style" w:cs="Arial"/>
          <w:spacing w:val="-3"/>
        </w:rPr>
        <w:t>la Resolución CREG 177 de 2013, modificada por la</w:t>
      </w:r>
      <w:r>
        <w:rPr>
          <w:rFonts w:ascii="Bookman Old Style" w:hAnsi="Bookman Old Style" w:cs="Arial"/>
          <w:spacing w:val="-3"/>
        </w:rPr>
        <w:t>s resolucio</w:t>
      </w:r>
      <w:r w:rsidR="00234986" w:rsidRPr="00234986">
        <w:rPr>
          <w:rFonts w:ascii="Bookman Old Style" w:hAnsi="Bookman Old Style" w:cs="Arial"/>
          <w:spacing w:val="-3"/>
        </w:rPr>
        <w:t>n</w:t>
      </w:r>
      <w:r>
        <w:rPr>
          <w:rFonts w:ascii="Bookman Old Style" w:hAnsi="Bookman Old Style" w:cs="Arial"/>
          <w:spacing w:val="-3"/>
        </w:rPr>
        <w:t>es</w:t>
      </w:r>
      <w:r w:rsidR="00234986" w:rsidRPr="00234986">
        <w:rPr>
          <w:rFonts w:ascii="Bookman Old Style" w:hAnsi="Bookman Old Style" w:cs="Arial"/>
          <w:spacing w:val="-3"/>
        </w:rPr>
        <w:t xml:space="preserve"> CREG 167 de 2014</w:t>
      </w:r>
      <w:r>
        <w:rPr>
          <w:rFonts w:ascii="Bookman Old Style" w:hAnsi="Bookman Old Style" w:cs="Arial"/>
          <w:spacing w:val="-3"/>
        </w:rPr>
        <w:t xml:space="preserve"> y 086</w:t>
      </w:r>
      <w:r w:rsidR="000C7770">
        <w:rPr>
          <w:rFonts w:ascii="Bookman Old Style" w:hAnsi="Bookman Old Style" w:cs="Arial"/>
          <w:spacing w:val="-3"/>
        </w:rPr>
        <w:t>,</w:t>
      </w:r>
      <w:r w:rsidR="00A62BE1">
        <w:rPr>
          <w:rFonts w:ascii="Bookman Old Style" w:hAnsi="Bookman Old Style" w:cs="Arial"/>
          <w:spacing w:val="-3"/>
        </w:rPr>
        <w:t xml:space="preserve"> 169</w:t>
      </w:r>
      <w:r>
        <w:rPr>
          <w:rFonts w:ascii="Bookman Old Style" w:hAnsi="Bookman Old Style" w:cs="Arial"/>
          <w:spacing w:val="-3"/>
        </w:rPr>
        <w:t xml:space="preserve"> </w:t>
      </w:r>
      <w:r w:rsidR="000C7770">
        <w:rPr>
          <w:rFonts w:ascii="Bookman Old Style" w:hAnsi="Bookman Old Style" w:cs="Arial"/>
          <w:spacing w:val="-3"/>
        </w:rPr>
        <w:t xml:space="preserve">y 233 </w:t>
      </w:r>
      <w:r>
        <w:rPr>
          <w:rFonts w:ascii="Bookman Old Style" w:hAnsi="Bookman Old Style" w:cs="Arial"/>
          <w:spacing w:val="-3"/>
        </w:rPr>
        <w:t xml:space="preserve">de 2015, </w:t>
      </w:r>
      <w:r w:rsidR="009D4454">
        <w:rPr>
          <w:rFonts w:ascii="Bookman Old Style" w:hAnsi="Bookman Old Style" w:cs="Arial"/>
          <w:spacing w:val="-3"/>
        </w:rPr>
        <w:t>se aprobó</w:t>
      </w:r>
      <w:r w:rsidR="009D4454" w:rsidRPr="000E6C64">
        <w:rPr>
          <w:rFonts w:ascii="Bookman Old Style" w:hAnsi="Bookman Old Style" w:cs="Arial"/>
          <w:spacing w:val="-3"/>
        </w:rPr>
        <w:t xml:space="preserve"> la base de activos y los parámetros necesarios para determinar la remuneración de </w:t>
      </w:r>
      <w:proofErr w:type="spellStart"/>
      <w:r w:rsidR="00234986">
        <w:rPr>
          <w:rFonts w:ascii="Bookman Old Style" w:hAnsi="Bookman Old Style" w:cs="Arial"/>
          <w:spacing w:val="-3"/>
        </w:rPr>
        <w:t>Intercolombia</w:t>
      </w:r>
      <w:proofErr w:type="spellEnd"/>
      <w:r w:rsidR="009D4454">
        <w:rPr>
          <w:rFonts w:ascii="Bookman Old Style" w:hAnsi="Bookman Old Style" w:cs="Arial"/>
          <w:spacing w:val="-3"/>
        </w:rPr>
        <w:t xml:space="preserve"> </w:t>
      </w:r>
      <w:r w:rsidR="009D4454" w:rsidRPr="000E6C64">
        <w:rPr>
          <w:rFonts w:ascii="Bookman Old Style" w:hAnsi="Bookman Old Style" w:cs="Arial"/>
          <w:spacing w:val="-3"/>
        </w:rPr>
        <w:t>S.A. E.S.P. en el Sistema de Transmisión Nacional</w:t>
      </w:r>
      <w:r w:rsidR="009D4454">
        <w:rPr>
          <w:rFonts w:ascii="Bookman Old Style" w:hAnsi="Bookman Old Style" w:cs="Arial"/>
          <w:spacing w:val="-3"/>
        </w:rPr>
        <w:t>.</w:t>
      </w:r>
    </w:p>
    <w:p w14:paraId="04C3C2A3" w14:textId="77777777" w:rsidR="009D4454" w:rsidRDefault="00470313" w:rsidP="00A60380">
      <w:pPr>
        <w:spacing w:after="240"/>
        <w:ind w:left="0"/>
        <w:jc w:val="both"/>
        <w:rPr>
          <w:rFonts w:ascii="Bookman Old Style" w:hAnsi="Bookman Old Style" w:cs="Arial"/>
          <w:spacing w:val="-3"/>
        </w:rPr>
      </w:pPr>
      <w:r>
        <w:rPr>
          <w:rFonts w:ascii="Bookman Old Style" w:hAnsi="Bookman Old Style" w:cs="Arial"/>
          <w:spacing w:val="-3"/>
        </w:rPr>
        <w:lastRenderedPageBreak/>
        <w:t>D</w:t>
      </w:r>
      <w:r w:rsidR="00043EE4">
        <w:rPr>
          <w:rFonts w:ascii="Bookman Old Style" w:hAnsi="Bookman Old Style" w:cs="Arial"/>
          <w:spacing w:val="-3"/>
        </w:rPr>
        <w:t>e acuerdo con el a</w:t>
      </w:r>
      <w:r w:rsidR="009D4454">
        <w:rPr>
          <w:rFonts w:ascii="Bookman Old Style" w:hAnsi="Bookman Old Style" w:cs="Arial"/>
          <w:spacing w:val="-3"/>
        </w:rPr>
        <w:t xml:space="preserve">rtículo 7 de la Resolución CREG 011 de 2009 el Ingreso Anual del Transmisor, IAT, “(…) </w:t>
      </w:r>
      <w:r w:rsidR="009D4454" w:rsidRPr="00B435AE">
        <w:rPr>
          <w:rFonts w:ascii="Bookman Old Style" w:hAnsi="Bookman Old Style" w:cs="Arial"/>
          <w:i/>
          <w:spacing w:val="-3"/>
        </w:rPr>
        <w:t>s</w:t>
      </w:r>
      <w:r w:rsidR="009D4454">
        <w:rPr>
          <w:rFonts w:ascii="Bookman Old Style" w:hAnsi="Bookman Old Style" w:cs="Arial"/>
          <w:i/>
          <w:spacing w:val="-3"/>
        </w:rPr>
        <w:t>o</w:t>
      </w:r>
      <w:r w:rsidR="009D4454" w:rsidRPr="00B435AE">
        <w:rPr>
          <w:rFonts w:ascii="Bookman Old Style" w:hAnsi="Bookman Old Style" w:cs="Arial"/>
          <w:i/>
          <w:spacing w:val="-3"/>
        </w:rPr>
        <w:t>lo se ajustará si la CREG llegare a modificar los valores de la Unidades Constructivas, cuando se modifique el valor del AOM reconocido o cuando, en cumplimiento de la regulación vigente, se excluyan Activos de Uso en operación, ingresen nuevos Activos de Uso o se remplacen las Unidades Constructivas instaladas por otras de clasificación diferente de acuerdo con lo establecido en el Artículo 6 de la presente Resolución.</w:t>
      </w:r>
      <w:r w:rsidR="009D4454">
        <w:rPr>
          <w:rFonts w:ascii="Bookman Old Style" w:hAnsi="Bookman Old Style" w:cs="Arial"/>
          <w:spacing w:val="-3"/>
        </w:rPr>
        <w:t>”</w:t>
      </w:r>
    </w:p>
    <w:p w14:paraId="650E96CB" w14:textId="77777777" w:rsidR="00220DDA" w:rsidRPr="00220DDA" w:rsidRDefault="00220DDA" w:rsidP="00220DDA">
      <w:pPr>
        <w:keepNext/>
        <w:numPr>
          <w:ilvl w:val="0"/>
          <w:numId w:val="22"/>
        </w:numPr>
        <w:spacing w:after="240"/>
        <w:ind w:left="357" w:hanging="357"/>
        <w:jc w:val="both"/>
        <w:rPr>
          <w:rFonts w:ascii="Bookman Old Style" w:hAnsi="Bookman Old Style"/>
          <w:b/>
        </w:rPr>
      </w:pPr>
      <w:r>
        <w:rPr>
          <w:rFonts w:ascii="Bookman Old Style" w:hAnsi="Bookman Old Style"/>
          <w:b/>
        </w:rPr>
        <w:t>Solicitud</w:t>
      </w:r>
    </w:p>
    <w:p w14:paraId="7BBBD0B2" w14:textId="77777777" w:rsidR="009D4454" w:rsidRDefault="00A62BE1" w:rsidP="00A60380">
      <w:pPr>
        <w:spacing w:after="240"/>
        <w:ind w:left="0"/>
        <w:jc w:val="both"/>
        <w:rPr>
          <w:rFonts w:ascii="Bookman Old Style" w:hAnsi="Bookman Old Style" w:cs="Arial"/>
          <w:spacing w:val="-3"/>
        </w:rPr>
      </w:pPr>
      <w:proofErr w:type="spellStart"/>
      <w:r w:rsidRPr="00A62BE1">
        <w:rPr>
          <w:rFonts w:ascii="Bookman Old Style" w:hAnsi="Bookman Old Style" w:cs="Arial"/>
          <w:spacing w:val="-3"/>
        </w:rPr>
        <w:t>Intercolombia</w:t>
      </w:r>
      <w:proofErr w:type="spellEnd"/>
      <w:r w:rsidRPr="00A62BE1">
        <w:rPr>
          <w:rFonts w:ascii="Bookman Old Style" w:hAnsi="Bookman Old Style" w:cs="Arial"/>
          <w:spacing w:val="-3"/>
        </w:rPr>
        <w:t xml:space="preserve"> S.A. E.S.P., mediante la comunicaci</w:t>
      </w:r>
      <w:r w:rsidR="00DF5C07">
        <w:rPr>
          <w:rFonts w:ascii="Bookman Old Style" w:hAnsi="Bookman Old Style" w:cs="Arial"/>
          <w:spacing w:val="-3"/>
        </w:rPr>
        <w:t>ón</w:t>
      </w:r>
      <w:r w:rsidRPr="00A62BE1">
        <w:rPr>
          <w:rFonts w:ascii="Bookman Old Style" w:hAnsi="Bookman Old Style" w:cs="Arial"/>
          <w:spacing w:val="-3"/>
        </w:rPr>
        <w:t xml:space="preserve"> con radicado CREG E</w:t>
      </w:r>
      <w:r>
        <w:rPr>
          <w:rFonts w:ascii="Bookman Old Style" w:hAnsi="Bookman Old Style" w:cs="Arial"/>
          <w:spacing w:val="-3"/>
        </w:rPr>
        <w:noBreakHyphen/>
      </w:r>
      <w:r w:rsidRPr="00A62BE1">
        <w:rPr>
          <w:rFonts w:ascii="Bookman Old Style" w:hAnsi="Bookman Old Style" w:cs="Arial"/>
          <w:spacing w:val="-3"/>
        </w:rPr>
        <w:t>2015-0</w:t>
      </w:r>
      <w:r w:rsidR="00C93DD4">
        <w:rPr>
          <w:rFonts w:ascii="Bookman Old Style" w:hAnsi="Bookman Old Style" w:cs="Arial"/>
          <w:spacing w:val="-3"/>
        </w:rPr>
        <w:t>12762</w:t>
      </w:r>
      <w:r w:rsidRPr="00A62BE1">
        <w:rPr>
          <w:rFonts w:ascii="Bookman Old Style" w:hAnsi="Bookman Old Style" w:cs="Arial"/>
          <w:spacing w:val="-3"/>
        </w:rPr>
        <w:t xml:space="preserve">, solicitó a la Comisión la actualización del ingreso anual de la actividad de transmisión, por </w:t>
      </w:r>
      <w:r w:rsidR="00C93DD4" w:rsidRPr="00C93DD4">
        <w:rPr>
          <w:rFonts w:ascii="Bookman Old Style" w:hAnsi="Bookman Old Style" w:cs="Arial"/>
          <w:spacing w:val="-3"/>
        </w:rPr>
        <w:t>cambios en las unidades constructivas</w:t>
      </w:r>
      <w:r w:rsidR="00F145D6">
        <w:rPr>
          <w:rFonts w:ascii="Bookman Old Style" w:hAnsi="Bookman Old Style" w:cs="Arial"/>
          <w:spacing w:val="-3"/>
        </w:rPr>
        <w:t>, UC,</w:t>
      </w:r>
      <w:r w:rsidR="00C93DD4" w:rsidRPr="00C93DD4">
        <w:rPr>
          <w:rFonts w:ascii="Bookman Old Style" w:hAnsi="Bookman Old Style" w:cs="Arial"/>
          <w:spacing w:val="-3"/>
        </w:rPr>
        <w:t xml:space="preserve"> de la subestación La Reforma, con ocasión de la conexión de la línea objeto de la convocatoria UPME 02-2014</w:t>
      </w:r>
      <w:r w:rsidR="009D4454">
        <w:rPr>
          <w:rFonts w:ascii="Bookman Old Style" w:hAnsi="Bookman Old Style" w:cs="Arial"/>
          <w:spacing w:val="-3"/>
        </w:rPr>
        <w:t>.</w:t>
      </w:r>
      <w:r w:rsidR="00123D92">
        <w:rPr>
          <w:rFonts w:ascii="Bookman Old Style" w:hAnsi="Bookman Old Style" w:cs="Arial"/>
          <w:spacing w:val="-3"/>
        </w:rPr>
        <w:t xml:space="preserve"> E</w:t>
      </w:r>
      <w:r w:rsidR="00D21416">
        <w:rPr>
          <w:rFonts w:ascii="Bookman Old Style" w:hAnsi="Bookman Old Style" w:cs="Arial"/>
          <w:spacing w:val="-3"/>
        </w:rPr>
        <w:t>n</w:t>
      </w:r>
      <w:r w:rsidR="00123D92">
        <w:rPr>
          <w:rFonts w:ascii="Bookman Old Style" w:hAnsi="Bookman Old Style" w:cs="Arial"/>
          <w:spacing w:val="-3"/>
        </w:rPr>
        <w:t xml:space="preserve"> la comunicación manifiesta:</w:t>
      </w:r>
    </w:p>
    <w:p w14:paraId="6F422C88" w14:textId="77777777" w:rsidR="00123D92" w:rsidRPr="00797D74" w:rsidRDefault="00123D92" w:rsidP="00123D92">
      <w:pPr>
        <w:pStyle w:val="Cita"/>
        <w:ind w:left="284" w:right="284"/>
        <w:jc w:val="both"/>
        <w:rPr>
          <w:rFonts w:ascii="Bookman Old Style" w:hAnsi="Bookman Old Style"/>
          <w:sz w:val="22"/>
          <w:szCs w:val="22"/>
        </w:rPr>
      </w:pPr>
      <w:r w:rsidRPr="00797D74">
        <w:rPr>
          <w:rFonts w:ascii="Bookman Old Style" w:hAnsi="Bookman Old Style"/>
          <w:sz w:val="22"/>
          <w:szCs w:val="22"/>
        </w:rPr>
        <w:t xml:space="preserve">Como resultado de la ejecución del Proyecto UPME-02-2014 - Conexión de la subestación La Reforma al circuito </w:t>
      </w:r>
      <w:proofErr w:type="spellStart"/>
      <w:r w:rsidRPr="00797D74">
        <w:rPr>
          <w:rFonts w:ascii="Bookman Old Style" w:hAnsi="Bookman Old Style"/>
          <w:sz w:val="22"/>
          <w:szCs w:val="22"/>
        </w:rPr>
        <w:t>Guavio</w:t>
      </w:r>
      <w:proofErr w:type="spellEnd"/>
      <w:r w:rsidRPr="00797D74">
        <w:rPr>
          <w:rFonts w:ascii="Bookman Old Style" w:hAnsi="Bookman Old Style"/>
          <w:sz w:val="22"/>
          <w:szCs w:val="22"/>
        </w:rPr>
        <w:t xml:space="preserve"> - Tunal 2 230 </w:t>
      </w:r>
      <w:proofErr w:type="spellStart"/>
      <w:r w:rsidRPr="00797D74">
        <w:rPr>
          <w:rFonts w:ascii="Bookman Old Style" w:hAnsi="Bookman Old Style"/>
          <w:sz w:val="22"/>
          <w:szCs w:val="22"/>
        </w:rPr>
        <w:t>kV</w:t>
      </w:r>
      <w:proofErr w:type="spellEnd"/>
      <w:r w:rsidRPr="00797D74">
        <w:rPr>
          <w:rFonts w:ascii="Bookman Old Style" w:hAnsi="Bookman Old Style"/>
          <w:sz w:val="22"/>
          <w:szCs w:val="22"/>
        </w:rPr>
        <w:t>, a cargo de ISA, el cual fue declarado en explotación comercial a p</w:t>
      </w:r>
      <w:r w:rsidR="00F8754C">
        <w:rPr>
          <w:rFonts w:ascii="Bookman Old Style" w:hAnsi="Bookman Old Style"/>
          <w:sz w:val="22"/>
          <w:szCs w:val="22"/>
        </w:rPr>
        <w:t xml:space="preserve">artir de las 00:00 horas del 25 </w:t>
      </w:r>
      <w:r w:rsidRPr="00797D74">
        <w:rPr>
          <w:rFonts w:ascii="Bookman Old Style" w:hAnsi="Bookman Old Style"/>
          <w:sz w:val="22"/>
          <w:szCs w:val="22"/>
        </w:rPr>
        <w:t>de</w:t>
      </w:r>
      <w:r w:rsidR="00F8754C">
        <w:rPr>
          <w:rFonts w:ascii="Bookman Old Style" w:hAnsi="Bookman Old Style"/>
          <w:sz w:val="22"/>
          <w:szCs w:val="22"/>
        </w:rPr>
        <w:t xml:space="preserve"> </w:t>
      </w:r>
      <w:r w:rsidRPr="00797D74">
        <w:rPr>
          <w:rFonts w:ascii="Bookman Old Style" w:hAnsi="Bookman Old Style"/>
          <w:sz w:val="22"/>
          <w:szCs w:val="22"/>
        </w:rPr>
        <w:t>noviembre</w:t>
      </w:r>
      <w:r w:rsidRPr="00797D74">
        <w:rPr>
          <w:rFonts w:ascii="Bookman Old Style" w:hAnsi="Bookman Old Style"/>
          <w:sz w:val="22"/>
          <w:szCs w:val="22"/>
        </w:rPr>
        <w:tab/>
        <w:t>de</w:t>
      </w:r>
      <w:r w:rsidR="00F8754C">
        <w:rPr>
          <w:rFonts w:ascii="Bookman Old Style" w:hAnsi="Bookman Old Style"/>
          <w:sz w:val="22"/>
          <w:szCs w:val="22"/>
        </w:rPr>
        <w:t xml:space="preserve"> </w:t>
      </w:r>
      <w:r w:rsidRPr="00797D74">
        <w:rPr>
          <w:rFonts w:ascii="Bookman Old Style" w:hAnsi="Bookman Old Style"/>
          <w:sz w:val="22"/>
          <w:szCs w:val="22"/>
        </w:rPr>
        <w:t>2015,</w:t>
      </w:r>
      <w:r w:rsidR="00F8754C">
        <w:rPr>
          <w:rFonts w:ascii="Bookman Old Style" w:hAnsi="Bookman Old Style"/>
          <w:sz w:val="22"/>
          <w:szCs w:val="22"/>
        </w:rPr>
        <w:t xml:space="preserve"> </w:t>
      </w:r>
      <w:r w:rsidRPr="00797D74">
        <w:rPr>
          <w:rFonts w:ascii="Bookman Old Style" w:hAnsi="Bookman Old Style"/>
          <w:sz w:val="22"/>
          <w:szCs w:val="22"/>
        </w:rPr>
        <w:t>mediante comunicación ITCO 2015</w:t>
      </w:r>
      <w:r w:rsidR="00F8754C">
        <w:rPr>
          <w:rFonts w:ascii="Bookman Old Style" w:hAnsi="Bookman Old Style"/>
          <w:sz w:val="22"/>
          <w:szCs w:val="22"/>
        </w:rPr>
        <w:t xml:space="preserve">77005289-1 de Noviembre </w:t>
      </w:r>
      <w:r w:rsidRPr="00797D74">
        <w:rPr>
          <w:rFonts w:ascii="Bookman Old Style" w:hAnsi="Bookman Old Style"/>
          <w:sz w:val="22"/>
          <w:szCs w:val="22"/>
        </w:rPr>
        <w:t>24</w:t>
      </w:r>
      <w:r w:rsidR="00F8754C">
        <w:rPr>
          <w:rFonts w:ascii="Bookman Old Style" w:hAnsi="Bookman Old Style"/>
          <w:sz w:val="22"/>
          <w:szCs w:val="22"/>
        </w:rPr>
        <w:t xml:space="preserve"> de 2015, </w:t>
      </w:r>
      <w:r w:rsidRPr="00797D74">
        <w:rPr>
          <w:rFonts w:ascii="Bookman Old Style" w:hAnsi="Bookman Old Style"/>
          <w:sz w:val="22"/>
          <w:szCs w:val="22"/>
        </w:rPr>
        <w:t>se</w:t>
      </w:r>
      <w:r w:rsidR="00F8754C">
        <w:rPr>
          <w:rFonts w:ascii="Bookman Old Style" w:hAnsi="Bookman Old Style"/>
          <w:sz w:val="22"/>
          <w:szCs w:val="22"/>
        </w:rPr>
        <w:t xml:space="preserve"> </w:t>
      </w:r>
      <w:r w:rsidRPr="00797D74">
        <w:rPr>
          <w:rFonts w:ascii="Bookman Old Style" w:hAnsi="Bookman Old Style"/>
          <w:sz w:val="22"/>
          <w:szCs w:val="22"/>
        </w:rPr>
        <w:t>presentan los siguientes cambios en Unidades Constructivas existentes representadas por INTERCOLOMBIA:</w:t>
      </w:r>
    </w:p>
    <w:p w14:paraId="58B33E96" w14:textId="77777777" w:rsidR="00123D92" w:rsidRPr="00797D74" w:rsidRDefault="00123D92" w:rsidP="00F8754C">
      <w:pPr>
        <w:pStyle w:val="Cita"/>
        <w:ind w:left="709" w:right="284" w:hanging="425"/>
        <w:jc w:val="both"/>
        <w:rPr>
          <w:rFonts w:ascii="Bookman Old Style" w:hAnsi="Bookman Old Style"/>
          <w:sz w:val="22"/>
          <w:szCs w:val="22"/>
        </w:rPr>
      </w:pPr>
      <w:r w:rsidRPr="00797D74">
        <w:rPr>
          <w:rFonts w:ascii="Bookman Old Style" w:hAnsi="Bookman Old Style"/>
          <w:sz w:val="22"/>
          <w:szCs w:val="22"/>
        </w:rPr>
        <w:t>1.</w:t>
      </w:r>
      <w:r w:rsidRPr="00797D74">
        <w:rPr>
          <w:rFonts w:ascii="Bookman Old Style" w:hAnsi="Bookman Old Style"/>
          <w:sz w:val="22"/>
          <w:szCs w:val="22"/>
        </w:rPr>
        <w:tab/>
        <w:t xml:space="preserve">Los tramos de línea </w:t>
      </w:r>
      <w:proofErr w:type="spellStart"/>
      <w:r w:rsidRPr="00797D74">
        <w:rPr>
          <w:rFonts w:ascii="Bookman Old Style" w:hAnsi="Bookman Old Style"/>
          <w:sz w:val="22"/>
          <w:szCs w:val="22"/>
        </w:rPr>
        <w:t>Guavio</w:t>
      </w:r>
      <w:proofErr w:type="spellEnd"/>
      <w:r w:rsidRPr="00797D74">
        <w:rPr>
          <w:rFonts w:ascii="Bookman Old Style" w:hAnsi="Bookman Old Style"/>
          <w:sz w:val="22"/>
          <w:szCs w:val="22"/>
        </w:rPr>
        <w:t xml:space="preserve"> - La Reforma 1 y La </w:t>
      </w:r>
      <w:proofErr w:type="spellStart"/>
      <w:r w:rsidRPr="00797D74">
        <w:rPr>
          <w:rFonts w:ascii="Bookman Old Style" w:hAnsi="Bookman Old Style"/>
          <w:sz w:val="22"/>
          <w:szCs w:val="22"/>
        </w:rPr>
        <w:t>Refoma</w:t>
      </w:r>
      <w:proofErr w:type="spellEnd"/>
      <w:r w:rsidRPr="00797D74">
        <w:rPr>
          <w:rFonts w:ascii="Bookman Old Style" w:hAnsi="Bookman Old Style"/>
          <w:sz w:val="22"/>
          <w:szCs w:val="22"/>
        </w:rPr>
        <w:t xml:space="preserve"> - Tunal 1, que permiten la entrada de la línea </w:t>
      </w:r>
      <w:proofErr w:type="spellStart"/>
      <w:r w:rsidRPr="00797D74">
        <w:rPr>
          <w:rFonts w:ascii="Bookman Old Style" w:hAnsi="Bookman Old Style"/>
          <w:sz w:val="22"/>
          <w:szCs w:val="22"/>
        </w:rPr>
        <w:t>Guavio</w:t>
      </w:r>
      <w:proofErr w:type="spellEnd"/>
      <w:r w:rsidRPr="00797D74">
        <w:rPr>
          <w:rFonts w:ascii="Bookman Old Style" w:hAnsi="Bookman Old Style"/>
          <w:sz w:val="22"/>
          <w:szCs w:val="22"/>
        </w:rPr>
        <w:t xml:space="preserve"> - Tunal 1 230 </w:t>
      </w:r>
      <w:proofErr w:type="spellStart"/>
      <w:r w:rsidRPr="00797D74">
        <w:rPr>
          <w:rFonts w:ascii="Bookman Old Style" w:hAnsi="Bookman Old Style"/>
          <w:sz w:val="22"/>
          <w:szCs w:val="22"/>
        </w:rPr>
        <w:t>kV</w:t>
      </w:r>
      <w:proofErr w:type="spellEnd"/>
      <w:r w:rsidRPr="00797D74">
        <w:rPr>
          <w:rFonts w:ascii="Bookman Old Style" w:hAnsi="Bookman Old Style"/>
          <w:sz w:val="22"/>
          <w:szCs w:val="22"/>
        </w:rPr>
        <w:t xml:space="preserve"> a la Subestación La Reforma 230 </w:t>
      </w:r>
      <w:proofErr w:type="spellStart"/>
      <w:r w:rsidRPr="00797D74">
        <w:rPr>
          <w:rFonts w:ascii="Bookman Old Style" w:hAnsi="Bookman Old Style"/>
          <w:sz w:val="22"/>
          <w:szCs w:val="22"/>
        </w:rPr>
        <w:t>kV</w:t>
      </w:r>
      <w:proofErr w:type="spellEnd"/>
      <w:r w:rsidRPr="00797D74">
        <w:rPr>
          <w:rFonts w:ascii="Bookman Old Style" w:hAnsi="Bookman Old Style"/>
          <w:sz w:val="22"/>
          <w:szCs w:val="22"/>
        </w:rPr>
        <w:t xml:space="preserve">, fueron desmontados de sus estructuras en circuito sencillo y se montaron en estructuras de doble circuito con una configuración de dos </w:t>
      </w:r>
      <w:proofErr w:type="spellStart"/>
      <w:r w:rsidRPr="00797D74">
        <w:rPr>
          <w:rFonts w:ascii="Bookman Old Style" w:hAnsi="Bookman Old Style"/>
          <w:sz w:val="22"/>
          <w:szCs w:val="22"/>
        </w:rPr>
        <w:t>subconductores</w:t>
      </w:r>
      <w:proofErr w:type="spellEnd"/>
      <w:r w:rsidRPr="00797D74">
        <w:rPr>
          <w:rFonts w:ascii="Bookman Old Style" w:hAnsi="Bookman Old Style"/>
          <w:sz w:val="22"/>
          <w:szCs w:val="22"/>
        </w:rPr>
        <w:t xml:space="preserve"> por haz, compartiendo estructuras con los nuevos tramos de línea </w:t>
      </w:r>
      <w:proofErr w:type="spellStart"/>
      <w:r w:rsidRPr="00797D74">
        <w:rPr>
          <w:rFonts w:ascii="Bookman Old Style" w:hAnsi="Bookman Old Style"/>
          <w:sz w:val="22"/>
          <w:szCs w:val="22"/>
        </w:rPr>
        <w:t>Guavio</w:t>
      </w:r>
      <w:proofErr w:type="spellEnd"/>
      <w:r w:rsidRPr="00797D74">
        <w:rPr>
          <w:rFonts w:ascii="Bookman Old Style" w:hAnsi="Bookman Old Style"/>
          <w:sz w:val="22"/>
          <w:szCs w:val="22"/>
        </w:rPr>
        <w:t xml:space="preserve"> - La Reforma 2 y La </w:t>
      </w:r>
      <w:proofErr w:type="spellStart"/>
      <w:r w:rsidRPr="00797D74">
        <w:rPr>
          <w:rFonts w:ascii="Bookman Old Style" w:hAnsi="Bookman Old Style"/>
          <w:sz w:val="22"/>
          <w:szCs w:val="22"/>
        </w:rPr>
        <w:t>Refoma</w:t>
      </w:r>
      <w:proofErr w:type="spellEnd"/>
      <w:r w:rsidRPr="00797D74">
        <w:rPr>
          <w:rFonts w:ascii="Bookman Old Style" w:hAnsi="Bookman Old Style"/>
          <w:sz w:val="22"/>
          <w:szCs w:val="22"/>
        </w:rPr>
        <w:t xml:space="preserve"> - Tunal 2, construidos en desarrollo del Proyecto UPME-02-2014.</w:t>
      </w:r>
    </w:p>
    <w:p w14:paraId="6F74F0F5" w14:textId="77777777" w:rsidR="00123D92" w:rsidRPr="00797D74" w:rsidRDefault="00123D92" w:rsidP="000C0879">
      <w:pPr>
        <w:pStyle w:val="Cita"/>
        <w:spacing w:before="120" w:after="120"/>
        <w:ind w:left="708" w:right="284"/>
        <w:jc w:val="both"/>
        <w:rPr>
          <w:rFonts w:ascii="Bookman Old Style" w:hAnsi="Bookman Old Style"/>
          <w:sz w:val="22"/>
          <w:szCs w:val="22"/>
        </w:rPr>
      </w:pPr>
      <w:r w:rsidRPr="00797D74">
        <w:rPr>
          <w:rFonts w:ascii="Bookman Old Style" w:hAnsi="Bookman Old Style"/>
          <w:sz w:val="22"/>
          <w:szCs w:val="22"/>
        </w:rPr>
        <w:t>Adicionalmente, se revisaron las longitudes de dichos tramos de línea, las cuales quedan así:</w:t>
      </w:r>
    </w:p>
    <w:p w14:paraId="744CD97E" w14:textId="631A8434" w:rsidR="00F8754C" w:rsidRDefault="00123D92" w:rsidP="000C0879">
      <w:pPr>
        <w:pStyle w:val="Cita"/>
        <w:tabs>
          <w:tab w:val="left" w:pos="3969"/>
        </w:tabs>
        <w:spacing w:before="120" w:after="120"/>
        <w:ind w:left="284" w:right="284" w:firstLine="425"/>
        <w:jc w:val="both"/>
        <w:rPr>
          <w:rFonts w:ascii="Bookman Old Style" w:hAnsi="Bookman Old Style"/>
          <w:sz w:val="22"/>
          <w:szCs w:val="22"/>
        </w:rPr>
      </w:pPr>
      <w:r w:rsidRPr="00797D74">
        <w:rPr>
          <w:rFonts w:ascii="Bookman Old Style" w:hAnsi="Bookman Old Style"/>
          <w:sz w:val="22"/>
          <w:szCs w:val="22"/>
        </w:rPr>
        <w:t xml:space="preserve">- Tramo </w:t>
      </w:r>
      <w:proofErr w:type="spellStart"/>
      <w:r w:rsidRPr="00797D74">
        <w:rPr>
          <w:rFonts w:ascii="Bookman Old Style" w:hAnsi="Bookman Old Style"/>
          <w:sz w:val="22"/>
          <w:szCs w:val="22"/>
        </w:rPr>
        <w:t>Guavio</w:t>
      </w:r>
      <w:proofErr w:type="spellEnd"/>
      <w:r w:rsidRPr="00797D74">
        <w:rPr>
          <w:rFonts w:ascii="Bookman Old Style" w:hAnsi="Bookman Old Style"/>
          <w:sz w:val="22"/>
          <w:szCs w:val="22"/>
        </w:rPr>
        <w:t xml:space="preserve"> - La Reforma: </w:t>
      </w:r>
      <w:r w:rsidR="000C0879">
        <w:rPr>
          <w:rFonts w:ascii="Bookman Old Style" w:hAnsi="Bookman Old Style"/>
          <w:sz w:val="22"/>
          <w:szCs w:val="22"/>
        </w:rPr>
        <w:tab/>
      </w:r>
      <w:r w:rsidRPr="00797D74">
        <w:rPr>
          <w:rFonts w:ascii="Bookman Old Style" w:hAnsi="Bookman Old Style"/>
          <w:sz w:val="22"/>
          <w:szCs w:val="22"/>
        </w:rPr>
        <w:t>0.377 km Doble Circuito</w:t>
      </w:r>
    </w:p>
    <w:p w14:paraId="4340A598" w14:textId="77777777" w:rsidR="00123D92" w:rsidRPr="00797D74" w:rsidRDefault="00F8754C" w:rsidP="000C0879">
      <w:pPr>
        <w:pStyle w:val="Cita"/>
        <w:tabs>
          <w:tab w:val="left" w:pos="3969"/>
        </w:tabs>
        <w:spacing w:before="120" w:after="120"/>
        <w:ind w:left="284" w:right="284" w:firstLine="425"/>
        <w:jc w:val="both"/>
        <w:rPr>
          <w:rFonts w:ascii="Bookman Old Style" w:hAnsi="Bookman Old Style"/>
          <w:sz w:val="22"/>
          <w:szCs w:val="22"/>
        </w:rPr>
      </w:pPr>
      <w:r>
        <w:rPr>
          <w:rFonts w:ascii="Bookman Old Style" w:hAnsi="Bookman Old Style"/>
          <w:sz w:val="22"/>
          <w:szCs w:val="22"/>
        </w:rPr>
        <w:t>-</w:t>
      </w:r>
      <w:r w:rsidR="00123D92" w:rsidRPr="00797D74">
        <w:rPr>
          <w:rFonts w:ascii="Bookman Old Style" w:hAnsi="Bookman Old Style"/>
          <w:sz w:val="22"/>
          <w:szCs w:val="22"/>
        </w:rPr>
        <w:t xml:space="preserve"> Tramo La Reforma - Tunal:</w:t>
      </w:r>
      <w:r w:rsidR="00123D92" w:rsidRPr="00797D74">
        <w:rPr>
          <w:rFonts w:ascii="Bookman Old Style" w:hAnsi="Bookman Old Style"/>
          <w:sz w:val="22"/>
          <w:szCs w:val="22"/>
        </w:rPr>
        <w:tab/>
        <w:t>0.268 km Doble Circuito</w:t>
      </w:r>
    </w:p>
    <w:p w14:paraId="221D8493" w14:textId="77777777" w:rsidR="00123D92" w:rsidRPr="00797D74" w:rsidRDefault="00123D92" w:rsidP="00F8754C">
      <w:pPr>
        <w:pStyle w:val="Cita"/>
        <w:ind w:left="709" w:right="284" w:hanging="425"/>
        <w:jc w:val="both"/>
        <w:rPr>
          <w:rFonts w:ascii="Bookman Old Style" w:hAnsi="Bookman Old Style"/>
          <w:sz w:val="22"/>
          <w:szCs w:val="22"/>
        </w:rPr>
      </w:pPr>
      <w:r w:rsidRPr="00797D74">
        <w:rPr>
          <w:rFonts w:ascii="Bookman Old Style" w:hAnsi="Bookman Old Style"/>
          <w:sz w:val="22"/>
          <w:szCs w:val="22"/>
        </w:rPr>
        <w:t>2.</w:t>
      </w:r>
      <w:r w:rsidR="00F8754C">
        <w:rPr>
          <w:rFonts w:ascii="Bookman Old Style" w:hAnsi="Bookman Old Style"/>
          <w:sz w:val="22"/>
          <w:szCs w:val="22"/>
        </w:rPr>
        <w:tab/>
      </w:r>
      <w:r w:rsidRPr="00797D74">
        <w:rPr>
          <w:rFonts w:ascii="Bookman Old Style" w:hAnsi="Bookman Old Style"/>
          <w:sz w:val="22"/>
          <w:szCs w:val="22"/>
        </w:rPr>
        <w:t xml:space="preserve">La Subestación La Reforma pasa de 5 bahías a 7 bahías, como se indica en el Diagrama Unifilar Anexo, cambiando por tanto el tipo </w:t>
      </w:r>
      <w:r w:rsidR="00F8754C">
        <w:rPr>
          <w:rFonts w:ascii="Bookman Old Style" w:hAnsi="Bookman Old Style"/>
          <w:sz w:val="22"/>
          <w:szCs w:val="22"/>
        </w:rPr>
        <w:t xml:space="preserve">de subestación de Tipo 1 a Tipo </w:t>
      </w:r>
      <w:r w:rsidRPr="00797D74">
        <w:rPr>
          <w:rFonts w:ascii="Bookman Old Style" w:hAnsi="Bookman Old Style"/>
          <w:sz w:val="22"/>
          <w:szCs w:val="22"/>
        </w:rPr>
        <w:t>2.</w:t>
      </w:r>
    </w:p>
    <w:p w14:paraId="6173B266" w14:textId="77777777" w:rsidR="00123D92" w:rsidRPr="00797D74" w:rsidRDefault="00123D92" w:rsidP="00F8754C">
      <w:pPr>
        <w:pStyle w:val="Cita"/>
        <w:ind w:left="284" w:right="284"/>
        <w:jc w:val="both"/>
        <w:rPr>
          <w:rFonts w:ascii="Bookman Old Style" w:hAnsi="Bookman Old Style"/>
          <w:sz w:val="22"/>
          <w:szCs w:val="22"/>
        </w:rPr>
      </w:pPr>
      <w:r w:rsidRPr="00797D74">
        <w:rPr>
          <w:rFonts w:ascii="Bookman Old Style" w:hAnsi="Bookman Old Style"/>
          <w:sz w:val="22"/>
          <w:szCs w:val="22"/>
        </w:rPr>
        <w:t xml:space="preserve">De acuerdo con lo anterior, y conforme lo dispuesto en </w:t>
      </w:r>
      <w:r w:rsidR="00F8754C">
        <w:rPr>
          <w:rFonts w:ascii="Bookman Old Style" w:hAnsi="Bookman Old Style"/>
          <w:sz w:val="22"/>
          <w:szCs w:val="22"/>
        </w:rPr>
        <w:t xml:space="preserve">la Resolución CREG 011 de 2009, </w:t>
      </w:r>
      <w:r w:rsidRPr="00797D74">
        <w:rPr>
          <w:rFonts w:ascii="Bookman Old Style" w:hAnsi="Bookman Old Style"/>
          <w:sz w:val="22"/>
          <w:szCs w:val="22"/>
        </w:rPr>
        <w:t>Artículo 7 “Ingreso Anual”, INTERCOLOMBIA atentamente solicita a la Comisión actualizar la base de activos aprobada a la empresa, el IAT y el CRE correspondiente, modificando las siguientes Unidades Constructivas:</w:t>
      </w:r>
    </w:p>
    <w:p w14:paraId="2E8FD955" w14:textId="77777777" w:rsidR="00123D92" w:rsidRPr="00D21416" w:rsidRDefault="00123D92" w:rsidP="00123D92">
      <w:pPr>
        <w:pStyle w:val="Cita"/>
        <w:ind w:left="284" w:right="284"/>
        <w:jc w:val="both"/>
        <w:rPr>
          <w:rFonts w:ascii="Bookman Old Style" w:hAnsi="Bookman Old Style"/>
          <w:sz w:val="22"/>
          <w:szCs w:val="22"/>
        </w:rPr>
      </w:pPr>
      <w:r w:rsidRPr="00D21416">
        <w:rPr>
          <w:rFonts w:ascii="Bookman Old Style" w:hAnsi="Bookman Old Style"/>
          <w:sz w:val="22"/>
          <w:szCs w:val="22"/>
        </w:rPr>
        <w:t>Unidades Constructivas a retirar:</w:t>
      </w:r>
    </w:p>
    <w:tbl>
      <w:tblPr>
        <w:tblW w:w="8647" w:type="dxa"/>
        <w:jc w:val="center"/>
        <w:tblLayout w:type="fixed"/>
        <w:tblCellMar>
          <w:left w:w="0" w:type="dxa"/>
          <w:right w:w="0" w:type="dxa"/>
        </w:tblCellMar>
        <w:tblLook w:val="0000" w:firstRow="0" w:lastRow="0" w:firstColumn="0" w:lastColumn="0" w:noHBand="0" w:noVBand="0"/>
      </w:tblPr>
      <w:tblGrid>
        <w:gridCol w:w="1843"/>
        <w:gridCol w:w="1525"/>
        <w:gridCol w:w="1701"/>
        <w:gridCol w:w="1053"/>
        <w:gridCol w:w="1724"/>
        <w:gridCol w:w="801"/>
      </w:tblGrid>
      <w:tr w:rsidR="00797D74" w:rsidRPr="00D21416" w14:paraId="57A0C880" w14:textId="77777777" w:rsidTr="00797D74">
        <w:trPr>
          <w:trHeight w:val="397"/>
          <w:tblHeader/>
          <w:jc w:val="center"/>
        </w:trPr>
        <w:tc>
          <w:tcPr>
            <w:tcW w:w="1843" w:type="dxa"/>
            <w:tcBorders>
              <w:top w:val="single" w:sz="4" w:space="0" w:color="auto"/>
              <w:left w:val="single" w:sz="4" w:space="0" w:color="auto"/>
              <w:bottom w:val="nil"/>
              <w:right w:val="nil"/>
            </w:tcBorders>
            <w:shd w:val="clear" w:color="auto" w:fill="FFFFFF"/>
            <w:vAlign w:val="center"/>
          </w:tcPr>
          <w:p w14:paraId="5F916965"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Código Línea</w:t>
            </w:r>
          </w:p>
        </w:tc>
        <w:tc>
          <w:tcPr>
            <w:tcW w:w="1525" w:type="dxa"/>
            <w:tcBorders>
              <w:top w:val="single" w:sz="4" w:space="0" w:color="auto"/>
              <w:left w:val="single" w:sz="4" w:space="0" w:color="auto"/>
              <w:bottom w:val="nil"/>
              <w:right w:val="nil"/>
            </w:tcBorders>
            <w:shd w:val="clear" w:color="auto" w:fill="FFFFFF"/>
            <w:vAlign w:val="center"/>
          </w:tcPr>
          <w:p w14:paraId="68852786"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S/E Inicial</w:t>
            </w:r>
          </w:p>
        </w:tc>
        <w:tc>
          <w:tcPr>
            <w:tcW w:w="1701" w:type="dxa"/>
            <w:tcBorders>
              <w:top w:val="single" w:sz="4" w:space="0" w:color="auto"/>
              <w:left w:val="single" w:sz="4" w:space="0" w:color="auto"/>
              <w:bottom w:val="nil"/>
              <w:right w:val="nil"/>
            </w:tcBorders>
            <w:shd w:val="clear" w:color="auto" w:fill="FFFFFF"/>
            <w:vAlign w:val="center"/>
          </w:tcPr>
          <w:p w14:paraId="574A25BB"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S/E Final</w:t>
            </w:r>
          </w:p>
        </w:tc>
        <w:tc>
          <w:tcPr>
            <w:tcW w:w="1053" w:type="dxa"/>
            <w:tcBorders>
              <w:top w:val="single" w:sz="4" w:space="0" w:color="auto"/>
              <w:left w:val="single" w:sz="4" w:space="0" w:color="auto"/>
              <w:bottom w:val="nil"/>
              <w:right w:val="nil"/>
            </w:tcBorders>
            <w:shd w:val="clear" w:color="auto" w:fill="FFFFFF"/>
            <w:vAlign w:val="center"/>
          </w:tcPr>
          <w:p w14:paraId="52965FE8"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UC</w:t>
            </w:r>
          </w:p>
        </w:tc>
        <w:tc>
          <w:tcPr>
            <w:tcW w:w="1724" w:type="dxa"/>
            <w:tcBorders>
              <w:top w:val="single" w:sz="4" w:space="0" w:color="auto"/>
              <w:left w:val="single" w:sz="4" w:space="0" w:color="auto"/>
              <w:bottom w:val="nil"/>
              <w:right w:val="nil"/>
            </w:tcBorders>
            <w:shd w:val="clear" w:color="auto" w:fill="FFFFFF"/>
            <w:vAlign w:val="center"/>
          </w:tcPr>
          <w:p w14:paraId="6DEA337A"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Cantidad (km)</w:t>
            </w:r>
          </w:p>
        </w:tc>
        <w:tc>
          <w:tcPr>
            <w:tcW w:w="801" w:type="dxa"/>
            <w:tcBorders>
              <w:top w:val="single" w:sz="4" w:space="0" w:color="auto"/>
              <w:left w:val="single" w:sz="4" w:space="0" w:color="auto"/>
              <w:bottom w:val="nil"/>
              <w:right w:val="single" w:sz="4" w:space="0" w:color="auto"/>
            </w:tcBorders>
            <w:shd w:val="clear" w:color="auto" w:fill="FFFFFF"/>
            <w:vAlign w:val="center"/>
          </w:tcPr>
          <w:p w14:paraId="4CC5B440"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PU</w:t>
            </w:r>
          </w:p>
        </w:tc>
      </w:tr>
      <w:tr w:rsidR="00797D74" w:rsidRPr="00D21416" w14:paraId="241A4637" w14:textId="77777777" w:rsidTr="00797D74">
        <w:trPr>
          <w:trHeight w:val="397"/>
          <w:jc w:val="center"/>
        </w:trPr>
        <w:tc>
          <w:tcPr>
            <w:tcW w:w="1843" w:type="dxa"/>
            <w:tcBorders>
              <w:top w:val="single" w:sz="4" w:space="0" w:color="auto"/>
              <w:left w:val="single" w:sz="4" w:space="0" w:color="auto"/>
              <w:bottom w:val="nil"/>
              <w:right w:val="nil"/>
            </w:tcBorders>
            <w:shd w:val="clear" w:color="auto" w:fill="FFFFFF"/>
            <w:vAlign w:val="center"/>
          </w:tcPr>
          <w:p w14:paraId="4E38BAC1"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GUAVLREF2301</w:t>
            </w:r>
          </w:p>
        </w:tc>
        <w:tc>
          <w:tcPr>
            <w:tcW w:w="1525" w:type="dxa"/>
            <w:tcBorders>
              <w:top w:val="single" w:sz="4" w:space="0" w:color="auto"/>
              <w:left w:val="single" w:sz="4" w:space="0" w:color="auto"/>
              <w:bottom w:val="nil"/>
              <w:right w:val="nil"/>
            </w:tcBorders>
            <w:shd w:val="clear" w:color="auto" w:fill="FFFFFF"/>
            <w:vAlign w:val="center"/>
          </w:tcPr>
          <w:p w14:paraId="7161594C"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proofErr w:type="spellStart"/>
            <w:r w:rsidRPr="00D21416">
              <w:rPr>
                <w:rStyle w:val="CharStyle26"/>
                <w:rFonts w:ascii="Bookman Old Style" w:hAnsi="Bookman Old Style"/>
                <w:b w:val="0"/>
                <w:i/>
                <w:color w:val="000000"/>
                <w:sz w:val="20"/>
                <w:szCs w:val="20"/>
                <w:lang w:val="en-US" w:eastAsia="en-US"/>
              </w:rPr>
              <w:t>Guavio</w:t>
            </w:r>
            <w:proofErr w:type="spellEnd"/>
          </w:p>
        </w:tc>
        <w:tc>
          <w:tcPr>
            <w:tcW w:w="1701" w:type="dxa"/>
            <w:tcBorders>
              <w:top w:val="single" w:sz="4" w:space="0" w:color="auto"/>
              <w:left w:val="single" w:sz="4" w:space="0" w:color="auto"/>
              <w:bottom w:val="nil"/>
              <w:right w:val="nil"/>
            </w:tcBorders>
            <w:shd w:val="clear" w:color="auto" w:fill="FFFFFF"/>
            <w:vAlign w:val="center"/>
          </w:tcPr>
          <w:p w14:paraId="3EABBAFC"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La Reforma</w:t>
            </w:r>
          </w:p>
        </w:tc>
        <w:tc>
          <w:tcPr>
            <w:tcW w:w="1053" w:type="dxa"/>
            <w:tcBorders>
              <w:top w:val="single" w:sz="4" w:space="0" w:color="auto"/>
              <w:left w:val="single" w:sz="4" w:space="0" w:color="auto"/>
              <w:bottom w:val="nil"/>
              <w:right w:val="nil"/>
            </w:tcBorders>
            <w:shd w:val="clear" w:color="auto" w:fill="FFFFFF"/>
            <w:vAlign w:val="center"/>
          </w:tcPr>
          <w:p w14:paraId="5D31317C"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LI221</w:t>
            </w:r>
          </w:p>
        </w:tc>
        <w:tc>
          <w:tcPr>
            <w:tcW w:w="1724" w:type="dxa"/>
            <w:tcBorders>
              <w:top w:val="single" w:sz="4" w:space="0" w:color="auto"/>
              <w:left w:val="single" w:sz="4" w:space="0" w:color="auto"/>
              <w:bottom w:val="nil"/>
              <w:right w:val="nil"/>
            </w:tcBorders>
            <w:shd w:val="clear" w:color="auto" w:fill="FFFFFF"/>
            <w:vAlign w:val="center"/>
          </w:tcPr>
          <w:p w14:paraId="43443704"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0,3050</w:t>
            </w:r>
          </w:p>
        </w:tc>
        <w:tc>
          <w:tcPr>
            <w:tcW w:w="801" w:type="dxa"/>
            <w:tcBorders>
              <w:top w:val="single" w:sz="4" w:space="0" w:color="auto"/>
              <w:left w:val="single" w:sz="4" w:space="0" w:color="auto"/>
              <w:bottom w:val="nil"/>
              <w:right w:val="single" w:sz="4" w:space="0" w:color="auto"/>
            </w:tcBorders>
            <w:shd w:val="clear" w:color="auto" w:fill="FFFFFF"/>
            <w:vAlign w:val="center"/>
          </w:tcPr>
          <w:p w14:paraId="2AFF6D8B"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1,0000</w:t>
            </w:r>
          </w:p>
        </w:tc>
      </w:tr>
      <w:tr w:rsidR="00797D74" w:rsidRPr="00D21416" w14:paraId="77334F7B" w14:textId="77777777" w:rsidTr="00797D74">
        <w:trPr>
          <w:trHeight w:val="397"/>
          <w:jc w:val="center"/>
        </w:trPr>
        <w:tc>
          <w:tcPr>
            <w:tcW w:w="1843" w:type="dxa"/>
            <w:tcBorders>
              <w:top w:val="single" w:sz="4" w:space="0" w:color="auto"/>
              <w:left w:val="single" w:sz="4" w:space="0" w:color="auto"/>
              <w:bottom w:val="single" w:sz="4" w:space="0" w:color="auto"/>
              <w:right w:val="nil"/>
            </w:tcBorders>
            <w:shd w:val="clear" w:color="auto" w:fill="FFFFFF"/>
            <w:vAlign w:val="center"/>
          </w:tcPr>
          <w:p w14:paraId="1F0461DB"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LREFTUNA2301</w:t>
            </w:r>
          </w:p>
        </w:tc>
        <w:tc>
          <w:tcPr>
            <w:tcW w:w="1525" w:type="dxa"/>
            <w:tcBorders>
              <w:top w:val="single" w:sz="4" w:space="0" w:color="auto"/>
              <w:left w:val="single" w:sz="4" w:space="0" w:color="auto"/>
              <w:bottom w:val="single" w:sz="4" w:space="0" w:color="auto"/>
              <w:right w:val="nil"/>
            </w:tcBorders>
            <w:shd w:val="clear" w:color="auto" w:fill="FFFFFF"/>
            <w:vAlign w:val="center"/>
          </w:tcPr>
          <w:p w14:paraId="062AD90B"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La Reforma</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34D51D3D"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Tunal</w:t>
            </w:r>
          </w:p>
        </w:tc>
        <w:tc>
          <w:tcPr>
            <w:tcW w:w="1053" w:type="dxa"/>
            <w:tcBorders>
              <w:top w:val="single" w:sz="4" w:space="0" w:color="auto"/>
              <w:left w:val="single" w:sz="4" w:space="0" w:color="auto"/>
              <w:bottom w:val="single" w:sz="4" w:space="0" w:color="auto"/>
              <w:right w:val="nil"/>
            </w:tcBorders>
            <w:shd w:val="clear" w:color="auto" w:fill="FFFFFF"/>
            <w:vAlign w:val="center"/>
          </w:tcPr>
          <w:p w14:paraId="6ECF875F"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LI221</w:t>
            </w:r>
          </w:p>
        </w:tc>
        <w:tc>
          <w:tcPr>
            <w:tcW w:w="1724" w:type="dxa"/>
            <w:tcBorders>
              <w:top w:val="single" w:sz="4" w:space="0" w:color="auto"/>
              <w:left w:val="single" w:sz="4" w:space="0" w:color="auto"/>
              <w:bottom w:val="single" w:sz="4" w:space="0" w:color="auto"/>
              <w:right w:val="nil"/>
            </w:tcBorders>
            <w:shd w:val="clear" w:color="auto" w:fill="FFFFFF"/>
            <w:vAlign w:val="center"/>
          </w:tcPr>
          <w:p w14:paraId="2A893C07"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0,3140</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DD09D66"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1,0000</w:t>
            </w:r>
          </w:p>
        </w:tc>
      </w:tr>
    </w:tbl>
    <w:p w14:paraId="067D2496" w14:textId="77777777" w:rsidR="00123D92" w:rsidRPr="00D21416" w:rsidRDefault="00123D92" w:rsidP="00797D74">
      <w:pPr>
        <w:ind w:left="284"/>
        <w:rPr>
          <w:rFonts w:ascii="Bookman Old Style" w:hAnsi="Bookman Old Style"/>
          <w:i/>
          <w:sz w:val="20"/>
          <w:szCs w:val="20"/>
        </w:rPr>
      </w:pPr>
    </w:p>
    <w:tbl>
      <w:tblPr>
        <w:tblW w:w="7604" w:type="dxa"/>
        <w:jc w:val="center"/>
        <w:tblLayout w:type="fixed"/>
        <w:tblCellMar>
          <w:left w:w="0" w:type="dxa"/>
          <w:right w:w="0" w:type="dxa"/>
        </w:tblCellMar>
        <w:tblLook w:val="0000" w:firstRow="0" w:lastRow="0" w:firstColumn="0" w:lastColumn="0" w:noHBand="0" w:noVBand="0"/>
      </w:tblPr>
      <w:tblGrid>
        <w:gridCol w:w="1545"/>
        <w:gridCol w:w="757"/>
        <w:gridCol w:w="2932"/>
        <w:gridCol w:w="1445"/>
        <w:gridCol w:w="925"/>
      </w:tblGrid>
      <w:tr w:rsidR="00123D92" w:rsidRPr="00D21416" w14:paraId="0FD40FE2" w14:textId="77777777" w:rsidTr="00F8754C">
        <w:trPr>
          <w:trHeight w:val="397"/>
          <w:jc w:val="center"/>
        </w:trPr>
        <w:tc>
          <w:tcPr>
            <w:tcW w:w="1545" w:type="dxa"/>
            <w:tcBorders>
              <w:top w:val="single" w:sz="4" w:space="0" w:color="auto"/>
              <w:left w:val="single" w:sz="4" w:space="0" w:color="auto"/>
              <w:bottom w:val="nil"/>
              <w:right w:val="nil"/>
            </w:tcBorders>
            <w:shd w:val="clear" w:color="auto" w:fill="FFFFFF"/>
            <w:vAlign w:val="center"/>
          </w:tcPr>
          <w:p w14:paraId="09F14E8F"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lastRenderedPageBreak/>
              <w:t>Subestación</w:t>
            </w:r>
          </w:p>
        </w:tc>
        <w:tc>
          <w:tcPr>
            <w:tcW w:w="757" w:type="dxa"/>
            <w:tcBorders>
              <w:top w:val="single" w:sz="4" w:space="0" w:color="auto"/>
              <w:left w:val="single" w:sz="4" w:space="0" w:color="auto"/>
              <w:bottom w:val="nil"/>
              <w:right w:val="nil"/>
            </w:tcBorders>
            <w:shd w:val="clear" w:color="auto" w:fill="FFFFFF"/>
            <w:vAlign w:val="center"/>
          </w:tcPr>
          <w:p w14:paraId="095F830B"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UC</w:t>
            </w:r>
          </w:p>
        </w:tc>
        <w:tc>
          <w:tcPr>
            <w:tcW w:w="2932" w:type="dxa"/>
            <w:tcBorders>
              <w:top w:val="single" w:sz="4" w:space="0" w:color="auto"/>
              <w:left w:val="single" w:sz="4" w:space="0" w:color="auto"/>
              <w:bottom w:val="nil"/>
              <w:right w:val="nil"/>
            </w:tcBorders>
            <w:shd w:val="clear" w:color="auto" w:fill="FFFFFF"/>
            <w:vAlign w:val="center"/>
          </w:tcPr>
          <w:p w14:paraId="3032EE3A"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Descripción</w:t>
            </w:r>
          </w:p>
        </w:tc>
        <w:tc>
          <w:tcPr>
            <w:tcW w:w="1445" w:type="dxa"/>
            <w:tcBorders>
              <w:top w:val="single" w:sz="4" w:space="0" w:color="auto"/>
              <w:left w:val="single" w:sz="4" w:space="0" w:color="auto"/>
              <w:bottom w:val="nil"/>
              <w:right w:val="nil"/>
            </w:tcBorders>
            <w:shd w:val="clear" w:color="auto" w:fill="FFFFFF"/>
            <w:vAlign w:val="center"/>
          </w:tcPr>
          <w:p w14:paraId="2CE9E783"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Configuración</w:t>
            </w:r>
          </w:p>
        </w:tc>
        <w:tc>
          <w:tcPr>
            <w:tcW w:w="925" w:type="dxa"/>
            <w:tcBorders>
              <w:top w:val="single" w:sz="4" w:space="0" w:color="auto"/>
              <w:left w:val="single" w:sz="4" w:space="0" w:color="auto"/>
              <w:bottom w:val="nil"/>
              <w:right w:val="single" w:sz="4" w:space="0" w:color="auto"/>
            </w:tcBorders>
            <w:shd w:val="clear" w:color="auto" w:fill="FFFFFF"/>
            <w:vAlign w:val="center"/>
          </w:tcPr>
          <w:p w14:paraId="24634829"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PU</w:t>
            </w:r>
          </w:p>
        </w:tc>
      </w:tr>
      <w:tr w:rsidR="00123D92" w:rsidRPr="00D21416" w14:paraId="62F6A17E" w14:textId="77777777" w:rsidTr="00F8754C">
        <w:trPr>
          <w:trHeight w:val="397"/>
          <w:jc w:val="center"/>
        </w:trPr>
        <w:tc>
          <w:tcPr>
            <w:tcW w:w="1545" w:type="dxa"/>
            <w:tcBorders>
              <w:top w:val="single" w:sz="4" w:space="0" w:color="auto"/>
              <w:left w:val="single" w:sz="4" w:space="0" w:color="auto"/>
              <w:bottom w:val="nil"/>
              <w:right w:val="nil"/>
            </w:tcBorders>
            <w:shd w:val="clear" w:color="auto" w:fill="FFFFFF"/>
            <w:vAlign w:val="center"/>
          </w:tcPr>
          <w:p w14:paraId="5572136A"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La Reforma</w:t>
            </w:r>
          </w:p>
        </w:tc>
        <w:tc>
          <w:tcPr>
            <w:tcW w:w="757" w:type="dxa"/>
            <w:tcBorders>
              <w:top w:val="single" w:sz="4" w:space="0" w:color="auto"/>
              <w:left w:val="single" w:sz="4" w:space="0" w:color="auto"/>
              <w:bottom w:val="nil"/>
              <w:right w:val="nil"/>
            </w:tcBorders>
            <w:shd w:val="clear" w:color="auto" w:fill="FFFFFF"/>
            <w:vAlign w:val="center"/>
          </w:tcPr>
          <w:p w14:paraId="145F99D5"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SE232</w:t>
            </w:r>
          </w:p>
        </w:tc>
        <w:tc>
          <w:tcPr>
            <w:tcW w:w="2932" w:type="dxa"/>
            <w:tcBorders>
              <w:top w:val="single" w:sz="4" w:space="0" w:color="auto"/>
              <w:left w:val="single" w:sz="4" w:space="0" w:color="auto"/>
              <w:bottom w:val="nil"/>
              <w:right w:val="nil"/>
            </w:tcBorders>
            <w:shd w:val="clear" w:color="auto" w:fill="FFFFFF"/>
            <w:vAlign w:val="center"/>
          </w:tcPr>
          <w:p w14:paraId="329D4F6E" w14:textId="77777777" w:rsidR="00123D92" w:rsidRPr="00D21416" w:rsidRDefault="00123D92" w:rsidP="00F8754C">
            <w:pPr>
              <w:pStyle w:val="Style10"/>
              <w:shd w:val="clear" w:color="auto" w:fill="auto"/>
              <w:spacing w:after="0" w:line="240" w:lineRule="auto"/>
              <w:ind w:left="83" w:firstLine="0"/>
              <w:jc w:val="left"/>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Módulo de Barraje - Tipo 1</w:t>
            </w:r>
          </w:p>
        </w:tc>
        <w:tc>
          <w:tcPr>
            <w:tcW w:w="1445" w:type="dxa"/>
            <w:tcBorders>
              <w:top w:val="single" w:sz="4" w:space="0" w:color="auto"/>
              <w:left w:val="single" w:sz="4" w:space="0" w:color="auto"/>
              <w:bottom w:val="nil"/>
              <w:right w:val="nil"/>
            </w:tcBorders>
            <w:shd w:val="clear" w:color="auto" w:fill="FFFFFF"/>
            <w:vAlign w:val="center"/>
          </w:tcPr>
          <w:p w14:paraId="57FCFAA3"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IM</w:t>
            </w:r>
          </w:p>
        </w:tc>
        <w:tc>
          <w:tcPr>
            <w:tcW w:w="925" w:type="dxa"/>
            <w:tcBorders>
              <w:top w:val="single" w:sz="4" w:space="0" w:color="auto"/>
              <w:left w:val="single" w:sz="4" w:space="0" w:color="auto"/>
              <w:bottom w:val="nil"/>
              <w:right w:val="single" w:sz="4" w:space="0" w:color="auto"/>
            </w:tcBorders>
            <w:shd w:val="clear" w:color="auto" w:fill="FFFFFF"/>
            <w:vAlign w:val="center"/>
          </w:tcPr>
          <w:p w14:paraId="1F282A97"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1,00000</w:t>
            </w:r>
          </w:p>
        </w:tc>
      </w:tr>
      <w:tr w:rsidR="00123D92" w:rsidRPr="00D21416" w14:paraId="29499DA3" w14:textId="77777777" w:rsidTr="00F8754C">
        <w:trPr>
          <w:trHeight w:val="397"/>
          <w:jc w:val="center"/>
        </w:trPr>
        <w:tc>
          <w:tcPr>
            <w:tcW w:w="1545" w:type="dxa"/>
            <w:tcBorders>
              <w:top w:val="single" w:sz="4" w:space="0" w:color="auto"/>
              <w:left w:val="single" w:sz="4" w:space="0" w:color="auto"/>
              <w:bottom w:val="nil"/>
              <w:right w:val="nil"/>
            </w:tcBorders>
            <w:shd w:val="clear" w:color="auto" w:fill="FFFFFF"/>
            <w:vAlign w:val="center"/>
          </w:tcPr>
          <w:p w14:paraId="2A9E5948"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La Reforma</w:t>
            </w:r>
          </w:p>
        </w:tc>
        <w:tc>
          <w:tcPr>
            <w:tcW w:w="757" w:type="dxa"/>
            <w:tcBorders>
              <w:top w:val="single" w:sz="4" w:space="0" w:color="auto"/>
              <w:left w:val="single" w:sz="4" w:space="0" w:color="auto"/>
              <w:bottom w:val="nil"/>
              <w:right w:val="nil"/>
            </w:tcBorders>
            <w:shd w:val="clear" w:color="auto" w:fill="FFFFFF"/>
            <w:vAlign w:val="center"/>
          </w:tcPr>
          <w:p w14:paraId="17D3F853"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SE240</w:t>
            </w:r>
          </w:p>
        </w:tc>
        <w:tc>
          <w:tcPr>
            <w:tcW w:w="2932" w:type="dxa"/>
            <w:tcBorders>
              <w:top w:val="single" w:sz="4" w:space="0" w:color="auto"/>
              <w:left w:val="single" w:sz="4" w:space="0" w:color="auto"/>
              <w:bottom w:val="nil"/>
              <w:right w:val="nil"/>
            </w:tcBorders>
            <w:shd w:val="clear" w:color="auto" w:fill="FFFFFF"/>
            <w:vAlign w:val="center"/>
          </w:tcPr>
          <w:p w14:paraId="39EA4179" w14:textId="77777777" w:rsidR="00123D92" w:rsidRPr="00D21416" w:rsidRDefault="00123D92" w:rsidP="00F8754C">
            <w:pPr>
              <w:pStyle w:val="Style10"/>
              <w:shd w:val="clear" w:color="auto" w:fill="auto"/>
              <w:spacing w:after="0" w:line="240" w:lineRule="auto"/>
              <w:ind w:left="83" w:firstLine="0"/>
              <w:jc w:val="left"/>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Diferencial de Barras - Tipo 1</w:t>
            </w:r>
          </w:p>
        </w:tc>
        <w:tc>
          <w:tcPr>
            <w:tcW w:w="1445" w:type="dxa"/>
            <w:tcBorders>
              <w:top w:val="single" w:sz="4" w:space="0" w:color="auto"/>
              <w:left w:val="single" w:sz="4" w:space="0" w:color="auto"/>
              <w:bottom w:val="nil"/>
              <w:right w:val="nil"/>
            </w:tcBorders>
            <w:shd w:val="clear" w:color="auto" w:fill="FFFFFF"/>
            <w:vAlign w:val="center"/>
          </w:tcPr>
          <w:p w14:paraId="6ADE9712"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IM</w:t>
            </w:r>
          </w:p>
        </w:tc>
        <w:tc>
          <w:tcPr>
            <w:tcW w:w="925" w:type="dxa"/>
            <w:tcBorders>
              <w:top w:val="single" w:sz="4" w:space="0" w:color="auto"/>
              <w:left w:val="single" w:sz="4" w:space="0" w:color="auto"/>
              <w:bottom w:val="nil"/>
              <w:right w:val="single" w:sz="4" w:space="0" w:color="auto"/>
            </w:tcBorders>
            <w:shd w:val="clear" w:color="auto" w:fill="FFFFFF"/>
            <w:vAlign w:val="center"/>
          </w:tcPr>
          <w:p w14:paraId="78567EC1"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1,00000</w:t>
            </w:r>
          </w:p>
        </w:tc>
      </w:tr>
      <w:tr w:rsidR="00123D92" w:rsidRPr="00D21416" w14:paraId="5B035A6E" w14:textId="77777777" w:rsidTr="00F8754C">
        <w:trPr>
          <w:trHeight w:val="397"/>
          <w:jc w:val="center"/>
        </w:trPr>
        <w:tc>
          <w:tcPr>
            <w:tcW w:w="1545" w:type="dxa"/>
            <w:tcBorders>
              <w:top w:val="single" w:sz="4" w:space="0" w:color="auto"/>
              <w:left w:val="single" w:sz="4" w:space="0" w:color="auto"/>
              <w:bottom w:val="single" w:sz="4" w:space="0" w:color="auto"/>
              <w:right w:val="nil"/>
            </w:tcBorders>
            <w:shd w:val="clear" w:color="auto" w:fill="FFFFFF"/>
            <w:vAlign w:val="center"/>
          </w:tcPr>
          <w:p w14:paraId="083142DF"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La Reforma</w:t>
            </w:r>
          </w:p>
        </w:tc>
        <w:tc>
          <w:tcPr>
            <w:tcW w:w="757" w:type="dxa"/>
            <w:tcBorders>
              <w:top w:val="single" w:sz="4" w:space="0" w:color="auto"/>
              <w:left w:val="single" w:sz="4" w:space="0" w:color="auto"/>
              <w:bottom w:val="single" w:sz="4" w:space="0" w:color="auto"/>
              <w:right w:val="nil"/>
            </w:tcBorders>
            <w:shd w:val="clear" w:color="auto" w:fill="FFFFFF"/>
            <w:vAlign w:val="center"/>
          </w:tcPr>
          <w:p w14:paraId="64DF1184"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SE242</w:t>
            </w:r>
          </w:p>
        </w:tc>
        <w:tc>
          <w:tcPr>
            <w:tcW w:w="2932" w:type="dxa"/>
            <w:tcBorders>
              <w:top w:val="single" w:sz="4" w:space="0" w:color="auto"/>
              <w:left w:val="single" w:sz="4" w:space="0" w:color="auto"/>
              <w:bottom w:val="single" w:sz="4" w:space="0" w:color="auto"/>
              <w:right w:val="nil"/>
            </w:tcBorders>
            <w:shd w:val="clear" w:color="auto" w:fill="FFFFFF"/>
            <w:vAlign w:val="center"/>
          </w:tcPr>
          <w:p w14:paraId="5CAFF11C" w14:textId="77777777" w:rsidR="00123D92" w:rsidRPr="00D21416" w:rsidRDefault="00123D92" w:rsidP="00F8754C">
            <w:pPr>
              <w:pStyle w:val="Style10"/>
              <w:shd w:val="clear" w:color="auto" w:fill="auto"/>
              <w:spacing w:after="0" w:line="240" w:lineRule="auto"/>
              <w:ind w:left="83" w:firstLine="0"/>
              <w:jc w:val="left"/>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Módulo Común - Tipo 1</w:t>
            </w:r>
          </w:p>
        </w:tc>
        <w:tc>
          <w:tcPr>
            <w:tcW w:w="1445" w:type="dxa"/>
            <w:tcBorders>
              <w:top w:val="single" w:sz="4" w:space="0" w:color="auto"/>
              <w:left w:val="single" w:sz="4" w:space="0" w:color="auto"/>
              <w:bottom w:val="single" w:sz="4" w:space="0" w:color="auto"/>
              <w:right w:val="nil"/>
            </w:tcBorders>
            <w:shd w:val="clear" w:color="auto" w:fill="FFFFFF"/>
            <w:vAlign w:val="center"/>
          </w:tcPr>
          <w:p w14:paraId="64C1982F"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IM</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71F83B2E"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1,00000</w:t>
            </w:r>
          </w:p>
        </w:tc>
      </w:tr>
    </w:tbl>
    <w:p w14:paraId="2AB11E94" w14:textId="77777777" w:rsidR="00123D92" w:rsidRPr="00D21416" w:rsidRDefault="00123D92" w:rsidP="00AB39DC">
      <w:pPr>
        <w:pStyle w:val="Cita"/>
        <w:keepNext/>
        <w:ind w:left="284" w:right="284"/>
        <w:jc w:val="both"/>
        <w:rPr>
          <w:rFonts w:ascii="Bookman Old Style" w:hAnsi="Bookman Old Style"/>
          <w:sz w:val="22"/>
          <w:szCs w:val="22"/>
        </w:rPr>
      </w:pPr>
      <w:r w:rsidRPr="00B40ED0">
        <w:rPr>
          <w:rFonts w:ascii="Bookman Old Style" w:hAnsi="Bookman Old Style"/>
          <w:sz w:val="22"/>
          <w:szCs w:val="22"/>
        </w:rPr>
        <w:t>Unidades Constructivas a adicionar:</w:t>
      </w:r>
    </w:p>
    <w:tbl>
      <w:tblPr>
        <w:tblW w:w="8133" w:type="dxa"/>
        <w:jc w:val="center"/>
        <w:tblLayout w:type="fixed"/>
        <w:tblCellMar>
          <w:left w:w="0" w:type="dxa"/>
          <w:right w:w="0" w:type="dxa"/>
        </w:tblCellMar>
        <w:tblLook w:val="0000" w:firstRow="0" w:lastRow="0" w:firstColumn="0" w:lastColumn="0" w:noHBand="0" w:noVBand="0"/>
      </w:tblPr>
      <w:tblGrid>
        <w:gridCol w:w="2105"/>
        <w:gridCol w:w="1225"/>
        <w:gridCol w:w="1225"/>
        <w:gridCol w:w="1053"/>
        <w:gridCol w:w="1724"/>
        <w:gridCol w:w="801"/>
      </w:tblGrid>
      <w:tr w:rsidR="00797D74" w:rsidRPr="00D21416" w14:paraId="4841D6BC" w14:textId="77777777" w:rsidTr="00F8754C">
        <w:trPr>
          <w:trHeight w:val="397"/>
          <w:tblHeader/>
          <w:jc w:val="center"/>
        </w:trPr>
        <w:tc>
          <w:tcPr>
            <w:tcW w:w="2105" w:type="dxa"/>
            <w:tcBorders>
              <w:top w:val="single" w:sz="4" w:space="0" w:color="auto"/>
              <w:left w:val="single" w:sz="4" w:space="0" w:color="auto"/>
              <w:bottom w:val="nil"/>
              <w:right w:val="nil"/>
            </w:tcBorders>
            <w:shd w:val="clear" w:color="auto" w:fill="FFFFFF"/>
            <w:vAlign w:val="center"/>
          </w:tcPr>
          <w:p w14:paraId="67EEEDD4"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Código Línea</w:t>
            </w:r>
          </w:p>
        </w:tc>
        <w:tc>
          <w:tcPr>
            <w:tcW w:w="1225" w:type="dxa"/>
            <w:tcBorders>
              <w:top w:val="single" w:sz="4" w:space="0" w:color="auto"/>
              <w:left w:val="single" w:sz="4" w:space="0" w:color="auto"/>
              <w:bottom w:val="nil"/>
              <w:right w:val="nil"/>
            </w:tcBorders>
            <w:shd w:val="clear" w:color="auto" w:fill="FFFFFF"/>
            <w:vAlign w:val="center"/>
          </w:tcPr>
          <w:p w14:paraId="5426C497"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S/E Inicial</w:t>
            </w:r>
          </w:p>
        </w:tc>
        <w:tc>
          <w:tcPr>
            <w:tcW w:w="1225" w:type="dxa"/>
            <w:tcBorders>
              <w:top w:val="single" w:sz="4" w:space="0" w:color="auto"/>
              <w:left w:val="single" w:sz="4" w:space="0" w:color="auto"/>
              <w:bottom w:val="nil"/>
              <w:right w:val="nil"/>
            </w:tcBorders>
            <w:shd w:val="clear" w:color="auto" w:fill="FFFFFF"/>
            <w:vAlign w:val="center"/>
          </w:tcPr>
          <w:p w14:paraId="6E50C83E"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S/E Final</w:t>
            </w:r>
          </w:p>
        </w:tc>
        <w:tc>
          <w:tcPr>
            <w:tcW w:w="1053" w:type="dxa"/>
            <w:tcBorders>
              <w:top w:val="single" w:sz="4" w:space="0" w:color="auto"/>
              <w:left w:val="single" w:sz="4" w:space="0" w:color="auto"/>
              <w:bottom w:val="nil"/>
              <w:right w:val="nil"/>
            </w:tcBorders>
            <w:shd w:val="clear" w:color="auto" w:fill="FFFFFF"/>
            <w:vAlign w:val="center"/>
          </w:tcPr>
          <w:p w14:paraId="2C1EE83D"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UC</w:t>
            </w:r>
          </w:p>
        </w:tc>
        <w:tc>
          <w:tcPr>
            <w:tcW w:w="1724" w:type="dxa"/>
            <w:tcBorders>
              <w:top w:val="single" w:sz="4" w:space="0" w:color="auto"/>
              <w:left w:val="single" w:sz="4" w:space="0" w:color="auto"/>
              <w:bottom w:val="nil"/>
              <w:right w:val="nil"/>
            </w:tcBorders>
            <w:shd w:val="clear" w:color="auto" w:fill="FFFFFF"/>
            <w:vAlign w:val="center"/>
          </w:tcPr>
          <w:p w14:paraId="38C02D6C"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Cantidad (km)</w:t>
            </w:r>
          </w:p>
        </w:tc>
        <w:tc>
          <w:tcPr>
            <w:tcW w:w="801" w:type="dxa"/>
            <w:tcBorders>
              <w:top w:val="single" w:sz="4" w:space="0" w:color="auto"/>
              <w:left w:val="single" w:sz="4" w:space="0" w:color="auto"/>
              <w:bottom w:val="nil"/>
              <w:right w:val="single" w:sz="4" w:space="0" w:color="auto"/>
            </w:tcBorders>
            <w:shd w:val="clear" w:color="auto" w:fill="FFFFFF"/>
            <w:vAlign w:val="center"/>
          </w:tcPr>
          <w:p w14:paraId="3F9B6A17"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PU</w:t>
            </w:r>
          </w:p>
        </w:tc>
      </w:tr>
      <w:tr w:rsidR="00797D74" w:rsidRPr="00D21416" w14:paraId="0C38F0A3" w14:textId="77777777" w:rsidTr="00797D74">
        <w:trPr>
          <w:trHeight w:val="397"/>
          <w:jc w:val="center"/>
        </w:trPr>
        <w:tc>
          <w:tcPr>
            <w:tcW w:w="2105" w:type="dxa"/>
            <w:tcBorders>
              <w:top w:val="single" w:sz="4" w:space="0" w:color="auto"/>
              <w:left w:val="single" w:sz="4" w:space="0" w:color="auto"/>
              <w:bottom w:val="nil"/>
              <w:right w:val="nil"/>
            </w:tcBorders>
            <w:shd w:val="clear" w:color="auto" w:fill="FFFFFF"/>
            <w:vAlign w:val="center"/>
          </w:tcPr>
          <w:p w14:paraId="20D7D718"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GUAVLREF2301</w:t>
            </w:r>
          </w:p>
        </w:tc>
        <w:tc>
          <w:tcPr>
            <w:tcW w:w="1225" w:type="dxa"/>
            <w:tcBorders>
              <w:top w:val="single" w:sz="4" w:space="0" w:color="auto"/>
              <w:left w:val="single" w:sz="4" w:space="0" w:color="auto"/>
              <w:bottom w:val="nil"/>
              <w:right w:val="nil"/>
            </w:tcBorders>
            <w:shd w:val="clear" w:color="auto" w:fill="FFFFFF"/>
            <w:vAlign w:val="center"/>
          </w:tcPr>
          <w:p w14:paraId="136383AC"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proofErr w:type="spellStart"/>
            <w:r w:rsidRPr="00D21416">
              <w:rPr>
                <w:rStyle w:val="CharStyle26"/>
                <w:rFonts w:ascii="Bookman Old Style" w:hAnsi="Bookman Old Style"/>
                <w:b w:val="0"/>
                <w:i/>
                <w:color w:val="000000"/>
                <w:sz w:val="20"/>
                <w:szCs w:val="20"/>
                <w:lang w:eastAsia="es-ES_tradnl"/>
              </w:rPr>
              <w:t>Guavio</w:t>
            </w:r>
            <w:proofErr w:type="spellEnd"/>
          </w:p>
        </w:tc>
        <w:tc>
          <w:tcPr>
            <w:tcW w:w="1225" w:type="dxa"/>
            <w:tcBorders>
              <w:top w:val="single" w:sz="4" w:space="0" w:color="auto"/>
              <w:left w:val="single" w:sz="4" w:space="0" w:color="auto"/>
              <w:bottom w:val="nil"/>
              <w:right w:val="nil"/>
            </w:tcBorders>
            <w:shd w:val="clear" w:color="auto" w:fill="FFFFFF"/>
            <w:vAlign w:val="center"/>
          </w:tcPr>
          <w:p w14:paraId="6BBF09B1"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La Reforma</w:t>
            </w:r>
          </w:p>
        </w:tc>
        <w:tc>
          <w:tcPr>
            <w:tcW w:w="1053" w:type="dxa"/>
            <w:tcBorders>
              <w:top w:val="single" w:sz="4" w:space="0" w:color="auto"/>
              <w:left w:val="single" w:sz="4" w:space="0" w:color="auto"/>
              <w:bottom w:val="nil"/>
              <w:right w:val="nil"/>
            </w:tcBorders>
            <w:shd w:val="clear" w:color="auto" w:fill="FFFFFF"/>
            <w:vAlign w:val="center"/>
          </w:tcPr>
          <w:p w14:paraId="1AE3AB96"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LI223</w:t>
            </w:r>
          </w:p>
        </w:tc>
        <w:tc>
          <w:tcPr>
            <w:tcW w:w="1724" w:type="dxa"/>
            <w:tcBorders>
              <w:top w:val="single" w:sz="4" w:space="0" w:color="auto"/>
              <w:left w:val="single" w:sz="4" w:space="0" w:color="auto"/>
              <w:bottom w:val="nil"/>
              <w:right w:val="nil"/>
            </w:tcBorders>
            <w:shd w:val="clear" w:color="auto" w:fill="FFFFFF"/>
            <w:vAlign w:val="center"/>
          </w:tcPr>
          <w:p w14:paraId="2B3A5CB4"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0,1885</w:t>
            </w:r>
          </w:p>
        </w:tc>
        <w:tc>
          <w:tcPr>
            <w:tcW w:w="801" w:type="dxa"/>
            <w:tcBorders>
              <w:top w:val="single" w:sz="4" w:space="0" w:color="auto"/>
              <w:left w:val="single" w:sz="4" w:space="0" w:color="auto"/>
              <w:bottom w:val="nil"/>
              <w:right w:val="single" w:sz="4" w:space="0" w:color="auto"/>
            </w:tcBorders>
            <w:shd w:val="clear" w:color="auto" w:fill="FFFFFF"/>
            <w:vAlign w:val="center"/>
          </w:tcPr>
          <w:p w14:paraId="79033C9B"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1,0000</w:t>
            </w:r>
          </w:p>
        </w:tc>
      </w:tr>
      <w:tr w:rsidR="00797D74" w:rsidRPr="00D21416" w14:paraId="1A955480" w14:textId="77777777" w:rsidTr="00797D74">
        <w:trPr>
          <w:trHeight w:val="397"/>
          <w:jc w:val="center"/>
        </w:trPr>
        <w:tc>
          <w:tcPr>
            <w:tcW w:w="2105" w:type="dxa"/>
            <w:tcBorders>
              <w:top w:val="single" w:sz="4" w:space="0" w:color="auto"/>
              <w:left w:val="single" w:sz="4" w:space="0" w:color="auto"/>
              <w:bottom w:val="single" w:sz="4" w:space="0" w:color="auto"/>
              <w:right w:val="nil"/>
            </w:tcBorders>
            <w:shd w:val="clear" w:color="auto" w:fill="FFFFFF"/>
            <w:vAlign w:val="center"/>
          </w:tcPr>
          <w:p w14:paraId="7F744719"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LREFTUNA2301</w:t>
            </w:r>
          </w:p>
        </w:tc>
        <w:tc>
          <w:tcPr>
            <w:tcW w:w="1225" w:type="dxa"/>
            <w:tcBorders>
              <w:top w:val="single" w:sz="4" w:space="0" w:color="auto"/>
              <w:left w:val="single" w:sz="4" w:space="0" w:color="auto"/>
              <w:bottom w:val="single" w:sz="4" w:space="0" w:color="auto"/>
              <w:right w:val="nil"/>
            </w:tcBorders>
            <w:shd w:val="clear" w:color="auto" w:fill="FFFFFF"/>
            <w:vAlign w:val="center"/>
          </w:tcPr>
          <w:p w14:paraId="2AD87887"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La Reforma</w:t>
            </w:r>
          </w:p>
        </w:tc>
        <w:tc>
          <w:tcPr>
            <w:tcW w:w="1225" w:type="dxa"/>
            <w:tcBorders>
              <w:top w:val="single" w:sz="4" w:space="0" w:color="auto"/>
              <w:left w:val="single" w:sz="4" w:space="0" w:color="auto"/>
              <w:bottom w:val="single" w:sz="4" w:space="0" w:color="auto"/>
              <w:right w:val="nil"/>
            </w:tcBorders>
            <w:shd w:val="clear" w:color="auto" w:fill="FFFFFF"/>
            <w:vAlign w:val="center"/>
          </w:tcPr>
          <w:p w14:paraId="4D94A2FE"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Tunal</w:t>
            </w:r>
          </w:p>
        </w:tc>
        <w:tc>
          <w:tcPr>
            <w:tcW w:w="1053" w:type="dxa"/>
            <w:tcBorders>
              <w:top w:val="single" w:sz="4" w:space="0" w:color="auto"/>
              <w:left w:val="single" w:sz="4" w:space="0" w:color="auto"/>
              <w:bottom w:val="single" w:sz="4" w:space="0" w:color="auto"/>
              <w:right w:val="nil"/>
            </w:tcBorders>
            <w:shd w:val="clear" w:color="auto" w:fill="FFFFFF"/>
            <w:vAlign w:val="center"/>
          </w:tcPr>
          <w:p w14:paraId="5A3DBCD8"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LI223</w:t>
            </w:r>
          </w:p>
        </w:tc>
        <w:tc>
          <w:tcPr>
            <w:tcW w:w="1724" w:type="dxa"/>
            <w:tcBorders>
              <w:top w:val="single" w:sz="4" w:space="0" w:color="auto"/>
              <w:left w:val="single" w:sz="4" w:space="0" w:color="auto"/>
              <w:bottom w:val="single" w:sz="4" w:space="0" w:color="auto"/>
              <w:right w:val="nil"/>
            </w:tcBorders>
            <w:shd w:val="clear" w:color="auto" w:fill="FFFFFF"/>
            <w:vAlign w:val="center"/>
          </w:tcPr>
          <w:p w14:paraId="0D828AC1"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0,1340</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411D13F"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1,0000</w:t>
            </w:r>
          </w:p>
        </w:tc>
      </w:tr>
    </w:tbl>
    <w:p w14:paraId="6DD77A94" w14:textId="77777777" w:rsidR="00123D92" w:rsidRPr="00D21416" w:rsidRDefault="00123D92" w:rsidP="00797D74">
      <w:pPr>
        <w:widowControl w:val="0"/>
        <w:ind w:left="0"/>
        <w:jc w:val="center"/>
        <w:rPr>
          <w:rFonts w:ascii="Bookman Old Style" w:hAnsi="Bookman Old Style"/>
          <w:i/>
          <w:sz w:val="20"/>
          <w:szCs w:val="20"/>
        </w:rPr>
      </w:pPr>
    </w:p>
    <w:tbl>
      <w:tblPr>
        <w:tblW w:w="7687" w:type="dxa"/>
        <w:jc w:val="center"/>
        <w:tblLayout w:type="fixed"/>
        <w:tblCellMar>
          <w:left w:w="0" w:type="dxa"/>
          <w:right w:w="0" w:type="dxa"/>
        </w:tblCellMar>
        <w:tblLook w:val="0000" w:firstRow="0" w:lastRow="0" w:firstColumn="0" w:lastColumn="0" w:noHBand="0" w:noVBand="0"/>
      </w:tblPr>
      <w:tblGrid>
        <w:gridCol w:w="1545"/>
        <w:gridCol w:w="757"/>
        <w:gridCol w:w="3015"/>
        <w:gridCol w:w="1445"/>
        <w:gridCol w:w="925"/>
      </w:tblGrid>
      <w:tr w:rsidR="00123D92" w:rsidRPr="00D21416" w14:paraId="5CD0AFB5" w14:textId="77777777" w:rsidTr="00F8754C">
        <w:trPr>
          <w:trHeight w:val="397"/>
          <w:tblHeader/>
          <w:jc w:val="center"/>
        </w:trPr>
        <w:tc>
          <w:tcPr>
            <w:tcW w:w="1545" w:type="dxa"/>
            <w:tcBorders>
              <w:top w:val="single" w:sz="4" w:space="0" w:color="auto"/>
              <w:left w:val="single" w:sz="4" w:space="0" w:color="auto"/>
              <w:bottom w:val="nil"/>
              <w:right w:val="nil"/>
            </w:tcBorders>
            <w:shd w:val="clear" w:color="auto" w:fill="FFFFFF"/>
            <w:vAlign w:val="center"/>
          </w:tcPr>
          <w:p w14:paraId="7E8675ED"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Subestación</w:t>
            </w:r>
          </w:p>
        </w:tc>
        <w:tc>
          <w:tcPr>
            <w:tcW w:w="757" w:type="dxa"/>
            <w:tcBorders>
              <w:top w:val="single" w:sz="4" w:space="0" w:color="auto"/>
              <w:left w:val="single" w:sz="4" w:space="0" w:color="auto"/>
              <w:bottom w:val="nil"/>
              <w:right w:val="nil"/>
            </w:tcBorders>
            <w:shd w:val="clear" w:color="auto" w:fill="FFFFFF"/>
            <w:vAlign w:val="center"/>
          </w:tcPr>
          <w:p w14:paraId="0766F02D"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UC</w:t>
            </w:r>
          </w:p>
        </w:tc>
        <w:tc>
          <w:tcPr>
            <w:tcW w:w="3015" w:type="dxa"/>
            <w:tcBorders>
              <w:top w:val="single" w:sz="4" w:space="0" w:color="auto"/>
              <w:left w:val="single" w:sz="4" w:space="0" w:color="auto"/>
              <w:bottom w:val="nil"/>
              <w:right w:val="nil"/>
            </w:tcBorders>
            <w:shd w:val="clear" w:color="auto" w:fill="FFFFFF"/>
            <w:vAlign w:val="center"/>
          </w:tcPr>
          <w:p w14:paraId="13189131"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Descripción</w:t>
            </w:r>
          </w:p>
        </w:tc>
        <w:tc>
          <w:tcPr>
            <w:tcW w:w="1445" w:type="dxa"/>
            <w:tcBorders>
              <w:top w:val="single" w:sz="4" w:space="0" w:color="auto"/>
              <w:left w:val="single" w:sz="4" w:space="0" w:color="auto"/>
              <w:bottom w:val="nil"/>
              <w:right w:val="nil"/>
            </w:tcBorders>
            <w:shd w:val="clear" w:color="auto" w:fill="FFFFFF"/>
            <w:vAlign w:val="center"/>
          </w:tcPr>
          <w:p w14:paraId="3086CA09"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Configuración</w:t>
            </w:r>
          </w:p>
        </w:tc>
        <w:tc>
          <w:tcPr>
            <w:tcW w:w="925" w:type="dxa"/>
            <w:tcBorders>
              <w:top w:val="single" w:sz="4" w:space="0" w:color="auto"/>
              <w:left w:val="single" w:sz="4" w:space="0" w:color="auto"/>
              <w:bottom w:val="nil"/>
              <w:right w:val="single" w:sz="4" w:space="0" w:color="auto"/>
            </w:tcBorders>
            <w:shd w:val="clear" w:color="auto" w:fill="FFFFFF"/>
            <w:vAlign w:val="center"/>
          </w:tcPr>
          <w:p w14:paraId="3E018ED1" w14:textId="77777777" w:rsidR="00123D92" w:rsidRPr="00D21416" w:rsidRDefault="00123D92" w:rsidP="00220DDA">
            <w:pPr>
              <w:pStyle w:val="Style10"/>
              <w:keepNext/>
              <w:widowControl/>
              <w:shd w:val="clear" w:color="auto" w:fill="auto"/>
              <w:spacing w:after="0" w:line="240" w:lineRule="auto"/>
              <w:ind w:firstLine="0"/>
              <w:jc w:val="center"/>
              <w:rPr>
                <w:rFonts w:ascii="Bookman Old Style" w:hAnsi="Bookman Old Style"/>
                <w:i/>
                <w:sz w:val="20"/>
                <w:szCs w:val="20"/>
              </w:rPr>
            </w:pPr>
            <w:r w:rsidRPr="00D21416">
              <w:rPr>
                <w:rStyle w:val="CharStyle25"/>
                <w:rFonts w:ascii="Bookman Old Style" w:hAnsi="Bookman Old Style"/>
                <w:b w:val="0"/>
                <w:i/>
                <w:color w:val="000000"/>
                <w:sz w:val="20"/>
                <w:szCs w:val="20"/>
                <w:lang w:eastAsia="es-ES_tradnl"/>
              </w:rPr>
              <w:t>PU</w:t>
            </w:r>
          </w:p>
        </w:tc>
      </w:tr>
      <w:tr w:rsidR="00123D92" w:rsidRPr="00D21416" w14:paraId="55F04F29" w14:textId="77777777" w:rsidTr="00F8754C">
        <w:trPr>
          <w:trHeight w:val="397"/>
          <w:jc w:val="center"/>
        </w:trPr>
        <w:tc>
          <w:tcPr>
            <w:tcW w:w="1545" w:type="dxa"/>
            <w:tcBorders>
              <w:top w:val="single" w:sz="4" w:space="0" w:color="auto"/>
              <w:left w:val="single" w:sz="4" w:space="0" w:color="auto"/>
              <w:bottom w:val="nil"/>
              <w:right w:val="nil"/>
            </w:tcBorders>
            <w:shd w:val="clear" w:color="auto" w:fill="FFFFFF"/>
            <w:vAlign w:val="center"/>
          </w:tcPr>
          <w:p w14:paraId="4CF18D0B"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La Reforma</w:t>
            </w:r>
          </w:p>
        </w:tc>
        <w:tc>
          <w:tcPr>
            <w:tcW w:w="757" w:type="dxa"/>
            <w:tcBorders>
              <w:top w:val="single" w:sz="4" w:space="0" w:color="auto"/>
              <w:left w:val="single" w:sz="4" w:space="0" w:color="auto"/>
              <w:bottom w:val="nil"/>
              <w:right w:val="nil"/>
            </w:tcBorders>
            <w:shd w:val="clear" w:color="auto" w:fill="FFFFFF"/>
            <w:vAlign w:val="center"/>
          </w:tcPr>
          <w:p w14:paraId="69BCB41D"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SE237</w:t>
            </w:r>
          </w:p>
        </w:tc>
        <w:tc>
          <w:tcPr>
            <w:tcW w:w="3015" w:type="dxa"/>
            <w:tcBorders>
              <w:top w:val="single" w:sz="4" w:space="0" w:color="auto"/>
              <w:left w:val="single" w:sz="4" w:space="0" w:color="auto"/>
              <w:bottom w:val="nil"/>
              <w:right w:val="nil"/>
            </w:tcBorders>
            <w:shd w:val="clear" w:color="auto" w:fill="FFFFFF"/>
            <w:vAlign w:val="center"/>
          </w:tcPr>
          <w:p w14:paraId="0756A391" w14:textId="77777777" w:rsidR="00123D92" w:rsidRPr="00D21416" w:rsidRDefault="00123D92" w:rsidP="00F8754C">
            <w:pPr>
              <w:pStyle w:val="Style10"/>
              <w:shd w:val="clear" w:color="auto" w:fill="auto"/>
              <w:spacing w:after="0" w:line="240" w:lineRule="auto"/>
              <w:ind w:left="83" w:firstLine="0"/>
              <w:jc w:val="left"/>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Módulo de Barraje - Tipo 2</w:t>
            </w:r>
          </w:p>
        </w:tc>
        <w:tc>
          <w:tcPr>
            <w:tcW w:w="1445" w:type="dxa"/>
            <w:tcBorders>
              <w:top w:val="single" w:sz="4" w:space="0" w:color="auto"/>
              <w:left w:val="single" w:sz="4" w:space="0" w:color="auto"/>
              <w:bottom w:val="nil"/>
              <w:right w:val="nil"/>
            </w:tcBorders>
            <w:shd w:val="clear" w:color="auto" w:fill="FFFFFF"/>
            <w:vAlign w:val="center"/>
          </w:tcPr>
          <w:p w14:paraId="21CD9BCA"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IM</w:t>
            </w:r>
          </w:p>
        </w:tc>
        <w:tc>
          <w:tcPr>
            <w:tcW w:w="925" w:type="dxa"/>
            <w:tcBorders>
              <w:top w:val="single" w:sz="4" w:space="0" w:color="auto"/>
              <w:left w:val="single" w:sz="4" w:space="0" w:color="auto"/>
              <w:bottom w:val="nil"/>
              <w:right w:val="single" w:sz="4" w:space="0" w:color="auto"/>
            </w:tcBorders>
            <w:shd w:val="clear" w:color="auto" w:fill="FFFFFF"/>
            <w:vAlign w:val="center"/>
          </w:tcPr>
          <w:p w14:paraId="67DE4B01"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1,00000</w:t>
            </w:r>
          </w:p>
        </w:tc>
      </w:tr>
      <w:tr w:rsidR="00123D92" w:rsidRPr="00D21416" w14:paraId="7889B55E" w14:textId="77777777" w:rsidTr="00F8754C">
        <w:trPr>
          <w:trHeight w:val="397"/>
          <w:jc w:val="center"/>
        </w:trPr>
        <w:tc>
          <w:tcPr>
            <w:tcW w:w="1545" w:type="dxa"/>
            <w:tcBorders>
              <w:top w:val="single" w:sz="4" w:space="0" w:color="auto"/>
              <w:left w:val="single" w:sz="4" w:space="0" w:color="auto"/>
              <w:bottom w:val="nil"/>
              <w:right w:val="nil"/>
            </w:tcBorders>
            <w:shd w:val="clear" w:color="auto" w:fill="FFFFFF"/>
            <w:vAlign w:val="center"/>
          </w:tcPr>
          <w:p w14:paraId="7F19C403"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La Reforma</w:t>
            </w:r>
          </w:p>
        </w:tc>
        <w:tc>
          <w:tcPr>
            <w:tcW w:w="757" w:type="dxa"/>
            <w:tcBorders>
              <w:top w:val="single" w:sz="4" w:space="0" w:color="auto"/>
              <w:left w:val="single" w:sz="4" w:space="0" w:color="auto"/>
              <w:bottom w:val="nil"/>
              <w:right w:val="nil"/>
            </w:tcBorders>
            <w:shd w:val="clear" w:color="auto" w:fill="FFFFFF"/>
            <w:vAlign w:val="center"/>
          </w:tcPr>
          <w:p w14:paraId="1A81AB6A"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SE241</w:t>
            </w:r>
          </w:p>
        </w:tc>
        <w:tc>
          <w:tcPr>
            <w:tcW w:w="3015" w:type="dxa"/>
            <w:tcBorders>
              <w:top w:val="single" w:sz="4" w:space="0" w:color="auto"/>
              <w:left w:val="single" w:sz="4" w:space="0" w:color="auto"/>
              <w:bottom w:val="nil"/>
              <w:right w:val="nil"/>
            </w:tcBorders>
            <w:shd w:val="clear" w:color="auto" w:fill="FFFFFF"/>
            <w:vAlign w:val="center"/>
          </w:tcPr>
          <w:p w14:paraId="7B99D2F4" w14:textId="77777777" w:rsidR="00123D92" w:rsidRPr="00D21416" w:rsidRDefault="00123D92" w:rsidP="00F8754C">
            <w:pPr>
              <w:pStyle w:val="Style10"/>
              <w:shd w:val="clear" w:color="auto" w:fill="auto"/>
              <w:spacing w:after="0" w:line="240" w:lineRule="auto"/>
              <w:ind w:left="83" w:firstLine="0"/>
              <w:jc w:val="left"/>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Diferencial de Barras - Tipo 2</w:t>
            </w:r>
          </w:p>
        </w:tc>
        <w:tc>
          <w:tcPr>
            <w:tcW w:w="1445" w:type="dxa"/>
            <w:tcBorders>
              <w:top w:val="single" w:sz="4" w:space="0" w:color="auto"/>
              <w:left w:val="single" w:sz="4" w:space="0" w:color="auto"/>
              <w:bottom w:val="nil"/>
              <w:right w:val="nil"/>
            </w:tcBorders>
            <w:shd w:val="clear" w:color="auto" w:fill="FFFFFF"/>
            <w:vAlign w:val="center"/>
          </w:tcPr>
          <w:p w14:paraId="573EC57D"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IM</w:t>
            </w:r>
          </w:p>
        </w:tc>
        <w:tc>
          <w:tcPr>
            <w:tcW w:w="925" w:type="dxa"/>
            <w:tcBorders>
              <w:top w:val="single" w:sz="4" w:space="0" w:color="auto"/>
              <w:left w:val="single" w:sz="4" w:space="0" w:color="auto"/>
              <w:bottom w:val="nil"/>
              <w:right w:val="single" w:sz="4" w:space="0" w:color="auto"/>
            </w:tcBorders>
            <w:shd w:val="clear" w:color="auto" w:fill="FFFFFF"/>
            <w:vAlign w:val="center"/>
          </w:tcPr>
          <w:p w14:paraId="1E2B2727"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1,00000</w:t>
            </w:r>
          </w:p>
        </w:tc>
      </w:tr>
      <w:tr w:rsidR="00123D92" w:rsidRPr="00D21416" w14:paraId="0FA5031B" w14:textId="77777777" w:rsidTr="00F8754C">
        <w:trPr>
          <w:trHeight w:val="397"/>
          <w:jc w:val="center"/>
        </w:trPr>
        <w:tc>
          <w:tcPr>
            <w:tcW w:w="1545" w:type="dxa"/>
            <w:tcBorders>
              <w:top w:val="single" w:sz="4" w:space="0" w:color="auto"/>
              <w:left w:val="single" w:sz="4" w:space="0" w:color="auto"/>
              <w:bottom w:val="single" w:sz="4" w:space="0" w:color="auto"/>
              <w:right w:val="nil"/>
            </w:tcBorders>
            <w:shd w:val="clear" w:color="auto" w:fill="FFFFFF"/>
            <w:vAlign w:val="center"/>
          </w:tcPr>
          <w:p w14:paraId="55FFCBD0"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La Reforma</w:t>
            </w:r>
          </w:p>
        </w:tc>
        <w:tc>
          <w:tcPr>
            <w:tcW w:w="757" w:type="dxa"/>
            <w:tcBorders>
              <w:top w:val="single" w:sz="4" w:space="0" w:color="auto"/>
              <w:left w:val="single" w:sz="4" w:space="0" w:color="auto"/>
              <w:bottom w:val="single" w:sz="4" w:space="0" w:color="auto"/>
              <w:right w:val="nil"/>
            </w:tcBorders>
            <w:shd w:val="clear" w:color="auto" w:fill="FFFFFF"/>
            <w:vAlign w:val="center"/>
          </w:tcPr>
          <w:p w14:paraId="513ABD5C"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SE243</w:t>
            </w:r>
          </w:p>
        </w:tc>
        <w:tc>
          <w:tcPr>
            <w:tcW w:w="3015" w:type="dxa"/>
            <w:tcBorders>
              <w:top w:val="single" w:sz="4" w:space="0" w:color="auto"/>
              <w:left w:val="single" w:sz="4" w:space="0" w:color="auto"/>
              <w:bottom w:val="single" w:sz="4" w:space="0" w:color="auto"/>
              <w:right w:val="nil"/>
            </w:tcBorders>
            <w:shd w:val="clear" w:color="auto" w:fill="FFFFFF"/>
            <w:vAlign w:val="center"/>
          </w:tcPr>
          <w:p w14:paraId="557F413F" w14:textId="77777777" w:rsidR="00123D92" w:rsidRPr="00D21416" w:rsidRDefault="00123D92" w:rsidP="00F8754C">
            <w:pPr>
              <w:pStyle w:val="Style10"/>
              <w:shd w:val="clear" w:color="auto" w:fill="auto"/>
              <w:spacing w:after="0" w:line="240" w:lineRule="auto"/>
              <w:ind w:left="83" w:firstLine="0"/>
              <w:jc w:val="left"/>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Módulo Común - Tipo 2</w:t>
            </w:r>
          </w:p>
        </w:tc>
        <w:tc>
          <w:tcPr>
            <w:tcW w:w="1445" w:type="dxa"/>
            <w:tcBorders>
              <w:top w:val="single" w:sz="4" w:space="0" w:color="auto"/>
              <w:left w:val="single" w:sz="4" w:space="0" w:color="auto"/>
              <w:bottom w:val="single" w:sz="4" w:space="0" w:color="auto"/>
              <w:right w:val="nil"/>
            </w:tcBorders>
            <w:shd w:val="clear" w:color="auto" w:fill="FFFFFF"/>
            <w:vAlign w:val="center"/>
          </w:tcPr>
          <w:p w14:paraId="0DF6EB07"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IM</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54A3168D" w14:textId="77777777" w:rsidR="00123D92" w:rsidRPr="00D21416" w:rsidRDefault="00123D92" w:rsidP="00797D74">
            <w:pPr>
              <w:pStyle w:val="Style10"/>
              <w:shd w:val="clear" w:color="auto" w:fill="auto"/>
              <w:spacing w:after="0" w:line="240" w:lineRule="auto"/>
              <w:ind w:firstLine="0"/>
              <w:jc w:val="center"/>
              <w:rPr>
                <w:rFonts w:ascii="Bookman Old Style" w:hAnsi="Bookman Old Style"/>
                <w:i/>
                <w:sz w:val="20"/>
                <w:szCs w:val="20"/>
              </w:rPr>
            </w:pPr>
            <w:r w:rsidRPr="00D21416">
              <w:rPr>
                <w:rStyle w:val="CharStyle26"/>
                <w:rFonts w:ascii="Bookman Old Style" w:hAnsi="Bookman Old Style"/>
                <w:b w:val="0"/>
                <w:i/>
                <w:color w:val="000000"/>
                <w:sz w:val="20"/>
                <w:szCs w:val="20"/>
                <w:lang w:eastAsia="es-ES_tradnl"/>
              </w:rPr>
              <w:t>1,00000</w:t>
            </w:r>
          </w:p>
        </w:tc>
      </w:tr>
    </w:tbl>
    <w:p w14:paraId="4874DB28" w14:textId="77777777" w:rsidR="00123D92" w:rsidRPr="00123D92" w:rsidRDefault="00123D92" w:rsidP="00797D74">
      <w:pPr>
        <w:widowControl w:val="0"/>
        <w:ind w:left="0"/>
        <w:jc w:val="center"/>
        <w:rPr>
          <w:rFonts w:ascii="Bookman Old Style" w:hAnsi="Bookman Old Style"/>
          <w:i/>
          <w:sz w:val="20"/>
          <w:szCs w:val="20"/>
        </w:rPr>
      </w:pPr>
    </w:p>
    <w:p w14:paraId="460857C9" w14:textId="77777777" w:rsidR="009D4454" w:rsidRDefault="00F8754C" w:rsidP="00A60380">
      <w:pPr>
        <w:spacing w:after="240"/>
        <w:ind w:left="0"/>
        <w:jc w:val="both"/>
        <w:rPr>
          <w:rFonts w:ascii="Bookman Old Style" w:hAnsi="Bookman Old Style" w:cs="Arial"/>
          <w:spacing w:val="-3"/>
        </w:rPr>
      </w:pPr>
      <w:r>
        <w:rPr>
          <w:rFonts w:ascii="Bookman Old Style" w:hAnsi="Bookman Old Style" w:cs="Arial"/>
          <w:spacing w:val="-3"/>
        </w:rPr>
        <w:t xml:space="preserve">Como lo manifiesta </w:t>
      </w:r>
      <w:proofErr w:type="spellStart"/>
      <w:r>
        <w:rPr>
          <w:rFonts w:ascii="Bookman Old Style" w:hAnsi="Bookman Old Style" w:cs="Arial"/>
          <w:spacing w:val="-3"/>
        </w:rPr>
        <w:t>Intercolombia</w:t>
      </w:r>
      <w:proofErr w:type="spellEnd"/>
      <w:r>
        <w:rPr>
          <w:rFonts w:ascii="Bookman Old Style" w:hAnsi="Bookman Old Style" w:cs="Arial"/>
          <w:spacing w:val="-3"/>
        </w:rPr>
        <w:t xml:space="preserve"> en su comunicación, l</w:t>
      </w:r>
      <w:r w:rsidR="009D4454">
        <w:rPr>
          <w:rFonts w:ascii="Bookman Old Style" w:hAnsi="Bookman Old Style" w:cs="Arial"/>
          <w:spacing w:val="-3"/>
        </w:rPr>
        <w:t>a</w:t>
      </w:r>
      <w:r w:rsidR="003A3CD5">
        <w:rPr>
          <w:rFonts w:ascii="Bookman Old Style" w:hAnsi="Bookman Old Style" w:cs="Arial"/>
          <w:spacing w:val="-3"/>
        </w:rPr>
        <w:t xml:space="preserve">s </w:t>
      </w:r>
      <w:r w:rsidR="00C93DD4">
        <w:rPr>
          <w:rFonts w:ascii="Bookman Old Style" w:hAnsi="Bookman Old Style" w:cs="Arial"/>
          <w:spacing w:val="-3"/>
        </w:rPr>
        <w:t xml:space="preserve">obras relacionadas con </w:t>
      </w:r>
      <w:r w:rsidR="00C93DD4" w:rsidRPr="00C93DD4">
        <w:rPr>
          <w:rFonts w:ascii="Bookman Old Style" w:hAnsi="Bookman Old Style" w:cs="Arial"/>
          <w:spacing w:val="-3"/>
        </w:rPr>
        <w:t>la convocatoria UPME 02-2014</w:t>
      </w:r>
      <w:r w:rsidR="003A3CD5">
        <w:rPr>
          <w:rFonts w:ascii="Bookman Old Style" w:hAnsi="Bookman Old Style" w:cs="Arial"/>
          <w:spacing w:val="-3"/>
        </w:rPr>
        <w:t xml:space="preserve"> fueron declaradas en operación </w:t>
      </w:r>
      <w:r w:rsidR="00F145D6">
        <w:rPr>
          <w:rFonts w:ascii="Bookman Old Style" w:hAnsi="Bookman Old Style" w:cs="Arial"/>
          <w:spacing w:val="-3"/>
        </w:rPr>
        <w:t xml:space="preserve">comercial </w:t>
      </w:r>
      <w:r w:rsidR="00FC3F4A">
        <w:rPr>
          <w:rFonts w:ascii="Bookman Old Style" w:hAnsi="Bookman Old Style" w:cs="Arial"/>
          <w:spacing w:val="-3"/>
        </w:rPr>
        <w:t>en nov</w:t>
      </w:r>
      <w:r w:rsidR="003A3CD5">
        <w:rPr>
          <w:rFonts w:ascii="Bookman Old Style" w:hAnsi="Bookman Old Style" w:cs="Arial"/>
          <w:spacing w:val="-3"/>
        </w:rPr>
        <w:t>iembre de 2015</w:t>
      </w:r>
      <w:r w:rsidR="009D4454" w:rsidRPr="007B3109">
        <w:rPr>
          <w:rFonts w:ascii="Bookman Old Style" w:hAnsi="Bookman Old Style" w:cs="Arial"/>
          <w:spacing w:val="-3"/>
        </w:rPr>
        <w:t>.</w:t>
      </w:r>
    </w:p>
    <w:p w14:paraId="491C9415" w14:textId="46757E49" w:rsidR="009D4454" w:rsidRDefault="00470313" w:rsidP="00A60380">
      <w:pPr>
        <w:spacing w:after="240"/>
        <w:ind w:left="0"/>
        <w:jc w:val="both"/>
        <w:rPr>
          <w:rFonts w:ascii="Bookman Old Style" w:hAnsi="Bookman Old Style"/>
        </w:rPr>
      </w:pPr>
      <w:r>
        <w:rPr>
          <w:rFonts w:ascii="Bookman Old Style" w:hAnsi="Bookman Old Style"/>
        </w:rPr>
        <w:t>M</w:t>
      </w:r>
      <w:r w:rsidR="009D4454" w:rsidRPr="00A8635E">
        <w:rPr>
          <w:rFonts w:ascii="Bookman Old Style" w:hAnsi="Bookman Old Style"/>
        </w:rPr>
        <w:t xml:space="preserve">ediante auto del </w:t>
      </w:r>
      <w:r w:rsidR="0014383D">
        <w:rPr>
          <w:rFonts w:ascii="Bookman Old Style" w:hAnsi="Bookman Old Style"/>
        </w:rPr>
        <w:t>2</w:t>
      </w:r>
      <w:r w:rsidR="00FC3F4A">
        <w:rPr>
          <w:rFonts w:ascii="Bookman Old Style" w:hAnsi="Bookman Old Style"/>
        </w:rPr>
        <w:t>5</w:t>
      </w:r>
      <w:r w:rsidR="0014383D">
        <w:rPr>
          <w:rFonts w:ascii="Bookman Old Style" w:hAnsi="Bookman Old Style"/>
        </w:rPr>
        <w:t xml:space="preserve"> de </w:t>
      </w:r>
      <w:r w:rsidR="00FC3F4A">
        <w:rPr>
          <w:rFonts w:ascii="Bookman Old Style" w:hAnsi="Bookman Old Style"/>
        </w:rPr>
        <w:t xml:space="preserve">enero </w:t>
      </w:r>
      <w:r w:rsidR="009D4454" w:rsidRPr="00A8635E">
        <w:rPr>
          <w:rFonts w:ascii="Bookman Old Style" w:hAnsi="Bookman Old Style"/>
        </w:rPr>
        <w:t xml:space="preserve">de </w:t>
      </w:r>
      <w:r w:rsidR="00EF2704" w:rsidRPr="00A8635E">
        <w:rPr>
          <w:rFonts w:ascii="Bookman Old Style" w:hAnsi="Bookman Old Style"/>
        </w:rPr>
        <w:t>20</w:t>
      </w:r>
      <w:r w:rsidR="00EF2704">
        <w:rPr>
          <w:rFonts w:ascii="Bookman Old Style" w:hAnsi="Bookman Old Style"/>
        </w:rPr>
        <w:t>16</w:t>
      </w:r>
      <w:r w:rsidR="009D4454" w:rsidRPr="00A8635E">
        <w:rPr>
          <w:rFonts w:ascii="Bookman Old Style" w:hAnsi="Bookman Old Style"/>
        </w:rPr>
        <w:t xml:space="preserve">, la Comisión dio inicio a la actuación administrativa tendiente a </w:t>
      </w:r>
      <w:r w:rsidR="009D4454">
        <w:rPr>
          <w:rFonts w:ascii="Bookman Old Style" w:hAnsi="Bookman Old Style"/>
        </w:rPr>
        <w:t xml:space="preserve">actualizar </w:t>
      </w:r>
      <w:r w:rsidR="0056051E">
        <w:rPr>
          <w:rFonts w:ascii="Bookman Old Style" w:hAnsi="Bookman Old Style"/>
        </w:rPr>
        <w:t xml:space="preserve">el ingreso anual de la actividad de transmisión </w:t>
      </w:r>
      <w:r w:rsidR="009D4454" w:rsidRPr="00A8635E">
        <w:rPr>
          <w:rFonts w:ascii="Bookman Old Style" w:hAnsi="Bookman Old Style"/>
        </w:rPr>
        <w:t xml:space="preserve">de </w:t>
      </w:r>
      <w:proofErr w:type="spellStart"/>
      <w:r w:rsidR="00234986">
        <w:rPr>
          <w:rFonts w:ascii="Bookman Old Style" w:hAnsi="Bookman Old Style"/>
        </w:rPr>
        <w:t>Intercolombia</w:t>
      </w:r>
      <w:proofErr w:type="spellEnd"/>
      <w:r w:rsidR="009D4454">
        <w:rPr>
          <w:rFonts w:ascii="Bookman Old Style" w:hAnsi="Bookman Old Style"/>
        </w:rPr>
        <w:t xml:space="preserve"> </w:t>
      </w:r>
      <w:r w:rsidR="009D4454" w:rsidRPr="00A8635E">
        <w:rPr>
          <w:rFonts w:ascii="Bookman Old Style" w:hAnsi="Bookman Old Style"/>
        </w:rPr>
        <w:t>S.A. E.S.P., y ordenó la apertura del respectivo expediente que fue distinguido con el número 20</w:t>
      </w:r>
      <w:r w:rsidR="009D4454">
        <w:rPr>
          <w:rFonts w:ascii="Bookman Old Style" w:hAnsi="Bookman Old Style"/>
        </w:rPr>
        <w:t>1</w:t>
      </w:r>
      <w:r w:rsidR="00FC3F4A">
        <w:rPr>
          <w:rFonts w:ascii="Bookman Old Style" w:hAnsi="Bookman Old Style"/>
        </w:rPr>
        <w:t>6</w:t>
      </w:r>
      <w:r w:rsidR="009D4454">
        <w:rPr>
          <w:rFonts w:ascii="Bookman Old Style" w:hAnsi="Bookman Old Style"/>
        </w:rPr>
        <w:t>-</w:t>
      </w:r>
      <w:r w:rsidR="0014383D">
        <w:rPr>
          <w:rFonts w:ascii="Bookman Old Style" w:hAnsi="Bookman Old Style"/>
        </w:rPr>
        <w:t>0</w:t>
      </w:r>
      <w:r w:rsidR="00FC3F4A">
        <w:rPr>
          <w:rFonts w:ascii="Bookman Old Style" w:hAnsi="Bookman Old Style"/>
        </w:rPr>
        <w:t>021</w:t>
      </w:r>
      <w:r w:rsidR="009D4454" w:rsidRPr="00A8635E">
        <w:rPr>
          <w:rFonts w:ascii="Bookman Old Style" w:hAnsi="Bookman Old Style"/>
        </w:rPr>
        <w:t>.</w:t>
      </w:r>
      <w:r w:rsidR="00FC3F4A">
        <w:rPr>
          <w:rFonts w:ascii="Bookman Old Style" w:hAnsi="Bookman Old Style"/>
        </w:rPr>
        <w:t xml:space="preserve"> En </w:t>
      </w:r>
      <w:r w:rsidR="00F8754C">
        <w:rPr>
          <w:rFonts w:ascii="Bookman Old Style" w:hAnsi="Bookman Old Style"/>
        </w:rPr>
        <w:t xml:space="preserve">el mismo auto </w:t>
      </w:r>
      <w:r w:rsidR="00FC3F4A">
        <w:rPr>
          <w:rFonts w:ascii="Bookman Old Style" w:hAnsi="Bookman Old Style"/>
        </w:rPr>
        <w:t>se decidió v</w:t>
      </w:r>
      <w:r w:rsidR="00FC3F4A" w:rsidRPr="00FC3F4A">
        <w:rPr>
          <w:rFonts w:ascii="Bookman Old Style" w:hAnsi="Bookman Old Style"/>
        </w:rPr>
        <w:t>incular a esta actuación a Interconexión Eléctrica S.A. E.S.P., adjudicatario de la convocatoria UPME 02-2014</w:t>
      </w:r>
      <w:r w:rsidR="00FC3F4A">
        <w:rPr>
          <w:rFonts w:ascii="Bookman Old Style" w:hAnsi="Bookman Old Style"/>
        </w:rPr>
        <w:t>.</w:t>
      </w:r>
      <w:r w:rsidR="009D4454" w:rsidRPr="00A8635E">
        <w:rPr>
          <w:rFonts w:ascii="Bookman Old Style" w:hAnsi="Bookman Old Style"/>
        </w:rPr>
        <w:t xml:space="preserve"> </w:t>
      </w:r>
    </w:p>
    <w:p w14:paraId="6869D034" w14:textId="28C5E86B" w:rsidR="009C7A45" w:rsidRDefault="009C7A45" w:rsidP="009C7A45">
      <w:pPr>
        <w:spacing w:after="240"/>
        <w:ind w:left="0"/>
        <w:jc w:val="both"/>
        <w:rPr>
          <w:rFonts w:ascii="Bookman Old Style" w:hAnsi="Bookman Old Style"/>
        </w:rPr>
      </w:pPr>
      <w:r>
        <w:rPr>
          <w:rFonts w:ascii="Bookman Old Style" w:hAnsi="Bookman Old Style"/>
        </w:rPr>
        <w:t>E</w:t>
      </w:r>
      <w:r w:rsidRPr="002D5A61">
        <w:rPr>
          <w:rFonts w:ascii="Bookman Old Style" w:hAnsi="Bookman Old Style"/>
        </w:rPr>
        <w:t xml:space="preserve">l </w:t>
      </w:r>
      <w:r w:rsidR="00EF2704" w:rsidRPr="00274089">
        <w:rPr>
          <w:rFonts w:ascii="Bookman Old Style" w:hAnsi="Bookman Old Style"/>
        </w:rPr>
        <w:t xml:space="preserve">28 </w:t>
      </w:r>
      <w:r w:rsidRPr="00274089">
        <w:rPr>
          <w:rFonts w:ascii="Bookman Old Style" w:hAnsi="Bookman Old Style"/>
        </w:rPr>
        <w:t xml:space="preserve">de </w:t>
      </w:r>
      <w:r w:rsidR="00EF2704">
        <w:rPr>
          <w:rFonts w:ascii="Bookman Old Style" w:hAnsi="Bookman Old Style"/>
        </w:rPr>
        <w:t xml:space="preserve">enero </w:t>
      </w:r>
      <w:r w:rsidRPr="002D5A61">
        <w:rPr>
          <w:rFonts w:ascii="Bookman Old Style" w:hAnsi="Bookman Old Style"/>
        </w:rPr>
        <w:t>de 201</w:t>
      </w:r>
      <w:r>
        <w:rPr>
          <w:rFonts w:ascii="Bookman Old Style" w:hAnsi="Bookman Old Style"/>
        </w:rPr>
        <w:t>6</w:t>
      </w:r>
      <w:r w:rsidRPr="002D5A61">
        <w:rPr>
          <w:rFonts w:ascii="Bookman Old Style" w:hAnsi="Bookman Old Style"/>
        </w:rPr>
        <w:t xml:space="preserve"> la CREG publicó en el </w:t>
      </w:r>
      <w:r w:rsidRPr="00043EE4">
        <w:rPr>
          <w:rFonts w:ascii="Bookman Old Style" w:hAnsi="Bookman Old Style"/>
          <w:i/>
        </w:rPr>
        <w:t>Diario Oficial</w:t>
      </w:r>
      <w:r w:rsidRPr="002D5A61">
        <w:rPr>
          <w:rFonts w:ascii="Bookman Old Style" w:hAnsi="Bookman Old Style"/>
        </w:rPr>
        <w:t xml:space="preserve"> </w:t>
      </w:r>
      <w:r w:rsidR="00EF2704">
        <w:rPr>
          <w:rFonts w:ascii="Bookman Old Style" w:hAnsi="Bookman Old Style"/>
        </w:rPr>
        <w:t xml:space="preserve">49.769 </w:t>
      </w:r>
      <w:r w:rsidRPr="002D5A61">
        <w:rPr>
          <w:rFonts w:ascii="Bookman Old Style" w:hAnsi="Bookman Old Style"/>
        </w:rPr>
        <w:t>un resumen de la solicitud, con el fin de que los terceros interesados pudieran intervenir en la actuación administrativa.</w:t>
      </w:r>
    </w:p>
    <w:p w14:paraId="3E654E48" w14:textId="77777777" w:rsidR="00220DDA" w:rsidRPr="00220DDA" w:rsidRDefault="00F145D6" w:rsidP="00220DDA">
      <w:pPr>
        <w:keepNext/>
        <w:numPr>
          <w:ilvl w:val="0"/>
          <w:numId w:val="22"/>
        </w:numPr>
        <w:spacing w:after="240"/>
        <w:ind w:left="357" w:hanging="357"/>
        <w:jc w:val="both"/>
        <w:rPr>
          <w:rFonts w:ascii="Bookman Old Style" w:hAnsi="Bookman Old Style"/>
          <w:b/>
        </w:rPr>
      </w:pPr>
      <w:bookmarkStart w:id="1" w:name="_Ref463971260"/>
      <w:r>
        <w:rPr>
          <w:rFonts w:ascii="Bookman Old Style" w:hAnsi="Bookman Old Style"/>
          <w:b/>
        </w:rPr>
        <w:t>Solicitud de información</w:t>
      </w:r>
      <w:bookmarkEnd w:id="1"/>
    </w:p>
    <w:p w14:paraId="4F78EF81" w14:textId="77777777" w:rsidR="00FC3F4A" w:rsidRDefault="00FC3F4A" w:rsidP="00A60380">
      <w:pPr>
        <w:spacing w:after="240"/>
        <w:ind w:left="0"/>
        <w:jc w:val="both"/>
        <w:rPr>
          <w:rFonts w:ascii="Bookman Old Style" w:hAnsi="Bookman Old Style"/>
        </w:rPr>
      </w:pPr>
      <w:r>
        <w:rPr>
          <w:rFonts w:ascii="Bookman Old Style" w:hAnsi="Bookman Old Style"/>
        </w:rPr>
        <w:t xml:space="preserve">Con el propósito de conocer las obras adicionales relacionadas con la convocatoria </w:t>
      </w:r>
      <w:r w:rsidRPr="00FC3F4A">
        <w:rPr>
          <w:rFonts w:ascii="Bookman Old Style" w:hAnsi="Bookman Old Style"/>
        </w:rPr>
        <w:t>UPME 02-2014</w:t>
      </w:r>
      <w:r>
        <w:rPr>
          <w:rFonts w:ascii="Bookman Old Style" w:hAnsi="Bookman Old Style"/>
        </w:rPr>
        <w:t xml:space="preserve">, la Comisión solicitó información a </w:t>
      </w:r>
      <w:proofErr w:type="spellStart"/>
      <w:r>
        <w:rPr>
          <w:rFonts w:ascii="Bookman Old Style" w:hAnsi="Bookman Old Style"/>
        </w:rPr>
        <w:t>Intercolombia</w:t>
      </w:r>
      <w:proofErr w:type="spellEnd"/>
      <w:r>
        <w:rPr>
          <w:rFonts w:ascii="Bookman Old Style" w:hAnsi="Bookman Old Style"/>
        </w:rPr>
        <w:t xml:space="preserve"> y a la UPME.</w:t>
      </w:r>
    </w:p>
    <w:p w14:paraId="6D890F69" w14:textId="72036625" w:rsidR="00FC3F4A" w:rsidRDefault="00FC3F4A" w:rsidP="00A60380">
      <w:pPr>
        <w:spacing w:after="240"/>
        <w:ind w:left="0"/>
        <w:jc w:val="both"/>
        <w:rPr>
          <w:rFonts w:ascii="Bookman Old Style" w:hAnsi="Bookman Old Style"/>
        </w:rPr>
      </w:pPr>
      <w:r>
        <w:rPr>
          <w:rFonts w:ascii="Bookman Old Style" w:hAnsi="Bookman Old Style"/>
        </w:rPr>
        <w:t xml:space="preserve">En la comunicación con radicado CREG </w:t>
      </w:r>
      <w:r w:rsidR="00003056">
        <w:rPr>
          <w:rFonts w:ascii="Bookman Old Style" w:hAnsi="Bookman Old Style"/>
        </w:rPr>
        <w:t>S</w:t>
      </w:r>
      <w:r>
        <w:rPr>
          <w:rFonts w:ascii="Bookman Old Style" w:hAnsi="Bookman Old Style"/>
        </w:rPr>
        <w:t>-2016-</w:t>
      </w:r>
      <w:r w:rsidR="00003056">
        <w:rPr>
          <w:rFonts w:ascii="Bookman Old Style" w:hAnsi="Bookman Old Style"/>
        </w:rPr>
        <w:t>000632</w:t>
      </w:r>
      <w:r>
        <w:rPr>
          <w:rFonts w:ascii="Bookman Old Style" w:hAnsi="Bookman Old Style"/>
        </w:rPr>
        <w:t xml:space="preserve">, del 19 de febrero de 2016, dirigida a </w:t>
      </w:r>
      <w:proofErr w:type="spellStart"/>
      <w:r>
        <w:rPr>
          <w:rFonts w:ascii="Bookman Old Style" w:hAnsi="Bookman Old Style"/>
        </w:rPr>
        <w:t>Intercolombia</w:t>
      </w:r>
      <w:proofErr w:type="spellEnd"/>
      <w:r>
        <w:rPr>
          <w:rFonts w:ascii="Bookman Old Style" w:hAnsi="Bookman Old Style"/>
        </w:rPr>
        <w:t xml:space="preserve"> </w:t>
      </w:r>
      <w:r w:rsidR="00A60380">
        <w:rPr>
          <w:rFonts w:ascii="Bookman Old Style" w:hAnsi="Bookman Old Style"/>
        </w:rPr>
        <w:t>la Comisión</w:t>
      </w:r>
      <w:r>
        <w:rPr>
          <w:rFonts w:ascii="Bookman Old Style" w:hAnsi="Bookman Old Style"/>
        </w:rPr>
        <w:t xml:space="preserve"> solicit</w:t>
      </w:r>
      <w:r w:rsidR="00A60380">
        <w:rPr>
          <w:rFonts w:ascii="Bookman Old Style" w:hAnsi="Bookman Old Style"/>
        </w:rPr>
        <w:t>ó</w:t>
      </w:r>
      <w:r>
        <w:rPr>
          <w:rFonts w:ascii="Bookman Old Style" w:hAnsi="Bookman Old Style"/>
        </w:rPr>
        <w:t xml:space="preserve"> lo siguiente:</w:t>
      </w:r>
    </w:p>
    <w:p w14:paraId="3E213065" w14:textId="77777777" w:rsidR="00A60380" w:rsidRPr="00F8754C" w:rsidRDefault="00A60380" w:rsidP="00A60380">
      <w:pPr>
        <w:pStyle w:val="Cita"/>
        <w:ind w:left="284" w:right="284"/>
        <w:jc w:val="both"/>
        <w:rPr>
          <w:rFonts w:ascii="Bookman Old Style" w:hAnsi="Bookman Old Style"/>
          <w:sz w:val="22"/>
        </w:rPr>
      </w:pPr>
      <w:r w:rsidRPr="00F8754C">
        <w:rPr>
          <w:rFonts w:ascii="Bookman Old Style" w:hAnsi="Bookman Old Style"/>
          <w:sz w:val="22"/>
        </w:rPr>
        <w:t>Dentro de la actuación de la referencia se ha considerado necesario precisar algunos aspectos relacionados con las obras ejecutadas en la subestación La Reforma, y las líneas que la conectan al STN, con ocasión de la ejecución del proyecto objeto de la convocatoria UPME 02-2014.</w:t>
      </w:r>
    </w:p>
    <w:p w14:paraId="1A4A7945" w14:textId="77777777" w:rsidR="00A60380" w:rsidRPr="00F8754C" w:rsidRDefault="00A60380" w:rsidP="00A60380">
      <w:pPr>
        <w:pStyle w:val="Cita"/>
        <w:ind w:left="284" w:right="284"/>
        <w:jc w:val="both"/>
        <w:rPr>
          <w:rFonts w:ascii="Bookman Old Style" w:hAnsi="Bookman Old Style"/>
          <w:sz w:val="22"/>
        </w:rPr>
      </w:pPr>
      <w:r w:rsidRPr="00F8754C">
        <w:rPr>
          <w:rFonts w:ascii="Bookman Old Style" w:hAnsi="Bookman Old Style"/>
          <w:sz w:val="22"/>
        </w:rPr>
        <w:t xml:space="preserve">Se requiere conocer el documento, concepto UPME, plan de expansión o algún otro con base en el que se determinó la necesidad de que </w:t>
      </w:r>
      <w:proofErr w:type="spellStart"/>
      <w:r w:rsidRPr="00F8754C">
        <w:rPr>
          <w:rFonts w:ascii="Bookman Old Style" w:hAnsi="Bookman Old Style"/>
          <w:sz w:val="22"/>
        </w:rPr>
        <w:t>Intercolombia</w:t>
      </w:r>
      <w:proofErr w:type="spellEnd"/>
      <w:r w:rsidRPr="00F8754C">
        <w:rPr>
          <w:rFonts w:ascii="Bookman Old Style" w:hAnsi="Bookman Old Style"/>
          <w:sz w:val="22"/>
        </w:rPr>
        <w:t xml:space="preserve"> realizara los cambios de las unidades constructivas existentes en la subestación La Reforma y en las líneas que la conectan.</w:t>
      </w:r>
    </w:p>
    <w:p w14:paraId="361B1918" w14:textId="77777777" w:rsidR="00A60380" w:rsidRPr="00F8754C" w:rsidRDefault="00A60380" w:rsidP="00A60380">
      <w:pPr>
        <w:pStyle w:val="Cita"/>
        <w:ind w:left="284" w:right="284"/>
        <w:jc w:val="both"/>
        <w:rPr>
          <w:rFonts w:ascii="Bookman Old Style" w:hAnsi="Bookman Old Style"/>
          <w:sz w:val="22"/>
        </w:rPr>
      </w:pPr>
      <w:r w:rsidRPr="00F8754C">
        <w:rPr>
          <w:rFonts w:ascii="Bookman Old Style" w:hAnsi="Bookman Old Style"/>
          <w:sz w:val="22"/>
        </w:rPr>
        <w:lastRenderedPageBreak/>
        <w:t>Entendemos que la solicitud hace referencia a proyectos denominados ampliaciones en la regulación vigente, por lo que solicitamos se nos hagan llegar copias de los documentos citados en el artículo 6 de la Resolución CREG 022 de 2011, y sus modificaciones, con el fin de conocer la forma como se desarrolló el proceso para determinar el agente encargado de ejecutar las ampliaciones objeto de la solicitud.</w:t>
      </w:r>
    </w:p>
    <w:p w14:paraId="489E7D11" w14:textId="77777777" w:rsidR="00FC3F4A" w:rsidRDefault="00A60380" w:rsidP="009D4454">
      <w:pPr>
        <w:ind w:left="0"/>
        <w:jc w:val="both"/>
        <w:rPr>
          <w:rFonts w:ascii="Bookman Old Style" w:hAnsi="Bookman Old Style"/>
        </w:rPr>
      </w:pPr>
      <w:r>
        <w:rPr>
          <w:rFonts w:ascii="Bookman Old Style" w:hAnsi="Bookman Old Style"/>
        </w:rPr>
        <w:t xml:space="preserve">En respuesta, </w:t>
      </w:r>
      <w:proofErr w:type="spellStart"/>
      <w:r>
        <w:rPr>
          <w:rFonts w:ascii="Bookman Old Style" w:hAnsi="Bookman Old Style"/>
        </w:rPr>
        <w:t>Intercolombia</w:t>
      </w:r>
      <w:proofErr w:type="spellEnd"/>
      <w:r>
        <w:rPr>
          <w:rFonts w:ascii="Bookman Old Style" w:hAnsi="Bookman Old Style"/>
        </w:rPr>
        <w:t xml:space="preserve"> mediante comunicación con radicado CREG E</w:t>
      </w:r>
      <w:r>
        <w:rPr>
          <w:rFonts w:ascii="Bookman Old Style" w:hAnsi="Bookman Old Style"/>
        </w:rPr>
        <w:noBreakHyphen/>
        <w:t>2016-002199 del 3 de marzo de 2016, afirma:</w:t>
      </w:r>
    </w:p>
    <w:p w14:paraId="0330DCBB" w14:textId="77777777" w:rsidR="009C7A45" w:rsidRPr="00BB63BD" w:rsidRDefault="009C7A45" w:rsidP="009C7A45">
      <w:pPr>
        <w:pStyle w:val="Cita"/>
        <w:ind w:left="284" w:right="284"/>
        <w:jc w:val="both"/>
        <w:rPr>
          <w:rFonts w:ascii="Bookman Old Style" w:hAnsi="Bookman Old Style"/>
          <w:sz w:val="22"/>
          <w:szCs w:val="22"/>
        </w:rPr>
      </w:pPr>
      <w:r w:rsidRPr="00BB63BD">
        <w:rPr>
          <w:rFonts w:ascii="Bookman Old Style" w:hAnsi="Bookman Old Style"/>
          <w:sz w:val="22"/>
          <w:szCs w:val="22"/>
        </w:rPr>
        <w:t xml:space="preserve">Cambios de Unidades Constructivas existentes en la Subestación La Reforma 230 </w:t>
      </w:r>
      <w:proofErr w:type="spellStart"/>
      <w:r w:rsidRPr="00BB63BD">
        <w:rPr>
          <w:rFonts w:ascii="Bookman Old Style" w:hAnsi="Bookman Old Style"/>
          <w:sz w:val="22"/>
          <w:szCs w:val="22"/>
        </w:rPr>
        <w:t>kV</w:t>
      </w:r>
      <w:proofErr w:type="spellEnd"/>
      <w:r w:rsidRPr="00BB63BD">
        <w:rPr>
          <w:rFonts w:ascii="Bookman Old Style" w:hAnsi="Bookman Old Style"/>
          <w:sz w:val="22"/>
          <w:szCs w:val="22"/>
        </w:rPr>
        <w:t>:</w:t>
      </w:r>
    </w:p>
    <w:p w14:paraId="0490A676" w14:textId="77777777" w:rsidR="009C7A45" w:rsidRPr="00BB63BD" w:rsidRDefault="00BB63BD" w:rsidP="00BB63BD">
      <w:pPr>
        <w:pStyle w:val="Cita"/>
        <w:numPr>
          <w:ilvl w:val="0"/>
          <w:numId w:val="20"/>
        </w:numPr>
        <w:ind w:left="709" w:right="284" w:hanging="425"/>
        <w:jc w:val="both"/>
        <w:rPr>
          <w:rFonts w:ascii="Bookman Old Style" w:hAnsi="Bookman Old Style"/>
          <w:sz w:val="22"/>
          <w:szCs w:val="22"/>
        </w:rPr>
      </w:pPr>
      <w:r w:rsidRPr="00BB63BD">
        <w:rPr>
          <w:rFonts w:ascii="Bookman Old Style" w:hAnsi="Bookman Old Style"/>
          <w:sz w:val="22"/>
          <w:szCs w:val="22"/>
        </w:rPr>
        <w:t xml:space="preserve">Las obras asociadas al diseño, construcción, operación y mantenimiento de la conexión de la subestación La Reforma al segundo circuito </w:t>
      </w:r>
      <w:proofErr w:type="spellStart"/>
      <w:r w:rsidRPr="00BB63BD">
        <w:rPr>
          <w:rFonts w:ascii="Bookman Old Style" w:hAnsi="Bookman Old Style"/>
          <w:sz w:val="22"/>
          <w:szCs w:val="22"/>
        </w:rPr>
        <w:t>Guavio</w:t>
      </w:r>
      <w:proofErr w:type="spellEnd"/>
      <w:r w:rsidRPr="00BB63BD">
        <w:rPr>
          <w:rFonts w:ascii="Bookman Old Style" w:hAnsi="Bookman Old Style"/>
          <w:sz w:val="22"/>
          <w:szCs w:val="22"/>
        </w:rPr>
        <w:t xml:space="preserve"> - Tunal, 230 </w:t>
      </w:r>
      <w:proofErr w:type="spellStart"/>
      <w:r w:rsidRPr="00BB63BD">
        <w:rPr>
          <w:rFonts w:ascii="Bookman Old Style" w:hAnsi="Bookman Old Style"/>
          <w:sz w:val="22"/>
          <w:szCs w:val="22"/>
        </w:rPr>
        <w:t>kV</w:t>
      </w:r>
      <w:proofErr w:type="spellEnd"/>
      <w:r w:rsidRPr="00BB63BD">
        <w:rPr>
          <w:rFonts w:ascii="Bookman Old Style" w:hAnsi="Bookman Old Style"/>
          <w:sz w:val="22"/>
          <w:szCs w:val="22"/>
        </w:rPr>
        <w:t>, hacen parte de la convocatoria UPME-02-2014, tienen su origen en el "Plan de Expansión de Referencia Generación - Transmisión 2013-2027", adoptado mediante Resolución del Ministerio de Minas y Energía 90772 de septiembre 17 de 2013 y subrogada por la Resolución 91159 del 26 de diciembre de 2013.</w:t>
      </w:r>
    </w:p>
    <w:p w14:paraId="3C4EBD02" w14:textId="77777777" w:rsidR="00FC3F4A" w:rsidRPr="00BB63BD" w:rsidRDefault="009C7A45" w:rsidP="00BB63BD">
      <w:pPr>
        <w:pStyle w:val="Cita"/>
        <w:numPr>
          <w:ilvl w:val="0"/>
          <w:numId w:val="20"/>
        </w:numPr>
        <w:ind w:left="709" w:right="284" w:hanging="425"/>
        <w:jc w:val="both"/>
        <w:rPr>
          <w:rFonts w:ascii="Bookman Old Style" w:hAnsi="Bookman Old Style"/>
          <w:sz w:val="22"/>
          <w:szCs w:val="22"/>
        </w:rPr>
      </w:pPr>
      <w:r w:rsidRPr="00BB63BD">
        <w:rPr>
          <w:rFonts w:ascii="Bookman Old Style" w:hAnsi="Bookman Old Style"/>
          <w:sz w:val="22"/>
          <w:szCs w:val="22"/>
        </w:rPr>
        <w:t xml:space="preserve">Como indicamos en nuestra comunicación ITCO 201577005384-1 de noviembre 30 de 2015, con la reconfiguración de la línea </w:t>
      </w:r>
      <w:proofErr w:type="spellStart"/>
      <w:r w:rsidRPr="00BB63BD">
        <w:rPr>
          <w:rFonts w:ascii="Bookman Old Style" w:hAnsi="Bookman Old Style"/>
          <w:sz w:val="22"/>
          <w:szCs w:val="22"/>
        </w:rPr>
        <w:t>Guavio</w:t>
      </w:r>
      <w:proofErr w:type="spellEnd"/>
      <w:r w:rsidRPr="00BB63BD">
        <w:rPr>
          <w:rFonts w:ascii="Bookman Old Style" w:hAnsi="Bookman Old Style"/>
          <w:sz w:val="22"/>
          <w:szCs w:val="22"/>
        </w:rPr>
        <w:t xml:space="preserve"> </w:t>
      </w:r>
      <w:r w:rsidR="007A5A98" w:rsidRPr="00BB63BD">
        <w:rPr>
          <w:rFonts w:ascii="Bookman Old Style" w:hAnsi="Bookman Old Style"/>
          <w:sz w:val="22"/>
          <w:szCs w:val="22"/>
        </w:rPr>
        <w:t>-</w:t>
      </w:r>
      <w:r w:rsidRPr="00BB63BD">
        <w:rPr>
          <w:rFonts w:ascii="Bookman Old Style" w:hAnsi="Bookman Old Style"/>
          <w:sz w:val="22"/>
          <w:szCs w:val="22"/>
        </w:rPr>
        <w:t xml:space="preserve"> Tunal 2 en </w:t>
      </w:r>
      <w:proofErr w:type="spellStart"/>
      <w:r w:rsidRPr="00BB63BD">
        <w:rPr>
          <w:rFonts w:ascii="Bookman Old Style" w:hAnsi="Bookman Old Style"/>
          <w:sz w:val="22"/>
          <w:szCs w:val="22"/>
        </w:rPr>
        <w:t>Guavio</w:t>
      </w:r>
      <w:proofErr w:type="spellEnd"/>
      <w:r w:rsidRPr="00BB63BD">
        <w:rPr>
          <w:rFonts w:ascii="Bookman Old Style" w:hAnsi="Bookman Old Style"/>
          <w:sz w:val="22"/>
          <w:szCs w:val="22"/>
        </w:rPr>
        <w:t xml:space="preserve"> - La Reforma2 y La Reforma - Tunal2, el número de bahías de la subestación La Reforma pasa de 5 a 7, con lo cual, automáticamente, dicha subestación pasa de ser Tipo 1 a Tipo 2, de modo tal que, de acuerdo con lo establecido en la Resolución CREG 011 de 2009, se presenta un cambio en las unidades constructivas a reconocer para el Módulo Común, el Módulo de Barraje y la Protección Diferencial de Barras de la Subestación. Hacemos notar que los cambios mencionados no obedecen al esquema de Ampliación establecido por la regulación, sino que obedecen al crecimiento natural del sistema, que implican el cambio de tipo de la subestación, al cumplirse la condición establecida por la regulación en relación con el número de bahías de la misma</w:t>
      </w:r>
      <w:r w:rsidR="007A5A98" w:rsidRPr="00BB63BD">
        <w:rPr>
          <w:rFonts w:ascii="Bookman Old Style" w:hAnsi="Bookman Old Style"/>
          <w:sz w:val="22"/>
          <w:szCs w:val="22"/>
        </w:rPr>
        <w:t>.</w:t>
      </w:r>
    </w:p>
    <w:p w14:paraId="33B5D2C7" w14:textId="77777777" w:rsidR="007A5A98" w:rsidRPr="00BB63BD" w:rsidRDefault="007A5A98" w:rsidP="007A5A98">
      <w:pPr>
        <w:pStyle w:val="Cita"/>
        <w:ind w:left="284" w:right="284"/>
        <w:jc w:val="both"/>
        <w:rPr>
          <w:rFonts w:ascii="Bookman Old Style" w:hAnsi="Bookman Old Style"/>
          <w:sz w:val="22"/>
          <w:szCs w:val="22"/>
        </w:rPr>
      </w:pPr>
      <w:r w:rsidRPr="00BB63BD">
        <w:rPr>
          <w:rFonts w:ascii="Bookman Old Style" w:hAnsi="Bookman Old Style"/>
          <w:sz w:val="22"/>
          <w:szCs w:val="22"/>
        </w:rPr>
        <w:t>Cambios de Unidad Constructiva en los tramos de</w:t>
      </w:r>
      <w:r w:rsidR="00BB63BD">
        <w:rPr>
          <w:rFonts w:ascii="Bookman Old Style" w:hAnsi="Bookman Old Style"/>
          <w:sz w:val="22"/>
          <w:szCs w:val="22"/>
        </w:rPr>
        <w:t xml:space="preserve"> </w:t>
      </w:r>
      <w:r w:rsidRPr="00BB63BD">
        <w:rPr>
          <w:rFonts w:ascii="Bookman Old Style" w:hAnsi="Bookman Old Style"/>
          <w:sz w:val="22"/>
          <w:szCs w:val="22"/>
        </w:rPr>
        <w:t>l</w:t>
      </w:r>
      <w:r w:rsidR="00BB63BD">
        <w:rPr>
          <w:rFonts w:ascii="Bookman Old Style" w:hAnsi="Bookman Old Style"/>
          <w:sz w:val="22"/>
          <w:szCs w:val="22"/>
        </w:rPr>
        <w:t>í</w:t>
      </w:r>
      <w:r w:rsidRPr="00BB63BD">
        <w:rPr>
          <w:rFonts w:ascii="Bookman Old Style" w:hAnsi="Bookman Old Style"/>
          <w:sz w:val="22"/>
          <w:szCs w:val="22"/>
        </w:rPr>
        <w:t xml:space="preserve">nea existentes </w:t>
      </w:r>
      <w:proofErr w:type="spellStart"/>
      <w:r w:rsidRPr="00BB63BD">
        <w:rPr>
          <w:rFonts w:ascii="Bookman Old Style" w:hAnsi="Bookman Old Style"/>
          <w:sz w:val="22"/>
          <w:szCs w:val="22"/>
        </w:rPr>
        <w:t>Guavio</w:t>
      </w:r>
      <w:proofErr w:type="spellEnd"/>
      <w:r w:rsidR="00BB63BD">
        <w:rPr>
          <w:rFonts w:ascii="Bookman Old Style" w:hAnsi="Bookman Old Style"/>
          <w:sz w:val="22"/>
          <w:szCs w:val="22"/>
        </w:rPr>
        <w:t xml:space="preserve"> – </w:t>
      </w:r>
      <w:r w:rsidRPr="00BB63BD">
        <w:rPr>
          <w:rFonts w:ascii="Bookman Old Style" w:hAnsi="Bookman Old Style"/>
          <w:sz w:val="22"/>
          <w:szCs w:val="22"/>
        </w:rPr>
        <w:t>La</w:t>
      </w:r>
      <w:r w:rsidR="00BB63BD">
        <w:rPr>
          <w:rFonts w:ascii="Bookman Old Style" w:hAnsi="Bookman Old Style"/>
          <w:sz w:val="22"/>
          <w:szCs w:val="22"/>
        </w:rPr>
        <w:t xml:space="preserve"> </w:t>
      </w:r>
      <w:r w:rsidRPr="00BB63BD">
        <w:rPr>
          <w:rFonts w:ascii="Bookman Old Style" w:hAnsi="Bookman Old Style"/>
          <w:sz w:val="22"/>
          <w:szCs w:val="22"/>
        </w:rPr>
        <w:t>Reforma</w:t>
      </w:r>
      <w:r w:rsidR="00BB63BD">
        <w:rPr>
          <w:rFonts w:ascii="Bookman Old Style" w:hAnsi="Bookman Old Style"/>
          <w:sz w:val="22"/>
          <w:szCs w:val="22"/>
        </w:rPr>
        <w:t xml:space="preserve"> 1</w:t>
      </w:r>
      <w:r w:rsidRPr="00BB63BD">
        <w:rPr>
          <w:rFonts w:ascii="Bookman Old Style" w:hAnsi="Bookman Old Style"/>
          <w:sz w:val="22"/>
          <w:szCs w:val="22"/>
        </w:rPr>
        <w:t xml:space="preserve"> y La </w:t>
      </w:r>
      <w:proofErr w:type="spellStart"/>
      <w:r w:rsidRPr="00BB63BD">
        <w:rPr>
          <w:rFonts w:ascii="Bookman Old Style" w:hAnsi="Bookman Old Style"/>
          <w:sz w:val="22"/>
          <w:szCs w:val="22"/>
        </w:rPr>
        <w:t>Re</w:t>
      </w:r>
      <w:r w:rsidR="00BB63BD">
        <w:rPr>
          <w:rFonts w:ascii="Bookman Old Style" w:hAnsi="Bookman Old Style"/>
          <w:sz w:val="22"/>
          <w:szCs w:val="22"/>
        </w:rPr>
        <w:t>f</w:t>
      </w:r>
      <w:r w:rsidRPr="00BB63BD">
        <w:rPr>
          <w:rFonts w:ascii="Bookman Old Style" w:hAnsi="Bookman Old Style"/>
          <w:sz w:val="22"/>
          <w:szCs w:val="22"/>
        </w:rPr>
        <w:t>oma</w:t>
      </w:r>
      <w:proofErr w:type="spellEnd"/>
      <w:r w:rsidRPr="00BB63BD">
        <w:rPr>
          <w:rFonts w:ascii="Bookman Old Style" w:hAnsi="Bookman Old Style"/>
          <w:sz w:val="22"/>
          <w:szCs w:val="22"/>
        </w:rPr>
        <w:t xml:space="preserve"> - Tunal 1</w:t>
      </w:r>
      <w:r w:rsidR="00BB63BD">
        <w:rPr>
          <w:rFonts w:ascii="Bookman Old Style" w:hAnsi="Bookman Old Style"/>
          <w:sz w:val="22"/>
          <w:szCs w:val="22"/>
        </w:rPr>
        <w:t>,</w:t>
      </w:r>
      <w:r w:rsidRPr="00BB63BD">
        <w:rPr>
          <w:rFonts w:ascii="Bookman Old Style" w:hAnsi="Bookman Old Style"/>
          <w:sz w:val="22"/>
          <w:szCs w:val="22"/>
        </w:rPr>
        <w:t xml:space="preserve"> que permiten la entrada de la l</w:t>
      </w:r>
      <w:r w:rsidR="00BB63BD">
        <w:rPr>
          <w:rFonts w:ascii="Bookman Old Style" w:hAnsi="Bookman Old Style"/>
          <w:sz w:val="22"/>
          <w:szCs w:val="22"/>
        </w:rPr>
        <w:t>í</w:t>
      </w:r>
      <w:r w:rsidRPr="00BB63BD">
        <w:rPr>
          <w:rFonts w:ascii="Bookman Old Style" w:hAnsi="Bookman Old Style"/>
          <w:sz w:val="22"/>
          <w:szCs w:val="22"/>
        </w:rPr>
        <w:t xml:space="preserve">nea </w:t>
      </w:r>
      <w:proofErr w:type="spellStart"/>
      <w:r w:rsidRPr="00BB63BD">
        <w:rPr>
          <w:rFonts w:ascii="Bookman Old Style" w:hAnsi="Bookman Old Style"/>
          <w:sz w:val="22"/>
          <w:szCs w:val="22"/>
        </w:rPr>
        <w:t>Guavio</w:t>
      </w:r>
      <w:proofErr w:type="spellEnd"/>
      <w:r w:rsidRPr="00BB63BD">
        <w:rPr>
          <w:rFonts w:ascii="Bookman Old Style" w:hAnsi="Bookman Old Style"/>
          <w:sz w:val="22"/>
          <w:szCs w:val="22"/>
        </w:rPr>
        <w:t xml:space="preserve"> -Tunal 1 230 </w:t>
      </w:r>
      <w:proofErr w:type="spellStart"/>
      <w:r w:rsidRPr="00BB63BD">
        <w:rPr>
          <w:rFonts w:ascii="Bookman Old Style" w:hAnsi="Bookman Old Style"/>
          <w:sz w:val="22"/>
          <w:szCs w:val="22"/>
        </w:rPr>
        <w:t>k</w:t>
      </w:r>
      <w:r w:rsidR="00BB63BD">
        <w:rPr>
          <w:rFonts w:ascii="Bookman Old Style" w:hAnsi="Bookman Old Style"/>
          <w:sz w:val="22"/>
          <w:szCs w:val="22"/>
        </w:rPr>
        <w:t>V</w:t>
      </w:r>
      <w:proofErr w:type="spellEnd"/>
      <w:r w:rsidRPr="00BB63BD">
        <w:rPr>
          <w:rFonts w:ascii="Bookman Old Style" w:hAnsi="Bookman Old Style"/>
          <w:sz w:val="22"/>
          <w:szCs w:val="22"/>
        </w:rPr>
        <w:t xml:space="preserve"> a la </w:t>
      </w:r>
      <w:r w:rsidR="00AD6041">
        <w:rPr>
          <w:rFonts w:ascii="Bookman Old Style" w:hAnsi="Bookman Old Style"/>
          <w:sz w:val="22"/>
          <w:szCs w:val="22"/>
        </w:rPr>
        <w:t>S</w:t>
      </w:r>
      <w:r w:rsidRPr="00BB63BD">
        <w:rPr>
          <w:rFonts w:ascii="Bookman Old Style" w:hAnsi="Bookman Old Style"/>
          <w:sz w:val="22"/>
          <w:szCs w:val="22"/>
        </w:rPr>
        <w:t>ubestación La Reforma:</w:t>
      </w:r>
    </w:p>
    <w:p w14:paraId="6163FDC6" w14:textId="77777777" w:rsidR="007A5A98" w:rsidRDefault="007A5A98" w:rsidP="00AD6041">
      <w:pPr>
        <w:pStyle w:val="Cita"/>
        <w:numPr>
          <w:ilvl w:val="0"/>
          <w:numId w:val="21"/>
        </w:numPr>
        <w:ind w:left="709" w:right="284" w:hanging="425"/>
        <w:jc w:val="both"/>
        <w:rPr>
          <w:rFonts w:ascii="Bookman Old Style" w:hAnsi="Bookman Old Style"/>
          <w:sz w:val="22"/>
          <w:szCs w:val="22"/>
        </w:rPr>
      </w:pPr>
      <w:r w:rsidRPr="00BB63BD">
        <w:rPr>
          <w:rFonts w:ascii="Bookman Old Style" w:hAnsi="Bookman Old Style"/>
          <w:sz w:val="22"/>
          <w:szCs w:val="22"/>
        </w:rPr>
        <w:t xml:space="preserve">En </w:t>
      </w:r>
      <w:r w:rsidR="00BB63BD">
        <w:rPr>
          <w:rFonts w:ascii="Bookman Old Style" w:hAnsi="Bookman Old Style"/>
          <w:sz w:val="22"/>
          <w:szCs w:val="22"/>
        </w:rPr>
        <w:t>l</w:t>
      </w:r>
      <w:r w:rsidRPr="00BB63BD">
        <w:rPr>
          <w:rFonts w:ascii="Bookman Old Style" w:hAnsi="Bookman Old Style"/>
          <w:sz w:val="22"/>
          <w:szCs w:val="22"/>
        </w:rPr>
        <w:t>a convocatoria UPME</w:t>
      </w:r>
      <w:r w:rsidR="00AD6041">
        <w:rPr>
          <w:rFonts w:ascii="Bookman Old Style" w:hAnsi="Bookman Old Style"/>
          <w:sz w:val="22"/>
          <w:szCs w:val="22"/>
        </w:rPr>
        <w:t>-</w:t>
      </w:r>
      <w:r w:rsidRPr="00BB63BD">
        <w:rPr>
          <w:rFonts w:ascii="Bookman Old Style" w:hAnsi="Bookman Old Style"/>
          <w:sz w:val="22"/>
          <w:szCs w:val="22"/>
        </w:rPr>
        <w:t>02</w:t>
      </w:r>
      <w:r w:rsidR="00AD6041">
        <w:rPr>
          <w:rFonts w:ascii="Bookman Old Style" w:hAnsi="Bookman Old Style"/>
          <w:sz w:val="22"/>
          <w:szCs w:val="22"/>
        </w:rPr>
        <w:t>-</w:t>
      </w:r>
      <w:r w:rsidRPr="00BB63BD">
        <w:rPr>
          <w:rFonts w:ascii="Bookman Old Style" w:hAnsi="Bookman Old Style"/>
          <w:sz w:val="22"/>
          <w:szCs w:val="22"/>
        </w:rPr>
        <w:t xml:space="preserve">2014, Anexo 1, Numeral 4, se presentan las especificaciones técnicas para el seccionamiento de la </w:t>
      </w:r>
      <w:r w:rsidR="00BB63BD" w:rsidRPr="00BB63BD">
        <w:rPr>
          <w:rFonts w:ascii="Bookman Old Style" w:hAnsi="Bookman Old Style"/>
          <w:sz w:val="22"/>
          <w:szCs w:val="22"/>
        </w:rPr>
        <w:t>línea</w:t>
      </w:r>
      <w:r w:rsidRPr="00BB63BD">
        <w:rPr>
          <w:rFonts w:ascii="Bookman Old Style" w:hAnsi="Bookman Old Style"/>
          <w:sz w:val="22"/>
          <w:szCs w:val="22"/>
        </w:rPr>
        <w:t xml:space="preserve"> </w:t>
      </w:r>
      <w:proofErr w:type="spellStart"/>
      <w:r w:rsidRPr="00BB63BD">
        <w:rPr>
          <w:rFonts w:ascii="Bookman Old Style" w:hAnsi="Bookman Old Style"/>
          <w:sz w:val="22"/>
          <w:szCs w:val="22"/>
        </w:rPr>
        <w:t>Guavio</w:t>
      </w:r>
      <w:proofErr w:type="spellEnd"/>
      <w:r w:rsidR="00BB63BD">
        <w:rPr>
          <w:rFonts w:ascii="Bookman Old Style" w:hAnsi="Bookman Old Style"/>
          <w:sz w:val="22"/>
          <w:szCs w:val="22"/>
        </w:rPr>
        <w:t xml:space="preserve"> –</w:t>
      </w:r>
      <w:r w:rsidRPr="00BB63BD">
        <w:rPr>
          <w:rFonts w:ascii="Bookman Old Style" w:hAnsi="Bookman Old Style"/>
          <w:sz w:val="22"/>
          <w:szCs w:val="22"/>
        </w:rPr>
        <w:t>Tunal</w:t>
      </w:r>
      <w:r w:rsidR="00BB63BD">
        <w:rPr>
          <w:rFonts w:ascii="Bookman Old Style" w:hAnsi="Bookman Old Style"/>
          <w:sz w:val="22"/>
          <w:szCs w:val="22"/>
        </w:rPr>
        <w:t xml:space="preserve"> </w:t>
      </w:r>
      <w:r w:rsidRPr="00BB63BD">
        <w:rPr>
          <w:rFonts w:ascii="Bookman Old Style" w:hAnsi="Bookman Old Style"/>
          <w:sz w:val="22"/>
          <w:szCs w:val="22"/>
        </w:rPr>
        <w:t>2</w:t>
      </w:r>
      <w:r w:rsidR="00BB63BD">
        <w:rPr>
          <w:rFonts w:ascii="Bookman Old Style" w:hAnsi="Bookman Old Style"/>
          <w:sz w:val="22"/>
          <w:szCs w:val="22"/>
        </w:rPr>
        <w:t xml:space="preserve"> (</w:t>
      </w:r>
      <w:r w:rsidRPr="00BB63BD">
        <w:rPr>
          <w:rFonts w:ascii="Bookman Old Style" w:hAnsi="Bookman Old Style"/>
          <w:sz w:val="22"/>
          <w:szCs w:val="22"/>
        </w:rPr>
        <w:t>2</w:t>
      </w:r>
      <w:r w:rsidR="00BB63BD">
        <w:rPr>
          <w:rFonts w:ascii="Bookman Old Style" w:hAnsi="Bookman Old Style"/>
          <w:sz w:val="22"/>
          <w:szCs w:val="22"/>
        </w:rPr>
        <w:t> </w:t>
      </w:r>
      <w:proofErr w:type="spellStart"/>
      <w:r w:rsidRPr="00BB63BD">
        <w:rPr>
          <w:rFonts w:ascii="Bookman Old Style" w:hAnsi="Bookman Old Style"/>
          <w:sz w:val="22"/>
          <w:szCs w:val="22"/>
        </w:rPr>
        <w:t>subconductores</w:t>
      </w:r>
      <w:proofErr w:type="spellEnd"/>
      <w:r w:rsidRPr="00BB63BD">
        <w:rPr>
          <w:rFonts w:ascii="Bookman Old Style" w:hAnsi="Bookman Old Style"/>
          <w:sz w:val="22"/>
          <w:szCs w:val="22"/>
        </w:rPr>
        <w:t xml:space="preserve"> por haz</w:t>
      </w:r>
      <w:r w:rsidR="00BB63BD">
        <w:rPr>
          <w:rFonts w:ascii="Bookman Old Style" w:hAnsi="Bookman Old Style"/>
          <w:sz w:val="22"/>
          <w:szCs w:val="22"/>
        </w:rPr>
        <w:t>)</w:t>
      </w:r>
      <w:r w:rsidRPr="00BB63BD">
        <w:rPr>
          <w:rFonts w:ascii="Bookman Old Style" w:hAnsi="Bookman Old Style"/>
          <w:sz w:val="22"/>
          <w:szCs w:val="22"/>
        </w:rPr>
        <w:t xml:space="preserve"> en la subestación La Reforma</w:t>
      </w:r>
      <w:r w:rsidR="00BB63BD">
        <w:rPr>
          <w:rFonts w:ascii="Bookman Old Style" w:hAnsi="Bookman Old Style"/>
          <w:sz w:val="22"/>
          <w:szCs w:val="22"/>
        </w:rPr>
        <w:t xml:space="preserve"> </w:t>
      </w:r>
      <w:r w:rsidRPr="00BB63BD">
        <w:rPr>
          <w:rFonts w:ascii="Bookman Old Style" w:hAnsi="Bookman Old Style"/>
          <w:sz w:val="22"/>
          <w:szCs w:val="22"/>
        </w:rPr>
        <w:t>230</w:t>
      </w:r>
      <w:r w:rsidR="00BB63BD">
        <w:rPr>
          <w:rFonts w:ascii="Bookman Old Style" w:hAnsi="Bookman Old Style"/>
          <w:sz w:val="22"/>
          <w:szCs w:val="22"/>
        </w:rPr>
        <w:t xml:space="preserve"> </w:t>
      </w:r>
      <w:proofErr w:type="spellStart"/>
      <w:r w:rsidR="00BB63BD">
        <w:rPr>
          <w:rFonts w:ascii="Bookman Old Style" w:hAnsi="Bookman Old Style"/>
          <w:sz w:val="22"/>
          <w:szCs w:val="22"/>
        </w:rPr>
        <w:t>kV</w:t>
      </w:r>
      <w:proofErr w:type="spellEnd"/>
      <w:r w:rsidR="00BB63BD">
        <w:rPr>
          <w:rFonts w:ascii="Bookman Old Style" w:hAnsi="Bookman Old Style"/>
          <w:sz w:val="22"/>
          <w:szCs w:val="22"/>
        </w:rPr>
        <w:t xml:space="preserve">, </w:t>
      </w:r>
      <w:r w:rsidRPr="00BB63BD">
        <w:rPr>
          <w:rFonts w:ascii="Bookman Old Style" w:hAnsi="Bookman Old Style"/>
          <w:sz w:val="22"/>
          <w:szCs w:val="22"/>
        </w:rPr>
        <w:t>que</w:t>
      </w:r>
      <w:r w:rsidR="00BB63BD">
        <w:rPr>
          <w:rFonts w:ascii="Bookman Old Style" w:hAnsi="Bookman Old Style"/>
          <w:sz w:val="22"/>
          <w:szCs w:val="22"/>
        </w:rPr>
        <w:t xml:space="preserve"> </w:t>
      </w:r>
      <w:r w:rsidRPr="00BB63BD">
        <w:rPr>
          <w:rFonts w:ascii="Bookman Old Style" w:hAnsi="Bookman Old Style"/>
          <w:sz w:val="22"/>
          <w:szCs w:val="22"/>
        </w:rPr>
        <w:t>dar</w:t>
      </w:r>
      <w:r w:rsidR="00BB63BD">
        <w:rPr>
          <w:rFonts w:ascii="Bookman Old Style" w:hAnsi="Bookman Old Style"/>
          <w:sz w:val="22"/>
          <w:szCs w:val="22"/>
        </w:rPr>
        <w:t>í</w:t>
      </w:r>
      <w:r w:rsidRPr="00BB63BD">
        <w:rPr>
          <w:rFonts w:ascii="Bookman Old Style" w:hAnsi="Bookman Old Style"/>
          <w:sz w:val="22"/>
          <w:szCs w:val="22"/>
        </w:rPr>
        <w:t>a lugar</w:t>
      </w:r>
      <w:r w:rsidR="00BB63BD">
        <w:rPr>
          <w:rFonts w:ascii="Bookman Old Style" w:hAnsi="Bookman Old Style"/>
          <w:sz w:val="22"/>
          <w:szCs w:val="22"/>
        </w:rPr>
        <w:t xml:space="preserve"> </w:t>
      </w:r>
      <w:r w:rsidRPr="00BB63BD">
        <w:rPr>
          <w:rFonts w:ascii="Bookman Old Style" w:hAnsi="Bookman Old Style"/>
          <w:sz w:val="22"/>
          <w:szCs w:val="22"/>
        </w:rPr>
        <w:t>a</w:t>
      </w:r>
      <w:r w:rsidR="00BB63BD">
        <w:rPr>
          <w:rFonts w:ascii="Bookman Old Style" w:hAnsi="Bookman Old Style"/>
          <w:sz w:val="22"/>
          <w:szCs w:val="22"/>
        </w:rPr>
        <w:t xml:space="preserve"> </w:t>
      </w:r>
      <w:r w:rsidRPr="00BB63BD">
        <w:rPr>
          <w:rFonts w:ascii="Bookman Old Style" w:hAnsi="Bookman Old Style"/>
          <w:sz w:val="22"/>
          <w:szCs w:val="22"/>
        </w:rPr>
        <w:t xml:space="preserve">los nuevos circuitos </w:t>
      </w:r>
      <w:proofErr w:type="spellStart"/>
      <w:r w:rsidRPr="00BB63BD">
        <w:rPr>
          <w:rFonts w:ascii="Bookman Old Style" w:hAnsi="Bookman Old Style"/>
          <w:sz w:val="22"/>
          <w:szCs w:val="22"/>
        </w:rPr>
        <w:t>Guavio</w:t>
      </w:r>
      <w:proofErr w:type="spellEnd"/>
      <w:r w:rsidR="00AD6041">
        <w:rPr>
          <w:rFonts w:ascii="Bookman Old Style" w:hAnsi="Bookman Old Style"/>
          <w:sz w:val="22"/>
          <w:szCs w:val="22"/>
        </w:rPr>
        <w:t xml:space="preserve"> - </w:t>
      </w:r>
      <w:r w:rsidRPr="00BB63BD">
        <w:rPr>
          <w:rFonts w:ascii="Bookman Old Style" w:hAnsi="Bookman Old Style"/>
          <w:sz w:val="22"/>
          <w:szCs w:val="22"/>
        </w:rPr>
        <w:t>La</w:t>
      </w:r>
      <w:r w:rsidR="00AD6041">
        <w:rPr>
          <w:rFonts w:ascii="Bookman Old Style" w:hAnsi="Bookman Old Style"/>
          <w:sz w:val="22"/>
          <w:szCs w:val="22"/>
        </w:rPr>
        <w:t xml:space="preserve"> </w:t>
      </w:r>
      <w:r w:rsidRPr="00BB63BD">
        <w:rPr>
          <w:rFonts w:ascii="Bookman Old Style" w:hAnsi="Bookman Old Style"/>
          <w:sz w:val="22"/>
          <w:szCs w:val="22"/>
        </w:rPr>
        <w:t>Reforma</w:t>
      </w:r>
      <w:r w:rsidR="00AD6041">
        <w:rPr>
          <w:rFonts w:ascii="Bookman Old Style" w:hAnsi="Bookman Old Style"/>
          <w:sz w:val="22"/>
          <w:szCs w:val="22"/>
        </w:rPr>
        <w:t xml:space="preserve"> </w:t>
      </w:r>
      <w:r w:rsidRPr="00BB63BD">
        <w:rPr>
          <w:rFonts w:ascii="Bookman Old Style" w:hAnsi="Bookman Old Style"/>
          <w:sz w:val="22"/>
          <w:szCs w:val="22"/>
        </w:rPr>
        <w:t>2 y</w:t>
      </w:r>
      <w:r w:rsidR="00AD6041">
        <w:rPr>
          <w:rFonts w:ascii="Bookman Old Style" w:hAnsi="Bookman Old Style"/>
          <w:sz w:val="22"/>
          <w:szCs w:val="22"/>
        </w:rPr>
        <w:t xml:space="preserve"> </w:t>
      </w:r>
      <w:r w:rsidRPr="00BB63BD">
        <w:rPr>
          <w:rFonts w:ascii="Bookman Old Style" w:hAnsi="Bookman Old Style"/>
          <w:sz w:val="22"/>
          <w:szCs w:val="22"/>
        </w:rPr>
        <w:t>La Reforma</w:t>
      </w:r>
      <w:r w:rsidR="00AD6041">
        <w:rPr>
          <w:rFonts w:ascii="Bookman Old Style" w:hAnsi="Bookman Old Style"/>
          <w:sz w:val="22"/>
          <w:szCs w:val="22"/>
        </w:rPr>
        <w:t xml:space="preserve"> </w:t>
      </w:r>
      <w:r w:rsidRPr="00BB63BD">
        <w:rPr>
          <w:rFonts w:ascii="Bookman Old Style" w:hAnsi="Bookman Old Style"/>
          <w:sz w:val="22"/>
          <w:szCs w:val="22"/>
        </w:rPr>
        <w:t>-</w:t>
      </w:r>
      <w:r w:rsidR="00AD6041">
        <w:rPr>
          <w:rFonts w:ascii="Bookman Old Style" w:hAnsi="Bookman Old Style"/>
          <w:sz w:val="22"/>
          <w:szCs w:val="22"/>
        </w:rPr>
        <w:t xml:space="preserve"> </w:t>
      </w:r>
      <w:r w:rsidRPr="00BB63BD">
        <w:rPr>
          <w:rFonts w:ascii="Bookman Old Style" w:hAnsi="Bookman Old Style"/>
          <w:sz w:val="22"/>
          <w:szCs w:val="22"/>
        </w:rPr>
        <w:t xml:space="preserve">Tunal 2, indicando que los nuevos tramos </w:t>
      </w:r>
      <w:r w:rsidR="00AD6041">
        <w:rPr>
          <w:rFonts w:ascii="Bookman Old Style" w:hAnsi="Bookman Old Style"/>
          <w:sz w:val="22"/>
          <w:szCs w:val="22"/>
        </w:rPr>
        <w:t xml:space="preserve">tendrían </w:t>
      </w:r>
      <w:r w:rsidRPr="00BB63BD">
        <w:rPr>
          <w:rFonts w:ascii="Bookman Old Style" w:hAnsi="Bookman Old Style"/>
          <w:sz w:val="22"/>
          <w:szCs w:val="22"/>
        </w:rPr>
        <w:t>2</w:t>
      </w:r>
      <w:r w:rsidR="00AD6041">
        <w:rPr>
          <w:rFonts w:ascii="Bookman Old Style" w:hAnsi="Bookman Old Style"/>
          <w:sz w:val="22"/>
          <w:szCs w:val="22"/>
        </w:rPr>
        <w:t xml:space="preserve"> </w:t>
      </w:r>
      <w:proofErr w:type="spellStart"/>
      <w:r w:rsidRPr="00BB63BD">
        <w:rPr>
          <w:rFonts w:ascii="Bookman Old Style" w:hAnsi="Bookman Old Style"/>
          <w:sz w:val="22"/>
          <w:szCs w:val="22"/>
        </w:rPr>
        <w:t>subconductores</w:t>
      </w:r>
      <w:proofErr w:type="spellEnd"/>
      <w:r w:rsidRPr="00BB63BD">
        <w:rPr>
          <w:rFonts w:ascii="Bookman Old Style" w:hAnsi="Bookman Old Style"/>
          <w:sz w:val="22"/>
          <w:szCs w:val="22"/>
        </w:rPr>
        <w:t xml:space="preserve"> por fase </w:t>
      </w:r>
      <w:r w:rsidR="00AD6041">
        <w:rPr>
          <w:rFonts w:ascii="Bookman Old Style" w:hAnsi="Bookman Old Style"/>
          <w:sz w:val="22"/>
          <w:szCs w:val="22"/>
        </w:rPr>
        <w:t>(</w:t>
      </w:r>
      <w:r w:rsidRPr="00BB63BD">
        <w:rPr>
          <w:rFonts w:ascii="Bookman Old Style" w:hAnsi="Bookman Old Style"/>
          <w:sz w:val="22"/>
          <w:szCs w:val="22"/>
        </w:rPr>
        <w:t>numeral</w:t>
      </w:r>
      <w:r w:rsidR="00AD6041">
        <w:rPr>
          <w:rFonts w:ascii="Bookman Old Style" w:hAnsi="Bookman Old Style"/>
          <w:sz w:val="22"/>
          <w:szCs w:val="22"/>
        </w:rPr>
        <w:t xml:space="preserve"> </w:t>
      </w:r>
      <w:r w:rsidRPr="00BB63BD">
        <w:rPr>
          <w:rFonts w:ascii="Bookman Old Style" w:hAnsi="Bookman Old Style"/>
          <w:sz w:val="22"/>
          <w:szCs w:val="22"/>
        </w:rPr>
        <w:t>4</w:t>
      </w:r>
      <w:r w:rsidR="00AD6041">
        <w:rPr>
          <w:rFonts w:ascii="Bookman Old Style" w:hAnsi="Bookman Old Style"/>
          <w:sz w:val="22"/>
          <w:szCs w:val="22"/>
        </w:rPr>
        <w:t>.</w:t>
      </w:r>
      <w:r w:rsidRPr="00BB63BD">
        <w:rPr>
          <w:rFonts w:ascii="Bookman Old Style" w:hAnsi="Bookman Old Style"/>
          <w:sz w:val="22"/>
          <w:szCs w:val="22"/>
        </w:rPr>
        <w:t>4</w:t>
      </w:r>
      <w:r w:rsidR="00AD6041">
        <w:rPr>
          <w:rFonts w:ascii="Bookman Old Style" w:hAnsi="Bookman Old Style"/>
          <w:sz w:val="22"/>
          <w:szCs w:val="22"/>
        </w:rPr>
        <w:t>.</w:t>
      </w:r>
      <w:r w:rsidRPr="00BB63BD">
        <w:rPr>
          <w:rFonts w:ascii="Bookman Old Style" w:hAnsi="Bookman Old Style"/>
          <w:sz w:val="22"/>
          <w:szCs w:val="22"/>
        </w:rPr>
        <w:t>2</w:t>
      </w:r>
      <w:r w:rsidR="00AD6041">
        <w:rPr>
          <w:rFonts w:ascii="Bookman Old Style" w:hAnsi="Bookman Old Style"/>
          <w:sz w:val="22"/>
          <w:szCs w:val="22"/>
        </w:rPr>
        <w:t>)</w:t>
      </w:r>
      <w:r w:rsidRPr="00BB63BD">
        <w:rPr>
          <w:rFonts w:ascii="Bookman Old Style" w:hAnsi="Bookman Old Style"/>
          <w:sz w:val="22"/>
          <w:szCs w:val="22"/>
        </w:rPr>
        <w:t>,</w:t>
      </w:r>
      <w:r w:rsidR="00AD6041">
        <w:rPr>
          <w:rFonts w:ascii="Bookman Old Style" w:hAnsi="Bookman Old Style"/>
          <w:sz w:val="22"/>
          <w:szCs w:val="22"/>
        </w:rPr>
        <w:t xml:space="preserve"> </w:t>
      </w:r>
      <w:r w:rsidRPr="00BB63BD">
        <w:rPr>
          <w:rFonts w:ascii="Bookman Old Style" w:hAnsi="Bookman Old Style"/>
          <w:sz w:val="22"/>
          <w:szCs w:val="22"/>
        </w:rPr>
        <w:t>similar</w:t>
      </w:r>
      <w:r w:rsidR="00AD6041">
        <w:rPr>
          <w:rFonts w:ascii="Bookman Old Style" w:hAnsi="Bookman Old Style"/>
          <w:sz w:val="22"/>
          <w:szCs w:val="22"/>
        </w:rPr>
        <w:t xml:space="preserve"> </w:t>
      </w:r>
      <w:r w:rsidRPr="00BB63BD">
        <w:rPr>
          <w:rFonts w:ascii="Bookman Old Style" w:hAnsi="Bookman Old Style"/>
          <w:sz w:val="22"/>
          <w:szCs w:val="22"/>
        </w:rPr>
        <w:t>a</w:t>
      </w:r>
      <w:r w:rsidR="00AD6041">
        <w:rPr>
          <w:rFonts w:ascii="Bookman Old Style" w:hAnsi="Bookman Old Style"/>
          <w:sz w:val="22"/>
          <w:szCs w:val="22"/>
        </w:rPr>
        <w:t xml:space="preserve"> </w:t>
      </w:r>
      <w:r w:rsidRPr="00BB63BD">
        <w:rPr>
          <w:rFonts w:ascii="Bookman Old Style" w:hAnsi="Bookman Old Style"/>
          <w:sz w:val="22"/>
          <w:szCs w:val="22"/>
        </w:rPr>
        <w:t>la l</w:t>
      </w:r>
      <w:r w:rsidR="00AD6041">
        <w:rPr>
          <w:rFonts w:ascii="Bookman Old Style" w:hAnsi="Bookman Old Style"/>
          <w:sz w:val="22"/>
          <w:szCs w:val="22"/>
        </w:rPr>
        <w:t>í</w:t>
      </w:r>
      <w:r w:rsidRPr="00BB63BD">
        <w:rPr>
          <w:rFonts w:ascii="Bookman Old Style" w:hAnsi="Bookman Old Style"/>
          <w:sz w:val="22"/>
          <w:szCs w:val="22"/>
        </w:rPr>
        <w:t>nea existente que se iba</w:t>
      </w:r>
      <w:r w:rsidR="00AD6041">
        <w:rPr>
          <w:rFonts w:ascii="Bookman Old Style" w:hAnsi="Bookman Old Style"/>
          <w:sz w:val="22"/>
          <w:szCs w:val="22"/>
        </w:rPr>
        <w:t xml:space="preserve"> </w:t>
      </w:r>
      <w:r w:rsidRPr="00BB63BD">
        <w:rPr>
          <w:rFonts w:ascii="Bookman Old Style" w:hAnsi="Bookman Old Style"/>
          <w:sz w:val="22"/>
          <w:szCs w:val="22"/>
        </w:rPr>
        <w:t>a</w:t>
      </w:r>
      <w:r w:rsidR="00AD6041">
        <w:rPr>
          <w:rFonts w:ascii="Bookman Old Style" w:hAnsi="Bookman Old Style"/>
          <w:sz w:val="22"/>
          <w:szCs w:val="22"/>
        </w:rPr>
        <w:t xml:space="preserve"> </w:t>
      </w:r>
      <w:r w:rsidRPr="00BB63BD">
        <w:rPr>
          <w:rFonts w:ascii="Bookman Old Style" w:hAnsi="Bookman Old Style"/>
          <w:sz w:val="22"/>
          <w:szCs w:val="22"/>
        </w:rPr>
        <w:t>seccionar.</w:t>
      </w:r>
    </w:p>
    <w:p w14:paraId="540B7AD5" w14:textId="5188CBC1" w:rsidR="007A5A98" w:rsidRPr="00AD6041" w:rsidRDefault="007A5A98" w:rsidP="00AD6041">
      <w:pPr>
        <w:pStyle w:val="Cita"/>
        <w:numPr>
          <w:ilvl w:val="0"/>
          <w:numId w:val="21"/>
        </w:numPr>
        <w:ind w:left="709" w:right="284" w:hanging="425"/>
        <w:jc w:val="both"/>
        <w:rPr>
          <w:rFonts w:ascii="Bookman Old Style" w:hAnsi="Bookman Old Style"/>
          <w:sz w:val="22"/>
          <w:szCs w:val="22"/>
        </w:rPr>
      </w:pPr>
      <w:r w:rsidRPr="00AD6041">
        <w:rPr>
          <w:rFonts w:ascii="Bookman Old Style" w:hAnsi="Bookman Old Style"/>
          <w:sz w:val="22"/>
          <w:szCs w:val="22"/>
        </w:rPr>
        <w:t>El</w:t>
      </w:r>
      <w:r w:rsidR="00AD6041">
        <w:rPr>
          <w:rFonts w:ascii="Bookman Old Style" w:hAnsi="Bookman Old Style"/>
          <w:sz w:val="22"/>
          <w:szCs w:val="22"/>
        </w:rPr>
        <w:t xml:space="preserve"> </w:t>
      </w:r>
      <w:r w:rsidRPr="00AD6041">
        <w:rPr>
          <w:rFonts w:ascii="Bookman Old Style" w:hAnsi="Bookman Old Style"/>
          <w:sz w:val="22"/>
          <w:szCs w:val="22"/>
        </w:rPr>
        <w:t>21 de mayo de 2015,</w:t>
      </w:r>
      <w:r w:rsidR="00AD6041">
        <w:rPr>
          <w:rFonts w:ascii="Bookman Old Style" w:hAnsi="Bookman Old Style"/>
          <w:sz w:val="22"/>
          <w:szCs w:val="22"/>
        </w:rPr>
        <w:t xml:space="preserve"> </w:t>
      </w:r>
      <w:r w:rsidRPr="00AD6041">
        <w:rPr>
          <w:rFonts w:ascii="Bookman Old Style" w:hAnsi="Bookman Old Style"/>
          <w:sz w:val="22"/>
          <w:szCs w:val="22"/>
        </w:rPr>
        <w:t>INTERC</w:t>
      </w:r>
      <w:r w:rsidR="00AD6041">
        <w:rPr>
          <w:rFonts w:ascii="Bookman Old Style" w:hAnsi="Bookman Old Style"/>
          <w:sz w:val="22"/>
          <w:szCs w:val="22"/>
        </w:rPr>
        <w:t>OLO</w:t>
      </w:r>
      <w:r w:rsidRPr="00AD6041">
        <w:rPr>
          <w:rFonts w:ascii="Bookman Old Style" w:hAnsi="Bookman Old Style"/>
          <w:sz w:val="22"/>
          <w:szCs w:val="22"/>
        </w:rPr>
        <w:t>MBIA puso en operación una ba</w:t>
      </w:r>
      <w:r w:rsidR="00B40F3E">
        <w:rPr>
          <w:rFonts w:ascii="Bookman Old Style" w:hAnsi="Bookman Old Style"/>
          <w:sz w:val="22"/>
          <w:szCs w:val="22"/>
        </w:rPr>
        <w:t>h</w:t>
      </w:r>
      <w:r w:rsidR="00003056">
        <w:rPr>
          <w:rFonts w:ascii="Bookman Old Style" w:hAnsi="Bookman Old Style"/>
          <w:sz w:val="22"/>
          <w:szCs w:val="22"/>
        </w:rPr>
        <w:t>í</w:t>
      </w:r>
      <w:r w:rsidRPr="00AD6041">
        <w:rPr>
          <w:rFonts w:ascii="Bookman Old Style" w:hAnsi="Bookman Old Style"/>
          <w:sz w:val="22"/>
          <w:szCs w:val="22"/>
        </w:rPr>
        <w:t>a de transformador</w:t>
      </w:r>
      <w:r w:rsidR="00AD6041">
        <w:rPr>
          <w:rFonts w:ascii="Bookman Old Style" w:hAnsi="Bookman Old Style"/>
          <w:sz w:val="22"/>
          <w:szCs w:val="22"/>
        </w:rPr>
        <w:t xml:space="preserve"> </w:t>
      </w:r>
      <w:r w:rsidRPr="00AD6041">
        <w:rPr>
          <w:rFonts w:ascii="Bookman Old Style" w:hAnsi="Bookman Old Style"/>
          <w:sz w:val="22"/>
          <w:szCs w:val="22"/>
        </w:rPr>
        <w:t>y</w:t>
      </w:r>
      <w:r w:rsidR="00AD6041">
        <w:rPr>
          <w:rFonts w:ascii="Bookman Old Style" w:hAnsi="Bookman Old Style"/>
          <w:sz w:val="22"/>
          <w:szCs w:val="22"/>
        </w:rPr>
        <w:t xml:space="preserve"> </w:t>
      </w:r>
      <w:r w:rsidRPr="00AD6041">
        <w:rPr>
          <w:rFonts w:ascii="Bookman Old Style" w:hAnsi="Bookman Old Style"/>
          <w:sz w:val="22"/>
          <w:szCs w:val="22"/>
        </w:rPr>
        <w:t>el corte central, configuración interruptor y medio, necesarios para la conexión del tercer transformador 230</w:t>
      </w:r>
      <w:r w:rsidR="00AD6041">
        <w:rPr>
          <w:rFonts w:ascii="Bookman Old Style" w:hAnsi="Bookman Old Style"/>
          <w:sz w:val="22"/>
          <w:szCs w:val="22"/>
        </w:rPr>
        <w:t>/1</w:t>
      </w:r>
      <w:r w:rsidRPr="00AD6041">
        <w:rPr>
          <w:rFonts w:ascii="Bookman Old Style" w:hAnsi="Bookman Old Style"/>
          <w:sz w:val="22"/>
          <w:szCs w:val="22"/>
        </w:rPr>
        <w:t xml:space="preserve">15 </w:t>
      </w:r>
      <w:proofErr w:type="spellStart"/>
      <w:r w:rsidR="00AD6041">
        <w:rPr>
          <w:rFonts w:ascii="Bookman Old Style" w:hAnsi="Bookman Old Style"/>
          <w:sz w:val="22"/>
          <w:szCs w:val="22"/>
        </w:rPr>
        <w:t>kV</w:t>
      </w:r>
      <w:proofErr w:type="spellEnd"/>
      <w:r w:rsidRPr="00AD6041">
        <w:rPr>
          <w:rFonts w:ascii="Bookman Old Style" w:hAnsi="Bookman Old Style"/>
          <w:sz w:val="22"/>
          <w:szCs w:val="22"/>
        </w:rPr>
        <w:t>, 150 M</w:t>
      </w:r>
      <w:r w:rsidR="00AD6041">
        <w:rPr>
          <w:rFonts w:ascii="Bookman Old Style" w:hAnsi="Bookman Old Style"/>
          <w:sz w:val="22"/>
          <w:szCs w:val="22"/>
        </w:rPr>
        <w:t>V</w:t>
      </w:r>
      <w:r w:rsidRPr="00AD6041">
        <w:rPr>
          <w:rFonts w:ascii="Bookman Old Style" w:hAnsi="Bookman Old Style"/>
          <w:sz w:val="22"/>
          <w:szCs w:val="22"/>
        </w:rPr>
        <w:t>A, lo que trajo como resultado que la subestación La Reforma</w:t>
      </w:r>
      <w:r w:rsidR="00AD6041">
        <w:rPr>
          <w:rFonts w:ascii="Bookman Old Style" w:hAnsi="Bookman Old Style"/>
          <w:sz w:val="22"/>
          <w:szCs w:val="22"/>
        </w:rPr>
        <w:t xml:space="preserve"> </w:t>
      </w:r>
      <w:r w:rsidRPr="00AD6041">
        <w:rPr>
          <w:rFonts w:ascii="Bookman Old Style" w:hAnsi="Bookman Old Style"/>
          <w:sz w:val="22"/>
          <w:szCs w:val="22"/>
        </w:rPr>
        <w:t>tenga</w:t>
      </w:r>
      <w:r w:rsidR="00AD6041">
        <w:rPr>
          <w:rFonts w:ascii="Bookman Old Style" w:hAnsi="Bookman Old Style"/>
          <w:sz w:val="22"/>
          <w:szCs w:val="22"/>
        </w:rPr>
        <w:t xml:space="preserve"> </w:t>
      </w:r>
      <w:r w:rsidRPr="00AD6041">
        <w:rPr>
          <w:rFonts w:ascii="Bookman Old Style" w:hAnsi="Bookman Old Style"/>
          <w:sz w:val="22"/>
          <w:szCs w:val="22"/>
        </w:rPr>
        <w:t>tres</w:t>
      </w:r>
      <w:r w:rsidR="00AD6041">
        <w:rPr>
          <w:rFonts w:ascii="Bookman Old Style" w:hAnsi="Bookman Old Style"/>
          <w:sz w:val="22"/>
          <w:szCs w:val="22"/>
        </w:rPr>
        <w:t xml:space="preserve"> </w:t>
      </w:r>
      <w:r w:rsidRPr="00AD6041">
        <w:rPr>
          <w:rFonts w:ascii="Bookman Old Style" w:hAnsi="Bookman Old Style"/>
          <w:sz w:val="22"/>
          <w:szCs w:val="22"/>
        </w:rPr>
        <w:t>bancos</w:t>
      </w:r>
      <w:r w:rsidR="00AD6041">
        <w:rPr>
          <w:rFonts w:ascii="Bookman Old Style" w:hAnsi="Bookman Old Style"/>
          <w:sz w:val="22"/>
          <w:szCs w:val="22"/>
        </w:rPr>
        <w:t xml:space="preserve"> </w:t>
      </w:r>
      <w:r w:rsidRPr="00AD6041">
        <w:rPr>
          <w:rFonts w:ascii="Bookman Old Style" w:hAnsi="Bookman Old Style"/>
          <w:sz w:val="22"/>
          <w:szCs w:val="22"/>
        </w:rPr>
        <w:t>de transformación de 150 M</w:t>
      </w:r>
      <w:r w:rsidR="00AD6041">
        <w:rPr>
          <w:rFonts w:ascii="Bookman Old Style" w:hAnsi="Bookman Old Style"/>
          <w:sz w:val="22"/>
          <w:szCs w:val="22"/>
        </w:rPr>
        <w:t>V</w:t>
      </w:r>
      <w:r w:rsidRPr="00AD6041">
        <w:rPr>
          <w:rFonts w:ascii="Bookman Old Style" w:hAnsi="Bookman Old Style"/>
          <w:sz w:val="22"/>
          <w:szCs w:val="22"/>
        </w:rPr>
        <w:t>A</w:t>
      </w:r>
      <w:r w:rsidR="00AD6041">
        <w:rPr>
          <w:rFonts w:ascii="Bookman Old Style" w:hAnsi="Bookman Old Style"/>
          <w:sz w:val="22"/>
          <w:szCs w:val="22"/>
        </w:rPr>
        <w:t xml:space="preserve"> </w:t>
      </w:r>
      <w:r w:rsidRPr="00AD6041">
        <w:rPr>
          <w:rFonts w:ascii="Bookman Old Style" w:hAnsi="Bookman Old Style"/>
          <w:sz w:val="22"/>
          <w:szCs w:val="22"/>
        </w:rPr>
        <w:t>aumentando la importancia</w:t>
      </w:r>
      <w:r w:rsidR="00AD6041">
        <w:rPr>
          <w:rFonts w:ascii="Bookman Old Style" w:hAnsi="Bookman Old Style"/>
          <w:sz w:val="22"/>
          <w:szCs w:val="22"/>
        </w:rPr>
        <w:t xml:space="preserve"> </w:t>
      </w:r>
      <w:r w:rsidRPr="00AD6041">
        <w:rPr>
          <w:rFonts w:ascii="Bookman Old Style" w:hAnsi="Bookman Old Style"/>
          <w:sz w:val="22"/>
          <w:szCs w:val="22"/>
        </w:rPr>
        <w:t>de la subestación</w:t>
      </w:r>
      <w:r w:rsidR="00AD6041">
        <w:rPr>
          <w:rFonts w:ascii="Bookman Old Style" w:hAnsi="Bookman Old Style"/>
          <w:sz w:val="22"/>
          <w:szCs w:val="22"/>
        </w:rPr>
        <w:t xml:space="preserve"> </w:t>
      </w:r>
      <w:r w:rsidRPr="00AD6041">
        <w:rPr>
          <w:rFonts w:ascii="Bookman Old Style" w:hAnsi="Bookman Old Style"/>
          <w:sz w:val="22"/>
          <w:szCs w:val="22"/>
        </w:rPr>
        <w:t>para</w:t>
      </w:r>
      <w:r w:rsidR="00AD6041">
        <w:rPr>
          <w:rFonts w:ascii="Bookman Old Style" w:hAnsi="Bookman Old Style"/>
          <w:sz w:val="22"/>
          <w:szCs w:val="22"/>
        </w:rPr>
        <w:t xml:space="preserve"> </w:t>
      </w:r>
      <w:r w:rsidRPr="00AD6041">
        <w:rPr>
          <w:rFonts w:ascii="Bookman Old Style" w:hAnsi="Bookman Old Style"/>
          <w:sz w:val="22"/>
          <w:szCs w:val="22"/>
        </w:rPr>
        <w:t>el</w:t>
      </w:r>
      <w:r w:rsidR="00AD6041">
        <w:rPr>
          <w:rFonts w:ascii="Bookman Old Style" w:hAnsi="Bookman Old Style"/>
          <w:sz w:val="22"/>
          <w:szCs w:val="22"/>
        </w:rPr>
        <w:t xml:space="preserve"> </w:t>
      </w:r>
      <w:r w:rsidRPr="00AD6041">
        <w:rPr>
          <w:rFonts w:ascii="Bookman Old Style" w:hAnsi="Bookman Old Style"/>
          <w:sz w:val="22"/>
          <w:szCs w:val="22"/>
        </w:rPr>
        <w:t>sistema</w:t>
      </w:r>
      <w:r w:rsidR="00AD6041">
        <w:rPr>
          <w:rFonts w:ascii="Bookman Old Style" w:hAnsi="Bookman Old Style"/>
          <w:sz w:val="22"/>
          <w:szCs w:val="22"/>
        </w:rPr>
        <w:t xml:space="preserve"> </w:t>
      </w:r>
      <w:r w:rsidRPr="00AD6041">
        <w:rPr>
          <w:rFonts w:ascii="Bookman Old Style" w:hAnsi="Bookman Old Style"/>
          <w:sz w:val="22"/>
          <w:szCs w:val="22"/>
        </w:rPr>
        <w:t>y, en especial, para al departamento del Meta. Lo anterior implica que, ante ciertas contingencias en el sistema, dichos bancos podrían quedar alimentados por una sola l</w:t>
      </w:r>
      <w:r w:rsidR="00AD6041">
        <w:rPr>
          <w:rFonts w:ascii="Bookman Old Style" w:hAnsi="Bookman Old Style"/>
          <w:sz w:val="22"/>
          <w:szCs w:val="22"/>
        </w:rPr>
        <w:t>í</w:t>
      </w:r>
      <w:r w:rsidRPr="00AD6041">
        <w:rPr>
          <w:rFonts w:ascii="Bookman Old Style" w:hAnsi="Bookman Old Style"/>
          <w:sz w:val="22"/>
          <w:szCs w:val="22"/>
        </w:rPr>
        <w:t>nea de 230</w:t>
      </w:r>
      <w:r w:rsidR="00AD6041">
        <w:rPr>
          <w:rFonts w:ascii="Bookman Old Style" w:hAnsi="Bookman Old Style"/>
          <w:sz w:val="22"/>
          <w:szCs w:val="22"/>
        </w:rPr>
        <w:t xml:space="preserve"> </w:t>
      </w:r>
      <w:proofErr w:type="spellStart"/>
      <w:r w:rsidR="00AD6041">
        <w:rPr>
          <w:rFonts w:ascii="Bookman Old Style" w:hAnsi="Bookman Old Style"/>
          <w:sz w:val="22"/>
          <w:szCs w:val="22"/>
        </w:rPr>
        <w:t>kV</w:t>
      </w:r>
      <w:proofErr w:type="spellEnd"/>
      <w:r w:rsidR="00AD6041">
        <w:rPr>
          <w:rFonts w:ascii="Bookman Old Style" w:hAnsi="Bookman Old Style"/>
          <w:sz w:val="22"/>
          <w:szCs w:val="22"/>
        </w:rPr>
        <w:t xml:space="preserve"> (</w:t>
      </w:r>
      <w:r w:rsidRPr="00AD6041">
        <w:rPr>
          <w:rFonts w:ascii="Bookman Old Style" w:hAnsi="Bookman Old Style"/>
          <w:sz w:val="22"/>
          <w:szCs w:val="22"/>
        </w:rPr>
        <w:t>circuit</w:t>
      </w:r>
      <w:r w:rsidR="00AD6041">
        <w:rPr>
          <w:rFonts w:ascii="Bookman Old Style" w:hAnsi="Bookman Old Style"/>
          <w:sz w:val="22"/>
          <w:szCs w:val="22"/>
        </w:rPr>
        <w:t>o 1 –</w:t>
      </w:r>
      <w:r w:rsidRPr="00AD6041">
        <w:rPr>
          <w:rFonts w:ascii="Bookman Old Style" w:hAnsi="Bookman Old Style"/>
          <w:sz w:val="22"/>
          <w:szCs w:val="22"/>
        </w:rPr>
        <w:t xml:space="preserve"> existente</w:t>
      </w:r>
      <w:r w:rsidR="00AD6041">
        <w:rPr>
          <w:rFonts w:ascii="Bookman Old Style" w:hAnsi="Bookman Old Style"/>
          <w:sz w:val="22"/>
          <w:szCs w:val="22"/>
        </w:rPr>
        <w:t xml:space="preserve"> </w:t>
      </w:r>
      <w:r w:rsidRPr="00AD6041">
        <w:rPr>
          <w:rFonts w:ascii="Bookman Old Style" w:hAnsi="Bookman Old Style"/>
          <w:sz w:val="22"/>
          <w:szCs w:val="22"/>
        </w:rPr>
        <w:t>o</w:t>
      </w:r>
      <w:r w:rsidR="00AD6041">
        <w:rPr>
          <w:rFonts w:ascii="Bookman Old Style" w:hAnsi="Bookman Old Style"/>
          <w:sz w:val="22"/>
          <w:szCs w:val="22"/>
        </w:rPr>
        <w:t xml:space="preserve"> </w:t>
      </w:r>
      <w:r w:rsidRPr="00AD6041">
        <w:rPr>
          <w:rFonts w:ascii="Bookman Old Style" w:hAnsi="Bookman Old Style"/>
          <w:sz w:val="22"/>
          <w:szCs w:val="22"/>
        </w:rPr>
        <w:t>circuito</w:t>
      </w:r>
      <w:r w:rsidR="00AD6041">
        <w:rPr>
          <w:rFonts w:ascii="Bookman Old Style" w:hAnsi="Bookman Old Style"/>
          <w:sz w:val="22"/>
          <w:szCs w:val="22"/>
        </w:rPr>
        <w:t xml:space="preserve"> </w:t>
      </w:r>
      <w:r w:rsidRPr="00AD6041">
        <w:rPr>
          <w:rFonts w:ascii="Bookman Old Style" w:hAnsi="Bookman Old Style"/>
          <w:sz w:val="22"/>
          <w:szCs w:val="22"/>
        </w:rPr>
        <w:t>2</w:t>
      </w:r>
      <w:r w:rsidR="00AD6041">
        <w:rPr>
          <w:rFonts w:ascii="Bookman Old Style" w:hAnsi="Bookman Old Style"/>
          <w:sz w:val="22"/>
          <w:szCs w:val="22"/>
        </w:rPr>
        <w:t xml:space="preserve"> –</w:t>
      </w:r>
      <w:r w:rsidRPr="00AD6041">
        <w:rPr>
          <w:rFonts w:ascii="Bookman Old Style" w:hAnsi="Bookman Old Style"/>
          <w:sz w:val="22"/>
          <w:szCs w:val="22"/>
        </w:rPr>
        <w:t xml:space="preserve"> nuevo</w:t>
      </w:r>
      <w:r w:rsidR="00AD6041">
        <w:rPr>
          <w:rFonts w:ascii="Bookman Old Style" w:hAnsi="Bookman Old Style"/>
          <w:sz w:val="22"/>
          <w:szCs w:val="22"/>
        </w:rPr>
        <w:t>)</w:t>
      </w:r>
      <w:r w:rsidRPr="00AD6041">
        <w:rPr>
          <w:rFonts w:ascii="Bookman Old Style" w:hAnsi="Bookman Old Style"/>
          <w:sz w:val="22"/>
          <w:szCs w:val="22"/>
        </w:rPr>
        <w:t>,</w:t>
      </w:r>
      <w:r w:rsidR="003C0C61">
        <w:rPr>
          <w:rFonts w:ascii="Bookman Old Style" w:hAnsi="Bookman Old Style"/>
          <w:sz w:val="22"/>
          <w:szCs w:val="22"/>
        </w:rPr>
        <w:t xml:space="preserve"> </w:t>
      </w:r>
      <w:r w:rsidRPr="00AD6041">
        <w:rPr>
          <w:rFonts w:ascii="Bookman Old Style" w:hAnsi="Bookman Old Style"/>
          <w:sz w:val="22"/>
          <w:szCs w:val="22"/>
        </w:rPr>
        <w:t>y</w:t>
      </w:r>
      <w:r w:rsidR="003C0C61">
        <w:rPr>
          <w:rFonts w:ascii="Bookman Old Style" w:hAnsi="Bookman Old Style"/>
          <w:sz w:val="22"/>
          <w:szCs w:val="22"/>
        </w:rPr>
        <w:t xml:space="preserve"> </w:t>
      </w:r>
      <w:r w:rsidRPr="00AD6041">
        <w:rPr>
          <w:rFonts w:ascii="Bookman Old Style" w:hAnsi="Bookman Old Style"/>
          <w:sz w:val="22"/>
          <w:szCs w:val="22"/>
        </w:rPr>
        <w:t>por esta razón t</w:t>
      </w:r>
      <w:r w:rsidR="003C0C61">
        <w:rPr>
          <w:rFonts w:ascii="Bookman Old Style" w:hAnsi="Bookman Old Style"/>
          <w:sz w:val="22"/>
          <w:szCs w:val="22"/>
        </w:rPr>
        <w:t>é</w:t>
      </w:r>
      <w:r w:rsidRPr="00AD6041">
        <w:rPr>
          <w:rFonts w:ascii="Bookman Old Style" w:hAnsi="Bookman Old Style"/>
          <w:sz w:val="22"/>
          <w:szCs w:val="22"/>
        </w:rPr>
        <w:t>cnica</w:t>
      </w:r>
      <w:r w:rsidR="003C0C61">
        <w:rPr>
          <w:rFonts w:ascii="Bookman Old Style" w:hAnsi="Bookman Old Style"/>
          <w:sz w:val="22"/>
          <w:szCs w:val="22"/>
        </w:rPr>
        <w:t xml:space="preserve"> </w:t>
      </w:r>
      <w:r w:rsidRPr="00AD6041">
        <w:rPr>
          <w:rFonts w:ascii="Bookman Old Style" w:hAnsi="Bookman Old Style"/>
          <w:sz w:val="22"/>
          <w:szCs w:val="22"/>
        </w:rPr>
        <w:t>y operativa,</w:t>
      </w:r>
      <w:r w:rsidR="003C0C61">
        <w:rPr>
          <w:rFonts w:ascii="Bookman Old Style" w:hAnsi="Bookman Old Style"/>
          <w:sz w:val="22"/>
          <w:szCs w:val="22"/>
        </w:rPr>
        <w:t xml:space="preserve"> </w:t>
      </w:r>
      <w:r w:rsidRPr="00AD6041">
        <w:rPr>
          <w:rFonts w:ascii="Bookman Old Style" w:hAnsi="Bookman Old Style"/>
          <w:sz w:val="22"/>
          <w:szCs w:val="22"/>
        </w:rPr>
        <w:t>no resultaba viable dejar los tramos de la l</w:t>
      </w:r>
      <w:r w:rsidR="003C0C61">
        <w:rPr>
          <w:rFonts w:ascii="Bookman Old Style" w:hAnsi="Bookman Old Style"/>
          <w:sz w:val="22"/>
          <w:szCs w:val="22"/>
        </w:rPr>
        <w:t>í</w:t>
      </w:r>
      <w:r w:rsidRPr="00AD6041">
        <w:rPr>
          <w:rFonts w:ascii="Bookman Old Style" w:hAnsi="Bookman Old Style"/>
          <w:sz w:val="22"/>
          <w:szCs w:val="22"/>
        </w:rPr>
        <w:t xml:space="preserve">nea </w:t>
      </w:r>
      <w:proofErr w:type="spellStart"/>
      <w:r w:rsidRPr="00AD6041">
        <w:rPr>
          <w:rFonts w:ascii="Bookman Old Style" w:hAnsi="Bookman Old Style"/>
          <w:sz w:val="22"/>
          <w:szCs w:val="22"/>
        </w:rPr>
        <w:t>Guavio</w:t>
      </w:r>
      <w:proofErr w:type="spellEnd"/>
      <w:r w:rsidRPr="00AD6041">
        <w:rPr>
          <w:rFonts w:ascii="Bookman Old Style" w:hAnsi="Bookman Old Style"/>
          <w:sz w:val="22"/>
          <w:szCs w:val="22"/>
        </w:rPr>
        <w:t xml:space="preserve"> La Reforma</w:t>
      </w:r>
      <w:r w:rsidR="003C0C61">
        <w:rPr>
          <w:rFonts w:ascii="Bookman Old Style" w:hAnsi="Bookman Old Style"/>
          <w:sz w:val="22"/>
          <w:szCs w:val="22"/>
        </w:rPr>
        <w:t xml:space="preserve"> 1 </w:t>
      </w:r>
      <w:r w:rsidRPr="00AD6041">
        <w:rPr>
          <w:rFonts w:ascii="Bookman Old Style" w:hAnsi="Bookman Old Style"/>
          <w:sz w:val="22"/>
          <w:szCs w:val="22"/>
        </w:rPr>
        <w:t>y</w:t>
      </w:r>
      <w:r w:rsidR="003C0C61">
        <w:rPr>
          <w:rFonts w:ascii="Bookman Old Style" w:hAnsi="Bookman Old Style"/>
          <w:sz w:val="22"/>
          <w:szCs w:val="22"/>
        </w:rPr>
        <w:t xml:space="preserve"> </w:t>
      </w:r>
      <w:r w:rsidRPr="00AD6041">
        <w:rPr>
          <w:rFonts w:ascii="Bookman Old Style" w:hAnsi="Bookman Old Style"/>
          <w:sz w:val="22"/>
          <w:szCs w:val="22"/>
        </w:rPr>
        <w:t xml:space="preserve">La </w:t>
      </w:r>
      <w:proofErr w:type="spellStart"/>
      <w:r w:rsidRPr="00AD6041">
        <w:rPr>
          <w:rFonts w:ascii="Bookman Old Style" w:hAnsi="Bookman Old Style"/>
          <w:sz w:val="22"/>
          <w:szCs w:val="22"/>
        </w:rPr>
        <w:t>Re</w:t>
      </w:r>
      <w:r w:rsidR="003C0C61">
        <w:rPr>
          <w:rFonts w:ascii="Bookman Old Style" w:hAnsi="Bookman Old Style"/>
          <w:sz w:val="22"/>
          <w:szCs w:val="22"/>
        </w:rPr>
        <w:t>f</w:t>
      </w:r>
      <w:r w:rsidRPr="00AD6041">
        <w:rPr>
          <w:rFonts w:ascii="Bookman Old Style" w:hAnsi="Bookman Old Style"/>
          <w:sz w:val="22"/>
          <w:szCs w:val="22"/>
        </w:rPr>
        <w:t>oma</w:t>
      </w:r>
      <w:proofErr w:type="spellEnd"/>
      <w:r w:rsidRPr="00AD6041">
        <w:rPr>
          <w:rFonts w:ascii="Bookman Old Style" w:hAnsi="Bookman Old Style"/>
          <w:sz w:val="22"/>
          <w:szCs w:val="22"/>
        </w:rPr>
        <w:t xml:space="preserve"> Tunal 1, que permiten la entrada de la l</w:t>
      </w:r>
      <w:r w:rsidR="00215B33">
        <w:rPr>
          <w:rFonts w:ascii="Bookman Old Style" w:hAnsi="Bookman Old Style"/>
          <w:sz w:val="22"/>
          <w:szCs w:val="22"/>
        </w:rPr>
        <w:t>í</w:t>
      </w:r>
      <w:r w:rsidRPr="00AD6041">
        <w:rPr>
          <w:rFonts w:ascii="Bookman Old Style" w:hAnsi="Bookman Old Style"/>
          <w:sz w:val="22"/>
          <w:szCs w:val="22"/>
        </w:rPr>
        <w:t>nea</w:t>
      </w:r>
      <w:r w:rsidR="00215B33">
        <w:rPr>
          <w:rFonts w:ascii="Bookman Old Style" w:hAnsi="Bookman Old Style"/>
          <w:sz w:val="22"/>
          <w:szCs w:val="22"/>
        </w:rPr>
        <w:t xml:space="preserve"> </w:t>
      </w:r>
      <w:proofErr w:type="spellStart"/>
      <w:r w:rsidRPr="00AD6041">
        <w:rPr>
          <w:rFonts w:ascii="Bookman Old Style" w:hAnsi="Bookman Old Style"/>
          <w:sz w:val="22"/>
          <w:szCs w:val="22"/>
        </w:rPr>
        <w:t>Guavio</w:t>
      </w:r>
      <w:proofErr w:type="spellEnd"/>
      <w:r w:rsidR="00215B33">
        <w:rPr>
          <w:rFonts w:ascii="Bookman Old Style" w:hAnsi="Bookman Old Style"/>
          <w:sz w:val="22"/>
          <w:szCs w:val="22"/>
        </w:rPr>
        <w:t xml:space="preserve"> </w:t>
      </w:r>
      <w:r w:rsidRPr="00AD6041">
        <w:rPr>
          <w:rFonts w:ascii="Bookman Old Style" w:hAnsi="Bookman Old Style"/>
          <w:sz w:val="22"/>
          <w:szCs w:val="22"/>
        </w:rPr>
        <w:t>-</w:t>
      </w:r>
      <w:r w:rsidR="00215B33">
        <w:rPr>
          <w:rFonts w:ascii="Bookman Old Style" w:hAnsi="Bookman Old Style"/>
          <w:sz w:val="22"/>
          <w:szCs w:val="22"/>
        </w:rPr>
        <w:t xml:space="preserve"> </w:t>
      </w:r>
      <w:r w:rsidRPr="00AD6041">
        <w:rPr>
          <w:rFonts w:ascii="Bookman Old Style" w:hAnsi="Bookman Old Style"/>
          <w:sz w:val="22"/>
          <w:szCs w:val="22"/>
        </w:rPr>
        <w:t>Tunal 1 230</w:t>
      </w:r>
      <w:r w:rsidR="00215B33">
        <w:rPr>
          <w:rFonts w:ascii="Bookman Old Style" w:hAnsi="Bookman Old Style"/>
          <w:sz w:val="22"/>
          <w:szCs w:val="22"/>
        </w:rPr>
        <w:t xml:space="preserve"> </w:t>
      </w:r>
      <w:proofErr w:type="spellStart"/>
      <w:r w:rsidR="00215B33">
        <w:rPr>
          <w:rFonts w:ascii="Bookman Old Style" w:hAnsi="Bookman Old Style"/>
          <w:sz w:val="22"/>
          <w:szCs w:val="22"/>
        </w:rPr>
        <w:t>kV</w:t>
      </w:r>
      <w:proofErr w:type="spellEnd"/>
      <w:r w:rsidR="00215B33">
        <w:rPr>
          <w:rFonts w:ascii="Bookman Old Style" w:hAnsi="Bookman Old Style"/>
          <w:sz w:val="22"/>
          <w:szCs w:val="22"/>
        </w:rPr>
        <w:t xml:space="preserve"> </w:t>
      </w:r>
      <w:r w:rsidRPr="00AD6041">
        <w:rPr>
          <w:rFonts w:ascii="Bookman Old Style" w:hAnsi="Bookman Old Style"/>
          <w:sz w:val="22"/>
          <w:szCs w:val="22"/>
        </w:rPr>
        <w:t>a la</w:t>
      </w:r>
      <w:r w:rsidR="00215B33">
        <w:rPr>
          <w:rFonts w:ascii="Bookman Old Style" w:hAnsi="Bookman Old Style"/>
          <w:sz w:val="22"/>
          <w:szCs w:val="22"/>
        </w:rPr>
        <w:t xml:space="preserve"> S</w:t>
      </w:r>
      <w:r w:rsidRPr="00AD6041">
        <w:rPr>
          <w:rFonts w:ascii="Bookman Old Style" w:hAnsi="Bookman Old Style"/>
          <w:sz w:val="22"/>
          <w:szCs w:val="22"/>
        </w:rPr>
        <w:t>ubestación La Reforma, con un solo</w:t>
      </w:r>
      <w:r w:rsidR="00215B33">
        <w:rPr>
          <w:rFonts w:ascii="Bookman Old Style" w:hAnsi="Bookman Old Style"/>
          <w:sz w:val="22"/>
          <w:szCs w:val="22"/>
        </w:rPr>
        <w:t xml:space="preserve"> </w:t>
      </w:r>
      <w:r w:rsidRPr="00AD6041">
        <w:rPr>
          <w:rFonts w:ascii="Bookman Old Style" w:hAnsi="Bookman Old Style"/>
          <w:sz w:val="22"/>
          <w:szCs w:val="22"/>
        </w:rPr>
        <w:t>conductor por fase, pues esto</w:t>
      </w:r>
      <w:r w:rsidR="00215B33">
        <w:rPr>
          <w:rFonts w:ascii="Bookman Old Style" w:hAnsi="Bookman Old Style"/>
          <w:sz w:val="22"/>
          <w:szCs w:val="22"/>
        </w:rPr>
        <w:t xml:space="preserve"> </w:t>
      </w:r>
      <w:r w:rsidRPr="00AD6041">
        <w:rPr>
          <w:rFonts w:ascii="Bookman Old Style" w:hAnsi="Bookman Old Style"/>
          <w:sz w:val="22"/>
          <w:szCs w:val="22"/>
        </w:rPr>
        <w:t>implicar</w:t>
      </w:r>
      <w:r w:rsidR="00215B33">
        <w:rPr>
          <w:rFonts w:ascii="Bookman Old Style" w:hAnsi="Bookman Old Style"/>
          <w:sz w:val="22"/>
          <w:szCs w:val="22"/>
        </w:rPr>
        <w:t>í</w:t>
      </w:r>
      <w:r w:rsidRPr="00AD6041">
        <w:rPr>
          <w:rFonts w:ascii="Bookman Old Style" w:hAnsi="Bookman Old Style"/>
          <w:sz w:val="22"/>
          <w:szCs w:val="22"/>
        </w:rPr>
        <w:t>a una restricción operativa</w:t>
      </w:r>
      <w:r w:rsidR="00215B33">
        <w:rPr>
          <w:rFonts w:ascii="Bookman Old Style" w:hAnsi="Bookman Old Style"/>
          <w:sz w:val="22"/>
          <w:szCs w:val="22"/>
        </w:rPr>
        <w:t xml:space="preserve"> </w:t>
      </w:r>
      <w:r w:rsidRPr="00AD6041">
        <w:rPr>
          <w:rFonts w:ascii="Bookman Old Style" w:hAnsi="Bookman Old Style"/>
          <w:sz w:val="22"/>
          <w:szCs w:val="22"/>
        </w:rPr>
        <w:t>del sistema, por lo cual fue necesario actualizar los tramos de la l</w:t>
      </w:r>
      <w:r w:rsidR="00215B33">
        <w:rPr>
          <w:rFonts w:ascii="Bookman Old Style" w:hAnsi="Bookman Old Style"/>
          <w:sz w:val="22"/>
          <w:szCs w:val="22"/>
        </w:rPr>
        <w:t>í</w:t>
      </w:r>
      <w:r w:rsidRPr="00AD6041">
        <w:rPr>
          <w:rFonts w:ascii="Bookman Old Style" w:hAnsi="Bookman Old Style"/>
          <w:sz w:val="22"/>
          <w:szCs w:val="22"/>
        </w:rPr>
        <w:t xml:space="preserve">nea representada por </w:t>
      </w:r>
      <w:r w:rsidRPr="00AD6041">
        <w:rPr>
          <w:rFonts w:ascii="Bookman Old Style" w:hAnsi="Bookman Old Style"/>
          <w:sz w:val="22"/>
          <w:szCs w:val="22"/>
        </w:rPr>
        <w:lastRenderedPageBreak/>
        <w:t>INTER</w:t>
      </w:r>
      <w:r w:rsidR="00215B33">
        <w:rPr>
          <w:rFonts w:ascii="Bookman Old Style" w:hAnsi="Bookman Old Style"/>
          <w:sz w:val="22"/>
          <w:szCs w:val="22"/>
        </w:rPr>
        <w:t>COLO</w:t>
      </w:r>
      <w:r w:rsidRPr="00AD6041">
        <w:rPr>
          <w:rFonts w:ascii="Bookman Old Style" w:hAnsi="Bookman Old Style"/>
          <w:sz w:val="22"/>
          <w:szCs w:val="22"/>
        </w:rPr>
        <w:t>MBIA, para garantizar la prestación segura y confiable del servicio púb</w:t>
      </w:r>
      <w:r w:rsidR="00215B33">
        <w:rPr>
          <w:rFonts w:ascii="Bookman Old Style" w:hAnsi="Bookman Old Style"/>
          <w:sz w:val="22"/>
          <w:szCs w:val="22"/>
        </w:rPr>
        <w:t>l</w:t>
      </w:r>
      <w:r w:rsidRPr="00AD6041">
        <w:rPr>
          <w:rFonts w:ascii="Bookman Old Style" w:hAnsi="Bookman Old Style"/>
          <w:sz w:val="22"/>
          <w:szCs w:val="22"/>
        </w:rPr>
        <w:t>ico de energía eléctrica en el departamento del Meta</w:t>
      </w:r>
      <w:r w:rsidR="00215B33">
        <w:rPr>
          <w:rFonts w:ascii="Bookman Old Style" w:hAnsi="Bookman Old Style"/>
          <w:sz w:val="22"/>
          <w:szCs w:val="22"/>
        </w:rPr>
        <w:t>.</w:t>
      </w:r>
    </w:p>
    <w:p w14:paraId="5774186A" w14:textId="77777777" w:rsidR="007A5A98" w:rsidRPr="00BB63BD" w:rsidRDefault="007A5A98" w:rsidP="00AD6041">
      <w:pPr>
        <w:pStyle w:val="Cita"/>
        <w:numPr>
          <w:ilvl w:val="0"/>
          <w:numId w:val="21"/>
        </w:numPr>
        <w:ind w:left="709" w:right="284" w:hanging="425"/>
        <w:jc w:val="both"/>
        <w:rPr>
          <w:rFonts w:ascii="Bookman Old Style" w:hAnsi="Bookman Old Style"/>
          <w:sz w:val="22"/>
          <w:szCs w:val="22"/>
        </w:rPr>
      </w:pPr>
      <w:r w:rsidRPr="00BB63BD">
        <w:rPr>
          <w:rFonts w:ascii="Bookman Old Style" w:hAnsi="Bookman Old Style"/>
          <w:sz w:val="22"/>
          <w:szCs w:val="22"/>
        </w:rPr>
        <w:t>La longitud de la</w:t>
      </w:r>
      <w:r w:rsidR="00215B33">
        <w:rPr>
          <w:rFonts w:ascii="Bookman Old Style" w:hAnsi="Bookman Old Style"/>
          <w:sz w:val="22"/>
          <w:szCs w:val="22"/>
        </w:rPr>
        <w:t xml:space="preserve"> </w:t>
      </w:r>
      <w:r w:rsidRPr="00BB63BD">
        <w:rPr>
          <w:rFonts w:ascii="Bookman Old Style" w:hAnsi="Bookman Old Style"/>
          <w:sz w:val="22"/>
          <w:szCs w:val="22"/>
        </w:rPr>
        <w:t xml:space="preserve">línea original </w:t>
      </w:r>
      <w:proofErr w:type="spellStart"/>
      <w:r w:rsidRPr="00BB63BD">
        <w:rPr>
          <w:rFonts w:ascii="Bookman Old Style" w:hAnsi="Bookman Old Style"/>
          <w:sz w:val="22"/>
          <w:szCs w:val="22"/>
        </w:rPr>
        <w:t>Guavio</w:t>
      </w:r>
      <w:proofErr w:type="spellEnd"/>
      <w:r w:rsidRPr="00BB63BD">
        <w:rPr>
          <w:rFonts w:ascii="Bookman Old Style" w:hAnsi="Bookman Old Style"/>
          <w:sz w:val="22"/>
          <w:szCs w:val="22"/>
        </w:rPr>
        <w:t xml:space="preserve"> Tunal</w:t>
      </w:r>
      <w:r w:rsidR="00215B33">
        <w:rPr>
          <w:rFonts w:ascii="Bookman Old Style" w:hAnsi="Bookman Old Style"/>
          <w:sz w:val="22"/>
          <w:szCs w:val="22"/>
        </w:rPr>
        <w:t xml:space="preserve"> 1</w:t>
      </w:r>
      <w:r w:rsidRPr="00BB63BD">
        <w:rPr>
          <w:rFonts w:ascii="Bookman Old Style" w:hAnsi="Bookman Old Style"/>
          <w:sz w:val="22"/>
          <w:szCs w:val="22"/>
        </w:rPr>
        <w:t xml:space="preserve"> y</w:t>
      </w:r>
      <w:r w:rsidR="00215B33">
        <w:rPr>
          <w:rFonts w:ascii="Bookman Old Style" w:hAnsi="Bookman Old Style"/>
          <w:sz w:val="22"/>
          <w:szCs w:val="22"/>
        </w:rPr>
        <w:t xml:space="preserve"> </w:t>
      </w:r>
      <w:r w:rsidRPr="00BB63BD">
        <w:rPr>
          <w:rFonts w:ascii="Bookman Old Style" w:hAnsi="Bookman Old Style"/>
          <w:sz w:val="22"/>
          <w:szCs w:val="22"/>
        </w:rPr>
        <w:t>2</w:t>
      </w:r>
      <w:r w:rsidR="00215B33">
        <w:rPr>
          <w:rFonts w:ascii="Bookman Old Style" w:hAnsi="Bookman Old Style"/>
          <w:sz w:val="22"/>
          <w:szCs w:val="22"/>
        </w:rPr>
        <w:t xml:space="preserve"> </w:t>
      </w:r>
      <w:r w:rsidRPr="00BB63BD">
        <w:rPr>
          <w:rFonts w:ascii="Bookman Old Style" w:hAnsi="Bookman Old Style"/>
          <w:sz w:val="22"/>
          <w:szCs w:val="22"/>
        </w:rPr>
        <w:t xml:space="preserve">era doble circuito con doble conductor por fase, condición que debía mantenerse al ingresar también el circuito </w:t>
      </w:r>
      <w:proofErr w:type="spellStart"/>
      <w:r w:rsidRPr="00BB63BD">
        <w:rPr>
          <w:rFonts w:ascii="Bookman Old Style" w:hAnsi="Bookman Old Style"/>
          <w:sz w:val="22"/>
          <w:szCs w:val="22"/>
        </w:rPr>
        <w:t>Guavio</w:t>
      </w:r>
      <w:proofErr w:type="spellEnd"/>
      <w:r w:rsidR="00215B33">
        <w:rPr>
          <w:rFonts w:ascii="Bookman Old Style" w:hAnsi="Bookman Old Style"/>
          <w:sz w:val="22"/>
          <w:szCs w:val="22"/>
        </w:rPr>
        <w:t xml:space="preserve"> </w:t>
      </w:r>
      <w:r w:rsidRPr="00BB63BD">
        <w:rPr>
          <w:rFonts w:ascii="Bookman Old Style" w:hAnsi="Bookman Old Style"/>
          <w:sz w:val="22"/>
          <w:szCs w:val="22"/>
        </w:rPr>
        <w:t>-</w:t>
      </w:r>
      <w:r w:rsidR="00215B33">
        <w:rPr>
          <w:rFonts w:ascii="Bookman Old Style" w:hAnsi="Bookman Old Style"/>
          <w:sz w:val="22"/>
          <w:szCs w:val="22"/>
        </w:rPr>
        <w:t xml:space="preserve"> </w:t>
      </w:r>
      <w:r w:rsidRPr="00BB63BD">
        <w:rPr>
          <w:rFonts w:ascii="Bookman Old Style" w:hAnsi="Bookman Old Style"/>
          <w:sz w:val="22"/>
          <w:szCs w:val="22"/>
        </w:rPr>
        <w:t xml:space="preserve">Tunal 2 a la </w:t>
      </w:r>
      <w:r w:rsidR="00215B33">
        <w:rPr>
          <w:rFonts w:ascii="Bookman Old Style" w:hAnsi="Bookman Old Style"/>
          <w:sz w:val="22"/>
          <w:szCs w:val="22"/>
        </w:rPr>
        <w:t>S</w:t>
      </w:r>
      <w:r w:rsidRPr="00BB63BD">
        <w:rPr>
          <w:rFonts w:ascii="Bookman Old Style" w:hAnsi="Bookman Old Style"/>
          <w:sz w:val="22"/>
          <w:szCs w:val="22"/>
        </w:rPr>
        <w:t xml:space="preserve">ubestación La Reforma y quedar los nuevos tramos de línea en paralelo con los tramos existentes de las líneas </w:t>
      </w:r>
      <w:proofErr w:type="spellStart"/>
      <w:r w:rsidRPr="00BB63BD">
        <w:rPr>
          <w:rFonts w:ascii="Bookman Old Style" w:hAnsi="Bookman Old Style"/>
          <w:sz w:val="22"/>
          <w:szCs w:val="22"/>
        </w:rPr>
        <w:t>Guavio</w:t>
      </w:r>
      <w:proofErr w:type="spellEnd"/>
      <w:r w:rsidRPr="00BB63BD">
        <w:rPr>
          <w:rFonts w:ascii="Bookman Old Style" w:hAnsi="Bookman Old Style"/>
          <w:sz w:val="22"/>
          <w:szCs w:val="22"/>
        </w:rPr>
        <w:t xml:space="preserve"> </w:t>
      </w:r>
      <w:r w:rsidR="00215B33">
        <w:rPr>
          <w:rFonts w:ascii="Bookman Old Style" w:hAnsi="Bookman Old Style"/>
          <w:sz w:val="22"/>
          <w:szCs w:val="22"/>
        </w:rPr>
        <w:t xml:space="preserve">- </w:t>
      </w:r>
      <w:r w:rsidRPr="00BB63BD">
        <w:rPr>
          <w:rFonts w:ascii="Bookman Old Style" w:hAnsi="Bookman Old Style"/>
          <w:sz w:val="22"/>
          <w:szCs w:val="22"/>
        </w:rPr>
        <w:t>La Reforma 1 y</w:t>
      </w:r>
      <w:r w:rsidR="00215B33">
        <w:rPr>
          <w:rFonts w:ascii="Bookman Old Style" w:hAnsi="Bookman Old Style"/>
          <w:sz w:val="22"/>
          <w:szCs w:val="22"/>
        </w:rPr>
        <w:t xml:space="preserve"> </w:t>
      </w:r>
      <w:r w:rsidRPr="00BB63BD">
        <w:rPr>
          <w:rFonts w:ascii="Bookman Old Style" w:hAnsi="Bookman Old Style"/>
          <w:sz w:val="22"/>
          <w:szCs w:val="22"/>
        </w:rPr>
        <w:t>La</w:t>
      </w:r>
      <w:r w:rsidR="00215B33">
        <w:rPr>
          <w:rFonts w:ascii="Bookman Old Style" w:hAnsi="Bookman Old Style"/>
          <w:sz w:val="22"/>
          <w:szCs w:val="22"/>
        </w:rPr>
        <w:t xml:space="preserve"> </w:t>
      </w:r>
      <w:r w:rsidRPr="00BB63BD">
        <w:rPr>
          <w:rFonts w:ascii="Bookman Old Style" w:hAnsi="Bookman Old Style"/>
          <w:sz w:val="22"/>
          <w:szCs w:val="22"/>
        </w:rPr>
        <w:t xml:space="preserve">Reforma </w:t>
      </w:r>
      <w:r w:rsidR="00215B33">
        <w:rPr>
          <w:rFonts w:ascii="Bookman Old Style" w:hAnsi="Bookman Old Style"/>
          <w:sz w:val="22"/>
          <w:szCs w:val="22"/>
        </w:rPr>
        <w:t xml:space="preserve">- </w:t>
      </w:r>
      <w:r w:rsidRPr="00BB63BD">
        <w:rPr>
          <w:rFonts w:ascii="Bookman Old Style" w:hAnsi="Bookman Old Style"/>
          <w:sz w:val="22"/>
          <w:szCs w:val="22"/>
        </w:rPr>
        <w:t>Tuna</w:t>
      </w:r>
      <w:r w:rsidR="00215B33">
        <w:rPr>
          <w:rFonts w:ascii="Bookman Old Style" w:hAnsi="Bookman Old Style"/>
          <w:sz w:val="22"/>
          <w:szCs w:val="22"/>
        </w:rPr>
        <w:t>l 1.</w:t>
      </w:r>
      <w:r w:rsidRPr="00BB63BD">
        <w:rPr>
          <w:rFonts w:ascii="Bookman Old Style" w:hAnsi="Bookman Old Style"/>
          <w:sz w:val="22"/>
          <w:szCs w:val="22"/>
        </w:rPr>
        <w:t xml:space="preserve"> Lo anterior, debido</w:t>
      </w:r>
      <w:r w:rsidR="00215B33">
        <w:rPr>
          <w:rFonts w:ascii="Bookman Old Style" w:hAnsi="Bookman Old Style"/>
          <w:sz w:val="22"/>
          <w:szCs w:val="22"/>
        </w:rPr>
        <w:t xml:space="preserve"> </w:t>
      </w:r>
      <w:r w:rsidRPr="00BB63BD">
        <w:rPr>
          <w:rFonts w:ascii="Bookman Old Style" w:hAnsi="Bookman Old Style"/>
          <w:sz w:val="22"/>
          <w:szCs w:val="22"/>
        </w:rPr>
        <w:t>a que las pérdidas de la línea est</w:t>
      </w:r>
      <w:r w:rsidR="00215B33">
        <w:rPr>
          <w:rFonts w:ascii="Bookman Old Style" w:hAnsi="Bookman Old Style"/>
          <w:sz w:val="22"/>
          <w:szCs w:val="22"/>
        </w:rPr>
        <w:t>á</w:t>
      </w:r>
      <w:r w:rsidRPr="00BB63BD">
        <w:rPr>
          <w:rFonts w:ascii="Bookman Old Style" w:hAnsi="Bookman Old Style"/>
          <w:sz w:val="22"/>
          <w:szCs w:val="22"/>
        </w:rPr>
        <w:t>n asociadas al acople físico de los dos circuitos, lo que conlleva</w:t>
      </w:r>
      <w:r w:rsidR="00215B33">
        <w:rPr>
          <w:rFonts w:ascii="Bookman Old Style" w:hAnsi="Bookman Old Style"/>
          <w:sz w:val="22"/>
          <w:szCs w:val="22"/>
        </w:rPr>
        <w:t xml:space="preserve"> </w:t>
      </w:r>
      <w:r w:rsidRPr="00BB63BD">
        <w:rPr>
          <w:rFonts w:ascii="Bookman Old Style" w:hAnsi="Bookman Old Style"/>
          <w:sz w:val="22"/>
          <w:szCs w:val="22"/>
        </w:rPr>
        <w:t>a</w:t>
      </w:r>
      <w:r w:rsidR="00215B33">
        <w:rPr>
          <w:rFonts w:ascii="Bookman Old Style" w:hAnsi="Bookman Old Style"/>
          <w:sz w:val="22"/>
          <w:szCs w:val="22"/>
        </w:rPr>
        <w:t xml:space="preserve"> </w:t>
      </w:r>
      <w:r w:rsidRPr="00BB63BD">
        <w:rPr>
          <w:rFonts w:ascii="Bookman Old Style" w:hAnsi="Bookman Old Style"/>
          <w:sz w:val="22"/>
          <w:szCs w:val="22"/>
        </w:rPr>
        <w:t>que no</w:t>
      </w:r>
      <w:r w:rsidR="00215B33">
        <w:rPr>
          <w:rFonts w:ascii="Bookman Old Style" w:hAnsi="Bookman Old Style"/>
          <w:sz w:val="22"/>
          <w:szCs w:val="22"/>
        </w:rPr>
        <w:t xml:space="preserve"> </w:t>
      </w:r>
      <w:r w:rsidRPr="00BB63BD">
        <w:rPr>
          <w:rFonts w:ascii="Bookman Old Style" w:hAnsi="Bookman Old Style"/>
          <w:sz w:val="22"/>
          <w:szCs w:val="22"/>
        </w:rPr>
        <w:t>se</w:t>
      </w:r>
      <w:r w:rsidR="00215B33">
        <w:rPr>
          <w:rFonts w:ascii="Bookman Old Style" w:hAnsi="Bookman Old Style"/>
          <w:sz w:val="22"/>
          <w:szCs w:val="22"/>
        </w:rPr>
        <w:t xml:space="preserve"> </w:t>
      </w:r>
      <w:r w:rsidRPr="00BB63BD">
        <w:rPr>
          <w:rFonts w:ascii="Bookman Old Style" w:hAnsi="Bookman Old Style"/>
          <w:sz w:val="22"/>
          <w:szCs w:val="22"/>
        </w:rPr>
        <w:t>pudiera</w:t>
      </w:r>
      <w:r w:rsidR="00215B33">
        <w:rPr>
          <w:rFonts w:ascii="Bookman Old Style" w:hAnsi="Bookman Old Style"/>
          <w:sz w:val="22"/>
          <w:szCs w:val="22"/>
        </w:rPr>
        <w:t xml:space="preserve"> </w:t>
      </w:r>
      <w:r w:rsidRPr="00BB63BD">
        <w:rPr>
          <w:rFonts w:ascii="Bookman Old Style" w:hAnsi="Bookman Old Style"/>
          <w:sz w:val="22"/>
          <w:szCs w:val="22"/>
        </w:rPr>
        <w:t>realizar, desde el punto de vista</w:t>
      </w:r>
      <w:r w:rsidR="00215B33">
        <w:rPr>
          <w:rFonts w:ascii="Bookman Old Style" w:hAnsi="Bookman Old Style"/>
          <w:sz w:val="22"/>
          <w:szCs w:val="22"/>
        </w:rPr>
        <w:t xml:space="preserve"> </w:t>
      </w:r>
      <w:r w:rsidRPr="00BB63BD">
        <w:rPr>
          <w:rFonts w:ascii="Bookman Old Style" w:hAnsi="Bookman Old Style"/>
          <w:sz w:val="22"/>
          <w:szCs w:val="22"/>
        </w:rPr>
        <w:t>de</w:t>
      </w:r>
      <w:r w:rsidR="00215B33">
        <w:rPr>
          <w:rFonts w:ascii="Bookman Old Style" w:hAnsi="Bookman Old Style"/>
          <w:sz w:val="22"/>
          <w:szCs w:val="22"/>
        </w:rPr>
        <w:t xml:space="preserve"> </w:t>
      </w:r>
      <w:r w:rsidRPr="00BB63BD">
        <w:rPr>
          <w:rFonts w:ascii="Bookman Old Style" w:hAnsi="Bookman Old Style"/>
          <w:sz w:val="22"/>
          <w:szCs w:val="22"/>
        </w:rPr>
        <w:t>las</w:t>
      </w:r>
      <w:r w:rsidR="00215B33">
        <w:rPr>
          <w:rFonts w:ascii="Bookman Old Style" w:hAnsi="Bookman Old Style"/>
          <w:sz w:val="22"/>
          <w:szCs w:val="22"/>
        </w:rPr>
        <w:t xml:space="preserve"> </w:t>
      </w:r>
      <w:r w:rsidRPr="00BB63BD">
        <w:rPr>
          <w:rFonts w:ascii="Bookman Old Style" w:hAnsi="Bookman Old Style"/>
          <w:sz w:val="22"/>
          <w:szCs w:val="22"/>
        </w:rPr>
        <w:t>buenas</w:t>
      </w:r>
      <w:r w:rsidR="00215B33">
        <w:rPr>
          <w:rFonts w:ascii="Bookman Old Style" w:hAnsi="Bookman Old Style"/>
          <w:sz w:val="22"/>
          <w:szCs w:val="22"/>
        </w:rPr>
        <w:t xml:space="preserve"> </w:t>
      </w:r>
      <w:r w:rsidRPr="00BB63BD">
        <w:rPr>
          <w:rFonts w:ascii="Bookman Old Style" w:hAnsi="Bookman Old Style"/>
          <w:sz w:val="22"/>
          <w:szCs w:val="22"/>
        </w:rPr>
        <w:t>prácticas d</w:t>
      </w:r>
      <w:r w:rsidR="00215B33">
        <w:rPr>
          <w:rFonts w:ascii="Bookman Old Style" w:hAnsi="Bookman Old Style"/>
          <w:sz w:val="22"/>
          <w:szCs w:val="22"/>
        </w:rPr>
        <w:t xml:space="preserve">e </w:t>
      </w:r>
      <w:r w:rsidRPr="00BB63BD">
        <w:rPr>
          <w:rFonts w:ascii="Bookman Old Style" w:hAnsi="Bookman Old Style"/>
          <w:sz w:val="22"/>
          <w:szCs w:val="22"/>
        </w:rPr>
        <w:t>la ingeniería,</w:t>
      </w:r>
      <w:r w:rsidR="00215B33">
        <w:rPr>
          <w:rFonts w:ascii="Bookman Old Style" w:hAnsi="Bookman Old Style"/>
          <w:sz w:val="22"/>
          <w:szCs w:val="22"/>
        </w:rPr>
        <w:t xml:space="preserve"> </w:t>
      </w:r>
      <w:r w:rsidRPr="00BB63BD">
        <w:rPr>
          <w:rFonts w:ascii="Bookman Old Style" w:hAnsi="Bookman Old Style"/>
          <w:sz w:val="22"/>
          <w:szCs w:val="22"/>
        </w:rPr>
        <w:t>un análisis aislado</w:t>
      </w:r>
      <w:r w:rsidR="00215B33">
        <w:rPr>
          <w:rFonts w:ascii="Bookman Old Style" w:hAnsi="Bookman Old Style"/>
          <w:sz w:val="22"/>
          <w:szCs w:val="22"/>
        </w:rPr>
        <w:t xml:space="preserve"> </w:t>
      </w:r>
      <w:r w:rsidRPr="00BB63BD">
        <w:rPr>
          <w:rFonts w:ascii="Bookman Old Style" w:hAnsi="Bookman Old Style"/>
          <w:sz w:val="22"/>
          <w:szCs w:val="22"/>
        </w:rPr>
        <w:t>o</w:t>
      </w:r>
      <w:r w:rsidR="00215B33">
        <w:rPr>
          <w:rFonts w:ascii="Bookman Old Style" w:hAnsi="Bookman Old Style"/>
          <w:sz w:val="22"/>
          <w:szCs w:val="22"/>
        </w:rPr>
        <w:t xml:space="preserve"> </w:t>
      </w:r>
      <w:r w:rsidRPr="00BB63BD">
        <w:rPr>
          <w:rFonts w:ascii="Bookman Old Style" w:hAnsi="Bookman Old Style"/>
          <w:sz w:val="22"/>
          <w:szCs w:val="22"/>
        </w:rPr>
        <w:t>como circuitos independientes.</w:t>
      </w:r>
    </w:p>
    <w:p w14:paraId="1BD98EF3" w14:textId="77777777" w:rsidR="007A5A98" w:rsidRPr="00215B33" w:rsidRDefault="00215B33" w:rsidP="00B40ED0">
      <w:pPr>
        <w:pStyle w:val="Cita"/>
        <w:numPr>
          <w:ilvl w:val="0"/>
          <w:numId w:val="21"/>
        </w:numPr>
        <w:ind w:left="709" w:right="284" w:hanging="425"/>
        <w:jc w:val="both"/>
        <w:rPr>
          <w:rFonts w:ascii="Bookman Old Style" w:hAnsi="Bookman Old Style"/>
          <w:sz w:val="22"/>
          <w:szCs w:val="22"/>
        </w:rPr>
      </w:pPr>
      <w:r w:rsidRPr="00215B33">
        <w:rPr>
          <w:rFonts w:ascii="Bookman Old Style" w:hAnsi="Bookman Old Style"/>
          <w:sz w:val="22"/>
          <w:szCs w:val="22"/>
        </w:rPr>
        <w:t>S</w:t>
      </w:r>
      <w:r w:rsidR="007A5A98" w:rsidRPr="00215B33">
        <w:rPr>
          <w:rFonts w:ascii="Bookman Old Style" w:hAnsi="Bookman Old Style"/>
          <w:sz w:val="22"/>
          <w:szCs w:val="22"/>
        </w:rPr>
        <w:t>obr</w:t>
      </w:r>
      <w:r w:rsidRPr="00215B33">
        <w:rPr>
          <w:rFonts w:ascii="Bookman Old Style" w:hAnsi="Bookman Old Style"/>
          <w:sz w:val="22"/>
          <w:szCs w:val="22"/>
        </w:rPr>
        <w:t>e</w:t>
      </w:r>
      <w:r w:rsidR="007A5A98" w:rsidRPr="00215B33">
        <w:rPr>
          <w:rFonts w:ascii="Bookman Old Style" w:hAnsi="Bookman Old Style"/>
          <w:sz w:val="22"/>
          <w:szCs w:val="22"/>
        </w:rPr>
        <w:tab/>
        <w:t xml:space="preserve">lo anterior, </w:t>
      </w:r>
      <w:r w:rsidRPr="00215B33">
        <w:rPr>
          <w:rFonts w:ascii="Bookman Old Style" w:hAnsi="Bookman Old Style"/>
          <w:sz w:val="22"/>
          <w:szCs w:val="22"/>
        </w:rPr>
        <w:t>los</w:t>
      </w:r>
      <w:r w:rsidR="007A5A98" w:rsidRPr="00215B33">
        <w:rPr>
          <w:rFonts w:ascii="Bookman Old Style" w:hAnsi="Bookman Old Style"/>
          <w:sz w:val="22"/>
          <w:szCs w:val="22"/>
        </w:rPr>
        <w:t xml:space="preserve"> documentos relacionados c</w:t>
      </w:r>
      <w:r w:rsidRPr="00215B33">
        <w:rPr>
          <w:rFonts w:ascii="Bookman Old Style" w:hAnsi="Bookman Old Style"/>
          <w:sz w:val="22"/>
          <w:szCs w:val="22"/>
        </w:rPr>
        <w:t>o</w:t>
      </w:r>
      <w:r w:rsidR="007A5A98" w:rsidRPr="00215B33">
        <w:rPr>
          <w:rFonts w:ascii="Bookman Old Style" w:hAnsi="Bookman Old Style"/>
          <w:sz w:val="22"/>
          <w:szCs w:val="22"/>
        </w:rPr>
        <w:t>n la c</w:t>
      </w:r>
      <w:r w:rsidRPr="00215B33">
        <w:rPr>
          <w:rFonts w:ascii="Bookman Old Style" w:hAnsi="Bookman Old Style"/>
          <w:sz w:val="22"/>
          <w:szCs w:val="22"/>
        </w:rPr>
        <w:t>onvocato</w:t>
      </w:r>
      <w:r w:rsidR="007A5A98" w:rsidRPr="00215B33">
        <w:rPr>
          <w:rFonts w:ascii="Bookman Old Style" w:hAnsi="Bookman Old Style"/>
          <w:sz w:val="22"/>
          <w:szCs w:val="22"/>
        </w:rPr>
        <w:t xml:space="preserve">ria </w:t>
      </w:r>
      <w:r w:rsidRPr="00215B33">
        <w:rPr>
          <w:rFonts w:ascii="Bookman Old Style" w:hAnsi="Bookman Old Style"/>
          <w:sz w:val="22"/>
          <w:szCs w:val="22"/>
        </w:rPr>
        <w:t>(</w:t>
      </w:r>
      <w:r w:rsidR="007A5A98" w:rsidRPr="00215B33">
        <w:rPr>
          <w:rFonts w:ascii="Bookman Old Style" w:hAnsi="Bookman Old Style"/>
          <w:sz w:val="22"/>
          <w:szCs w:val="22"/>
        </w:rPr>
        <w:t>publicados en la página</w:t>
      </w:r>
      <w:r w:rsidRPr="00215B33">
        <w:rPr>
          <w:rFonts w:ascii="Bookman Old Style" w:hAnsi="Bookman Old Style"/>
          <w:sz w:val="22"/>
          <w:szCs w:val="22"/>
        </w:rPr>
        <w:t xml:space="preserve"> web)</w:t>
      </w:r>
      <w:r w:rsidR="007A5A98" w:rsidRPr="00215B33">
        <w:rPr>
          <w:rFonts w:ascii="Bookman Old Style" w:hAnsi="Bookman Old Style"/>
          <w:sz w:val="22"/>
          <w:szCs w:val="22"/>
        </w:rPr>
        <w:t>,</w:t>
      </w:r>
      <w:r w:rsidR="007A5A98" w:rsidRPr="00215B33">
        <w:rPr>
          <w:rFonts w:ascii="Bookman Old Style" w:hAnsi="Bookman Old Style"/>
          <w:sz w:val="22"/>
          <w:szCs w:val="22"/>
        </w:rPr>
        <w:tab/>
        <w:t>incluyen una comunicación de la Empresa de Energía de Bogotá, quien recalcó la</w:t>
      </w:r>
      <w:r w:rsidRPr="00215B33">
        <w:rPr>
          <w:rFonts w:ascii="Bookman Old Style" w:hAnsi="Bookman Old Style"/>
          <w:sz w:val="22"/>
          <w:szCs w:val="22"/>
        </w:rPr>
        <w:t xml:space="preserve"> </w:t>
      </w:r>
      <w:r w:rsidR="007A5A98" w:rsidRPr="00215B33">
        <w:rPr>
          <w:rFonts w:ascii="Bookman Old Style" w:hAnsi="Bookman Old Style"/>
          <w:sz w:val="22"/>
          <w:szCs w:val="22"/>
        </w:rPr>
        <w:t>importancia de no</w:t>
      </w:r>
      <w:r>
        <w:rPr>
          <w:rFonts w:ascii="Bookman Old Style" w:hAnsi="Bookman Old Style"/>
          <w:sz w:val="22"/>
          <w:szCs w:val="22"/>
        </w:rPr>
        <w:t xml:space="preserve"> </w:t>
      </w:r>
      <w:r w:rsidR="007A5A98" w:rsidRPr="00215B33">
        <w:rPr>
          <w:rFonts w:ascii="Bookman Old Style" w:hAnsi="Bookman Old Style"/>
          <w:sz w:val="22"/>
          <w:szCs w:val="22"/>
        </w:rPr>
        <w:t>incrementar las pérdidas con la</w:t>
      </w:r>
      <w:r>
        <w:rPr>
          <w:rFonts w:ascii="Bookman Old Style" w:hAnsi="Bookman Old Style"/>
          <w:sz w:val="22"/>
          <w:szCs w:val="22"/>
        </w:rPr>
        <w:t xml:space="preserve"> i</w:t>
      </w:r>
      <w:r w:rsidR="007A5A98" w:rsidRPr="00215B33">
        <w:rPr>
          <w:rFonts w:ascii="Bookman Old Style" w:hAnsi="Bookman Old Style"/>
          <w:sz w:val="22"/>
          <w:szCs w:val="22"/>
        </w:rPr>
        <w:t>mplementación</w:t>
      </w:r>
      <w:r>
        <w:rPr>
          <w:rFonts w:ascii="Bookman Old Style" w:hAnsi="Bookman Old Style"/>
          <w:sz w:val="22"/>
          <w:szCs w:val="22"/>
        </w:rPr>
        <w:t xml:space="preserve"> </w:t>
      </w:r>
      <w:r w:rsidR="007A5A98" w:rsidRPr="00215B33">
        <w:rPr>
          <w:rFonts w:ascii="Bookman Old Style" w:hAnsi="Bookman Old Style"/>
          <w:sz w:val="22"/>
          <w:szCs w:val="22"/>
        </w:rPr>
        <w:t>del proyecto, razón</w:t>
      </w:r>
      <w:r>
        <w:rPr>
          <w:rFonts w:ascii="Bookman Old Style" w:hAnsi="Bookman Old Style"/>
          <w:sz w:val="22"/>
          <w:szCs w:val="22"/>
        </w:rPr>
        <w:t xml:space="preserve"> </w:t>
      </w:r>
      <w:r w:rsidR="007A5A98" w:rsidRPr="00215B33">
        <w:rPr>
          <w:rFonts w:ascii="Bookman Old Style" w:hAnsi="Bookman Old Style"/>
          <w:sz w:val="22"/>
          <w:szCs w:val="22"/>
        </w:rPr>
        <w:t>por</w:t>
      </w:r>
      <w:r>
        <w:rPr>
          <w:rFonts w:ascii="Bookman Old Style" w:hAnsi="Bookman Old Style"/>
          <w:sz w:val="22"/>
          <w:szCs w:val="22"/>
        </w:rPr>
        <w:t xml:space="preserve"> </w:t>
      </w:r>
      <w:r w:rsidR="007A5A98" w:rsidRPr="00215B33">
        <w:rPr>
          <w:rFonts w:ascii="Bookman Old Style" w:hAnsi="Bookman Old Style"/>
          <w:sz w:val="22"/>
          <w:szCs w:val="22"/>
        </w:rPr>
        <w:t>la cual, los estudios de ingeniería arrojaron como resultado, que la solución integral era implementar</w:t>
      </w:r>
      <w:r>
        <w:rPr>
          <w:rFonts w:ascii="Bookman Old Style" w:hAnsi="Bookman Old Style"/>
          <w:sz w:val="22"/>
          <w:szCs w:val="22"/>
        </w:rPr>
        <w:t xml:space="preserve"> </w:t>
      </w:r>
      <w:r w:rsidR="007A5A98" w:rsidRPr="00215B33">
        <w:rPr>
          <w:rFonts w:ascii="Bookman Old Style" w:hAnsi="Bookman Old Style"/>
          <w:sz w:val="22"/>
          <w:szCs w:val="22"/>
        </w:rPr>
        <w:t>en los</w:t>
      </w:r>
      <w:r>
        <w:rPr>
          <w:rFonts w:ascii="Bookman Old Style" w:hAnsi="Bookman Old Style"/>
          <w:sz w:val="22"/>
          <w:szCs w:val="22"/>
        </w:rPr>
        <w:t xml:space="preserve"> </w:t>
      </w:r>
      <w:r w:rsidR="007A5A98" w:rsidRPr="00215B33">
        <w:rPr>
          <w:rFonts w:ascii="Bookman Old Style" w:hAnsi="Bookman Old Style"/>
          <w:sz w:val="22"/>
          <w:szCs w:val="22"/>
        </w:rPr>
        <w:t>tramos</w:t>
      </w:r>
      <w:r>
        <w:rPr>
          <w:rFonts w:ascii="Bookman Old Style" w:hAnsi="Bookman Old Style"/>
          <w:sz w:val="22"/>
          <w:szCs w:val="22"/>
        </w:rPr>
        <w:t xml:space="preserve"> </w:t>
      </w:r>
      <w:r w:rsidR="007A5A98" w:rsidRPr="00215B33">
        <w:rPr>
          <w:rFonts w:ascii="Bookman Old Style" w:hAnsi="Bookman Old Style"/>
          <w:sz w:val="22"/>
          <w:szCs w:val="22"/>
        </w:rPr>
        <w:t>de l</w:t>
      </w:r>
      <w:r>
        <w:rPr>
          <w:rFonts w:ascii="Bookman Old Style" w:hAnsi="Bookman Old Style"/>
          <w:sz w:val="22"/>
          <w:szCs w:val="22"/>
        </w:rPr>
        <w:t>í</w:t>
      </w:r>
      <w:r w:rsidR="007A5A98" w:rsidRPr="00215B33">
        <w:rPr>
          <w:rFonts w:ascii="Bookman Old Style" w:hAnsi="Bookman Old Style"/>
          <w:sz w:val="22"/>
          <w:szCs w:val="22"/>
        </w:rPr>
        <w:t>nea</w:t>
      </w:r>
      <w:r>
        <w:rPr>
          <w:rFonts w:ascii="Bookman Old Style" w:hAnsi="Bookman Old Style"/>
          <w:sz w:val="22"/>
          <w:szCs w:val="22"/>
        </w:rPr>
        <w:t xml:space="preserve"> </w:t>
      </w:r>
      <w:r w:rsidR="007A5A98" w:rsidRPr="00215B33">
        <w:rPr>
          <w:rFonts w:ascii="Bookman Old Style" w:hAnsi="Bookman Old Style"/>
          <w:sz w:val="22"/>
          <w:szCs w:val="22"/>
        </w:rPr>
        <w:t>que</w:t>
      </w:r>
      <w:r>
        <w:rPr>
          <w:rFonts w:ascii="Bookman Old Style" w:hAnsi="Bookman Old Style"/>
          <w:sz w:val="22"/>
          <w:szCs w:val="22"/>
        </w:rPr>
        <w:t xml:space="preserve"> </w:t>
      </w:r>
      <w:r w:rsidR="007A5A98" w:rsidRPr="00215B33">
        <w:rPr>
          <w:rFonts w:ascii="Bookman Old Style" w:hAnsi="Bookman Old Style"/>
          <w:sz w:val="22"/>
          <w:szCs w:val="22"/>
        </w:rPr>
        <w:t>estaban en circuito sencillo, el</w:t>
      </w:r>
      <w:r>
        <w:rPr>
          <w:rFonts w:ascii="Bookman Old Style" w:hAnsi="Bookman Old Style"/>
          <w:sz w:val="22"/>
          <w:szCs w:val="22"/>
        </w:rPr>
        <w:t xml:space="preserve"> </w:t>
      </w:r>
      <w:r w:rsidR="007A5A98" w:rsidRPr="00215B33">
        <w:rPr>
          <w:rFonts w:ascii="Bookman Old Style" w:hAnsi="Bookman Old Style"/>
          <w:sz w:val="22"/>
          <w:szCs w:val="22"/>
        </w:rPr>
        <w:t>doble conductor por fase</w:t>
      </w:r>
      <w:r>
        <w:rPr>
          <w:rFonts w:ascii="Bookman Old Style" w:hAnsi="Bookman Old Style"/>
          <w:sz w:val="22"/>
          <w:szCs w:val="22"/>
        </w:rPr>
        <w:t>.</w:t>
      </w:r>
    </w:p>
    <w:p w14:paraId="044DBE19" w14:textId="07FD9777" w:rsidR="007A5A98" w:rsidRPr="00215B33" w:rsidRDefault="007A5A98" w:rsidP="00B40ED0">
      <w:pPr>
        <w:pStyle w:val="Cita"/>
        <w:numPr>
          <w:ilvl w:val="0"/>
          <w:numId w:val="21"/>
        </w:numPr>
        <w:ind w:left="709" w:right="284" w:hanging="425"/>
        <w:jc w:val="both"/>
        <w:rPr>
          <w:rFonts w:ascii="Bookman Old Style" w:hAnsi="Bookman Old Style"/>
          <w:sz w:val="22"/>
          <w:szCs w:val="22"/>
        </w:rPr>
      </w:pPr>
      <w:r w:rsidRPr="00215B33">
        <w:rPr>
          <w:rFonts w:ascii="Bookman Old Style" w:hAnsi="Bookman Old Style"/>
          <w:sz w:val="22"/>
          <w:szCs w:val="22"/>
        </w:rPr>
        <w:t>Desde</w:t>
      </w:r>
      <w:r w:rsidRPr="00215B33">
        <w:rPr>
          <w:rFonts w:ascii="Bookman Old Style" w:hAnsi="Bookman Old Style"/>
          <w:sz w:val="22"/>
          <w:szCs w:val="22"/>
        </w:rPr>
        <w:tab/>
        <w:t xml:space="preserve">la perspectiva ambiental, utilizar el mismo corredor de ruta que tenía el circuito </w:t>
      </w:r>
      <w:proofErr w:type="spellStart"/>
      <w:r w:rsidRPr="00215B33">
        <w:rPr>
          <w:rFonts w:ascii="Bookman Old Style" w:hAnsi="Bookman Old Style"/>
          <w:sz w:val="22"/>
          <w:szCs w:val="22"/>
        </w:rPr>
        <w:t>Guavio</w:t>
      </w:r>
      <w:proofErr w:type="spellEnd"/>
      <w:r w:rsidR="00215B33" w:rsidRPr="00215B33">
        <w:rPr>
          <w:rFonts w:ascii="Bookman Old Style" w:hAnsi="Bookman Old Style"/>
          <w:sz w:val="22"/>
          <w:szCs w:val="22"/>
        </w:rPr>
        <w:t xml:space="preserve"> – </w:t>
      </w:r>
      <w:r w:rsidRPr="00215B33">
        <w:rPr>
          <w:rFonts w:ascii="Bookman Old Style" w:hAnsi="Bookman Old Style"/>
          <w:sz w:val="22"/>
          <w:szCs w:val="22"/>
        </w:rPr>
        <w:t>Tunal</w:t>
      </w:r>
      <w:r w:rsidR="00215B33" w:rsidRPr="00215B33">
        <w:rPr>
          <w:rFonts w:ascii="Bookman Old Style" w:hAnsi="Bookman Old Style"/>
          <w:sz w:val="22"/>
          <w:szCs w:val="22"/>
        </w:rPr>
        <w:t xml:space="preserve"> </w:t>
      </w:r>
      <w:r w:rsidRPr="00215B33">
        <w:rPr>
          <w:rFonts w:ascii="Bookman Old Style" w:hAnsi="Bookman Old Style"/>
          <w:sz w:val="22"/>
          <w:szCs w:val="22"/>
        </w:rPr>
        <w:t xml:space="preserve">1 para hacer el montaje del circuito </w:t>
      </w:r>
      <w:proofErr w:type="spellStart"/>
      <w:r w:rsidRPr="00215B33">
        <w:rPr>
          <w:rFonts w:ascii="Bookman Old Style" w:hAnsi="Bookman Old Style"/>
          <w:sz w:val="22"/>
          <w:szCs w:val="22"/>
        </w:rPr>
        <w:t>Guavio</w:t>
      </w:r>
      <w:proofErr w:type="spellEnd"/>
      <w:r w:rsidRPr="00215B33">
        <w:rPr>
          <w:rFonts w:ascii="Bookman Old Style" w:hAnsi="Bookman Old Style"/>
          <w:sz w:val="22"/>
          <w:szCs w:val="22"/>
        </w:rPr>
        <w:t xml:space="preserve"> - Tunal 2, y tener por tanto una </w:t>
      </w:r>
      <w:r w:rsidR="00215B33" w:rsidRPr="00215B33">
        <w:rPr>
          <w:rFonts w:ascii="Bookman Old Style" w:hAnsi="Bookman Old Style"/>
          <w:sz w:val="22"/>
          <w:szCs w:val="22"/>
        </w:rPr>
        <w:t>ú</w:t>
      </w:r>
      <w:r w:rsidRPr="00215B33">
        <w:rPr>
          <w:rFonts w:ascii="Bookman Old Style" w:hAnsi="Bookman Old Style"/>
          <w:sz w:val="22"/>
          <w:szCs w:val="22"/>
        </w:rPr>
        <w:t>nica</w:t>
      </w:r>
      <w:r w:rsidR="00215B33" w:rsidRPr="00215B33">
        <w:rPr>
          <w:rFonts w:ascii="Bookman Old Style" w:hAnsi="Bookman Old Style"/>
          <w:sz w:val="22"/>
          <w:szCs w:val="22"/>
        </w:rPr>
        <w:t xml:space="preserve"> </w:t>
      </w:r>
      <w:r w:rsidRPr="00215B33">
        <w:rPr>
          <w:rFonts w:ascii="Bookman Old Style" w:hAnsi="Bookman Old Style"/>
          <w:sz w:val="22"/>
          <w:szCs w:val="22"/>
        </w:rPr>
        <w:t>estructura en doble circuito, contribuyó a la protección de recursos naturales y del medio ambiente.</w:t>
      </w:r>
    </w:p>
    <w:p w14:paraId="358272F0" w14:textId="77777777" w:rsidR="007A5A98" w:rsidRPr="00867D17" w:rsidRDefault="007A5A98" w:rsidP="00B40ED0">
      <w:pPr>
        <w:pStyle w:val="Cita"/>
        <w:numPr>
          <w:ilvl w:val="0"/>
          <w:numId w:val="21"/>
        </w:numPr>
        <w:ind w:left="709" w:right="284" w:hanging="425"/>
        <w:jc w:val="both"/>
        <w:rPr>
          <w:rFonts w:ascii="Bookman Old Style" w:hAnsi="Bookman Old Style"/>
          <w:sz w:val="22"/>
          <w:szCs w:val="22"/>
        </w:rPr>
      </w:pPr>
      <w:r w:rsidRPr="00867D17">
        <w:rPr>
          <w:rFonts w:ascii="Bookman Old Style" w:hAnsi="Bookman Old Style"/>
          <w:sz w:val="22"/>
          <w:szCs w:val="22"/>
        </w:rPr>
        <w:t>Adicionalmente, se aclara que la ejecución de las obras realizadas sobre los tramos existentes</w:t>
      </w:r>
      <w:r w:rsidR="00215B33" w:rsidRPr="00867D17">
        <w:rPr>
          <w:rFonts w:ascii="Bookman Old Style" w:hAnsi="Bookman Old Style"/>
          <w:sz w:val="22"/>
          <w:szCs w:val="22"/>
        </w:rPr>
        <w:t xml:space="preserve"> </w:t>
      </w:r>
      <w:r w:rsidRPr="00867D17">
        <w:rPr>
          <w:rFonts w:ascii="Bookman Old Style" w:hAnsi="Bookman Old Style"/>
          <w:sz w:val="22"/>
          <w:szCs w:val="22"/>
        </w:rPr>
        <w:t xml:space="preserve">fueron informadas permanentemente al interventor del proyecto </w:t>
      </w:r>
      <w:r w:rsidR="00215B33" w:rsidRPr="00867D17">
        <w:rPr>
          <w:rFonts w:ascii="Bookman Old Style" w:hAnsi="Bookman Old Style"/>
          <w:sz w:val="22"/>
          <w:szCs w:val="22"/>
        </w:rPr>
        <w:t>UPME</w:t>
      </w:r>
      <w:r w:rsidRPr="00867D17">
        <w:rPr>
          <w:rFonts w:ascii="Bookman Old Style" w:hAnsi="Bookman Old Style"/>
          <w:sz w:val="22"/>
          <w:szCs w:val="22"/>
        </w:rPr>
        <w:t>-02-201</w:t>
      </w:r>
      <w:r w:rsidR="00215B33" w:rsidRPr="00867D17">
        <w:rPr>
          <w:rFonts w:ascii="Bookman Old Style" w:hAnsi="Bookman Old Style"/>
          <w:sz w:val="22"/>
          <w:szCs w:val="22"/>
        </w:rPr>
        <w:t>4</w:t>
      </w:r>
      <w:r w:rsidRPr="00867D17">
        <w:rPr>
          <w:rFonts w:ascii="Bookman Old Style" w:hAnsi="Bookman Old Style"/>
          <w:sz w:val="22"/>
          <w:szCs w:val="22"/>
        </w:rPr>
        <w:t xml:space="preserve"> </w:t>
      </w:r>
      <w:r w:rsidR="00867D17">
        <w:rPr>
          <w:rFonts w:ascii="Bookman Old Style" w:hAnsi="Bookman Old Style"/>
          <w:sz w:val="22"/>
          <w:szCs w:val="22"/>
        </w:rPr>
        <w:t>-</w:t>
      </w:r>
      <w:r w:rsidRPr="00867D17">
        <w:rPr>
          <w:rFonts w:ascii="Bookman Old Style" w:hAnsi="Bookman Old Style"/>
          <w:sz w:val="22"/>
          <w:szCs w:val="22"/>
        </w:rPr>
        <w:t xml:space="preserve"> ACI</w:t>
      </w:r>
      <w:r w:rsidR="00867D17" w:rsidRPr="00867D17">
        <w:rPr>
          <w:rFonts w:ascii="Bookman Old Style" w:hAnsi="Bookman Old Style"/>
          <w:sz w:val="22"/>
          <w:szCs w:val="22"/>
        </w:rPr>
        <w:t xml:space="preserve"> </w:t>
      </w:r>
      <w:r w:rsidRPr="00867D17">
        <w:rPr>
          <w:rFonts w:ascii="Bookman Old Style" w:hAnsi="Bookman Old Style"/>
          <w:sz w:val="22"/>
          <w:szCs w:val="22"/>
        </w:rPr>
        <w:t>PROYECTOS S.A.S., designado por la UPME.</w:t>
      </w:r>
    </w:p>
    <w:p w14:paraId="68804151" w14:textId="77777777" w:rsidR="007A5A98" w:rsidRPr="00867D17" w:rsidRDefault="00867D17" w:rsidP="00B40ED0">
      <w:pPr>
        <w:pStyle w:val="Cita"/>
        <w:numPr>
          <w:ilvl w:val="0"/>
          <w:numId w:val="21"/>
        </w:numPr>
        <w:ind w:left="709" w:right="284" w:hanging="425"/>
        <w:jc w:val="both"/>
        <w:rPr>
          <w:rFonts w:ascii="Bookman Old Style" w:hAnsi="Bookman Old Style"/>
          <w:sz w:val="22"/>
          <w:szCs w:val="22"/>
        </w:rPr>
      </w:pPr>
      <w:r w:rsidRPr="00867D17">
        <w:rPr>
          <w:rFonts w:ascii="Bookman Old Style" w:hAnsi="Bookman Old Style"/>
          <w:sz w:val="22"/>
          <w:szCs w:val="22"/>
        </w:rPr>
        <w:t>F</w:t>
      </w:r>
      <w:r w:rsidR="007A5A98" w:rsidRPr="00867D17">
        <w:rPr>
          <w:rFonts w:ascii="Bookman Old Style" w:hAnsi="Bookman Old Style"/>
          <w:sz w:val="22"/>
          <w:szCs w:val="22"/>
        </w:rPr>
        <w:t>i</w:t>
      </w:r>
      <w:r w:rsidRPr="00867D17">
        <w:rPr>
          <w:rFonts w:ascii="Bookman Old Style" w:hAnsi="Bookman Old Style"/>
          <w:sz w:val="22"/>
          <w:szCs w:val="22"/>
        </w:rPr>
        <w:t>n</w:t>
      </w:r>
      <w:r w:rsidR="007A5A98" w:rsidRPr="00867D17">
        <w:rPr>
          <w:rFonts w:ascii="Bookman Old Style" w:hAnsi="Bookman Old Style"/>
          <w:sz w:val="22"/>
          <w:szCs w:val="22"/>
        </w:rPr>
        <w:t>almente, es importan</w:t>
      </w:r>
      <w:r w:rsidRPr="00867D17">
        <w:rPr>
          <w:rFonts w:ascii="Bookman Old Style" w:hAnsi="Bookman Old Style"/>
          <w:sz w:val="22"/>
          <w:szCs w:val="22"/>
        </w:rPr>
        <w:t>t</w:t>
      </w:r>
      <w:r w:rsidR="007A5A98" w:rsidRPr="00867D17">
        <w:rPr>
          <w:rFonts w:ascii="Bookman Old Style" w:hAnsi="Bookman Old Style"/>
          <w:sz w:val="22"/>
          <w:szCs w:val="22"/>
        </w:rPr>
        <w:t xml:space="preserve">e aclarar que los cambios </w:t>
      </w:r>
      <w:r w:rsidRPr="00867D17">
        <w:rPr>
          <w:rFonts w:ascii="Bookman Old Style" w:hAnsi="Bookman Old Style"/>
          <w:sz w:val="22"/>
          <w:szCs w:val="22"/>
        </w:rPr>
        <w:t>e</w:t>
      </w:r>
      <w:r w:rsidR="007A5A98" w:rsidRPr="00867D17">
        <w:rPr>
          <w:rFonts w:ascii="Bookman Old Style" w:hAnsi="Bookman Old Style"/>
          <w:sz w:val="22"/>
          <w:szCs w:val="22"/>
        </w:rPr>
        <w:t>n las longitudes de los tramos de l</w:t>
      </w:r>
      <w:r w:rsidRPr="00867D17">
        <w:rPr>
          <w:rFonts w:ascii="Bookman Old Style" w:hAnsi="Bookman Old Style"/>
          <w:sz w:val="22"/>
          <w:szCs w:val="22"/>
        </w:rPr>
        <w:t>í</w:t>
      </w:r>
      <w:r w:rsidR="007A5A98" w:rsidRPr="00867D17">
        <w:rPr>
          <w:rFonts w:ascii="Bookman Old Style" w:hAnsi="Bookman Old Style"/>
          <w:sz w:val="22"/>
          <w:szCs w:val="22"/>
        </w:rPr>
        <w:t>nea</w:t>
      </w:r>
      <w:r w:rsidRPr="00867D17">
        <w:rPr>
          <w:rFonts w:ascii="Bookman Old Style" w:hAnsi="Bookman Old Style"/>
          <w:sz w:val="22"/>
          <w:szCs w:val="22"/>
        </w:rPr>
        <w:t xml:space="preserve"> </w:t>
      </w:r>
      <w:r w:rsidR="007A5A98" w:rsidRPr="00867D17">
        <w:rPr>
          <w:rFonts w:ascii="Bookman Old Style" w:hAnsi="Bookman Old Style"/>
          <w:sz w:val="22"/>
          <w:szCs w:val="22"/>
        </w:rPr>
        <w:t xml:space="preserve">existentes </w:t>
      </w:r>
      <w:proofErr w:type="spellStart"/>
      <w:r w:rsidR="007A5A98" w:rsidRPr="00867D17">
        <w:rPr>
          <w:rFonts w:ascii="Bookman Old Style" w:hAnsi="Bookman Old Style"/>
          <w:sz w:val="22"/>
          <w:szCs w:val="22"/>
        </w:rPr>
        <w:t>Guavio</w:t>
      </w:r>
      <w:proofErr w:type="spellEnd"/>
      <w:r w:rsidR="007A5A98" w:rsidRPr="00867D17">
        <w:rPr>
          <w:rFonts w:ascii="Bookman Old Style" w:hAnsi="Bookman Old Style"/>
          <w:sz w:val="22"/>
          <w:szCs w:val="22"/>
        </w:rPr>
        <w:t xml:space="preserve"> - La Reforma 1 y La </w:t>
      </w:r>
      <w:proofErr w:type="spellStart"/>
      <w:r w:rsidR="007A5A98" w:rsidRPr="00867D17">
        <w:rPr>
          <w:rFonts w:ascii="Bookman Old Style" w:hAnsi="Bookman Old Style"/>
          <w:sz w:val="22"/>
          <w:szCs w:val="22"/>
        </w:rPr>
        <w:t>Re</w:t>
      </w:r>
      <w:r w:rsidRPr="00867D17">
        <w:rPr>
          <w:rFonts w:ascii="Bookman Old Style" w:hAnsi="Bookman Old Style"/>
          <w:sz w:val="22"/>
          <w:szCs w:val="22"/>
        </w:rPr>
        <w:t>f</w:t>
      </w:r>
      <w:r w:rsidR="007A5A98" w:rsidRPr="00867D17">
        <w:rPr>
          <w:rFonts w:ascii="Bookman Old Style" w:hAnsi="Bookman Old Style"/>
          <w:sz w:val="22"/>
          <w:szCs w:val="22"/>
        </w:rPr>
        <w:t>oma</w:t>
      </w:r>
      <w:proofErr w:type="spellEnd"/>
      <w:r w:rsidR="007A5A98" w:rsidRPr="00867D17">
        <w:rPr>
          <w:rFonts w:ascii="Bookman Old Style" w:hAnsi="Bookman Old Style"/>
          <w:sz w:val="22"/>
          <w:szCs w:val="22"/>
        </w:rPr>
        <w:t xml:space="preserve"> </w:t>
      </w:r>
      <w:r w:rsidRPr="00867D17">
        <w:rPr>
          <w:rFonts w:ascii="Bookman Old Style" w:hAnsi="Bookman Old Style"/>
          <w:sz w:val="22"/>
          <w:szCs w:val="22"/>
        </w:rPr>
        <w:t>- T</w:t>
      </w:r>
      <w:r w:rsidR="007A5A98" w:rsidRPr="00867D17">
        <w:rPr>
          <w:rFonts w:ascii="Bookman Old Style" w:hAnsi="Bookman Old Style"/>
          <w:sz w:val="22"/>
          <w:szCs w:val="22"/>
        </w:rPr>
        <w:t>unal 1, que permiten la entrada de la l</w:t>
      </w:r>
      <w:r w:rsidRPr="00867D17">
        <w:rPr>
          <w:rFonts w:ascii="Bookman Old Style" w:hAnsi="Bookman Old Style"/>
          <w:sz w:val="22"/>
          <w:szCs w:val="22"/>
        </w:rPr>
        <w:t>í</w:t>
      </w:r>
      <w:r w:rsidR="007A5A98" w:rsidRPr="00867D17">
        <w:rPr>
          <w:rFonts w:ascii="Bookman Old Style" w:hAnsi="Bookman Old Style"/>
          <w:sz w:val="22"/>
          <w:szCs w:val="22"/>
        </w:rPr>
        <w:t>nea</w:t>
      </w:r>
      <w:r w:rsidRPr="00867D17">
        <w:rPr>
          <w:rFonts w:ascii="Bookman Old Style" w:hAnsi="Bookman Old Style"/>
          <w:sz w:val="22"/>
          <w:szCs w:val="22"/>
        </w:rPr>
        <w:t xml:space="preserve"> </w:t>
      </w:r>
      <w:proofErr w:type="spellStart"/>
      <w:r w:rsidR="007A5A98" w:rsidRPr="00867D17">
        <w:rPr>
          <w:rFonts w:ascii="Bookman Old Style" w:hAnsi="Bookman Old Style"/>
          <w:sz w:val="22"/>
          <w:szCs w:val="22"/>
        </w:rPr>
        <w:t>Guavio</w:t>
      </w:r>
      <w:proofErr w:type="spellEnd"/>
      <w:r w:rsidR="007A5A98" w:rsidRPr="00867D17">
        <w:rPr>
          <w:rFonts w:ascii="Bookman Old Style" w:hAnsi="Bookman Old Style"/>
          <w:sz w:val="22"/>
          <w:szCs w:val="22"/>
        </w:rPr>
        <w:t xml:space="preserve"> - Tunal 1 </w:t>
      </w:r>
      <w:r w:rsidRPr="00867D17">
        <w:rPr>
          <w:rFonts w:ascii="Bookman Old Style" w:hAnsi="Bookman Old Style"/>
          <w:sz w:val="22"/>
          <w:szCs w:val="22"/>
        </w:rPr>
        <w:t>2</w:t>
      </w:r>
      <w:r w:rsidR="007A5A98" w:rsidRPr="00867D17">
        <w:rPr>
          <w:rFonts w:ascii="Bookman Old Style" w:hAnsi="Bookman Old Style"/>
          <w:sz w:val="22"/>
          <w:szCs w:val="22"/>
        </w:rPr>
        <w:t xml:space="preserve">30 </w:t>
      </w:r>
      <w:proofErr w:type="spellStart"/>
      <w:r w:rsidR="007A5A98" w:rsidRPr="00867D17">
        <w:rPr>
          <w:rFonts w:ascii="Bookman Old Style" w:hAnsi="Bookman Old Style"/>
          <w:sz w:val="22"/>
          <w:szCs w:val="22"/>
        </w:rPr>
        <w:t>kV</w:t>
      </w:r>
      <w:proofErr w:type="spellEnd"/>
      <w:r w:rsidR="007A5A98" w:rsidRPr="00867D17">
        <w:rPr>
          <w:rFonts w:ascii="Bookman Old Style" w:hAnsi="Bookman Old Style"/>
          <w:sz w:val="22"/>
          <w:szCs w:val="22"/>
        </w:rPr>
        <w:t xml:space="preserve"> a la Subestación La Reforma, reportados en nuestra comunicación ITCO 201</w:t>
      </w:r>
      <w:r w:rsidRPr="00867D17">
        <w:rPr>
          <w:rFonts w:ascii="Bookman Old Style" w:hAnsi="Bookman Old Style"/>
          <w:sz w:val="22"/>
          <w:szCs w:val="22"/>
        </w:rPr>
        <w:t>5</w:t>
      </w:r>
      <w:r w:rsidR="007A5A98" w:rsidRPr="00867D17">
        <w:rPr>
          <w:rFonts w:ascii="Bookman Old Style" w:hAnsi="Bookman Old Style"/>
          <w:sz w:val="22"/>
          <w:szCs w:val="22"/>
        </w:rPr>
        <w:t>//</w:t>
      </w:r>
      <w:r w:rsidRPr="00867D17">
        <w:rPr>
          <w:rFonts w:ascii="Bookman Old Style" w:hAnsi="Bookman Old Style"/>
          <w:sz w:val="22"/>
          <w:szCs w:val="22"/>
        </w:rPr>
        <w:t xml:space="preserve">005384-1 </w:t>
      </w:r>
      <w:r w:rsidR="007A5A98" w:rsidRPr="00867D17">
        <w:rPr>
          <w:rFonts w:ascii="Bookman Old Style" w:hAnsi="Bookman Old Style"/>
          <w:sz w:val="22"/>
          <w:szCs w:val="22"/>
        </w:rPr>
        <w:t>de noviembre 30 de 201</w:t>
      </w:r>
      <w:r w:rsidRPr="00867D17">
        <w:rPr>
          <w:rFonts w:ascii="Bookman Old Style" w:hAnsi="Bookman Old Style"/>
          <w:sz w:val="22"/>
          <w:szCs w:val="22"/>
        </w:rPr>
        <w:t>5</w:t>
      </w:r>
      <w:r w:rsidR="007A5A98" w:rsidRPr="00867D17">
        <w:rPr>
          <w:rFonts w:ascii="Bookman Old Style" w:hAnsi="Bookman Old Style"/>
          <w:sz w:val="22"/>
          <w:szCs w:val="22"/>
        </w:rPr>
        <w:t>, obedecen a medición topográfica realizada</w:t>
      </w:r>
      <w:r w:rsidRPr="00867D17">
        <w:rPr>
          <w:rFonts w:ascii="Bookman Old Style" w:hAnsi="Bookman Old Style"/>
          <w:sz w:val="22"/>
          <w:szCs w:val="22"/>
        </w:rPr>
        <w:t xml:space="preserve"> </w:t>
      </w:r>
      <w:r w:rsidR="007A5A98" w:rsidRPr="00867D17">
        <w:rPr>
          <w:rFonts w:ascii="Bookman Old Style" w:hAnsi="Bookman Old Style"/>
          <w:sz w:val="22"/>
          <w:szCs w:val="22"/>
        </w:rPr>
        <w:t>sobre dichos tramos, en el marco d</w:t>
      </w:r>
      <w:r>
        <w:rPr>
          <w:rFonts w:ascii="Bookman Old Style" w:hAnsi="Bookman Old Style"/>
          <w:sz w:val="22"/>
          <w:szCs w:val="22"/>
        </w:rPr>
        <w:t>e</w:t>
      </w:r>
      <w:r w:rsidR="007A5A98" w:rsidRPr="00867D17">
        <w:rPr>
          <w:rFonts w:ascii="Bookman Old Style" w:hAnsi="Bookman Old Style"/>
          <w:sz w:val="22"/>
          <w:szCs w:val="22"/>
        </w:rPr>
        <w:t xml:space="preserve"> la ejecución del proyecto de convocatoria.</w:t>
      </w:r>
    </w:p>
    <w:p w14:paraId="1B56C25B" w14:textId="77777777" w:rsidR="00FC3F4A" w:rsidRPr="00867D17" w:rsidRDefault="007A5A98" w:rsidP="00867D17">
      <w:pPr>
        <w:pStyle w:val="Cita"/>
        <w:numPr>
          <w:ilvl w:val="0"/>
          <w:numId w:val="21"/>
        </w:numPr>
        <w:ind w:left="709" w:right="284" w:hanging="425"/>
        <w:jc w:val="both"/>
        <w:rPr>
          <w:rFonts w:ascii="Bookman Old Style" w:hAnsi="Bookman Old Style"/>
          <w:sz w:val="22"/>
          <w:szCs w:val="22"/>
        </w:rPr>
      </w:pPr>
      <w:r w:rsidRPr="00BB63BD">
        <w:rPr>
          <w:rFonts w:ascii="Bookman Old Style" w:hAnsi="Bookman Old Style"/>
          <w:sz w:val="22"/>
          <w:szCs w:val="22"/>
        </w:rPr>
        <w:t>Dadas las anteriores explicaciones, si la Comisión considera que debemos realizar algún trámite en relación con el cambio de unidad constructiva para el tramo de l</w:t>
      </w:r>
      <w:r w:rsidR="00867D17">
        <w:rPr>
          <w:rFonts w:ascii="Bookman Old Style" w:hAnsi="Bookman Old Style"/>
          <w:sz w:val="22"/>
          <w:szCs w:val="22"/>
        </w:rPr>
        <w:t>í</w:t>
      </w:r>
      <w:r w:rsidRPr="00BB63BD">
        <w:rPr>
          <w:rFonts w:ascii="Bookman Old Style" w:hAnsi="Bookman Old Style"/>
          <w:sz w:val="22"/>
          <w:szCs w:val="22"/>
        </w:rPr>
        <w:t>nea que permite el ingreso de la L</w:t>
      </w:r>
      <w:r w:rsidR="00867D17">
        <w:rPr>
          <w:rFonts w:ascii="Bookman Old Style" w:hAnsi="Bookman Old Style"/>
          <w:sz w:val="22"/>
          <w:szCs w:val="22"/>
        </w:rPr>
        <w:t>í</w:t>
      </w:r>
      <w:r w:rsidRPr="00BB63BD">
        <w:rPr>
          <w:rFonts w:ascii="Bookman Old Style" w:hAnsi="Bookman Old Style"/>
          <w:sz w:val="22"/>
          <w:szCs w:val="22"/>
        </w:rPr>
        <w:t xml:space="preserve">nea </w:t>
      </w:r>
      <w:proofErr w:type="spellStart"/>
      <w:r w:rsidRPr="00BB63BD">
        <w:rPr>
          <w:rFonts w:ascii="Bookman Old Style" w:hAnsi="Bookman Old Style"/>
          <w:sz w:val="22"/>
          <w:szCs w:val="22"/>
        </w:rPr>
        <w:t>Guavio</w:t>
      </w:r>
      <w:proofErr w:type="spellEnd"/>
      <w:r w:rsidRPr="00BB63BD">
        <w:rPr>
          <w:rFonts w:ascii="Bookman Old Style" w:hAnsi="Bookman Old Style"/>
          <w:sz w:val="22"/>
          <w:szCs w:val="22"/>
        </w:rPr>
        <w:t xml:space="preserve"> - Tunal 1 a la Subestación </w:t>
      </w:r>
      <w:r w:rsidR="00867D17">
        <w:rPr>
          <w:rFonts w:ascii="Bookman Old Style" w:hAnsi="Bookman Old Style"/>
          <w:sz w:val="22"/>
          <w:szCs w:val="22"/>
        </w:rPr>
        <w:t>L</w:t>
      </w:r>
      <w:r w:rsidRPr="00BB63BD">
        <w:rPr>
          <w:rFonts w:ascii="Bookman Old Style" w:hAnsi="Bookman Old Style"/>
          <w:sz w:val="22"/>
          <w:szCs w:val="22"/>
        </w:rPr>
        <w:t>a Reforma, estaremos atentos a realizarlo.</w:t>
      </w:r>
    </w:p>
    <w:p w14:paraId="6A6ACF2F" w14:textId="23063F73" w:rsidR="00A60380" w:rsidRDefault="00A60380" w:rsidP="00A60380">
      <w:pPr>
        <w:ind w:left="0"/>
        <w:jc w:val="both"/>
        <w:rPr>
          <w:rFonts w:ascii="Bookman Old Style" w:hAnsi="Bookman Old Style"/>
        </w:rPr>
      </w:pPr>
      <w:r>
        <w:rPr>
          <w:rFonts w:ascii="Bookman Old Style" w:hAnsi="Bookman Old Style"/>
        </w:rPr>
        <w:t xml:space="preserve">En la comunicación con radicado CREG </w:t>
      </w:r>
      <w:r w:rsidR="00003056">
        <w:rPr>
          <w:rFonts w:ascii="Bookman Old Style" w:hAnsi="Bookman Old Style"/>
        </w:rPr>
        <w:t>S</w:t>
      </w:r>
      <w:r>
        <w:rPr>
          <w:rFonts w:ascii="Bookman Old Style" w:hAnsi="Bookman Old Style"/>
        </w:rPr>
        <w:t>-2016-</w:t>
      </w:r>
      <w:r w:rsidR="00003056">
        <w:rPr>
          <w:rFonts w:ascii="Bookman Old Style" w:hAnsi="Bookman Old Style"/>
        </w:rPr>
        <w:t>000633</w:t>
      </w:r>
      <w:r>
        <w:rPr>
          <w:rFonts w:ascii="Bookman Old Style" w:hAnsi="Bookman Old Style"/>
        </w:rPr>
        <w:t>, del 19 de febrero de 2016, enviada por la CREG a la UPME</w:t>
      </w:r>
      <w:r w:rsidR="00772A8D">
        <w:rPr>
          <w:rFonts w:ascii="Bookman Old Style" w:hAnsi="Bookman Old Style"/>
        </w:rPr>
        <w:t>,</w:t>
      </w:r>
      <w:r>
        <w:rPr>
          <w:rFonts w:ascii="Bookman Old Style" w:hAnsi="Bookman Old Style"/>
        </w:rPr>
        <w:t xml:space="preserve"> se solicitó lo siguiente:</w:t>
      </w:r>
    </w:p>
    <w:p w14:paraId="1E9B2BC6" w14:textId="77777777" w:rsidR="00A60380" w:rsidRPr="00F8754C" w:rsidRDefault="00A60380" w:rsidP="00A60380">
      <w:pPr>
        <w:pStyle w:val="Cita"/>
        <w:ind w:left="284" w:right="284"/>
        <w:jc w:val="both"/>
        <w:rPr>
          <w:rFonts w:ascii="Bookman Old Style" w:hAnsi="Bookman Old Style"/>
          <w:sz w:val="22"/>
        </w:rPr>
      </w:pPr>
      <w:r w:rsidRPr="00F8754C">
        <w:rPr>
          <w:rFonts w:ascii="Bookman Old Style" w:hAnsi="Bookman Old Style"/>
          <w:sz w:val="22"/>
        </w:rPr>
        <w:t>Dentro de la actuación de la referencia se ha considerado necesario precisar algunos aspectos relacionados con las obras ejecutadas en la subestación La Reforma, y las líneas que la conectan al STN, con ocasión de la ejecución del proyecto objeto de la convocatoria UPME 02-2014.</w:t>
      </w:r>
    </w:p>
    <w:p w14:paraId="41EAFB69" w14:textId="77777777" w:rsidR="00A60380" w:rsidRPr="00F8754C" w:rsidRDefault="00A60380" w:rsidP="00A60380">
      <w:pPr>
        <w:pStyle w:val="Cita"/>
        <w:ind w:left="284" w:right="284"/>
        <w:jc w:val="both"/>
        <w:rPr>
          <w:rFonts w:ascii="Bookman Old Style" w:hAnsi="Bookman Old Style"/>
          <w:sz w:val="22"/>
        </w:rPr>
      </w:pPr>
      <w:r w:rsidRPr="00F8754C">
        <w:rPr>
          <w:rFonts w:ascii="Bookman Old Style" w:hAnsi="Bookman Old Style"/>
          <w:sz w:val="22"/>
        </w:rPr>
        <w:t>Con este propósito, nos dirigimos a su despacho para solicitar la siguiente información, relacionada con la convocatoria UPME 02-2014:</w:t>
      </w:r>
    </w:p>
    <w:p w14:paraId="6EBBB2A0" w14:textId="77777777" w:rsidR="00A60380" w:rsidRPr="00F8754C" w:rsidRDefault="00A60380" w:rsidP="00A60380">
      <w:pPr>
        <w:pStyle w:val="Cita"/>
        <w:numPr>
          <w:ilvl w:val="0"/>
          <w:numId w:val="19"/>
        </w:numPr>
        <w:ind w:left="709" w:right="284" w:hanging="425"/>
        <w:jc w:val="both"/>
        <w:rPr>
          <w:rFonts w:ascii="Bookman Old Style" w:hAnsi="Bookman Old Style"/>
          <w:sz w:val="22"/>
        </w:rPr>
      </w:pPr>
      <w:r w:rsidRPr="00F8754C">
        <w:rPr>
          <w:rFonts w:ascii="Bookman Old Style" w:hAnsi="Bookman Old Style"/>
          <w:sz w:val="22"/>
        </w:rPr>
        <w:t>Listado de obras a ejecutar, de ser posible, asociadas con las unidades constructivas vigentes.</w:t>
      </w:r>
    </w:p>
    <w:p w14:paraId="31C088E8" w14:textId="77777777" w:rsidR="00A60380" w:rsidRPr="00F8754C" w:rsidRDefault="00A60380" w:rsidP="00A60380">
      <w:pPr>
        <w:pStyle w:val="Cita"/>
        <w:numPr>
          <w:ilvl w:val="0"/>
          <w:numId w:val="19"/>
        </w:numPr>
        <w:ind w:left="709" w:right="284" w:hanging="425"/>
        <w:jc w:val="both"/>
        <w:rPr>
          <w:rFonts w:ascii="Bookman Old Style" w:hAnsi="Bookman Old Style"/>
          <w:sz w:val="22"/>
        </w:rPr>
      </w:pPr>
      <w:r w:rsidRPr="00F8754C">
        <w:rPr>
          <w:rFonts w:ascii="Bookman Old Style" w:hAnsi="Bookman Old Style"/>
          <w:sz w:val="22"/>
        </w:rPr>
        <w:t>Identificar cuáles estaban a cargo del adjudicatario de la convocatoria.</w:t>
      </w:r>
    </w:p>
    <w:p w14:paraId="4250EB99" w14:textId="77777777" w:rsidR="00A60380" w:rsidRPr="00F8754C" w:rsidRDefault="00A60380" w:rsidP="00A60380">
      <w:pPr>
        <w:pStyle w:val="Cita"/>
        <w:numPr>
          <w:ilvl w:val="0"/>
          <w:numId w:val="19"/>
        </w:numPr>
        <w:ind w:left="709" w:right="284" w:hanging="425"/>
        <w:jc w:val="both"/>
        <w:rPr>
          <w:rFonts w:ascii="Bookman Old Style" w:hAnsi="Bookman Old Style"/>
          <w:sz w:val="22"/>
        </w:rPr>
      </w:pPr>
      <w:r w:rsidRPr="00F8754C">
        <w:rPr>
          <w:rFonts w:ascii="Bookman Old Style" w:hAnsi="Bookman Old Style"/>
          <w:sz w:val="22"/>
        </w:rPr>
        <w:lastRenderedPageBreak/>
        <w:t>Identificar las labores u obras adicionales a ser ejecutadas por el representante ante el LAC de la subestación La Reforma, ocasionadas por la ejecución del proyecto objeto de la convocatoria.</w:t>
      </w:r>
    </w:p>
    <w:p w14:paraId="356B12B7" w14:textId="77777777" w:rsidR="00A60380" w:rsidRDefault="00A60380" w:rsidP="00A60380">
      <w:pPr>
        <w:spacing w:after="240"/>
        <w:ind w:left="0"/>
        <w:jc w:val="both"/>
        <w:rPr>
          <w:rFonts w:ascii="Bookman Old Style" w:hAnsi="Bookman Old Style"/>
        </w:rPr>
      </w:pPr>
      <w:r>
        <w:rPr>
          <w:rFonts w:ascii="Bookman Old Style" w:hAnsi="Bookman Old Style"/>
        </w:rPr>
        <w:t>En respuesta la UPME</w:t>
      </w:r>
      <w:r w:rsidR="001638BC">
        <w:rPr>
          <w:rFonts w:ascii="Bookman Old Style" w:hAnsi="Bookman Old Style"/>
        </w:rPr>
        <w:t>,</w:t>
      </w:r>
      <w:r>
        <w:rPr>
          <w:rFonts w:ascii="Bookman Old Style" w:hAnsi="Bookman Old Style"/>
        </w:rPr>
        <w:t xml:space="preserve"> mediante comunicación con radicado CREG E</w:t>
      </w:r>
      <w:r>
        <w:rPr>
          <w:rFonts w:ascii="Bookman Old Style" w:hAnsi="Bookman Old Style"/>
        </w:rPr>
        <w:noBreakHyphen/>
        <w:t>2016-00</w:t>
      </w:r>
      <w:r w:rsidR="00F934BE">
        <w:rPr>
          <w:rFonts w:ascii="Bookman Old Style" w:hAnsi="Bookman Old Style"/>
        </w:rPr>
        <w:t>7015</w:t>
      </w:r>
      <w:r>
        <w:rPr>
          <w:rFonts w:ascii="Bookman Old Style" w:hAnsi="Bookman Old Style"/>
        </w:rPr>
        <w:t xml:space="preserve"> del </w:t>
      </w:r>
      <w:r w:rsidR="00F934BE">
        <w:rPr>
          <w:rFonts w:ascii="Bookman Old Style" w:hAnsi="Bookman Old Style"/>
        </w:rPr>
        <w:t>20</w:t>
      </w:r>
      <w:r>
        <w:rPr>
          <w:rFonts w:ascii="Bookman Old Style" w:hAnsi="Bookman Old Style"/>
        </w:rPr>
        <w:t xml:space="preserve"> de </w:t>
      </w:r>
      <w:r w:rsidR="00F934BE">
        <w:rPr>
          <w:rFonts w:ascii="Bookman Old Style" w:hAnsi="Bookman Old Style"/>
        </w:rPr>
        <w:t>juni</w:t>
      </w:r>
      <w:r>
        <w:rPr>
          <w:rFonts w:ascii="Bookman Old Style" w:hAnsi="Bookman Old Style"/>
        </w:rPr>
        <w:t>o de 2016, afirma:</w:t>
      </w:r>
    </w:p>
    <w:p w14:paraId="67B9D0EB" w14:textId="77777777" w:rsidR="007C353C" w:rsidRPr="00BB63BD" w:rsidRDefault="007C353C" w:rsidP="00FA512A">
      <w:pPr>
        <w:spacing w:after="240"/>
        <w:ind w:left="284" w:right="284"/>
        <w:jc w:val="both"/>
        <w:rPr>
          <w:rFonts w:ascii="Bookman Old Style" w:hAnsi="Bookman Old Style"/>
          <w:i/>
          <w:sz w:val="22"/>
          <w:szCs w:val="22"/>
        </w:rPr>
      </w:pPr>
      <w:r w:rsidRPr="00BB63BD">
        <w:rPr>
          <w:rFonts w:ascii="Bookman Old Style" w:hAnsi="Bookman Old Style"/>
          <w:i/>
          <w:sz w:val="22"/>
          <w:szCs w:val="22"/>
        </w:rPr>
        <w:t>1. Listado de obras a ejecutar, de ser posible, asociadas con las unidades constructivas vigentes.</w:t>
      </w:r>
    </w:p>
    <w:p w14:paraId="5E90AA6D" w14:textId="77777777" w:rsidR="007C353C" w:rsidRPr="00BB63BD" w:rsidRDefault="007C353C" w:rsidP="00FA512A">
      <w:pPr>
        <w:spacing w:after="240"/>
        <w:ind w:left="284" w:right="284"/>
        <w:jc w:val="both"/>
        <w:rPr>
          <w:rFonts w:ascii="Bookman Old Style" w:hAnsi="Bookman Old Style"/>
          <w:i/>
          <w:sz w:val="22"/>
          <w:szCs w:val="22"/>
        </w:rPr>
      </w:pPr>
      <w:r w:rsidRPr="00BB63BD">
        <w:rPr>
          <w:rFonts w:ascii="Bookman Old Style" w:hAnsi="Bookman Old Style"/>
          <w:i/>
          <w:sz w:val="22"/>
          <w:szCs w:val="22"/>
        </w:rPr>
        <w:t xml:space="preserve">Respuesta: El Proyecto UPME 02-2014 consiste en el diseño, adquisición de suministros, construcción, pruebas operación y mantenimiento de la Subestación Reforma al Circuito </w:t>
      </w:r>
      <w:proofErr w:type="spellStart"/>
      <w:r w:rsidRPr="00BB63BD">
        <w:rPr>
          <w:rFonts w:ascii="Bookman Old Style" w:hAnsi="Bookman Old Style"/>
          <w:i/>
          <w:sz w:val="22"/>
          <w:szCs w:val="22"/>
        </w:rPr>
        <w:t>Guavio</w:t>
      </w:r>
      <w:proofErr w:type="spellEnd"/>
      <w:r w:rsidRPr="00BB63BD">
        <w:rPr>
          <w:rFonts w:ascii="Bookman Old Style" w:hAnsi="Bookman Old Style"/>
          <w:i/>
          <w:sz w:val="22"/>
          <w:szCs w:val="22"/>
        </w:rPr>
        <w:t xml:space="preserve"> - Tunal 230 </w:t>
      </w:r>
      <w:proofErr w:type="spellStart"/>
      <w:r w:rsidRPr="00BB63BD">
        <w:rPr>
          <w:rFonts w:ascii="Bookman Old Style" w:hAnsi="Bookman Old Style"/>
          <w:i/>
          <w:sz w:val="22"/>
          <w:szCs w:val="22"/>
        </w:rPr>
        <w:t>kV</w:t>
      </w:r>
      <w:proofErr w:type="spellEnd"/>
      <w:r w:rsidRPr="00BB63BD">
        <w:rPr>
          <w:rFonts w:ascii="Bookman Old Style" w:hAnsi="Bookman Old Style"/>
          <w:i/>
          <w:sz w:val="22"/>
          <w:szCs w:val="22"/>
        </w:rPr>
        <w:t>.</w:t>
      </w:r>
    </w:p>
    <w:p w14:paraId="6EE6F661" w14:textId="77777777" w:rsidR="007C353C" w:rsidRPr="00BB63BD" w:rsidRDefault="007C353C" w:rsidP="00FA512A">
      <w:pPr>
        <w:spacing w:after="240"/>
        <w:ind w:left="284" w:right="284"/>
        <w:jc w:val="both"/>
        <w:rPr>
          <w:rFonts w:ascii="Bookman Old Style" w:hAnsi="Bookman Old Style"/>
          <w:i/>
          <w:sz w:val="22"/>
          <w:szCs w:val="22"/>
        </w:rPr>
      </w:pPr>
      <w:r w:rsidRPr="00BB63BD">
        <w:rPr>
          <w:rFonts w:ascii="Bookman Old Style" w:hAnsi="Bookman Old Style"/>
          <w:i/>
          <w:sz w:val="22"/>
          <w:szCs w:val="22"/>
        </w:rPr>
        <w:t xml:space="preserve">El alcance específico consistió en el diseño y construcción de dos (2) nuevas bahías de línea para conectar los circuitos que resulten de la reconfiguración de la existente línea </w:t>
      </w:r>
      <w:proofErr w:type="spellStart"/>
      <w:r w:rsidRPr="00BB63BD">
        <w:rPr>
          <w:rFonts w:ascii="Bookman Old Style" w:hAnsi="Bookman Old Style"/>
          <w:i/>
          <w:sz w:val="22"/>
          <w:szCs w:val="22"/>
        </w:rPr>
        <w:t>Guavio</w:t>
      </w:r>
      <w:proofErr w:type="spellEnd"/>
      <w:r w:rsidRPr="00BB63BD">
        <w:rPr>
          <w:rFonts w:ascii="Bookman Old Style" w:hAnsi="Bookman Old Style"/>
          <w:i/>
          <w:sz w:val="22"/>
          <w:szCs w:val="22"/>
        </w:rPr>
        <w:t xml:space="preserve"> - Tunal 230 </w:t>
      </w:r>
      <w:proofErr w:type="spellStart"/>
      <w:r w:rsidRPr="00BB63BD">
        <w:rPr>
          <w:rFonts w:ascii="Bookman Old Style" w:hAnsi="Bookman Old Style"/>
          <w:i/>
          <w:sz w:val="22"/>
          <w:szCs w:val="22"/>
        </w:rPr>
        <w:t>kV</w:t>
      </w:r>
      <w:proofErr w:type="spellEnd"/>
      <w:r w:rsidRPr="00BB63BD">
        <w:rPr>
          <w:rFonts w:ascii="Bookman Old Style" w:hAnsi="Bookman Old Style"/>
          <w:i/>
          <w:sz w:val="22"/>
          <w:szCs w:val="22"/>
        </w:rPr>
        <w:t>, así:</w:t>
      </w:r>
    </w:p>
    <w:p w14:paraId="2D86DED3" w14:textId="77777777" w:rsidR="007C353C" w:rsidRPr="00BB63BD" w:rsidRDefault="007C353C" w:rsidP="00FA512A">
      <w:pPr>
        <w:spacing w:after="240"/>
        <w:ind w:left="709" w:right="284" w:hanging="425"/>
        <w:jc w:val="both"/>
        <w:rPr>
          <w:rFonts w:ascii="Bookman Old Style" w:hAnsi="Bookman Old Style"/>
          <w:i/>
          <w:sz w:val="22"/>
          <w:szCs w:val="22"/>
        </w:rPr>
      </w:pPr>
      <w:r w:rsidRPr="00BB63BD">
        <w:rPr>
          <w:rFonts w:ascii="Bookman Old Style" w:hAnsi="Bookman Old Style"/>
          <w:i/>
          <w:sz w:val="22"/>
          <w:szCs w:val="22"/>
        </w:rPr>
        <w:t>i.</w:t>
      </w:r>
      <w:r w:rsidRPr="00BB63BD">
        <w:rPr>
          <w:rFonts w:ascii="Bookman Old Style" w:hAnsi="Bookman Old Style"/>
          <w:i/>
          <w:sz w:val="22"/>
          <w:szCs w:val="22"/>
        </w:rPr>
        <w:tab/>
        <w:t>Construcción de dos (2) bahías de línea en la existente Subestación Reforma ubicada en inmediaciones del Municipio de Villavicencio - Meta.</w:t>
      </w:r>
    </w:p>
    <w:p w14:paraId="2A1F1A99" w14:textId="77777777" w:rsidR="007C353C" w:rsidRPr="00BB63BD" w:rsidRDefault="007C353C" w:rsidP="00FA512A">
      <w:pPr>
        <w:spacing w:after="240"/>
        <w:ind w:left="709" w:right="284" w:hanging="425"/>
        <w:jc w:val="both"/>
        <w:rPr>
          <w:rFonts w:ascii="Bookman Old Style" w:hAnsi="Bookman Old Style"/>
          <w:i/>
          <w:sz w:val="22"/>
          <w:szCs w:val="22"/>
        </w:rPr>
      </w:pPr>
      <w:r w:rsidRPr="00BB63BD">
        <w:rPr>
          <w:rFonts w:ascii="Bookman Old Style" w:hAnsi="Bookman Old Style"/>
          <w:i/>
          <w:sz w:val="22"/>
          <w:szCs w:val="22"/>
        </w:rPr>
        <w:t>ii.</w:t>
      </w:r>
      <w:r w:rsidRPr="00BB63BD">
        <w:rPr>
          <w:rFonts w:ascii="Bookman Old Style" w:hAnsi="Bookman Old Style"/>
          <w:i/>
          <w:sz w:val="22"/>
          <w:szCs w:val="22"/>
        </w:rPr>
        <w:tab/>
        <w:t xml:space="preserve">Construcción de dos (2) circuitos 230 </w:t>
      </w:r>
      <w:proofErr w:type="spellStart"/>
      <w:r w:rsidRPr="00BB63BD">
        <w:rPr>
          <w:rFonts w:ascii="Bookman Old Style" w:hAnsi="Bookman Old Style"/>
          <w:i/>
          <w:sz w:val="22"/>
          <w:szCs w:val="22"/>
        </w:rPr>
        <w:t>kV</w:t>
      </w:r>
      <w:proofErr w:type="spellEnd"/>
      <w:r w:rsidRPr="00BB63BD">
        <w:rPr>
          <w:rFonts w:ascii="Bookman Old Style" w:hAnsi="Bookman Old Style"/>
          <w:i/>
          <w:sz w:val="22"/>
          <w:szCs w:val="22"/>
        </w:rPr>
        <w:t xml:space="preserve"> con una longitud aproximada de 1 km, desde la existente Subestación Reforma 230 </w:t>
      </w:r>
      <w:proofErr w:type="spellStart"/>
      <w:r w:rsidRPr="00BB63BD">
        <w:rPr>
          <w:rFonts w:ascii="Bookman Old Style" w:hAnsi="Bookman Old Style"/>
          <w:i/>
          <w:sz w:val="22"/>
          <w:szCs w:val="22"/>
        </w:rPr>
        <w:t>kV</w:t>
      </w:r>
      <w:proofErr w:type="spellEnd"/>
      <w:r w:rsidRPr="00BB63BD">
        <w:rPr>
          <w:rFonts w:ascii="Bookman Old Style" w:hAnsi="Bookman Old Style"/>
          <w:i/>
          <w:sz w:val="22"/>
          <w:szCs w:val="22"/>
        </w:rPr>
        <w:t xml:space="preserve"> hasta un punto de la línea de transmisión existente </w:t>
      </w:r>
      <w:proofErr w:type="spellStart"/>
      <w:r w:rsidRPr="00BB63BD">
        <w:rPr>
          <w:rFonts w:ascii="Bookman Old Style" w:hAnsi="Bookman Old Style"/>
          <w:i/>
          <w:sz w:val="22"/>
          <w:szCs w:val="22"/>
        </w:rPr>
        <w:t>Guavio</w:t>
      </w:r>
      <w:proofErr w:type="spellEnd"/>
      <w:r w:rsidRPr="00BB63BD">
        <w:rPr>
          <w:rFonts w:ascii="Bookman Old Style" w:hAnsi="Bookman Old Style"/>
          <w:i/>
          <w:sz w:val="22"/>
          <w:szCs w:val="22"/>
        </w:rPr>
        <w:t xml:space="preserve"> - Tunal 230 </w:t>
      </w:r>
      <w:proofErr w:type="spellStart"/>
      <w:r w:rsidRPr="00BB63BD">
        <w:rPr>
          <w:rFonts w:ascii="Bookman Old Style" w:hAnsi="Bookman Old Style"/>
          <w:i/>
          <w:sz w:val="22"/>
          <w:szCs w:val="22"/>
        </w:rPr>
        <w:t>kV</w:t>
      </w:r>
      <w:proofErr w:type="spellEnd"/>
      <w:r w:rsidRPr="00BB63BD">
        <w:rPr>
          <w:rFonts w:ascii="Bookman Old Style" w:hAnsi="Bookman Old Style"/>
          <w:i/>
          <w:sz w:val="22"/>
          <w:szCs w:val="22"/>
        </w:rPr>
        <w:t xml:space="preserve">. </w:t>
      </w:r>
    </w:p>
    <w:p w14:paraId="064C202D" w14:textId="77777777" w:rsidR="00A60380" w:rsidRPr="00BB63BD" w:rsidRDefault="007C353C" w:rsidP="00FA512A">
      <w:pPr>
        <w:spacing w:after="240"/>
        <w:ind w:left="284" w:right="284"/>
        <w:jc w:val="both"/>
        <w:rPr>
          <w:rFonts w:ascii="Bookman Old Style" w:hAnsi="Bookman Old Style"/>
          <w:i/>
          <w:sz w:val="22"/>
          <w:szCs w:val="22"/>
        </w:rPr>
      </w:pPr>
      <w:r w:rsidRPr="00BB63BD">
        <w:rPr>
          <w:rFonts w:ascii="Bookman Old Style" w:hAnsi="Bookman Old Style"/>
          <w:i/>
          <w:sz w:val="22"/>
          <w:szCs w:val="22"/>
        </w:rPr>
        <w:t xml:space="preserve">Lo anterior implica los siguientes elementos en la subestación Reforma 230 </w:t>
      </w:r>
      <w:proofErr w:type="spellStart"/>
      <w:r w:rsidRPr="00BB63BD">
        <w:rPr>
          <w:rFonts w:ascii="Bookman Old Style" w:hAnsi="Bookman Old Style"/>
          <w:i/>
          <w:sz w:val="22"/>
          <w:szCs w:val="22"/>
        </w:rPr>
        <w:t>kV</w:t>
      </w:r>
      <w:proofErr w:type="spellEnd"/>
      <w:r w:rsidRPr="00BB63BD">
        <w:rPr>
          <w:rFonts w:ascii="Bookman Old Style" w:hAnsi="Bookman Old Style"/>
          <w:i/>
          <w:sz w:val="22"/>
          <w:szCs w:val="22"/>
        </w:rPr>
        <w:t>:</w:t>
      </w:r>
    </w:p>
    <w:tbl>
      <w:tblPr>
        <w:tblW w:w="0" w:type="auto"/>
        <w:jc w:val="center"/>
        <w:tblBorders>
          <w:top w:val="single" w:sz="4" w:space="0" w:color="7F7F7F"/>
          <w:bottom w:val="single" w:sz="4" w:space="0" w:color="7F7F7F"/>
        </w:tblBorders>
        <w:tblLayout w:type="fixed"/>
        <w:tblLook w:val="0000" w:firstRow="0" w:lastRow="0" w:firstColumn="0" w:lastColumn="0" w:noHBand="0" w:noVBand="0"/>
      </w:tblPr>
      <w:tblGrid>
        <w:gridCol w:w="797"/>
        <w:gridCol w:w="5690"/>
        <w:gridCol w:w="1701"/>
      </w:tblGrid>
      <w:tr w:rsidR="00FA512A" w:rsidRPr="00B40ED0" w14:paraId="396E2085" w14:textId="77777777" w:rsidTr="00B40ED0">
        <w:trPr>
          <w:trHeight w:hRule="exact" w:val="365"/>
          <w:jc w:val="center"/>
        </w:trPr>
        <w:tc>
          <w:tcPr>
            <w:tcW w:w="797"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17B017E" w14:textId="77777777" w:rsidR="007C353C" w:rsidRPr="00B40ED0" w:rsidRDefault="001033E2" w:rsidP="00B40ED0">
            <w:pPr>
              <w:pStyle w:val="Style14"/>
              <w:shd w:val="clear" w:color="auto" w:fill="auto"/>
              <w:spacing w:line="200" w:lineRule="exact"/>
              <w:ind w:left="34" w:firstLine="0"/>
              <w:jc w:val="center"/>
              <w:rPr>
                <w:rFonts w:ascii="Bookman Old Style" w:hAnsi="Bookman Old Style"/>
                <w:i/>
                <w:szCs w:val="22"/>
              </w:rPr>
            </w:pPr>
            <w:r w:rsidRPr="00B40ED0">
              <w:rPr>
                <w:rStyle w:val="CharStyle31"/>
                <w:rFonts w:ascii="Bookman Old Style" w:hAnsi="Bookman Old Style"/>
                <w:i/>
                <w:color w:val="000000"/>
                <w:szCs w:val="22"/>
                <w:lang w:eastAsia="es-ES_tradnl"/>
              </w:rPr>
              <w:t>Í</w:t>
            </w:r>
            <w:r w:rsidR="007C353C" w:rsidRPr="00B40ED0">
              <w:rPr>
                <w:rStyle w:val="CharStyle31"/>
                <w:rFonts w:ascii="Bookman Old Style" w:hAnsi="Bookman Old Style"/>
                <w:i/>
                <w:color w:val="000000"/>
                <w:szCs w:val="22"/>
                <w:lang w:eastAsia="es-ES_tradnl"/>
              </w:rPr>
              <w:t>tem</w:t>
            </w:r>
          </w:p>
        </w:tc>
        <w:tc>
          <w:tcPr>
            <w:tcW w:w="5690" w:type="dxa"/>
            <w:tcBorders>
              <w:top w:val="single" w:sz="4" w:space="0" w:color="7F7F7F"/>
              <w:left w:val="single" w:sz="4" w:space="0" w:color="7F7F7F"/>
              <w:bottom w:val="single" w:sz="4" w:space="0" w:color="7F7F7F"/>
              <w:right w:val="single" w:sz="4" w:space="0" w:color="7F7F7F"/>
            </w:tcBorders>
            <w:shd w:val="clear" w:color="auto" w:fill="auto"/>
            <w:vAlign w:val="center"/>
          </w:tcPr>
          <w:p w14:paraId="56F4F984" w14:textId="77777777" w:rsidR="007C353C" w:rsidRPr="00B40ED0" w:rsidRDefault="007C353C" w:rsidP="00B40ED0">
            <w:pPr>
              <w:pStyle w:val="Style14"/>
              <w:shd w:val="clear" w:color="auto" w:fill="auto"/>
              <w:spacing w:line="200" w:lineRule="exact"/>
              <w:ind w:left="284" w:right="284" w:firstLine="0"/>
              <w:jc w:val="center"/>
              <w:rPr>
                <w:rFonts w:ascii="Bookman Old Style" w:hAnsi="Bookman Old Style"/>
                <w:i/>
                <w:szCs w:val="22"/>
              </w:rPr>
            </w:pPr>
            <w:r w:rsidRPr="00B40ED0">
              <w:rPr>
                <w:rStyle w:val="CharStyle31"/>
                <w:rFonts w:ascii="Bookman Old Style" w:hAnsi="Bookman Old Style"/>
                <w:i/>
                <w:color w:val="000000"/>
                <w:szCs w:val="22"/>
                <w:lang w:eastAsia="es-ES_tradnl"/>
              </w:rPr>
              <w:t>EQUIPOS SUBESTACI</w:t>
            </w:r>
            <w:r w:rsidR="001033E2" w:rsidRPr="00B40ED0">
              <w:rPr>
                <w:rStyle w:val="CharStyle31"/>
                <w:rFonts w:ascii="Bookman Old Style" w:hAnsi="Bookman Old Style"/>
                <w:i/>
                <w:color w:val="000000"/>
                <w:szCs w:val="22"/>
                <w:lang w:eastAsia="es-ES_tradnl"/>
              </w:rPr>
              <w:t>Ó</w:t>
            </w:r>
            <w:r w:rsidRPr="00B40ED0">
              <w:rPr>
                <w:rStyle w:val="CharStyle31"/>
                <w:rFonts w:ascii="Bookman Old Style" w:hAnsi="Bookman Old Style"/>
                <w:i/>
                <w:color w:val="000000"/>
                <w:szCs w:val="22"/>
                <w:lang w:eastAsia="es-ES_tradnl"/>
              </w:rPr>
              <w:t xml:space="preserve">N REFORMA 230 </w:t>
            </w:r>
            <w:proofErr w:type="spellStart"/>
            <w:r w:rsidRPr="00B40ED0">
              <w:rPr>
                <w:rStyle w:val="CharStyle31"/>
                <w:rFonts w:ascii="Bookman Old Style" w:hAnsi="Bookman Old Style"/>
                <w:i/>
                <w:color w:val="000000"/>
                <w:szCs w:val="22"/>
                <w:lang w:eastAsia="es-ES_tradnl"/>
              </w:rPr>
              <w:t>kV</w:t>
            </w:r>
            <w:proofErr w:type="spellEnd"/>
          </w:p>
        </w:tc>
        <w:tc>
          <w:tcPr>
            <w:tcW w:w="170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F152661" w14:textId="77777777" w:rsidR="007C353C" w:rsidRPr="00B40ED0" w:rsidRDefault="007C353C" w:rsidP="00B40ED0">
            <w:pPr>
              <w:pStyle w:val="Style14"/>
              <w:shd w:val="clear" w:color="auto" w:fill="auto"/>
              <w:spacing w:line="200" w:lineRule="exact"/>
              <w:ind w:left="72" w:right="238" w:firstLine="0"/>
              <w:jc w:val="center"/>
              <w:rPr>
                <w:rFonts w:ascii="Bookman Old Style" w:hAnsi="Bookman Old Style"/>
                <w:i/>
                <w:szCs w:val="22"/>
              </w:rPr>
            </w:pPr>
            <w:r w:rsidRPr="00B40ED0">
              <w:rPr>
                <w:rStyle w:val="CharStyle31"/>
                <w:rFonts w:ascii="Bookman Old Style" w:hAnsi="Bookman Old Style"/>
                <w:i/>
                <w:color w:val="000000"/>
                <w:szCs w:val="22"/>
                <w:lang w:eastAsia="es-ES_tradnl"/>
              </w:rPr>
              <w:t>CANTIDAD</w:t>
            </w:r>
          </w:p>
        </w:tc>
      </w:tr>
      <w:tr w:rsidR="00FA512A" w:rsidRPr="00B40ED0" w14:paraId="2CAF7F7B" w14:textId="77777777" w:rsidTr="00B40ED0">
        <w:trPr>
          <w:trHeight w:hRule="exact" w:val="442"/>
          <w:jc w:val="center"/>
        </w:trPr>
        <w:tc>
          <w:tcPr>
            <w:tcW w:w="797" w:type="dxa"/>
            <w:tcBorders>
              <w:left w:val="single" w:sz="4" w:space="0" w:color="7F7F7F"/>
              <w:right w:val="single" w:sz="4" w:space="0" w:color="7F7F7F"/>
            </w:tcBorders>
            <w:shd w:val="clear" w:color="auto" w:fill="auto"/>
            <w:vAlign w:val="center"/>
          </w:tcPr>
          <w:p w14:paraId="50E25A85" w14:textId="77777777" w:rsidR="007C353C" w:rsidRPr="00B40ED0" w:rsidRDefault="001033E2" w:rsidP="00B40ED0">
            <w:pPr>
              <w:pStyle w:val="Style14"/>
              <w:shd w:val="clear" w:color="auto" w:fill="auto"/>
              <w:spacing w:line="200" w:lineRule="exact"/>
              <w:ind w:left="34" w:firstLine="0"/>
              <w:jc w:val="center"/>
              <w:rPr>
                <w:rFonts w:ascii="Bookman Old Style" w:hAnsi="Bookman Old Style"/>
                <w:i/>
                <w:szCs w:val="22"/>
              </w:rPr>
            </w:pPr>
            <w:r w:rsidRPr="00B40ED0">
              <w:rPr>
                <w:rStyle w:val="CharStyle31"/>
                <w:rFonts w:ascii="Bookman Old Style" w:hAnsi="Bookman Old Style"/>
                <w:i/>
                <w:color w:val="000000"/>
                <w:szCs w:val="22"/>
                <w:lang w:eastAsia="es-ES_tradnl"/>
              </w:rPr>
              <w:t>1</w:t>
            </w:r>
          </w:p>
        </w:tc>
        <w:tc>
          <w:tcPr>
            <w:tcW w:w="5690" w:type="dxa"/>
            <w:tcBorders>
              <w:left w:val="single" w:sz="4" w:space="0" w:color="7F7F7F"/>
              <w:right w:val="single" w:sz="4" w:space="0" w:color="7F7F7F"/>
            </w:tcBorders>
            <w:shd w:val="clear" w:color="auto" w:fill="auto"/>
            <w:vAlign w:val="center"/>
          </w:tcPr>
          <w:p w14:paraId="16B76FBE" w14:textId="77777777" w:rsidR="007C353C" w:rsidRPr="00B40ED0" w:rsidRDefault="007C353C" w:rsidP="00B40ED0">
            <w:pPr>
              <w:pStyle w:val="Style14"/>
              <w:shd w:val="clear" w:color="auto" w:fill="auto"/>
              <w:spacing w:line="200" w:lineRule="exact"/>
              <w:ind w:left="284" w:right="284" w:firstLine="0"/>
              <w:jc w:val="left"/>
              <w:rPr>
                <w:rFonts w:ascii="Bookman Old Style" w:hAnsi="Bookman Old Style"/>
                <w:i/>
                <w:szCs w:val="22"/>
              </w:rPr>
            </w:pPr>
            <w:r w:rsidRPr="00B40ED0">
              <w:rPr>
                <w:rStyle w:val="CharStyle31"/>
                <w:rFonts w:ascii="Bookman Old Style" w:hAnsi="Bookman Old Style"/>
                <w:i/>
                <w:color w:val="000000"/>
                <w:szCs w:val="22"/>
                <w:lang w:eastAsia="es-ES_tradnl"/>
              </w:rPr>
              <w:t>Bahía de línea configuración interruptor y medio.</w:t>
            </w:r>
          </w:p>
        </w:tc>
        <w:tc>
          <w:tcPr>
            <w:tcW w:w="1701" w:type="dxa"/>
            <w:tcBorders>
              <w:left w:val="single" w:sz="4" w:space="0" w:color="7F7F7F"/>
              <w:right w:val="single" w:sz="4" w:space="0" w:color="7F7F7F"/>
            </w:tcBorders>
            <w:shd w:val="clear" w:color="auto" w:fill="auto"/>
            <w:vAlign w:val="center"/>
          </w:tcPr>
          <w:p w14:paraId="1646942F" w14:textId="77777777" w:rsidR="007C353C" w:rsidRPr="00B40ED0" w:rsidRDefault="001033E2" w:rsidP="00B40ED0">
            <w:pPr>
              <w:pStyle w:val="Style14"/>
              <w:shd w:val="clear" w:color="auto" w:fill="auto"/>
              <w:spacing w:line="200" w:lineRule="exact"/>
              <w:ind w:left="72" w:right="238" w:firstLine="0"/>
              <w:jc w:val="center"/>
              <w:rPr>
                <w:rFonts w:ascii="Bookman Old Style" w:hAnsi="Bookman Old Style"/>
                <w:i/>
                <w:szCs w:val="22"/>
              </w:rPr>
            </w:pPr>
            <w:r w:rsidRPr="00B40ED0">
              <w:rPr>
                <w:rFonts w:ascii="Bookman Old Style" w:hAnsi="Bookman Old Style"/>
                <w:i/>
                <w:szCs w:val="22"/>
              </w:rPr>
              <w:t>2</w:t>
            </w:r>
          </w:p>
        </w:tc>
      </w:tr>
      <w:tr w:rsidR="00FA512A" w:rsidRPr="00B40ED0" w14:paraId="798220C1" w14:textId="77777777" w:rsidTr="00B40ED0">
        <w:trPr>
          <w:trHeight w:hRule="exact" w:val="403"/>
          <w:jc w:val="center"/>
        </w:trPr>
        <w:tc>
          <w:tcPr>
            <w:tcW w:w="797" w:type="dxa"/>
            <w:tcBorders>
              <w:top w:val="single" w:sz="4" w:space="0" w:color="7F7F7F"/>
              <w:left w:val="single" w:sz="4" w:space="0" w:color="7F7F7F"/>
              <w:bottom w:val="single" w:sz="4" w:space="0" w:color="7F7F7F"/>
              <w:right w:val="single" w:sz="4" w:space="0" w:color="7F7F7F"/>
            </w:tcBorders>
            <w:shd w:val="clear" w:color="auto" w:fill="auto"/>
            <w:vAlign w:val="center"/>
          </w:tcPr>
          <w:p w14:paraId="63BA5232" w14:textId="77777777" w:rsidR="007C353C" w:rsidRPr="00B40ED0" w:rsidRDefault="007C353C" w:rsidP="00B40ED0">
            <w:pPr>
              <w:pStyle w:val="Style14"/>
              <w:shd w:val="clear" w:color="auto" w:fill="auto"/>
              <w:spacing w:line="200" w:lineRule="exact"/>
              <w:ind w:left="34" w:firstLine="0"/>
              <w:jc w:val="center"/>
              <w:rPr>
                <w:rFonts w:ascii="Bookman Old Style" w:hAnsi="Bookman Old Style"/>
                <w:i/>
                <w:szCs w:val="22"/>
              </w:rPr>
            </w:pPr>
            <w:r w:rsidRPr="00B40ED0">
              <w:rPr>
                <w:rStyle w:val="CharStyle31"/>
                <w:rFonts w:ascii="Bookman Old Style" w:hAnsi="Bookman Old Style"/>
                <w:i/>
                <w:color w:val="000000"/>
                <w:szCs w:val="22"/>
                <w:lang w:eastAsia="es-ES_tradnl"/>
              </w:rPr>
              <w:t>2</w:t>
            </w:r>
          </w:p>
        </w:tc>
        <w:tc>
          <w:tcPr>
            <w:tcW w:w="5690" w:type="dxa"/>
            <w:tcBorders>
              <w:top w:val="single" w:sz="4" w:space="0" w:color="7F7F7F"/>
              <w:left w:val="single" w:sz="4" w:space="0" w:color="7F7F7F"/>
              <w:bottom w:val="single" w:sz="4" w:space="0" w:color="7F7F7F"/>
              <w:right w:val="single" w:sz="4" w:space="0" w:color="7F7F7F"/>
            </w:tcBorders>
            <w:shd w:val="clear" w:color="auto" w:fill="auto"/>
            <w:vAlign w:val="center"/>
          </w:tcPr>
          <w:p w14:paraId="7DF0310F" w14:textId="77777777" w:rsidR="007C353C" w:rsidRPr="00B40ED0" w:rsidRDefault="007C353C" w:rsidP="00B40ED0">
            <w:pPr>
              <w:pStyle w:val="Style14"/>
              <w:shd w:val="clear" w:color="auto" w:fill="auto"/>
              <w:spacing w:line="200" w:lineRule="exact"/>
              <w:ind w:left="284" w:right="284" w:firstLine="0"/>
              <w:jc w:val="left"/>
              <w:rPr>
                <w:rFonts w:ascii="Bookman Old Style" w:hAnsi="Bookman Old Style"/>
                <w:i/>
                <w:szCs w:val="22"/>
              </w:rPr>
            </w:pPr>
            <w:r w:rsidRPr="00B40ED0">
              <w:rPr>
                <w:rStyle w:val="CharStyle31"/>
                <w:rFonts w:ascii="Bookman Old Style" w:hAnsi="Bookman Old Style"/>
                <w:i/>
                <w:color w:val="000000"/>
                <w:szCs w:val="22"/>
                <w:lang w:eastAsia="es-ES_tradnl"/>
              </w:rPr>
              <w:t>Corte central</w:t>
            </w:r>
          </w:p>
        </w:tc>
        <w:tc>
          <w:tcPr>
            <w:tcW w:w="170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297180B" w14:textId="77777777" w:rsidR="007C353C" w:rsidRPr="00B40ED0" w:rsidRDefault="007C353C" w:rsidP="00B40ED0">
            <w:pPr>
              <w:pStyle w:val="Style14"/>
              <w:shd w:val="clear" w:color="auto" w:fill="auto"/>
              <w:spacing w:line="200" w:lineRule="exact"/>
              <w:ind w:left="72" w:right="238" w:firstLine="0"/>
              <w:jc w:val="center"/>
              <w:rPr>
                <w:rFonts w:ascii="Bookman Old Style" w:hAnsi="Bookman Old Style"/>
                <w:i/>
                <w:szCs w:val="22"/>
              </w:rPr>
            </w:pPr>
            <w:r w:rsidRPr="00B40ED0">
              <w:rPr>
                <w:rStyle w:val="CharStyle31"/>
                <w:rFonts w:ascii="Bookman Old Style" w:hAnsi="Bookman Old Style"/>
                <w:i/>
                <w:color w:val="000000"/>
                <w:szCs w:val="22"/>
                <w:lang w:eastAsia="es-ES_tradnl"/>
              </w:rPr>
              <w:t>1</w:t>
            </w:r>
          </w:p>
        </w:tc>
      </w:tr>
      <w:tr w:rsidR="00FA512A" w:rsidRPr="00B40ED0" w14:paraId="610F4715" w14:textId="77777777" w:rsidTr="00B40ED0">
        <w:trPr>
          <w:trHeight w:hRule="exact" w:val="538"/>
          <w:jc w:val="center"/>
        </w:trPr>
        <w:tc>
          <w:tcPr>
            <w:tcW w:w="797" w:type="dxa"/>
            <w:tcBorders>
              <w:left w:val="single" w:sz="4" w:space="0" w:color="7F7F7F"/>
              <w:right w:val="single" w:sz="4" w:space="0" w:color="7F7F7F"/>
            </w:tcBorders>
            <w:shd w:val="clear" w:color="auto" w:fill="auto"/>
            <w:vAlign w:val="center"/>
          </w:tcPr>
          <w:p w14:paraId="102F8641" w14:textId="77777777" w:rsidR="007C353C" w:rsidRPr="00B40ED0" w:rsidRDefault="007C353C" w:rsidP="00B40ED0">
            <w:pPr>
              <w:pStyle w:val="Style14"/>
              <w:shd w:val="clear" w:color="auto" w:fill="auto"/>
              <w:spacing w:line="200" w:lineRule="exact"/>
              <w:ind w:left="34" w:firstLine="0"/>
              <w:jc w:val="center"/>
              <w:rPr>
                <w:rFonts w:ascii="Bookman Old Style" w:hAnsi="Bookman Old Style"/>
                <w:i/>
                <w:szCs w:val="22"/>
              </w:rPr>
            </w:pPr>
            <w:r w:rsidRPr="00B40ED0">
              <w:rPr>
                <w:rStyle w:val="CharStyle31"/>
                <w:rFonts w:ascii="Bookman Old Style" w:hAnsi="Bookman Old Style"/>
                <w:i/>
                <w:color w:val="000000"/>
                <w:szCs w:val="22"/>
                <w:lang w:eastAsia="es-ES_tradnl"/>
              </w:rPr>
              <w:t>3</w:t>
            </w:r>
          </w:p>
        </w:tc>
        <w:tc>
          <w:tcPr>
            <w:tcW w:w="5690" w:type="dxa"/>
            <w:tcBorders>
              <w:left w:val="single" w:sz="4" w:space="0" w:color="7F7F7F"/>
              <w:right w:val="single" w:sz="4" w:space="0" w:color="7F7F7F"/>
            </w:tcBorders>
            <w:shd w:val="clear" w:color="auto" w:fill="auto"/>
            <w:vAlign w:val="center"/>
          </w:tcPr>
          <w:p w14:paraId="0A3E12A8" w14:textId="77777777" w:rsidR="007C353C" w:rsidRPr="00B40ED0" w:rsidRDefault="007C353C" w:rsidP="00B40ED0">
            <w:pPr>
              <w:pStyle w:val="Style14"/>
              <w:shd w:val="clear" w:color="auto" w:fill="auto"/>
              <w:ind w:left="284" w:right="284" w:firstLine="0"/>
              <w:jc w:val="left"/>
              <w:rPr>
                <w:rFonts w:ascii="Bookman Old Style" w:hAnsi="Bookman Old Style"/>
                <w:i/>
                <w:szCs w:val="22"/>
              </w:rPr>
            </w:pPr>
            <w:r w:rsidRPr="00B40ED0">
              <w:rPr>
                <w:rStyle w:val="CharStyle31"/>
                <w:rFonts w:ascii="Bookman Old Style" w:hAnsi="Bookman Old Style"/>
                <w:i/>
                <w:color w:val="000000"/>
                <w:szCs w:val="22"/>
                <w:lang w:eastAsia="es-ES_tradnl"/>
              </w:rPr>
              <w:t>Sistema de control, protecciones, comunicaciones e infraestructura asociada.</w:t>
            </w:r>
          </w:p>
        </w:tc>
        <w:tc>
          <w:tcPr>
            <w:tcW w:w="1701" w:type="dxa"/>
            <w:tcBorders>
              <w:left w:val="single" w:sz="4" w:space="0" w:color="7F7F7F"/>
              <w:right w:val="single" w:sz="4" w:space="0" w:color="7F7F7F"/>
            </w:tcBorders>
            <w:shd w:val="clear" w:color="auto" w:fill="auto"/>
            <w:vAlign w:val="center"/>
          </w:tcPr>
          <w:p w14:paraId="0A5E5C80" w14:textId="77777777" w:rsidR="007C353C" w:rsidRPr="00B40ED0" w:rsidRDefault="001033E2" w:rsidP="00B40ED0">
            <w:pPr>
              <w:ind w:left="72" w:right="238"/>
              <w:jc w:val="center"/>
              <w:rPr>
                <w:rFonts w:ascii="Bookman Old Style" w:hAnsi="Bookman Old Style"/>
                <w:i/>
                <w:sz w:val="20"/>
                <w:szCs w:val="22"/>
                <w:lang w:eastAsia="es-CO"/>
              </w:rPr>
            </w:pPr>
            <w:r w:rsidRPr="00B40ED0">
              <w:rPr>
                <w:rFonts w:ascii="Bookman Old Style" w:hAnsi="Bookman Old Style"/>
                <w:i/>
                <w:sz w:val="20"/>
                <w:szCs w:val="22"/>
                <w:lang w:eastAsia="es-CO"/>
              </w:rPr>
              <w:t>1</w:t>
            </w:r>
          </w:p>
        </w:tc>
      </w:tr>
    </w:tbl>
    <w:p w14:paraId="2226CD64" w14:textId="77777777" w:rsidR="00FA512A" w:rsidRDefault="00FA512A" w:rsidP="00FA512A">
      <w:pPr>
        <w:ind w:left="284" w:right="284"/>
        <w:jc w:val="both"/>
        <w:rPr>
          <w:rFonts w:ascii="Bookman Old Style" w:hAnsi="Bookman Old Style"/>
          <w:i/>
          <w:sz w:val="22"/>
          <w:szCs w:val="22"/>
        </w:rPr>
      </w:pPr>
    </w:p>
    <w:p w14:paraId="45A24A39" w14:textId="77777777" w:rsidR="007C353C" w:rsidRPr="00BB63BD" w:rsidRDefault="007C353C" w:rsidP="00FA512A">
      <w:pPr>
        <w:spacing w:after="240"/>
        <w:ind w:left="284" w:right="284"/>
        <w:jc w:val="both"/>
        <w:rPr>
          <w:rFonts w:ascii="Bookman Old Style" w:hAnsi="Bookman Old Style"/>
          <w:i/>
          <w:sz w:val="22"/>
          <w:szCs w:val="22"/>
        </w:rPr>
      </w:pPr>
      <w:r w:rsidRPr="00BB63BD">
        <w:rPr>
          <w:rFonts w:ascii="Bookman Old Style" w:hAnsi="Bookman Old Style"/>
          <w:i/>
          <w:sz w:val="22"/>
          <w:szCs w:val="22"/>
        </w:rPr>
        <w:t xml:space="preserve">Si bien se estimó una longitud de línea adicional de 1 km en cada uno de los tramos requeridos para la conexión al circuito </w:t>
      </w:r>
      <w:proofErr w:type="spellStart"/>
      <w:r w:rsidRPr="00BB63BD">
        <w:rPr>
          <w:rFonts w:ascii="Bookman Old Style" w:hAnsi="Bookman Old Style"/>
          <w:i/>
          <w:sz w:val="22"/>
          <w:szCs w:val="22"/>
        </w:rPr>
        <w:t>Guavio</w:t>
      </w:r>
      <w:proofErr w:type="spellEnd"/>
      <w:r w:rsidRPr="00BB63BD">
        <w:rPr>
          <w:rFonts w:ascii="Bookman Old Style" w:hAnsi="Bookman Old Style"/>
          <w:i/>
          <w:sz w:val="22"/>
          <w:szCs w:val="22"/>
        </w:rPr>
        <w:t xml:space="preserve"> - Tunal a 230 </w:t>
      </w:r>
      <w:proofErr w:type="spellStart"/>
      <w:r w:rsidRPr="00BB63BD">
        <w:rPr>
          <w:rFonts w:ascii="Bookman Old Style" w:hAnsi="Bookman Old Style"/>
          <w:i/>
          <w:sz w:val="22"/>
          <w:szCs w:val="22"/>
        </w:rPr>
        <w:t>kV</w:t>
      </w:r>
      <w:proofErr w:type="spellEnd"/>
      <w:r w:rsidRPr="00BB63BD">
        <w:rPr>
          <w:rFonts w:ascii="Bookman Old Style" w:hAnsi="Bookman Old Style"/>
          <w:i/>
          <w:sz w:val="22"/>
          <w:szCs w:val="22"/>
        </w:rPr>
        <w:t xml:space="preserve">, la longitud real, según el Informe final de interventoría, fue de 268 m para el tramo Reforma conexión hacia Tunal y 377 m para el tramo Reforma conexión hacia </w:t>
      </w:r>
      <w:proofErr w:type="spellStart"/>
      <w:r w:rsidRPr="00BB63BD">
        <w:rPr>
          <w:rFonts w:ascii="Bookman Old Style" w:hAnsi="Bookman Old Style"/>
          <w:i/>
          <w:sz w:val="22"/>
          <w:szCs w:val="22"/>
        </w:rPr>
        <w:t>Guavio</w:t>
      </w:r>
      <w:proofErr w:type="spellEnd"/>
      <w:r w:rsidRPr="00BB63BD">
        <w:rPr>
          <w:rFonts w:ascii="Bookman Old Style" w:hAnsi="Bookman Old Style"/>
          <w:i/>
          <w:sz w:val="22"/>
          <w:szCs w:val="22"/>
        </w:rPr>
        <w:t>.</w:t>
      </w:r>
    </w:p>
    <w:p w14:paraId="7E063ED3" w14:textId="77777777" w:rsidR="007C353C" w:rsidRPr="00BB63BD" w:rsidRDefault="007C353C" w:rsidP="00FA512A">
      <w:pPr>
        <w:spacing w:after="240"/>
        <w:ind w:left="284" w:right="284"/>
        <w:jc w:val="both"/>
        <w:rPr>
          <w:rFonts w:ascii="Bookman Old Style" w:hAnsi="Bookman Old Style"/>
          <w:i/>
          <w:sz w:val="22"/>
          <w:szCs w:val="22"/>
        </w:rPr>
      </w:pPr>
      <w:r w:rsidRPr="00BB63BD">
        <w:rPr>
          <w:rFonts w:ascii="Bookman Old Style" w:hAnsi="Bookman Old Style"/>
          <w:i/>
          <w:sz w:val="22"/>
          <w:szCs w:val="22"/>
        </w:rPr>
        <w:t>2.</w:t>
      </w:r>
      <w:r w:rsidRPr="00BB63BD">
        <w:rPr>
          <w:rFonts w:ascii="Bookman Old Style" w:hAnsi="Bookman Old Style"/>
          <w:i/>
          <w:sz w:val="22"/>
          <w:szCs w:val="22"/>
        </w:rPr>
        <w:tab/>
        <w:t>Identificar cuales estaban a cargo del adjudicatario de la convocatoria.</w:t>
      </w:r>
    </w:p>
    <w:p w14:paraId="50A527DA" w14:textId="77777777" w:rsidR="007C353C" w:rsidRPr="00BB63BD" w:rsidRDefault="007C353C" w:rsidP="00FA512A">
      <w:pPr>
        <w:spacing w:after="240"/>
        <w:ind w:left="284" w:right="284"/>
        <w:jc w:val="both"/>
        <w:rPr>
          <w:rFonts w:ascii="Bookman Old Style" w:hAnsi="Bookman Old Style"/>
          <w:i/>
          <w:sz w:val="22"/>
          <w:szCs w:val="22"/>
        </w:rPr>
      </w:pPr>
      <w:r w:rsidRPr="00BB63BD">
        <w:rPr>
          <w:rFonts w:ascii="Bookman Old Style" w:hAnsi="Bookman Old Style"/>
          <w:i/>
          <w:sz w:val="22"/>
          <w:szCs w:val="22"/>
        </w:rPr>
        <w:t>Respuesta: Las obras descritas en el numeral anterior estuvieron a cargo de INTERCONEXIÓN ELÉCTRICA S.A. E.S.P., como adjudicatario de la referida convocatoria.</w:t>
      </w:r>
    </w:p>
    <w:p w14:paraId="6AF6B221" w14:textId="77777777" w:rsidR="007C353C" w:rsidRPr="00BB63BD" w:rsidRDefault="007C353C" w:rsidP="00FA512A">
      <w:pPr>
        <w:spacing w:after="240"/>
        <w:ind w:left="284" w:right="284"/>
        <w:jc w:val="both"/>
        <w:rPr>
          <w:rFonts w:ascii="Bookman Old Style" w:hAnsi="Bookman Old Style"/>
          <w:i/>
          <w:sz w:val="22"/>
          <w:szCs w:val="22"/>
        </w:rPr>
      </w:pPr>
      <w:r w:rsidRPr="00BB63BD">
        <w:rPr>
          <w:rFonts w:ascii="Bookman Old Style" w:hAnsi="Bookman Old Style"/>
          <w:i/>
          <w:sz w:val="22"/>
          <w:szCs w:val="22"/>
        </w:rPr>
        <w:t>3.</w:t>
      </w:r>
      <w:r w:rsidRPr="00BB63BD">
        <w:rPr>
          <w:rFonts w:ascii="Bookman Old Style" w:hAnsi="Bookman Old Style"/>
          <w:i/>
          <w:sz w:val="22"/>
          <w:szCs w:val="22"/>
        </w:rPr>
        <w:tab/>
        <w:t>Identificar las labores u obras adicionales a ser ejecutadas por el representante ante el LAC de la subestación La Reforma, ocasionadas por la ejecución del proyecto objeto de la convocatoria.</w:t>
      </w:r>
    </w:p>
    <w:p w14:paraId="151C9753" w14:textId="77777777" w:rsidR="00FC3F4A" w:rsidRPr="00BB63BD" w:rsidRDefault="007C353C" w:rsidP="00FA512A">
      <w:pPr>
        <w:spacing w:after="240"/>
        <w:ind w:left="284" w:right="284"/>
        <w:jc w:val="both"/>
        <w:rPr>
          <w:rFonts w:ascii="Bookman Old Style" w:hAnsi="Bookman Old Style"/>
          <w:i/>
          <w:sz w:val="22"/>
          <w:szCs w:val="22"/>
        </w:rPr>
      </w:pPr>
      <w:r w:rsidRPr="00BB63BD">
        <w:rPr>
          <w:rFonts w:ascii="Bookman Old Style" w:hAnsi="Bookman Old Style"/>
          <w:i/>
          <w:sz w:val="22"/>
          <w:szCs w:val="22"/>
        </w:rPr>
        <w:t>Respuesta: La UPME, mediante la Convocatoria del asunto, solo asignó obras al adjudicatario de ésta y no asignó obras adicionales a ser ejecutadas por el representante de la infraestructura existente, independiente que se trate del mismo agente. Lo anterior no limitó al adjudicatario de la convocatoria para realizar adecuaciones que permitieran garantizar el cumplimiento del alcance de la convocatoria.</w:t>
      </w:r>
    </w:p>
    <w:p w14:paraId="04E5FE08" w14:textId="77777777" w:rsidR="00114F8E" w:rsidRPr="00220DDA" w:rsidRDefault="00114F8E" w:rsidP="00114F8E">
      <w:pPr>
        <w:keepNext/>
        <w:numPr>
          <w:ilvl w:val="0"/>
          <w:numId w:val="22"/>
        </w:numPr>
        <w:spacing w:before="240" w:after="240"/>
        <w:ind w:left="357" w:hanging="357"/>
        <w:jc w:val="both"/>
        <w:rPr>
          <w:rFonts w:ascii="Bookman Old Style" w:hAnsi="Bookman Old Style"/>
          <w:b/>
        </w:rPr>
      </w:pPr>
      <w:r>
        <w:rPr>
          <w:rFonts w:ascii="Bookman Old Style" w:hAnsi="Bookman Old Style"/>
          <w:b/>
        </w:rPr>
        <w:lastRenderedPageBreak/>
        <w:t>Análisis de la solicitud</w:t>
      </w:r>
    </w:p>
    <w:p w14:paraId="064F3933" w14:textId="6650C2C7" w:rsidR="006C5158" w:rsidRDefault="006C5158" w:rsidP="006C5158">
      <w:pPr>
        <w:tabs>
          <w:tab w:val="center" w:pos="4680"/>
        </w:tabs>
        <w:spacing w:after="240"/>
        <w:ind w:left="0"/>
        <w:jc w:val="both"/>
        <w:rPr>
          <w:rFonts w:ascii="Bookman Old Style" w:hAnsi="Bookman Old Style" w:cs="Arial"/>
          <w:spacing w:val="-3"/>
        </w:rPr>
      </w:pPr>
      <w:r>
        <w:rPr>
          <w:rFonts w:ascii="Bookman Old Style" w:hAnsi="Bookman Old Style" w:cs="Arial"/>
          <w:spacing w:val="-3"/>
        </w:rPr>
        <w:t xml:space="preserve">El último inciso del </w:t>
      </w:r>
      <w:r>
        <w:rPr>
          <w:rFonts w:ascii="Bookman Old Style" w:hAnsi="Bookman Old Style" w:cs="Arial"/>
          <w:spacing w:val="-2"/>
          <w:lang w:val="es-CO"/>
        </w:rPr>
        <w:t>Numeral 7 del Código de Planeamiento de la Expansión del STN, que hace parte del Código de Redes adoptado en la Resolución CREG 025 de 1995,</w:t>
      </w:r>
      <w:r w:rsidRPr="006C5158">
        <w:rPr>
          <w:rFonts w:ascii="Bookman Old Style" w:hAnsi="Bookman Old Style" w:cs="Arial"/>
          <w:spacing w:val="-3"/>
        </w:rPr>
        <w:t xml:space="preserve"> </w:t>
      </w:r>
      <w:r>
        <w:rPr>
          <w:rFonts w:ascii="Bookman Old Style" w:hAnsi="Bookman Old Style" w:cs="Arial"/>
          <w:spacing w:val="-3"/>
        </w:rPr>
        <w:t>modificado por el artículo 1 de la Resolución CREG 085 de 2002, señala:</w:t>
      </w:r>
    </w:p>
    <w:p w14:paraId="28520729" w14:textId="77777777" w:rsidR="006C5158" w:rsidRPr="006C5158" w:rsidRDefault="006C5158" w:rsidP="006C5158">
      <w:pPr>
        <w:tabs>
          <w:tab w:val="center" w:pos="4680"/>
        </w:tabs>
        <w:spacing w:after="240"/>
        <w:ind w:left="284" w:right="284"/>
        <w:jc w:val="both"/>
        <w:rPr>
          <w:rFonts w:ascii="Bookman Old Style" w:hAnsi="Bookman Old Style" w:cs="Arial"/>
          <w:i/>
          <w:spacing w:val="-3"/>
          <w:sz w:val="22"/>
        </w:rPr>
      </w:pPr>
      <w:r w:rsidRPr="006C5158">
        <w:rPr>
          <w:rFonts w:ascii="Bookman Old Style" w:hAnsi="Bookman Old Style" w:cs="Arial"/>
          <w:i/>
          <w:spacing w:val="-3"/>
          <w:sz w:val="22"/>
        </w:rPr>
        <w:t>Los propietarios de Activos de Conexión al STN o los Transmisores Nacionales cuyos activos tengan relación con los proyectos incluidos en el Plan de Expansión de Transmisión de Referencia, deben entregar la información solicitada por el Ministerio de Minas y Energía o la entidad que éste delegue para aclarar las condiciones de conexión al STN, con el fin de garantizar el libre acceso a las redes de este sistema.</w:t>
      </w:r>
    </w:p>
    <w:p w14:paraId="6DE97B1F" w14:textId="77777777" w:rsidR="007F7218" w:rsidRDefault="00002DC7" w:rsidP="00A60380">
      <w:pPr>
        <w:tabs>
          <w:tab w:val="center" w:pos="4680"/>
        </w:tabs>
        <w:spacing w:after="240"/>
        <w:ind w:left="0"/>
        <w:jc w:val="both"/>
        <w:rPr>
          <w:rFonts w:ascii="Bookman Old Style" w:hAnsi="Bookman Old Style" w:cs="Arial"/>
          <w:spacing w:val="-3"/>
        </w:rPr>
      </w:pPr>
      <w:r>
        <w:rPr>
          <w:rFonts w:ascii="Bookman Old Style" w:hAnsi="Bookman Old Style" w:cs="Arial"/>
          <w:spacing w:val="-3"/>
        </w:rPr>
        <w:t>El artículo 4 de</w:t>
      </w:r>
      <w:r w:rsidR="00220DDA">
        <w:rPr>
          <w:rFonts w:ascii="Bookman Old Style" w:hAnsi="Bookman Old Style" w:cs="Arial"/>
          <w:spacing w:val="-3"/>
        </w:rPr>
        <w:t xml:space="preserve"> la Resolución CREG 022 de 2001, </w:t>
      </w:r>
      <w:r w:rsidR="007F7218">
        <w:rPr>
          <w:rFonts w:ascii="Bookman Old Style" w:hAnsi="Bookman Old Style" w:cs="Arial"/>
          <w:spacing w:val="-3"/>
        </w:rPr>
        <w:t>modificado por el artículo 2 de la Resolución CREG 085 de 2002</w:t>
      </w:r>
      <w:r w:rsidR="00220DDA">
        <w:rPr>
          <w:rFonts w:ascii="Bookman Old Style" w:hAnsi="Bookman Old Style" w:cs="Arial"/>
          <w:spacing w:val="-3"/>
        </w:rPr>
        <w:t>,</w:t>
      </w:r>
      <w:r w:rsidR="007F7218">
        <w:rPr>
          <w:rFonts w:ascii="Bookman Old Style" w:hAnsi="Bookman Old Style" w:cs="Arial"/>
          <w:spacing w:val="-3"/>
        </w:rPr>
        <w:t xml:space="preserve"> </w:t>
      </w:r>
      <w:r w:rsidR="006C5158">
        <w:rPr>
          <w:rFonts w:ascii="Bookman Old Style" w:hAnsi="Bookman Old Style" w:cs="Arial"/>
          <w:spacing w:val="-3"/>
        </w:rPr>
        <w:t>establece</w:t>
      </w:r>
      <w:r w:rsidR="007F7218">
        <w:rPr>
          <w:rFonts w:ascii="Bookman Old Style" w:hAnsi="Bookman Old Style" w:cs="Arial"/>
          <w:spacing w:val="-3"/>
        </w:rPr>
        <w:t>:</w:t>
      </w:r>
    </w:p>
    <w:p w14:paraId="31253C30" w14:textId="77777777" w:rsidR="007F7218" w:rsidRPr="007F7218" w:rsidRDefault="007F7218" w:rsidP="007F7218">
      <w:pPr>
        <w:tabs>
          <w:tab w:val="center" w:pos="4680"/>
        </w:tabs>
        <w:spacing w:after="240"/>
        <w:ind w:left="284" w:right="284"/>
        <w:jc w:val="both"/>
        <w:rPr>
          <w:rFonts w:ascii="Bookman Old Style" w:hAnsi="Bookman Old Style" w:cs="Arial"/>
          <w:i/>
          <w:spacing w:val="-3"/>
          <w:sz w:val="22"/>
        </w:rPr>
      </w:pPr>
      <w:r w:rsidRPr="007F7218">
        <w:rPr>
          <w:rFonts w:ascii="Bookman Old Style" w:hAnsi="Bookman Old Style" w:cs="Arial"/>
          <w:i/>
          <w:spacing w:val="-3"/>
          <w:sz w:val="22"/>
        </w:rPr>
        <w:t>La expansión del Sistema de Transmisión Nacional se hará mediante la ejecución, a mínimo costo, de los proyectos del Plan de Expansión de Transmisión de Referencia, por parte de los inversionistas que resulten seleccionados en procesos que estimulen y garanticen la libre competencia en la escogencia de dichos proyectos.</w:t>
      </w:r>
    </w:p>
    <w:p w14:paraId="7C82D4E0" w14:textId="77777777" w:rsidR="007F7218" w:rsidRPr="007F7218" w:rsidRDefault="007F7218" w:rsidP="007F7218">
      <w:pPr>
        <w:tabs>
          <w:tab w:val="center" w:pos="4680"/>
        </w:tabs>
        <w:spacing w:after="240"/>
        <w:ind w:left="284" w:right="284"/>
        <w:jc w:val="both"/>
        <w:rPr>
          <w:rFonts w:ascii="Bookman Old Style" w:hAnsi="Bookman Old Style" w:cs="Arial"/>
          <w:i/>
          <w:spacing w:val="-3"/>
          <w:sz w:val="22"/>
        </w:rPr>
      </w:pPr>
      <w:r w:rsidRPr="007F7218">
        <w:rPr>
          <w:rFonts w:ascii="Bookman Old Style" w:hAnsi="Bookman Old Style" w:cs="Arial"/>
          <w:i/>
          <w:spacing w:val="-3"/>
          <w:sz w:val="22"/>
        </w:rPr>
        <w:t>(…)</w:t>
      </w:r>
    </w:p>
    <w:p w14:paraId="422D949A" w14:textId="77777777" w:rsidR="007F7218" w:rsidRPr="007F7218" w:rsidRDefault="007F7218" w:rsidP="007F7218">
      <w:pPr>
        <w:ind w:left="709" w:right="284" w:hanging="425"/>
        <w:jc w:val="both"/>
        <w:rPr>
          <w:rFonts w:ascii="Bookman Old Style" w:hAnsi="Bookman Old Style" w:cs="Arial"/>
          <w:i/>
          <w:spacing w:val="-2"/>
          <w:sz w:val="22"/>
          <w:lang w:val="es-CO"/>
        </w:rPr>
      </w:pPr>
      <w:r w:rsidRPr="007F7218">
        <w:rPr>
          <w:rFonts w:ascii="Bookman Old Style" w:hAnsi="Bookman Old Style" w:cs="Arial"/>
          <w:i/>
          <w:spacing w:val="-2"/>
          <w:sz w:val="22"/>
          <w:lang w:val="es-CO"/>
        </w:rPr>
        <w:t>a).</w:t>
      </w:r>
      <w:r w:rsidRPr="007F7218">
        <w:rPr>
          <w:rFonts w:ascii="Bookman Old Style" w:hAnsi="Bookman Old Style" w:cs="Arial"/>
          <w:i/>
          <w:spacing w:val="-2"/>
          <w:sz w:val="22"/>
          <w:lang w:val="es-CO"/>
        </w:rPr>
        <w:tab/>
        <w:t>Determinación del Ingreso Anual.</w:t>
      </w:r>
    </w:p>
    <w:p w14:paraId="69AAC244" w14:textId="77777777" w:rsidR="007F7218" w:rsidRPr="007F7218" w:rsidRDefault="007F7218" w:rsidP="007F7218">
      <w:pPr>
        <w:ind w:left="709" w:right="284" w:hanging="425"/>
        <w:jc w:val="both"/>
        <w:rPr>
          <w:rFonts w:ascii="Bookman Old Style" w:hAnsi="Bookman Old Style" w:cs="Arial"/>
          <w:i/>
          <w:spacing w:val="-2"/>
          <w:sz w:val="22"/>
          <w:lang w:val="es-CO"/>
        </w:rPr>
      </w:pPr>
    </w:p>
    <w:p w14:paraId="56EBA13D" w14:textId="77777777" w:rsidR="007F7218" w:rsidRPr="007F7218" w:rsidRDefault="007F7218" w:rsidP="007F7218">
      <w:pPr>
        <w:numPr>
          <w:ilvl w:val="0"/>
          <w:numId w:val="23"/>
        </w:numPr>
        <w:ind w:left="709" w:right="284" w:hanging="425"/>
        <w:jc w:val="both"/>
        <w:rPr>
          <w:rFonts w:ascii="Bookman Old Style" w:hAnsi="Bookman Old Style" w:cs="Arial"/>
          <w:i/>
          <w:sz w:val="22"/>
          <w:lang w:val="es-CO"/>
        </w:rPr>
      </w:pPr>
      <w:r w:rsidRPr="007F7218">
        <w:rPr>
          <w:rFonts w:ascii="Bookman Old Style" w:hAnsi="Bookman Old Style" w:cs="Arial"/>
          <w:i/>
          <w:sz w:val="22"/>
          <w:lang w:val="es-CO"/>
        </w:rPr>
        <w:t xml:space="preserve">El Ingreso Anual Esperado estará expresado en dólares constantes del 31 de diciembre del año anterior al año en el cual se efectúe la propuesta, para cada uno de los veinticinco (25) años del flujo de Ingresos, contados desde la fecha prevista para la puesta en operación del proyecto.  Este Ingreso deberá reflejar los costos asociados con la </w:t>
      </w:r>
      <w:proofErr w:type="spellStart"/>
      <w:r w:rsidRPr="007F7218">
        <w:rPr>
          <w:rFonts w:ascii="Bookman Old Style" w:hAnsi="Bookman Old Style" w:cs="Arial"/>
          <w:i/>
          <w:sz w:val="22"/>
          <w:lang w:val="es-CO"/>
        </w:rPr>
        <w:t>Preconstrucción</w:t>
      </w:r>
      <w:proofErr w:type="spellEnd"/>
      <w:r w:rsidRPr="007F7218">
        <w:rPr>
          <w:rFonts w:ascii="Bookman Old Style" w:hAnsi="Bookman Old Style" w:cs="Arial"/>
          <w:i/>
          <w:sz w:val="22"/>
          <w:lang w:val="es-CO"/>
        </w:rPr>
        <w:t xml:space="preserve"> (incluyendo diseños, servidumbres, estudios y licencias ambientales) y construcción (incluyendo la interventoría de la obra y las obras que se requieran para la viabilidad ambiental del proyecto), el costo de oportunidad del capital invertido y los gastos de administración, operación y mantenimiento del equipo correspondiente. Adicionalmente, se entiende que el Ingreso Anual Esperado presentado por el proponente, cubrirá toda la estructura de costos y de gastos en que incurra el Transmisor Nacional seleccionado, en desarrollo de su actividad y en el contexto de las leyes y la reglamentación vigente.  </w:t>
      </w:r>
    </w:p>
    <w:p w14:paraId="289588A3" w14:textId="77777777" w:rsidR="007F7218" w:rsidRPr="007F7218" w:rsidRDefault="007F7218" w:rsidP="007F7218">
      <w:pPr>
        <w:ind w:left="709" w:right="284" w:hanging="425"/>
        <w:jc w:val="both"/>
        <w:rPr>
          <w:rFonts w:ascii="Bookman Old Style" w:hAnsi="Bookman Old Style" w:cs="Arial"/>
          <w:i/>
          <w:sz w:val="22"/>
          <w:lang w:val="es-CO"/>
        </w:rPr>
      </w:pPr>
    </w:p>
    <w:p w14:paraId="0BA7A923" w14:textId="77777777" w:rsidR="00AD551E" w:rsidRDefault="00DD3EF2" w:rsidP="00A60380">
      <w:pPr>
        <w:tabs>
          <w:tab w:val="center" w:pos="4680"/>
        </w:tabs>
        <w:spacing w:after="240"/>
        <w:ind w:left="0"/>
        <w:jc w:val="both"/>
        <w:rPr>
          <w:rFonts w:ascii="Bookman Old Style" w:hAnsi="Bookman Old Style" w:cs="Arial"/>
          <w:spacing w:val="-3"/>
        </w:rPr>
      </w:pPr>
      <w:r>
        <w:rPr>
          <w:rFonts w:ascii="Bookman Old Style" w:hAnsi="Bookman Old Style" w:cs="Arial"/>
          <w:spacing w:val="-3"/>
        </w:rPr>
        <w:t>De otra parte, e</w:t>
      </w:r>
      <w:r w:rsidR="006C5158">
        <w:rPr>
          <w:rFonts w:ascii="Bookman Old Style" w:hAnsi="Bookman Old Style" w:cs="Arial"/>
          <w:spacing w:val="-3"/>
        </w:rPr>
        <w:t xml:space="preserve">l </w:t>
      </w:r>
      <w:r w:rsidR="00AB44F2" w:rsidRPr="00AB44F2">
        <w:rPr>
          <w:rFonts w:ascii="Bookman Old Style" w:hAnsi="Bookman Old Style" w:cs="Arial"/>
          <w:spacing w:val="-3"/>
        </w:rPr>
        <w:t xml:space="preserve">artículo 6 de la Resolución CREG 022 de 2001, </w:t>
      </w:r>
      <w:r w:rsidR="00AB44F2">
        <w:rPr>
          <w:rFonts w:ascii="Bookman Old Style" w:hAnsi="Bookman Old Style" w:cs="Arial"/>
          <w:spacing w:val="-3"/>
        </w:rPr>
        <w:t xml:space="preserve">en la forma como fue modificado por </w:t>
      </w:r>
      <w:r w:rsidR="00AB44F2" w:rsidRPr="00AB44F2">
        <w:rPr>
          <w:rFonts w:ascii="Bookman Old Style" w:hAnsi="Bookman Old Style" w:cs="Arial"/>
          <w:spacing w:val="-3"/>
        </w:rPr>
        <w:t xml:space="preserve">la </w:t>
      </w:r>
      <w:r w:rsidR="00C25624" w:rsidRPr="00AB44F2">
        <w:rPr>
          <w:rFonts w:ascii="Bookman Old Style" w:hAnsi="Bookman Old Style" w:cs="Arial"/>
          <w:spacing w:val="-3"/>
        </w:rPr>
        <w:t xml:space="preserve">Resolución </w:t>
      </w:r>
      <w:r w:rsidR="00AB44F2" w:rsidRPr="00AB44F2">
        <w:rPr>
          <w:rFonts w:ascii="Bookman Old Style" w:hAnsi="Bookman Old Style" w:cs="Arial"/>
          <w:spacing w:val="-3"/>
        </w:rPr>
        <w:t xml:space="preserve">CREG </w:t>
      </w:r>
      <w:r w:rsidR="00AB44F2">
        <w:rPr>
          <w:rFonts w:ascii="Bookman Old Style" w:hAnsi="Bookman Old Style" w:cs="Arial"/>
          <w:spacing w:val="-3"/>
        </w:rPr>
        <w:t>147</w:t>
      </w:r>
      <w:r w:rsidR="00AB44F2" w:rsidRPr="00AB44F2">
        <w:rPr>
          <w:rFonts w:ascii="Bookman Old Style" w:hAnsi="Bookman Old Style" w:cs="Arial"/>
          <w:spacing w:val="-3"/>
        </w:rPr>
        <w:t xml:space="preserve"> de 20</w:t>
      </w:r>
      <w:r w:rsidR="00AB44F2">
        <w:rPr>
          <w:rFonts w:ascii="Bookman Old Style" w:hAnsi="Bookman Old Style" w:cs="Arial"/>
          <w:spacing w:val="-3"/>
        </w:rPr>
        <w:t xml:space="preserve">11, </w:t>
      </w:r>
      <w:r w:rsidR="00AD551E">
        <w:rPr>
          <w:rFonts w:ascii="Bookman Old Style" w:hAnsi="Bookman Old Style" w:cs="Arial"/>
          <w:spacing w:val="-3"/>
        </w:rPr>
        <w:t>establece:</w:t>
      </w:r>
    </w:p>
    <w:p w14:paraId="3A1067FA" w14:textId="77777777" w:rsidR="00C25624" w:rsidRPr="001638BC" w:rsidRDefault="00C25624" w:rsidP="00C25624">
      <w:pPr>
        <w:spacing w:before="120" w:after="120"/>
        <w:ind w:left="426" w:right="142"/>
        <w:jc w:val="both"/>
        <w:rPr>
          <w:rFonts w:ascii="Bookman Old Style" w:hAnsi="Bookman Old Style"/>
          <w:i/>
          <w:sz w:val="22"/>
          <w:lang w:val="es-CO"/>
        </w:rPr>
      </w:pPr>
      <w:r w:rsidRPr="001638BC">
        <w:rPr>
          <w:rFonts w:ascii="Bookman Old Style" w:hAnsi="Bookman Old Style"/>
          <w:i/>
          <w:sz w:val="22"/>
          <w:lang w:val="es-CO"/>
        </w:rPr>
        <w:t>Artículo 6. Ampliaciones de las Instalaciones del STN que se encuentren en servicio. Los proyectos consistentes en la ampliación de las instalaciones del STN que se encuentren en operación, tales como:</w:t>
      </w:r>
    </w:p>
    <w:p w14:paraId="2271A781" w14:textId="77777777" w:rsidR="00C25624" w:rsidRPr="00C25624" w:rsidRDefault="00C25624" w:rsidP="00C25624">
      <w:pPr>
        <w:pStyle w:val="Prrafodelista"/>
        <w:numPr>
          <w:ilvl w:val="0"/>
          <w:numId w:val="24"/>
        </w:numPr>
        <w:spacing w:before="120" w:after="120"/>
        <w:ind w:left="709" w:right="142" w:hanging="357"/>
        <w:jc w:val="both"/>
        <w:rPr>
          <w:rFonts w:ascii="Bookman Old Style" w:hAnsi="Bookman Old Style"/>
          <w:i/>
          <w:sz w:val="22"/>
        </w:rPr>
      </w:pPr>
      <w:r w:rsidRPr="00C25624">
        <w:rPr>
          <w:rFonts w:ascii="Bookman Old Style" w:hAnsi="Bookman Old Style"/>
          <w:i/>
          <w:sz w:val="22"/>
        </w:rPr>
        <w:t>montaje de nuevos circuitos sobre estructuras existentes, junto con los activos requeridos para su conexión al STN;</w:t>
      </w:r>
    </w:p>
    <w:p w14:paraId="7D33D6DA" w14:textId="77777777" w:rsidR="00C25624" w:rsidRPr="00C25624" w:rsidRDefault="00C25624" w:rsidP="00C25624">
      <w:pPr>
        <w:pStyle w:val="Prrafodelista"/>
        <w:numPr>
          <w:ilvl w:val="0"/>
          <w:numId w:val="24"/>
        </w:numPr>
        <w:spacing w:before="120" w:after="120"/>
        <w:ind w:left="709" w:right="142" w:hanging="357"/>
        <w:jc w:val="both"/>
        <w:rPr>
          <w:rFonts w:ascii="Bookman Old Style" w:hAnsi="Bookman Old Style"/>
          <w:i/>
          <w:sz w:val="22"/>
        </w:rPr>
      </w:pPr>
      <w:r w:rsidRPr="00C25624">
        <w:rPr>
          <w:rFonts w:ascii="Bookman Old Style" w:hAnsi="Bookman Old Style"/>
          <w:i/>
          <w:sz w:val="22"/>
        </w:rPr>
        <w:t>cambio en la configuración de subestaciones existentes;</w:t>
      </w:r>
    </w:p>
    <w:p w14:paraId="48C664FA" w14:textId="77777777" w:rsidR="00C25624" w:rsidRPr="00C25624" w:rsidRDefault="00C25624" w:rsidP="00C25624">
      <w:pPr>
        <w:pStyle w:val="Prrafodelista"/>
        <w:numPr>
          <w:ilvl w:val="0"/>
          <w:numId w:val="24"/>
        </w:numPr>
        <w:spacing w:before="120" w:after="120"/>
        <w:ind w:left="709" w:right="142" w:hanging="357"/>
        <w:jc w:val="both"/>
        <w:rPr>
          <w:rFonts w:ascii="Bookman Old Style" w:hAnsi="Bookman Old Style"/>
          <w:i/>
          <w:sz w:val="22"/>
        </w:rPr>
      </w:pPr>
      <w:r w:rsidRPr="00C25624">
        <w:rPr>
          <w:rFonts w:ascii="Bookman Old Style" w:hAnsi="Bookman Old Style"/>
          <w:i/>
          <w:sz w:val="22"/>
        </w:rPr>
        <w:t xml:space="preserve">montaje de nuevas bahías de transformador con tensión igual o superior a 220 </w:t>
      </w:r>
      <w:proofErr w:type="spellStart"/>
      <w:r w:rsidRPr="00C25624">
        <w:rPr>
          <w:rFonts w:ascii="Bookman Old Style" w:hAnsi="Bookman Old Style"/>
          <w:i/>
          <w:sz w:val="22"/>
        </w:rPr>
        <w:t>kV</w:t>
      </w:r>
      <w:proofErr w:type="spellEnd"/>
      <w:r w:rsidRPr="00C25624">
        <w:rPr>
          <w:rFonts w:ascii="Bookman Old Style" w:hAnsi="Bookman Old Style"/>
          <w:i/>
          <w:sz w:val="22"/>
        </w:rPr>
        <w:t xml:space="preserve"> que utilice un Operador de Red para conectarse al STN en subestaciones con configuración de anillo o de interruptor y medio;</w:t>
      </w:r>
    </w:p>
    <w:p w14:paraId="7E1CA75A" w14:textId="77777777" w:rsidR="00C25624" w:rsidRDefault="00C25624" w:rsidP="00C25624">
      <w:pPr>
        <w:spacing w:before="120" w:after="120"/>
        <w:ind w:left="426" w:right="142"/>
        <w:jc w:val="both"/>
        <w:rPr>
          <w:rFonts w:ascii="Bookman Old Style" w:hAnsi="Bookman Old Style"/>
          <w:i/>
          <w:sz w:val="22"/>
          <w:lang w:val="es-CO"/>
        </w:rPr>
      </w:pPr>
      <w:proofErr w:type="gramStart"/>
      <w:r w:rsidRPr="00C25624">
        <w:rPr>
          <w:rFonts w:ascii="Bookman Old Style" w:hAnsi="Bookman Old Style"/>
          <w:i/>
          <w:sz w:val="22"/>
          <w:lang w:val="es-CO"/>
        </w:rPr>
        <w:t>harán</w:t>
      </w:r>
      <w:proofErr w:type="gramEnd"/>
      <w:r w:rsidRPr="00C25624">
        <w:rPr>
          <w:rFonts w:ascii="Bookman Old Style" w:hAnsi="Bookman Old Style"/>
          <w:i/>
          <w:sz w:val="22"/>
          <w:lang w:val="es-CO"/>
        </w:rPr>
        <w:t xml:space="preserve"> parte del Plan de Expansión de Referencia, de acuerdo con lo dispuesto en el artículo 3 de la presente Resolución y en esta medida su ejecución podrá ser objetada. De ser incluida la respectiva ampliación en el Plan de Expansión de </w:t>
      </w:r>
      <w:r w:rsidRPr="00C25624">
        <w:rPr>
          <w:rFonts w:ascii="Bookman Old Style" w:hAnsi="Bookman Old Style"/>
          <w:i/>
          <w:sz w:val="22"/>
          <w:lang w:val="es-CO"/>
        </w:rPr>
        <w:lastRenderedPageBreak/>
        <w:t xml:space="preserve">Referencia, será desarrollada por el transmisor que representa ante el Liquidador y Administrador de Cuentas, LAC, los activos objeto de la ampliación. En caso que el transmisor no desee desarrollar el proyecto, se adelantará un proceso que garantice la libre concurrencia en condiciones de igualdad, cumpliendo con las disposiciones establecidas en el artículo 4 de la presente Resolución. </w:t>
      </w:r>
    </w:p>
    <w:p w14:paraId="2C4D346A" w14:textId="77777777" w:rsidR="00971988" w:rsidRPr="00C25624" w:rsidRDefault="00971988" w:rsidP="00971988">
      <w:pPr>
        <w:spacing w:before="120" w:after="120"/>
        <w:ind w:left="426" w:right="142"/>
        <w:jc w:val="both"/>
        <w:rPr>
          <w:rFonts w:ascii="Bookman Old Style" w:hAnsi="Bookman Old Style"/>
          <w:i/>
          <w:sz w:val="22"/>
          <w:lang w:val="es-CO"/>
        </w:rPr>
      </w:pPr>
      <w:r>
        <w:rPr>
          <w:rFonts w:ascii="Bookman Old Style" w:hAnsi="Bookman Old Style"/>
          <w:i/>
          <w:sz w:val="22"/>
          <w:lang w:val="es-CO"/>
        </w:rPr>
        <w:t>(…)</w:t>
      </w:r>
    </w:p>
    <w:p w14:paraId="28E07EC8" w14:textId="77777777" w:rsidR="00971988" w:rsidRPr="00971988" w:rsidRDefault="00971988" w:rsidP="00971988">
      <w:pPr>
        <w:spacing w:before="120" w:after="120"/>
        <w:ind w:left="426" w:right="142"/>
        <w:jc w:val="both"/>
        <w:rPr>
          <w:rFonts w:ascii="Bookman Old Style" w:hAnsi="Bookman Old Style"/>
          <w:i/>
          <w:sz w:val="22"/>
          <w:lang w:val="es-CO"/>
        </w:rPr>
      </w:pPr>
      <w:r w:rsidRPr="00971988">
        <w:rPr>
          <w:rFonts w:ascii="Bookman Old Style" w:hAnsi="Bookman Old Style"/>
          <w:i/>
          <w:sz w:val="22"/>
          <w:lang w:val="es-CO"/>
        </w:rPr>
        <w:t xml:space="preserve">Parágrafo 4. Una vez aprobado el Plan de Expansión de Referencia, la UPME informará al transmisor que representa los respectivos activos sobre los proyectos de ampliación incluidos y la fecha definida en el Plan para la puesta en operación. El transmisor deberá manifestar por escrito a la UPME, dentro del término que ésta le señale, si desea desarrollar el respectivo proyecto de ampliación de sus activos, caso en el cual se obligará a ponerlo en operación en la fecha definida en dicho Plan. </w:t>
      </w:r>
    </w:p>
    <w:p w14:paraId="476C81F1" w14:textId="77777777" w:rsidR="00C25624" w:rsidRPr="00C25624" w:rsidRDefault="00C25624" w:rsidP="00C25624">
      <w:pPr>
        <w:spacing w:before="120" w:after="120"/>
        <w:ind w:left="426" w:right="142"/>
        <w:jc w:val="both"/>
        <w:rPr>
          <w:rFonts w:ascii="Bookman Old Style" w:hAnsi="Bookman Old Style"/>
          <w:i/>
          <w:sz w:val="22"/>
          <w:lang w:val="es-CO"/>
        </w:rPr>
      </w:pPr>
      <w:r>
        <w:rPr>
          <w:rFonts w:ascii="Bookman Old Style" w:hAnsi="Bookman Old Style"/>
          <w:i/>
          <w:sz w:val="22"/>
          <w:lang w:val="es-CO"/>
        </w:rPr>
        <w:t>(…)</w:t>
      </w:r>
    </w:p>
    <w:p w14:paraId="28C1D8BD" w14:textId="0534F011" w:rsidR="00CB2B4F" w:rsidRDefault="00DD3EF2" w:rsidP="00A60380">
      <w:pPr>
        <w:tabs>
          <w:tab w:val="center" w:pos="4680"/>
        </w:tabs>
        <w:spacing w:after="240"/>
        <w:ind w:left="0"/>
        <w:jc w:val="both"/>
        <w:rPr>
          <w:rFonts w:ascii="Bookman Old Style" w:hAnsi="Bookman Old Style" w:cs="Arial"/>
          <w:spacing w:val="-3"/>
        </w:rPr>
      </w:pPr>
      <w:r>
        <w:rPr>
          <w:rFonts w:ascii="Bookman Old Style" w:hAnsi="Bookman Old Style" w:cs="Arial"/>
          <w:spacing w:val="-3"/>
        </w:rPr>
        <w:t>De acuerdo con las resoluciones citadas se entiende que l</w:t>
      </w:r>
      <w:r w:rsidR="00BB421D">
        <w:rPr>
          <w:rFonts w:ascii="Bookman Old Style" w:hAnsi="Bookman Old Style" w:cs="Arial"/>
          <w:spacing w:val="-3"/>
        </w:rPr>
        <w:t xml:space="preserve">a expansión en el STN se puede ejecutar de dos formas: mediante procesos de selección donde pueden participar diferentes agentes interesados o, si hacen parte de las denominadas ampliaciones, por el transmisor que opera la subestación donde se va a ejecutar el proyecto. En ambos casos se requiere que los proyectos estén dentro de los recomendados en el </w:t>
      </w:r>
      <w:r w:rsidR="00BB421D" w:rsidRPr="00BB421D">
        <w:rPr>
          <w:rFonts w:ascii="Bookman Old Style" w:hAnsi="Bookman Old Style" w:cs="Arial"/>
          <w:spacing w:val="-3"/>
        </w:rPr>
        <w:t>Plan de Expansión de Referencia</w:t>
      </w:r>
      <w:r w:rsidR="00BB421D">
        <w:rPr>
          <w:rFonts w:ascii="Bookman Old Style" w:hAnsi="Bookman Old Style" w:cs="Arial"/>
          <w:spacing w:val="-3"/>
        </w:rPr>
        <w:t>.</w:t>
      </w:r>
    </w:p>
    <w:p w14:paraId="2FA48A80" w14:textId="065680DE" w:rsidR="00AD551E" w:rsidRDefault="00AD551E" w:rsidP="00A60380">
      <w:pPr>
        <w:tabs>
          <w:tab w:val="center" w:pos="4680"/>
        </w:tabs>
        <w:spacing w:after="240"/>
        <w:ind w:left="0"/>
        <w:jc w:val="both"/>
        <w:rPr>
          <w:rFonts w:ascii="Bookman Old Style" w:hAnsi="Bookman Old Style" w:cs="Arial"/>
          <w:spacing w:val="-3"/>
        </w:rPr>
      </w:pPr>
      <w:r>
        <w:rPr>
          <w:rFonts w:ascii="Bookman Old Style" w:hAnsi="Bookman Old Style" w:cs="Arial"/>
          <w:spacing w:val="-3"/>
        </w:rPr>
        <w:t>Para los procesos de selección</w:t>
      </w:r>
      <w:r w:rsidR="00003056">
        <w:rPr>
          <w:rFonts w:ascii="Bookman Old Style" w:hAnsi="Bookman Old Style" w:cs="Arial"/>
          <w:spacing w:val="-3"/>
        </w:rPr>
        <w:t>,</w:t>
      </w:r>
      <w:r>
        <w:rPr>
          <w:rFonts w:ascii="Bookman Old Style" w:hAnsi="Bookman Old Style" w:cs="Arial"/>
          <w:spacing w:val="-3"/>
        </w:rPr>
        <w:t xml:space="preserve"> e</w:t>
      </w:r>
      <w:r w:rsidR="00BB421D">
        <w:rPr>
          <w:rFonts w:ascii="Bookman Old Style" w:hAnsi="Bookman Old Style" w:cs="Arial"/>
          <w:spacing w:val="-3"/>
        </w:rPr>
        <w:t xml:space="preserve">l Ministerio de Minas y Energía </w:t>
      </w:r>
      <w:r w:rsidR="00F33CE4">
        <w:rPr>
          <w:rFonts w:ascii="Bookman Old Style" w:hAnsi="Bookman Old Style" w:cs="Arial"/>
          <w:spacing w:val="-3"/>
        </w:rPr>
        <w:t>delegó en la UPME la función de llevar a cabo</w:t>
      </w:r>
      <w:r>
        <w:rPr>
          <w:rFonts w:ascii="Bookman Old Style" w:hAnsi="Bookman Old Style" w:cs="Arial"/>
          <w:spacing w:val="-3"/>
        </w:rPr>
        <w:t xml:space="preserve"> estos procesos</w:t>
      </w:r>
      <w:r w:rsidR="00F33CE4">
        <w:rPr>
          <w:rFonts w:ascii="Bookman Old Style" w:hAnsi="Bookman Old Style" w:cs="Arial"/>
          <w:spacing w:val="-3"/>
        </w:rPr>
        <w:t>, por lo tanto es esta Unidad la que elabora los documentos de selección, en donde se especifican las necesidades del proyecto a ejecutar, dentro de las cuales se incluye la de acordar con los agentes</w:t>
      </w:r>
      <w:r>
        <w:rPr>
          <w:rFonts w:ascii="Bookman Old Style" w:hAnsi="Bookman Old Style" w:cs="Arial"/>
          <w:spacing w:val="-3"/>
        </w:rPr>
        <w:t xml:space="preserve">, representantes de los </w:t>
      </w:r>
      <w:proofErr w:type="gramStart"/>
      <w:r>
        <w:rPr>
          <w:rFonts w:ascii="Bookman Old Style" w:hAnsi="Bookman Old Style" w:cs="Arial"/>
          <w:spacing w:val="-3"/>
        </w:rPr>
        <w:t xml:space="preserve">activos </w:t>
      </w:r>
      <w:r w:rsidR="00F33CE4">
        <w:rPr>
          <w:rFonts w:ascii="Bookman Old Style" w:hAnsi="Bookman Old Style" w:cs="Arial"/>
          <w:spacing w:val="-3"/>
        </w:rPr>
        <w:t xml:space="preserve"> donde</w:t>
      </w:r>
      <w:proofErr w:type="gramEnd"/>
      <w:r w:rsidR="00F33CE4">
        <w:rPr>
          <w:rFonts w:ascii="Bookman Old Style" w:hAnsi="Bookman Old Style" w:cs="Arial"/>
          <w:spacing w:val="-3"/>
        </w:rPr>
        <w:t xml:space="preserve"> se va a conectar el proyecto</w:t>
      </w:r>
      <w:r>
        <w:rPr>
          <w:rFonts w:ascii="Bookman Old Style" w:hAnsi="Bookman Old Style" w:cs="Arial"/>
          <w:spacing w:val="-3"/>
        </w:rPr>
        <w:t>,</w:t>
      </w:r>
      <w:r w:rsidR="00F33CE4">
        <w:rPr>
          <w:rFonts w:ascii="Bookman Old Style" w:hAnsi="Bookman Old Style" w:cs="Arial"/>
          <w:spacing w:val="-3"/>
        </w:rPr>
        <w:t xml:space="preserve"> las condiciones de la conexión y los posibles costos si los hubiere. </w:t>
      </w:r>
    </w:p>
    <w:p w14:paraId="5662210C" w14:textId="77777777" w:rsidR="00AB39DC" w:rsidRDefault="00F33CE4" w:rsidP="00A60380">
      <w:pPr>
        <w:tabs>
          <w:tab w:val="center" w:pos="4680"/>
        </w:tabs>
        <w:spacing w:after="240"/>
        <w:ind w:left="0"/>
        <w:jc w:val="both"/>
        <w:rPr>
          <w:rFonts w:ascii="Bookman Old Style" w:hAnsi="Bookman Old Style" w:cs="Arial"/>
          <w:spacing w:val="-3"/>
        </w:rPr>
      </w:pPr>
      <w:r>
        <w:rPr>
          <w:rFonts w:ascii="Bookman Old Style" w:hAnsi="Bookman Old Style" w:cs="Arial"/>
          <w:spacing w:val="-3"/>
        </w:rPr>
        <w:t xml:space="preserve">En este sentido la regulación establece que estas condiciones y </w:t>
      </w:r>
      <w:r w:rsidR="00B52ADF">
        <w:rPr>
          <w:rFonts w:ascii="Bookman Old Style" w:hAnsi="Bookman Old Style" w:cs="Arial"/>
          <w:spacing w:val="-3"/>
        </w:rPr>
        <w:t xml:space="preserve">los </w:t>
      </w:r>
      <w:r>
        <w:rPr>
          <w:rFonts w:ascii="Bookman Old Style" w:hAnsi="Bookman Old Style" w:cs="Arial"/>
          <w:spacing w:val="-3"/>
        </w:rPr>
        <w:t xml:space="preserve">costos deben ser conocidos por todos los posibles participantes antes de presentar su oferta, para que sean tenidos en cuenta dentro del valor </w:t>
      </w:r>
      <w:r w:rsidR="001638BC">
        <w:rPr>
          <w:rFonts w:ascii="Bookman Old Style" w:hAnsi="Bookman Old Style" w:cs="Arial"/>
          <w:spacing w:val="-3"/>
        </w:rPr>
        <w:t>a</w:t>
      </w:r>
      <w:r>
        <w:rPr>
          <w:rFonts w:ascii="Bookman Old Style" w:hAnsi="Bookman Old Style" w:cs="Arial"/>
          <w:spacing w:val="-3"/>
        </w:rPr>
        <w:t xml:space="preserve"> oferta</w:t>
      </w:r>
      <w:r w:rsidR="001638BC">
        <w:rPr>
          <w:rFonts w:ascii="Bookman Old Style" w:hAnsi="Bookman Old Style" w:cs="Arial"/>
          <w:spacing w:val="-3"/>
        </w:rPr>
        <w:t>r</w:t>
      </w:r>
      <w:r>
        <w:rPr>
          <w:rFonts w:ascii="Bookman Old Style" w:hAnsi="Bookman Old Style" w:cs="Arial"/>
          <w:spacing w:val="-3"/>
        </w:rPr>
        <w:t>.</w:t>
      </w:r>
      <w:r w:rsidR="00AD551E" w:rsidRPr="00AD551E">
        <w:rPr>
          <w:rFonts w:ascii="Bookman Old Style" w:hAnsi="Bookman Old Style" w:cs="Arial"/>
          <w:spacing w:val="-3"/>
        </w:rPr>
        <w:t xml:space="preserve"> </w:t>
      </w:r>
      <w:r w:rsidR="00AD551E">
        <w:rPr>
          <w:rFonts w:ascii="Bookman Old Style" w:hAnsi="Bookman Old Style" w:cs="Arial"/>
          <w:spacing w:val="-3"/>
        </w:rPr>
        <w:t>Esto definitivamente es necesario para que los oferentes tengan la misma información y puedan participar en las mismas condiciones en el proceso.</w:t>
      </w:r>
    </w:p>
    <w:p w14:paraId="0D9AAD51" w14:textId="77777777" w:rsidR="00F33CE4" w:rsidRDefault="00F33CE4" w:rsidP="00A60380">
      <w:pPr>
        <w:tabs>
          <w:tab w:val="center" w:pos="4680"/>
        </w:tabs>
        <w:spacing w:after="240"/>
        <w:ind w:left="0"/>
        <w:jc w:val="both"/>
        <w:rPr>
          <w:rFonts w:ascii="Bookman Old Style" w:hAnsi="Bookman Old Style" w:cs="Arial"/>
          <w:spacing w:val="-3"/>
        </w:rPr>
      </w:pPr>
      <w:r>
        <w:rPr>
          <w:rFonts w:ascii="Bookman Old Style" w:hAnsi="Bookman Old Style" w:cs="Arial"/>
          <w:spacing w:val="-3"/>
        </w:rPr>
        <w:t>Con lo anterior se entiende que la oferta presentada por los proponentes inclu</w:t>
      </w:r>
      <w:r w:rsidR="00AD551E">
        <w:rPr>
          <w:rFonts w:ascii="Bookman Old Style" w:hAnsi="Bookman Old Style" w:cs="Arial"/>
          <w:spacing w:val="-3"/>
        </w:rPr>
        <w:t>ye</w:t>
      </w:r>
      <w:r w:rsidR="00B52ADF">
        <w:rPr>
          <w:rFonts w:ascii="Bookman Old Style" w:hAnsi="Bookman Old Style" w:cs="Arial"/>
          <w:spacing w:val="-3"/>
        </w:rPr>
        <w:t xml:space="preserve"> </w:t>
      </w:r>
      <w:r>
        <w:rPr>
          <w:rFonts w:ascii="Bookman Old Style" w:hAnsi="Bookman Old Style" w:cs="Arial"/>
          <w:spacing w:val="-3"/>
        </w:rPr>
        <w:t>todos los costos</w:t>
      </w:r>
      <w:r w:rsidR="00B52ADF">
        <w:rPr>
          <w:rFonts w:ascii="Bookman Old Style" w:hAnsi="Bookman Old Style" w:cs="Arial"/>
          <w:spacing w:val="-3"/>
        </w:rPr>
        <w:t>,</w:t>
      </w:r>
      <w:r>
        <w:rPr>
          <w:rFonts w:ascii="Bookman Old Style" w:hAnsi="Bookman Old Style" w:cs="Arial"/>
          <w:spacing w:val="-3"/>
        </w:rPr>
        <w:t xml:space="preserve"> </w:t>
      </w:r>
      <w:r w:rsidR="00B52ADF">
        <w:rPr>
          <w:rFonts w:ascii="Bookman Old Style" w:hAnsi="Bookman Old Style" w:cs="Arial"/>
          <w:spacing w:val="-3"/>
        </w:rPr>
        <w:t xml:space="preserve">dentro de los cuales están </w:t>
      </w:r>
      <w:r>
        <w:rPr>
          <w:rFonts w:ascii="Bookman Old Style" w:hAnsi="Bookman Old Style" w:cs="Arial"/>
          <w:spacing w:val="-3"/>
        </w:rPr>
        <w:t>los requeridos para conectar el proyecto a los activos existentes</w:t>
      </w:r>
      <w:r w:rsidR="00B52ADF">
        <w:rPr>
          <w:rFonts w:ascii="Bookman Old Style" w:hAnsi="Bookman Old Style" w:cs="Arial"/>
          <w:spacing w:val="-3"/>
        </w:rPr>
        <w:t xml:space="preserve"> y las posibles adecuaciones de estos últimos, si fuere necesario</w:t>
      </w:r>
      <w:r>
        <w:rPr>
          <w:rFonts w:ascii="Bookman Old Style" w:hAnsi="Bookman Old Style" w:cs="Arial"/>
          <w:spacing w:val="-3"/>
        </w:rPr>
        <w:t>.</w:t>
      </w:r>
      <w:r w:rsidR="00B52ADF">
        <w:rPr>
          <w:rFonts w:ascii="Bookman Old Style" w:hAnsi="Bookman Old Style" w:cs="Arial"/>
          <w:spacing w:val="-3"/>
        </w:rPr>
        <w:t xml:space="preserve"> </w:t>
      </w:r>
    </w:p>
    <w:p w14:paraId="01F7BBBF" w14:textId="77777777" w:rsidR="00114F8E" w:rsidRDefault="00114F8E" w:rsidP="00114F8E">
      <w:pPr>
        <w:tabs>
          <w:tab w:val="center" w:pos="4680"/>
        </w:tabs>
        <w:spacing w:after="240"/>
        <w:ind w:left="0"/>
        <w:jc w:val="both"/>
        <w:rPr>
          <w:rFonts w:ascii="Bookman Old Style" w:hAnsi="Bookman Old Style" w:cs="Arial"/>
          <w:spacing w:val="-3"/>
        </w:rPr>
      </w:pPr>
      <w:r>
        <w:rPr>
          <w:rFonts w:ascii="Bookman Old Style" w:hAnsi="Bookman Old Style" w:cs="Arial"/>
          <w:spacing w:val="-3"/>
        </w:rPr>
        <w:t>Para el caso de las ampliaciones, las condiciones para su ejecución y remuneración están establecidas en el citado (parcialmente) artículo 6 de la Resolución CREG 022 de 2001. Además de que los proyectos hagan parte del plan de expansión, se requiere que el transmisor haya hecho llegar a la UPME la manifestación de interés de la ejecución de es</w:t>
      </w:r>
      <w:r w:rsidR="001638BC">
        <w:rPr>
          <w:rFonts w:ascii="Bookman Old Style" w:hAnsi="Bookman Old Style" w:cs="Arial"/>
          <w:spacing w:val="-3"/>
        </w:rPr>
        <w:t>t</w:t>
      </w:r>
      <w:r>
        <w:rPr>
          <w:rFonts w:ascii="Bookman Old Style" w:hAnsi="Bookman Old Style" w:cs="Arial"/>
          <w:spacing w:val="-3"/>
        </w:rPr>
        <w:t>os proyectos.</w:t>
      </w:r>
    </w:p>
    <w:p w14:paraId="17EA2E29" w14:textId="77777777" w:rsidR="00114F8E" w:rsidRDefault="00114F8E" w:rsidP="00114F8E">
      <w:pPr>
        <w:tabs>
          <w:tab w:val="center" w:pos="4680"/>
        </w:tabs>
        <w:spacing w:after="240"/>
        <w:ind w:left="0"/>
        <w:jc w:val="both"/>
        <w:rPr>
          <w:rFonts w:ascii="Bookman Old Style" w:hAnsi="Bookman Old Style" w:cs="Arial"/>
          <w:spacing w:val="-3"/>
        </w:rPr>
      </w:pPr>
      <w:r>
        <w:rPr>
          <w:rFonts w:ascii="Bookman Old Style" w:hAnsi="Bookman Old Style" w:cs="Arial"/>
          <w:spacing w:val="-3"/>
        </w:rPr>
        <w:t>De otra parte, en cuanto a reposición de activos, el artículo 5 de la Resolución CREG 022 de 2001, modificado por el artículo 3 de la Resolución CREG 085 de 2002, establece:</w:t>
      </w:r>
    </w:p>
    <w:p w14:paraId="0DF98EFA" w14:textId="77777777" w:rsidR="00114F8E" w:rsidRPr="007F7218" w:rsidRDefault="00114F8E" w:rsidP="00EB4382">
      <w:pPr>
        <w:tabs>
          <w:tab w:val="center" w:pos="4680"/>
        </w:tabs>
        <w:spacing w:after="280"/>
        <w:ind w:left="284" w:right="284"/>
        <w:jc w:val="both"/>
        <w:rPr>
          <w:rFonts w:ascii="Bookman Old Style" w:hAnsi="Bookman Old Style" w:cs="Arial"/>
          <w:i/>
          <w:spacing w:val="-3"/>
          <w:sz w:val="22"/>
        </w:rPr>
      </w:pPr>
      <w:r w:rsidRPr="00BB421D">
        <w:rPr>
          <w:rFonts w:ascii="Bookman Old Style" w:hAnsi="Bookman Old Style" w:cs="Arial"/>
          <w:i/>
          <w:spacing w:val="-3"/>
          <w:sz w:val="22"/>
        </w:rPr>
        <w:t xml:space="preserve">ARTÍCULO 5o.  Reposición de Activos del STN que se encuentren en servicio.  Los proyectos consistentes en la reposición de “Unidades Constructivas” del STN que se encuentren en operación, deben ser desarrollados por los propietarios de las mismas.  </w:t>
      </w:r>
      <w:r w:rsidRPr="00BB421D">
        <w:rPr>
          <w:rFonts w:ascii="Bookman Old Style" w:hAnsi="Bookman Old Style" w:cs="Arial"/>
          <w:i/>
          <w:spacing w:val="-3"/>
          <w:sz w:val="22"/>
        </w:rPr>
        <w:lastRenderedPageBreak/>
        <w:t>En caso de que el propietario no ejecute la reposición requerida, se adelantará un proceso que garantice la libre concurrencia en condiciones de igualdad, cumpliendo con las disposiciones establecidas en el Artículo anterior.</w:t>
      </w:r>
    </w:p>
    <w:p w14:paraId="39EEBA27" w14:textId="77777777" w:rsidR="00114F8E" w:rsidRDefault="001638BC" w:rsidP="00EB4382">
      <w:pPr>
        <w:tabs>
          <w:tab w:val="center" w:pos="4680"/>
        </w:tabs>
        <w:spacing w:after="280"/>
        <w:ind w:left="0"/>
        <w:jc w:val="both"/>
        <w:rPr>
          <w:rFonts w:ascii="Bookman Old Style" w:hAnsi="Bookman Old Style" w:cs="Arial"/>
          <w:spacing w:val="-3"/>
        </w:rPr>
      </w:pPr>
      <w:r>
        <w:rPr>
          <w:rFonts w:ascii="Bookman Old Style" w:hAnsi="Bookman Old Style" w:cs="Arial"/>
          <w:spacing w:val="-3"/>
        </w:rPr>
        <w:t>También l</w:t>
      </w:r>
      <w:r w:rsidR="00114F8E">
        <w:rPr>
          <w:rFonts w:ascii="Bookman Old Style" w:hAnsi="Bookman Old Style" w:cs="Arial"/>
          <w:spacing w:val="-3"/>
        </w:rPr>
        <w:t>a metodología vigente para la remuneración de la actividad de transmisión, Resolución CREG 011 de 2009, en el tema relacionado con la sustitución de activos, señala:</w:t>
      </w:r>
    </w:p>
    <w:p w14:paraId="16683FE4" w14:textId="77777777" w:rsidR="00114F8E" w:rsidRPr="00114F8E" w:rsidRDefault="00114F8E" w:rsidP="00EB4382">
      <w:pPr>
        <w:tabs>
          <w:tab w:val="center" w:pos="4680"/>
        </w:tabs>
        <w:spacing w:after="280"/>
        <w:ind w:left="284" w:right="284"/>
        <w:jc w:val="both"/>
        <w:rPr>
          <w:rFonts w:ascii="Bookman Old Style" w:hAnsi="Bookman Old Style" w:cs="Arial"/>
          <w:i/>
          <w:spacing w:val="-3"/>
          <w:sz w:val="22"/>
        </w:rPr>
      </w:pPr>
      <w:r w:rsidRPr="00114F8E">
        <w:rPr>
          <w:rFonts w:ascii="Bookman Old Style" w:hAnsi="Bookman Old Style" w:cs="Arial"/>
          <w:i/>
          <w:spacing w:val="-3"/>
          <w:sz w:val="22"/>
        </w:rPr>
        <w:t>Artículo 6.</w:t>
      </w:r>
      <w:r w:rsidRPr="00114F8E">
        <w:rPr>
          <w:rFonts w:ascii="Bookman Old Style" w:hAnsi="Bookman Old Style" w:cs="Arial"/>
          <w:i/>
          <w:spacing w:val="-3"/>
          <w:sz w:val="22"/>
        </w:rPr>
        <w:tab/>
      </w:r>
      <w:r>
        <w:rPr>
          <w:rFonts w:ascii="Bookman Old Style" w:hAnsi="Bookman Old Style" w:cs="Arial"/>
          <w:i/>
          <w:spacing w:val="-3"/>
          <w:sz w:val="22"/>
        </w:rPr>
        <w:t xml:space="preserve"> </w:t>
      </w:r>
      <w:r w:rsidRPr="00114F8E">
        <w:rPr>
          <w:rFonts w:ascii="Bookman Old Style" w:hAnsi="Bookman Old Style" w:cs="Arial"/>
          <w:i/>
          <w:spacing w:val="-3"/>
          <w:sz w:val="22"/>
        </w:rPr>
        <w:t>Remuneración de nuevos Activos de Uso que sustituyan a otros. Para la remuneración de un nuevo Activo de Uso que sustituya a otro que se estaba remunerando con una Unidad Constructiva diferente se debe cumplir lo siguiente: i)</w:t>
      </w:r>
      <w:r>
        <w:rPr>
          <w:rFonts w:ascii="Bookman Old Style" w:hAnsi="Bookman Old Style" w:cs="Arial"/>
          <w:i/>
          <w:spacing w:val="-3"/>
          <w:sz w:val="22"/>
        </w:rPr>
        <w:t> </w:t>
      </w:r>
      <w:r w:rsidRPr="00114F8E">
        <w:rPr>
          <w:rFonts w:ascii="Bookman Old Style" w:hAnsi="Bookman Old Style" w:cs="Arial"/>
          <w:i/>
          <w:spacing w:val="-3"/>
          <w:sz w:val="22"/>
        </w:rPr>
        <w:t>Que el TN que represente dicho activo presente a la UPME la evaluación técnica y económica que justifica la ampliación o su sustitución; ii) Que la UPME, una vez aplicados los criterios establecidos en la normatividad vigente, recomiende en el Plan de Expansión la ampliación o sustitución de dicho activo; iii) Que el TN solicite a la CREG la inclusión de este activo dentro del inventario de activos remunerados; y iv)</w:t>
      </w:r>
      <w:r>
        <w:rPr>
          <w:rFonts w:ascii="Bookman Old Style" w:hAnsi="Bookman Old Style" w:cs="Arial"/>
          <w:i/>
          <w:spacing w:val="-3"/>
          <w:sz w:val="22"/>
        </w:rPr>
        <w:t> </w:t>
      </w:r>
      <w:r w:rsidRPr="00114F8E">
        <w:rPr>
          <w:rFonts w:ascii="Bookman Old Style" w:hAnsi="Bookman Old Style" w:cs="Arial"/>
          <w:i/>
          <w:spacing w:val="-3"/>
          <w:sz w:val="22"/>
        </w:rPr>
        <w:t>Que la CREG expida la Resolución mediante la cual aprueba su remuneración, una vez el activo entre en operación.</w:t>
      </w:r>
    </w:p>
    <w:p w14:paraId="3867B983" w14:textId="77777777" w:rsidR="00114F8E" w:rsidRPr="00114F8E" w:rsidRDefault="00114F8E" w:rsidP="00EB4382">
      <w:pPr>
        <w:tabs>
          <w:tab w:val="center" w:pos="4680"/>
        </w:tabs>
        <w:spacing w:after="280"/>
        <w:ind w:left="284" w:right="284"/>
        <w:jc w:val="both"/>
        <w:rPr>
          <w:rFonts w:ascii="Bookman Old Style" w:hAnsi="Bookman Old Style" w:cs="Arial"/>
          <w:i/>
          <w:spacing w:val="-3"/>
          <w:sz w:val="22"/>
        </w:rPr>
      </w:pPr>
      <w:r w:rsidRPr="00114F8E">
        <w:rPr>
          <w:rFonts w:ascii="Bookman Old Style" w:hAnsi="Bookman Old Style" w:cs="Arial"/>
          <w:i/>
          <w:spacing w:val="-3"/>
          <w:sz w:val="22"/>
        </w:rPr>
        <w:t>Parágrafo: La reposición de los activos es responsabilidad de sus propietarios o de los TN que los representen. Con este propósito el TN deberá presentar a la UPME, dentro de los seis meses siguientes a la entrada en vigencia de esta Resolución, un plan de reposición acorde con un diagnóstico técnico del estado de sus activos, que cubra un periodo de cinco años. En ningún caso el incumplimiento de las normas técnicas establecidas por la autoridad competente o las limitaciones técnicas de equipos o elementos de una Unidad Constructiva podrán limitar la operación adecuada del Sistema y le corresponderá al TN ajustar dicho activo y solicitar a la CREG la reclasificación de la Unidad Constructiva, si fuere el caso.</w:t>
      </w:r>
    </w:p>
    <w:p w14:paraId="7E44AC74" w14:textId="4757AE6A" w:rsidR="00E01A3E" w:rsidRDefault="00114F8E" w:rsidP="00EB4382">
      <w:pPr>
        <w:tabs>
          <w:tab w:val="center" w:pos="4680"/>
        </w:tabs>
        <w:spacing w:after="280"/>
        <w:ind w:left="0"/>
        <w:jc w:val="both"/>
        <w:rPr>
          <w:rFonts w:ascii="Bookman Old Style" w:hAnsi="Bookman Old Style" w:cs="Arial"/>
          <w:spacing w:val="-3"/>
        </w:rPr>
      </w:pPr>
      <w:r>
        <w:rPr>
          <w:rFonts w:ascii="Bookman Old Style" w:hAnsi="Bookman Old Style" w:cs="Arial"/>
          <w:spacing w:val="-3"/>
        </w:rPr>
        <w:t>Como se observa, l</w:t>
      </w:r>
      <w:r w:rsidR="00971988">
        <w:rPr>
          <w:rFonts w:ascii="Bookman Old Style" w:hAnsi="Bookman Old Style" w:cs="Arial"/>
          <w:spacing w:val="-3"/>
        </w:rPr>
        <w:t>a otra opción contemplada en la regulación es la reposición de activos</w:t>
      </w:r>
      <w:r w:rsidR="00EB4382">
        <w:rPr>
          <w:rFonts w:ascii="Bookman Old Style" w:hAnsi="Bookman Old Style" w:cs="Arial"/>
          <w:spacing w:val="-3"/>
        </w:rPr>
        <w:t>. Cuando</w:t>
      </w:r>
      <w:r>
        <w:rPr>
          <w:rFonts w:ascii="Bookman Old Style" w:hAnsi="Bookman Old Style" w:cs="Arial"/>
          <w:spacing w:val="-3"/>
        </w:rPr>
        <w:t xml:space="preserve"> se instala una unidad constructiva diferente a la existente se puede solicitar a la CREG la reclasificación </w:t>
      </w:r>
      <w:r w:rsidR="00E01A3E">
        <w:rPr>
          <w:rFonts w:ascii="Bookman Old Style" w:hAnsi="Bookman Old Style" w:cs="Arial"/>
          <w:spacing w:val="-3"/>
        </w:rPr>
        <w:t xml:space="preserve">y el </w:t>
      </w:r>
      <w:r>
        <w:rPr>
          <w:rFonts w:ascii="Bookman Old Style" w:hAnsi="Bookman Old Style" w:cs="Arial"/>
          <w:spacing w:val="-3"/>
        </w:rPr>
        <w:t>corr</w:t>
      </w:r>
      <w:r w:rsidR="00E01A3E">
        <w:rPr>
          <w:rFonts w:ascii="Bookman Old Style" w:hAnsi="Bookman Old Style" w:cs="Arial"/>
          <w:spacing w:val="-3"/>
        </w:rPr>
        <w:t>espondiente ajuste en el ingreso anual</w:t>
      </w:r>
      <w:r w:rsidR="001638BC">
        <w:rPr>
          <w:rFonts w:ascii="Bookman Old Style" w:hAnsi="Bookman Old Style" w:cs="Arial"/>
          <w:spacing w:val="-3"/>
        </w:rPr>
        <w:t>;</w:t>
      </w:r>
      <w:r w:rsidR="00E01A3E">
        <w:rPr>
          <w:rFonts w:ascii="Bookman Old Style" w:hAnsi="Bookman Old Style" w:cs="Arial"/>
          <w:spacing w:val="-3"/>
        </w:rPr>
        <w:t xml:space="preserve"> </w:t>
      </w:r>
      <w:r w:rsidR="001638BC">
        <w:rPr>
          <w:rFonts w:ascii="Bookman Old Style" w:hAnsi="Bookman Old Style" w:cs="Arial"/>
          <w:spacing w:val="-3"/>
        </w:rPr>
        <w:t>p</w:t>
      </w:r>
      <w:r w:rsidR="00E01A3E">
        <w:rPr>
          <w:rFonts w:ascii="Bookman Old Style" w:hAnsi="Bookman Old Style" w:cs="Arial"/>
          <w:spacing w:val="-3"/>
        </w:rPr>
        <w:t>ara e</w:t>
      </w:r>
      <w:r w:rsidR="00955C05">
        <w:rPr>
          <w:rFonts w:ascii="Bookman Old Style" w:hAnsi="Bookman Old Style" w:cs="Arial"/>
          <w:spacing w:val="-3"/>
        </w:rPr>
        <w:t>ll</w:t>
      </w:r>
      <w:r w:rsidR="00E01A3E">
        <w:rPr>
          <w:rFonts w:ascii="Bookman Old Style" w:hAnsi="Bookman Old Style" w:cs="Arial"/>
          <w:spacing w:val="-3"/>
        </w:rPr>
        <w:t xml:space="preserve">o, el artículo 6 de la Resolución CREG 011 de 2009 </w:t>
      </w:r>
      <w:r w:rsidR="001638BC">
        <w:rPr>
          <w:rFonts w:ascii="Bookman Old Style" w:hAnsi="Bookman Old Style" w:cs="Arial"/>
          <w:spacing w:val="-3"/>
        </w:rPr>
        <w:t>define</w:t>
      </w:r>
      <w:r w:rsidR="00E01A3E">
        <w:rPr>
          <w:rFonts w:ascii="Bookman Old Style" w:hAnsi="Bookman Old Style" w:cs="Arial"/>
          <w:spacing w:val="-3"/>
        </w:rPr>
        <w:t xml:space="preserve"> los requisitos a cumplir.</w:t>
      </w:r>
    </w:p>
    <w:p w14:paraId="2B98E47D" w14:textId="68623816" w:rsidR="00BB421D" w:rsidRDefault="00955C05" w:rsidP="00EB4382">
      <w:pPr>
        <w:tabs>
          <w:tab w:val="center" w:pos="4680"/>
        </w:tabs>
        <w:spacing w:after="280"/>
        <w:ind w:left="0"/>
        <w:jc w:val="both"/>
        <w:rPr>
          <w:rFonts w:ascii="Bookman Old Style" w:hAnsi="Bookman Old Style" w:cs="Arial"/>
          <w:spacing w:val="-3"/>
        </w:rPr>
      </w:pPr>
      <w:r>
        <w:rPr>
          <w:rFonts w:ascii="Bookman Old Style" w:hAnsi="Bookman Old Style" w:cs="Arial"/>
          <w:spacing w:val="-3"/>
        </w:rPr>
        <w:t xml:space="preserve">Analizando las respuestas recibidas a las comunicaciones de la CREG, relacionadas en el literal </w:t>
      </w:r>
      <w:r w:rsidR="00EB4382">
        <w:rPr>
          <w:rFonts w:ascii="Bookman Old Style" w:hAnsi="Bookman Old Style" w:cs="Arial"/>
          <w:spacing w:val="-3"/>
        </w:rPr>
        <w:fldChar w:fldCharType="begin"/>
      </w:r>
      <w:r w:rsidR="00EB4382">
        <w:rPr>
          <w:rFonts w:ascii="Bookman Old Style" w:hAnsi="Bookman Old Style" w:cs="Arial"/>
          <w:spacing w:val="-3"/>
        </w:rPr>
        <w:instrText xml:space="preserve"> REF _Ref463971260 \r \h </w:instrText>
      </w:r>
      <w:r w:rsidR="00EB4382">
        <w:rPr>
          <w:rFonts w:ascii="Bookman Old Style" w:hAnsi="Bookman Old Style" w:cs="Arial"/>
          <w:spacing w:val="-3"/>
        </w:rPr>
      </w:r>
      <w:r w:rsidR="00EB4382">
        <w:rPr>
          <w:rFonts w:ascii="Bookman Old Style" w:hAnsi="Bookman Old Style" w:cs="Arial"/>
          <w:spacing w:val="-3"/>
        </w:rPr>
        <w:fldChar w:fldCharType="separate"/>
      </w:r>
      <w:r w:rsidR="004219AC">
        <w:rPr>
          <w:rFonts w:ascii="Bookman Old Style" w:hAnsi="Bookman Old Style" w:cs="Arial"/>
          <w:spacing w:val="-3"/>
        </w:rPr>
        <w:t>B</w:t>
      </w:r>
      <w:r w:rsidR="00EB4382">
        <w:rPr>
          <w:rFonts w:ascii="Bookman Old Style" w:hAnsi="Bookman Old Style" w:cs="Arial"/>
          <w:spacing w:val="-3"/>
        </w:rPr>
        <w:fldChar w:fldCharType="end"/>
      </w:r>
      <w:r>
        <w:rPr>
          <w:rFonts w:ascii="Bookman Old Style" w:hAnsi="Bookman Old Style" w:cs="Arial"/>
          <w:spacing w:val="-3"/>
        </w:rPr>
        <w:t xml:space="preserve">, se observa que </w:t>
      </w:r>
      <w:proofErr w:type="spellStart"/>
      <w:r w:rsidR="00971988">
        <w:rPr>
          <w:rFonts w:ascii="Bookman Old Style" w:hAnsi="Bookman Old Style" w:cs="Arial"/>
          <w:spacing w:val="-3"/>
        </w:rPr>
        <w:t>Intercolombia</w:t>
      </w:r>
      <w:proofErr w:type="spellEnd"/>
      <w:r>
        <w:rPr>
          <w:rFonts w:ascii="Bookman Old Style" w:hAnsi="Bookman Old Style" w:cs="Arial"/>
          <w:spacing w:val="-3"/>
        </w:rPr>
        <w:t xml:space="preserve"> afirma </w:t>
      </w:r>
      <w:r w:rsidRPr="00955C05">
        <w:rPr>
          <w:rFonts w:ascii="Bookman Old Style" w:hAnsi="Bookman Old Style" w:cs="Arial"/>
          <w:spacing w:val="-3"/>
        </w:rPr>
        <w:t xml:space="preserve">que los cambios </w:t>
      </w:r>
      <w:r>
        <w:rPr>
          <w:rFonts w:ascii="Bookman Old Style" w:hAnsi="Bookman Old Style" w:cs="Arial"/>
          <w:spacing w:val="-3"/>
        </w:rPr>
        <w:t>solicitados para las UC de la subestación “</w:t>
      </w:r>
      <w:r w:rsidRPr="00955C05">
        <w:rPr>
          <w:rFonts w:ascii="Bookman Old Style" w:hAnsi="Bookman Old Style" w:cs="Arial"/>
          <w:spacing w:val="-3"/>
        </w:rPr>
        <w:t>no obedecen al esquema de Ampliación establecido por la regulación, sino que obedecen al crecimiento natural del sistema, que implican el cambio de tipo de la subestación”</w:t>
      </w:r>
      <w:r>
        <w:rPr>
          <w:rFonts w:ascii="Bookman Old Style" w:hAnsi="Bookman Old Style" w:cs="Arial"/>
          <w:spacing w:val="-3"/>
        </w:rPr>
        <w:t>.</w:t>
      </w:r>
    </w:p>
    <w:p w14:paraId="23825D1D" w14:textId="77777777" w:rsidR="00AB39DC" w:rsidRDefault="001638BC" w:rsidP="00EB4382">
      <w:pPr>
        <w:tabs>
          <w:tab w:val="center" w:pos="4680"/>
        </w:tabs>
        <w:spacing w:after="280"/>
        <w:ind w:left="0"/>
        <w:jc w:val="both"/>
        <w:rPr>
          <w:rFonts w:ascii="Bookman Old Style" w:hAnsi="Bookman Old Style" w:cs="Arial"/>
          <w:spacing w:val="-3"/>
        </w:rPr>
      </w:pPr>
      <w:r>
        <w:rPr>
          <w:rFonts w:ascii="Bookman Old Style" w:hAnsi="Bookman Old Style" w:cs="Arial"/>
          <w:spacing w:val="-3"/>
        </w:rPr>
        <w:t>Es de anotar que e</w:t>
      </w:r>
      <w:r w:rsidR="003F3D93">
        <w:rPr>
          <w:rFonts w:ascii="Bookman Old Style" w:hAnsi="Bookman Old Style" w:cs="Arial"/>
          <w:spacing w:val="-3"/>
        </w:rPr>
        <w:t>l crecimiento en el caso en estudio obedece a la conexión de un proyecto ejecutado a partir de un proceso de selección por lo que, de acuerdo con lo expresado arriba, estas labores u obras adicionales hacen parte de las adecuaciones que debieron contemplarse para la presentación de la oferta por parte del adjudicatario.</w:t>
      </w:r>
    </w:p>
    <w:p w14:paraId="6E0A370B" w14:textId="48FF7AAB" w:rsidR="00003056" w:rsidRDefault="00003056" w:rsidP="00EB4382">
      <w:pPr>
        <w:tabs>
          <w:tab w:val="center" w:pos="4680"/>
        </w:tabs>
        <w:spacing w:after="280"/>
        <w:ind w:left="0"/>
        <w:jc w:val="both"/>
        <w:rPr>
          <w:rFonts w:ascii="Bookman Old Style" w:hAnsi="Bookman Old Style" w:cs="Arial"/>
          <w:spacing w:val="-3"/>
        </w:rPr>
      </w:pPr>
      <w:r>
        <w:rPr>
          <w:rFonts w:ascii="Bookman Old Style" w:hAnsi="Bookman Old Style" w:cs="Arial"/>
          <w:spacing w:val="-3"/>
        </w:rPr>
        <w:t>Lo anterior se exige en los documentos de selección de la convocatoria UPME 02-2014. Explícitamente</w:t>
      </w:r>
      <w:r w:rsidR="00EB4382">
        <w:rPr>
          <w:rFonts w:ascii="Bookman Old Style" w:hAnsi="Bookman Old Style" w:cs="Arial"/>
          <w:spacing w:val="-3"/>
        </w:rPr>
        <w:t>,</w:t>
      </w:r>
      <w:r>
        <w:rPr>
          <w:rFonts w:ascii="Bookman Old Style" w:hAnsi="Bookman Old Style" w:cs="Arial"/>
          <w:spacing w:val="-3"/>
        </w:rPr>
        <w:t xml:space="preserve"> en el numeral 3.6 del anexo 1 de estos documentos se lee lo siguiente:</w:t>
      </w:r>
    </w:p>
    <w:p w14:paraId="4652E101" w14:textId="77777777" w:rsidR="00EB4382" w:rsidRDefault="00EB4382" w:rsidP="00EB4382">
      <w:pPr>
        <w:tabs>
          <w:tab w:val="center" w:pos="4680"/>
        </w:tabs>
        <w:spacing w:after="280"/>
        <w:ind w:left="0"/>
        <w:jc w:val="both"/>
        <w:rPr>
          <w:rFonts w:ascii="Bookman Old Style" w:hAnsi="Bookman Old Style" w:cs="Arial"/>
          <w:spacing w:val="-3"/>
        </w:rPr>
      </w:pPr>
    </w:p>
    <w:p w14:paraId="18EE91D7" w14:textId="77777777" w:rsidR="00003056" w:rsidRPr="00E646DC" w:rsidRDefault="00003056" w:rsidP="00D86A48">
      <w:pPr>
        <w:tabs>
          <w:tab w:val="center" w:pos="4680"/>
        </w:tabs>
        <w:spacing w:after="280"/>
        <w:ind w:left="284" w:right="284"/>
        <w:jc w:val="both"/>
        <w:rPr>
          <w:rFonts w:ascii="Bookman Old Style" w:hAnsi="Bookman Old Style" w:cs="Arial"/>
          <w:i/>
          <w:spacing w:val="-3"/>
          <w:sz w:val="22"/>
        </w:rPr>
      </w:pPr>
      <w:r w:rsidRPr="00E646DC">
        <w:rPr>
          <w:rFonts w:ascii="Bookman Old Style" w:hAnsi="Bookman Old Style" w:cs="Arial"/>
          <w:i/>
          <w:spacing w:val="-3"/>
          <w:sz w:val="22"/>
        </w:rPr>
        <w:lastRenderedPageBreak/>
        <w:t>El Inversionista deberá suministrar toda la infraestructura necesaria y la ampliación del</w:t>
      </w:r>
      <w:r>
        <w:rPr>
          <w:rFonts w:ascii="Bookman Old Style" w:hAnsi="Bookman Old Style" w:cs="Arial"/>
          <w:i/>
          <w:spacing w:val="-3"/>
          <w:sz w:val="22"/>
        </w:rPr>
        <w:t xml:space="preserve"> </w:t>
      </w:r>
      <w:r w:rsidRPr="00E646DC">
        <w:rPr>
          <w:rFonts w:ascii="Bookman Old Style" w:hAnsi="Bookman Old Style" w:cs="Arial"/>
          <w:i/>
          <w:spacing w:val="-3"/>
          <w:sz w:val="22"/>
        </w:rPr>
        <w:t xml:space="preserve">módulo común que se requiera en la Subestación Reforma 230 </w:t>
      </w:r>
      <w:proofErr w:type="spellStart"/>
      <w:r w:rsidRPr="00E646DC">
        <w:rPr>
          <w:rFonts w:ascii="Bookman Old Style" w:hAnsi="Bookman Old Style" w:cs="Arial"/>
          <w:i/>
          <w:spacing w:val="-3"/>
          <w:sz w:val="22"/>
        </w:rPr>
        <w:t>kV</w:t>
      </w:r>
      <w:proofErr w:type="spellEnd"/>
      <w:r w:rsidRPr="00E646DC">
        <w:rPr>
          <w:rFonts w:ascii="Bookman Old Style" w:hAnsi="Bookman Old Style" w:cs="Arial"/>
          <w:i/>
          <w:spacing w:val="-3"/>
          <w:sz w:val="22"/>
        </w:rPr>
        <w:t>, es decir, los equipos</w:t>
      </w:r>
      <w:r>
        <w:rPr>
          <w:rFonts w:ascii="Bookman Old Style" w:hAnsi="Bookman Old Style" w:cs="Arial"/>
          <w:i/>
          <w:spacing w:val="-3"/>
          <w:sz w:val="22"/>
        </w:rPr>
        <w:t xml:space="preserve"> </w:t>
      </w:r>
      <w:r w:rsidRPr="00E646DC">
        <w:rPr>
          <w:rFonts w:ascii="Bookman Old Style" w:hAnsi="Bookman Old Style" w:cs="Arial"/>
          <w:i/>
          <w:spacing w:val="-3"/>
          <w:sz w:val="22"/>
        </w:rPr>
        <w:t xml:space="preserve">que sirven para la conexión de las nuevas bahías de línea 230 </w:t>
      </w:r>
      <w:proofErr w:type="spellStart"/>
      <w:r w:rsidRPr="00E646DC">
        <w:rPr>
          <w:rFonts w:ascii="Bookman Old Style" w:hAnsi="Bookman Old Style" w:cs="Arial"/>
          <w:i/>
          <w:spacing w:val="-3"/>
          <w:sz w:val="22"/>
        </w:rPr>
        <w:t>kV</w:t>
      </w:r>
      <w:proofErr w:type="spellEnd"/>
      <w:r w:rsidRPr="00E646DC">
        <w:rPr>
          <w:rFonts w:ascii="Bookman Old Style" w:hAnsi="Bookman Old Style" w:cs="Arial"/>
          <w:i/>
          <w:spacing w:val="-3"/>
          <w:sz w:val="22"/>
        </w:rPr>
        <w:t xml:space="preserve"> y las obras civiles</w:t>
      </w:r>
      <w:r>
        <w:rPr>
          <w:rFonts w:ascii="Bookman Old Style" w:hAnsi="Bookman Old Style" w:cs="Arial"/>
          <w:i/>
          <w:spacing w:val="-3"/>
          <w:sz w:val="22"/>
        </w:rPr>
        <w:t xml:space="preserve"> </w:t>
      </w:r>
      <w:r w:rsidRPr="00E646DC">
        <w:rPr>
          <w:rFonts w:ascii="Bookman Old Style" w:hAnsi="Bookman Old Style" w:cs="Arial"/>
          <w:i/>
          <w:spacing w:val="-3"/>
          <w:sz w:val="22"/>
        </w:rPr>
        <w:t>asociadas.</w:t>
      </w:r>
    </w:p>
    <w:p w14:paraId="5B3AE2DF" w14:textId="77777777" w:rsidR="003F3D93" w:rsidRDefault="003F3D93" w:rsidP="00D86A48">
      <w:pPr>
        <w:tabs>
          <w:tab w:val="center" w:pos="4680"/>
        </w:tabs>
        <w:spacing w:after="280"/>
        <w:ind w:left="0"/>
        <w:jc w:val="both"/>
        <w:rPr>
          <w:rFonts w:ascii="Bookman Old Style" w:hAnsi="Bookman Old Style" w:cs="Arial"/>
          <w:spacing w:val="-3"/>
        </w:rPr>
      </w:pPr>
      <w:r>
        <w:rPr>
          <w:rFonts w:ascii="Bookman Old Style" w:hAnsi="Bookman Old Style" w:cs="Arial"/>
          <w:spacing w:val="-3"/>
        </w:rPr>
        <w:t xml:space="preserve">En cuanto al cambio de las UC de línea </w:t>
      </w:r>
      <w:proofErr w:type="spellStart"/>
      <w:r>
        <w:rPr>
          <w:rFonts w:ascii="Bookman Old Style" w:hAnsi="Bookman Old Style" w:cs="Arial"/>
          <w:spacing w:val="-3"/>
        </w:rPr>
        <w:t>Intercolombia</w:t>
      </w:r>
      <w:proofErr w:type="spellEnd"/>
      <w:r>
        <w:rPr>
          <w:rFonts w:ascii="Bookman Old Style" w:hAnsi="Bookman Old Style" w:cs="Arial"/>
          <w:spacing w:val="-3"/>
        </w:rPr>
        <w:t xml:space="preserve"> afirma: “</w:t>
      </w:r>
      <w:r w:rsidRPr="003F3D93">
        <w:rPr>
          <w:rFonts w:ascii="Bookman Old Style" w:hAnsi="Bookman Old Style" w:cs="Arial"/>
          <w:spacing w:val="-3"/>
        </w:rPr>
        <w:t xml:space="preserve">no resultaba viable dejar los tramos de la línea </w:t>
      </w:r>
      <w:proofErr w:type="spellStart"/>
      <w:r w:rsidRPr="003F3D93">
        <w:rPr>
          <w:rFonts w:ascii="Bookman Old Style" w:hAnsi="Bookman Old Style" w:cs="Arial"/>
          <w:spacing w:val="-3"/>
        </w:rPr>
        <w:t>Guavio</w:t>
      </w:r>
      <w:proofErr w:type="spellEnd"/>
      <w:r w:rsidRPr="003F3D93">
        <w:rPr>
          <w:rFonts w:ascii="Bookman Old Style" w:hAnsi="Bookman Old Style" w:cs="Arial"/>
          <w:spacing w:val="-3"/>
        </w:rPr>
        <w:t xml:space="preserve"> La Reforma 1 y La </w:t>
      </w:r>
      <w:proofErr w:type="spellStart"/>
      <w:r w:rsidRPr="003F3D93">
        <w:rPr>
          <w:rFonts w:ascii="Bookman Old Style" w:hAnsi="Bookman Old Style" w:cs="Arial"/>
          <w:spacing w:val="-3"/>
        </w:rPr>
        <w:t>Refoma</w:t>
      </w:r>
      <w:proofErr w:type="spellEnd"/>
      <w:r w:rsidRPr="003F3D93">
        <w:rPr>
          <w:rFonts w:ascii="Bookman Old Style" w:hAnsi="Bookman Old Style" w:cs="Arial"/>
          <w:spacing w:val="-3"/>
        </w:rPr>
        <w:t xml:space="preserve"> Tunal 1, </w:t>
      </w:r>
      <w:r>
        <w:rPr>
          <w:rFonts w:ascii="Bookman Old Style" w:hAnsi="Bookman Old Style" w:cs="Arial"/>
          <w:spacing w:val="-3"/>
        </w:rPr>
        <w:t>(…)</w:t>
      </w:r>
      <w:r w:rsidRPr="003F3D93">
        <w:rPr>
          <w:rFonts w:ascii="Bookman Old Style" w:hAnsi="Bookman Old Style" w:cs="Arial"/>
          <w:spacing w:val="-3"/>
        </w:rPr>
        <w:t xml:space="preserve"> con un solo conductor por fase, pues esto implicaría una restricción operativa del sistema, por lo cual fue necesario actualizar los tramos de la línea representada por INTERCOLOMBIA, para garantizar la prestación segura y confiable del servicio público de energía eléctrica en el departamento del Meta.</w:t>
      </w:r>
      <w:r>
        <w:rPr>
          <w:rFonts w:ascii="Bookman Old Style" w:hAnsi="Bookman Old Style" w:cs="Arial"/>
          <w:spacing w:val="-3"/>
        </w:rPr>
        <w:t>”</w:t>
      </w:r>
    </w:p>
    <w:p w14:paraId="7D1E6DD5" w14:textId="08E71CC7" w:rsidR="003F3D93" w:rsidRPr="003F3D93" w:rsidRDefault="003F3D93" w:rsidP="00D86A48">
      <w:pPr>
        <w:tabs>
          <w:tab w:val="center" w:pos="4680"/>
        </w:tabs>
        <w:spacing w:after="280"/>
        <w:ind w:left="0"/>
        <w:jc w:val="both"/>
        <w:rPr>
          <w:rFonts w:ascii="Bookman Old Style" w:hAnsi="Bookman Old Style" w:cs="Arial"/>
          <w:spacing w:val="-3"/>
        </w:rPr>
      </w:pPr>
      <w:r>
        <w:rPr>
          <w:rFonts w:ascii="Bookman Old Style" w:hAnsi="Bookman Old Style" w:cs="Arial"/>
          <w:spacing w:val="-3"/>
        </w:rPr>
        <w:t xml:space="preserve">De acuerdo con lo mencionado, </w:t>
      </w:r>
      <w:r w:rsidR="000C0879">
        <w:rPr>
          <w:rFonts w:ascii="Bookman Old Style" w:hAnsi="Bookman Old Style" w:cs="Arial"/>
          <w:spacing w:val="-3"/>
        </w:rPr>
        <w:t xml:space="preserve">se concluye que </w:t>
      </w:r>
      <w:r>
        <w:rPr>
          <w:rFonts w:ascii="Bookman Old Style" w:hAnsi="Bookman Old Style" w:cs="Arial"/>
          <w:spacing w:val="-3"/>
        </w:rPr>
        <w:t>para la respectiva actualización se debió dar cumplimiento a los requisitos previstos en el artículo 6 de la Resolución CREG 011 de 2009, citado arriba.</w:t>
      </w:r>
    </w:p>
    <w:p w14:paraId="13688901" w14:textId="135DADDD" w:rsidR="003F3D93" w:rsidRDefault="00AE0DB8" w:rsidP="00D86A48">
      <w:pPr>
        <w:tabs>
          <w:tab w:val="center" w:pos="4680"/>
        </w:tabs>
        <w:spacing w:after="280"/>
        <w:ind w:left="0"/>
        <w:jc w:val="both"/>
        <w:rPr>
          <w:rFonts w:ascii="Bookman Old Style" w:hAnsi="Bookman Old Style" w:cs="Arial"/>
          <w:spacing w:val="-3"/>
        </w:rPr>
      </w:pPr>
      <w:r>
        <w:rPr>
          <w:rFonts w:ascii="Bookman Old Style" w:hAnsi="Bookman Old Style" w:cs="Arial"/>
          <w:spacing w:val="-3"/>
        </w:rPr>
        <w:t>Por su parte la UPME</w:t>
      </w:r>
      <w:r w:rsidR="00003056">
        <w:rPr>
          <w:rFonts w:ascii="Bookman Old Style" w:hAnsi="Bookman Old Style" w:cs="Arial"/>
          <w:spacing w:val="-3"/>
        </w:rPr>
        <w:t>,</w:t>
      </w:r>
      <w:r>
        <w:rPr>
          <w:rFonts w:ascii="Bookman Old Style" w:hAnsi="Bookman Old Style" w:cs="Arial"/>
          <w:spacing w:val="-3"/>
        </w:rPr>
        <w:t xml:space="preserve"> en la respuesta a la CREG, enumera las </w:t>
      </w:r>
      <w:r w:rsidR="00B72594">
        <w:rPr>
          <w:rFonts w:ascii="Bookman Old Style" w:hAnsi="Bookman Old Style" w:cs="Arial"/>
          <w:spacing w:val="-3"/>
        </w:rPr>
        <w:t>obras objeto de la convocatoria, dentro de las cuales incluye un “s</w:t>
      </w:r>
      <w:r w:rsidR="00B72594" w:rsidRPr="00B72594">
        <w:rPr>
          <w:rFonts w:ascii="Bookman Old Style" w:hAnsi="Bookman Old Style" w:cs="Arial"/>
          <w:spacing w:val="-3"/>
        </w:rPr>
        <w:t>istema de control, protecciones, comunicaciones e infraestructura asociada</w:t>
      </w:r>
      <w:r w:rsidR="00B72594">
        <w:rPr>
          <w:rFonts w:ascii="Bookman Old Style" w:hAnsi="Bookman Old Style" w:cs="Arial"/>
          <w:spacing w:val="-3"/>
        </w:rPr>
        <w:t>”</w:t>
      </w:r>
      <w:r w:rsidR="001638BC">
        <w:rPr>
          <w:rFonts w:ascii="Bookman Old Style" w:hAnsi="Bookman Old Style" w:cs="Arial"/>
          <w:spacing w:val="-3"/>
        </w:rPr>
        <w:t>;</w:t>
      </w:r>
      <w:r w:rsidR="00B72594">
        <w:rPr>
          <w:rFonts w:ascii="Bookman Old Style" w:hAnsi="Bookman Old Style" w:cs="Arial"/>
          <w:spacing w:val="-3"/>
        </w:rPr>
        <w:t xml:space="preserve"> </w:t>
      </w:r>
      <w:r w:rsidR="001638BC">
        <w:rPr>
          <w:rFonts w:ascii="Bookman Old Style" w:hAnsi="Bookman Old Style" w:cs="Arial"/>
          <w:spacing w:val="-3"/>
        </w:rPr>
        <w:t>d</w:t>
      </w:r>
      <w:r w:rsidR="00B72594">
        <w:rPr>
          <w:rFonts w:ascii="Bookman Old Style" w:hAnsi="Bookman Old Style" w:cs="Arial"/>
          <w:spacing w:val="-3"/>
        </w:rPr>
        <w:t>e donde se entiende que estos sistemas y, por supuesto, su interrelación con los demás de la subestación eran parte del objeto de la convocatoria</w:t>
      </w:r>
      <w:r w:rsidR="00846DC4">
        <w:rPr>
          <w:rFonts w:ascii="Bookman Old Style" w:hAnsi="Bookman Old Style" w:cs="Arial"/>
          <w:spacing w:val="-3"/>
        </w:rPr>
        <w:t xml:space="preserve"> y estaban a cargo del adjudicatario</w:t>
      </w:r>
      <w:r w:rsidR="00B72594">
        <w:rPr>
          <w:rFonts w:ascii="Bookman Old Style" w:hAnsi="Bookman Old Style" w:cs="Arial"/>
          <w:spacing w:val="-3"/>
        </w:rPr>
        <w:t>.</w:t>
      </w:r>
    </w:p>
    <w:p w14:paraId="2C5CB252" w14:textId="77777777" w:rsidR="00B72594" w:rsidRDefault="00846DC4" w:rsidP="00D86A48">
      <w:pPr>
        <w:tabs>
          <w:tab w:val="center" w:pos="4680"/>
        </w:tabs>
        <w:spacing w:after="280"/>
        <w:ind w:left="0"/>
        <w:jc w:val="both"/>
        <w:rPr>
          <w:rFonts w:ascii="Bookman Old Style" w:hAnsi="Bookman Old Style" w:cs="Arial"/>
          <w:spacing w:val="-3"/>
        </w:rPr>
      </w:pPr>
      <w:r>
        <w:rPr>
          <w:rFonts w:ascii="Bookman Old Style" w:hAnsi="Bookman Old Style" w:cs="Arial"/>
          <w:spacing w:val="-3"/>
        </w:rPr>
        <w:t>También informa la UPME que “</w:t>
      </w:r>
      <w:r w:rsidRPr="00846DC4">
        <w:rPr>
          <w:rFonts w:ascii="Bookman Old Style" w:hAnsi="Bookman Old Style" w:cs="Arial"/>
          <w:spacing w:val="-3"/>
        </w:rPr>
        <w:t>no asignó obras adicionales a ser ejecutadas por el representante de la infraestructura existente</w:t>
      </w:r>
      <w:r>
        <w:rPr>
          <w:rFonts w:ascii="Bookman Old Style" w:hAnsi="Bookman Old Style" w:cs="Arial"/>
          <w:spacing w:val="-3"/>
        </w:rPr>
        <w:t>” y que esto no limitaba “</w:t>
      </w:r>
      <w:r w:rsidRPr="00846DC4">
        <w:rPr>
          <w:rFonts w:ascii="Bookman Old Style" w:hAnsi="Bookman Old Style" w:cs="Arial"/>
          <w:spacing w:val="-3"/>
        </w:rPr>
        <w:t>al adjudicatario de la convocatoria para realizar adecuaciones que permitieran garantizar el cumplimiento del alcance de la convocatoria</w:t>
      </w:r>
      <w:r>
        <w:rPr>
          <w:rFonts w:ascii="Bookman Old Style" w:hAnsi="Bookman Old Style" w:cs="Arial"/>
          <w:spacing w:val="-3"/>
        </w:rPr>
        <w:t>”. Con esto se ratifica que las obras del proyecto y las adecuaciones requeridas en los activos existentes estaban dentro del alcance de la convocatoria.</w:t>
      </w:r>
    </w:p>
    <w:p w14:paraId="7B31CE26" w14:textId="77777777" w:rsidR="000010F3" w:rsidRPr="00220DDA" w:rsidRDefault="000010F3" w:rsidP="00D86A48">
      <w:pPr>
        <w:keepNext/>
        <w:numPr>
          <w:ilvl w:val="0"/>
          <w:numId w:val="22"/>
        </w:numPr>
        <w:spacing w:before="240" w:after="280"/>
        <w:ind w:left="357" w:hanging="357"/>
        <w:jc w:val="both"/>
        <w:rPr>
          <w:rFonts w:ascii="Bookman Old Style" w:hAnsi="Bookman Old Style"/>
          <w:b/>
        </w:rPr>
      </w:pPr>
      <w:r>
        <w:rPr>
          <w:rFonts w:ascii="Bookman Old Style" w:hAnsi="Bookman Old Style"/>
          <w:b/>
        </w:rPr>
        <w:t>Propuesta</w:t>
      </w:r>
    </w:p>
    <w:p w14:paraId="40BE8A41" w14:textId="76FB6DEE" w:rsidR="00637E24" w:rsidRDefault="00637E24" w:rsidP="00D86A48">
      <w:pPr>
        <w:tabs>
          <w:tab w:val="center" w:pos="4680"/>
        </w:tabs>
        <w:spacing w:after="280"/>
        <w:ind w:left="0"/>
        <w:jc w:val="both"/>
        <w:rPr>
          <w:rFonts w:ascii="Bookman Old Style" w:hAnsi="Bookman Old Style" w:cs="Arial"/>
          <w:spacing w:val="-3"/>
        </w:rPr>
      </w:pPr>
      <w:r>
        <w:rPr>
          <w:rFonts w:ascii="Bookman Old Style" w:hAnsi="Bookman Old Style" w:cs="Arial"/>
          <w:spacing w:val="-3"/>
        </w:rPr>
        <w:t>A partir de</w:t>
      </w:r>
      <w:r w:rsidR="000010F3">
        <w:rPr>
          <w:rFonts w:ascii="Bookman Old Style" w:hAnsi="Bookman Old Style" w:cs="Arial"/>
          <w:spacing w:val="-3"/>
        </w:rPr>
        <w:t xml:space="preserve"> lo antes mencionado se conclu</w:t>
      </w:r>
      <w:r>
        <w:rPr>
          <w:rFonts w:ascii="Bookman Old Style" w:hAnsi="Bookman Old Style" w:cs="Arial"/>
          <w:spacing w:val="-3"/>
        </w:rPr>
        <w:t>ye</w:t>
      </w:r>
      <w:r w:rsidR="000010F3">
        <w:rPr>
          <w:rFonts w:ascii="Bookman Old Style" w:hAnsi="Bookman Old Style" w:cs="Arial"/>
          <w:spacing w:val="-3"/>
        </w:rPr>
        <w:t xml:space="preserve"> que las obras objeto de la convocatoria y las adecuaciones de las </w:t>
      </w:r>
      <w:r w:rsidR="00D86A48">
        <w:rPr>
          <w:rFonts w:ascii="Bookman Old Style" w:hAnsi="Bookman Old Style" w:cs="Arial"/>
          <w:spacing w:val="-3"/>
        </w:rPr>
        <w:t xml:space="preserve">unidades constructivas </w:t>
      </w:r>
      <w:r w:rsidR="000010F3">
        <w:rPr>
          <w:rFonts w:ascii="Bookman Old Style" w:hAnsi="Bookman Old Style" w:cs="Arial"/>
          <w:spacing w:val="-3"/>
        </w:rPr>
        <w:t>existentes</w:t>
      </w:r>
      <w:r w:rsidR="00D86A48">
        <w:rPr>
          <w:rFonts w:ascii="Bookman Old Style" w:hAnsi="Bookman Old Style" w:cs="Arial"/>
          <w:spacing w:val="-3"/>
        </w:rPr>
        <w:t>,</w:t>
      </w:r>
      <w:r w:rsidR="000010F3">
        <w:rPr>
          <w:rFonts w:ascii="Bookman Old Style" w:hAnsi="Bookman Old Style" w:cs="Arial"/>
          <w:spacing w:val="-3"/>
        </w:rPr>
        <w:t xml:space="preserve"> para la conexión de las nuevas, hacían parte del alcance de la convocatoria</w:t>
      </w:r>
      <w:r w:rsidR="00003056">
        <w:rPr>
          <w:rFonts w:ascii="Bookman Old Style" w:hAnsi="Bookman Old Style" w:cs="Arial"/>
          <w:spacing w:val="-3"/>
        </w:rPr>
        <w:t xml:space="preserve"> UPME 02-2014</w:t>
      </w:r>
      <w:r w:rsidR="000010F3">
        <w:rPr>
          <w:rFonts w:ascii="Bookman Old Style" w:hAnsi="Bookman Old Style" w:cs="Arial"/>
          <w:spacing w:val="-3"/>
        </w:rPr>
        <w:t>.</w:t>
      </w:r>
    </w:p>
    <w:p w14:paraId="45981909" w14:textId="77777777" w:rsidR="000010F3" w:rsidRDefault="000010F3" w:rsidP="00D86A48">
      <w:pPr>
        <w:tabs>
          <w:tab w:val="center" w:pos="4680"/>
        </w:tabs>
        <w:spacing w:after="280"/>
        <w:ind w:left="0"/>
        <w:jc w:val="both"/>
        <w:rPr>
          <w:rFonts w:ascii="Bookman Old Style" w:hAnsi="Bookman Old Style" w:cs="Arial"/>
          <w:spacing w:val="-3"/>
        </w:rPr>
      </w:pPr>
      <w:r>
        <w:rPr>
          <w:rFonts w:ascii="Bookman Old Style" w:hAnsi="Bookman Old Style" w:cs="Arial"/>
          <w:spacing w:val="-3"/>
        </w:rPr>
        <w:t>Con base en lo expuesto se propone no actualiza</w:t>
      </w:r>
      <w:r w:rsidR="00637E24">
        <w:rPr>
          <w:rFonts w:ascii="Bookman Old Style" w:hAnsi="Bookman Old Style" w:cs="Arial"/>
          <w:spacing w:val="-3"/>
        </w:rPr>
        <w:t>r</w:t>
      </w:r>
      <w:r>
        <w:rPr>
          <w:rFonts w:ascii="Bookman Old Style" w:hAnsi="Bookman Old Style" w:cs="Arial"/>
          <w:spacing w:val="-3"/>
        </w:rPr>
        <w:t xml:space="preserve"> el ingreso anual de </w:t>
      </w:r>
      <w:proofErr w:type="spellStart"/>
      <w:r>
        <w:rPr>
          <w:rFonts w:ascii="Bookman Old Style" w:hAnsi="Bookman Old Style" w:cs="Arial"/>
          <w:spacing w:val="-3"/>
        </w:rPr>
        <w:t>Intercolombia</w:t>
      </w:r>
      <w:proofErr w:type="spellEnd"/>
      <w:r>
        <w:rPr>
          <w:rFonts w:ascii="Bookman Old Style" w:hAnsi="Bookman Old Style" w:cs="Arial"/>
          <w:spacing w:val="-3"/>
        </w:rPr>
        <w:t xml:space="preserve"> en los términos presentados por la empresa.</w:t>
      </w:r>
    </w:p>
    <w:p w14:paraId="1FFFB39B" w14:textId="21B0BAB1" w:rsidR="009D4454" w:rsidRPr="00B84711" w:rsidRDefault="00470313" w:rsidP="00D86A48">
      <w:pPr>
        <w:tabs>
          <w:tab w:val="center" w:pos="4680"/>
        </w:tabs>
        <w:spacing w:after="280"/>
        <w:ind w:left="0"/>
        <w:jc w:val="both"/>
        <w:rPr>
          <w:rFonts w:ascii="Bookman Old Style" w:hAnsi="Bookman Old Style" w:cs="Arial"/>
          <w:spacing w:val="-3"/>
        </w:rPr>
      </w:pPr>
      <w:r w:rsidRPr="00B40F3E">
        <w:rPr>
          <w:rFonts w:ascii="Bookman Old Style" w:hAnsi="Bookman Old Style" w:cs="Arial"/>
          <w:spacing w:val="-3"/>
        </w:rPr>
        <w:t>L</w:t>
      </w:r>
      <w:r w:rsidR="009D4454" w:rsidRPr="00B40F3E">
        <w:rPr>
          <w:rFonts w:ascii="Bookman Old Style" w:hAnsi="Bookman Old Style" w:cs="Arial"/>
          <w:spacing w:val="-3"/>
        </w:rPr>
        <w:t xml:space="preserve">a Comisión de Regulación de Energía y Gas, en su sesión </w:t>
      </w:r>
      <w:r w:rsidR="00AA0FEC" w:rsidRPr="00EB00FC">
        <w:rPr>
          <w:rFonts w:ascii="Bookman Old Style" w:hAnsi="Bookman Old Style" w:cs="Arial"/>
          <w:spacing w:val="-3"/>
        </w:rPr>
        <w:t>7</w:t>
      </w:r>
      <w:r w:rsidR="00EB00FC">
        <w:rPr>
          <w:rFonts w:ascii="Bookman Old Style" w:hAnsi="Bookman Old Style" w:cs="Arial"/>
          <w:spacing w:val="-3"/>
        </w:rPr>
        <w:t>35</w:t>
      </w:r>
      <w:r w:rsidR="009D4454" w:rsidRPr="00EB00FC">
        <w:rPr>
          <w:rFonts w:ascii="Bookman Old Style" w:hAnsi="Bookman Old Style" w:cs="Arial"/>
          <w:spacing w:val="-3"/>
        </w:rPr>
        <w:t xml:space="preserve"> del </w:t>
      </w:r>
      <w:r w:rsidR="00EB00FC">
        <w:rPr>
          <w:rFonts w:ascii="Bookman Old Style" w:hAnsi="Bookman Old Style" w:cs="Arial"/>
          <w:spacing w:val="-3"/>
        </w:rPr>
        <w:t>10</w:t>
      </w:r>
      <w:r w:rsidR="009D4454" w:rsidRPr="00EB00FC">
        <w:rPr>
          <w:rFonts w:ascii="Bookman Old Style" w:hAnsi="Bookman Old Style" w:cs="Arial"/>
          <w:spacing w:val="-3"/>
        </w:rPr>
        <w:t xml:space="preserve"> de</w:t>
      </w:r>
      <w:r w:rsidR="009D4454" w:rsidRPr="00B84711">
        <w:rPr>
          <w:rFonts w:ascii="Bookman Old Style" w:hAnsi="Bookman Old Style" w:cs="Arial"/>
          <w:spacing w:val="-3"/>
        </w:rPr>
        <w:t xml:space="preserve"> </w:t>
      </w:r>
      <w:r w:rsidR="00EB00FC">
        <w:rPr>
          <w:rFonts w:ascii="Bookman Old Style" w:hAnsi="Bookman Old Style" w:cs="Arial"/>
          <w:spacing w:val="-3"/>
        </w:rPr>
        <w:t>octubre</w:t>
      </w:r>
      <w:r w:rsidR="009D4454" w:rsidRPr="00B84711">
        <w:rPr>
          <w:rFonts w:ascii="Bookman Old Style" w:hAnsi="Bookman Old Style" w:cs="Arial"/>
          <w:spacing w:val="-3"/>
        </w:rPr>
        <w:t xml:space="preserve"> de 201</w:t>
      </w:r>
      <w:r w:rsidR="00AA0FEC">
        <w:rPr>
          <w:rFonts w:ascii="Bookman Old Style" w:hAnsi="Bookman Old Style" w:cs="Arial"/>
          <w:spacing w:val="-3"/>
        </w:rPr>
        <w:t>6</w:t>
      </w:r>
      <w:r w:rsidR="009D4454" w:rsidRPr="00B84711">
        <w:rPr>
          <w:rFonts w:ascii="Bookman Old Style" w:hAnsi="Bookman Old Style" w:cs="Arial"/>
          <w:spacing w:val="-3"/>
        </w:rPr>
        <w:t xml:space="preserve">, aprobó </w:t>
      </w:r>
      <w:r w:rsidR="009D4454">
        <w:rPr>
          <w:rFonts w:ascii="Bookman Old Style" w:hAnsi="Bookman Old Style"/>
        </w:rPr>
        <w:t>expedir la presente resolución</w:t>
      </w:r>
      <w:r w:rsidR="009D4454" w:rsidRPr="00B84711">
        <w:rPr>
          <w:rFonts w:ascii="Bookman Old Style" w:hAnsi="Bookman Old Style" w:cs="Arial"/>
          <w:spacing w:val="-3"/>
        </w:rPr>
        <w:t>.</w:t>
      </w:r>
    </w:p>
    <w:p w14:paraId="2F9A0592" w14:textId="77777777" w:rsidR="009D4454" w:rsidRPr="00EB00FC" w:rsidRDefault="009D4454" w:rsidP="00D86A48">
      <w:pPr>
        <w:tabs>
          <w:tab w:val="left" w:pos="993"/>
        </w:tabs>
        <w:ind w:left="0"/>
        <w:jc w:val="both"/>
        <w:rPr>
          <w:rFonts w:ascii="Bookman Old Style" w:hAnsi="Bookman Old Style"/>
          <w:sz w:val="32"/>
        </w:rPr>
      </w:pPr>
    </w:p>
    <w:p w14:paraId="42D477B9" w14:textId="77777777" w:rsidR="009D4454" w:rsidRPr="00B84711" w:rsidRDefault="009D4454" w:rsidP="00D86A48">
      <w:pPr>
        <w:spacing w:after="280"/>
        <w:ind w:left="0"/>
        <w:jc w:val="center"/>
        <w:rPr>
          <w:rFonts w:ascii="Bookman Old Style" w:hAnsi="Bookman Old Style"/>
          <w:b/>
        </w:rPr>
      </w:pPr>
      <w:r w:rsidRPr="00B84711">
        <w:rPr>
          <w:rFonts w:ascii="Bookman Old Style" w:hAnsi="Bookman Old Style"/>
          <w:b/>
        </w:rPr>
        <w:t>R E</w:t>
      </w:r>
      <w:r w:rsidRPr="00B84711">
        <w:rPr>
          <w:rFonts w:ascii="Bookman Old Style" w:hAnsi="Bookman Old Style"/>
        </w:rPr>
        <w:t xml:space="preserve"> </w:t>
      </w:r>
      <w:r w:rsidRPr="00B84711">
        <w:rPr>
          <w:rFonts w:ascii="Bookman Old Style" w:hAnsi="Bookman Old Style"/>
          <w:b/>
        </w:rPr>
        <w:t>S U E L V E:</w:t>
      </w:r>
    </w:p>
    <w:p w14:paraId="1BDD38F3" w14:textId="77777777" w:rsidR="00AA0FEC" w:rsidRDefault="0046024E" w:rsidP="00D86A48">
      <w:pPr>
        <w:pStyle w:val="Prrafodelista"/>
        <w:numPr>
          <w:ilvl w:val="0"/>
          <w:numId w:val="17"/>
        </w:numPr>
        <w:spacing w:after="280"/>
        <w:jc w:val="both"/>
        <w:rPr>
          <w:rFonts w:ascii="Bookman Old Style" w:hAnsi="Bookman Old Style"/>
          <w:sz w:val="24"/>
        </w:rPr>
      </w:pPr>
      <w:r>
        <w:rPr>
          <w:rFonts w:ascii="Bookman Old Style" w:hAnsi="Bookman Old Style"/>
          <w:sz w:val="24"/>
        </w:rPr>
        <w:t xml:space="preserve">No </w:t>
      </w:r>
      <w:r w:rsidR="00AA0FEC">
        <w:rPr>
          <w:rFonts w:ascii="Bookman Old Style" w:hAnsi="Bookman Old Style"/>
          <w:sz w:val="24"/>
        </w:rPr>
        <w:t>actualiza</w:t>
      </w:r>
      <w:r>
        <w:rPr>
          <w:rFonts w:ascii="Bookman Old Style" w:hAnsi="Bookman Old Style"/>
          <w:sz w:val="24"/>
        </w:rPr>
        <w:t>r</w:t>
      </w:r>
      <w:r w:rsidR="00AA0FEC">
        <w:rPr>
          <w:rFonts w:ascii="Bookman Old Style" w:hAnsi="Bookman Old Style"/>
          <w:sz w:val="24"/>
        </w:rPr>
        <w:t xml:space="preserve"> el ingreso anual de </w:t>
      </w:r>
      <w:proofErr w:type="spellStart"/>
      <w:r w:rsidR="00AA0FEC">
        <w:rPr>
          <w:rFonts w:ascii="Bookman Old Style" w:hAnsi="Bookman Old Style"/>
          <w:sz w:val="24"/>
        </w:rPr>
        <w:t>Intercolombia</w:t>
      </w:r>
      <w:proofErr w:type="spellEnd"/>
      <w:r w:rsidR="00AA0FEC">
        <w:rPr>
          <w:rFonts w:ascii="Bookman Old Style" w:hAnsi="Bookman Old Style"/>
          <w:sz w:val="24"/>
        </w:rPr>
        <w:t xml:space="preserve"> con base en lo expuesto en los considerandos de esta resolución.</w:t>
      </w:r>
    </w:p>
    <w:p w14:paraId="41BFBA21" w14:textId="047BD20C" w:rsidR="009D4454" w:rsidRDefault="009D4454" w:rsidP="00D86A48">
      <w:pPr>
        <w:pStyle w:val="Prrafodelista"/>
        <w:numPr>
          <w:ilvl w:val="0"/>
          <w:numId w:val="17"/>
        </w:numPr>
        <w:spacing w:after="240"/>
        <w:jc w:val="both"/>
        <w:rPr>
          <w:rFonts w:ascii="Bookman Old Style" w:hAnsi="Bookman Old Style"/>
          <w:sz w:val="24"/>
        </w:rPr>
      </w:pPr>
      <w:r w:rsidRPr="004F2692">
        <w:rPr>
          <w:rFonts w:ascii="Bookman Old Style" w:hAnsi="Bookman Old Style"/>
          <w:sz w:val="24"/>
        </w:rPr>
        <w:t xml:space="preserve">La presente </w:t>
      </w:r>
      <w:r w:rsidR="001638BC">
        <w:rPr>
          <w:rFonts w:ascii="Bookman Old Style" w:hAnsi="Bookman Old Style"/>
          <w:sz w:val="24"/>
        </w:rPr>
        <w:t>r</w:t>
      </w:r>
      <w:r w:rsidRPr="004F2692">
        <w:rPr>
          <w:rFonts w:ascii="Bookman Old Style" w:hAnsi="Bookman Old Style"/>
          <w:sz w:val="24"/>
        </w:rPr>
        <w:t xml:space="preserve">esolución deberá notificarse </w:t>
      </w:r>
      <w:r w:rsidR="001638BC">
        <w:rPr>
          <w:rFonts w:ascii="Bookman Old Style" w:hAnsi="Bookman Old Style"/>
          <w:sz w:val="24"/>
        </w:rPr>
        <w:t>a</w:t>
      </w:r>
      <w:r w:rsidR="00BA3E12">
        <w:rPr>
          <w:rFonts w:ascii="Bookman Old Style" w:hAnsi="Bookman Old Style"/>
          <w:sz w:val="24"/>
        </w:rPr>
        <w:t xml:space="preserve"> </w:t>
      </w:r>
      <w:proofErr w:type="spellStart"/>
      <w:r w:rsidR="00234986">
        <w:rPr>
          <w:rFonts w:ascii="Bookman Old Style" w:hAnsi="Bookman Old Style"/>
          <w:sz w:val="24"/>
        </w:rPr>
        <w:t>Intercolombia</w:t>
      </w:r>
      <w:proofErr w:type="spellEnd"/>
      <w:r>
        <w:rPr>
          <w:rFonts w:ascii="Bookman Old Style" w:hAnsi="Bookman Old Style"/>
          <w:sz w:val="24"/>
        </w:rPr>
        <w:t xml:space="preserve"> S.A.</w:t>
      </w:r>
      <w:r w:rsidRPr="004F2692">
        <w:rPr>
          <w:rFonts w:ascii="Bookman Old Style" w:hAnsi="Bookman Old Style"/>
          <w:sz w:val="24"/>
        </w:rPr>
        <w:t xml:space="preserve"> E.S.P</w:t>
      </w:r>
      <w:r w:rsidR="00AA0FEC">
        <w:rPr>
          <w:rFonts w:ascii="Bookman Old Style" w:hAnsi="Bookman Old Style"/>
          <w:sz w:val="24"/>
        </w:rPr>
        <w:t xml:space="preserve">. y </w:t>
      </w:r>
      <w:r w:rsidR="0046024E" w:rsidRPr="004F2692">
        <w:rPr>
          <w:rFonts w:ascii="Bookman Old Style" w:hAnsi="Bookman Old Style"/>
          <w:sz w:val="24"/>
        </w:rPr>
        <w:t>a</w:t>
      </w:r>
      <w:r w:rsidR="001638BC">
        <w:rPr>
          <w:rFonts w:ascii="Bookman Old Style" w:hAnsi="Bookman Old Style"/>
          <w:sz w:val="24"/>
        </w:rPr>
        <w:t xml:space="preserve"> </w:t>
      </w:r>
      <w:r w:rsidR="00AA0FEC">
        <w:rPr>
          <w:rFonts w:ascii="Bookman Old Style" w:hAnsi="Bookman Old Style"/>
          <w:sz w:val="24"/>
        </w:rPr>
        <w:t>Interconexión Eléctrica S.A.</w:t>
      </w:r>
      <w:r w:rsidR="00AA0FEC" w:rsidRPr="004F2692">
        <w:rPr>
          <w:rFonts w:ascii="Bookman Old Style" w:hAnsi="Bookman Old Style"/>
          <w:sz w:val="24"/>
        </w:rPr>
        <w:t xml:space="preserve"> E.S.P</w:t>
      </w:r>
      <w:r w:rsidR="00600B11">
        <w:rPr>
          <w:rFonts w:ascii="Bookman Old Style" w:hAnsi="Bookman Old Style"/>
          <w:sz w:val="24"/>
        </w:rPr>
        <w:t xml:space="preserve">. </w:t>
      </w:r>
      <w:r w:rsidRPr="004F2692">
        <w:rPr>
          <w:rFonts w:ascii="Bookman Old Style" w:hAnsi="Bookman Old Style"/>
          <w:sz w:val="24"/>
        </w:rPr>
        <w:t xml:space="preserve">Contra lo dispuesto en este acto procede el recurso de reposición, el cual se podrá interponer ante la Dirección </w:t>
      </w:r>
      <w:r w:rsidRPr="004F2692">
        <w:rPr>
          <w:rFonts w:ascii="Bookman Old Style" w:hAnsi="Bookman Old Style"/>
          <w:sz w:val="24"/>
        </w:rPr>
        <w:lastRenderedPageBreak/>
        <w:t>Ejecutiva de la CREG dentro de los cinco (5) días hábiles siguientes a la fecha de su notificación.</w:t>
      </w:r>
    </w:p>
    <w:p w14:paraId="73546278" w14:textId="77777777" w:rsidR="009D4454" w:rsidRPr="00B84711" w:rsidRDefault="009D4454" w:rsidP="009D4454">
      <w:pPr>
        <w:pStyle w:val="Prrafodelista"/>
        <w:ind w:left="0"/>
        <w:jc w:val="both"/>
        <w:rPr>
          <w:rFonts w:ascii="Bookman Old Style" w:hAnsi="Bookman Old Style"/>
          <w:sz w:val="24"/>
        </w:rPr>
      </w:pPr>
    </w:p>
    <w:p w14:paraId="075297AC" w14:textId="77777777" w:rsidR="009D4454" w:rsidRPr="00B84711" w:rsidRDefault="009D4454" w:rsidP="009D4454">
      <w:pPr>
        <w:pStyle w:val="Prrafodelista"/>
        <w:ind w:left="1361"/>
        <w:jc w:val="both"/>
        <w:rPr>
          <w:rFonts w:ascii="Bookman Old Style" w:hAnsi="Bookman Old Style"/>
          <w:sz w:val="24"/>
        </w:rPr>
      </w:pPr>
    </w:p>
    <w:p w14:paraId="0691618D" w14:textId="77777777" w:rsidR="009D4454" w:rsidRPr="00B84711" w:rsidRDefault="009D4454" w:rsidP="00094DCE">
      <w:pPr>
        <w:ind w:left="0"/>
        <w:jc w:val="center"/>
        <w:rPr>
          <w:rFonts w:ascii="Bookman Old Style" w:hAnsi="Bookman Old Style" w:cs="Courier New"/>
          <w:b/>
          <w:bCs/>
          <w:spacing w:val="-3"/>
        </w:rPr>
      </w:pPr>
      <w:r w:rsidRPr="00B84711">
        <w:rPr>
          <w:rFonts w:ascii="Bookman Old Style" w:hAnsi="Bookman Old Style"/>
          <w:b/>
          <w:bCs/>
        </w:rPr>
        <w:t>NOTIFÍQUESE</w:t>
      </w:r>
      <w:r w:rsidR="00094DCE">
        <w:rPr>
          <w:rFonts w:ascii="Bookman Old Style" w:hAnsi="Bookman Old Style"/>
          <w:b/>
          <w:bCs/>
        </w:rPr>
        <w:t>, PUBLÍQUESE</w:t>
      </w:r>
      <w:r w:rsidR="00094DCE" w:rsidRPr="00B84711">
        <w:rPr>
          <w:rFonts w:ascii="Bookman Old Style" w:hAnsi="Bookman Old Style"/>
          <w:b/>
          <w:bCs/>
        </w:rPr>
        <w:t xml:space="preserve"> </w:t>
      </w:r>
      <w:r w:rsidRPr="00B84711">
        <w:rPr>
          <w:rFonts w:ascii="Bookman Old Style" w:hAnsi="Bookman Old Style"/>
          <w:b/>
          <w:bCs/>
        </w:rPr>
        <w:t>Y CÚMPLASE</w:t>
      </w:r>
    </w:p>
    <w:p w14:paraId="12581D51" w14:textId="77777777" w:rsidR="009D4454" w:rsidRPr="00B84711" w:rsidRDefault="009D4454" w:rsidP="009D4454">
      <w:pPr>
        <w:rPr>
          <w:rFonts w:ascii="Bookman Old Style" w:hAnsi="Bookman Old Style" w:cs="Arial"/>
          <w:spacing w:val="-3"/>
        </w:rPr>
      </w:pPr>
    </w:p>
    <w:p w14:paraId="59695DA7" w14:textId="77777777" w:rsidR="009D4454" w:rsidRPr="00B84711" w:rsidRDefault="009D4454" w:rsidP="009D4454">
      <w:pPr>
        <w:rPr>
          <w:rFonts w:ascii="Bookman Old Style" w:hAnsi="Bookman Old Style" w:cs="Arial"/>
          <w:spacing w:val="-3"/>
        </w:rPr>
      </w:pPr>
    </w:p>
    <w:p w14:paraId="3A3AB678" w14:textId="77777777" w:rsidR="009D4454" w:rsidRPr="00B84711" w:rsidRDefault="009D4454" w:rsidP="009D4454">
      <w:pPr>
        <w:ind w:left="0"/>
        <w:rPr>
          <w:rFonts w:ascii="Bookman Old Style" w:hAnsi="Bookman Old Style" w:cs="Arial"/>
          <w:spacing w:val="-3"/>
        </w:rPr>
      </w:pPr>
      <w:r w:rsidRPr="00B84711">
        <w:rPr>
          <w:rFonts w:ascii="Bookman Old Style" w:hAnsi="Bookman Old Style" w:cs="Arial"/>
          <w:spacing w:val="-3"/>
        </w:rPr>
        <w:t xml:space="preserve">Dada en Bogotá, D.C. </w:t>
      </w:r>
    </w:p>
    <w:p w14:paraId="7976FB86" w14:textId="77777777" w:rsidR="009D4454" w:rsidRPr="00B84711" w:rsidRDefault="009D4454" w:rsidP="009D4454">
      <w:pPr>
        <w:rPr>
          <w:rFonts w:ascii="Bookman Old Style" w:hAnsi="Bookman Old Style" w:cs="Arial"/>
        </w:rPr>
      </w:pPr>
      <w:r w:rsidRPr="00B84711">
        <w:rPr>
          <w:rFonts w:ascii="Bookman Old Style" w:hAnsi="Bookman Old Style" w:cs="Arial"/>
        </w:rPr>
        <w:br/>
      </w:r>
    </w:p>
    <w:p w14:paraId="649C2D07" w14:textId="77777777" w:rsidR="009D4454" w:rsidRDefault="009D4454" w:rsidP="009D4454">
      <w:pPr>
        <w:ind w:left="0"/>
        <w:rPr>
          <w:rFonts w:ascii="Bookman Old Style" w:hAnsi="Bookman Old Style"/>
        </w:rPr>
      </w:pPr>
    </w:p>
    <w:p w14:paraId="56784E5E" w14:textId="77777777" w:rsidR="00BA3E12" w:rsidRPr="00B84711" w:rsidRDefault="00BA3E12" w:rsidP="009D4454">
      <w:pPr>
        <w:ind w:left="0"/>
        <w:rPr>
          <w:rFonts w:ascii="Bookman Old Style" w:hAnsi="Bookman Old Style"/>
        </w:rPr>
      </w:pPr>
    </w:p>
    <w:p w14:paraId="60634A68" w14:textId="77777777" w:rsidR="009D4454" w:rsidRPr="00B84711" w:rsidRDefault="009D4454" w:rsidP="009D4454">
      <w:pPr>
        <w:rPr>
          <w:rFonts w:ascii="Bookman Old Style" w:hAnsi="Bookman Old Style"/>
        </w:rPr>
      </w:pP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EB00FC" w14:paraId="4ED85BF8" w14:textId="77777777" w:rsidTr="00EB00FC">
        <w:trPr>
          <w:tblCellSpacing w:w="0" w:type="dxa"/>
          <w:jc w:val="center"/>
        </w:trPr>
        <w:tc>
          <w:tcPr>
            <w:tcW w:w="5529" w:type="dxa"/>
            <w:hideMark/>
          </w:tcPr>
          <w:p w14:paraId="20A5A557" w14:textId="77777777" w:rsidR="00EB00FC" w:rsidRDefault="00EB00FC">
            <w:pPr>
              <w:ind w:left="66"/>
              <w:jc w:val="center"/>
              <w:rPr>
                <w:rFonts w:ascii="Bookman Old Style" w:hAnsi="Bookman Old Style" w:cs="Arial"/>
                <w:b/>
                <w:spacing w:val="-3"/>
              </w:rPr>
            </w:pPr>
            <w:r>
              <w:rPr>
                <w:rFonts w:ascii="Bookman Old Style" w:hAnsi="Bookman Old Style" w:cs="Arial"/>
                <w:b/>
                <w:spacing w:val="-3"/>
              </w:rPr>
              <w:t>RUTTY PAOLA ORTIZ JARA</w:t>
            </w:r>
          </w:p>
        </w:tc>
        <w:tc>
          <w:tcPr>
            <w:tcW w:w="3969" w:type="dxa"/>
            <w:hideMark/>
          </w:tcPr>
          <w:p w14:paraId="0DC4B820" w14:textId="77777777" w:rsidR="00EB00FC" w:rsidRDefault="00EB00FC">
            <w:pPr>
              <w:ind w:left="89"/>
              <w:jc w:val="center"/>
              <w:rPr>
                <w:rFonts w:ascii="Bookman Old Style" w:hAnsi="Bookman Old Style" w:cs="Arial"/>
                <w:b/>
                <w:spacing w:val="-3"/>
              </w:rPr>
            </w:pPr>
            <w:r>
              <w:rPr>
                <w:rFonts w:ascii="Bookman Old Style" w:hAnsi="Bookman Old Style" w:cs="Arial"/>
                <w:b/>
                <w:spacing w:val="-3"/>
              </w:rPr>
              <w:t>JORGE PINTO NOLLA</w:t>
            </w:r>
          </w:p>
        </w:tc>
      </w:tr>
      <w:tr w:rsidR="00EB00FC" w14:paraId="3D419C4A" w14:textId="77777777" w:rsidTr="00EB00FC">
        <w:trPr>
          <w:tblCellSpacing w:w="0" w:type="dxa"/>
          <w:jc w:val="center"/>
        </w:trPr>
        <w:tc>
          <w:tcPr>
            <w:tcW w:w="5529" w:type="dxa"/>
            <w:hideMark/>
          </w:tcPr>
          <w:p w14:paraId="5D4D29B6" w14:textId="77777777" w:rsidR="00EB00FC" w:rsidRDefault="00EB00FC">
            <w:pPr>
              <w:ind w:left="66"/>
              <w:jc w:val="center"/>
              <w:rPr>
                <w:rFonts w:ascii="Bookman Old Style" w:eastAsia="Arial Unicode MS" w:hAnsi="Bookman Old Style" w:cs="Arial"/>
                <w:color w:val="000000"/>
              </w:rPr>
            </w:pPr>
            <w:r>
              <w:rPr>
                <w:rFonts w:ascii="Bookman Old Style" w:hAnsi="Bookman Old Style" w:cs="Arial"/>
                <w:spacing w:val="-3"/>
              </w:rPr>
              <w:t>Delegada del Ministro de Minas y Energía Viceministra de Energía</w:t>
            </w:r>
          </w:p>
        </w:tc>
        <w:tc>
          <w:tcPr>
            <w:tcW w:w="3969" w:type="dxa"/>
            <w:hideMark/>
          </w:tcPr>
          <w:p w14:paraId="7446052E" w14:textId="77777777" w:rsidR="00EB00FC" w:rsidRDefault="00EB00FC">
            <w:pPr>
              <w:jc w:val="center"/>
              <w:rPr>
                <w:rFonts w:ascii="Bookman Old Style" w:eastAsia="Arial Unicode MS" w:hAnsi="Bookman Old Style" w:cs="Arial"/>
                <w:color w:val="000000"/>
              </w:rPr>
            </w:pPr>
            <w:r>
              <w:rPr>
                <w:rFonts w:ascii="Bookman Old Style" w:hAnsi="Bookman Old Style" w:cs="Arial"/>
                <w:spacing w:val="-3"/>
              </w:rPr>
              <w:t>Director Ejecutivo</w:t>
            </w:r>
          </w:p>
        </w:tc>
      </w:tr>
      <w:tr w:rsidR="00EB00FC" w14:paraId="4CC5DDB7" w14:textId="77777777" w:rsidTr="00EB00FC">
        <w:trPr>
          <w:tblCellSpacing w:w="0" w:type="dxa"/>
          <w:jc w:val="center"/>
        </w:trPr>
        <w:tc>
          <w:tcPr>
            <w:tcW w:w="5529" w:type="dxa"/>
            <w:hideMark/>
          </w:tcPr>
          <w:p w14:paraId="19158FFD" w14:textId="77777777" w:rsidR="00EB00FC" w:rsidRDefault="00EB00FC">
            <w:pPr>
              <w:ind w:left="66"/>
              <w:jc w:val="center"/>
              <w:rPr>
                <w:rFonts w:ascii="Bookman Old Style" w:eastAsia="Arial Unicode MS" w:hAnsi="Bookman Old Style" w:cs="Arial"/>
                <w:color w:val="000000"/>
              </w:rPr>
            </w:pPr>
            <w:r>
              <w:rPr>
                <w:rFonts w:ascii="Bookman Old Style" w:hAnsi="Bookman Old Style" w:cs="Arial"/>
                <w:spacing w:val="-3"/>
              </w:rPr>
              <w:t>Presidente</w:t>
            </w:r>
          </w:p>
        </w:tc>
        <w:tc>
          <w:tcPr>
            <w:tcW w:w="3969" w:type="dxa"/>
          </w:tcPr>
          <w:p w14:paraId="6B418CDD" w14:textId="77777777" w:rsidR="00EB00FC" w:rsidRDefault="00EB00FC">
            <w:pPr>
              <w:jc w:val="center"/>
              <w:rPr>
                <w:rFonts w:ascii="Bookman Old Style" w:eastAsia="Arial Unicode MS" w:hAnsi="Bookman Old Style" w:cs="Arial"/>
                <w:color w:val="000000"/>
              </w:rPr>
            </w:pPr>
          </w:p>
        </w:tc>
      </w:tr>
    </w:tbl>
    <w:p w14:paraId="5DD790D1" w14:textId="77777777" w:rsidR="00EB00FC" w:rsidRDefault="00EB00FC" w:rsidP="00EB00FC">
      <w:pPr>
        <w:ind w:left="0"/>
        <w:rPr>
          <w:rFonts w:ascii="Bookman Old Style" w:hAnsi="Bookman Old Style"/>
        </w:rPr>
      </w:pPr>
    </w:p>
    <w:p w14:paraId="12D7A9F9" w14:textId="77777777" w:rsidR="00E01463" w:rsidRDefault="00E01463" w:rsidP="00D60925">
      <w:pPr>
        <w:tabs>
          <w:tab w:val="center" w:pos="4512"/>
          <w:tab w:val="left" w:pos="7088"/>
        </w:tabs>
        <w:suppressAutoHyphens/>
        <w:ind w:right="51"/>
        <w:rPr>
          <w:rFonts w:ascii="Bookman Old Style" w:hAnsi="Bookman Old Style" w:cs="Arial"/>
          <w:b/>
          <w:color w:val="000000"/>
        </w:rPr>
      </w:pPr>
    </w:p>
    <w:sectPr w:rsidR="00E01463" w:rsidSect="002D5A61">
      <w:headerReference w:type="default" r:id="rId10"/>
      <w:headerReference w:type="first" r:id="rId11"/>
      <w:type w:val="continuous"/>
      <w:pgSz w:w="12242" w:h="18722" w:code="123"/>
      <w:pgMar w:top="2552"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EA6DF" w14:textId="77777777" w:rsidR="00FF4E51" w:rsidRDefault="00FF4E51">
      <w:r>
        <w:separator/>
      </w:r>
    </w:p>
  </w:endnote>
  <w:endnote w:type="continuationSeparator" w:id="0">
    <w:p w14:paraId="4B7B5824" w14:textId="77777777" w:rsidR="00FF4E51" w:rsidRDefault="00FF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18757" w14:textId="77777777" w:rsidR="00FF4E51" w:rsidRDefault="00FF4E51">
      <w:r>
        <w:separator/>
      </w:r>
    </w:p>
  </w:footnote>
  <w:footnote w:type="continuationSeparator" w:id="0">
    <w:p w14:paraId="59107B25" w14:textId="77777777" w:rsidR="00FF4E51" w:rsidRDefault="00FF4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38316" w14:textId="77777777" w:rsidR="005B1835" w:rsidRDefault="005B1835" w:rsidP="00951F79">
    <w:pPr>
      <w:pStyle w:val="Ttulo1"/>
      <w:ind w:right="6"/>
      <w:jc w:val="left"/>
      <w:rPr>
        <w:rFonts w:ascii="Bookman Old Style" w:hAnsi="Bookman Old Style" w:cs="Arial"/>
        <w:b w:val="0"/>
        <w:sz w:val="22"/>
        <w:szCs w:val="22"/>
      </w:rPr>
    </w:pPr>
  </w:p>
  <w:p w14:paraId="409891BF" w14:textId="77777777" w:rsidR="005B1835" w:rsidRPr="00951F79" w:rsidRDefault="005B1835"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E3712">
      <w:rPr>
        <w:rFonts w:ascii="Bookman Old Style" w:hAnsi="Bookman Old Style" w:cs="Arial"/>
        <w:b w:val="0"/>
        <w:noProof/>
        <w:sz w:val="22"/>
        <w:szCs w:val="22"/>
      </w:rPr>
      <w:t>11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7E3712" w:rsidRPr="007E3712">
        <w:rPr>
          <w:rFonts w:ascii="Bookman Old Style" w:hAnsi="Bookman Old Style" w:cs="Arial"/>
          <w:b w:val="0"/>
          <w:noProof/>
          <w:sz w:val="22"/>
          <w:szCs w:val="22"/>
        </w:rPr>
        <w:t>11</w:t>
      </w:r>
    </w:fldSimple>
  </w:p>
  <w:p w14:paraId="381C336A" w14:textId="77777777" w:rsidR="005B1835" w:rsidRDefault="005D67B8"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0ED7ADD2" wp14:editId="03341B06">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B21BB"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2CED39FB" w14:textId="77777777" w:rsidR="005B1835" w:rsidRPr="006B4647" w:rsidRDefault="00C93DD4" w:rsidP="0075662D">
    <w:pPr>
      <w:pBdr>
        <w:bottom w:val="single" w:sz="4" w:space="1" w:color="auto"/>
      </w:pBdr>
      <w:ind w:left="0" w:right="148"/>
      <w:jc w:val="both"/>
      <w:rPr>
        <w:b/>
        <w:lang w:val="es-CO"/>
      </w:rPr>
    </w:pPr>
    <w:r w:rsidRPr="00C93DD4">
      <w:rPr>
        <w:rFonts w:ascii="Bookman Old Style" w:hAnsi="Bookman Old Style" w:cs="Arial"/>
        <w:sz w:val="22"/>
        <w:szCs w:val="22"/>
      </w:rPr>
      <w:t xml:space="preserve">Por la cual se decide sobre una solicitud de </w:t>
    </w:r>
    <w:proofErr w:type="spellStart"/>
    <w:r w:rsidRPr="00C93DD4">
      <w:rPr>
        <w:rFonts w:ascii="Bookman Old Style" w:hAnsi="Bookman Old Style" w:cs="Arial"/>
        <w:sz w:val="22"/>
        <w:szCs w:val="22"/>
      </w:rPr>
      <w:t>Intercolombia</w:t>
    </w:r>
    <w:proofErr w:type="spellEnd"/>
    <w:r w:rsidRPr="00C93DD4">
      <w:rPr>
        <w:rFonts w:ascii="Bookman Old Style" w:hAnsi="Bookman Old Style" w:cs="Arial"/>
        <w:sz w:val="22"/>
        <w:szCs w:val="22"/>
      </w:rPr>
      <w:t xml:space="preserve"> S.A. E.S.P. para actualizar su remuneración en el Sistema de Transmisión Nacional</w:t>
    </w:r>
    <w:r w:rsidR="005B1835" w:rsidRPr="00B5138A">
      <w:rPr>
        <w:rFonts w:ascii="Bookman Old Style" w:hAnsi="Bookman Old Style" w:cs="Arial"/>
        <w:sz w:val="22"/>
        <w:szCs w:val="22"/>
      </w:rPr>
      <w:t>.</w:t>
    </w:r>
  </w:p>
  <w:p w14:paraId="23D62F2C" w14:textId="77777777" w:rsidR="005B1835" w:rsidRDefault="005B18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4EAFF" w14:textId="77777777" w:rsidR="005B1835" w:rsidRDefault="005B1835"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7737F04E" w14:textId="77777777" w:rsidR="005B1835" w:rsidRDefault="005B1835">
    <w:pPr>
      <w:pStyle w:val="Encabezado"/>
      <w:jc w:val="center"/>
      <w:rPr>
        <w:rFonts w:ascii="Arial" w:hAnsi="Arial" w:cs="Arial"/>
        <w:spacing w:val="20"/>
        <w:sz w:val="20"/>
      </w:rPr>
    </w:pPr>
  </w:p>
  <w:p w14:paraId="380ADEF7" w14:textId="77777777" w:rsidR="005B1835" w:rsidRDefault="005D67B8"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0FD5E78" wp14:editId="131DD84C">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7E2D4"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732CA1"/>
    <w:multiLevelType w:val="hybridMultilevel"/>
    <w:tmpl w:val="2FB813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4F0F24"/>
    <w:multiLevelType w:val="hybridMultilevel"/>
    <w:tmpl w:val="958A69E6"/>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A8818D2"/>
    <w:multiLevelType w:val="hybridMultilevel"/>
    <w:tmpl w:val="C5E478AE"/>
    <w:lvl w:ilvl="0" w:tplc="E018B452">
      <w:start w:val="1"/>
      <w:numFmt w:val="decimal"/>
      <w:lvlText w:val="%1."/>
      <w:lvlJc w:val="left"/>
      <w:pPr>
        <w:ind w:left="100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36583D"/>
    <w:multiLevelType w:val="hybridMultilevel"/>
    <w:tmpl w:val="AD8EB790"/>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9" w15:restartNumberingAfterBreak="0">
    <w:nsid w:val="1EE573BC"/>
    <w:multiLevelType w:val="singleLevel"/>
    <w:tmpl w:val="0C0A0013"/>
    <w:lvl w:ilvl="0">
      <w:start w:val="1"/>
      <w:numFmt w:val="upperRoman"/>
      <w:lvlText w:val="%1."/>
      <w:lvlJc w:val="left"/>
      <w:pPr>
        <w:tabs>
          <w:tab w:val="num" w:pos="720"/>
        </w:tabs>
        <w:ind w:left="720" w:hanging="720"/>
      </w:p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C0FD1"/>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674D411F"/>
    <w:multiLevelType w:val="hybridMultilevel"/>
    <w:tmpl w:val="082A82F0"/>
    <w:lvl w:ilvl="0" w:tplc="240A0017">
      <w:start w:val="1"/>
      <w:numFmt w:val="lowerLetter"/>
      <w:lvlText w:val="%1)"/>
      <w:lvlJc w:val="left"/>
      <w:pPr>
        <w:ind w:left="1287" w:hanging="360"/>
      </w:pPr>
      <w:rPr>
        <w:rFont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0"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0331D80"/>
    <w:multiLevelType w:val="hybridMultilevel"/>
    <w:tmpl w:val="C5E478AE"/>
    <w:lvl w:ilvl="0" w:tplc="E018B452">
      <w:start w:val="1"/>
      <w:numFmt w:val="decimal"/>
      <w:lvlText w:val="%1."/>
      <w:lvlJc w:val="left"/>
      <w:pPr>
        <w:ind w:left="100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8273B5E"/>
    <w:multiLevelType w:val="hybridMultilevel"/>
    <w:tmpl w:val="A8902AC2"/>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23"/>
  </w:num>
  <w:num w:numId="4">
    <w:abstractNumId w:val="10"/>
  </w:num>
  <w:num w:numId="5">
    <w:abstractNumId w:val="16"/>
  </w:num>
  <w:num w:numId="6">
    <w:abstractNumId w:val="3"/>
  </w:num>
  <w:num w:numId="7">
    <w:abstractNumId w:val="2"/>
  </w:num>
  <w:num w:numId="8">
    <w:abstractNumId w:val="18"/>
  </w:num>
  <w:num w:numId="9">
    <w:abstractNumId w:val="17"/>
  </w:num>
  <w:num w:numId="10">
    <w:abstractNumId w:val="14"/>
  </w:num>
  <w:num w:numId="11">
    <w:abstractNumId w:val="24"/>
  </w:num>
  <w:num w:numId="12">
    <w:abstractNumId w:val="20"/>
  </w:num>
  <w:num w:numId="13">
    <w:abstractNumId w:val="11"/>
  </w:num>
  <w:num w:numId="14">
    <w:abstractNumId w:val="1"/>
  </w:num>
  <w:num w:numId="15">
    <w:abstractNumId w:val="15"/>
  </w:num>
  <w:num w:numId="16">
    <w:abstractNumId w:val="0"/>
  </w:num>
  <w:num w:numId="17">
    <w:abstractNumId w:val="12"/>
  </w:num>
  <w:num w:numId="18">
    <w:abstractNumId w:val="4"/>
  </w:num>
  <w:num w:numId="19">
    <w:abstractNumId w:val="8"/>
  </w:num>
  <w:num w:numId="20">
    <w:abstractNumId w:val="22"/>
  </w:num>
  <w:num w:numId="21">
    <w:abstractNumId w:val="7"/>
  </w:num>
  <w:num w:numId="22">
    <w:abstractNumId w:val="6"/>
  </w:num>
  <w:num w:numId="23">
    <w:abstractNumId w:val="9"/>
  </w:num>
  <w:num w:numId="24">
    <w:abstractNumId w:val="1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0F3"/>
    <w:rsid w:val="00002DC7"/>
    <w:rsid w:val="00003056"/>
    <w:rsid w:val="00003185"/>
    <w:rsid w:val="00006AE2"/>
    <w:rsid w:val="000076A1"/>
    <w:rsid w:val="00012259"/>
    <w:rsid w:val="00015FA8"/>
    <w:rsid w:val="00025383"/>
    <w:rsid w:val="00041441"/>
    <w:rsid w:val="00043EE4"/>
    <w:rsid w:val="00051E6C"/>
    <w:rsid w:val="00063657"/>
    <w:rsid w:val="00076680"/>
    <w:rsid w:val="00076A1D"/>
    <w:rsid w:val="0008073E"/>
    <w:rsid w:val="00091CDB"/>
    <w:rsid w:val="00094DCE"/>
    <w:rsid w:val="000A19AC"/>
    <w:rsid w:val="000C0879"/>
    <w:rsid w:val="000C7770"/>
    <w:rsid w:val="000D26F8"/>
    <w:rsid w:val="001033E2"/>
    <w:rsid w:val="00114F8E"/>
    <w:rsid w:val="00123D92"/>
    <w:rsid w:val="00127F03"/>
    <w:rsid w:val="00135B41"/>
    <w:rsid w:val="001405C6"/>
    <w:rsid w:val="00141013"/>
    <w:rsid w:val="0014383D"/>
    <w:rsid w:val="001612EC"/>
    <w:rsid w:val="001638BC"/>
    <w:rsid w:val="00192CBF"/>
    <w:rsid w:val="00192FF1"/>
    <w:rsid w:val="00193097"/>
    <w:rsid w:val="001A5F1B"/>
    <w:rsid w:val="001B1C22"/>
    <w:rsid w:val="001B34C6"/>
    <w:rsid w:val="001D4872"/>
    <w:rsid w:val="001D7832"/>
    <w:rsid w:val="001E263B"/>
    <w:rsid w:val="00211D34"/>
    <w:rsid w:val="00214F04"/>
    <w:rsid w:val="00215B33"/>
    <w:rsid w:val="00220DDA"/>
    <w:rsid w:val="00234986"/>
    <w:rsid w:val="00266CD6"/>
    <w:rsid w:val="00271D14"/>
    <w:rsid w:val="00274089"/>
    <w:rsid w:val="002746E4"/>
    <w:rsid w:val="00275DAB"/>
    <w:rsid w:val="00283B8F"/>
    <w:rsid w:val="00290144"/>
    <w:rsid w:val="002A4B5A"/>
    <w:rsid w:val="002A782A"/>
    <w:rsid w:val="002B11E2"/>
    <w:rsid w:val="002B24B8"/>
    <w:rsid w:val="002B344E"/>
    <w:rsid w:val="002B4C69"/>
    <w:rsid w:val="002D2B22"/>
    <w:rsid w:val="002D3AE9"/>
    <w:rsid w:val="002D4510"/>
    <w:rsid w:val="002D5A61"/>
    <w:rsid w:val="002E1383"/>
    <w:rsid w:val="002F0734"/>
    <w:rsid w:val="002F46E7"/>
    <w:rsid w:val="003101DA"/>
    <w:rsid w:val="00314757"/>
    <w:rsid w:val="003211CE"/>
    <w:rsid w:val="003355F3"/>
    <w:rsid w:val="00340D0C"/>
    <w:rsid w:val="0035403A"/>
    <w:rsid w:val="0036394B"/>
    <w:rsid w:val="00366DB6"/>
    <w:rsid w:val="003709B5"/>
    <w:rsid w:val="003759C2"/>
    <w:rsid w:val="00397365"/>
    <w:rsid w:val="003A3019"/>
    <w:rsid w:val="003A31F6"/>
    <w:rsid w:val="003A3CD5"/>
    <w:rsid w:val="003B706A"/>
    <w:rsid w:val="003C0C61"/>
    <w:rsid w:val="003C3447"/>
    <w:rsid w:val="003D076C"/>
    <w:rsid w:val="003D668D"/>
    <w:rsid w:val="003E78B5"/>
    <w:rsid w:val="003F3D93"/>
    <w:rsid w:val="00415BAB"/>
    <w:rsid w:val="00415ED2"/>
    <w:rsid w:val="0042068C"/>
    <w:rsid w:val="004219AC"/>
    <w:rsid w:val="0046024E"/>
    <w:rsid w:val="0046450B"/>
    <w:rsid w:val="00470313"/>
    <w:rsid w:val="0047122B"/>
    <w:rsid w:val="00473B7A"/>
    <w:rsid w:val="00494DDC"/>
    <w:rsid w:val="004960E9"/>
    <w:rsid w:val="004A2E88"/>
    <w:rsid w:val="004A5305"/>
    <w:rsid w:val="004A6E56"/>
    <w:rsid w:val="004C12D5"/>
    <w:rsid w:val="004C7D36"/>
    <w:rsid w:val="004D7634"/>
    <w:rsid w:val="00517D29"/>
    <w:rsid w:val="005300D3"/>
    <w:rsid w:val="00531433"/>
    <w:rsid w:val="0053297C"/>
    <w:rsid w:val="00544F82"/>
    <w:rsid w:val="00551954"/>
    <w:rsid w:val="005548F8"/>
    <w:rsid w:val="0056051E"/>
    <w:rsid w:val="00565406"/>
    <w:rsid w:val="005730A1"/>
    <w:rsid w:val="00590FC0"/>
    <w:rsid w:val="00593C4F"/>
    <w:rsid w:val="005946A8"/>
    <w:rsid w:val="005A4407"/>
    <w:rsid w:val="005A59EF"/>
    <w:rsid w:val="005B1835"/>
    <w:rsid w:val="005B1C7E"/>
    <w:rsid w:val="005C6976"/>
    <w:rsid w:val="005D67B8"/>
    <w:rsid w:val="005F6F41"/>
    <w:rsid w:val="00600B11"/>
    <w:rsid w:val="00625DC6"/>
    <w:rsid w:val="00637E24"/>
    <w:rsid w:val="0064391D"/>
    <w:rsid w:val="00651821"/>
    <w:rsid w:val="00654384"/>
    <w:rsid w:val="006675CD"/>
    <w:rsid w:val="00684D9B"/>
    <w:rsid w:val="00697556"/>
    <w:rsid w:val="006B087F"/>
    <w:rsid w:val="006B4647"/>
    <w:rsid w:val="006B4C2B"/>
    <w:rsid w:val="006B6D47"/>
    <w:rsid w:val="006C5158"/>
    <w:rsid w:val="006C5AFE"/>
    <w:rsid w:val="006D5DC1"/>
    <w:rsid w:val="006F6D95"/>
    <w:rsid w:val="00706F13"/>
    <w:rsid w:val="007072E8"/>
    <w:rsid w:val="0071618D"/>
    <w:rsid w:val="00725FA4"/>
    <w:rsid w:val="00740446"/>
    <w:rsid w:val="007438A9"/>
    <w:rsid w:val="0074491E"/>
    <w:rsid w:val="00755E15"/>
    <w:rsid w:val="0075662D"/>
    <w:rsid w:val="0076247A"/>
    <w:rsid w:val="00772A8D"/>
    <w:rsid w:val="00775964"/>
    <w:rsid w:val="00775D5F"/>
    <w:rsid w:val="007765FE"/>
    <w:rsid w:val="00795BFB"/>
    <w:rsid w:val="00797D74"/>
    <w:rsid w:val="007A5A98"/>
    <w:rsid w:val="007B2760"/>
    <w:rsid w:val="007B3109"/>
    <w:rsid w:val="007C353C"/>
    <w:rsid w:val="007E3712"/>
    <w:rsid w:val="007F7218"/>
    <w:rsid w:val="00806C01"/>
    <w:rsid w:val="008148CC"/>
    <w:rsid w:val="008211A4"/>
    <w:rsid w:val="00846DC4"/>
    <w:rsid w:val="00860DDB"/>
    <w:rsid w:val="00867D17"/>
    <w:rsid w:val="00873150"/>
    <w:rsid w:val="0087657D"/>
    <w:rsid w:val="008807D5"/>
    <w:rsid w:val="00880832"/>
    <w:rsid w:val="00886EE1"/>
    <w:rsid w:val="0088727D"/>
    <w:rsid w:val="00897C75"/>
    <w:rsid w:val="008A42FA"/>
    <w:rsid w:val="008C1130"/>
    <w:rsid w:val="008D18E6"/>
    <w:rsid w:val="008D7A9B"/>
    <w:rsid w:val="008E537A"/>
    <w:rsid w:val="008E76AC"/>
    <w:rsid w:val="008F21F6"/>
    <w:rsid w:val="00951F79"/>
    <w:rsid w:val="00955C05"/>
    <w:rsid w:val="0096323C"/>
    <w:rsid w:val="00971988"/>
    <w:rsid w:val="00974AB5"/>
    <w:rsid w:val="0098706D"/>
    <w:rsid w:val="009935FB"/>
    <w:rsid w:val="009C7A45"/>
    <w:rsid w:val="009D4454"/>
    <w:rsid w:val="009E55A4"/>
    <w:rsid w:val="009E7F17"/>
    <w:rsid w:val="009F354C"/>
    <w:rsid w:val="009F4A54"/>
    <w:rsid w:val="009F4BEC"/>
    <w:rsid w:val="00A00F4D"/>
    <w:rsid w:val="00A21DFA"/>
    <w:rsid w:val="00A25FD7"/>
    <w:rsid w:val="00A27D7B"/>
    <w:rsid w:val="00A43AFF"/>
    <w:rsid w:val="00A45F61"/>
    <w:rsid w:val="00A60380"/>
    <w:rsid w:val="00A62BE1"/>
    <w:rsid w:val="00A71BBA"/>
    <w:rsid w:val="00A7414D"/>
    <w:rsid w:val="00A7793A"/>
    <w:rsid w:val="00A94DB2"/>
    <w:rsid w:val="00AA0FEC"/>
    <w:rsid w:val="00AA4CC7"/>
    <w:rsid w:val="00AA5E8E"/>
    <w:rsid w:val="00AB39DC"/>
    <w:rsid w:val="00AB44F2"/>
    <w:rsid w:val="00AB6CA7"/>
    <w:rsid w:val="00AC484A"/>
    <w:rsid w:val="00AC7DC2"/>
    <w:rsid w:val="00AD01E4"/>
    <w:rsid w:val="00AD0858"/>
    <w:rsid w:val="00AD551E"/>
    <w:rsid w:val="00AD6041"/>
    <w:rsid w:val="00AE0DB8"/>
    <w:rsid w:val="00AE44E6"/>
    <w:rsid w:val="00AE7340"/>
    <w:rsid w:val="00AF1BBD"/>
    <w:rsid w:val="00B10207"/>
    <w:rsid w:val="00B141E7"/>
    <w:rsid w:val="00B240B7"/>
    <w:rsid w:val="00B34ADA"/>
    <w:rsid w:val="00B351B4"/>
    <w:rsid w:val="00B40ED0"/>
    <w:rsid w:val="00B40F3E"/>
    <w:rsid w:val="00B44842"/>
    <w:rsid w:val="00B46BCA"/>
    <w:rsid w:val="00B478AA"/>
    <w:rsid w:val="00B5138A"/>
    <w:rsid w:val="00B52ADF"/>
    <w:rsid w:val="00B6585B"/>
    <w:rsid w:val="00B72594"/>
    <w:rsid w:val="00B85675"/>
    <w:rsid w:val="00B87806"/>
    <w:rsid w:val="00B87EC9"/>
    <w:rsid w:val="00BA3E12"/>
    <w:rsid w:val="00BB421D"/>
    <w:rsid w:val="00BB63BD"/>
    <w:rsid w:val="00BC38FD"/>
    <w:rsid w:val="00C034CB"/>
    <w:rsid w:val="00C051A8"/>
    <w:rsid w:val="00C054BC"/>
    <w:rsid w:val="00C17897"/>
    <w:rsid w:val="00C25624"/>
    <w:rsid w:val="00C409D5"/>
    <w:rsid w:val="00C435C3"/>
    <w:rsid w:val="00C6234B"/>
    <w:rsid w:val="00C63EAE"/>
    <w:rsid w:val="00C7629F"/>
    <w:rsid w:val="00C8661B"/>
    <w:rsid w:val="00C93DD4"/>
    <w:rsid w:val="00CA139A"/>
    <w:rsid w:val="00CA2899"/>
    <w:rsid w:val="00CA3A3D"/>
    <w:rsid w:val="00CA77FB"/>
    <w:rsid w:val="00CB2B4F"/>
    <w:rsid w:val="00CB379B"/>
    <w:rsid w:val="00CB5DD0"/>
    <w:rsid w:val="00CC51D4"/>
    <w:rsid w:val="00CC65DA"/>
    <w:rsid w:val="00CF21B9"/>
    <w:rsid w:val="00CF6BF9"/>
    <w:rsid w:val="00D03800"/>
    <w:rsid w:val="00D065D3"/>
    <w:rsid w:val="00D14C94"/>
    <w:rsid w:val="00D21416"/>
    <w:rsid w:val="00D342A6"/>
    <w:rsid w:val="00D464BF"/>
    <w:rsid w:val="00D53E26"/>
    <w:rsid w:val="00D60925"/>
    <w:rsid w:val="00D86A48"/>
    <w:rsid w:val="00D90BC0"/>
    <w:rsid w:val="00DB0527"/>
    <w:rsid w:val="00DC437C"/>
    <w:rsid w:val="00DD3EF2"/>
    <w:rsid w:val="00DD4F0E"/>
    <w:rsid w:val="00DD736D"/>
    <w:rsid w:val="00DF0BF0"/>
    <w:rsid w:val="00DF5C07"/>
    <w:rsid w:val="00E01463"/>
    <w:rsid w:val="00E01A3E"/>
    <w:rsid w:val="00E05E0A"/>
    <w:rsid w:val="00E14BF9"/>
    <w:rsid w:val="00E534CF"/>
    <w:rsid w:val="00E81CB4"/>
    <w:rsid w:val="00E8585B"/>
    <w:rsid w:val="00E92581"/>
    <w:rsid w:val="00EA3F15"/>
    <w:rsid w:val="00EA7847"/>
    <w:rsid w:val="00EB00FC"/>
    <w:rsid w:val="00EB4382"/>
    <w:rsid w:val="00EB4C2F"/>
    <w:rsid w:val="00EE2E6E"/>
    <w:rsid w:val="00EE70BC"/>
    <w:rsid w:val="00EF2704"/>
    <w:rsid w:val="00F0759E"/>
    <w:rsid w:val="00F145D6"/>
    <w:rsid w:val="00F16A43"/>
    <w:rsid w:val="00F239AA"/>
    <w:rsid w:val="00F326B5"/>
    <w:rsid w:val="00F33CE4"/>
    <w:rsid w:val="00F46780"/>
    <w:rsid w:val="00F72C15"/>
    <w:rsid w:val="00F821A3"/>
    <w:rsid w:val="00F8754C"/>
    <w:rsid w:val="00F9314A"/>
    <w:rsid w:val="00F934BE"/>
    <w:rsid w:val="00FA512A"/>
    <w:rsid w:val="00FA5B89"/>
    <w:rsid w:val="00FA5C2F"/>
    <w:rsid w:val="00FB7DA7"/>
    <w:rsid w:val="00FC3F4A"/>
    <w:rsid w:val="00FC58EF"/>
    <w:rsid w:val="00FC7A97"/>
    <w:rsid w:val="00FC7EAB"/>
    <w:rsid w:val="00FD33DF"/>
    <w:rsid w:val="00FE211A"/>
    <w:rsid w:val="00FE39D7"/>
    <w:rsid w:val="00FF4E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E5E450"/>
  <w15:chartTrackingRefBased/>
  <w15:docId w15:val="{38F04B0F-C8CE-4BEF-8C57-C4028389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
    <w:name w:val="Título"/>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Cita">
    <w:name w:val="Quote"/>
    <w:basedOn w:val="Normal"/>
    <w:next w:val="Normal"/>
    <w:link w:val="CitaCar"/>
    <w:uiPriority w:val="29"/>
    <w:qFormat/>
    <w:rsid w:val="00A60380"/>
    <w:pPr>
      <w:spacing w:before="200" w:after="160"/>
      <w:ind w:left="864" w:right="864"/>
      <w:jc w:val="center"/>
    </w:pPr>
    <w:rPr>
      <w:i/>
      <w:iCs/>
      <w:color w:val="404040"/>
    </w:rPr>
  </w:style>
  <w:style w:type="character" w:customStyle="1" w:styleId="CitaCar">
    <w:name w:val="Cita Car"/>
    <w:link w:val="Cita"/>
    <w:uiPriority w:val="29"/>
    <w:rsid w:val="00A60380"/>
    <w:rPr>
      <w:i/>
      <w:iCs/>
      <w:color w:val="404040"/>
      <w:sz w:val="24"/>
      <w:szCs w:val="24"/>
      <w:lang w:val="es-ES" w:eastAsia="es-ES"/>
    </w:rPr>
  </w:style>
  <w:style w:type="character" w:customStyle="1" w:styleId="CharStyle15">
    <w:name w:val="Char Style 15"/>
    <w:link w:val="Style14"/>
    <w:uiPriority w:val="99"/>
    <w:rsid w:val="007C353C"/>
    <w:rPr>
      <w:rFonts w:ascii="Arial" w:hAnsi="Arial" w:cs="Arial"/>
      <w:shd w:val="clear" w:color="auto" w:fill="FFFFFF"/>
    </w:rPr>
  </w:style>
  <w:style w:type="character" w:customStyle="1" w:styleId="CharStyle31">
    <w:name w:val="Char Style 31"/>
    <w:basedOn w:val="CharStyle15"/>
    <w:uiPriority w:val="99"/>
    <w:rsid w:val="007C353C"/>
    <w:rPr>
      <w:rFonts w:ascii="Arial" w:hAnsi="Arial" w:cs="Arial"/>
      <w:shd w:val="clear" w:color="auto" w:fill="FFFFFF"/>
    </w:rPr>
  </w:style>
  <w:style w:type="character" w:customStyle="1" w:styleId="CharStyle32">
    <w:name w:val="Char Style 32"/>
    <w:basedOn w:val="CharStyle15"/>
    <w:uiPriority w:val="99"/>
    <w:rsid w:val="007C353C"/>
    <w:rPr>
      <w:rFonts w:ascii="Arial" w:hAnsi="Arial" w:cs="Arial"/>
      <w:shd w:val="clear" w:color="auto" w:fill="FFFFFF"/>
    </w:rPr>
  </w:style>
  <w:style w:type="paragraph" w:customStyle="1" w:styleId="Style14">
    <w:name w:val="Style 14"/>
    <w:basedOn w:val="Normal"/>
    <w:link w:val="CharStyle15"/>
    <w:uiPriority w:val="99"/>
    <w:rsid w:val="007C353C"/>
    <w:pPr>
      <w:widowControl w:val="0"/>
      <w:shd w:val="clear" w:color="auto" w:fill="FFFFFF"/>
      <w:spacing w:line="259" w:lineRule="exact"/>
      <w:ind w:left="0" w:hanging="720"/>
      <w:jc w:val="both"/>
    </w:pPr>
    <w:rPr>
      <w:rFonts w:ascii="Arial" w:hAnsi="Arial" w:cs="Arial"/>
      <w:sz w:val="20"/>
      <w:szCs w:val="20"/>
      <w:lang w:val="es-CO" w:eastAsia="es-CO"/>
    </w:rPr>
  </w:style>
  <w:style w:type="character" w:styleId="Refdecomentario">
    <w:name w:val="annotation reference"/>
    <w:uiPriority w:val="99"/>
    <w:semiHidden/>
    <w:unhideWhenUsed/>
    <w:rsid w:val="00867D17"/>
    <w:rPr>
      <w:sz w:val="16"/>
      <w:szCs w:val="16"/>
    </w:rPr>
  </w:style>
  <w:style w:type="paragraph" w:styleId="Textocomentario">
    <w:name w:val="annotation text"/>
    <w:basedOn w:val="Normal"/>
    <w:link w:val="TextocomentarioCar"/>
    <w:uiPriority w:val="99"/>
    <w:semiHidden/>
    <w:unhideWhenUsed/>
    <w:rsid w:val="00867D17"/>
    <w:rPr>
      <w:sz w:val="20"/>
      <w:szCs w:val="20"/>
    </w:rPr>
  </w:style>
  <w:style w:type="character" w:customStyle="1" w:styleId="TextocomentarioCar">
    <w:name w:val="Texto comentario Car"/>
    <w:link w:val="Textocomentario"/>
    <w:uiPriority w:val="99"/>
    <w:semiHidden/>
    <w:rsid w:val="00867D17"/>
    <w:rPr>
      <w:lang w:val="es-ES" w:eastAsia="es-ES"/>
    </w:rPr>
  </w:style>
  <w:style w:type="paragraph" w:styleId="Asuntodelcomentario">
    <w:name w:val="annotation subject"/>
    <w:basedOn w:val="Textocomentario"/>
    <w:next w:val="Textocomentario"/>
    <w:link w:val="AsuntodelcomentarioCar"/>
    <w:uiPriority w:val="99"/>
    <w:semiHidden/>
    <w:unhideWhenUsed/>
    <w:rsid w:val="00867D17"/>
    <w:rPr>
      <w:b/>
      <w:bCs/>
    </w:rPr>
  </w:style>
  <w:style w:type="character" w:customStyle="1" w:styleId="AsuntodelcomentarioCar">
    <w:name w:val="Asunto del comentario Car"/>
    <w:link w:val="Asuntodelcomentario"/>
    <w:uiPriority w:val="99"/>
    <w:semiHidden/>
    <w:rsid w:val="00867D17"/>
    <w:rPr>
      <w:b/>
      <w:bCs/>
      <w:lang w:val="es-ES" w:eastAsia="es-ES"/>
    </w:rPr>
  </w:style>
  <w:style w:type="table" w:styleId="Cuadrculadetablaclara">
    <w:name w:val="Grid Table Light"/>
    <w:basedOn w:val="Tablanormal"/>
    <w:uiPriority w:val="40"/>
    <w:rsid w:val="001033E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2">
    <w:name w:val="Plain Table 2"/>
    <w:basedOn w:val="Tablanormal"/>
    <w:uiPriority w:val="42"/>
    <w:rsid w:val="001033E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harStyle11">
    <w:name w:val="Char Style 11"/>
    <w:link w:val="Style10"/>
    <w:uiPriority w:val="99"/>
    <w:rsid w:val="00123D92"/>
    <w:rPr>
      <w:rFonts w:ascii="Arial" w:hAnsi="Arial" w:cs="Arial"/>
      <w:sz w:val="44"/>
      <w:szCs w:val="44"/>
      <w:shd w:val="clear" w:color="auto" w:fill="FFFFFF"/>
    </w:rPr>
  </w:style>
  <w:style w:type="character" w:customStyle="1" w:styleId="CharStyle25">
    <w:name w:val="Char Style 25"/>
    <w:uiPriority w:val="99"/>
    <w:rsid w:val="00123D92"/>
    <w:rPr>
      <w:rFonts w:ascii="Arial" w:hAnsi="Arial" w:cs="Arial"/>
      <w:b/>
      <w:bCs/>
      <w:sz w:val="44"/>
      <w:szCs w:val="44"/>
      <w:shd w:val="clear" w:color="auto" w:fill="FFFFFF"/>
    </w:rPr>
  </w:style>
  <w:style w:type="character" w:customStyle="1" w:styleId="CharStyle26">
    <w:name w:val="Char Style 26"/>
    <w:uiPriority w:val="99"/>
    <w:rsid w:val="00123D92"/>
    <w:rPr>
      <w:rFonts w:ascii="Arial" w:hAnsi="Arial" w:cs="Arial"/>
      <w:b/>
      <w:bCs/>
      <w:sz w:val="34"/>
      <w:szCs w:val="34"/>
      <w:shd w:val="clear" w:color="auto" w:fill="FFFFFF"/>
    </w:rPr>
  </w:style>
  <w:style w:type="paragraph" w:customStyle="1" w:styleId="Style10">
    <w:name w:val="Style 10"/>
    <w:basedOn w:val="Normal"/>
    <w:link w:val="CharStyle11"/>
    <w:uiPriority w:val="99"/>
    <w:rsid w:val="00123D92"/>
    <w:pPr>
      <w:widowControl w:val="0"/>
      <w:shd w:val="clear" w:color="auto" w:fill="FFFFFF"/>
      <w:spacing w:after="600" w:line="240" w:lineRule="atLeast"/>
      <w:ind w:left="0" w:hanging="720"/>
      <w:jc w:val="both"/>
    </w:pPr>
    <w:rPr>
      <w:rFonts w:ascii="Arial" w:hAnsi="Arial" w:cs="Arial"/>
      <w:sz w:val="44"/>
      <w:szCs w:val="44"/>
      <w:lang w:val="es-CO" w:eastAsia="es-CO"/>
    </w:rPr>
  </w:style>
  <w:style w:type="character" w:customStyle="1" w:styleId="CharStyle28">
    <w:name w:val="Char Style 28"/>
    <w:link w:val="Style27"/>
    <w:uiPriority w:val="99"/>
    <w:rsid w:val="00123D92"/>
    <w:rPr>
      <w:rFonts w:ascii="Arial" w:hAnsi="Arial" w:cs="Arial"/>
      <w:b/>
      <w:bCs/>
      <w:sz w:val="44"/>
      <w:szCs w:val="44"/>
      <w:shd w:val="clear" w:color="auto" w:fill="FFFFFF"/>
    </w:rPr>
  </w:style>
  <w:style w:type="paragraph" w:customStyle="1" w:styleId="Style27">
    <w:name w:val="Style 27"/>
    <w:basedOn w:val="Normal"/>
    <w:link w:val="CharStyle28"/>
    <w:uiPriority w:val="99"/>
    <w:rsid w:val="00123D92"/>
    <w:pPr>
      <w:widowControl w:val="0"/>
      <w:shd w:val="clear" w:color="auto" w:fill="FFFFFF"/>
      <w:spacing w:line="240" w:lineRule="atLeast"/>
      <w:ind w:left="0"/>
    </w:pPr>
    <w:rPr>
      <w:rFonts w:ascii="Arial" w:hAnsi="Arial" w:cs="Arial"/>
      <w:b/>
      <w:bCs/>
      <w:sz w:val="44"/>
      <w:szCs w:val="4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18688">
      <w:bodyDiv w:val="1"/>
      <w:marLeft w:val="0"/>
      <w:marRight w:val="0"/>
      <w:marTop w:val="0"/>
      <w:marBottom w:val="0"/>
      <w:divBdr>
        <w:top w:val="none" w:sz="0" w:space="0" w:color="auto"/>
        <w:left w:val="none" w:sz="0" w:space="0" w:color="auto"/>
        <w:bottom w:val="none" w:sz="0" w:space="0" w:color="auto"/>
        <w:right w:val="none" w:sz="0" w:space="0" w:color="auto"/>
      </w:divBdr>
    </w:div>
    <w:div w:id="189954545">
      <w:bodyDiv w:val="1"/>
      <w:marLeft w:val="0"/>
      <w:marRight w:val="0"/>
      <w:marTop w:val="0"/>
      <w:marBottom w:val="0"/>
      <w:divBdr>
        <w:top w:val="none" w:sz="0" w:space="0" w:color="auto"/>
        <w:left w:val="none" w:sz="0" w:space="0" w:color="auto"/>
        <w:bottom w:val="none" w:sz="0" w:space="0" w:color="auto"/>
        <w:right w:val="none" w:sz="0" w:space="0" w:color="auto"/>
      </w:divBdr>
    </w:div>
    <w:div w:id="503515563">
      <w:bodyDiv w:val="1"/>
      <w:marLeft w:val="0"/>
      <w:marRight w:val="0"/>
      <w:marTop w:val="0"/>
      <w:marBottom w:val="0"/>
      <w:divBdr>
        <w:top w:val="none" w:sz="0" w:space="0" w:color="auto"/>
        <w:left w:val="none" w:sz="0" w:space="0" w:color="auto"/>
        <w:bottom w:val="none" w:sz="0" w:space="0" w:color="auto"/>
        <w:right w:val="none" w:sz="0" w:space="0" w:color="auto"/>
      </w:divBdr>
    </w:div>
    <w:div w:id="603074273">
      <w:bodyDiv w:val="1"/>
      <w:marLeft w:val="0"/>
      <w:marRight w:val="0"/>
      <w:marTop w:val="0"/>
      <w:marBottom w:val="0"/>
      <w:divBdr>
        <w:top w:val="none" w:sz="0" w:space="0" w:color="auto"/>
        <w:left w:val="none" w:sz="0" w:space="0" w:color="auto"/>
        <w:bottom w:val="none" w:sz="0" w:space="0" w:color="auto"/>
        <w:right w:val="none" w:sz="0" w:space="0" w:color="auto"/>
      </w:divBdr>
    </w:div>
    <w:div w:id="633021699">
      <w:bodyDiv w:val="1"/>
      <w:marLeft w:val="0"/>
      <w:marRight w:val="0"/>
      <w:marTop w:val="0"/>
      <w:marBottom w:val="0"/>
      <w:divBdr>
        <w:top w:val="none" w:sz="0" w:space="0" w:color="auto"/>
        <w:left w:val="none" w:sz="0" w:space="0" w:color="auto"/>
        <w:bottom w:val="none" w:sz="0" w:space="0" w:color="auto"/>
        <w:right w:val="none" w:sz="0" w:space="0" w:color="auto"/>
      </w:divBdr>
    </w:div>
    <w:div w:id="687408810">
      <w:bodyDiv w:val="1"/>
      <w:marLeft w:val="0"/>
      <w:marRight w:val="0"/>
      <w:marTop w:val="0"/>
      <w:marBottom w:val="0"/>
      <w:divBdr>
        <w:top w:val="none" w:sz="0" w:space="0" w:color="auto"/>
        <w:left w:val="none" w:sz="0" w:space="0" w:color="auto"/>
        <w:bottom w:val="none" w:sz="0" w:space="0" w:color="auto"/>
        <w:right w:val="none" w:sz="0" w:space="0" w:color="auto"/>
      </w:divBdr>
    </w:div>
    <w:div w:id="706952751">
      <w:bodyDiv w:val="1"/>
      <w:marLeft w:val="0"/>
      <w:marRight w:val="0"/>
      <w:marTop w:val="0"/>
      <w:marBottom w:val="0"/>
      <w:divBdr>
        <w:top w:val="none" w:sz="0" w:space="0" w:color="auto"/>
        <w:left w:val="none" w:sz="0" w:space="0" w:color="auto"/>
        <w:bottom w:val="none" w:sz="0" w:space="0" w:color="auto"/>
        <w:right w:val="none" w:sz="0" w:space="0" w:color="auto"/>
      </w:divBdr>
    </w:div>
    <w:div w:id="723411529">
      <w:bodyDiv w:val="1"/>
      <w:marLeft w:val="0"/>
      <w:marRight w:val="0"/>
      <w:marTop w:val="0"/>
      <w:marBottom w:val="0"/>
      <w:divBdr>
        <w:top w:val="none" w:sz="0" w:space="0" w:color="auto"/>
        <w:left w:val="none" w:sz="0" w:space="0" w:color="auto"/>
        <w:bottom w:val="none" w:sz="0" w:space="0" w:color="auto"/>
        <w:right w:val="none" w:sz="0" w:space="0" w:color="auto"/>
      </w:divBdr>
    </w:div>
    <w:div w:id="926811292">
      <w:bodyDiv w:val="1"/>
      <w:marLeft w:val="0"/>
      <w:marRight w:val="0"/>
      <w:marTop w:val="0"/>
      <w:marBottom w:val="0"/>
      <w:divBdr>
        <w:top w:val="none" w:sz="0" w:space="0" w:color="auto"/>
        <w:left w:val="none" w:sz="0" w:space="0" w:color="auto"/>
        <w:bottom w:val="none" w:sz="0" w:space="0" w:color="auto"/>
        <w:right w:val="none" w:sz="0" w:space="0" w:color="auto"/>
      </w:divBdr>
    </w:div>
    <w:div w:id="929778869">
      <w:bodyDiv w:val="1"/>
      <w:marLeft w:val="0"/>
      <w:marRight w:val="0"/>
      <w:marTop w:val="0"/>
      <w:marBottom w:val="0"/>
      <w:divBdr>
        <w:top w:val="none" w:sz="0" w:space="0" w:color="auto"/>
        <w:left w:val="none" w:sz="0" w:space="0" w:color="auto"/>
        <w:bottom w:val="none" w:sz="0" w:space="0" w:color="auto"/>
        <w:right w:val="none" w:sz="0" w:space="0" w:color="auto"/>
      </w:divBdr>
    </w:div>
    <w:div w:id="1137986405">
      <w:bodyDiv w:val="1"/>
      <w:marLeft w:val="0"/>
      <w:marRight w:val="0"/>
      <w:marTop w:val="0"/>
      <w:marBottom w:val="0"/>
      <w:divBdr>
        <w:top w:val="none" w:sz="0" w:space="0" w:color="auto"/>
        <w:left w:val="none" w:sz="0" w:space="0" w:color="auto"/>
        <w:bottom w:val="none" w:sz="0" w:space="0" w:color="auto"/>
        <w:right w:val="none" w:sz="0" w:space="0" w:color="auto"/>
      </w:divBdr>
    </w:div>
    <w:div w:id="1170171496">
      <w:bodyDiv w:val="1"/>
      <w:marLeft w:val="0"/>
      <w:marRight w:val="0"/>
      <w:marTop w:val="0"/>
      <w:marBottom w:val="0"/>
      <w:divBdr>
        <w:top w:val="none" w:sz="0" w:space="0" w:color="auto"/>
        <w:left w:val="none" w:sz="0" w:space="0" w:color="auto"/>
        <w:bottom w:val="none" w:sz="0" w:space="0" w:color="auto"/>
        <w:right w:val="none" w:sz="0" w:space="0" w:color="auto"/>
      </w:divBdr>
    </w:div>
    <w:div w:id="1249270386">
      <w:bodyDiv w:val="1"/>
      <w:marLeft w:val="0"/>
      <w:marRight w:val="0"/>
      <w:marTop w:val="0"/>
      <w:marBottom w:val="0"/>
      <w:divBdr>
        <w:top w:val="none" w:sz="0" w:space="0" w:color="auto"/>
        <w:left w:val="none" w:sz="0" w:space="0" w:color="auto"/>
        <w:bottom w:val="none" w:sz="0" w:space="0" w:color="auto"/>
        <w:right w:val="none" w:sz="0" w:space="0" w:color="auto"/>
      </w:divBdr>
    </w:div>
    <w:div w:id="1265071163">
      <w:bodyDiv w:val="1"/>
      <w:marLeft w:val="0"/>
      <w:marRight w:val="0"/>
      <w:marTop w:val="0"/>
      <w:marBottom w:val="0"/>
      <w:divBdr>
        <w:top w:val="none" w:sz="0" w:space="0" w:color="auto"/>
        <w:left w:val="none" w:sz="0" w:space="0" w:color="auto"/>
        <w:bottom w:val="none" w:sz="0" w:space="0" w:color="auto"/>
        <w:right w:val="none" w:sz="0" w:space="0" w:color="auto"/>
      </w:divBdr>
    </w:div>
    <w:div w:id="1270158055">
      <w:bodyDiv w:val="1"/>
      <w:marLeft w:val="0"/>
      <w:marRight w:val="0"/>
      <w:marTop w:val="0"/>
      <w:marBottom w:val="0"/>
      <w:divBdr>
        <w:top w:val="none" w:sz="0" w:space="0" w:color="auto"/>
        <w:left w:val="none" w:sz="0" w:space="0" w:color="auto"/>
        <w:bottom w:val="none" w:sz="0" w:space="0" w:color="auto"/>
        <w:right w:val="none" w:sz="0" w:space="0" w:color="auto"/>
      </w:divBdr>
    </w:div>
    <w:div w:id="1313634613">
      <w:bodyDiv w:val="1"/>
      <w:marLeft w:val="0"/>
      <w:marRight w:val="0"/>
      <w:marTop w:val="0"/>
      <w:marBottom w:val="0"/>
      <w:divBdr>
        <w:top w:val="none" w:sz="0" w:space="0" w:color="auto"/>
        <w:left w:val="none" w:sz="0" w:space="0" w:color="auto"/>
        <w:bottom w:val="none" w:sz="0" w:space="0" w:color="auto"/>
        <w:right w:val="none" w:sz="0" w:space="0" w:color="auto"/>
      </w:divBdr>
    </w:div>
    <w:div w:id="1330134334">
      <w:bodyDiv w:val="1"/>
      <w:marLeft w:val="0"/>
      <w:marRight w:val="0"/>
      <w:marTop w:val="0"/>
      <w:marBottom w:val="0"/>
      <w:divBdr>
        <w:top w:val="none" w:sz="0" w:space="0" w:color="auto"/>
        <w:left w:val="none" w:sz="0" w:space="0" w:color="auto"/>
        <w:bottom w:val="none" w:sz="0" w:space="0" w:color="auto"/>
        <w:right w:val="none" w:sz="0" w:space="0" w:color="auto"/>
      </w:divBdr>
    </w:div>
    <w:div w:id="1415712312">
      <w:bodyDiv w:val="1"/>
      <w:marLeft w:val="0"/>
      <w:marRight w:val="0"/>
      <w:marTop w:val="0"/>
      <w:marBottom w:val="0"/>
      <w:divBdr>
        <w:top w:val="none" w:sz="0" w:space="0" w:color="auto"/>
        <w:left w:val="none" w:sz="0" w:space="0" w:color="auto"/>
        <w:bottom w:val="none" w:sz="0" w:space="0" w:color="auto"/>
        <w:right w:val="none" w:sz="0" w:space="0" w:color="auto"/>
      </w:divBdr>
    </w:div>
    <w:div w:id="1591617717">
      <w:bodyDiv w:val="1"/>
      <w:marLeft w:val="0"/>
      <w:marRight w:val="0"/>
      <w:marTop w:val="0"/>
      <w:marBottom w:val="0"/>
      <w:divBdr>
        <w:top w:val="none" w:sz="0" w:space="0" w:color="auto"/>
        <w:left w:val="none" w:sz="0" w:space="0" w:color="auto"/>
        <w:bottom w:val="none" w:sz="0" w:space="0" w:color="auto"/>
        <w:right w:val="none" w:sz="0" w:space="0" w:color="auto"/>
      </w:divBdr>
    </w:div>
    <w:div w:id="1664234228">
      <w:bodyDiv w:val="1"/>
      <w:marLeft w:val="0"/>
      <w:marRight w:val="0"/>
      <w:marTop w:val="0"/>
      <w:marBottom w:val="0"/>
      <w:divBdr>
        <w:top w:val="none" w:sz="0" w:space="0" w:color="auto"/>
        <w:left w:val="none" w:sz="0" w:space="0" w:color="auto"/>
        <w:bottom w:val="none" w:sz="0" w:space="0" w:color="auto"/>
        <w:right w:val="none" w:sz="0" w:space="0" w:color="auto"/>
      </w:divBdr>
    </w:div>
    <w:div w:id="1664384953">
      <w:bodyDiv w:val="1"/>
      <w:marLeft w:val="0"/>
      <w:marRight w:val="0"/>
      <w:marTop w:val="0"/>
      <w:marBottom w:val="0"/>
      <w:divBdr>
        <w:top w:val="none" w:sz="0" w:space="0" w:color="auto"/>
        <w:left w:val="none" w:sz="0" w:space="0" w:color="auto"/>
        <w:bottom w:val="none" w:sz="0" w:space="0" w:color="auto"/>
        <w:right w:val="none" w:sz="0" w:space="0" w:color="auto"/>
      </w:divBdr>
    </w:div>
    <w:div w:id="1754089483">
      <w:bodyDiv w:val="1"/>
      <w:marLeft w:val="0"/>
      <w:marRight w:val="0"/>
      <w:marTop w:val="0"/>
      <w:marBottom w:val="0"/>
      <w:divBdr>
        <w:top w:val="none" w:sz="0" w:space="0" w:color="auto"/>
        <w:left w:val="none" w:sz="0" w:space="0" w:color="auto"/>
        <w:bottom w:val="none" w:sz="0" w:space="0" w:color="auto"/>
        <w:right w:val="none" w:sz="0" w:space="0" w:color="auto"/>
      </w:divBdr>
    </w:div>
    <w:div w:id="1854102325">
      <w:bodyDiv w:val="1"/>
      <w:marLeft w:val="0"/>
      <w:marRight w:val="0"/>
      <w:marTop w:val="0"/>
      <w:marBottom w:val="0"/>
      <w:divBdr>
        <w:top w:val="none" w:sz="0" w:space="0" w:color="auto"/>
        <w:left w:val="none" w:sz="0" w:space="0" w:color="auto"/>
        <w:bottom w:val="none" w:sz="0" w:space="0" w:color="auto"/>
        <w:right w:val="none" w:sz="0" w:space="0" w:color="auto"/>
      </w:divBdr>
    </w:div>
    <w:div w:id="214526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73896-DB44-4060-9FA9-6F804E43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11</Pages>
  <Words>4667</Words>
  <Characters>23921</Characters>
  <Application>Microsoft Office Word</Application>
  <DocSecurity>0</DocSecurity>
  <Lines>199</Lines>
  <Paragraphs>57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2016-10-12T14:34:00Z</cp:lastPrinted>
  <dcterms:created xsi:type="dcterms:W3CDTF">2016-10-31T14:35:00Z</dcterms:created>
  <dcterms:modified xsi:type="dcterms:W3CDTF">2016-10-31T14:35:00Z</dcterms:modified>
</cp:coreProperties>
</file>