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06C" w:rsidRPr="006B4647" w:rsidRDefault="008244EC" w:rsidP="0062206C">
      <w:pPr>
        <w:pStyle w:val="Encabezado"/>
        <w:tabs>
          <w:tab w:val="clear" w:pos="4252"/>
          <w:tab w:val="clear" w:pos="8504"/>
        </w:tabs>
        <w:rPr>
          <w:rFonts w:ascii="Bookman Old Style" w:hAnsi="Bookman Old Style"/>
          <w:szCs w:val="24"/>
        </w:rPr>
      </w:pPr>
      <w:r>
        <w:rPr>
          <w:rFonts w:ascii="Bookman Old Style" w:hAnsi="Bookman Old Style"/>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02.4pt;margin-top:-53.35pt;width:52.5pt;height:48.75pt;z-index:251660288" fillcolor="#0c9">
            <v:imagedata r:id="rId9" o:title=""/>
          </v:shape>
          <o:OLEObject Type="Embed" ProgID="PBrush" ShapeID="_x0000_s1029" DrawAspect="Content" ObjectID="_1512225488" r:id="rId10"/>
        </w:pict>
      </w:r>
    </w:p>
    <w:p w:rsidR="0062206C" w:rsidRPr="006B4647" w:rsidRDefault="0062206C" w:rsidP="0062206C">
      <w:pPr>
        <w:pStyle w:val="Ttulo4"/>
        <w:rPr>
          <w:rFonts w:ascii="Bookman Old Style" w:hAnsi="Bookman Old Style"/>
          <w:b w:val="0"/>
          <w:bCs/>
          <w:noProof/>
          <w:sz w:val="24"/>
          <w:szCs w:val="24"/>
          <w:lang w:val="es-ES"/>
        </w:rPr>
      </w:pPr>
      <w:r w:rsidRPr="006B4647">
        <w:rPr>
          <w:rFonts w:ascii="Bookman Old Style" w:hAnsi="Bookman Old Style"/>
          <w:b w:val="0"/>
          <w:bCs/>
          <w:sz w:val="24"/>
          <w:szCs w:val="24"/>
        </w:rPr>
        <w:t>Ministerio de Minas y Energía</w:t>
      </w:r>
    </w:p>
    <w:p w:rsidR="0062206C" w:rsidRPr="006B4647" w:rsidRDefault="0062206C" w:rsidP="0062206C"/>
    <w:p w:rsidR="0062206C" w:rsidRPr="00B234C3" w:rsidRDefault="0062206C" w:rsidP="0062206C">
      <w:pPr>
        <w:jc w:val="center"/>
        <w:rPr>
          <w:b/>
        </w:rPr>
      </w:pPr>
      <w:r w:rsidRPr="00B234C3">
        <w:rPr>
          <w:b/>
        </w:rPr>
        <w:t>COMISIÓN DE REGULACIÓN DE ENERGÍA Y GAS</w:t>
      </w:r>
    </w:p>
    <w:p w:rsidR="0062206C" w:rsidRPr="006B4647" w:rsidRDefault="0062206C" w:rsidP="0062206C"/>
    <w:p w:rsidR="0062206C" w:rsidRPr="006B4647" w:rsidRDefault="0062206C" w:rsidP="0062206C"/>
    <w:p w:rsidR="0062206C" w:rsidRPr="0050191A" w:rsidRDefault="0062206C" w:rsidP="0062206C">
      <w:pPr>
        <w:jc w:val="center"/>
        <w:rPr>
          <w:b/>
          <w:spacing w:val="20"/>
        </w:rPr>
      </w:pPr>
      <w:r w:rsidRPr="0050191A">
        <w:rPr>
          <w:b/>
          <w:spacing w:val="20"/>
        </w:rPr>
        <w:t>RESOLUCIÓN No.                   DE 201</w:t>
      </w:r>
      <w:r>
        <w:rPr>
          <w:b/>
          <w:spacing w:val="20"/>
        </w:rPr>
        <w:t>5</w:t>
      </w:r>
    </w:p>
    <w:p w:rsidR="0062206C" w:rsidRPr="006B4647" w:rsidRDefault="0062206C" w:rsidP="0062206C">
      <w:pPr>
        <w:jc w:val="center"/>
        <w:rPr>
          <w:snapToGrid w:val="0"/>
          <w:lang w:val="es-ES_tradnl"/>
        </w:rPr>
      </w:pPr>
    </w:p>
    <w:p w:rsidR="0062206C" w:rsidRPr="006B4647" w:rsidRDefault="0062206C" w:rsidP="0062206C">
      <w:pPr>
        <w:jc w:val="center"/>
      </w:pPr>
      <w:r w:rsidRPr="006B4647">
        <w:t>(                                  )</w:t>
      </w:r>
    </w:p>
    <w:p w:rsidR="0062206C" w:rsidRPr="006B4647" w:rsidRDefault="0062206C" w:rsidP="0062206C">
      <w:pPr>
        <w:jc w:val="center"/>
        <w:rPr>
          <w:lang w:val="es-ES_tradnl"/>
        </w:rPr>
      </w:pPr>
    </w:p>
    <w:p w:rsidR="0062206C" w:rsidRPr="006B4647" w:rsidRDefault="0062206C" w:rsidP="0062206C">
      <w:pPr>
        <w:rPr>
          <w:bCs/>
          <w:lang w:val="es-CO"/>
        </w:rPr>
      </w:pPr>
    </w:p>
    <w:p w:rsidR="0062206C" w:rsidRPr="006B4647" w:rsidRDefault="0062206C" w:rsidP="0062206C">
      <w:pPr>
        <w:rPr>
          <w:bCs/>
          <w:lang w:val="es-CO"/>
        </w:rPr>
      </w:pPr>
    </w:p>
    <w:p w:rsidR="0062206C" w:rsidRDefault="0062206C" w:rsidP="0062206C">
      <w:pPr>
        <w:rPr>
          <w:rFonts w:cs="Arial"/>
          <w:szCs w:val="20"/>
          <w:lang w:val="es-CO"/>
        </w:rPr>
      </w:pPr>
      <w:r w:rsidRPr="009D3183">
        <w:rPr>
          <w:rFonts w:cs="Arial"/>
          <w:szCs w:val="20"/>
          <w:lang w:val="es-CO"/>
        </w:rPr>
        <w:t>Por la cual se dan a conocer a los agentes, usuarios y terceros interesados, las bases sobre las cuales la Comisión</w:t>
      </w:r>
      <w:r>
        <w:rPr>
          <w:rFonts w:cs="Arial"/>
          <w:szCs w:val="20"/>
          <w:lang w:val="es-CO"/>
        </w:rPr>
        <w:t xml:space="preserve"> de Regulación de Energía y Gas,</w:t>
      </w:r>
      <w:r w:rsidRPr="009D3183">
        <w:rPr>
          <w:rFonts w:cs="Arial"/>
          <w:szCs w:val="20"/>
          <w:lang w:val="es-CO"/>
        </w:rPr>
        <w:t xml:space="preserve"> efectuará los estudios para determ</w:t>
      </w:r>
      <w:bookmarkStart w:id="0" w:name="_GoBack"/>
      <w:bookmarkEnd w:id="0"/>
      <w:r w:rsidRPr="009D3183">
        <w:rPr>
          <w:rFonts w:cs="Arial"/>
          <w:szCs w:val="20"/>
          <w:lang w:val="es-CO"/>
        </w:rPr>
        <w:t>inar la metodol</w:t>
      </w:r>
      <w:r>
        <w:rPr>
          <w:rFonts w:cs="Arial"/>
          <w:szCs w:val="20"/>
          <w:lang w:val="es-CO"/>
        </w:rPr>
        <w:t>ogía para la remuneración de la actividad</w:t>
      </w:r>
      <w:r w:rsidRPr="009D3183">
        <w:rPr>
          <w:rFonts w:cs="Arial"/>
          <w:szCs w:val="20"/>
          <w:lang w:val="es-CO"/>
        </w:rPr>
        <w:t xml:space="preserve"> de </w:t>
      </w:r>
      <w:r>
        <w:rPr>
          <w:rFonts w:cs="Arial"/>
          <w:szCs w:val="20"/>
          <w:lang w:val="es-CO"/>
        </w:rPr>
        <w:t>transporte</w:t>
      </w:r>
      <w:r w:rsidRPr="009D3183">
        <w:rPr>
          <w:rFonts w:cs="Arial"/>
          <w:szCs w:val="20"/>
          <w:lang w:val="es-CO"/>
        </w:rPr>
        <w:t xml:space="preserve"> de</w:t>
      </w:r>
      <w:r>
        <w:rPr>
          <w:rFonts w:cs="Arial"/>
          <w:szCs w:val="20"/>
          <w:lang w:val="es-CO"/>
        </w:rPr>
        <w:t xml:space="preserve"> gas licuado de petróleo</w:t>
      </w:r>
      <w:r w:rsidRPr="009D3183">
        <w:rPr>
          <w:rFonts w:cs="Arial"/>
          <w:szCs w:val="20"/>
          <w:lang w:val="es-CO"/>
        </w:rPr>
        <w:t xml:space="preserve"> </w:t>
      </w:r>
      <w:r>
        <w:rPr>
          <w:rFonts w:cs="Arial"/>
          <w:szCs w:val="20"/>
          <w:lang w:val="es-CO"/>
        </w:rPr>
        <w:t>(</w:t>
      </w:r>
      <w:r w:rsidRPr="009D3183">
        <w:rPr>
          <w:rFonts w:cs="Arial"/>
          <w:szCs w:val="20"/>
          <w:lang w:val="es-CO"/>
        </w:rPr>
        <w:t>GLP</w:t>
      </w:r>
      <w:r>
        <w:rPr>
          <w:rFonts w:cs="Arial"/>
          <w:szCs w:val="20"/>
          <w:lang w:val="es-CO"/>
        </w:rPr>
        <w:t>) hacia</w:t>
      </w:r>
      <w:r w:rsidRPr="009D3183">
        <w:rPr>
          <w:rFonts w:cs="Arial"/>
          <w:szCs w:val="20"/>
          <w:lang w:val="es-CO"/>
        </w:rPr>
        <w:t xml:space="preserve"> el </w:t>
      </w:r>
      <w:r w:rsidR="00A16563">
        <w:rPr>
          <w:rFonts w:cs="Arial"/>
          <w:szCs w:val="20"/>
          <w:lang w:val="es-CO"/>
        </w:rPr>
        <w:t>archipiélago</w:t>
      </w:r>
      <w:r w:rsidRPr="009D3183">
        <w:rPr>
          <w:rFonts w:cs="Arial"/>
          <w:szCs w:val="20"/>
          <w:lang w:val="es-CO"/>
        </w:rPr>
        <w:t xml:space="preserve"> de San Andrés, Providencia y Santa Catalina</w:t>
      </w:r>
    </w:p>
    <w:p w:rsidR="0062206C" w:rsidRDefault="0062206C" w:rsidP="0062206C">
      <w:pPr>
        <w:rPr>
          <w:rFonts w:cs="Arial"/>
          <w:szCs w:val="20"/>
          <w:lang w:val="es-CO"/>
        </w:rPr>
      </w:pPr>
    </w:p>
    <w:p w:rsidR="008C411D" w:rsidRPr="005B1C7E" w:rsidRDefault="008C411D" w:rsidP="0062206C">
      <w:pPr>
        <w:rPr>
          <w:rFonts w:cs="Arial"/>
          <w:szCs w:val="20"/>
          <w:lang w:val="es-CO"/>
        </w:rPr>
      </w:pPr>
    </w:p>
    <w:p w:rsidR="0062206C" w:rsidRPr="00B234C3" w:rsidRDefault="0062206C" w:rsidP="0062206C">
      <w:pPr>
        <w:jc w:val="center"/>
        <w:rPr>
          <w:b/>
        </w:rPr>
      </w:pPr>
      <w:r w:rsidRPr="00B234C3">
        <w:rPr>
          <w:b/>
        </w:rPr>
        <w:t>LA COMISIÓN DE REGULACIÓN DE ENERGÍA Y GAS</w:t>
      </w:r>
    </w:p>
    <w:p w:rsidR="0062206C" w:rsidRPr="00601751" w:rsidRDefault="0062206C" w:rsidP="0062206C">
      <w:pPr>
        <w:rPr>
          <w:rFonts w:cs="Arial"/>
          <w:bCs/>
          <w:szCs w:val="20"/>
        </w:rPr>
      </w:pPr>
    </w:p>
    <w:p w:rsidR="0062206C" w:rsidRDefault="0062206C" w:rsidP="0062206C">
      <w:pPr>
        <w:rPr>
          <w:rFonts w:cs="Arial"/>
          <w:szCs w:val="20"/>
        </w:rPr>
      </w:pPr>
    </w:p>
    <w:p w:rsidR="0062206C" w:rsidRDefault="0062206C" w:rsidP="0062206C">
      <w:pPr>
        <w:rPr>
          <w:rFonts w:cs="Arial"/>
          <w:szCs w:val="20"/>
        </w:rPr>
      </w:pPr>
      <w:r>
        <w:rPr>
          <w:rFonts w:cs="Arial"/>
          <w:szCs w:val="20"/>
        </w:rPr>
        <w:t xml:space="preserve">En ejercicio de las atribuciones legales, en especial las conferidas por la Ley 142 de 1994, </w:t>
      </w:r>
      <w:r w:rsidRPr="009D3183">
        <w:rPr>
          <w:rFonts w:cs="Arial"/>
          <w:szCs w:val="20"/>
        </w:rPr>
        <w:t>y en desarrollo de los Decretos 1524 y 2253 de 1994, y 1260 de 2013</w:t>
      </w:r>
      <w:r>
        <w:rPr>
          <w:rFonts w:cs="Arial"/>
          <w:szCs w:val="20"/>
        </w:rPr>
        <w:t>, y</w:t>
      </w: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pStyle w:val="TableHeading"/>
        <w:suppressLineNumbers w:val="0"/>
        <w:rPr>
          <w:rFonts w:ascii="Bookman Old Style" w:hAnsi="Bookman Old Style" w:cs="Arial"/>
          <w:bCs w:val="0"/>
          <w:sz w:val="24"/>
          <w:szCs w:val="20"/>
        </w:rPr>
      </w:pPr>
      <w:r>
        <w:rPr>
          <w:rFonts w:ascii="Bookman Old Style" w:hAnsi="Bookman Old Style" w:cs="Arial"/>
          <w:bCs w:val="0"/>
          <w:sz w:val="24"/>
          <w:szCs w:val="20"/>
        </w:rPr>
        <w:t>C O N S I D E R A N D O  Q U E:</w:t>
      </w:r>
    </w:p>
    <w:p w:rsidR="0062206C" w:rsidRDefault="0062206C" w:rsidP="0062206C">
      <w:pPr>
        <w:rPr>
          <w:rFonts w:cs="Arial"/>
          <w:szCs w:val="20"/>
        </w:rPr>
      </w:pPr>
    </w:p>
    <w:p w:rsidR="0062206C" w:rsidRDefault="0062206C" w:rsidP="0062206C">
      <w:pPr>
        <w:rPr>
          <w:rFonts w:cs="Arial"/>
        </w:rPr>
      </w:pPr>
    </w:p>
    <w:p w:rsidR="0062206C" w:rsidRPr="001662C3" w:rsidRDefault="008C411D" w:rsidP="006220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14"/>
        </w:tabs>
        <w:suppressAutoHyphens/>
      </w:pPr>
      <w:r w:rsidRPr="001662C3">
        <w:rPr>
          <w:szCs w:val="27"/>
        </w:rPr>
        <w:t>Mediante</w:t>
      </w:r>
      <w:r>
        <w:t xml:space="preserve"> </w:t>
      </w:r>
      <w:r w:rsidR="0062206C">
        <w:t xml:space="preserve">la Resolución </w:t>
      </w:r>
      <w:r w:rsidR="0062206C" w:rsidRPr="001662C3">
        <w:t>CREG 084 de 1997 se establecieron las fórmulas tarifarias por producto y transporte aplicables a los grandes comercializadores de los gases licuados de petróleo (GLP), y se dictan otras disposiciones.</w:t>
      </w:r>
    </w:p>
    <w:p w:rsidR="0062206C" w:rsidRPr="001662C3" w:rsidRDefault="0062206C" w:rsidP="0062206C">
      <w:pPr>
        <w:tabs>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pPr>
    </w:p>
    <w:p w:rsidR="0062206C" w:rsidRPr="001662C3" w:rsidRDefault="008C411D" w:rsidP="0062206C">
      <w:pPr>
        <w:rPr>
          <w:rFonts w:cs="Arial"/>
        </w:rPr>
      </w:pPr>
      <w:r w:rsidRPr="001662C3">
        <w:t xml:space="preserve">Por medio </w:t>
      </w:r>
      <w:r>
        <w:t>de</w:t>
      </w:r>
      <w:r w:rsidRPr="001662C3">
        <w:rPr>
          <w:szCs w:val="27"/>
        </w:rPr>
        <w:t xml:space="preserve"> </w:t>
      </w:r>
      <w:r w:rsidR="0062206C" w:rsidRPr="001662C3">
        <w:rPr>
          <w:szCs w:val="27"/>
        </w:rPr>
        <w:t>la Resolución CREG 066 de 2002 la Comisión sometió a consideración de los agentes, usuarios y terceros interesados las bases sobre las cuales se definiría la fórmula aplicable a las diferentes actividades de la prestación del servi</w:t>
      </w:r>
      <w:r w:rsidR="0062206C">
        <w:rPr>
          <w:szCs w:val="27"/>
        </w:rPr>
        <w:t>cio público domiciliario de GLP.</w:t>
      </w:r>
    </w:p>
    <w:p w:rsidR="0062206C" w:rsidRPr="001662C3" w:rsidRDefault="0062206C" w:rsidP="0062206C">
      <w:pPr>
        <w:rPr>
          <w:rFonts w:cs="Arial"/>
        </w:rPr>
      </w:pPr>
    </w:p>
    <w:p w:rsidR="0062206C" w:rsidRPr="001662C3" w:rsidRDefault="008C411D" w:rsidP="0062206C">
      <w:r>
        <w:t xml:space="preserve">A  través </w:t>
      </w:r>
      <w:r w:rsidR="0062206C" w:rsidRPr="001662C3">
        <w:t xml:space="preserve">de la Resolución CREG 122 de 2008 </w:t>
      </w:r>
      <w:r w:rsidR="0062206C" w:rsidRPr="001662C3">
        <w:rPr>
          <w:rFonts w:cs="Arial"/>
        </w:rPr>
        <w:t xml:space="preserve">se adoptaron </w:t>
      </w:r>
      <w:r w:rsidR="0062206C" w:rsidRPr="001662C3">
        <w:rPr>
          <w:szCs w:val="27"/>
        </w:rPr>
        <w:t xml:space="preserve">los criterios generales para determinar la remuneración de la actividad </w:t>
      </w:r>
      <w:r w:rsidR="00A16563">
        <w:rPr>
          <w:szCs w:val="27"/>
        </w:rPr>
        <w:t>de transporte de gas l</w:t>
      </w:r>
      <w:r w:rsidR="0062206C">
        <w:rPr>
          <w:szCs w:val="27"/>
        </w:rPr>
        <w:t>icuado de</w:t>
      </w:r>
      <w:r w:rsidR="00A16563">
        <w:rPr>
          <w:szCs w:val="27"/>
        </w:rPr>
        <w:t xml:space="preserve"> p</w:t>
      </w:r>
      <w:r w:rsidR="0062206C" w:rsidRPr="001662C3">
        <w:rPr>
          <w:szCs w:val="27"/>
        </w:rPr>
        <w:t>etróleo (GLP) por ductos.</w:t>
      </w:r>
    </w:p>
    <w:p w:rsidR="0062206C" w:rsidRPr="001662C3" w:rsidRDefault="0062206C" w:rsidP="0062206C"/>
    <w:p w:rsidR="0062206C" w:rsidRDefault="0062206C" w:rsidP="0062206C">
      <w:pPr>
        <w:rPr>
          <w:szCs w:val="27"/>
        </w:rPr>
      </w:pPr>
      <w:r w:rsidRPr="001662C3">
        <w:t>La Resolución CREG 050 de 2009</w:t>
      </w:r>
      <w:r>
        <w:t xml:space="preserve"> </w:t>
      </w:r>
      <w:r>
        <w:rPr>
          <w:rFonts w:cs="Arial"/>
        </w:rPr>
        <w:t xml:space="preserve">estableció </w:t>
      </w:r>
      <w:r>
        <w:rPr>
          <w:szCs w:val="27"/>
        </w:rPr>
        <w:t xml:space="preserve">los criterios </w:t>
      </w:r>
      <w:r w:rsidRPr="003F17EA">
        <w:rPr>
          <w:rFonts w:cs="Arial"/>
        </w:rPr>
        <w:t>para la remuneración de la actividad d</w:t>
      </w:r>
      <w:r w:rsidR="00A16563">
        <w:rPr>
          <w:rFonts w:cs="Arial"/>
        </w:rPr>
        <w:t>e transporte de gas l</w:t>
      </w:r>
      <w:r>
        <w:rPr>
          <w:rFonts w:cs="Arial"/>
        </w:rPr>
        <w:t>icuado de</w:t>
      </w:r>
      <w:r w:rsidR="00A16563">
        <w:rPr>
          <w:rFonts w:cs="Arial"/>
        </w:rPr>
        <w:t xml:space="preserve"> p</w:t>
      </w:r>
      <w:r w:rsidRPr="003F17EA">
        <w:rPr>
          <w:rFonts w:cs="Arial"/>
        </w:rPr>
        <w:t xml:space="preserve">etróleo (GLP) </w:t>
      </w:r>
      <w:r>
        <w:rPr>
          <w:szCs w:val="27"/>
        </w:rPr>
        <w:t xml:space="preserve">al </w:t>
      </w:r>
      <w:r w:rsidR="00A16563">
        <w:rPr>
          <w:szCs w:val="27"/>
        </w:rPr>
        <w:t>archipiélago</w:t>
      </w:r>
      <w:r>
        <w:rPr>
          <w:szCs w:val="27"/>
        </w:rPr>
        <w:t xml:space="preserve"> de San Andrés, Providencia y Santa Catalina.</w:t>
      </w:r>
    </w:p>
    <w:p w:rsidR="0062206C" w:rsidRDefault="0062206C" w:rsidP="0062206C">
      <w:pPr>
        <w:rPr>
          <w:szCs w:val="27"/>
        </w:rPr>
      </w:pPr>
    </w:p>
    <w:p w:rsidR="0062206C" w:rsidRDefault="0062206C" w:rsidP="0062206C">
      <w:pPr>
        <w:suppressAutoHyphens/>
        <w:ind w:right="51"/>
        <w:rPr>
          <w:rFonts w:cs="Arial"/>
          <w:color w:val="000000"/>
        </w:rPr>
      </w:pPr>
      <w:r w:rsidRPr="00E86C3D">
        <w:rPr>
          <w:rFonts w:cs="Arial"/>
          <w:color w:val="000000"/>
        </w:rPr>
        <w:t>La resol</w:t>
      </w:r>
      <w:r>
        <w:rPr>
          <w:rFonts w:cs="Arial"/>
          <w:color w:val="000000"/>
        </w:rPr>
        <w:t>ución CREG 050 de 2009 dispuso</w:t>
      </w:r>
      <w:r w:rsidRPr="00E86C3D">
        <w:rPr>
          <w:rFonts w:cs="Arial"/>
          <w:color w:val="000000"/>
        </w:rPr>
        <w:t xml:space="preserve"> que la vigencia de los cargos de transporte</w:t>
      </w:r>
      <w:r>
        <w:rPr>
          <w:rFonts w:cs="Arial"/>
          <w:color w:val="000000"/>
        </w:rPr>
        <w:t xml:space="preserve"> para la isla de San Andrés </w:t>
      </w:r>
      <w:proofErr w:type="gramStart"/>
      <w:r>
        <w:rPr>
          <w:rFonts w:cs="Arial"/>
          <w:color w:val="000000"/>
        </w:rPr>
        <w:t>sería</w:t>
      </w:r>
      <w:proofErr w:type="gramEnd"/>
      <w:r w:rsidRPr="00E86C3D">
        <w:rPr>
          <w:rFonts w:cs="Arial"/>
          <w:color w:val="000000"/>
        </w:rPr>
        <w:t xml:space="preserve"> de cinco (5) años, a partir de la entrada en vigencia </w:t>
      </w:r>
      <w:r>
        <w:rPr>
          <w:rFonts w:cs="Arial"/>
          <w:color w:val="000000"/>
        </w:rPr>
        <w:t>de la resolución que los aprobara</w:t>
      </w:r>
      <w:r w:rsidRPr="00E86C3D">
        <w:rPr>
          <w:rFonts w:cs="Arial"/>
          <w:color w:val="000000"/>
        </w:rPr>
        <w:t>.</w:t>
      </w:r>
    </w:p>
    <w:p w:rsidR="0062206C" w:rsidRDefault="0062206C" w:rsidP="0062206C">
      <w:pPr>
        <w:suppressAutoHyphens/>
        <w:ind w:right="51"/>
        <w:rPr>
          <w:rFonts w:cs="Arial"/>
          <w:color w:val="000000"/>
        </w:rPr>
      </w:pPr>
    </w:p>
    <w:p w:rsidR="00B17AA0" w:rsidRDefault="00B17AA0" w:rsidP="0062206C">
      <w:pPr>
        <w:pStyle w:val="Textodebloque"/>
        <w:spacing w:after="0"/>
        <w:ind w:right="80"/>
        <w:rPr>
          <w:rFonts w:ascii="Bookman Old Style" w:hAnsi="Bookman Old Style" w:cs="Arial"/>
          <w:color w:val="000000"/>
        </w:rPr>
      </w:pPr>
    </w:p>
    <w:p w:rsidR="0062206C" w:rsidRPr="00B74932" w:rsidRDefault="0062206C" w:rsidP="0062206C">
      <w:pPr>
        <w:pStyle w:val="Textodebloque"/>
        <w:spacing w:after="0"/>
        <w:ind w:right="80"/>
        <w:rPr>
          <w:rFonts w:ascii="Bookman Old Style" w:hAnsi="Bookman Old Style" w:cs="Arial"/>
          <w:szCs w:val="24"/>
        </w:rPr>
      </w:pPr>
      <w:r w:rsidRPr="00B74932">
        <w:rPr>
          <w:rFonts w:ascii="Bookman Old Style" w:hAnsi="Bookman Old Style" w:cs="Arial"/>
          <w:color w:val="000000"/>
        </w:rPr>
        <w:t xml:space="preserve">Por medio de la Resolución CREG 049 de 2011, </w:t>
      </w:r>
      <w:r>
        <w:rPr>
          <w:rFonts w:ascii="Bookman Old Style" w:hAnsi="Bookman Old Style" w:cs="Arial"/>
          <w:szCs w:val="24"/>
        </w:rPr>
        <w:t>se aprobó</w:t>
      </w:r>
      <w:r w:rsidRPr="00B74932">
        <w:rPr>
          <w:rFonts w:ascii="Bookman Old Style" w:hAnsi="Bookman Old Style" w:cs="Arial"/>
          <w:szCs w:val="24"/>
        </w:rPr>
        <w:t xml:space="preserve"> el cargo para la remuneración d</w:t>
      </w:r>
      <w:r>
        <w:rPr>
          <w:rFonts w:ascii="Bookman Old Style" w:hAnsi="Bookman Old Style" w:cs="Arial"/>
          <w:szCs w:val="24"/>
        </w:rPr>
        <w:t>e</w:t>
      </w:r>
      <w:r w:rsidR="00443D96">
        <w:rPr>
          <w:rFonts w:ascii="Bookman Old Style" w:hAnsi="Bookman Old Style" w:cs="Arial"/>
          <w:szCs w:val="24"/>
        </w:rPr>
        <w:t xml:space="preserve"> la actividad de t</w:t>
      </w:r>
      <w:r w:rsidR="00A16563">
        <w:rPr>
          <w:rFonts w:ascii="Bookman Old Style" w:hAnsi="Bookman Old Style" w:cs="Arial"/>
          <w:szCs w:val="24"/>
        </w:rPr>
        <w:t>ransporte de gas l</w:t>
      </w:r>
      <w:r>
        <w:rPr>
          <w:rFonts w:ascii="Bookman Old Style" w:hAnsi="Bookman Old Style" w:cs="Arial"/>
          <w:szCs w:val="24"/>
        </w:rPr>
        <w:t>icuado de</w:t>
      </w:r>
      <w:r w:rsidR="00A16563">
        <w:rPr>
          <w:rFonts w:ascii="Bookman Old Style" w:hAnsi="Bookman Old Style" w:cs="Arial"/>
          <w:szCs w:val="24"/>
        </w:rPr>
        <w:t xml:space="preserve"> p</w:t>
      </w:r>
      <w:r w:rsidRPr="00B74932">
        <w:rPr>
          <w:rFonts w:ascii="Bookman Old Style" w:hAnsi="Bookman Old Style" w:cs="Arial"/>
          <w:szCs w:val="24"/>
        </w:rPr>
        <w:t xml:space="preserve">etróleo (GLP) al </w:t>
      </w:r>
      <w:r w:rsidR="00A16563">
        <w:rPr>
          <w:rFonts w:ascii="Bookman Old Style" w:hAnsi="Bookman Old Style" w:cs="Arial"/>
          <w:szCs w:val="24"/>
        </w:rPr>
        <w:t>archipiélago</w:t>
      </w:r>
      <w:r w:rsidRPr="00B74932">
        <w:rPr>
          <w:rFonts w:ascii="Bookman Old Style" w:hAnsi="Bookman Old Style" w:cs="Arial"/>
          <w:szCs w:val="24"/>
        </w:rPr>
        <w:t xml:space="preserve"> de San Andrés, Providencia y Santa Catalina de acuerdo con la solicitud tarifaria realizada por la empresa PROVIGAS  S.A. E.S.P.</w:t>
      </w:r>
    </w:p>
    <w:p w:rsidR="0062206C" w:rsidRDefault="0062206C" w:rsidP="0062206C">
      <w:pPr>
        <w:suppressAutoHyphens/>
        <w:ind w:right="51"/>
        <w:rPr>
          <w:rFonts w:cs="Arial"/>
          <w:color w:val="000000"/>
        </w:rPr>
      </w:pPr>
    </w:p>
    <w:p w:rsidR="0062206C" w:rsidRDefault="0062206C" w:rsidP="0062206C">
      <w:pPr>
        <w:suppressAutoHyphens/>
        <w:ind w:right="51"/>
        <w:rPr>
          <w:rFonts w:cs="Arial"/>
          <w:color w:val="000000"/>
        </w:rPr>
      </w:pPr>
      <w:r>
        <w:rPr>
          <w:rFonts w:cs="Arial"/>
          <w:color w:val="000000"/>
        </w:rPr>
        <w:t>El artículo 12 de la R</w:t>
      </w:r>
      <w:r w:rsidRPr="00E86C3D">
        <w:rPr>
          <w:rFonts w:cs="Arial"/>
          <w:color w:val="000000"/>
        </w:rPr>
        <w:t>esol</w:t>
      </w:r>
      <w:r>
        <w:rPr>
          <w:rFonts w:cs="Arial"/>
          <w:color w:val="000000"/>
        </w:rPr>
        <w:t>ución CREG 050 de 2009 estableció que vencido el  periodo de cinco (5) años, los cargos continuarían</w:t>
      </w:r>
      <w:r w:rsidRPr="00E86C3D">
        <w:rPr>
          <w:rFonts w:cs="Arial"/>
          <w:color w:val="000000"/>
        </w:rPr>
        <w:t xml:space="preserve"> vigent</w:t>
      </w:r>
      <w:r>
        <w:rPr>
          <w:rFonts w:cs="Arial"/>
          <w:color w:val="000000"/>
        </w:rPr>
        <w:t>es hasta cuando la Comisión fijara</w:t>
      </w:r>
      <w:r w:rsidRPr="00E86C3D">
        <w:rPr>
          <w:rFonts w:cs="Arial"/>
          <w:color w:val="000000"/>
        </w:rPr>
        <w:t xml:space="preserve"> unos nuevos.</w:t>
      </w:r>
    </w:p>
    <w:p w:rsidR="0062206C" w:rsidRDefault="0062206C" w:rsidP="0062206C">
      <w:pPr>
        <w:rPr>
          <w:szCs w:val="27"/>
        </w:rPr>
      </w:pPr>
    </w:p>
    <w:p w:rsidR="0062206C" w:rsidRDefault="0062206C" w:rsidP="0062206C">
      <w:pPr>
        <w:rPr>
          <w:rFonts w:cs="Arial"/>
          <w:szCs w:val="20"/>
        </w:rPr>
      </w:pPr>
      <w:r w:rsidRPr="004871FF">
        <w:rPr>
          <w:rFonts w:cs="Arial"/>
          <w:szCs w:val="20"/>
        </w:rPr>
        <w:t xml:space="preserve">Las fórmulas tarifarias </w:t>
      </w:r>
      <w:r>
        <w:rPr>
          <w:rFonts w:cs="Arial"/>
          <w:szCs w:val="20"/>
        </w:rPr>
        <w:t>por mandato legal tienen</w:t>
      </w:r>
      <w:r w:rsidRPr="004871FF">
        <w:rPr>
          <w:rFonts w:cs="Arial"/>
          <w:szCs w:val="20"/>
        </w:rPr>
        <w:t xml:space="preserve"> una vigencia de cinco años de acuerdo con lo fijado por el artículo 126 de la Ley 142 de 1994, y vencido su período de vigencia, el mismo artículo establece que co</w:t>
      </w:r>
      <w:r>
        <w:rPr>
          <w:rFonts w:cs="Arial"/>
          <w:szCs w:val="20"/>
        </w:rPr>
        <w:t>ntinuarán rigiendo mientras la C</w:t>
      </w:r>
      <w:r w:rsidRPr="004871FF">
        <w:rPr>
          <w:rFonts w:cs="Arial"/>
          <w:szCs w:val="20"/>
        </w:rPr>
        <w:t>omisión no fije las nuevas.</w:t>
      </w:r>
    </w:p>
    <w:p w:rsidR="0062206C" w:rsidRDefault="0062206C" w:rsidP="0062206C"/>
    <w:p w:rsidR="0062206C" w:rsidRDefault="0062206C" w:rsidP="0062206C">
      <w:r>
        <w:t>El Artículo 127 de la Ley 142 de 1994, dispone que antes de doce meses de la fecha prevista para que termine la vigencia de las fórmulas tarifarias, la Comisión deber</w:t>
      </w:r>
      <w:r w:rsidR="00A16563">
        <w:t>á poner en conocimiento de las empresas de servicios p</w:t>
      </w:r>
      <w:r>
        <w:t>úblicos las bases sobre las cuales efectuará el estudio para determinar las fórmulas del período siguiente.</w:t>
      </w:r>
    </w:p>
    <w:p w:rsidR="0062206C" w:rsidRDefault="0062206C" w:rsidP="0062206C"/>
    <w:p w:rsidR="0062206C" w:rsidRDefault="0062206C" w:rsidP="0062206C">
      <w:pPr>
        <w:suppressAutoHyphens/>
        <w:ind w:right="51"/>
        <w:rPr>
          <w:rFonts w:cs="Arial"/>
          <w:color w:val="000000"/>
        </w:rPr>
      </w:pPr>
      <w:r>
        <w:rPr>
          <w:rFonts w:cs="Arial"/>
          <w:color w:val="000000"/>
        </w:rPr>
        <w:t>En este orden,</w:t>
      </w:r>
      <w:r w:rsidRPr="00E86C3D">
        <w:rPr>
          <w:rFonts w:cs="Arial"/>
          <w:color w:val="000000"/>
        </w:rPr>
        <w:t xml:space="preserve"> el periodo de vigencia de los cargos aprobados mediante Resolución CREG 049 de 2011 finaliza el próximo 7 de abril de 2016, por lo que cumplido el periodo de vigencia y de conformidad con la Ley 142 de 1994, la Comisión puede iniciar la revisión de la metodología establecida en la Resolución CREG 050 de 2009 y los cargos aprobados para la prestación del servicio de transporte de GLP a las islas.</w:t>
      </w:r>
    </w:p>
    <w:p w:rsidR="0062206C" w:rsidRDefault="0062206C" w:rsidP="0062206C">
      <w:pPr>
        <w:rPr>
          <w:rFonts w:cs="Arial"/>
        </w:rPr>
      </w:pPr>
    </w:p>
    <w:p w:rsidR="0062206C" w:rsidRDefault="0062206C" w:rsidP="0062206C">
      <w:r>
        <w:t>Corresponde a la CREG fijar las fórmulas tarifarias para cada una de las ac</w:t>
      </w:r>
      <w:r w:rsidR="00A16563">
        <w:t>tividades relacionadas con gas licuado</w:t>
      </w:r>
      <w:r w:rsidR="00443D96">
        <w:t xml:space="preserve"> de</w:t>
      </w:r>
      <w:r>
        <w:t xml:space="preserve"> petróleo (GLP).</w:t>
      </w:r>
    </w:p>
    <w:p w:rsidR="0062206C" w:rsidRDefault="0062206C" w:rsidP="0062206C">
      <w:pPr>
        <w:rPr>
          <w:rFonts w:cs="Arial"/>
        </w:rPr>
      </w:pPr>
    </w:p>
    <w:p w:rsidR="0062206C" w:rsidRPr="00601751" w:rsidRDefault="0062206C" w:rsidP="0062206C">
      <w:pPr>
        <w:rPr>
          <w:rFonts w:cs="Arial"/>
          <w:szCs w:val="20"/>
        </w:rPr>
      </w:pPr>
      <w:r>
        <w:rPr>
          <w:rFonts w:cs="Arial"/>
          <w:szCs w:val="20"/>
        </w:rPr>
        <w:t>L</w:t>
      </w:r>
      <w:r w:rsidRPr="00601751">
        <w:rPr>
          <w:rFonts w:cs="Arial"/>
          <w:szCs w:val="20"/>
        </w:rPr>
        <w:t xml:space="preserve">a Comisión, en su </w:t>
      </w:r>
      <w:r>
        <w:rPr>
          <w:rFonts w:cs="Arial"/>
          <w:szCs w:val="20"/>
        </w:rPr>
        <w:t>s</w:t>
      </w:r>
      <w:r w:rsidRPr="00601751">
        <w:rPr>
          <w:rFonts w:cs="Arial"/>
          <w:szCs w:val="20"/>
        </w:rPr>
        <w:t>esión No</w:t>
      </w:r>
      <w:r>
        <w:rPr>
          <w:rFonts w:cs="Arial"/>
          <w:szCs w:val="20"/>
        </w:rPr>
        <w:t xml:space="preserve">. </w:t>
      </w:r>
      <w:r w:rsidR="00B17AA0">
        <w:rPr>
          <w:rFonts w:cs="Arial"/>
          <w:szCs w:val="20"/>
        </w:rPr>
        <w:t>684</w:t>
      </w:r>
      <w:r w:rsidRPr="00601751">
        <w:rPr>
          <w:rFonts w:cs="Arial"/>
          <w:szCs w:val="20"/>
        </w:rPr>
        <w:t xml:space="preserve"> del </w:t>
      </w:r>
      <w:r w:rsidR="00B17AA0">
        <w:rPr>
          <w:rFonts w:cs="Arial"/>
          <w:szCs w:val="20"/>
        </w:rPr>
        <w:t>30</w:t>
      </w:r>
      <w:r w:rsidRPr="00601751">
        <w:rPr>
          <w:rFonts w:cs="Arial"/>
          <w:szCs w:val="20"/>
        </w:rPr>
        <w:t xml:space="preserve"> de </w:t>
      </w:r>
      <w:r w:rsidRPr="00B17AA0">
        <w:rPr>
          <w:rFonts w:cs="Arial"/>
          <w:szCs w:val="20"/>
        </w:rPr>
        <w:t>octubre</w:t>
      </w:r>
      <w:r>
        <w:rPr>
          <w:rFonts w:cs="Arial"/>
          <w:szCs w:val="20"/>
        </w:rPr>
        <w:t xml:space="preserve"> de 2015</w:t>
      </w:r>
      <w:r w:rsidRPr="00601751">
        <w:rPr>
          <w:rFonts w:cs="Arial"/>
          <w:szCs w:val="20"/>
        </w:rPr>
        <w:t>, aprobó</w:t>
      </w:r>
      <w:r>
        <w:rPr>
          <w:rFonts w:cs="Arial"/>
          <w:szCs w:val="20"/>
        </w:rPr>
        <w:t xml:space="preserve"> expedir la presente resolución.</w:t>
      </w:r>
    </w:p>
    <w:p w:rsidR="0062206C" w:rsidRDefault="0062206C" w:rsidP="0062206C">
      <w:pPr>
        <w:rPr>
          <w:rFonts w:cs="Arial"/>
          <w:bCs/>
          <w:szCs w:val="20"/>
        </w:rPr>
      </w:pPr>
    </w:p>
    <w:p w:rsidR="0062206C" w:rsidRDefault="0062206C" w:rsidP="0062206C">
      <w:pPr>
        <w:rPr>
          <w:rFonts w:cs="Arial"/>
          <w:bCs/>
          <w:szCs w:val="20"/>
        </w:rPr>
      </w:pPr>
    </w:p>
    <w:p w:rsidR="0062206C" w:rsidRDefault="0062206C" w:rsidP="0062206C">
      <w:pPr>
        <w:jc w:val="center"/>
        <w:rPr>
          <w:b/>
          <w:szCs w:val="22"/>
        </w:rPr>
      </w:pPr>
      <w:r>
        <w:rPr>
          <w:b/>
          <w:szCs w:val="22"/>
        </w:rPr>
        <w:t>R E S U E L V E:</w:t>
      </w:r>
    </w:p>
    <w:p w:rsidR="0062206C" w:rsidRPr="00601751" w:rsidRDefault="0062206C" w:rsidP="0062206C">
      <w:pPr>
        <w:jc w:val="center"/>
        <w:rPr>
          <w:szCs w:val="22"/>
        </w:rPr>
      </w:pPr>
    </w:p>
    <w:p w:rsidR="0062206C" w:rsidRPr="00601751" w:rsidRDefault="0062206C" w:rsidP="0062206C">
      <w:pPr>
        <w:jc w:val="center"/>
        <w:rPr>
          <w:szCs w:val="22"/>
        </w:rPr>
      </w:pPr>
    </w:p>
    <w:p w:rsidR="0062206C" w:rsidRDefault="0062206C" w:rsidP="0062206C">
      <w:pPr>
        <w:rPr>
          <w:b/>
        </w:rPr>
      </w:pPr>
      <w:r w:rsidRPr="00173753">
        <w:rPr>
          <w:b/>
        </w:rPr>
        <w:t>Artículo 1. Objeto.</w:t>
      </w:r>
      <w:r w:rsidRPr="00601751">
        <w:t xml:space="preserve"> </w:t>
      </w:r>
      <w:r w:rsidRPr="00F93B2F">
        <w:t xml:space="preserve">En cumplimiento de los artículos 127 de la Ley 142 de 1994 y 11 del Decreto 2696 de 2004, mediante la presente resolución se pone en conocimiento de las entidades prestadoras del servicio público domiciliario de gas licuado de petróleo, GLP, de los usuarios y demás interesados, las bases sobre las cuales se efectuarán los estudios para determinar la metodología de remuneración de la actividad de transporte de gas licuado de petróleo (GLP) en </w:t>
      </w:r>
      <w:r>
        <w:t xml:space="preserve">el </w:t>
      </w:r>
      <w:r w:rsidR="00A16563">
        <w:t>archipiélago</w:t>
      </w:r>
      <w:r>
        <w:t xml:space="preserve"> de San Andrés, P</w:t>
      </w:r>
      <w:r w:rsidRPr="00F93B2F">
        <w:t>rovidencia y Santa Catalina para el siguiente periodo tarifario, y cuyo contenido se encuentra en el anexo general de la presente resolución.</w:t>
      </w:r>
    </w:p>
    <w:p w:rsidR="0062206C" w:rsidRPr="00601751" w:rsidRDefault="0062206C" w:rsidP="0062206C">
      <w:pPr>
        <w:rPr>
          <w:lang w:val="es-CO"/>
        </w:rPr>
      </w:pPr>
    </w:p>
    <w:p w:rsidR="00B17AA0" w:rsidRDefault="00B17AA0" w:rsidP="0062206C">
      <w:pPr>
        <w:rPr>
          <w:b/>
        </w:rPr>
      </w:pPr>
    </w:p>
    <w:p w:rsidR="00B17AA0" w:rsidRDefault="00B17AA0" w:rsidP="0062206C">
      <w:pPr>
        <w:rPr>
          <w:b/>
        </w:rPr>
      </w:pPr>
    </w:p>
    <w:p w:rsidR="0062206C" w:rsidRDefault="0062206C" w:rsidP="0062206C">
      <w:r w:rsidRPr="00173753">
        <w:rPr>
          <w:b/>
        </w:rPr>
        <w:t xml:space="preserve">Artículo </w:t>
      </w:r>
      <w:r>
        <w:rPr>
          <w:b/>
        </w:rPr>
        <w:t>2</w:t>
      </w:r>
      <w:r w:rsidRPr="00173753">
        <w:rPr>
          <w:b/>
        </w:rPr>
        <w:t>.</w:t>
      </w:r>
      <w:r w:rsidRPr="00173753">
        <w:rPr>
          <w:b/>
        </w:rPr>
        <w:tab/>
        <w:t>Inicio del trámite e impulso de la actuación.</w:t>
      </w:r>
      <w:r w:rsidRPr="00601751">
        <w:t xml:space="preserve"> Con la presente resolución se da inicio al trámite previsto en los </w:t>
      </w:r>
      <w:r>
        <w:t>a</w:t>
      </w:r>
      <w:r w:rsidRPr="00601751">
        <w:t xml:space="preserve">rtículos 127 de la Ley 142 de 1994 y 11 del Decreto 2696 de 2004, tendiente a aprobar la metodología para la remuneración de las actividades de distribución y comercialización minorista de GLP </w:t>
      </w:r>
      <w:r w:rsidRPr="00601751">
        <w:rPr>
          <w:rFonts w:cs="Arial"/>
          <w:szCs w:val="20"/>
          <w:lang w:val="es-CO"/>
        </w:rPr>
        <w:t>en</w:t>
      </w:r>
      <w:r>
        <w:rPr>
          <w:rFonts w:cs="Arial"/>
          <w:szCs w:val="20"/>
          <w:lang w:val="es-CO"/>
        </w:rPr>
        <w:t xml:space="preserve"> el </w:t>
      </w:r>
      <w:r w:rsidR="00A16563">
        <w:rPr>
          <w:rFonts w:cs="Arial"/>
          <w:szCs w:val="20"/>
          <w:lang w:val="es-CO"/>
        </w:rPr>
        <w:t>archipiélago</w:t>
      </w:r>
      <w:r>
        <w:rPr>
          <w:rFonts w:cs="Arial"/>
          <w:szCs w:val="20"/>
          <w:lang w:val="es-CO"/>
        </w:rPr>
        <w:t xml:space="preserve"> de San Andrés, Providencia y Santa Catalina para</w:t>
      </w:r>
      <w:r w:rsidRPr="00601751">
        <w:rPr>
          <w:rFonts w:cs="Arial"/>
          <w:szCs w:val="20"/>
          <w:lang w:val="es-CO"/>
        </w:rPr>
        <w:t xml:space="preserve"> el siguiente periodo tarifario</w:t>
      </w:r>
      <w:r w:rsidRPr="00601751">
        <w:t>.</w:t>
      </w:r>
    </w:p>
    <w:p w:rsidR="0062206C" w:rsidRDefault="0062206C" w:rsidP="0062206C"/>
    <w:p w:rsidR="0062206C" w:rsidRPr="00601751" w:rsidRDefault="0062206C" w:rsidP="0062206C">
      <w:pPr>
        <w:rPr>
          <w:b/>
        </w:rPr>
      </w:pPr>
      <w:r w:rsidRPr="00601751">
        <w:t xml:space="preserve">El Director Ejecutivo impulsará la respectiva actuación, conforme a lo establecido en </w:t>
      </w:r>
      <w:r>
        <w:t>el</w:t>
      </w:r>
      <w:r w:rsidRPr="00601751">
        <w:t xml:space="preserve"> Decreto </w:t>
      </w:r>
      <w:r>
        <w:t>1260 de 2013</w:t>
      </w:r>
      <w:r w:rsidRPr="00601751">
        <w:t>.</w:t>
      </w:r>
    </w:p>
    <w:p w:rsidR="0062206C" w:rsidRPr="00601751" w:rsidRDefault="0062206C" w:rsidP="0062206C">
      <w:pPr>
        <w:rPr>
          <w:lang w:val="es-CO"/>
        </w:rPr>
      </w:pPr>
    </w:p>
    <w:p w:rsidR="0062206C" w:rsidRPr="00601751" w:rsidRDefault="0062206C" w:rsidP="0062206C">
      <w:pPr>
        <w:rPr>
          <w:b/>
        </w:rPr>
      </w:pPr>
      <w:r w:rsidRPr="00173753">
        <w:rPr>
          <w:b/>
        </w:rPr>
        <w:t xml:space="preserve">Artículo </w:t>
      </w:r>
      <w:r>
        <w:rPr>
          <w:b/>
        </w:rPr>
        <w:t>3</w:t>
      </w:r>
      <w:r w:rsidRPr="00173753">
        <w:rPr>
          <w:b/>
        </w:rPr>
        <w:t>.</w:t>
      </w:r>
      <w:r w:rsidRPr="00173753">
        <w:rPr>
          <w:b/>
        </w:rPr>
        <w:tab/>
        <w:t>Vigencia.</w:t>
      </w:r>
      <w:r w:rsidRPr="00601751">
        <w:t xml:space="preserve"> La presente resolución rige a partir de su publicación en el </w:t>
      </w:r>
      <w:r w:rsidRPr="000909CB">
        <w:rPr>
          <w:i/>
        </w:rPr>
        <w:t>Diario Oficial</w:t>
      </w:r>
      <w:r w:rsidRPr="00601751">
        <w:t xml:space="preserve"> y no modifica ni deroga disposiciones vigentes, por tratarse de un acto de trámite.</w:t>
      </w:r>
    </w:p>
    <w:p w:rsidR="0062206C" w:rsidRPr="00601751" w:rsidRDefault="0062206C" w:rsidP="0062206C"/>
    <w:p w:rsidR="0062206C" w:rsidRDefault="0062206C" w:rsidP="0062206C">
      <w:pPr>
        <w:rPr>
          <w:lang w:val="es-CO"/>
        </w:rPr>
      </w:pPr>
    </w:p>
    <w:p w:rsidR="0062206C" w:rsidRDefault="0062206C" w:rsidP="0062206C">
      <w:pPr>
        <w:jc w:val="center"/>
        <w:rPr>
          <w:lang w:eastAsia="ar-SA"/>
        </w:rPr>
      </w:pPr>
      <w:r w:rsidRPr="006C25FC">
        <w:rPr>
          <w:rFonts w:cs="Arial"/>
          <w:b/>
        </w:rPr>
        <w:t>PUBLÍQUESE Y CÚMPLASE</w:t>
      </w: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r>
        <w:rPr>
          <w:rFonts w:cs="Arial"/>
          <w:szCs w:val="20"/>
        </w:rPr>
        <w:t>Dada en Bogotá, D.C.</w:t>
      </w: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p>
    <w:tbl>
      <w:tblPr>
        <w:tblW w:w="9640" w:type="dxa"/>
        <w:tblInd w:w="-142" w:type="dxa"/>
        <w:tblLayout w:type="fixed"/>
        <w:tblCellMar>
          <w:left w:w="0" w:type="dxa"/>
          <w:right w:w="0" w:type="dxa"/>
        </w:tblCellMar>
        <w:tblLook w:val="0000" w:firstRow="0" w:lastRow="0" w:firstColumn="0" w:lastColumn="0" w:noHBand="0" w:noVBand="0"/>
      </w:tblPr>
      <w:tblGrid>
        <w:gridCol w:w="4962"/>
        <w:gridCol w:w="4678"/>
      </w:tblGrid>
      <w:tr w:rsidR="0062206C" w:rsidRPr="000377B0" w:rsidTr="00801353">
        <w:tc>
          <w:tcPr>
            <w:tcW w:w="4962" w:type="dxa"/>
          </w:tcPr>
          <w:p w:rsidR="0062206C" w:rsidRPr="000377B0" w:rsidRDefault="0062206C" w:rsidP="00801353">
            <w:pPr>
              <w:snapToGrid w:val="0"/>
              <w:jc w:val="center"/>
              <w:rPr>
                <w:rFonts w:cs="Arial"/>
                <w:b/>
                <w:bCs/>
                <w:szCs w:val="22"/>
              </w:rPr>
            </w:pPr>
            <w:r>
              <w:rPr>
                <w:rFonts w:cs="Arial"/>
                <w:b/>
                <w:bCs/>
                <w:szCs w:val="22"/>
              </w:rPr>
              <w:t xml:space="preserve">CARLOS FERNANDO ERASO CALERO </w:t>
            </w:r>
          </w:p>
        </w:tc>
        <w:tc>
          <w:tcPr>
            <w:tcW w:w="4678" w:type="dxa"/>
          </w:tcPr>
          <w:p w:rsidR="0062206C" w:rsidRPr="000377B0" w:rsidRDefault="008C411D" w:rsidP="00801353">
            <w:pPr>
              <w:snapToGrid w:val="0"/>
              <w:jc w:val="center"/>
              <w:rPr>
                <w:rFonts w:cs="Arial"/>
                <w:b/>
                <w:bCs/>
                <w:szCs w:val="22"/>
              </w:rPr>
            </w:pPr>
            <w:r>
              <w:rPr>
                <w:rFonts w:cs="Arial"/>
                <w:b/>
                <w:bCs/>
                <w:szCs w:val="22"/>
              </w:rPr>
              <w:t xml:space="preserve">       </w:t>
            </w:r>
            <w:r w:rsidR="0062206C">
              <w:rPr>
                <w:rFonts w:cs="Arial"/>
                <w:b/>
                <w:bCs/>
                <w:szCs w:val="22"/>
              </w:rPr>
              <w:t>JORGE PINTO NOLLA</w:t>
            </w:r>
          </w:p>
        </w:tc>
      </w:tr>
      <w:tr w:rsidR="0062206C" w:rsidRPr="000377B0" w:rsidTr="00801353">
        <w:tc>
          <w:tcPr>
            <w:tcW w:w="4962" w:type="dxa"/>
          </w:tcPr>
          <w:p w:rsidR="0062206C" w:rsidRDefault="0062206C" w:rsidP="00801353">
            <w:pPr>
              <w:snapToGrid w:val="0"/>
              <w:jc w:val="center"/>
              <w:rPr>
                <w:rFonts w:cs="Arial"/>
                <w:szCs w:val="22"/>
              </w:rPr>
            </w:pPr>
            <w:r>
              <w:rPr>
                <w:rFonts w:cs="Arial"/>
                <w:szCs w:val="22"/>
              </w:rPr>
              <w:t>Viceministro de Energía</w:t>
            </w:r>
          </w:p>
          <w:p w:rsidR="00801353" w:rsidRPr="000377B0" w:rsidRDefault="00801353" w:rsidP="00801353">
            <w:pPr>
              <w:snapToGrid w:val="0"/>
              <w:jc w:val="center"/>
              <w:rPr>
                <w:rFonts w:cs="Arial"/>
                <w:szCs w:val="22"/>
              </w:rPr>
            </w:pPr>
            <w:r>
              <w:rPr>
                <w:rFonts w:cs="Arial"/>
                <w:szCs w:val="22"/>
              </w:rPr>
              <w:t>Delegado del Ministro de Minas y Energía</w:t>
            </w:r>
          </w:p>
        </w:tc>
        <w:tc>
          <w:tcPr>
            <w:tcW w:w="4678" w:type="dxa"/>
          </w:tcPr>
          <w:p w:rsidR="0062206C" w:rsidRPr="000377B0" w:rsidRDefault="008C411D" w:rsidP="00801353">
            <w:pPr>
              <w:snapToGrid w:val="0"/>
              <w:jc w:val="center"/>
              <w:rPr>
                <w:rFonts w:cs="Arial"/>
                <w:szCs w:val="22"/>
              </w:rPr>
            </w:pPr>
            <w:r>
              <w:rPr>
                <w:rFonts w:cs="Arial"/>
                <w:szCs w:val="22"/>
              </w:rPr>
              <w:t xml:space="preserve">        </w:t>
            </w:r>
            <w:r w:rsidR="0062206C" w:rsidRPr="000377B0">
              <w:rPr>
                <w:rFonts w:cs="Arial"/>
                <w:szCs w:val="22"/>
              </w:rPr>
              <w:t>Director Ejecutivo</w:t>
            </w:r>
          </w:p>
        </w:tc>
      </w:tr>
      <w:tr w:rsidR="0062206C" w:rsidRPr="000377B0" w:rsidTr="00801353">
        <w:tc>
          <w:tcPr>
            <w:tcW w:w="4962" w:type="dxa"/>
          </w:tcPr>
          <w:p w:rsidR="0062206C" w:rsidRPr="000377B0" w:rsidRDefault="0062206C" w:rsidP="00801353">
            <w:pPr>
              <w:snapToGrid w:val="0"/>
              <w:jc w:val="center"/>
              <w:rPr>
                <w:rFonts w:cs="Arial"/>
                <w:szCs w:val="22"/>
              </w:rPr>
            </w:pPr>
            <w:r w:rsidRPr="000377B0">
              <w:rPr>
                <w:rFonts w:cs="Arial"/>
                <w:szCs w:val="22"/>
              </w:rPr>
              <w:t>Presidente</w:t>
            </w:r>
          </w:p>
        </w:tc>
        <w:tc>
          <w:tcPr>
            <w:tcW w:w="4678" w:type="dxa"/>
          </w:tcPr>
          <w:p w:rsidR="0062206C" w:rsidRPr="000377B0" w:rsidRDefault="0062206C" w:rsidP="00801353">
            <w:pPr>
              <w:snapToGrid w:val="0"/>
              <w:rPr>
                <w:rFonts w:cs="Arial"/>
                <w:szCs w:val="22"/>
              </w:rPr>
            </w:pPr>
          </w:p>
        </w:tc>
      </w:tr>
    </w:tbl>
    <w:p w:rsidR="0062206C" w:rsidRDefault="0062206C" w:rsidP="0062206C">
      <w:pPr>
        <w:rPr>
          <w:rFonts w:cs="Arial"/>
          <w:szCs w:val="20"/>
        </w:rPr>
      </w:pPr>
    </w:p>
    <w:p w:rsidR="0062206C" w:rsidRDefault="0062206C" w:rsidP="0062206C">
      <w:pPr>
        <w:rPr>
          <w:rFonts w:cs="Arial"/>
          <w:szCs w:val="20"/>
        </w:rPr>
      </w:pPr>
    </w:p>
    <w:p w:rsidR="0062206C" w:rsidRDefault="0062206C" w:rsidP="0062206C">
      <w:pPr>
        <w:rPr>
          <w:rFonts w:cs="Arial"/>
          <w:szCs w:val="20"/>
        </w:rPr>
      </w:pPr>
    </w:p>
    <w:tbl>
      <w:tblPr>
        <w:tblW w:w="0" w:type="auto"/>
        <w:jc w:val="center"/>
        <w:tblInd w:w="-1316" w:type="dxa"/>
        <w:tblLayout w:type="fixed"/>
        <w:tblCellMar>
          <w:left w:w="70" w:type="dxa"/>
          <w:right w:w="70" w:type="dxa"/>
        </w:tblCellMar>
        <w:tblLook w:val="0000" w:firstRow="0" w:lastRow="0" w:firstColumn="0" w:lastColumn="0" w:noHBand="0" w:noVBand="0"/>
      </w:tblPr>
      <w:tblGrid>
        <w:gridCol w:w="4491"/>
        <w:gridCol w:w="4491"/>
      </w:tblGrid>
      <w:tr w:rsidR="0062206C" w:rsidTr="00801353">
        <w:trPr>
          <w:jc w:val="center"/>
        </w:trPr>
        <w:tc>
          <w:tcPr>
            <w:tcW w:w="4491" w:type="dxa"/>
          </w:tcPr>
          <w:p w:rsidR="0062206C" w:rsidRDefault="0062206C" w:rsidP="00801353">
            <w:pPr>
              <w:snapToGrid w:val="0"/>
              <w:ind w:firstLine="27"/>
              <w:jc w:val="center"/>
              <w:rPr>
                <w:rFonts w:cs="Arial"/>
                <w:spacing w:val="-3"/>
                <w:szCs w:val="20"/>
              </w:rPr>
            </w:pPr>
          </w:p>
        </w:tc>
        <w:tc>
          <w:tcPr>
            <w:tcW w:w="4491" w:type="dxa"/>
          </w:tcPr>
          <w:p w:rsidR="0062206C" w:rsidRDefault="0062206C" w:rsidP="00801353">
            <w:pPr>
              <w:tabs>
                <w:tab w:val="left" w:pos="-720"/>
              </w:tabs>
              <w:snapToGrid w:val="0"/>
              <w:jc w:val="center"/>
              <w:rPr>
                <w:rFonts w:cs="Arial"/>
                <w:spacing w:val="-3"/>
                <w:szCs w:val="20"/>
              </w:rPr>
            </w:pPr>
          </w:p>
        </w:tc>
      </w:tr>
    </w:tbl>
    <w:p w:rsidR="0062206C" w:rsidRDefault="0062206C" w:rsidP="0062206C">
      <w:pPr>
        <w:suppressAutoHyphens/>
        <w:ind w:right="51"/>
        <w:rPr>
          <w:rFonts w:cs="Arial"/>
          <w:b/>
          <w:color w:val="000000"/>
        </w:rPr>
      </w:pPr>
    </w:p>
    <w:p w:rsidR="0062206C" w:rsidRDefault="0062206C" w:rsidP="0062206C">
      <w:pPr>
        <w:suppressAutoHyphens/>
        <w:ind w:right="51"/>
        <w:rPr>
          <w:rFonts w:cs="Arial"/>
          <w:b/>
          <w:color w:val="000000"/>
        </w:rPr>
      </w:pPr>
    </w:p>
    <w:p w:rsidR="0062206C" w:rsidRDefault="0062206C" w:rsidP="0062206C">
      <w:pPr>
        <w:jc w:val="left"/>
        <w:rPr>
          <w:b/>
        </w:rPr>
      </w:pPr>
      <w:r>
        <w:rPr>
          <w:b/>
        </w:rPr>
        <w:br w:type="page"/>
      </w:r>
    </w:p>
    <w:p w:rsidR="0062206C" w:rsidRDefault="0062206C" w:rsidP="0062206C">
      <w:pPr>
        <w:jc w:val="center"/>
        <w:rPr>
          <w:b/>
        </w:rPr>
      </w:pPr>
    </w:p>
    <w:p w:rsidR="0062206C" w:rsidRDefault="0062206C" w:rsidP="0062206C">
      <w:pPr>
        <w:jc w:val="center"/>
        <w:rPr>
          <w:b/>
        </w:rPr>
      </w:pPr>
    </w:p>
    <w:p w:rsidR="0062206C" w:rsidRPr="00173753" w:rsidRDefault="0062206C" w:rsidP="0062206C">
      <w:pPr>
        <w:jc w:val="center"/>
        <w:rPr>
          <w:b/>
        </w:rPr>
      </w:pPr>
      <w:r w:rsidRPr="00173753">
        <w:rPr>
          <w:b/>
        </w:rPr>
        <w:t>ANEXO GENERAL</w:t>
      </w:r>
    </w:p>
    <w:p w:rsidR="0062206C" w:rsidRDefault="0062206C" w:rsidP="0062206C">
      <w:pPr>
        <w:suppressAutoHyphens/>
        <w:ind w:right="51"/>
        <w:jc w:val="center"/>
        <w:rPr>
          <w:b/>
        </w:rPr>
      </w:pPr>
    </w:p>
    <w:p w:rsidR="0062206C" w:rsidRDefault="0062206C" w:rsidP="003D5009">
      <w:pPr>
        <w:suppressAutoHyphens/>
        <w:spacing w:line="276" w:lineRule="auto"/>
        <w:ind w:right="51"/>
        <w:jc w:val="center"/>
        <w:rPr>
          <w:b/>
        </w:rPr>
      </w:pPr>
    </w:p>
    <w:p w:rsidR="0062206C" w:rsidRDefault="0062206C" w:rsidP="003D5009">
      <w:pPr>
        <w:pStyle w:val="TDC2"/>
        <w:spacing w:line="276" w:lineRule="auto"/>
        <w:rPr>
          <w:rFonts w:asciiTheme="minorHAnsi" w:eastAsiaTheme="minorEastAsia" w:hAnsiTheme="minorHAnsi" w:cstheme="minorBidi"/>
          <w:b w:val="0"/>
          <w:noProof/>
          <w:sz w:val="22"/>
          <w:szCs w:val="22"/>
          <w:lang w:val="es-CO" w:eastAsia="es-CO"/>
        </w:rPr>
      </w:pPr>
      <w:r>
        <w:rPr>
          <w:b w:val="0"/>
        </w:rPr>
        <w:fldChar w:fldCharType="begin"/>
      </w:r>
      <w:r>
        <w:rPr>
          <w:b w:val="0"/>
        </w:rPr>
        <w:instrText xml:space="preserve"> TOC \o "1-3" \h \z \u </w:instrText>
      </w:r>
      <w:r>
        <w:rPr>
          <w:b w:val="0"/>
        </w:rPr>
        <w:fldChar w:fldCharType="separate"/>
      </w:r>
      <w:hyperlink w:anchor="_Toc434593405" w:history="1">
        <w:r w:rsidRPr="00462CDC">
          <w:rPr>
            <w:rStyle w:val="Hipervnculo"/>
            <w:noProof/>
          </w:rPr>
          <w:t>1.</w:t>
        </w:r>
        <w:r>
          <w:rPr>
            <w:rFonts w:asciiTheme="minorHAnsi" w:eastAsiaTheme="minorEastAsia" w:hAnsiTheme="minorHAnsi" w:cstheme="minorBidi"/>
            <w:b w:val="0"/>
            <w:noProof/>
            <w:sz w:val="22"/>
            <w:szCs w:val="22"/>
            <w:lang w:val="es-CO" w:eastAsia="es-CO"/>
          </w:rPr>
          <w:tab/>
        </w:r>
        <w:r w:rsidRPr="00462CDC">
          <w:rPr>
            <w:rStyle w:val="Hipervnculo"/>
            <w:noProof/>
          </w:rPr>
          <w:t>OBJETIVO</w:t>
        </w:r>
        <w:r>
          <w:rPr>
            <w:noProof/>
            <w:webHidden/>
          </w:rPr>
          <w:tab/>
        </w:r>
        <w:r>
          <w:rPr>
            <w:noProof/>
            <w:webHidden/>
          </w:rPr>
          <w:fldChar w:fldCharType="begin"/>
        </w:r>
        <w:r>
          <w:rPr>
            <w:noProof/>
            <w:webHidden/>
          </w:rPr>
          <w:instrText xml:space="preserve"> PAGEREF _Toc434593405 \h </w:instrText>
        </w:r>
        <w:r>
          <w:rPr>
            <w:noProof/>
            <w:webHidden/>
          </w:rPr>
        </w:r>
        <w:r>
          <w:rPr>
            <w:noProof/>
            <w:webHidden/>
          </w:rPr>
          <w:fldChar w:fldCharType="separate"/>
        </w:r>
        <w:r w:rsidR="00FC7564">
          <w:rPr>
            <w:noProof/>
            <w:webHidden/>
          </w:rPr>
          <w:t>6</w:t>
        </w:r>
        <w:r>
          <w:rPr>
            <w:noProof/>
            <w:webHidden/>
          </w:rPr>
          <w:fldChar w:fldCharType="end"/>
        </w:r>
      </w:hyperlink>
    </w:p>
    <w:p w:rsidR="0062206C" w:rsidRDefault="008244EC" w:rsidP="003D5009">
      <w:pPr>
        <w:pStyle w:val="TDC2"/>
        <w:spacing w:line="276" w:lineRule="auto"/>
        <w:rPr>
          <w:rFonts w:asciiTheme="minorHAnsi" w:eastAsiaTheme="minorEastAsia" w:hAnsiTheme="minorHAnsi" w:cstheme="minorBidi"/>
          <w:b w:val="0"/>
          <w:noProof/>
          <w:sz w:val="22"/>
          <w:szCs w:val="22"/>
          <w:lang w:val="es-CO" w:eastAsia="es-CO"/>
        </w:rPr>
      </w:pPr>
      <w:hyperlink w:anchor="_Toc434593406" w:history="1">
        <w:r w:rsidR="0062206C" w:rsidRPr="00462CDC">
          <w:rPr>
            <w:rStyle w:val="Hipervnculo"/>
            <w:noProof/>
          </w:rPr>
          <w:t>2.</w:t>
        </w:r>
        <w:r w:rsidR="0062206C">
          <w:rPr>
            <w:rFonts w:asciiTheme="minorHAnsi" w:eastAsiaTheme="minorEastAsia" w:hAnsiTheme="minorHAnsi" w:cstheme="minorBidi"/>
            <w:b w:val="0"/>
            <w:noProof/>
            <w:sz w:val="22"/>
            <w:szCs w:val="22"/>
            <w:lang w:val="es-CO" w:eastAsia="es-CO"/>
          </w:rPr>
          <w:tab/>
        </w:r>
        <w:r w:rsidR="0062206C" w:rsidRPr="00462CDC">
          <w:rPr>
            <w:rStyle w:val="Hipervnculo"/>
            <w:noProof/>
          </w:rPr>
          <w:t>ANTECEDENTES</w:t>
        </w:r>
        <w:r w:rsidR="0062206C">
          <w:rPr>
            <w:noProof/>
            <w:webHidden/>
          </w:rPr>
          <w:tab/>
        </w:r>
        <w:r w:rsidR="0062206C">
          <w:rPr>
            <w:noProof/>
            <w:webHidden/>
          </w:rPr>
          <w:fldChar w:fldCharType="begin"/>
        </w:r>
        <w:r w:rsidR="0062206C">
          <w:rPr>
            <w:noProof/>
            <w:webHidden/>
          </w:rPr>
          <w:instrText xml:space="preserve"> PAGEREF _Toc434593406 \h </w:instrText>
        </w:r>
        <w:r w:rsidR="0062206C">
          <w:rPr>
            <w:noProof/>
            <w:webHidden/>
          </w:rPr>
        </w:r>
        <w:r w:rsidR="0062206C">
          <w:rPr>
            <w:noProof/>
            <w:webHidden/>
          </w:rPr>
          <w:fldChar w:fldCharType="separate"/>
        </w:r>
        <w:r w:rsidR="00FC7564">
          <w:rPr>
            <w:noProof/>
            <w:webHidden/>
          </w:rPr>
          <w:t>7</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07" w:history="1">
        <w:r w:rsidR="0062206C" w:rsidRPr="00462CDC">
          <w:rPr>
            <w:rStyle w:val="Hipervnculo"/>
            <w:noProof/>
          </w:rPr>
          <w:t>2.1.</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Remuneración de la actividad de transporte</w:t>
        </w:r>
        <w:r w:rsidR="0062206C">
          <w:rPr>
            <w:noProof/>
            <w:webHidden/>
          </w:rPr>
          <w:tab/>
        </w:r>
        <w:r w:rsidR="0062206C">
          <w:rPr>
            <w:noProof/>
            <w:webHidden/>
          </w:rPr>
          <w:fldChar w:fldCharType="begin"/>
        </w:r>
        <w:r w:rsidR="0062206C">
          <w:rPr>
            <w:noProof/>
            <w:webHidden/>
          </w:rPr>
          <w:instrText xml:space="preserve"> PAGEREF _Toc434593407 \h </w:instrText>
        </w:r>
        <w:r w:rsidR="0062206C">
          <w:rPr>
            <w:noProof/>
            <w:webHidden/>
          </w:rPr>
        </w:r>
        <w:r w:rsidR="0062206C">
          <w:rPr>
            <w:noProof/>
            <w:webHidden/>
          </w:rPr>
          <w:fldChar w:fldCharType="separate"/>
        </w:r>
        <w:r w:rsidR="00FC7564">
          <w:rPr>
            <w:noProof/>
            <w:webHidden/>
          </w:rPr>
          <w:t>7</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08" w:history="1">
        <w:r w:rsidR="0062206C" w:rsidRPr="00462CDC">
          <w:rPr>
            <w:rStyle w:val="Hipervnculo"/>
            <w:noProof/>
          </w:rPr>
          <w:t>2.2.</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Evolución de la tarifa en las islas.</w:t>
        </w:r>
        <w:r w:rsidR="0062206C">
          <w:rPr>
            <w:noProof/>
            <w:webHidden/>
          </w:rPr>
          <w:tab/>
        </w:r>
        <w:r w:rsidR="0062206C">
          <w:rPr>
            <w:noProof/>
            <w:webHidden/>
          </w:rPr>
          <w:fldChar w:fldCharType="begin"/>
        </w:r>
        <w:r w:rsidR="0062206C">
          <w:rPr>
            <w:noProof/>
            <w:webHidden/>
          </w:rPr>
          <w:instrText xml:space="preserve"> PAGEREF _Toc434593408 \h </w:instrText>
        </w:r>
        <w:r w:rsidR="0062206C">
          <w:rPr>
            <w:noProof/>
            <w:webHidden/>
          </w:rPr>
        </w:r>
        <w:r w:rsidR="0062206C">
          <w:rPr>
            <w:noProof/>
            <w:webHidden/>
          </w:rPr>
          <w:fldChar w:fldCharType="separate"/>
        </w:r>
        <w:r w:rsidR="00FC7564">
          <w:rPr>
            <w:noProof/>
            <w:webHidden/>
          </w:rPr>
          <w:t>10</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09" w:history="1">
        <w:r w:rsidR="0062206C" w:rsidRPr="00462CDC">
          <w:rPr>
            <w:rStyle w:val="Hipervnculo"/>
            <w:noProof/>
          </w:rPr>
          <w:t>2.3.</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Comportamiento de la demanda de GLP en las islas</w:t>
        </w:r>
        <w:r w:rsidR="0062206C">
          <w:rPr>
            <w:noProof/>
            <w:webHidden/>
          </w:rPr>
          <w:tab/>
        </w:r>
        <w:r w:rsidR="0062206C">
          <w:rPr>
            <w:noProof/>
            <w:webHidden/>
          </w:rPr>
          <w:fldChar w:fldCharType="begin"/>
        </w:r>
        <w:r w:rsidR="0062206C">
          <w:rPr>
            <w:noProof/>
            <w:webHidden/>
          </w:rPr>
          <w:instrText xml:space="preserve"> PAGEREF _Toc434593409 \h </w:instrText>
        </w:r>
        <w:r w:rsidR="0062206C">
          <w:rPr>
            <w:noProof/>
            <w:webHidden/>
          </w:rPr>
        </w:r>
        <w:r w:rsidR="0062206C">
          <w:rPr>
            <w:noProof/>
            <w:webHidden/>
          </w:rPr>
          <w:fldChar w:fldCharType="separate"/>
        </w:r>
        <w:r w:rsidR="00FC7564">
          <w:rPr>
            <w:noProof/>
            <w:webHidden/>
          </w:rPr>
          <w:t>10</w:t>
        </w:r>
        <w:r w:rsidR="0062206C">
          <w:rPr>
            <w:noProof/>
            <w:webHidden/>
          </w:rPr>
          <w:fldChar w:fldCharType="end"/>
        </w:r>
      </w:hyperlink>
    </w:p>
    <w:p w:rsidR="0062206C" w:rsidRDefault="008244EC" w:rsidP="003D5009">
      <w:pPr>
        <w:pStyle w:val="TDC2"/>
        <w:spacing w:line="276" w:lineRule="auto"/>
        <w:rPr>
          <w:rFonts w:asciiTheme="minorHAnsi" w:eastAsiaTheme="minorEastAsia" w:hAnsiTheme="minorHAnsi" w:cstheme="minorBidi"/>
          <w:b w:val="0"/>
          <w:noProof/>
          <w:sz w:val="22"/>
          <w:szCs w:val="22"/>
          <w:lang w:val="es-CO" w:eastAsia="es-CO"/>
        </w:rPr>
      </w:pPr>
      <w:hyperlink w:anchor="_Toc434593410" w:history="1">
        <w:r w:rsidR="0062206C" w:rsidRPr="00462CDC">
          <w:rPr>
            <w:rStyle w:val="Hipervnculo"/>
            <w:noProof/>
          </w:rPr>
          <w:t>3.</w:t>
        </w:r>
        <w:r w:rsidR="0062206C">
          <w:rPr>
            <w:rFonts w:asciiTheme="minorHAnsi" w:eastAsiaTheme="minorEastAsia" w:hAnsiTheme="minorHAnsi" w:cstheme="minorBidi"/>
            <w:b w:val="0"/>
            <w:noProof/>
            <w:sz w:val="22"/>
            <w:szCs w:val="22"/>
            <w:lang w:val="es-CO" w:eastAsia="es-CO"/>
          </w:rPr>
          <w:tab/>
        </w:r>
        <w:r w:rsidR="0062206C" w:rsidRPr="00462CDC">
          <w:rPr>
            <w:rStyle w:val="Hipervnculo"/>
            <w:noProof/>
          </w:rPr>
          <w:t>REGULACIÓN VIGENTE</w:t>
        </w:r>
        <w:r w:rsidR="0062206C">
          <w:rPr>
            <w:noProof/>
            <w:webHidden/>
          </w:rPr>
          <w:tab/>
        </w:r>
        <w:r w:rsidR="0062206C">
          <w:rPr>
            <w:noProof/>
            <w:webHidden/>
          </w:rPr>
          <w:fldChar w:fldCharType="begin"/>
        </w:r>
        <w:r w:rsidR="0062206C">
          <w:rPr>
            <w:noProof/>
            <w:webHidden/>
          </w:rPr>
          <w:instrText xml:space="preserve"> PAGEREF _Toc434593410 \h </w:instrText>
        </w:r>
        <w:r w:rsidR="0062206C">
          <w:rPr>
            <w:noProof/>
            <w:webHidden/>
          </w:rPr>
        </w:r>
        <w:r w:rsidR="0062206C">
          <w:rPr>
            <w:noProof/>
            <w:webHidden/>
          </w:rPr>
          <w:fldChar w:fldCharType="separate"/>
        </w:r>
        <w:r w:rsidR="00FC7564">
          <w:rPr>
            <w:noProof/>
            <w:webHidden/>
          </w:rPr>
          <w:t>13</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1" w:history="1">
        <w:r w:rsidR="0062206C" w:rsidRPr="00462CDC">
          <w:rPr>
            <w:rStyle w:val="Hipervnculo"/>
            <w:noProof/>
          </w:rPr>
          <w:t>3.1.</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Marco Constitucional y Legal Aplicable</w:t>
        </w:r>
        <w:r w:rsidR="0062206C">
          <w:rPr>
            <w:noProof/>
            <w:webHidden/>
          </w:rPr>
          <w:tab/>
        </w:r>
        <w:r w:rsidR="0062206C">
          <w:rPr>
            <w:noProof/>
            <w:webHidden/>
          </w:rPr>
          <w:fldChar w:fldCharType="begin"/>
        </w:r>
        <w:r w:rsidR="0062206C">
          <w:rPr>
            <w:noProof/>
            <w:webHidden/>
          </w:rPr>
          <w:instrText xml:space="preserve"> PAGEREF _Toc434593411 \h </w:instrText>
        </w:r>
        <w:r w:rsidR="0062206C">
          <w:rPr>
            <w:noProof/>
            <w:webHidden/>
          </w:rPr>
        </w:r>
        <w:r w:rsidR="0062206C">
          <w:rPr>
            <w:noProof/>
            <w:webHidden/>
          </w:rPr>
          <w:fldChar w:fldCharType="separate"/>
        </w:r>
        <w:r w:rsidR="00FC7564">
          <w:rPr>
            <w:noProof/>
            <w:webHidden/>
          </w:rPr>
          <w:t>13</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2" w:history="1">
        <w:r w:rsidR="0062206C" w:rsidRPr="00462CDC">
          <w:rPr>
            <w:rStyle w:val="Hipervnculo"/>
            <w:noProof/>
          </w:rPr>
          <w:t>3.2.</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Vigencia del Régimen Tarifario – Alcance del Artículo 126 de la Ley 142 De 1994</w:t>
        </w:r>
        <w:r w:rsidR="0062206C">
          <w:rPr>
            <w:noProof/>
            <w:webHidden/>
          </w:rPr>
          <w:tab/>
        </w:r>
        <w:r w:rsidR="0062206C">
          <w:rPr>
            <w:noProof/>
            <w:webHidden/>
          </w:rPr>
          <w:fldChar w:fldCharType="begin"/>
        </w:r>
        <w:r w:rsidR="0062206C">
          <w:rPr>
            <w:noProof/>
            <w:webHidden/>
          </w:rPr>
          <w:instrText xml:space="preserve"> PAGEREF _Toc434593412 \h </w:instrText>
        </w:r>
        <w:r w:rsidR="0062206C">
          <w:rPr>
            <w:noProof/>
            <w:webHidden/>
          </w:rPr>
        </w:r>
        <w:r w:rsidR="0062206C">
          <w:rPr>
            <w:noProof/>
            <w:webHidden/>
          </w:rPr>
          <w:fldChar w:fldCharType="separate"/>
        </w:r>
        <w:r w:rsidR="00FC7564">
          <w:rPr>
            <w:noProof/>
            <w:webHidden/>
          </w:rPr>
          <w:t>14</w:t>
        </w:r>
        <w:r w:rsidR="0062206C">
          <w:rPr>
            <w:noProof/>
            <w:webHidden/>
          </w:rPr>
          <w:fldChar w:fldCharType="end"/>
        </w:r>
      </w:hyperlink>
    </w:p>
    <w:p w:rsidR="0062206C" w:rsidRDefault="008244EC" w:rsidP="003D5009">
      <w:pPr>
        <w:pStyle w:val="TDC2"/>
        <w:spacing w:line="276" w:lineRule="auto"/>
        <w:rPr>
          <w:rFonts w:asciiTheme="minorHAnsi" w:eastAsiaTheme="minorEastAsia" w:hAnsiTheme="minorHAnsi" w:cstheme="minorBidi"/>
          <w:b w:val="0"/>
          <w:noProof/>
          <w:sz w:val="22"/>
          <w:szCs w:val="22"/>
          <w:lang w:val="es-CO" w:eastAsia="es-CO"/>
        </w:rPr>
      </w:pPr>
      <w:hyperlink w:anchor="_Toc434593413" w:history="1">
        <w:r w:rsidR="0062206C" w:rsidRPr="00462CDC">
          <w:rPr>
            <w:rStyle w:val="Hipervnculo"/>
            <w:noProof/>
          </w:rPr>
          <w:t>4.</w:t>
        </w:r>
        <w:r w:rsidR="0062206C">
          <w:rPr>
            <w:rFonts w:asciiTheme="minorHAnsi" w:eastAsiaTheme="minorEastAsia" w:hAnsiTheme="minorHAnsi" w:cstheme="minorBidi"/>
            <w:b w:val="0"/>
            <w:noProof/>
            <w:sz w:val="22"/>
            <w:szCs w:val="22"/>
            <w:lang w:val="es-CO" w:eastAsia="es-CO"/>
          </w:rPr>
          <w:tab/>
        </w:r>
        <w:r w:rsidR="0062206C" w:rsidRPr="00462CDC">
          <w:rPr>
            <w:rStyle w:val="Hipervnculo"/>
            <w:noProof/>
          </w:rPr>
          <w:t>ASPECTOS A ESTUDIAR</w:t>
        </w:r>
        <w:r w:rsidR="0062206C">
          <w:rPr>
            <w:noProof/>
            <w:webHidden/>
          </w:rPr>
          <w:tab/>
        </w:r>
        <w:r w:rsidR="0062206C">
          <w:rPr>
            <w:noProof/>
            <w:webHidden/>
          </w:rPr>
          <w:fldChar w:fldCharType="begin"/>
        </w:r>
        <w:r w:rsidR="0062206C">
          <w:rPr>
            <w:noProof/>
            <w:webHidden/>
          </w:rPr>
          <w:instrText xml:space="preserve"> PAGEREF _Toc434593413 \h </w:instrText>
        </w:r>
        <w:r w:rsidR="0062206C">
          <w:rPr>
            <w:noProof/>
            <w:webHidden/>
          </w:rPr>
        </w:r>
        <w:r w:rsidR="0062206C">
          <w:rPr>
            <w:noProof/>
            <w:webHidden/>
          </w:rPr>
          <w:fldChar w:fldCharType="separate"/>
        </w:r>
        <w:r w:rsidR="00FC7564">
          <w:rPr>
            <w:noProof/>
            <w:webHidden/>
          </w:rPr>
          <w:t>15</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4" w:history="1">
        <w:r w:rsidR="0062206C" w:rsidRPr="00462CDC">
          <w:rPr>
            <w:rStyle w:val="Hipervnculo"/>
            <w:noProof/>
          </w:rPr>
          <w:t>4.1.</w:t>
        </w:r>
        <w:r w:rsidR="0062206C">
          <w:rPr>
            <w:rFonts w:asciiTheme="minorHAnsi" w:eastAsiaTheme="minorEastAsia" w:hAnsiTheme="minorHAnsi" w:cstheme="minorBidi"/>
            <w:noProof/>
            <w:sz w:val="22"/>
            <w:szCs w:val="22"/>
            <w:lang w:val="es-CO" w:eastAsia="es-CO"/>
          </w:rPr>
          <w:tab/>
        </w:r>
        <w:r w:rsidR="00A16563">
          <w:rPr>
            <w:rStyle w:val="Hipervnculo"/>
            <w:noProof/>
          </w:rPr>
          <w:t>Mercados o</w:t>
        </w:r>
        <w:r w:rsidR="0062206C" w:rsidRPr="00462CDC">
          <w:rPr>
            <w:rStyle w:val="Hipervnculo"/>
            <w:noProof/>
          </w:rPr>
          <w:t>rigen</w:t>
        </w:r>
        <w:r w:rsidR="0062206C">
          <w:rPr>
            <w:noProof/>
            <w:webHidden/>
          </w:rPr>
          <w:tab/>
        </w:r>
        <w:r w:rsidR="0062206C">
          <w:rPr>
            <w:noProof/>
            <w:webHidden/>
          </w:rPr>
          <w:fldChar w:fldCharType="begin"/>
        </w:r>
        <w:r w:rsidR="0062206C">
          <w:rPr>
            <w:noProof/>
            <w:webHidden/>
          </w:rPr>
          <w:instrText xml:space="preserve"> PAGEREF _Toc434593414 \h </w:instrText>
        </w:r>
        <w:r w:rsidR="0062206C">
          <w:rPr>
            <w:noProof/>
            <w:webHidden/>
          </w:rPr>
        </w:r>
        <w:r w:rsidR="0062206C">
          <w:rPr>
            <w:noProof/>
            <w:webHidden/>
          </w:rPr>
          <w:fldChar w:fldCharType="separate"/>
        </w:r>
        <w:r w:rsidR="00FC7564">
          <w:rPr>
            <w:noProof/>
            <w:webHidden/>
          </w:rPr>
          <w:t>15</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5" w:history="1">
        <w:r w:rsidR="0062206C" w:rsidRPr="00462CDC">
          <w:rPr>
            <w:rStyle w:val="Hipervnculo"/>
            <w:noProof/>
          </w:rPr>
          <w:t>4.2.</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Revisión estampilla a transporte por ductos</w:t>
        </w:r>
        <w:r w:rsidR="0062206C">
          <w:rPr>
            <w:noProof/>
            <w:webHidden/>
          </w:rPr>
          <w:tab/>
        </w:r>
        <w:r w:rsidR="0062206C">
          <w:rPr>
            <w:noProof/>
            <w:webHidden/>
          </w:rPr>
          <w:fldChar w:fldCharType="begin"/>
        </w:r>
        <w:r w:rsidR="0062206C">
          <w:rPr>
            <w:noProof/>
            <w:webHidden/>
          </w:rPr>
          <w:instrText xml:space="preserve"> PAGEREF _Toc434593415 \h </w:instrText>
        </w:r>
        <w:r w:rsidR="0062206C">
          <w:rPr>
            <w:noProof/>
            <w:webHidden/>
          </w:rPr>
        </w:r>
        <w:r w:rsidR="0062206C">
          <w:rPr>
            <w:noProof/>
            <w:webHidden/>
          </w:rPr>
          <w:fldChar w:fldCharType="separate"/>
        </w:r>
        <w:r w:rsidR="00FC7564">
          <w:rPr>
            <w:noProof/>
            <w:webHidden/>
          </w:rPr>
          <w:t>16</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6" w:history="1">
        <w:r w:rsidR="0062206C" w:rsidRPr="00462CDC">
          <w:rPr>
            <w:rStyle w:val="Hipervnculo"/>
            <w:noProof/>
          </w:rPr>
          <w:t>4.3.</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Remuneración inversión y AOM</w:t>
        </w:r>
        <w:r w:rsidR="0062206C">
          <w:rPr>
            <w:noProof/>
            <w:webHidden/>
          </w:rPr>
          <w:tab/>
        </w:r>
        <w:r w:rsidR="0062206C">
          <w:rPr>
            <w:noProof/>
            <w:webHidden/>
          </w:rPr>
          <w:fldChar w:fldCharType="begin"/>
        </w:r>
        <w:r w:rsidR="0062206C">
          <w:rPr>
            <w:noProof/>
            <w:webHidden/>
          </w:rPr>
          <w:instrText xml:space="preserve"> PAGEREF _Toc434593416 \h </w:instrText>
        </w:r>
        <w:r w:rsidR="0062206C">
          <w:rPr>
            <w:noProof/>
            <w:webHidden/>
          </w:rPr>
        </w:r>
        <w:r w:rsidR="0062206C">
          <w:rPr>
            <w:noProof/>
            <w:webHidden/>
          </w:rPr>
          <w:fldChar w:fldCharType="separate"/>
        </w:r>
        <w:r w:rsidR="00FC7564">
          <w:rPr>
            <w:noProof/>
            <w:webHidden/>
          </w:rPr>
          <w:t>17</w:t>
        </w:r>
        <w:r w:rsidR="0062206C">
          <w:rPr>
            <w:noProof/>
            <w:webHidden/>
          </w:rPr>
          <w:fldChar w:fldCharType="end"/>
        </w:r>
      </w:hyperlink>
    </w:p>
    <w:p w:rsidR="0062206C" w:rsidRDefault="008244EC" w:rsidP="003D5009">
      <w:pPr>
        <w:pStyle w:val="TDC3"/>
        <w:spacing w:line="276" w:lineRule="auto"/>
        <w:rPr>
          <w:rFonts w:asciiTheme="minorHAnsi" w:eastAsiaTheme="minorEastAsia" w:hAnsiTheme="minorHAnsi" w:cstheme="minorBidi"/>
          <w:noProof/>
          <w:sz w:val="22"/>
          <w:szCs w:val="22"/>
          <w:lang w:val="es-CO" w:eastAsia="es-CO"/>
        </w:rPr>
      </w:pPr>
      <w:hyperlink w:anchor="_Toc434593417" w:history="1">
        <w:r w:rsidR="0062206C" w:rsidRPr="00462CDC">
          <w:rPr>
            <w:rStyle w:val="Hipervnculo"/>
            <w:noProof/>
          </w:rPr>
          <w:t>4.4.</w:t>
        </w:r>
        <w:r w:rsidR="0062206C">
          <w:rPr>
            <w:rFonts w:asciiTheme="minorHAnsi" w:eastAsiaTheme="minorEastAsia" w:hAnsiTheme="minorHAnsi" w:cstheme="minorBidi"/>
            <w:noProof/>
            <w:sz w:val="22"/>
            <w:szCs w:val="22"/>
            <w:lang w:val="es-CO" w:eastAsia="es-CO"/>
          </w:rPr>
          <w:tab/>
        </w:r>
        <w:r w:rsidR="0062206C" w:rsidRPr="00462CDC">
          <w:rPr>
            <w:rStyle w:val="Hipervnculo"/>
            <w:noProof/>
          </w:rPr>
          <w:t>Flete a Providencia</w:t>
        </w:r>
        <w:r w:rsidR="0062206C">
          <w:rPr>
            <w:noProof/>
            <w:webHidden/>
          </w:rPr>
          <w:tab/>
        </w:r>
        <w:r w:rsidR="0062206C">
          <w:rPr>
            <w:noProof/>
            <w:webHidden/>
          </w:rPr>
          <w:fldChar w:fldCharType="begin"/>
        </w:r>
        <w:r w:rsidR="0062206C">
          <w:rPr>
            <w:noProof/>
            <w:webHidden/>
          </w:rPr>
          <w:instrText xml:space="preserve"> PAGEREF _Toc434593417 \h </w:instrText>
        </w:r>
        <w:r w:rsidR="0062206C">
          <w:rPr>
            <w:noProof/>
            <w:webHidden/>
          </w:rPr>
        </w:r>
        <w:r w:rsidR="0062206C">
          <w:rPr>
            <w:noProof/>
            <w:webHidden/>
          </w:rPr>
          <w:fldChar w:fldCharType="separate"/>
        </w:r>
        <w:r w:rsidR="00FC7564">
          <w:rPr>
            <w:noProof/>
            <w:webHidden/>
          </w:rPr>
          <w:t>17</w:t>
        </w:r>
        <w:r w:rsidR="0062206C">
          <w:rPr>
            <w:noProof/>
            <w:webHidden/>
          </w:rPr>
          <w:fldChar w:fldCharType="end"/>
        </w:r>
      </w:hyperlink>
    </w:p>
    <w:p w:rsidR="0062206C" w:rsidRDefault="008244EC" w:rsidP="003D5009">
      <w:pPr>
        <w:pStyle w:val="TDC2"/>
        <w:spacing w:line="276" w:lineRule="auto"/>
        <w:rPr>
          <w:rFonts w:asciiTheme="minorHAnsi" w:eastAsiaTheme="minorEastAsia" w:hAnsiTheme="minorHAnsi" w:cstheme="minorBidi"/>
          <w:b w:val="0"/>
          <w:noProof/>
          <w:sz w:val="22"/>
          <w:szCs w:val="22"/>
          <w:lang w:val="es-CO" w:eastAsia="es-CO"/>
        </w:rPr>
      </w:pPr>
      <w:hyperlink w:anchor="_Toc434593418" w:history="1">
        <w:r w:rsidR="0062206C" w:rsidRPr="00462CDC">
          <w:rPr>
            <w:rStyle w:val="Hipervnculo"/>
            <w:noProof/>
          </w:rPr>
          <w:t>5.</w:t>
        </w:r>
        <w:r w:rsidR="0062206C">
          <w:rPr>
            <w:rFonts w:asciiTheme="minorHAnsi" w:eastAsiaTheme="minorEastAsia" w:hAnsiTheme="minorHAnsi" w:cstheme="minorBidi"/>
            <w:b w:val="0"/>
            <w:noProof/>
            <w:sz w:val="22"/>
            <w:szCs w:val="22"/>
            <w:lang w:val="es-CO" w:eastAsia="es-CO"/>
          </w:rPr>
          <w:tab/>
        </w:r>
        <w:r w:rsidR="0062206C" w:rsidRPr="00462CDC">
          <w:rPr>
            <w:rStyle w:val="Hipervnculo"/>
            <w:noProof/>
          </w:rPr>
          <w:t>BIBLIOGRAFÍA</w:t>
        </w:r>
        <w:r w:rsidR="0062206C">
          <w:rPr>
            <w:noProof/>
            <w:webHidden/>
          </w:rPr>
          <w:tab/>
        </w:r>
        <w:r w:rsidR="0062206C">
          <w:rPr>
            <w:noProof/>
            <w:webHidden/>
          </w:rPr>
          <w:fldChar w:fldCharType="begin"/>
        </w:r>
        <w:r w:rsidR="0062206C">
          <w:rPr>
            <w:noProof/>
            <w:webHidden/>
          </w:rPr>
          <w:instrText xml:space="preserve"> PAGEREF _Toc434593418 \h </w:instrText>
        </w:r>
        <w:r w:rsidR="0062206C">
          <w:rPr>
            <w:noProof/>
            <w:webHidden/>
          </w:rPr>
        </w:r>
        <w:r w:rsidR="0062206C">
          <w:rPr>
            <w:noProof/>
            <w:webHidden/>
          </w:rPr>
          <w:fldChar w:fldCharType="separate"/>
        </w:r>
        <w:r w:rsidR="00FC7564">
          <w:rPr>
            <w:noProof/>
            <w:webHidden/>
          </w:rPr>
          <w:t>17</w:t>
        </w:r>
        <w:r w:rsidR="0062206C">
          <w:rPr>
            <w:noProof/>
            <w:webHidden/>
          </w:rPr>
          <w:fldChar w:fldCharType="end"/>
        </w:r>
      </w:hyperlink>
    </w:p>
    <w:p w:rsidR="0062206C" w:rsidRDefault="0062206C" w:rsidP="003D5009">
      <w:pPr>
        <w:suppressAutoHyphens/>
        <w:spacing w:line="276" w:lineRule="auto"/>
        <w:ind w:left="567" w:right="51" w:hanging="425"/>
        <w:jc w:val="center"/>
        <w:rPr>
          <w:b/>
        </w:rPr>
      </w:pPr>
      <w:r>
        <w:rPr>
          <w:b/>
        </w:rPr>
        <w:fldChar w:fldCharType="end"/>
      </w:r>
    </w:p>
    <w:p w:rsidR="0062206C" w:rsidRDefault="0062206C" w:rsidP="0062206C">
      <w:pPr>
        <w:jc w:val="center"/>
      </w:pPr>
      <w:r>
        <w:br w:type="page"/>
      </w:r>
    </w:p>
    <w:p w:rsidR="0062206C" w:rsidRDefault="0062206C" w:rsidP="0062206C">
      <w:pPr>
        <w:jc w:val="center"/>
      </w:pPr>
    </w:p>
    <w:p w:rsidR="0062206C" w:rsidRDefault="0062206C" w:rsidP="0062206C">
      <w:pPr>
        <w:jc w:val="center"/>
        <w:rPr>
          <w:b/>
        </w:rPr>
      </w:pPr>
    </w:p>
    <w:p w:rsidR="0062206C" w:rsidRPr="00C667BC" w:rsidRDefault="0062206C" w:rsidP="0062206C">
      <w:pPr>
        <w:jc w:val="center"/>
        <w:rPr>
          <w:b/>
        </w:rPr>
      </w:pPr>
      <w:r w:rsidRPr="00C667BC">
        <w:rPr>
          <w:b/>
        </w:rPr>
        <w:t>Lista de Gráficas</w:t>
      </w:r>
    </w:p>
    <w:p w:rsidR="0062206C" w:rsidRDefault="0062206C" w:rsidP="0062206C">
      <w:pPr>
        <w:jc w:val="left"/>
      </w:pPr>
    </w:p>
    <w:p w:rsidR="0062206C" w:rsidRDefault="0062206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r>
        <w:fldChar w:fldCharType="begin"/>
      </w:r>
      <w:r>
        <w:instrText xml:space="preserve"> TOC \h \z \c "Grafica" </w:instrText>
      </w:r>
      <w:r>
        <w:fldChar w:fldCharType="separate"/>
      </w:r>
      <w:hyperlink w:anchor="_Toc434593419" w:history="1">
        <w:r w:rsidRPr="00C03F4F">
          <w:rPr>
            <w:rStyle w:val="Hipervnculo"/>
            <w:noProof/>
          </w:rPr>
          <w:t>Grafica 1 Evolución del flete de transporte marítimo</w:t>
        </w:r>
        <w:r>
          <w:rPr>
            <w:noProof/>
            <w:webHidden/>
          </w:rPr>
          <w:tab/>
        </w:r>
        <w:r>
          <w:rPr>
            <w:noProof/>
            <w:webHidden/>
          </w:rPr>
          <w:fldChar w:fldCharType="begin"/>
        </w:r>
        <w:r>
          <w:rPr>
            <w:noProof/>
            <w:webHidden/>
          </w:rPr>
          <w:instrText xml:space="preserve"> PAGEREF _Toc434593419 \h </w:instrText>
        </w:r>
        <w:r>
          <w:rPr>
            <w:noProof/>
            <w:webHidden/>
          </w:rPr>
        </w:r>
        <w:r>
          <w:rPr>
            <w:noProof/>
            <w:webHidden/>
          </w:rPr>
          <w:fldChar w:fldCharType="separate"/>
        </w:r>
        <w:r w:rsidR="00FC7564">
          <w:rPr>
            <w:noProof/>
            <w:webHidden/>
          </w:rPr>
          <w:t>10</w:t>
        </w:r>
        <w:r>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0" w:history="1">
        <w:r w:rsidR="0062206C" w:rsidRPr="00C03F4F">
          <w:rPr>
            <w:rStyle w:val="Hipervnculo"/>
            <w:noProof/>
          </w:rPr>
          <w:t xml:space="preserve">Grafica 2 Demanda anual en el </w:t>
        </w:r>
        <w:r w:rsidR="00A16563">
          <w:rPr>
            <w:rStyle w:val="Hipervnculo"/>
            <w:noProof/>
          </w:rPr>
          <w:t>archipiélago</w:t>
        </w:r>
        <w:r w:rsidR="0062206C" w:rsidRPr="00C03F4F">
          <w:rPr>
            <w:rStyle w:val="Hipervnculo"/>
            <w:noProof/>
          </w:rPr>
          <w:t xml:space="preserve"> por tipo de cilindr</w:t>
        </w:r>
        <w:r w:rsidR="00BA64F9">
          <w:rPr>
            <w:rStyle w:val="Hipervnculo"/>
            <w:noProof/>
          </w:rPr>
          <w:t>o</w:t>
        </w:r>
        <w:r w:rsidR="0062206C" w:rsidRPr="00C03F4F">
          <w:rPr>
            <w:rStyle w:val="Hipervnculo"/>
            <w:noProof/>
          </w:rPr>
          <w:t>.</w:t>
        </w:r>
        <w:r w:rsidR="0062206C">
          <w:rPr>
            <w:noProof/>
            <w:webHidden/>
          </w:rPr>
          <w:tab/>
        </w:r>
        <w:r w:rsidR="0062206C">
          <w:rPr>
            <w:noProof/>
            <w:webHidden/>
          </w:rPr>
          <w:fldChar w:fldCharType="begin"/>
        </w:r>
        <w:r w:rsidR="0062206C">
          <w:rPr>
            <w:noProof/>
            <w:webHidden/>
          </w:rPr>
          <w:instrText xml:space="preserve"> PAGEREF _Toc434593420 \h </w:instrText>
        </w:r>
        <w:r w:rsidR="0062206C">
          <w:rPr>
            <w:noProof/>
            <w:webHidden/>
          </w:rPr>
        </w:r>
        <w:r w:rsidR="0062206C">
          <w:rPr>
            <w:noProof/>
            <w:webHidden/>
          </w:rPr>
          <w:fldChar w:fldCharType="separate"/>
        </w:r>
        <w:r w:rsidR="00FC7564">
          <w:rPr>
            <w:noProof/>
            <w:webHidden/>
          </w:rPr>
          <w:t>11</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1" w:history="1">
        <w:r w:rsidR="0062206C" w:rsidRPr="00C03F4F">
          <w:rPr>
            <w:rStyle w:val="Hipervnculo"/>
            <w:noProof/>
          </w:rPr>
          <w:t xml:space="preserve">Grafica 3 Variación anual de demanda en el </w:t>
        </w:r>
        <w:r w:rsidR="00A16563">
          <w:rPr>
            <w:rStyle w:val="Hipervnculo"/>
            <w:noProof/>
          </w:rPr>
          <w:t>archipiélago</w:t>
        </w:r>
        <w:r w:rsidR="0062206C" w:rsidRPr="00C03F4F">
          <w:rPr>
            <w:rStyle w:val="Hipervnculo"/>
            <w:noProof/>
          </w:rPr>
          <w:t>.</w:t>
        </w:r>
        <w:r w:rsidR="0062206C">
          <w:rPr>
            <w:noProof/>
            <w:webHidden/>
          </w:rPr>
          <w:tab/>
        </w:r>
        <w:r w:rsidR="0062206C">
          <w:rPr>
            <w:noProof/>
            <w:webHidden/>
          </w:rPr>
          <w:fldChar w:fldCharType="begin"/>
        </w:r>
        <w:r w:rsidR="0062206C">
          <w:rPr>
            <w:noProof/>
            <w:webHidden/>
          </w:rPr>
          <w:instrText xml:space="preserve"> PAGEREF _Toc434593421 \h </w:instrText>
        </w:r>
        <w:r w:rsidR="0062206C">
          <w:rPr>
            <w:noProof/>
            <w:webHidden/>
          </w:rPr>
        </w:r>
        <w:r w:rsidR="0062206C">
          <w:rPr>
            <w:noProof/>
            <w:webHidden/>
          </w:rPr>
          <w:fldChar w:fldCharType="separate"/>
        </w:r>
        <w:r w:rsidR="00FC7564">
          <w:rPr>
            <w:noProof/>
            <w:webHidden/>
          </w:rPr>
          <w:t>11</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2" w:history="1">
        <w:r w:rsidR="0062206C" w:rsidRPr="00C03F4F">
          <w:rPr>
            <w:rStyle w:val="Hipervnculo"/>
            <w:noProof/>
          </w:rPr>
          <w:t>Grafica 4 Participación en el mercado por tipo de cilindro en 2015.</w:t>
        </w:r>
        <w:r w:rsidR="0062206C">
          <w:rPr>
            <w:noProof/>
            <w:webHidden/>
          </w:rPr>
          <w:tab/>
        </w:r>
        <w:r w:rsidR="0062206C">
          <w:rPr>
            <w:noProof/>
            <w:webHidden/>
          </w:rPr>
          <w:fldChar w:fldCharType="begin"/>
        </w:r>
        <w:r w:rsidR="0062206C">
          <w:rPr>
            <w:noProof/>
            <w:webHidden/>
          </w:rPr>
          <w:instrText xml:space="preserve"> PAGEREF _Toc434593422 \h </w:instrText>
        </w:r>
        <w:r w:rsidR="0062206C">
          <w:rPr>
            <w:noProof/>
            <w:webHidden/>
          </w:rPr>
        </w:r>
        <w:r w:rsidR="0062206C">
          <w:rPr>
            <w:noProof/>
            <w:webHidden/>
          </w:rPr>
          <w:fldChar w:fldCharType="separate"/>
        </w:r>
        <w:r w:rsidR="00FC7564">
          <w:rPr>
            <w:noProof/>
            <w:webHidden/>
          </w:rPr>
          <w:t>12</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3" w:history="1">
        <w:r w:rsidR="0062206C" w:rsidRPr="00C03F4F">
          <w:rPr>
            <w:rStyle w:val="Hipervnculo"/>
            <w:noProof/>
          </w:rPr>
          <w:t xml:space="preserve">Grafica 5 Participación de Providencia en el mercado total del </w:t>
        </w:r>
        <w:r w:rsidR="00A16563">
          <w:rPr>
            <w:rStyle w:val="Hipervnculo"/>
            <w:noProof/>
          </w:rPr>
          <w:t>archipiélago</w:t>
        </w:r>
        <w:r w:rsidR="0062206C">
          <w:rPr>
            <w:noProof/>
            <w:webHidden/>
          </w:rPr>
          <w:tab/>
        </w:r>
        <w:r w:rsidR="0062206C">
          <w:rPr>
            <w:noProof/>
            <w:webHidden/>
          </w:rPr>
          <w:fldChar w:fldCharType="begin"/>
        </w:r>
        <w:r w:rsidR="0062206C">
          <w:rPr>
            <w:noProof/>
            <w:webHidden/>
          </w:rPr>
          <w:instrText xml:space="preserve"> PAGEREF _Toc434593423 \h </w:instrText>
        </w:r>
        <w:r w:rsidR="0062206C">
          <w:rPr>
            <w:noProof/>
            <w:webHidden/>
          </w:rPr>
        </w:r>
        <w:r w:rsidR="0062206C">
          <w:rPr>
            <w:noProof/>
            <w:webHidden/>
          </w:rPr>
          <w:fldChar w:fldCharType="separate"/>
        </w:r>
        <w:r w:rsidR="00FC7564">
          <w:rPr>
            <w:noProof/>
            <w:webHidden/>
          </w:rPr>
          <w:t>12</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4" w:history="1">
        <w:r w:rsidR="0062206C" w:rsidRPr="00C03F4F">
          <w:rPr>
            <w:rStyle w:val="Hipervnculo"/>
            <w:noProof/>
          </w:rPr>
          <w:t>Grafica 6 Temas a estudiar</w:t>
        </w:r>
        <w:r w:rsidR="0062206C">
          <w:rPr>
            <w:noProof/>
            <w:webHidden/>
          </w:rPr>
          <w:tab/>
        </w:r>
        <w:r w:rsidR="0062206C">
          <w:rPr>
            <w:noProof/>
            <w:webHidden/>
          </w:rPr>
          <w:fldChar w:fldCharType="begin"/>
        </w:r>
        <w:r w:rsidR="0062206C">
          <w:rPr>
            <w:noProof/>
            <w:webHidden/>
          </w:rPr>
          <w:instrText xml:space="preserve"> PAGEREF _Toc434593424 \h </w:instrText>
        </w:r>
        <w:r w:rsidR="0062206C">
          <w:rPr>
            <w:noProof/>
            <w:webHidden/>
          </w:rPr>
        </w:r>
        <w:r w:rsidR="0062206C">
          <w:rPr>
            <w:noProof/>
            <w:webHidden/>
          </w:rPr>
          <w:fldChar w:fldCharType="separate"/>
        </w:r>
        <w:r w:rsidR="00FC7564">
          <w:rPr>
            <w:noProof/>
            <w:webHidden/>
          </w:rPr>
          <w:t>15</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5" w:history="1">
        <w:r w:rsidR="0062206C" w:rsidRPr="00C03F4F">
          <w:rPr>
            <w:rStyle w:val="Hipervnculo"/>
            <w:noProof/>
          </w:rPr>
          <w:t>Grafica 7 Mercados alternos</w:t>
        </w:r>
        <w:r w:rsidR="0062206C">
          <w:rPr>
            <w:noProof/>
            <w:webHidden/>
          </w:rPr>
          <w:tab/>
        </w:r>
        <w:r w:rsidR="0062206C">
          <w:rPr>
            <w:noProof/>
            <w:webHidden/>
          </w:rPr>
          <w:fldChar w:fldCharType="begin"/>
        </w:r>
        <w:r w:rsidR="0062206C">
          <w:rPr>
            <w:noProof/>
            <w:webHidden/>
          </w:rPr>
          <w:instrText xml:space="preserve"> PAGEREF _Toc434593425 \h </w:instrText>
        </w:r>
        <w:r w:rsidR="0062206C">
          <w:rPr>
            <w:noProof/>
            <w:webHidden/>
          </w:rPr>
        </w:r>
        <w:r w:rsidR="0062206C">
          <w:rPr>
            <w:noProof/>
            <w:webHidden/>
          </w:rPr>
          <w:fldChar w:fldCharType="separate"/>
        </w:r>
        <w:r w:rsidR="00FC7564">
          <w:rPr>
            <w:noProof/>
            <w:webHidden/>
          </w:rPr>
          <w:t>16</w:t>
        </w:r>
        <w:r w:rsidR="0062206C">
          <w:rPr>
            <w:noProof/>
            <w:webHidden/>
          </w:rPr>
          <w:fldChar w:fldCharType="end"/>
        </w:r>
      </w:hyperlink>
    </w:p>
    <w:p w:rsidR="0062206C" w:rsidRDefault="008244EC" w:rsidP="003D5009">
      <w:pPr>
        <w:pStyle w:val="Tabladeilustraciones"/>
        <w:tabs>
          <w:tab w:val="right" w:leader="dot" w:pos="9346"/>
        </w:tabs>
        <w:spacing w:line="480" w:lineRule="auto"/>
        <w:rPr>
          <w:rFonts w:asciiTheme="minorHAnsi" w:eastAsiaTheme="minorEastAsia" w:hAnsiTheme="minorHAnsi" w:cstheme="minorBidi"/>
          <w:noProof/>
          <w:sz w:val="22"/>
          <w:szCs w:val="22"/>
          <w:lang w:val="es-CO" w:eastAsia="es-CO"/>
        </w:rPr>
      </w:pPr>
      <w:hyperlink w:anchor="_Toc434593426" w:history="1">
        <w:r w:rsidR="0062206C" w:rsidRPr="00C03F4F">
          <w:rPr>
            <w:rStyle w:val="Hipervnculo"/>
            <w:noProof/>
          </w:rPr>
          <w:t>Grafica 8 Evolución del flete  de transporte marítimo</w:t>
        </w:r>
        <w:r w:rsidR="0062206C">
          <w:rPr>
            <w:noProof/>
            <w:webHidden/>
          </w:rPr>
          <w:tab/>
        </w:r>
        <w:r w:rsidR="0062206C">
          <w:rPr>
            <w:noProof/>
            <w:webHidden/>
          </w:rPr>
          <w:fldChar w:fldCharType="begin"/>
        </w:r>
        <w:r w:rsidR="0062206C">
          <w:rPr>
            <w:noProof/>
            <w:webHidden/>
          </w:rPr>
          <w:instrText xml:space="preserve"> PAGEREF _Toc434593426 \h </w:instrText>
        </w:r>
        <w:r w:rsidR="0062206C">
          <w:rPr>
            <w:noProof/>
            <w:webHidden/>
          </w:rPr>
        </w:r>
        <w:r w:rsidR="0062206C">
          <w:rPr>
            <w:noProof/>
            <w:webHidden/>
          </w:rPr>
          <w:fldChar w:fldCharType="separate"/>
        </w:r>
        <w:r w:rsidR="00FC7564">
          <w:rPr>
            <w:noProof/>
            <w:webHidden/>
          </w:rPr>
          <w:t>16</w:t>
        </w:r>
        <w:r w:rsidR="0062206C">
          <w:rPr>
            <w:noProof/>
            <w:webHidden/>
          </w:rPr>
          <w:fldChar w:fldCharType="end"/>
        </w:r>
      </w:hyperlink>
    </w:p>
    <w:p w:rsidR="0062206C" w:rsidRDefault="0062206C" w:rsidP="003D5009">
      <w:pPr>
        <w:spacing w:line="480" w:lineRule="auto"/>
        <w:jc w:val="left"/>
      </w:pPr>
      <w:r>
        <w:fldChar w:fldCharType="end"/>
      </w:r>
    </w:p>
    <w:p w:rsidR="0062206C" w:rsidRDefault="0062206C" w:rsidP="0062206C">
      <w:pPr>
        <w:jc w:val="left"/>
      </w:pPr>
      <w:r>
        <w:br w:type="page"/>
      </w:r>
    </w:p>
    <w:p w:rsidR="0062206C" w:rsidRDefault="0062206C" w:rsidP="0062206C">
      <w:pPr>
        <w:suppressAutoHyphens/>
        <w:ind w:right="51"/>
        <w:jc w:val="center"/>
      </w:pPr>
    </w:p>
    <w:p w:rsidR="0062206C" w:rsidRDefault="0062206C" w:rsidP="0062206C">
      <w:pPr>
        <w:suppressAutoHyphens/>
        <w:ind w:right="51"/>
        <w:jc w:val="center"/>
      </w:pPr>
    </w:p>
    <w:p w:rsidR="0062206C" w:rsidRPr="00FE6BB8" w:rsidRDefault="0062206C" w:rsidP="0062206C">
      <w:pPr>
        <w:jc w:val="center"/>
        <w:rPr>
          <w:b/>
        </w:rPr>
      </w:pPr>
      <w:r w:rsidRPr="00FE6BB8">
        <w:rPr>
          <w:b/>
        </w:rPr>
        <w:t>ANEXO GENERAL</w:t>
      </w:r>
    </w:p>
    <w:p w:rsidR="0062206C" w:rsidRPr="00601751" w:rsidRDefault="0062206C" w:rsidP="0062206C">
      <w:pPr>
        <w:suppressAutoHyphens/>
        <w:ind w:right="51"/>
        <w:jc w:val="center"/>
        <w:rPr>
          <w:b/>
        </w:rPr>
      </w:pPr>
    </w:p>
    <w:p w:rsidR="0062206C" w:rsidRDefault="0062206C" w:rsidP="0062206C">
      <w:pPr>
        <w:suppressAutoHyphens/>
        <w:ind w:right="51"/>
        <w:rPr>
          <w:b/>
        </w:rPr>
      </w:pPr>
      <w:r w:rsidRPr="00601751">
        <w:rPr>
          <w:b/>
        </w:rPr>
        <w:t xml:space="preserve">BASES SOBRE LAS CUALES LA COMISIÓN </w:t>
      </w:r>
      <w:r>
        <w:rPr>
          <w:b/>
        </w:rPr>
        <w:t xml:space="preserve">DE REGULACIÓN DE ENERGÍA Y GAS, </w:t>
      </w:r>
      <w:r w:rsidRPr="00601751">
        <w:rPr>
          <w:b/>
        </w:rPr>
        <w:t xml:space="preserve">EFECTUARÁ LOS ESTUDIOS PARA DETERMINAR LA METODOLOGÍA </w:t>
      </w:r>
      <w:r>
        <w:rPr>
          <w:b/>
        </w:rPr>
        <w:t>DE REMUNERACIÓN DE LA ACTIVIDAD</w:t>
      </w:r>
      <w:r w:rsidRPr="00601751">
        <w:rPr>
          <w:b/>
        </w:rPr>
        <w:t xml:space="preserve"> DE </w:t>
      </w:r>
      <w:r>
        <w:rPr>
          <w:b/>
        </w:rPr>
        <w:t xml:space="preserve">TRANSPORTE DE GAS LICUADO DE PETRÓLEO (GLP) AL </w:t>
      </w:r>
      <w:r w:rsidR="00A16563">
        <w:rPr>
          <w:b/>
        </w:rPr>
        <w:t>ARCHIPIÉLAGO</w:t>
      </w:r>
      <w:r>
        <w:rPr>
          <w:b/>
        </w:rPr>
        <w:t xml:space="preserve"> DE SAN ANDRÉS, PROVIDENCIA Y SANTA CATALINA</w:t>
      </w:r>
    </w:p>
    <w:p w:rsidR="0062206C" w:rsidRDefault="0062206C" w:rsidP="0062206C">
      <w:pPr>
        <w:suppressAutoHyphens/>
        <w:ind w:right="51"/>
      </w:pPr>
    </w:p>
    <w:p w:rsidR="0062206C" w:rsidRPr="00420DAD" w:rsidRDefault="0062206C" w:rsidP="0062206C">
      <w:pPr>
        <w:pStyle w:val="Ttulo2"/>
      </w:pPr>
      <w:bookmarkStart w:id="1" w:name="_Toc434593405"/>
      <w:r w:rsidRPr="00B234C3">
        <w:t>OBJETIVO</w:t>
      </w:r>
      <w:bookmarkEnd w:id="1"/>
    </w:p>
    <w:p w:rsidR="0062206C" w:rsidRDefault="0062206C" w:rsidP="0062206C">
      <w:pPr>
        <w:suppressAutoHyphens/>
        <w:ind w:right="51"/>
        <w:rPr>
          <w:rFonts w:cs="Arial"/>
          <w:color w:val="000000"/>
        </w:rPr>
      </w:pPr>
      <w:r>
        <w:rPr>
          <w:rFonts w:cs="Arial"/>
          <w:color w:val="000000"/>
        </w:rPr>
        <w:t xml:space="preserve">El objeto de este documento, es dar a conocer a las entidades prestadoras del servicio público domiciliario de gas licuado de petróleo (GLP), a los usuarios y a los demás interesados, las bases sobre las cuales la Comisión llevará a cabo los estudios y análisis que le permitan establecer la metodología de remuneración de la actividad de transporte de GLP al </w:t>
      </w:r>
      <w:r w:rsidR="00A16563">
        <w:rPr>
          <w:rFonts w:cs="Arial"/>
          <w:color w:val="000000"/>
        </w:rPr>
        <w:t>archipiélago</w:t>
      </w:r>
      <w:r>
        <w:rPr>
          <w:rFonts w:cs="Arial"/>
          <w:color w:val="000000"/>
        </w:rPr>
        <w:t xml:space="preserve"> de San Andrés, Providencia y Santa Catalina. </w:t>
      </w:r>
    </w:p>
    <w:p w:rsidR="0062206C" w:rsidRDefault="0062206C" w:rsidP="0062206C">
      <w:pPr>
        <w:suppressAutoHyphens/>
        <w:ind w:right="51"/>
        <w:rPr>
          <w:rFonts w:cs="Arial"/>
          <w:color w:val="000000"/>
        </w:rPr>
      </w:pPr>
    </w:p>
    <w:p w:rsidR="0062206C" w:rsidRPr="00F85C39" w:rsidRDefault="0062206C" w:rsidP="0062206C">
      <w:pPr>
        <w:suppressAutoHyphens/>
        <w:ind w:right="51"/>
        <w:rPr>
          <w:rFonts w:cs="Arial"/>
          <w:color w:val="000000"/>
        </w:rPr>
      </w:pPr>
      <w:r w:rsidRPr="00F85C39">
        <w:rPr>
          <w:rFonts w:cs="Arial"/>
          <w:color w:val="000000"/>
        </w:rPr>
        <w:t xml:space="preserve">Los criterios para la remuneración de la actividad de transporte del GLP al </w:t>
      </w:r>
      <w:r w:rsidR="00A16563">
        <w:rPr>
          <w:rFonts w:cs="Arial"/>
          <w:color w:val="000000"/>
        </w:rPr>
        <w:t>archipiélago</w:t>
      </w:r>
      <w:r w:rsidRPr="00F85C39">
        <w:rPr>
          <w:rFonts w:cs="Arial"/>
          <w:color w:val="000000"/>
        </w:rPr>
        <w:t xml:space="preserve"> de San Andrés, Providencia y Santa Catalina fueron establecidos mediante</w:t>
      </w:r>
      <w:r>
        <w:rPr>
          <w:rFonts w:cs="Arial"/>
          <w:color w:val="000000"/>
        </w:rPr>
        <w:t xml:space="preserve"> la Resolución CREG 050 de 2009,</w:t>
      </w:r>
      <w:r w:rsidRPr="00F85C39">
        <w:rPr>
          <w:rFonts w:cs="Arial"/>
          <w:color w:val="000000"/>
        </w:rPr>
        <w:t xml:space="preserve"> </w:t>
      </w:r>
      <w:r>
        <w:rPr>
          <w:rFonts w:cs="Arial"/>
          <w:color w:val="000000"/>
        </w:rPr>
        <w:t>a</w:t>
      </w:r>
      <w:r w:rsidRPr="006800AA">
        <w:rPr>
          <w:rFonts w:cs="Arial"/>
          <w:color w:val="000000"/>
        </w:rPr>
        <w:t>llí se encuentra la metodología general con la cual los interesados en prestar el servicio podían solicitar la aprobación del cargo respectivo.</w:t>
      </w:r>
      <w:r>
        <w:rPr>
          <w:rFonts w:cs="Arial"/>
          <w:color w:val="000000"/>
        </w:rPr>
        <w:t xml:space="preserve"> </w:t>
      </w:r>
    </w:p>
    <w:p w:rsidR="0062206C" w:rsidRDefault="0062206C" w:rsidP="0062206C">
      <w:pPr>
        <w:suppressAutoHyphens/>
        <w:ind w:right="51"/>
        <w:rPr>
          <w:rFonts w:cs="Arial"/>
          <w:color w:val="000000"/>
        </w:rPr>
      </w:pPr>
    </w:p>
    <w:p w:rsidR="0062206C" w:rsidRDefault="0062206C" w:rsidP="0062206C">
      <w:pPr>
        <w:suppressAutoHyphens/>
        <w:ind w:right="51"/>
        <w:rPr>
          <w:rFonts w:cs="Arial"/>
          <w:color w:val="000000"/>
        </w:rPr>
      </w:pPr>
      <w:r w:rsidRPr="00F85C39">
        <w:rPr>
          <w:rFonts w:cs="Arial"/>
          <w:color w:val="000000"/>
        </w:rPr>
        <w:t xml:space="preserve">Los cargos que remuneran la actividad de transporte del GLP al </w:t>
      </w:r>
      <w:r w:rsidR="00A16563">
        <w:rPr>
          <w:rFonts w:cs="Arial"/>
          <w:color w:val="000000"/>
        </w:rPr>
        <w:t>archipiélago</w:t>
      </w:r>
      <w:r w:rsidRPr="00F85C39">
        <w:rPr>
          <w:rFonts w:cs="Arial"/>
          <w:color w:val="000000"/>
        </w:rPr>
        <w:t xml:space="preserve"> de San Andrés, Providencia y Santa Catalina fueron aprobados mediante la Resolución CREG 049 de 2011 de acuerdo con la solicitud tarifaria re</w:t>
      </w:r>
      <w:r>
        <w:rPr>
          <w:rFonts w:cs="Arial"/>
          <w:color w:val="000000"/>
        </w:rPr>
        <w:t>alizada por la empresa PROVIGAS</w:t>
      </w:r>
      <w:r w:rsidRPr="00F85C39">
        <w:rPr>
          <w:rFonts w:cs="Arial"/>
          <w:color w:val="000000"/>
        </w:rPr>
        <w:t xml:space="preserve"> S.A. E.S.P. </w:t>
      </w:r>
    </w:p>
    <w:p w:rsidR="0062206C" w:rsidRDefault="0062206C" w:rsidP="0062206C">
      <w:pPr>
        <w:suppressAutoHyphens/>
        <w:ind w:right="51"/>
        <w:rPr>
          <w:rFonts w:cs="Arial"/>
          <w:color w:val="000000"/>
        </w:rPr>
      </w:pPr>
    </w:p>
    <w:p w:rsidR="0062206C" w:rsidRDefault="0062206C" w:rsidP="0062206C">
      <w:pPr>
        <w:suppressAutoHyphens/>
        <w:ind w:right="51"/>
        <w:rPr>
          <w:rFonts w:cs="Arial"/>
          <w:color w:val="000000"/>
        </w:rPr>
      </w:pPr>
      <w:r w:rsidRPr="00601751">
        <w:rPr>
          <w:rFonts w:cs="Arial"/>
          <w:color w:val="000000"/>
        </w:rPr>
        <w:t>Conforme lo establecen los artículos 126 y 127 de la Ley 142 de 1994, las fórmulas tarifarias tendrán una vigencia de cinco años, y vencido el per</w:t>
      </w:r>
      <w:r>
        <w:rPr>
          <w:rFonts w:cs="Arial"/>
          <w:color w:val="000000"/>
        </w:rPr>
        <w:t>i</w:t>
      </w:r>
      <w:r w:rsidRPr="00601751">
        <w:rPr>
          <w:rFonts w:cs="Arial"/>
          <w:color w:val="000000"/>
        </w:rPr>
        <w:t xml:space="preserve">odo, seguirán vigentes hasta tanto no se expidan las nuevas fórmulas. </w:t>
      </w:r>
    </w:p>
    <w:p w:rsidR="0062206C" w:rsidRDefault="0062206C" w:rsidP="0062206C">
      <w:pPr>
        <w:suppressAutoHyphens/>
        <w:ind w:right="51"/>
        <w:rPr>
          <w:rFonts w:cs="Arial"/>
          <w:color w:val="000000"/>
        </w:rPr>
      </w:pPr>
    </w:p>
    <w:p w:rsidR="0062206C" w:rsidRDefault="0062206C" w:rsidP="0062206C">
      <w:pPr>
        <w:suppressAutoHyphens/>
        <w:ind w:right="51"/>
        <w:rPr>
          <w:rFonts w:cs="Arial"/>
          <w:color w:val="000000"/>
        </w:rPr>
      </w:pPr>
      <w:r w:rsidRPr="00601751">
        <w:rPr>
          <w:rFonts w:cs="Arial"/>
          <w:color w:val="000000"/>
        </w:rPr>
        <w:t>Así mismo, antes de doce meses de la fecha prevista para que termine el periodo de vigencia</w:t>
      </w:r>
      <w:r>
        <w:rPr>
          <w:rFonts w:cs="Arial"/>
          <w:color w:val="000000"/>
        </w:rPr>
        <w:t>,</w:t>
      </w:r>
      <w:r w:rsidRPr="00601751">
        <w:rPr>
          <w:rFonts w:cs="Arial"/>
          <w:color w:val="000000"/>
        </w:rPr>
        <w:t xml:space="preserve"> se darán a conocer las bases sobre las cuales se efectuarán los estudios para determinar las fórmulas del período siguiente.</w:t>
      </w:r>
    </w:p>
    <w:p w:rsidR="0062206C" w:rsidRPr="00486542" w:rsidRDefault="0062206C" w:rsidP="0062206C">
      <w:pPr>
        <w:suppressAutoHyphens/>
        <w:ind w:right="51"/>
        <w:rPr>
          <w:rFonts w:cs="Arial"/>
          <w:color w:val="000000"/>
          <w:sz w:val="22"/>
        </w:rPr>
      </w:pPr>
    </w:p>
    <w:p w:rsidR="0062206C" w:rsidRDefault="0062206C" w:rsidP="0062206C">
      <w:pPr>
        <w:suppressAutoHyphens/>
        <w:ind w:right="51"/>
        <w:rPr>
          <w:rFonts w:cs="Arial"/>
          <w:color w:val="000000"/>
        </w:rPr>
      </w:pPr>
      <w:r>
        <w:rPr>
          <w:rFonts w:cs="Arial"/>
          <w:color w:val="000000"/>
        </w:rPr>
        <w:t>En la misma línea</w:t>
      </w:r>
      <w:r w:rsidRPr="00601751">
        <w:rPr>
          <w:rFonts w:cs="Arial"/>
          <w:color w:val="000000"/>
        </w:rPr>
        <w:t xml:space="preserve">, el Decreto 2696 de 2004 fijó las reglas especiales para la adopción de fórmulas tarifarias, con el fin de permitir la divulgación y participación </w:t>
      </w:r>
      <w:r>
        <w:rPr>
          <w:rFonts w:cs="Arial"/>
          <w:color w:val="000000"/>
        </w:rPr>
        <w:t>en</w:t>
      </w:r>
      <w:r w:rsidRPr="00601751">
        <w:rPr>
          <w:rFonts w:cs="Arial"/>
          <w:color w:val="000000"/>
        </w:rPr>
        <w:t xml:space="preserve"> las respectivas actuaciones que adelanta la Comisión.</w:t>
      </w:r>
    </w:p>
    <w:p w:rsidR="0062206C" w:rsidRDefault="0062206C" w:rsidP="0062206C">
      <w:pPr>
        <w:rPr>
          <w:rFonts w:cs="Arial"/>
          <w:szCs w:val="20"/>
          <w:highlight w:val="green"/>
        </w:rPr>
      </w:pPr>
    </w:p>
    <w:p w:rsidR="0062206C" w:rsidRDefault="0062206C" w:rsidP="0062206C">
      <w:pPr>
        <w:suppressAutoHyphens/>
        <w:ind w:right="51"/>
        <w:rPr>
          <w:rFonts w:cs="Arial"/>
          <w:color w:val="000000"/>
        </w:rPr>
      </w:pPr>
      <w:r>
        <w:rPr>
          <w:rFonts w:cs="Arial"/>
          <w:color w:val="000000"/>
        </w:rPr>
        <w:t>En cumplimiento de</w:t>
      </w:r>
      <w:r w:rsidRPr="00601751">
        <w:rPr>
          <w:rFonts w:cs="Arial"/>
          <w:color w:val="000000"/>
        </w:rPr>
        <w:t xml:space="preserve"> lo anterior, y con el fin de iniciar la actuación administrativa para la definición de la meto</w:t>
      </w:r>
      <w:r w:rsidRPr="00E81317">
        <w:rPr>
          <w:rFonts w:cs="Arial"/>
          <w:color w:val="000000"/>
        </w:rPr>
        <w:t>dología tarifaria para el siguiente periodo, la Comisión expone el presente documento, el cual contiene un breve análisis de</w:t>
      </w:r>
      <w:r>
        <w:rPr>
          <w:rFonts w:cs="Arial"/>
          <w:color w:val="000000"/>
        </w:rPr>
        <w:t xml:space="preserve"> la situación presentada con el transporte al </w:t>
      </w:r>
      <w:r w:rsidR="00A16563">
        <w:rPr>
          <w:rFonts w:cs="Arial"/>
          <w:color w:val="000000"/>
        </w:rPr>
        <w:t>archipiélago</w:t>
      </w:r>
      <w:r>
        <w:rPr>
          <w:rFonts w:cs="Arial"/>
          <w:color w:val="000000"/>
        </w:rPr>
        <w:t>, durante el periodo tarifario vencido</w:t>
      </w:r>
      <w:r w:rsidRPr="00E81317">
        <w:rPr>
          <w:rFonts w:cs="Arial"/>
          <w:color w:val="000000"/>
        </w:rPr>
        <w:t xml:space="preserve">. </w:t>
      </w:r>
    </w:p>
    <w:p w:rsidR="0062206C" w:rsidRDefault="0062206C" w:rsidP="0062206C">
      <w:pPr>
        <w:suppressAutoHyphens/>
        <w:ind w:right="51"/>
        <w:rPr>
          <w:rFonts w:cs="Arial"/>
          <w:color w:val="000000"/>
        </w:rPr>
      </w:pPr>
    </w:p>
    <w:p w:rsidR="00B17AA0" w:rsidRDefault="00B17AA0" w:rsidP="0062206C">
      <w:pPr>
        <w:suppressAutoHyphens/>
        <w:ind w:right="51"/>
        <w:rPr>
          <w:rFonts w:cs="Arial"/>
          <w:color w:val="000000"/>
        </w:rPr>
      </w:pPr>
    </w:p>
    <w:p w:rsidR="0062206C" w:rsidRDefault="0062206C" w:rsidP="0062206C">
      <w:pPr>
        <w:suppressAutoHyphens/>
        <w:ind w:right="51"/>
        <w:rPr>
          <w:rFonts w:cs="Arial"/>
          <w:color w:val="000000"/>
        </w:rPr>
      </w:pPr>
      <w:r>
        <w:rPr>
          <w:rFonts w:cs="Arial"/>
          <w:color w:val="000000"/>
        </w:rPr>
        <w:lastRenderedPageBreak/>
        <w:t xml:space="preserve">Posteriormente, </w:t>
      </w:r>
      <w:r w:rsidRPr="00601751">
        <w:rPr>
          <w:rFonts w:cs="Arial"/>
          <w:color w:val="000000"/>
        </w:rPr>
        <w:t xml:space="preserve">la Comisión propone los elementos a estudiar para la definición de la metodología de la remuneración de </w:t>
      </w:r>
      <w:r>
        <w:rPr>
          <w:rFonts w:cs="Arial"/>
          <w:color w:val="000000"/>
        </w:rPr>
        <w:t xml:space="preserve">la actividad de transporte a la isla de San Andrés </w:t>
      </w:r>
      <w:r w:rsidRPr="00601751">
        <w:rPr>
          <w:rFonts w:cs="Arial"/>
          <w:color w:val="000000"/>
        </w:rPr>
        <w:t>para el próxi</w:t>
      </w:r>
      <w:r>
        <w:rPr>
          <w:rFonts w:cs="Arial"/>
          <w:color w:val="000000"/>
        </w:rPr>
        <w:t>mo periodo tarifario, ciñéndose</w:t>
      </w:r>
      <w:r w:rsidRPr="00601751">
        <w:rPr>
          <w:rFonts w:cs="Arial"/>
          <w:color w:val="000000"/>
        </w:rPr>
        <w:t xml:space="preserve"> a los parámetros de eficiencia económica, neutralidad, solidaridad, redistribución, suficiencia financiera, simplicidad y transparencia que debe tener el régimen tarifario conforme </w:t>
      </w:r>
      <w:r>
        <w:rPr>
          <w:rFonts w:cs="Arial"/>
          <w:color w:val="000000"/>
        </w:rPr>
        <w:t>lo establece el Título VI de la Ley 142 de 1994.</w:t>
      </w:r>
    </w:p>
    <w:p w:rsidR="0062206C" w:rsidRDefault="0062206C" w:rsidP="0062206C">
      <w:pPr>
        <w:suppressAutoHyphens/>
        <w:ind w:right="51"/>
        <w:rPr>
          <w:rFonts w:cs="Arial"/>
          <w:color w:val="000000"/>
        </w:rPr>
      </w:pPr>
    </w:p>
    <w:p w:rsidR="0062206C" w:rsidRPr="00B234C3" w:rsidRDefault="0062206C" w:rsidP="0062206C">
      <w:pPr>
        <w:pStyle w:val="Ttulo2"/>
      </w:pPr>
      <w:bookmarkStart w:id="2" w:name="_Toc434593406"/>
      <w:r>
        <w:t>ANTECEDENTES</w:t>
      </w:r>
      <w:bookmarkEnd w:id="2"/>
    </w:p>
    <w:p w:rsidR="0062206C" w:rsidRDefault="0062206C" w:rsidP="0062206C">
      <w:r>
        <w:t xml:space="preserve">Como se mencionó anteriormente, la estructura tarifaria está definida por la resolución CREG 050 de 2009 y posteriormente la resolución CREG 049 de 2011, mediante las cuales se aprobaron los cargos para la actividad de transporte al </w:t>
      </w:r>
      <w:r w:rsidR="00A16563">
        <w:t>archipiélago</w:t>
      </w:r>
      <w:r>
        <w:t>.</w:t>
      </w:r>
    </w:p>
    <w:p w:rsidR="0062206C" w:rsidRDefault="0062206C" w:rsidP="0062206C">
      <w:pPr>
        <w:suppressAutoHyphens/>
        <w:ind w:right="51"/>
        <w:rPr>
          <w:rFonts w:cs="Arial"/>
          <w:color w:val="000000"/>
        </w:rPr>
      </w:pPr>
    </w:p>
    <w:p w:rsidR="0062206C" w:rsidRDefault="0062206C" w:rsidP="0062206C">
      <w:pPr>
        <w:suppressAutoHyphens/>
        <w:ind w:right="51"/>
        <w:rPr>
          <w:rFonts w:cs="Arial"/>
          <w:color w:val="000000"/>
        </w:rPr>
      </w:pPr>
      <w:r>
        <w:rPr>
          <w:rFonts w:cs="Arial"/>
          <w:color w:val="000000"/>
        </w:rPr>
        <w:t>El esquema actual uti</w:t>
      </w:r>
      <w:r w:rsidRPr="001D7BBD">
        <w:rPr>
          <w:rFonts w:cs="Arial"/>
          <w:color w:val="000000"/>
        </w:rPr>
        <w:t>lizado para llevar a cabo el transporte de GLP a la isla de San Andrés</w:t>
      </w:r>
      <w:r>
        <w:rPr>
          <w:rFonts w:cs="Arial"/>
          <w:color w:val="000000"/>
        </w:rPr>
        <w:t xml:space="preserve"> responde a cuatro objetivos: </w:t>
      </w:r>
    </w:p>
    <w:p w:rsidR="0062206C" w:rsidRDefault="0062206C" w:rsidP="0062206C">
      <w:pPr>
        <w:suppressAutoHyphens/>
        <w:ind w:right="51"/>
        <w:rPr>
          <w:rFonts w:cs="Arial"/>
          <w:color w:val="000000"/>
        </w:rPr>
      </w:pPr>
    </w:p>
    <w:p w:rsidR="0062206C" w:rsidRPr="00B17AA0" w:rsidRDefault="0062206C" w:rsidP="0062206C">
      <w:pPr>
        <w:pStyle w:val="Prrafodelista"/>
        <w:numPr>
          <w:ilvl w:val="0"/>
          <w:numId w:val="32"/>
        </w:numPr>
        <w:suppressAutoHyphens/>
        <w:ind w:right="51"/>
        <w:rPr>
          <w:sz w:val="24"/>
          <w:szCs w:val="24"/>
        </w:rPr>
      </w:pPr>
      <w:r w:rsidRPr="00B17AA0">
        <w:rPr>
          <w:sz w:val="24"/>
          <w:szCs w:val="24"/>
        </w:rPr>
        <w:t>Asegurar la implementación de un sistema eficiente y seguro de transporte que lleve el GLP entre el continente y la Isla.</w:t>
      </w:r>
    </w:p>
    <w:p w:rsidR="0062206C" w:rsidRPr="00B17AA0" w:rsidRDefault="0062206C" w:rsidP="0062206C">
      <w:pPr>
        <w:pStyle w:val="Prrafodelista"/>
        <w:numPr>
          <w:ilvl w:val="0"/>
          <w:numId w:val="32"/>
        </w:numPr>
        <w:suppressAutoHyphens/>
        <w:ind w:right="51"/>
        <w:rPr>
          <w:sz w:val="24"/>
          <w:szCs w:val="24"/>
        </w:rPr>
      </w:pPr>
      <w:r w:rsidRPr="00B17AA0">
        <w:rPr>
          <w:sz w:val="24"/>
          <w:szCs w:val="24"/>
        </w:rPr>
        <w:t xml:space="preserve">Garantizar la continuidad de la prestación del servicio domiciliario de GLP al usuario final. </w:t>
      </w:r>
    </w:p>
    <w:p w:rsidR="0062206C" w:rsidRPr="00B17AA0" w:rsidRDefault="0062206C" w:rsidP="0062206C">
      <w:pPr>
        <w:pStyle w:val="Prrafodelista"/>
        <w:numPr>
          <w:ilvl w:val="0"/>
          <w:numId w:val="32"/>
        </w:numPr>
        <w:suppressAutoHyphens/>
        <w:ind w:right="51"/>
        <w:rPr>
          <w:sz w:val="24"/>
          <w:szCs w:val="24"/>
        </w:rPr>
      </w:pPr>
      <w:r w:rsidRPr="00B17AA0">
        <w:rPr>
          <w:sz w:val="24"/>
          <w:szCs w:val="24"/>
        </w:rPr>
        <w:t xml:space="preserve">Definir claramente las responsabilidades del transporte del GLP desde el continente al </w:t>
      </w:r>
      <w:r w:rsidR="00A16563">
        <w:rPr>
          <w:sz w:val="24"/>
          <w:szCs w:val="24"/>
        </w:rPr>
        <w:t>archipiélago</w:t>
      </w:r>
      <w:r w:rsidRPr="00B17AA0">
        <w:rPr>
          <w:sz w:val="24"/>
          <w:szCs w:val="24"/>
        </w:rPr>
        <w:t>.</w:t>
      </w:r>
    </w:p>
    <w:p w:rsidR="0062206C" w:rsidRPr="00B17AA0" w:rsidRDefault="0062206C" w:rsidP="0062206C">
      <w:pPr>
        <w:pStyle w:val="Prrafodelista"/>
        <w:numPr>
          <w:ilvl w:val="0"/>
          <w:numId w:val="32"/>
        </w:numPr>
        <w:suppressAutoHyphens/>
        <w:ind w:right="51"/>
        <w:rPr>
          <w:sz w:val="24"/>
          <w:szCs w:val="24"/>
        </w:rPr>
      </w:pPr>
      <w:r w:rsidRPr="00B17AA0">
        <w:rPr>
          <w:sz w:val="24"/>
          <w:szCs w:val="24"/>
        </w:rPr>
        <w:t>Reflejar en la remuneración los costos eficientes en que incurran las empresas por el transporte del GLP.</w:t>
      </w:r>
    </w:p>
    <w:p w:rsidR="0062206C" w:rsidRDefault="0062206C" w:rsidP="0062206C">
      <w:pPr>
        <w:suppressAutoHyphens/>
        <w:ind w:right="51"/>
      </w:pPr>
    </w:p>
    <w:p w:rsidR="0062206C" w:rsidRDefault="0062206C" w:rsidP="0062206C">
      <w:pPr>
        <w:suppressAutoHyphens/>
        <w:ind w:right="51"/>
      </w:pPr>
      <w:r>
        <w:t>Adicionalmente, se asignaron obligaciones concretas dentro de las cuales el transportador debía hacer las inversiones requeridas, transportar hacia la isla de San Andrés la cantidad requerida para garantizar la continuidad en el suministro de GLP, de acuerdo con lo establecido en la regulación.</w:t>
      </w:r>
    </w:p>
    <w:p w:rsidR="0062206C" w:rsidRDefault="0062206C" w:rsidP="0062206C">
      <w:pPr>
        <w:suppressAutoHyphens/>
        <w:ind w:right="51"/>
      </w:pPr>
    </w:p>
    <w:p w:rsidR="0062206C" w:rsidRDefault="0062206C" w:rsidP="0062206C">
      <w:pPr>
        <w:suppressAutoHyphens/>
        <w:ind w:right="51"/>
      </w:pPr>
      <w:r>
        <w:t xml:space="preserve">Para realizar el transporte se exigió el uso de envases con características similares o iguales a </w:t>
      </w:r>
      <w:proofErr w:type="spellStart"/>
      <w:r>
        <w:t>iso</w:t>
      </w:r>
      <w:proofErr w:type="spellEnd"/>
      <w:r>
        <w:t xml:space="preserve">-contenedores o </w:t>
      </w:r>
      <w:proofErr w:type="spellStart"/>
      <w:r>
        <w:t>isotanques</w:t>
      </w:r>
      <w:proofErr w:type="spellEnd"/>
      <w:r>
        <w:t>, los cuales deberán estar ubicados adecuadamente en los barcos, así como de forma segura.</w:t>
      </w:r>
    </w:p>
    <w:p w:rsidR="0062206C" w:rsidRDefault="0062206C" w:rsidP="0062206C">
      <w:pPr>
        <w:suppressAutoHyphens/>
        <w:ind w:right="51"/>
      </w:pPr>
    </w:p>
    <w:p w:rsidR="0062206C" w:rsidRDefault="0062206C" w:rsidP="0062206C">
      <w:pPr>
        <w:suppressAutoHyphens/>
        <w:ind w:right="51"/>
        <w:rPr>
          <w:rFonts w:cs="Arial"/>
          <w:color w:val="000000"/>
        </w:rPr>
      </w:pPr>
      <w:r>
        <w:t xml:space="preserve">La remuneración de la actividad de transporte se construyó con base en el cargo máximo aprobado por la CREG para el mercado de San Andrés, calculado a partir de los gastos de administración, operación y mantenimiento (AOM), los costos de la depreciación de los activos necesarios para la operación y la demanda del </w:t>
      </w:r>
      <w:r w:rsidR="00A16563">
        <w:t>archipiélago</w:t>
      </w:r>
      <w:r>
        <w:t>.</w:t>
      </w:r>
    </w:p>
    <w:p w:rsidR="0062206C" w:rsidRDefault="0062206C" w:rsidP="0062206C">
      <w:pPr>
        <w:suppressAutoHyphens/>
        <w:ind w:right="51"/>
        <w:rPr>
          <w:rFonts w:cs="Arial"/>
          <w:color w:val="000000"/>
        </w:rPr>
      </w:pPr>
    </w:p>
    <w:p w:rsidR="0062206C" w:rsidRDefault="0062206C" w:rsidP="0062206C">
      <w:pPr>
        <w:pStyle w:val="Ttulo3"/>
        <w:tabs>
          <w:tab w:val="left" w:pos="993"/>
        </w:tabs>
      </w:pPr>
      <w:bookmarkStart w:id="3" w:name="_Ref432693334"/>
      <w:bookmarkStart w:id="4" w:name="_Ref432693525"/>
      <w:bookmarkStart w:id="5" w:name="_Toc434593407"/>
      <w:r>
        <w:t>Remuneración de la actividad de transporte</w:t>
      </w:r>
      <w:bookmarkEnd w:id="3"/>
      <w:bookmarkEnd w:id="4"/>
      <w:bookmarkEnd w:id="5"/>
    </w:p>
    <w:p w:rsidR="0062206C" w:rsidRDefault="0062206C" w:rsidP="0062206C">
      <w:pPr>
        <w:rPr>
          <w:szCs w:val="27"/>
        </w:rPr>
      </w:pPr>
      <w:r>
        <w:t xml:space="preserve">La resolución CREG 050 de 2009 estableció los criterios </w:t>
      </w:r>
      <w:r w:rsidRPr="003F17EA">
        <w:rPr>
          <w:rFonts w:cs="Arial"/>
        </w:rPr>
        <w:t>para la remuneración de la actividad d</w:t>
      </w:r>
      <w:r>
        <w:rPr>
          <w:rFonts w:cs="Arial"/>
        </w:rPr>
        <w:t xml:space="preserve">e </w:t>
      </w:r>
      <w:r w:rsidR="00A16563">
        <w:rPr>
          <w:rFonts w:cs="Arial"/>
        </w:rPr>
        <w:t>transporte de gas l</w:t>
      </w:r>
      <w:r>
        <w:rPr>
          <w:rFonts w:cs="Arial"/>
        </w:rPr>
        <w:t>icuado de</w:t>
      </w:r>
      <w:r w:rsidR="00A16563">
        <w:rPr>
          <w:rFonts w:cs="Arial"/>
        </w:rPr>
        <w:t xml:space="preserve"> p</w:t>
      </w:r>
      <w:r w:rsidRPr="003F17EA">
        <w:rPr>
          <w:rFonts w:cs="Arial"/>
        </w:rPr>
        <w:t xml:space="preserve">etróleo (GLP) </w:t>
      </w:r>
      <w:r>
        <w:rPr>
          <w:szCs w:val="27"/>
        </w:rPr>
        <w:t xml:space="preserve">al </w:t>
      </w:r>
      <w:r w:rsidR="00A16563">
        <w:rPr>
          <w:szCs w:val="27"/>
        </w:rPr>
        <w:t>Archipiélago</w:t>
      </w:r>
      <w:r>
        <w:rPr>
          <w:szCs w:val="27"/>
        </w:rPr>
        <w:t xml:space="preserve"> de San Andrés, Providencia y Santa Catalina, mediante la cual se estableció el cálculo del cargo medio de transporte, de la siguiente forma: </w:t>
      </w:r>
    </w:p>
    <w:p w:rsidR="00B17AA0" w:rsidRDefault="00B17AA0" w:rsidP="0062206C">
      <w:pPr>
        <w:rPr>
          <w:szCs w:val="27"/>
        </w:rPr>
      </w:pPr>
    </w:p>
    <w:p w:rsidR="0062206C" w:rsidRDefault="0062206C" w:rsidP="0062206C">
      <w:pPr>
        <w:rPr>
          <w:szCs w:val="27"/>
        </w:rPr>
      </w:pPr>
    </w:p>
    <w:p w:rsidR="0062206C" w:rsidRDefault="0062206C" w:rsidP="0062206C">
      <m:oMathPara>
        <m:oMath>
          <m:r>
            <w:rPr>
              <w:rFonts w:ascii="Cambria Math" w:hAnsi="Cambria Math"/>
            </w:rPr>
            <w:lastRenderedPageBreak/>
            <m:t>CU</m:t>
          </m:r>
          <m:sSub>
            <m:sSubPr>
              <m:ctrlPr>
                <w:rPr>
                  <w:rFonts w:ascii="Cambria Math" w:hAnsi="Cambria Math"/>
                  <w:i/>
                </w:rPr>
              </m:ctrlPr>
            </m:sSubPr>
            <m:e>
              <m:r>
                <w:rPr>
                  <w:rFonts w:ascii="Cambria Math" w:hAnsi="Cambria Math"/>
                </w:rPr>
                <m:t>T</m:t>
              </m:r>
            </m:e>
            <m:sub>
              <m:r>
                <w:rPr>
                  <w:rFonts w:ascii="Cambria Math" w:hAnsi="Cambria Math"/>
                </w:rPr>
                <m:t>SAt</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AOM*</m:t>
                  </m:r>
                  <m:d>
                    <m:dPr>
                      <m:ctrlPr>
                        <w:rPr>
                          <w:rFonts w:ascii="Cambria Math" w:hAnsi="Cambria Math"/>
                          <w:i/>
                        </w:rPr>
                      </m:ctrlPr>
                    </m:dPr>
                    <m:e>
                      <m:r>
                        <w:rPr>
                          <w:rFonts w:ascii="Cambria Math" w:hAnsi="Cambria Math"/>
                        </w:rPr>
                        <m:t>1-α</m:t>
                      </m:r>
                    </m:e>
                  </m:d>
                  <m:r>
                    <w:rPr>
                      <w:rFonts w:ascii="Cambria Math" w:hAnsi="Cambria Math"/>
                    </w:rPr>
                    <m:t>+</m:t>
                  </m:r>
                  <m:d>
                    <m:dPr>
                      <m:ctrlPr>
                        <w:rPr>
                          <w:rFonts w:ascii="Cambria Math" w:hAnsi="Cambria Math"/>
                          <w:i/>
                        </w:rPr>
                      </m:ctrlPr>
                    </m:dPr>
                    <m:e>
                      <m:r>
                        <w:rPr>
                          <w:rFonts w:ascii="Cambria Math" w:hAnsi="Cambria Math"/>
                        </w:rPr>
                        <m:t>α*AOM</m:t>
                      </m:r>
                    </m:e>
                  </m:d>
                  <m:d>
                    <m:dPr>
                      <m:begChr m:val="["/>
                      <m:endChr m:val="]"/>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Indic</m:t>
                              </m:r>
                              <m:sSub>
                                <m:sSubPr>
                                  <m:ctrlPr>
                                    <w:rPr>
                                      <w:rFonts w:ascii="Cambria Math" w:hAnsi="Cambria Math"/>
                                      <w:i/>
                                    </w:rPr>
                                  </m:ctrlPr>
                                </m:sSubPr>
                                <m:e>
                                  <m:r>
                                    <w:rPr>
                                      <w:rFonts w:ascii="Cambria Math" w:hAnsi="Cambria Math"/>
                                    </w:rPr>
                                    <m:t>e</m:t>
                                  </m:r>
                                </m:e>
                                <m:sub>
                                  <m:r>
                                    <w:rPr>
                                      <w:rFonts w:ascii="Cambria Math" w:hAnsi="Cambria Math"/>
                                    </w:rPr>
                                    <m:t>t-1</m:t>
                                  </m:r>
                                </m:sub>
                              </m:sSub>
                            </m:e>
                          </m:acc>
                        </m:num>
                        <m:den>
                          <m:acc>
                            <m:accPr>
                              <m:chr m:val="̅"/>
                              <m:ctrlPr>
                                <w:rPr>
                                  <w:rFonts w:ascii="Cambria Math" w:hAnsi="Cambria Math"/>
                                  <w:i/>
                                </w:rPr>
                              </m:ctrlPr>
                            </m:accPr>
                            <m:e>
                              <m:r>
                                <w:rPr>
                                  <w:rFonts w:ascii="Cambria Math" w:hAnsi="Cambria Math"/>
                                </w:rPr>
                                <m:t>Indic</m:t>
                              </m:r>
                              <m:sSub>
                                <m:sSubPr>
                                  <m:ctrlPr>
                                    <w:rPr>
                                      <w:rFonts w:ascii="Cambria Math" w:hAnsi="Cambria Math"/>
                                      <w:i/>
                                    </w:rPr>
                                  </m:ctrlPr>
                                </m:sSubPr>
                                <m:e>
                                  <m:r>
                                    <w:rPr>
                                      <w:rFonts w:ascii="Cambria Math" w:hAnsi="Cambria Math"/>
                                    </w:rPr>
                                    <m:t>e</m:t>
                                  </m:r>
                                </m:e>
                                <m:sub>
                                  <m:r>
                                    <w:rPr>
                                      <w:rFonts w:ascii="Cambria Math" w:hAnsi="Cambria Math"/>
                                    </w:rPr>
                                    <m:t>t0</m:t>
                                  </m:r>
                                </m:sub>
                              </m:sSub>
                            </m:e>
                          </m:acc>
                        </m:den>
                      </m:f>
                    </m:e>
                  </m:d>
                  <m:r>
                    <w:rPr>
                      <w:rFonts w:ascii="Cambria Math" w:hAnsi="Cambria Math"/>
                    </w:rPr>
                    <m:t>+Dep</m:t>
                  </m:r>
                  <m:r>
                    <w:rPr>
                      <w:rFonts w:ascii="Cambria Math" w:hAnsi="Cambria Math"/>
                    </w:rPr>
                    <m:t>reciación</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t</m:t>
                      </m:r>
                    </m:sub>
                  </m:sSub>
                </m:e>
              </m:d>
            </m:num>
            <m:den>
              <m:r>
                <w:rPr>
                  <w:rFonts w:ascii="Cambria Math" w:hAnsi="Cambria Math"/>
                </w:rPr>
                <m:t>D</m:t>
              </m:r>
              <m:sSub>
                <m:sSubPr>
                  <m:ctrlPr>
                    <w:rPr>
                      <w:rFonts w:ascii="Cambria Math" w:hAnsi="Cambria Math"/>
                      <w:i/>
                    </w:rPr>
                  </m:ctrlPr>
                </m:sSubPr>
                <m:e>
                  <m:r>
                    <w:rPr>
                      <w:rFonts w:ascii="Cambria Math" w:hAnsi="Cambria Math"/>
                    </w:rPr>
                    <m:t>A</m:t>
                  </m:r>
                </m:e>
                <m:sub>
                  <m:r>
                    <w:rPr>
                      <w:rFonts w:ascii="Cambria Math" w:hAnsi="Cambria Math"/>
                    </w:rPr>
                    <m:t>SA</m:t>
                  </m:r>
                </m:sub>
              </m:sSub>
            </m:den>
          </m:f>
        </m:oMath>
      </m:oMathPara>
    </w:p>
    <w:p w:rsidR="0062206C" w:rsidRDefault="0062206C" w:rsidP="0062206C"/>
    <w:p w:rsidR="0062206C" w:rsidRDefault="0062206C" w:rsidP="0062206C">
      <w:r>
        <w:t xml:space="preserve">Adicionalmente se dispuso que el costo del transporte se </w:t>
      </w:r>
      <w:proofErr w:type="gramStart"/>
      <w:r>
        <w:t>pagaría</w:t>
      </w:r>
      <w:proofErr w:type="gramEnd"/>
      <w:r>
        <w:t xml:space="preserve"> en un 19% por la demanda del </w:t>
      </w:r>
      <w:r w:rsidR="00A16563">
        <w:t>archipiélago</w:t>
      </w:r>
      <w:r>
        <w:t xml:space="preserve"> y 81% por la demanda total del continente. </w:t>
      </w:r>
    </w:p>
    <w:p w:rsidR="0062206C" w:rsidRDefault="0062206C" w:rsidP="0062206C"/>
    <w:p w:rsidR="0062206C" w:rsidRDefault="0062206C" w:rsidP="0062206C">
      <w:r>
        <w:t xml:space="preserve">Este último pago se recaudaría a través de la estampilla existente hoy con ese propósito, la cual se actualiza mensualmente con la demanda real de transporte de GLP en el continente, para evitar déficits o superávits por una disminución o aumento de la demanda en el continente. </w:t>
      </w:r>
    </w:p>
    <w:p w:rsidR="0062206C" w:rsidRDefault="0062206C" w:rsidP="0062206C"/>
    <w:p w:rsidR="0062206C" w:rsidRDefault="0062206C" w:rsidP="0062206C">
      <w:r>
        <w:t xml:space="preserve">Los recursos obtenidos con la estampilla del continente son recaudados por el transportador del continente a través de ductos y trasladados al transportador </w:t>
      </w:r>
      <w:proofErr w:type="spellStart"/>
      <w:r>
        <w:t>maritimo</w:t>
      </w:r>
      <w:proofErr w:type="spellEnd"/>
      <w:r>
        <w:t xml:space="preserve">. </w:t>
      </w:r>
    </w:p>
    <w:p w:rsidR="0062206C" w:rsidRDefault="0062206C" w:rsidP="0062206C"/>
    <w:p w:rsidR="0062206C" w:rsidRDefault="0062206C" w:rsidP="0062206C">
      <w:r>
        <w:t xml:space="preserve">La resolución CREG 049 de 2011 aprobó a </w:t>
      </w:r>
      <w:proofErr w:type="spellStart"/>
      <w:r>
        <w:t>Provigas</w:t>
      </w:r>
      <w:proofErr w:type="spellEnd"/>
      <w:r>
        <w:t xml:space="preserve"> S.A. E.S.P. los siguientes cargos de transporte a San Andrés:</w:t>
      </w:r>
    </w:p>
    <w:p w:rsidR="0062206C" w:rsidRDefault="0062206C" w:rsidP="0062206C"/>
    <w:p w:rsidR="0062206C" w:rsidRPr="00685AEF" w:rsidRDefault="0062206C" w:rsidP="0062206C">
      <w:pPr>
        <w:jc w:val="center"/>
      </w:pPr>
      <w:r>
        <w:rPr>
          <w:noProof/>
          <w:lang w:val="es-CO" w:eastAsia="es-CO"/>
        </w:rPr>
        <w:drawing>
          <wp:inline distT="0" distB="0" distL="0" distR="0" wp14:anchorId="64E233B2" wp14:editId="54E62DDF">
            <wp:extent cx="3962400"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771650"/>
                    </a:xfrm>
                    <a:prstGeom prst="rect">
                      <a:avLst/>
                    </a:prstGeom>
                    <a:noFill/>
                    <a:ln>
                      <a:noFill/>
                    </a:ln>
                  </pic:spPr>
                </pic:pic>
              </a:graphicData>
            </a:graphic>
          </wp:inline>
        </w:drawing>
      </w:r>
    </w:p>
    <w:p w:rsidR="0062206C" w:rsidRDefault="0062206C" w:rsidP="0062206C"/>
    <w:p w:rsidR="00B17AA0" w:rsidRDefault="00B17AA0" w:rsidP="0062206C"/>
    <w:p w:rsidR="0062206C" w:rsidRDefault="0062206C" w:rsidP="0062206C">
      <w:r>
        <w:t xml:space="preserve">En agosto de 2014, </w:t>
      </w:r>
      <w:proofErr w:type="spellStart"/>
      <w:r>
        <w:t>Provigas</w:t>
      </w:r>
      <w:proofErr w:type="spellEnd"/>
      <w:r>
        <w:t xml:space="preserve"> S.A. E.S.P., presenta a la CREG la solicitud de la revisión tarifaria de la metodología de remuneración de la actividad de transporte de GLP a San Andrés</w:t>
      </w:r>
      <w:r w:rsidR="00A16563">
        <w:t>, con ocasión del cierre de la r</w:t>
      </w:r>
      <w:r>
        <w:t>efinería de Cartagena.</w:t>
      </w:r>
    </w:p>
    <w:p w:rsidR="0062206C" w:rsidRDefault="0062206C" w:rsidP="0062206C"/>
    <w:p w:rsidR="0062206C" w:rsidRDefault="0062206C" w:rsidP="0062206C">
      <w:r>
        <w:t xml:space="preserve">En este orden, mediante la resolución CREG 149 de 2015, se modifican los cargos aprobados anteriormente, esencialmente en lo referido a los costos de administración, operación y mantenimiento (AOM) de acuerdo al punto de entrega del producto así: </w:t>
      </w:r>
    </w:p>
    <w:p w:rsidR="0062206C" w:rsidRDefault="0062206C"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62206C" w:rsidRDefault="0062206C" w:rsidP="0062206C">
      <w:pPr>
        <w:jc w:val="center"/>
      </w:pPr>
      <w:r w:rsidRPr="006D0613">
        <w:rPr>
          <w:noProof/>
          <w:lang w:val="es-CO" w:eastAsia="es-CO"/>
        </w:rPr>
        <w:lastRenderedPageBreak/>
        <w:drawing>
          <wp:inline distT="0" distB="0" distL="0" distR="0" wp14:anchorId="1D7AA7AB" wp14:editId="057F14EE">
            <wp:extent cx="5143500" cy="161676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1616768"/>
                    </a:xfrm>
                    <a:prstGeom prst="rect">
                      <a:avLst/>
                    </a:prstGeom>
                    <a:noFill/>
                    <a:ln>
                      <a:noFill/>
                    </a:ln>
                  </pic:spPr>
                </pic:pic>
              </a:graphicData>
            </a:graphic>
          </wp:inline>
        </w:drawing>
      </w:r>
    </w:p>
    <w:p w:rsidR="0062206C" w:rsidRDefault="0062206C" w:rsidP="0062206C"/>
    <w:p w:rsidR="003A3C20" w:rsidRDefault="003A3C20" w:rsidP="0062206C"/>
    <w:p w:rsidR="0062206C" w:rsidRDefault="0062206C" w:rsidP="0062206C">
      <w:r>
        <w:t xml:space="preserve">Lo anterior responde a mayores costos de AOM debido a valores adicionales de transporte terrestre en los que se incurre por transportar el producto desde fuentes diferentes a la refinería de Cartagena. </w:t>
      </w:r>
    </w:p>
    <w:p w:rsidR="003A3C20" w:rsidRDefault="003A3C20" w:rsidP="0062206C"/>
    <w:p w:rsidR="0062206C" w:rsidRDefault="00CC2058" w:rsidP="0062206C">
      <w:r>
        <w:t>Por otro lado, a través de la</w:t>
      </w:r>
      <w:r w:rsidR="0062206C">
        <w:t xml:space="preserve"> resolución </w:t>
      </w:r>
      <w:r>
        <w:t xml:space="preserve">CREG 176 de 2011, se estableció la </w:t>
      </w:r>
      <w:r w:rsidR="0062206C" w:rsidRPr="00D177A2">
        <w:t>revisión del cargo para la remuneración de la actividad de transp</w:t>
      </w:r>
      <w:r>
        <w:t>orte de</w:t>
      </w:r>
      <w:r w:rsidR="0062206C" w:rsidRPr="00D177A2">
        <w:t xml:space="preserve"> GLP al </w:t>
      </w:r>
      <w:r w:rsidR="00A16563">
        <w:t>archipiélago</w:t>
      </w:r>
      <w:r w:rsidR="0062206C" w:rsidRPr="00D177A2">
        <w:t xml:space="preserve"> de San Andrés, Providencia y Santa Catalina pre</w:t>
      </w:r>
      <w:r w:rsidR="0062206C">
        <w:t>senta</w:t>
      </w:r>
      <w:r>
        <w:t>da por la empresa PROVIGAS,</w:t>
      </w:r>
      <w:r w:rsidR="0062206C">
        <w:t xml:space="preserve"> a</w:t>
      </w:r>
      <w:r>
        <w:t>justando</w:t>
      </w:r>
      <w:r w:rsidR="0062206C">
        <w:t xml:space="preserve"> </w:t>
      </w:r>
      <w:r>
        <w:t xml:space="preserve">la formula, a lo dispuesto en </w:t>
      </w:r>
      <w:r w:rsidR="0062206C">
        <w:t xml:space="preserve">el artículo 10 de la Resolución CREG </w:t>
      </w:r>
      <w:r w:rsidR="0062206C" w:rsidRPr="00D87A65">
        <w:rPr>
          <w:bCs/>
        </w:rPr>
        <w:t>050 de 2009</w:t>
      </w:r>
      <w:r>
        <w:rPr>
          <w:bCs/>
        </w:rPr>
        <w:t xml:space="preserve"> así</w:t>
      </w:r>
      <w:r w:rsidR="0062206C">
        <w:t>:</w:t>
      </w:r>
    </w:p>
    <w:p w:rsidR="0062206C" w:rsidRDefault="0062206C" w:rsidP="0062206C"/>
    <w:p w:rsidR="0062206C" w:rsidRPr="00B17AA0" w:rsidRDefault="0062206C" w:rsidP="0062206C">
      <w:pPr>
        <w:pStyle w:val="Textoindependiente21"/>
        <w:ind w:left="567"/>
        <w:rPr>
          <w:b w:val="0"/>
          <w:i/>
          <w:szCs w:val="24"/>
        </w:rPr>
      </w:pPr>
      <w:r w:rsidRPr="00B17AA0">
        <w:rPr>
          <w:i/>
          <w:szCs w:val="24"/>
        </w:rPr>
        <w:t xml:space="preserve">10 REMUNERACIÓN MENSUAL DEL CARGO MEDIO DE TRANSPORTE. </w:t>
      </w:r>
      <w:r w:rsidRPr="00B17AA0">
        <w:rPr>
          <w:b w:val="0"/>
          <w:i/>
          <w:szCs w:val="24"/>
        </w:rPr>
        <w:t xml:space="preserve">El cargo de transporte definido mensualmente será remunerado en un porcentaje con la demanda del mercado de San Andrés  y el resto con la demanda del continente, tal  y como se indica en las siguientes fórmulas: </w:t>
      </w:r>
    </w:p>
    <w:p w:rsidR="0062206C" w:rsidRPr="00B17AA0" w:rsidRDefault="0062206C" w:rsidP="0062206C">
      <w:pPr>
        <w:pStyle w:val="Textoindependiente21"/>
        <w:ind w:left="567"/>
        <w:rPr>
          <w:b w:val="0"/>
          <w:i/>
          <w:szCs w:val="24"/>
        </w:rPr>
      </w:pPr>
    </w:p>
    <w:p w:rsidR="0062206C" w:rsidRPr="00B17AA0" w:rsidRDefault="0062206C" w:rsidP="0062206C">
      <w:pPr>
        <w:spacing w:after="200"/>
        <w:ind w:left="567"/>
        <w:rPr>
          <w:rFonts w:cs="Arial"/>
          <w:i/>
        </w:rPr>
      </w:pPr>
      <w:r w:rsidRPr="00B17AA0">
        <w:rPr>
          <w:rFonts w:cs="Arial"/>
          <w:i/>
        </w:rPr>
        <w:t>Cargo para la demanda del mercado de San Andrés:</w:t>
      </w:r>
    </w:p>
    <w:p w:rsidR="0062206C" w:rsidRPr="005905FA" w:rsidRDefault="008244EC" w:rsidP="0062206C">
      <w:pPr>
        <w:ind w:left="567"/>
        <w:jc w:val="center"/>
        <w:rPr>
          <w:rFonts w:cs="Arial"/>
          <w:i/>
          <w:sz w:val="22"/>
        </w:rPr>
      </w:pPr>
      <w:r>
        <w:rPr>
          <w:rFonts w:cs="Arial"/>
          <w:i/>
          <w:noProof/>
          <w:sz w:val="22"/>
          <w:lang w:eastAsia="es-CO"/>
        </w:rPr>
        <w:pict>
          <v:shape id="Object 10" o:spid="_x0000_s1028" type="#_x0000_t75" style="position:absolute;left:0;text-align:left;margin-left:144.1pt;margin-top:4.25pt;width:182.2pt;height:40.4pt;z-index:251659264" fillcolor="#d6e3bc">
            <v:imagedata r:id="rId13" o:title=""/>
          </v:shape>
          <o:OLEObject Type="Embed" ProgID="Equation.3" ShapeID="Object 10" DrawAspect="Content" ObjectID="_1512225489" r:id="rId14"/>
        </w:pict>
      </w:r>
    </w:p>
    <w:p w:rsidR="0062206C" w:rsidRPr="005905FA" w:rsidRDefault="0062206C" w:rsidP="0062206C">
      <w:pPr>
        <w:ind w:left="567"/>
        <w:jc w:val="center"/>
        <w:rPr>
          <w:rFonts w:cs="Arial"/>
          <w:i/>
          <w:sz w:val="22"/>
        </w:rPr>
      </w:pPr>
    </w:p>
    <w:p w:rsidR="0062206C" w:rsidRPr="005905FA" w:rsidRDefault="0062206C" w:rsidP="0062206C">
      <w:pPr>
        <w:ind w:left="567"/>
        <w:jc w:val="center"/>
        <w:rPr>
          <w:rFonts w:cs="Arial"/>
          <w:i/>
          <w:sz w:val="22"/>
        </w:rPr>
      </w:pPr>
    </w:p>
    <w:p w:rsidR="0062206C" w:rsidRPr="005905FA" w:rsidRDefault="0062206C" w:rsidP="0062206C">
      <w:pPr>
        <w:spacing w:after="200"/>
        <w:ind w:left="567"/>
        <w:jc w:val="center"/>
        <w:rPr>
          <w:rFonts w:cs="Arial"/>
          <w:i/>
          <w:sz w:val="22"/>
        </w:rPr>
      </w:pPr>
    </w:p>
    <w:p w:rsidR="0062206C" w:rsidRPr="005905FA" w:rsidRDefault="0062206C" w:rsidP="0062206C">
      <w:pPr>
        <w:spacing w:after="200"/>
        <w:ind w:left="567"/>
        <w:jc w:val="center"/>
        <w:rPr>
          <w:rFonts w:cs="Arial"/>
          <w:i/>
          <w:sz w:val="22"/>
        </w:rPr>
      </w:pPr>
    </w:p>
    <w:p w:rsidR="0062206C" w:rsidRPr="00B17AA0" w:rsidRDefault="0062206C" w:rsidP="0062206C">
      <w:pPr>
        <w:spacing w:after="200"/>
        <w:ind w:left="567"/>
        <w:jc w:val="left"/>
        <w:rPr>
          <w:rFonts w:cs="Arial"/>
          <w:i/>
        </w:rPr>
      </w:pPr>
      <w:r w:rsidRPr="00B17AA0">
        <w:rPr>
          <w:rFonts w:cs="Arial"/>
          <w:i/>
        </w:rPr>
        <w:t>Cargo  estampilla a cubrirse con la demanda del continente</w:t>
      </w:r>
    </w:p>
    <w:p w:rsidR="0062206C" w:rsidRPr="005905FA" w:rsidRDefault="0062206C" w:rsidP="0062206C">
      <w:pPr>
        <w:spacing w:after="200"/>
        <w:ind w:left="567"/>
        <w:jc w:val="center"/>
        <w:rPr>
          <w:rFonts w:cs="Arial"/>
          <w:i/>
          <w:sz w:val="22"/>
        </w:rPr>
      </w:pPr>
    </w:p>
    <w:p w:rsidR="0062206C" w:rsidRPr="005905FA" w:rsidRDefault="0062206C" w:rsidP="0062206C">
      <w:pPr>
        <w:ind w:left="567"/>
        <w:jc w:val="center"/>
        <w:rPr>
          <w:i/>
          <w:sz w:val="22"/>
        </w:rPr>
      </w:pPr>
      <w:r w:rsidRPr="005905FA">
        <w:rPr>
          <w:rFonts w:ascii="Arial" w:hAnsi="Arial" w:cs="Arial"/>
          <w:i/>
          <w:position w:val="-44"/>
          <w:sz w:val="22"/>
          <w:lang w:val="en-US"/>
        </w:rPr>
        <w:object w:dxaOrig="7280" w:dyaOrig="1040">
          <v:shape id="_x0000_i1027" type="#_x0000_t75" style="width:338.9pt;height:48.8pt" o:ole="">
            <v:imagedata r:id="rId15" o:title=""/>
          </v:shape>
          <o:OLEObject Type="Embed" ProgID="Equation.3" ShapeID="_x0000_i1027" DrawAspect="Content" ObjectID="_1512225486" r:id="rId16"/>
        </w:object>
      </w:r>
    </w:p>
    <w:p w:rsidR="0062206C" w:rsidRPr="005905FA" w:rsidRDefault="0062206C" w:rsidP="0062206C">
      <w:pPr>
        <w:ind w:left="567"/>
        <w:rPr>
          <w:i/>
          <w:sz w:val="22"/>
        </w:rPr>
      </w:pPr>
    </w:p>
    <w:p w:rsidR="0062206C" w:rsidRPr="00B17AA0" w:rsidRDefault="0062206C" w:rsidP="0062206C">
      <w:pPr>
        <w:ind w:left="567"/>
        <w:rPr>
          <w:rFonts w:cs="Arial"/>
          <w:i/>
        </w:rPr>
      </w:pPr>
      <w:r w:rsidRPr="00B17AA0">
        <w:rPr>
          <w:rFonts w:cs="Arial"/>
          <w:i/>
        </w:rPr>
        <w:t>Siendo:</w:t>
      </w:r>
    </w:p>
    <w:p w:rsidR="0062206C" w:rsidRPr="005905FA" w:rsidRDefault="0062206C" w:rsidP="0062206C">
      <w:pPr>
        <w:ind w:left="567"/>
        <w:rPr>
          <w:rFonts w:cs="Arial"/>
          <w:i/>
          <w:sz w:val="22"/>
        </w:rPr>
      </w:pPr>
    </w:p>
    <w:p w:rsidR="0062206C" w:rsidRPr="005905FA" w:rsidRDefault="0062206C" w:rsidP="0062206C">
      <w:pPr>
        <w:ind w:left="567"/>
        <w:rPr>
          <w:rFonts w:cs="Arial"/>
          <w:i/>
          <w:sz w:val="22"/>
        </w:rPr>
      </w:pPr>
      <w:r w:rsidRPr="005905FA">
        <w:rPr>
          <w:rFonts w:ascii="Arial" w:hAnsi="Arial" w:cs="Arial"/>
          <w:i/>
          <w:position w:val="-18"/>
          <w:sz w:val="22"/>
          <w:lang w:val="en-US"/>
        </w:rPr>
        <w:object w:dxaOrig="7660" w:dyaOrig="460">
          <v:shape id="_x0000_i1028" type="#_x0000_t75" style="width:407.15pt;height:24.75pt" o:ole="">
            <v:imagedata r:id="rId17" o:title=""/>
          </v:shape>
          <o:OLEObject Type="Embed" ProgID="Equation.3" ShapeID="_x0000_i1028" DrawAspect="Content" ObjectID="_1512225487" r:id="rId18"/>
        </w:object>
      </w:r>
    </w:p>
    <w:p w:rsidR="0062206C" w:rsidRPr="005905FA" w:rsidRDefault="0062206C" w:rsidP="0062206C">
      <w:pPr>
        <w:ind w:left="567"/>
        <w:rPr>
          <w:rFonts w:cs="Arial"/>
          <w:i/>
          <w:sz w:val="22"/>
        </w:rPr>
      </w:pPr>
    </w:p>
    <w:p w:rsidR="0062206C" w:rsidRPr="005905FA" w:rsidRDefault="0062206C" w:rsidP="0062206C">
      <w:pPr>
        <w:outlineLvl w:val="0"/>
        <w:rPr>
          <w:rFonts w:cs="Arial"/>
          <w:sz w:val="22"/>
          <w:highlight w:val="yellow"/>
        </w:rPr>
      </w:pPr>
    </w:p>
    <w:p w:rsidR="0062206C" w:rsidRPr="009C1C86" w:rsidRDefault="0062206C" w:rsidP="0062206C">
      <w:r>
        <w:t xml:space="preserve">Adicionalmente en la resolución CREG 176 de 2011 se eliminó el </w:t>
      </w:r>
      <w:r w:rsidRPr="005905FA">
        <w:t>Artículo 11 de la Resolución CREG 050 de 2009.</w:t>
      </w:r>
    </w:p>
    <w:p w:rsidR="0062206C" w:rsidRDefault="0062206C" w:rsidP="0062206C"/>
    <w:p w:rsidR="0062206C" w:rsidRDefault="0062206C" w:rsidP="0062206C">
      <w:pPr>
        <w:pStyle w:val="Ttulo3"/>
        <w:tabs>
          <w:tab w:val="left" w:pos="993"/>
        </w:tabs>
      </w:pPr>
      <w:bookmarkStart w:id="6" w:name="_Toc434593408"/>
      <w:r w:rsidRPr="00AE4D2C">
        <w:t xml:space="preserve">Evolución </w:t>
      </w:r>
      <w:r>
        <w:t>de la tarifa en las islas</w:t>
      </w:r>
      <w:r w:rsidRPr="00AE4D2C">
        <w:t>.</w:t>
      </w:r>
      <w:bookmarkEnd w:id="6"/>
    </w:p>
    <w:p w:rsidR="0062206C" w:rsidRDefault="0062206C" w:rsidP="0062206C"/>
    <w:p w:rsidR="0062206C" w:rsidRDefault="0062206C" w:rsidP="0062206C">
      <w:r>
        <w:t>A continuación se presenta la evolución de las componentes del CU aplicado para San Andrés.</w:t>
      </w:r>
    </w:p>
    <w:p w:rsidR="0062206C" w:rsidRDefault="0062206C" w:rsidP="0062206C"/>
    <w:p w:rsidR="0062206C" w:rsidRDefault="0062206C" w:rsidP="0062206C">
      <w:r>
        <w:rPr>
          <w:noProof/>
          <w:lang w:val="es-CO" w:eastAsia="es-CO"/>
        </w:rPr>
        <mc:AlternateContent>
          <mc:Choice Requires="wps">
            <w:drawing>
              <wp:anchor distT="0" distB="0" distL="114300" distR="114300" simplePos="0" relativeHeight="251664384" behindDoc="0" locked="0" layoutInCell="1" allowOverlap="1" wp14:anchorId="5081B5A1" wp14:editId="1B21D04F">
                <wp:simplePos x="0" y="0"/>
                <wp:positionH relativeFrom="column">
                  <wp:posOffset>624840</wp:posOffset>
                </wp:positionH>
                <wp:positionV relativeFrom="paragraph">
                  <wp:posOffset>1098550</wp:posOffset>
                </wp:positionV>
                <wp:extent cx="590550" cy="247650"/>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w="9525">
                          <a:solidFill>
                            <a:srgbClr val="000000"/>
                          </a:solidFill>
                          <a:miter lim="800000"/>
                          <a:headEnd/>
                          <a:tailEnd/>
                        </a:ln>
                      </wps:spPr>
                      <wps:txbx>
                        <w:txbxContent>
                          <w:p w:rsidR="008C411D" w:rsidRPr="00C667BC" w:rsidRDefault="008C411D" w:rsidP="0062206C">
                            <w:pPr>
                              <w:rPr>
                                <w:sz w:val="16"/>
                                <w:lang w:val="es-CO"/>
                              </w:rPr>
                            </w:pPr>
                            <w:r w:rsidRPr="00C667BC">
                              <w:rPr>
                                <w:sz w:val="16"/>
                                <w:lang w:val="es-CO"/>
                              </w:rPr>
                              <w:t>77,4%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9.2pt;margin-top:86.5pt;width:4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">
                <v:textbox>
                  <w:txbxContent>
                    <w:p w:rsidR="008C411D" w:rsidRPr="00C667BC" w:rsidRDefault="008C411D" w:rsidP="0062206C">
                      <w:pPr>
                        <w:rPr>
                          <w:sz w:val="16"/>
                          <w:lang w:val="es-CO"/>
                        </w:rPr>
                      </w:pPr>
                      <w:r w:rsidRPr="00C667BC">
                        <w:rPr>
                          <w:sz w:val="16"/>
                          <w:lang w:val="es-CO"/>
                        </w:rPr>
                        <w:t>77,4%</w:t>
                      </w:r>
                    </w:p>
                  </w:txbxContent>
                </v:textbox>
              </v:shape>
            </w:pict>
          </mc:Fallback>
        </mc:AlternateContent>
      </w:r>
      <w:r>
        <w:rPr>
          <w:noProof/>
          <w:lang w:val="es-CO" w:eastAsia="es-CO"/>
        </w:rPr>
        <w:drawing>
          <wp:inline distT="0" distB="0" distL="0" distR="0" wp14:anchorId="7B4132F9" wp14:editId="0F4D7737">
            <wp:extent cx="5772150" cy="3228975"/>
            <wp:effectExtent l="0" t="0" r="1905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206C" w:rsidRDefault="0062206C" w:rsidP="0062206C">
      <w:pPr>
        <w:keepNext/>
        <w:jc w:val="left"/>
      </w:pPr>
      <w:r w:rsidRPr="00767F69">
        <w:rPr>
          <w:rFonts w:cs="Arial"/>
          <w:color w:val="000000"/>
          <w:sz w:val="18"/>
        </w:rPr>
        <w:t xml:space="preserve">Fuente: </w:t>
      </w:r>
      <w:r>
        <w:rPr>
          <w:rFonts w:cs="Arial"/>
          <w:color w:val="000000"/>
          <w:sz w:val="18"/>
        </w:rPr>
        <w:t>información agentes</w:t>
      </w:r>
      <w:r w:rsidRPr="00767F69">
        <w:rPr>
          <w:rFonts w:cs="Arial"/>
          <w:color w:val="000000"/>
          <w:sz w:val="18"/>
        </w:rPr>
        <w:t>. Análisis CREG</w:t>
      </w:r>
    </w:p>
    <w:p w:rsidR="0062206C" w:rsidRDefault="0062206C" w:rsidP="0062206C">
      <w:pPr>
        <w:pStyle w:val="Epgrafe"/>
      </w:pPr>
      <w:bookmarkStart w:id="7" w:name="_Toc434593419"/>
      <w:r>
        <w:t xml:space="preserve">Grafica </w:t>
      </w:r>
      <w:r>
        <w:fldChar w:fldCharType="begin"/>
      </w:r>
      <w:r>
        <w:instrText xml:space="preserve"> SEQ Grafica \* ARABIC </w:instrText>
      </w:r>
      <w:r>
        <w:fldChar w:fldCharType="separate"/>
      </w:r>
      <w:r w:rsidR="00FC7564">
        <w:rPr>
          <w:noProof/>
        </w:rPr>
        <w:t>1</w:t>
      </w:r>
      <w:r>
        <w:fldChar w:fldCharType="end"/>
      </w:r>
      <w:r>
        <w:t xml:space="preserve"> Evolución del flete  de transporte marítimo</w:t>
      </w:r>
      <w:bookmarkEnd w:id="7"/>
    </w:p>
    <w:p w:rsidR="0062206C" w:rsidRDefault="0062206C" w:rsidP="0062206C"/>
    <w:p w:rsidR="0062206C" w:rsidRDefault="0062206C" w:rsidP="0062206C"/>
    <w:p w:rsidR="0062206C" w:rsidRDefault="0062206C" w:rsidP="0062206C">
      <w:pPr>
        <w:rPr>
          <w:rFonts w:cs="Helv"/>
          <w:color w:val="000000"/>
          <w:lang w:val="es-CO" w:eastAsia="es-CO"/>
        </w:rPr>
      </w:pPr>
      <w:r w:rsidRPr="00482DE8">
        <w:rPr>
          <w:rFonts w:cs="Helv"/>
          <w:color w:val="000000"/>
          <w:lang w:val="es-CO" w:eastAsia="es-CO"/>
        </w:rPr>
        <w:t xml:space="preserve">Para San Andrés se evidencia que en la tarifa de GLP la participación del precio de compra desde el inicio del periodo tarifario disminuyó, desde un 77,4% </w:t>
      </w:r>
      <w:r>
        <w:rPr>
          <w:rFonts w:cs="Helv"/>
          <w:color w:val="000000"/>
          <w:lang w:val="es-CO" w:eastAsia="es-CO"/>
        </w:rPr>
        <w:t xml:space="preserve">en enero de 2010 </w:t>
      </w:r>
      <w:r w:rsidRPr="00482DE8">
        <w:rPr>
          <w:rFonts w:cs="Helv"/>
          <w:color w:val="000000"/>
          <w:lang w:val="es-CO" w:eastAsia="es-CO"/>
        </w:rPr>
        <w:t>a 44,4% en julio de 2015,</w:t>
      </w:r>
      <w:r>
        <w:rPr>
          <w:rFonts w:cs="Helv"/>
          <w:color w:val="000000"/>
          <w:lang w:val="es-CO" w:eastAsia="es-CO"/>
        </w:rPr>
        <w:t xml:space="preserve"> así mismo,</w:t>
      </w:r>
      <w:r w:rsidRPr="00482DE8">
        <w:rPr>
          <w:rFonts w:cs="Helv"/>
          <w:color w:val="000000"/>
          <w:lang w:val="es-CO" w:eastAsia="es-CO"/>
        </w:rPr>
        <w:t xml:space="preserve"> la participación del cargo de transpo</w:t>
      </w:r>
      <w:r>
        <w:rPr>
          <w:rFonts w:cs="Helv"/>
          <w:color w:val="000000"/>
          <w:lang w:val="es-CO" w:eastAsia="es-CO"/>
        </w:rPr>
        <w:t>rte aumentó desde 4,7% a 31,8% y l</w:t>
      </w:r>
      <w:r w:rsidRPr="00482DE8">
        <w:rPr>
          <w:rFonts w:cs="Helv"/>
          <w:color w:val="000000"/>
          <w:lang w:val="es-CO" w:eastAsia="es-CO"/>
        </w:rPr>
        <w:t>a participación del cargo de distribución y comercialización muestra un comportamiento estable cercano al 22%.</w:t>
      </w:r>
    </w:p>
    <w:p w:rsidR="0062206C" w:rsidRPr="00482DE8" w:rsidRDefault="0062206C" w:rsidP="0062206C"/>
    <w:p w:rsidR="0062206C" w:rsidRPr="00373EC4" w:rsidRDefault="0062206C" w:rsidP="0062206C">
      <w:pPr>
        <w:pStyle w:val="Ttulo3"/>
        <w:ind w:left="340" w:firstLine="0"/>
      </w:pPr>
      <w:bookmarkStart w:id="8" w:name="_Toc434593409"/>
      <w:r w:rsidRPr="000E3B34">
        <w:t>Comportamiento de la demanda de GLP en las islas</w:t>
      </w:r>
      <w:bookmarkEnd w:id="8"/>
      <w:r>
        <w:t xml:space="preserve"> </w:t>
      </w:r>
    </w:p>
    <w:p w:rsidR="0062206C" w:rsidRDefault="0062206C" w:rsidP="0062206C">
      <w:pPr>
        <w:rPr>
          <w:rFonts w:cs="Arial"/>
          <w:color w:val="000000"/>
        </w:rPr>
      </w:pPr>
    </w:p>
    <w:p w:rsidR="0062206C" w:rsidRDefault="0062206C" w:rsidP="0062206C">
      <w:pPr>
        <w:rPr>
          <w:rFonts w:cs="Arial"/>
          <w:color w:val="000000"/>
        </w:rPr>
      </w:pPr>
      <w:r>
        <w:rPr>
          <w:rFonts w:cs="Arial"/>
          <w:color w:val="000000"/>
        </w:rPr>
        <w:t xml:space="preserve">La demanda promedio de GLP en las islas se ubica alrededor de 2,526,057 kg/año y muestra un comportamiento estable en el periodo comprendido entre 2009 y 2014 con una variación promedio del 5%. </w:t>
      </w:r>
    </w:p>
    <w:p w:rsidR="0062206C" w:rsidRDefault="0062206C" w:rsidP="0062206C">
      <w:pPr>
        <w:rPr>
          <w:rFonts w:cs="Arial"/>
          <w:color w:val="000000"/>
        </w:rPr>
      </w:pPr>
    </w:p>
    <w:p w:rsidR="0062206C" w:rsidRDefault="0062206C" w:rsidP="0062206C">
      <w:pPr>
        <w:rPr>
          <w:rFonts w:cs="Arial"/>
          <w:color w:val="000000"/>
        </w:rPr>
      </w:pPr>
      <w:r>
        <w:rPr>
          <w:rFonts w:cs="Arial"/>
          <w:color w:val="000000"/>
        </w:rPr>
        <w:t>Se observa sin embargo una mayor variación entre el año 2009 y 2010 con un crecimiento en la demanda del 27% de acuerdo a la Gráfica 2, que luego se mantiene estable con una variación promedio del -1% hasta 2014.</w:t>
      </w:r>
    </w:p>
    <w:p w:rsidR="0062206C" w:rsidRDefault="0062206C" w:rsidP="0062206C">
      <w:pPr>
        <w:rPr>
          <w:rFonts w:cs="Arial"/>
          <w:color w:val="000000"/>
        </w:rPr>
      </w:pPr>
    </w:p>
    <w:p w:rsidR="00B17AA0" w:rsidRDefault="00B17AA0" w:rsidP="0062206C">
      <w:pPr>
        <w:rPr>
          <w:rFonts w:cs="Arial"/>
          <w:color w:val="000000"/>
        </w:rPr>
      </w:pPr>
    </w:p>
    <w:p w:rsidR="00B17AA0" w:rsidRDefault="00B17AA0" w:rsidP="0062206C">
      <w:pPr>
        <w:rPr>
          <w:rFonts w:cs="Arial"/>
          <w:color w:val="000000"/>
        </w:rPr>
      </w:pPr>
    </w:p>
    <w:p w:rsidR="00B17AA0" w:rsidRDefault="00B17AA0" w:rsidP="0062206C">
      <w:pPr>
        <w:rPr>
          <w:rFonts w:cs="Arial"/>
          <w:color w:val="000000"/>
        </w:rPr>
      </w:pPr>
    </w:p>
    <w:p w:rsidR="0062206C" w:rsidRDefault="0062206C" w:rsidP="0062206C">
      <w:pPr>
        <w:keepNext/>
        <w:jc w:val="center"/>
      </w:pPr>
      <w:r>
        <w:rPr>
          <w:noProof/>
          <w:lang w:val="es-CO" w:eastAsia="es-CO"/>
        </w:rPr>
        <w:drawing>
          <wp:inline distT="0" distB="0" distL="0" distR="0" wp14:anchorId="29E33D18" wp14:editId="0DAB7978">
            <wp:extent cx="5819775" cy="27146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206C" w:rsidRDefault="0062206C" w:rsidP="0062206C">
      <w:pPr>
        <w:ind w:firstLine="709"/>
        <w:rPr>
          <w:rFonts w:cs="Arial"/>
          <w:color w:val="000000"/>
          <w:sz w:val="18"/>
        </w:rPr>
      </w:pPr>
      <w:r w:rsidRPr="00767F69">
        <w:rPr>
          <w:rFonts w:cs="Arial"/>
          <w:color w:val="000000"/>
          <w:sz w:val="18"/>
        </w:rPr>
        <w:t>Fuente: Reporte de ventas al SUI. Análisis CREG</w:t>
      </w:r>
    </w:p>
    <w:p w:rsidR="0062206C" w:rsidRDefault="0062206C" w:rsidP="0062206C">
      <w:pPr>
        <w:keepNext/>
        <w:jc w:val="center"/>
      </w:pPr>
    </w:p>
    <w:p w:rsidR="0062206C" w:rsidRDefault="0062206C" w:rsidP="0062206C">
      <w:pPr>
        <w:pStyle w:val="Epgrafe"/>
        <w:rPr>
          <w:rFonts w:cs="Arial"/>
          <w:color w:val="000000"/>
        </w:rPr>
      </w:pPr>
      <w:bookmarkStart w:id="9" w:name="_Toc434593420"/>
      <w:r>
        <w:t xml:space="preserve">Grafica </w:t>
      </w:r>
      <w:r>
        <w:fldChar w:fldCharType="begin"/>
      </w:r>
      <w:r>
        <w:instrText xml:space="preserve"> SEQ Grafica \* ARABIC </w:instrText>
      </w:r>
      <w:r>
        <w:fldChar w:fldCharType="separate"/>
      </w:r>
      <w:r w:rsidR="00FC7564">
        <w:rPr>
          <w:noProof/>
        </w:rPr>
        <w:t>2</w:t>
      </w:r>
      <w:r>
        <w:fldChar w:fldCharType="end"/>
      </w:r>
      <w:r>
        <w:t xml:space="preserve"> </w:t>
      </w:r>
      <w:r w:rsidRPr="0077416A">
        <w:t xml:space="preserve">Demanda anual en el </w:t>
      </w:r>
      <w:r w:rsidR="00A16563">
        <w:t>archipiélago</w:t>
      </w:r>
      <w:r w:rsidRPr="0077416A">
        <w:t xml:space="preserve"> por tipo de cilindr</w:t>
      </w:r>
      <w:r w:rsidR="00A16563">
        <w:t>o</w:t>
      </w:r>
      <w:r w:rsidRPr="0077416A">
        <w:t>.</w:t>
      </w:r>
      <w:bookmarkEnd w:id="9"/>
    </w:p>
    <w:p w:rsidR="0062206C" w:rsidRDefault="0062206C" w:rsidP="0062206C">
      <w:pPr>
        <w:jc w:val="center"/>
        <w:rPr>
          <w:rFonts w:cs="Arial"/>
          <w:color w:val="000000"/>
        </w:rPr>
      </w:pPr>
    </w:p>
    <w:p w:rsidR="0062206C" w:rsidRDefault="0062206C" w:rsidP="0062206C">
      <w:pPr>
        <w:jc w:val="center"/>
        <w:rPr>
          <w:rFonts w:cs="Arial"/>
          <w:color w:val="000000"/>
        </w:rPr>
      </w:pPr>
    </w:p>
    <w:p w:rsidR="0062206C" w:rsidRDefault="0062206C" w:rsidP="0062206C">
      <w:pPr>
        <w:keepNext/>
        <w:jc w:val="center"/>
      </w:pPr>
      <w:r>
        <w:rPr>
          <w:noProof/>
          <w:lang w:val="es-CO" w:eastAsia="es-CO"/>
        </w:rPr>
        <w:drawing>
          <wp:inline distT="0" distB="0" distL="0" distR="0" wp14:anchorId="6AD2D36B" wp14:editId="3505A50F">
            <wp:extent cx="5734050" cy="257175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2206C" w:rsidRDefault="0062206C" w:rsidP="0062206C">
      <w:pPr>
        <w:ind w:firstLine="709"/>
        <w:rPr>
          <w:rFonts w:cs="Arial"/>
          <w:color w:val="000000"/>
          <w:sz w:val="18"/>
        </w:rPr>
      </w:pPr>
      <w:r w:rsidRPr="00767F69">
        <w:rPr>
          <w:rFonts w:cs="Arial"/>
          <w:color w:val="000000"/>
          <w:sz w:val="18"/>
        </w:rPr>
        <w:t>Fuente: Reporte de ventas al SUI. Análisis CREG</w:t>
      </w:r>
    </w:p>
    <w:p w:rsidR="0062206C" w:rsidRDefault="0062206C" w:rsidP="0062206C">
      <w:pPr>
        <w:keepNext/>
        <w:jc w:val="center"/>
      </w:pPr>
    </w:p>
    <w:p w:rsidR="0062206C" w:rsidRDefault="0062206C" w:rsidP="0062206C">
      <w:pPr>
        <w:pStyle w:val="Epgrafe"/>
        <w:rPr>
          <w:rFonts w:cs="Arial"/>
          <w:color w:val="000000"/>
        </w:rPr>
      </w:pPr>
      <w:bookmarkStart w:id="10" w:name="_Toc434593421"/>
      <w:r>
        <w:t xml:space="preserve">Grafica </w:t>
      </w:r>
      <w:r>
        <w:fldChar w:fldCharType="begin"/>
      </w:r>
      <w:r>
        <w:instrText xml:space="preserve"> SEQ Grafica \* ARABIC </w:instrText>
      </w:r>
      <w:r>
        <w:fldChar w:fldCharType="separate"/>
      </w:r>
      <w:r w:rsidR="00FC7564">
        <w:rPr>
          <w:noProof/>
        </w:rPr>
        <w:t>3</w:t>
      </w:r>
      <w:r>
        <w:fldChar w:fldCharType="end"/>
      </w:r>
      <w:r>
        <w:t xml:space="preserve"> </w:t>
      </w:r>
      <w:r w:rsidRPr="00B87DB7">
        <w:t xml:space="preserve">Variación anual de demanda en el </w:t>
      </w:r>
      <w:r w:rsidR="00A16563">
        <w:t>archipiélago</w:t>
      </w:r>
      <w:r w:rsidRPr="00B87DB7">
        <w:t>.</w:t>
      </w:r>
      <w:bookmarkEnd w:id="10"/>
    </w:p>
    <w:p w:rsidR="0062206C" w:rsidRDefault="0062206C" w:rsidP="0062206C">
      <w:pPr>
        <w:jc w:val="center"/>
        <w:rPr>
          <w:rFonts w:cs="Arial"/>
          <w:color w:val="000000"/>
        </w:rPr>
      </w:pPr>
    </w:p>
    <w:p w:rsidR="0062206C" w:rsidRDefault="0062206C" w:rsidP="0062206C">
      <w:pPr>
        <w:rPr>
          <w:rFonts w:cs="Arial"/>
          <w:color w:val="000000"/>
        </w:rPr>
      </w:pPr>
    </w:p>
    <w:p w:rsidR="0062206C" w:rsidRDefault="0062206C" w:rsidP="0062206C">
      <w:pPr>
        <w:rPr>
          <w:rFonts w:cs="Arial"/>
          <w:color w:val="000000"/>
        </w:rPr>
      </w:pPr>
      <w:r>
        <w:rPr>
          <w:rFonts w:cs="Arial"/>
          <w:color w:val="000000"/>
        </w:rPr>
        <w:t>En cuanto a la demanda por tipo de cilindro, el mercado se orienta a partir de 2010 al uso principalmente de cilindros de 30 libras y 100 libras, la participación promedio de los cilindros de 30 libras es de 36% y de 100 libras de 61% entre 2009 y 2014.</w:t>
      </w:r>
    </w:p>
    <w:p w:rsidR="0062206C" w:rsidRDefault="0062206C" w:rsidP="0062206C">
      <w:pPr>
        <w:rPr>
          <w:rFonts w:cs="Arial"/>
          <w:color w:val="000000"/>
        </w:rPr>
      </w:pPr>
    </w:p>
    <w:p w:rsidR="0062206C" w:rsidRDefault="0062206C" w:rsidP="0062206C">
      <w:pPr>
        <w:suppressAutoHyphens/>
        <w:ind w:right="51"/>
        <w:rPr>
          <w:rFonts w:cs="Arial"/>
          <w:color w:val="000000"/>
        </w:rPr>
      </w:pPr>
      <w:r>
        <w:rPr>
          <w:rFonts w:cs="Arial"/>
          <w:color w:val="000000"/>
        </w:rPr>
        <w:t xml:space="preserve">En 2015 los tanques estacionarios comienzan a tomar relevancia en el mercado participando con el 16% de acuerdo a  la Gráfica 3; en respuesta a la señal tarifaria dada con la Resolución CREG 181 de 2009 que consistía en </w:t>
      </w:r>
      <w:r>
        <w:rPr>
          <w:rFonts w:cs="Arial"/>
          <w:color w:val="000000"/>
        </w:rPr>
        <w:lastRenderedPageBreak/>
        <w:t xml:space="preserve">orientar parte de la demanda comercial de la isla a ser surtida a través de tanques estacionarios y no en cilindros de 100 libras. </w:t>
      </w:r>
    </w:p>
    <w:p w:rsidR="0062206C" w:rsidRDefault="0062206C" w:rsidP="0062206C">
      <w:pPr>
        <w:rPr>
          <w:rFonts w:cs="Arial"/>
          <w:color w:val="000000"/>
        </w:rPr>
      </w:pPr>
    </w:p>
    <w:p w:rsidR="0062206C" w:rsidRDefault="0062206C" w:rsidP="0062206C">
      <w:pPr>
        <w:rPr>
          <w:rFonts w:cs="Arial"/>
          <w:color w:val="000000"/>
        </w:rPr>
      </w:pPr>
    </w:p>
    <w:p w:rsidR="0062206C" w:rsidRDefault="0062206C" w:rsidP="0062206C">
      <w:pPr>
        <w:keepNext/>
        <w:jc w:val="center"/>
      </w:pPr>
      <w:r>
        <w:rPr>
          <w:noProof/>
          <w:lang w:val="es-CO" w:eastAsia="es-CO"/>
        </w:rPr>
        <w:drawing>
          <wp:inline distT="0" distB="0" distL="0" distR="0" wp14:anchorId="1297031E" wp14:editId="465F5A02">
            <wp:extent cx="4362450" cy="260985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206C" w:rsidRDefault="0062206C" w:rsidP="0062206C">
      <w:pPr>
        <w:ind w:firstLine="709"/>
        <w:rPr>
          <w:rFonts w:cs="Arial"/>
          <w:color w:val="000000"/>
          <w:sz w:val="18"/>
        </w:rPr>
      </w:pPr>
      <w:r w:rsidRPr="00767F69">
        <w:rPr>
          <w:rFonts w:cs="Arial"/>
          <w:color w:val="000000"/>
          <w:sz w:val="18"/>
        </w:rPr>
        <w:t>Fuente: Reporte de ventas al SUI. Análisis CREG</w:t>
      </w:r>
    </w:p>
    <w:p w:rsidR="0062206C" w:rsidRDefault="0062206C" w:rsidP="0062206C">
      <w:pPr>
        <w:keepNext/>
        <w:jc w:val="center"/>
      </w:pPr>
    </w:p>
    <w:p w:rsidR="0062206C" w:rsidRDefault="0062206C" w:rsidP="0062206C">
      <w:pPr>
        <w:pStyle w:val="Epgrafe"/>
        <w:rPr>
          <w:rFonts w:cs="Arial"/>
          <w:color w:val="000000"/>
        </w:rPr>
      </w:pPr>
      <w:bookmarkStart w:id="11" w:name="_Toc434593422"/>
      <w:r>
        <w:t xml:space="preserve">Grafica </w:t>
      </w:r>
      <w:r>
        <w:fldChar w:fldCharType="begin"/>
      </w:r>
      <w:r>
        <w:instrText xml:space="preserve"> SEQ Grafica \* ARABIC </w:instrText>
      </w:r>
      <w:r>
        <w:fldChar w:fldCharType="separate"/>
      </w:r>
      <w:r w:rsidR="00FC7564">
        <w:rPr>
          <w:noProof/>
        </w:rPr>
        <w:t>4</w:t>
      </w:r>
      <w:r>
        <w:fldChar w:fldCharType="end"/>
      </w:r>
      <w:r>
        <w:t xml:space="preserve"> </w:t>
      </w:r>
      <w:r w:rsidRPr="00935C1F">
        <w:t>Participación en el mercado por tipo de cilindro en 2015.</w:t>
      </w:r>
      <w:bookmarkEnd w:id="11"/>
    </w:p>
    <w:p w:rsidR="0062206C" w:rsidRDefault="0062206C" w:rsidP="0062206C">
      <w:pPr>
        <w:rPr>
          <w:rFonts w:cs="Arial"/>
          <w:color w:val="000000"/>
        </w:rPr>
      </w:pPr>
    </w:p>
    <w:p w:rsidR="00B17AA0" w:rsidRDefault="00B17AA0" w:rsidP="0062206C">
      <w:pPr>
        <w:rPr>
          <w:rFonts w:cs="Arial"/>
          <w:color w:val="000000"/>
        </w:rPr>
      </w:pPr>
    </w:p>
    <w:p w:rsidR="0062206C" w:rsidRDefault="0062206C" w:rsidP="0062206C">
      <w:pPr>
        <w:rPr>
          <w:rFonts w:cs="Arial"/>
          <w:color w:val="000000"/>
        </w:rPr>
      </w:pPr>
      <w:r>
        <w:rPr>
          <w:rFonts w:cs="Arial"/>
          <w:color w:val="000000"/>
        </w:rPr>
        <w:t xml:space="preserve">Por otra parte en el mercado del </w:t>
      </w:r>
      <w:r w:rsidR="00A16563">
        <w:rPr>
          <w:rFonts w:cs="Arial"/>
          <w:color w:val="000000"/>
        </w:rPr>
        <w:t>archipiélago</w:t>
      </w:r>
      <w:r>
        <w:rPr>
          <w:rFonts w:cs="Arial"/>
          <w:color w:val="000000"/>
        </w:rPr>
        <w:t>, la isla de Providencia representa en promedio sólo un 6% del mercado total, con una participación estable a lo largo del periodo evaluado.</w:t>
      </w:r>
    </w:p>
    <w:p w:rsidR="0062206C" w:rsidRDefault="0062206C" w:rsidP="0062206C">
      <w:pPr>
        <w:rPr>
          <w:rFonts w:cs="Arial"/>
          <w:color w:val="000000"/>
        </w:rPr>
      </w:pPr>
    </w:p>
    <w:p w:rsidR="0062206C" w:rsidRDefault="0062206C" w:rsidP="0062206C">
      <w:pPr>
        <w:rPr>
          <w:rFonts w:cs="Arial"/>
          <w:color w:val="000000"/>
        </w:rPr>
      </w:pPr>
    </w:p>
    <w:p w:rsidR="0062206C" w:rsidRDefault="0062206C" w:rsidP="0062206C">
      <w:pPr>
        <w:pStyle w:val="Epgrafe"/>
        <w:keepNext/>
        <w:spacing w:before="0"/>
      </w:pPr>
      <w:r>
        <w:rPr>
          <w:noProof/>
          <w:lang w:val="es-CO" w:eastAsia="es-CO"/>
        </w:rPr>
        <w:drawing>
          <wp:inline distT="0" distB="0" distL="0" distR="0" wp14:anchorId="5C1C811E" wp14:editId="4C925176">
            <wp:extent cx="5534025" cy="296227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206C" w:rsidRDefault="0062206C" w:rsidP="0062206C">
      <w:pPr>
        <w:ind w:firstLine="709"/>
        <w:rPr>
          <w:rFonts w:cs="Arial"/>
          <w:color w:val="000000"/>
          <w:sz w:val="18"/>
        </w:rPr>
      </w:pPr>
      <w:r w:rsidRPr="00767F69">
        <w:rPr>
          <w:rFonts w:cs="Arial"/>
          <w:color w:val="000000"/>
          <w:sz w:val="18"/>
        </w:rPr>
        <w:t>Fuente: Reporte de ventas al SUI. Análisis CREG</w:t>
      </w:r>
    </w:p>
    <w:p w:rsidR="0062206C" w:rsidRPr="002E0BF2" w:rsidRDefault="0062206C" w:rsidP="0062206C"/>
    <w:p w:rsidR="0062206C" w:rsidRDefault="0062206C" w:rsidP="0062206C">
      <w:pPr>
        <w:pStyle w:val="Epgrafe"/>
        <w:rPr>
          <w:b/>
        </w:rPr>
      </w:pPr>
      <w:bookmarkStart w:id="12" w:name="_Toc434593423"/>
      <w:r>
        <w:t xml:space="preserve">Grafica </w:t>
      </w:r>
      <w:r>
        <w:fldChar w:fldCharType="begin"/>
      </w:r>
      <w:r>
        <w:instrText xml:space="preserve"> SEQ Grafica \* ARABIC </w:instrText>
      </w:r>
      <w:r>
        <w:fldChar w:fldCharType="separate"/>
      </w:r>
      <w:r w:rsidR="00FC7564">
        <w:rPr>
          <w:noProof/>
        </w:rPr>
        <w:t>5</w:t>
      </w:r>
      <w:r>
        <w:fldChar w:fldCharType="end"/>
      </w:r>
      <w:r>
        <w:t xml:space="preserve"> </w:t>
      </w:r>
      <w:r w:rsidRPr="00623620">
        <w:t xml:space="preserve">Participación de Providencia en el mercado total del </w:t>
      </w:r>
      <w:r w:rsidR="00A16563">
        <w:t>archipiélago</w:t>
      </w:r>
      <w:bookmarkEnd w:id="12"/>
    </w:p>
    <w:p w:rsidR="0062206C" w:rsidRDefault="0062206C" w:rsidP="0062206C">
      <w:pPr>
        <w:pStyle w:val="Epgrafe"/>
        <w:spacing w:before="0"/>
        <w:rPr>
          <w:b/>
        </w:rPr>
      </w:pPr>
    </w:p>
    <w:p w:rsidR="00F122A8" w:rsidRDefault="00F122A8" w:rsidP="00F122A8">
      <w:pPr>
        <w:pStyle w:val="Ttulo2"/>
        <w:numPr>
          <w:ilvl w:val="0"/>
          <w:numId w:val="0"/>
        </w:numPr>
        <w:ind w:left="360"/>
      </w:pPr>
      <w:bookmarkStart w:id="13" w:name="_Toc434593410"/>
    </w:p>
    <w:p w:rsidR="0062206C" w:rsidRDefault="0062206C" w:rsidP="0062206C">
      <w:pPr>
        <w:pStyle w:val="Ttulo2"/>
      </w:pPr>
      <w:r>
        <w:t>REGULACIÓN VIGENTE</w:t>
      </w:r>
      <w:bookmarkEnd w:id="13"/>
    </w:p>
    <w:p w:rsidR="0062206C" w:rsidRDefault="0062206C" w:rsidP="0062206C">
      <w:pPr>
        <w:pStyle w:val="Ttulo3"/>
        <w:tabs>
          <w:tab w:val="left" w:pos="993"/>
        </w:tabs>
      </w:pPr>
      <w:bookmarkStart w:id="14" w:name="_Toc434593411"/>
      <w:r>
        <w:t>Marco Constitucional y Legal Aplicable</w:t>
      </w:r>
      <w:bookmarkEnd w:id="14"/>
      <w:r>
        <w:t xml:space="preserve"> </w:t>
      </w:r>
    </w:p>
    <w:p w:rsidR="0062206C" w:rsidRPr="00B234C3" w:rsidRDefault="0062206C" w:rsidP="0062206C"/>
    <w:p w:rsidR="0062206C" w:rsidRDefault="0062206C" w:rsidP="0062206C">
      <w:pPr>
        <w:rPr>
          <w:rFonts w:cs="Arial"/>
        </w:rPr>
      </w:pPr>
      <w:r>
        <w:rPr>
          <w:rFonts w:cs="Arial"/>
        </w:rPr>
        <w:t xml:space="preserve">La Constitución Política, Artículos 365 y siguientes, establece que es deber del Estado asegurar la prestación </w:t>
      </w:r>
      <w:r>
        <w:rPr>
          <w:rFonts w:cs="Arial"/>
          <w:i/>
          <w:iCs/>
        </w:rPr>
        <w:t>eficiente</w:t>
      </w:r>
      <w:r>
        <w:rPr>
          <w:rFonts w:cs="Arial"/>
        </w:rPr>
        <w:t xml:space="preserve"> de los servicios públicos domiciliarios a todos los habitantes, así como que éstos son inherentes a su finalidad social. </w:t>
      </w:r>
    </w:p>
    <w:p w:rsidR="0062206C" w:rsidRDefault="0062206C" w:rsidP="0062206C">
      <w:pPr>
        <w:rPr>
          <w:rFonts w:cs="Arial"/>
        </w:rPr>
      </w:pPr>
    </w:p>
    <w:p w:rsidR="0062206C" w:rsidRDefault="0062206C" w:rsidP="0062206C">
      <w:pPr>
        <w:rPr>
          <w:rFonts w:cs="Arial"/>
        </w:rPr>
      </w:pPr>
      <w:r>
        <w:rPr>
          <w:rFonts w:cs="Arial"/>
        </w:rPr>
        <w:t xml:space="preserve">En este contexto, la Constitución determina que los servicios públicos podrán ser prestados por el mismo Estado o por particulares, con sujeción al régimen jurídico que establezca el legislador y que, en todo caso, corresponderá al Estado mantener la regulación, el control y vigilancia sobre ellos. </w:t>
      </w:r>
    </w:p>
    <w:p w:rsidR="0062206C" w:rsidRDefault="0062206C" w:rsidP="0062206C">
      <w:pPr>
        <w:rPr>
          <w:rFonts w:cs="Arial"/>
        </w:rPr>
      </w:pPr>
    </w:p>
    <w:p w:rsidR="0062206C" w:rsidRDefault="0062206C" w:rsidP="0062206C">
      <w:pPr>
        <w:rPr>
          <w:rFonts w:cs="Arial"/>
          <w:lang w:val="es-ES_tradnl"/>
        </w:rPr>
      </w:pPr>
      <w:r>
        <w:rPr>
          <w:rFonts w:cs="Arial"/>
          <w:lang w:val="es-ES_tradnl"/>
        </w:rPr>
        <w:t xml:space="preserve">En desarrollo del mandato constitucional referido, el Congreso de la República expidió la Ley 142 de 1994 </w:t>
      </w:r>
      <w:r>
        <w:rPr>
          <w:rFonts w:cs="Arial"/>
          <w:i/>
          <w:iCs/>
          <w:lang w:val="es-ES_tradnl"/>
        </w:rPr>
        <w:t>“Por la cual se establece el régimen de los servicios públicos domiciliarios y se dictan otras disposiciones”</w:t>
      </w:r>
      <w:r>
        <w:rPr>
          <w:rFonts w:cs="Arial"/>
          <w:lang w:val="es-ES_tradnl"/>
        </w:rPr>
        <w:t>.</w:t>
      </w:r>
    </w:p>
    <w:p w:rsidR="0062206C" w:rsidRDefault="0062206C" w:rsidP="0062206C">
      <w:pPr>
        <w:rPr>
          <w:rFonts w:cs="Arial"/>
          <w:lang w:val="es-ES_tradnl"/>
        </w:rPr>
      </w:pPr>
    </w:p>
    <w:p w:rsidR="0062206C" w:rsidRDefault="0062206C" w:rsidP="0062206C">
      <w:pPr>
        <w:rPr>
          <w:rFonts w:cs="Arial"/>
          <w:lang w:val="es-ES_tradnl"/>
        </w:rPr>
      </w:pPr>
      <w:r>
        <w:rPr>
          <w:rFonts w:cs="Arial"/>
          <w:lang w:val="es-ES_tradnl"/>
        </w:rPr>
        <w:t>De acue</w:t>
      </w:r>
      <w:r w:rsidR="00A16563">
        <w:rPr>
          <w:rFonts w:cs="Arial"/>
          <w:lang w:val="es-ES_tradnl"/>
        </w:rPr>
        <w:t>rdo con el Artículo 2º de esta l</w:t>
      </w:r>
      <w:r>
        <w:rPr>
          <w:rFonts w:cs="Arial"/>
          <w:lang w:val="es-ES_tradnl"/>
        </w:rPr>
        <w:t>ey, la intervención del Estado en los servicios públicos debe propender, entre otros fines, por la prestación eficiente de los mismos, la libertad de competencia y la obtención de economías de escala comprobables.</w:t>
      </w:r>
    </w:p>
    <w:p w:rsidR="0062206C" w:rsidRDefault="0062206C" w:rsidP="0062206C">
      <w:pPr>
        <w:rPr>
          <w:rFonts w:cs="Arial"/>
          <w:lang w:val="es-ES_tradnl"/>
        </w:rPr>
      </w:pPr>
    </w:p>
    <w:p w:rsidR="0062206C" w:rsidRDefault="0062206C" w:rsidP="0062206C">
      <w:pPr>
        <w:rPr>
          <w:rFonts w:cs="Arial"/>
          <w:lang w:val="es-ES_tradnl"/>
        </w:rPr>
      </w:pPr>
      <w:r>
        <w:rPr>
          <w:rFonts w:cs="Arial"/>
          <w:lang w:val="es-ES_tradnl"/>
        </w:rPr>
        <w:t xml:space="preserve">Asimismo, la Ley 142 fijó las competencias para la definición del régimen tarifario, sus componentes, los principios por los que debe regirse, su vigencia y las causas que hacen posible su modificación. </w:t>
      </w:r>
    </w:p>
    <w:p w:rsidR="0062206C" w:rsidRDefault="0062206C" w:rsidP="0062206C">
      <w:pPr>
        <w:rPr>
          <w:rFonts w:cs="Arial"/>
          <w:lang w:val="es-ES_tradnl"/>
        </w:rPr>
      </w:pPr>
    </w:p>
    <w:p w:rsidR="0062206C" w:rsidRDefault="0062206C" w:rsidP="0062206C">
      <w:pPr>
        <w:rPr>
          <w:rFonts w:cs="Arial"/>
          <w:lang w:val="es-ES_tradnl"/>
        </w:rPr>
      </w:pPr>
      <w:r>
        <w:rPr>
          <w:rFonts w:cs="Arial"/>
          <w:lang w:val="es-ES_tradnl"/>
        </w:rPr>
        <w:t xml:space="preserve">También se asignó a las comisiones de regulación, y en este caso a la Comisión de Regulación de Energía y Gas, la definición de los regímenes tarifarios a los que se encontrarán sujetas las diferentes actividades de prestación de los servicios que esta regula. </w:t>
      </w:r>
    </w:p>
    <w:p w:rsidR="0062206C" w:rsidRDefault="0062206C" w:rsidP="0062206C">
      <w:pPr>
        <w:rPr>
          <w:rFonts w:cs="Arial"/>
          <w:lang w:val="es-ES_tradnl"/>
        </w:rPr>
      </w:pPr>
    </w:p>
    <w:p w:rsidR="0062206C" w:rsidRDefault="0062206C" w:rsidP="0062206C">
      <w:pPr>
        <w:rPr>
          <w:rFonts w:cs="Arial"/>
        </w:rPr>
      </w:pPr>
      <w:r>
        <w:rPr>
          <w:rFonts w:cs="Arial"/>
        </w:rPr>
        <w:t xml:space="preserve">Según lo establecido en la Ley 142 de 1994, le corresponde de manera general a la Comisión de Regulación de Energía y Gas </w:t>
      </w:r>
    </w:p>
    <w:p w:rsidR="0062206C" w:rsidRDefault="0062206C" w:rsidP="0062206C">
      <w:pPr>
        <w:rPr>
          <w:rFonts w:cs="Arial"/>
        </w:rPr>
      </w:pPr>
    </w:p>
    <w:p w:rsidR="0062206C" w:rsidRDefault="0062206C" w:rsidP="0062206C">
      <w:pPr>
        <w:ind w:left="567" w:right="567"/>
        <w:rPr>
          <w:rFonts w:cs="Arial"/>
          <w:i/>
          <w:iCs/>
        </w:rPr>
      </w:pPr>
      <w:r>
        <w:rPr>
          <w:rFonts w:cs="Arial"/>
        </w:rPr>
        <w:t>“...</w:t>
      </w:r>
      <w:r>
        <w:rPr>
          <w:rFonts w:cs="Arial"/>
          <w:i/>
        </w:rPr>
        <w:t>l</w:t>
      </w:r>
      <w:r>
        <w:rPr>
          <w:rFonts w:cs="Arial"/>
          <w:i/>
          <w:iCs/>
        </w:rPr>
        <w:t>a función de regular los monopolios en la prestación de los servicios públicos, cuando la competencia no sea, de hecho posible; y, en los demás casos, la de promover la competencia entre quienes presten servicios públicos, para que las operaciones de los monopolios o de los competidores sean económicamente eficientes, no impliquen abuso de la posición dominante, y produzcan servicios de calidad</w:t>
      </w:r>
      <w:r>
        <w:rPr>
          <w:rStyle w:val="Refdenotaalpie"/>
          <w:rFonts w:cs="Arial"/>
          <w:bCs/>
          <w:i/>
          <w:iCs/>
          <w:spacing w:val="-3"/>
        </w:rPr>
        <w:footnoteReference w:id="1"/>
      </w:r>
      <w:r>
        <w:rPr>
          <w:rFonts w:cs="Arial"/>
          <w:i/>
          <w:iCs/>
        </w:rPr>
        <w:t xml:space="preserve">.”  </w:t>
      </w:r>
    </w:p>
    <w:p w:rsidR="0062206C" w:rsidRDefault="0062206C" w:rsidP="0062206C">
      <w:pPr>
        <w:rPr>
          <w:rFonts w:cs="Arial"/>
        </w:rPr>
      </w:pPr>
    </w:p>
    <w:p w:rsidR="0062206C" w:rsidRDefault="0062206C" w:rsidP="0062206C">
      <w:r>
        <w:t xml:space="preserve">En relación con las tarifas, la </w:t>
      </w:r>
      <w:r w:rsidR="00443D96">
        <w:t>l</w:t>
      </w:r>
      <w:r>
        <w:t xml:space="preserve">ey estableció, que corresponde a la Comisión determinar si se debe aplicar el régimen de libertad regulada o libertad vigilada, y definir las fórmulas para la fijación de las tarifas de los servicios que regula, de ser necesario. En cualquier caso, las empresas estarán sometidas al </w:t>
      </w:r>
      <w:r>
        <w:lastRenderedPageBreak/>
        <w:t>régimen establecido en la regulación. Para tal efecto la Comisión deberá tener en cuenta lo dispuesto en el Título VI de la Ley 142 de 1994.</w:t>
      </w:r>
    </w:p>
    <w:p w:rsidR="0062206C" w:rsidRPr="00B17AA0" w:rsidRDefault="0062206C" w:rsidP="0062206C">
      <w:pPr>
        <w:rPr>
          <w:sz w:val="28"/>
        </w:rPr>
      </w:pPr>
    </w:p>
    <w:p w:rsidR="0062206C" w:rsidRDefault="0062206C" w:rsidP="0062206C">
      <w:r>
        <w:t xml:space="preserve">Según el Artículo 88 de la citada Ley, la Comisión podrá establecer topes máximos y mínimos tarifarios, así como definir las metodologías para la determinación de tarifas de acuerdo con estudios de costos que realice.  </w:t>
      </w:r>
    </w:p>
    <w:p w:rsidR="0062206C" w:rsidRPr="00B17AA0" w:rsidRDefault="0062206C" w:rsidP="0062206C">
      <w:pPr>
        <w:rPr>
          <w:sz w:val="28"/>
        </w:rPr>
      </w:pPr>
    </w:p>
    <w:p w:rsidR="0062206C" w:rsidRDefault="0062206C" w:rsidP="0062206C">
      <w:r>
        <w:t>Habrá lugar a establecer la libertad de tarifas cuando los análisis que realice, y con base en los criterios y definiciones de la Ley, muestren que las empresas no tienen una posición dominante en su mercado y que hay competencia entre proveedores.</w:t>
      </w:r>
    </w:p>
    <w:p w:rsidR="0062206C" w:rsidRPr="00B17AA0" w:rsidRDefault="0062206C" w:rsidP="0062206C">
      <w:pPr>
        <w:rPr>
          <w:sz w:val="28"/>
        </w:rPr>
      </w:pPr>
    </w:p>
    <w:p w:rsidR="0062206C" w:rsidRDefault="0062206C" w:rsidP="0062206C">
      <w:r>
        <w:t xml:space="preserve">El Artículo 87 establece que el régimen tarifario estará orientado por los criterios de eficiencia económica, neutralidad, solidaridad, redistribución, suficiencia financiera, simplicidad y transparencia. Para los efectos de este documento resulta especialmente importante destacar los criterios de eficiencia y de suficiencia financiera.  </w:t>
      </w:r>
    </w:p>
    <w:p w:rsidR="0062206C" w:rsidRPr="00B17AA0" w:rsidRDefault="0062206C" w:rsidP="0062206C">
      <w:pPr>
        <w:rPr>
          <w:sz w:val="28"/>
        </w:rPr>
      </w:pPr>
    </w:p>
    <w:p w:rsidR="0062206C" w:rsidRDefault="0062206C" w:rsidP="0062206C">
      <w:r>
        <w:t xml:space="preserve">El criterio de eficiencia implica que en la definición de las tarifas se procurará que éstas reflejen lo que serían los precios de un mercado competitivo, de tal forma que se tengan en cuenta los costos pero también los aumentos de productividad, y que de ninguna forma se trasladen a los usuarios los costos de una gestión ineficiente, ni que las empresas se apropien de las utilidades provenientes de prácticas restrictivas de la competencia. </w:t>
      </w:r>
    </w:p>
    <w:p w:rsidR="0062206C" w:rsidRDefault="0062206C" w:rsidP="0062206C"/>
    <w:p w:rsidR="0062206C" w:rsidRDefault="0062206C" w:rsidP="0062206C">
      <w:r>
        <w:t xml:space="preserve">La suficiencia financiera significa que las tarifas deben permitir al empresario recuperar los costos, utilizar tecnologías y sistemas administrativos que permitan prestar el servicio con la mejor calidad, seguridad y continuidad para los usuarios; y remunerar el patrimonio de los accionistas en la misma forma en que lo habría remunerado una empresa eficiente en un sector de riesgo comparable. </w:t>
      </w:r>
    </w:p>
    <w:p w:rsidR="0062206C" w:rsidRPr="00B17AA0" w:rsidRDefault="0062206C" w:rsidP="0062206C">
      <w:pPr>
        <w:rPr>
          <w:sz w:val="28"/>
        </w:rPr>
      </w:pPr>
    </w:p>
    <w:p w:rsidR="0062206C" w:rsidRDefault="0062206C" w:rsidP="0062206C">
      <w:r>
        <w:t>Por otra parte, los Artículos 91 y 92 de la Ley indican que, cuando sea posible, se definirá una fórmula para cada una de las diversas etapas de prestación del servicio, y que en la determinación de éstas las comisiones tendrán en cuenta los costos típicos de operación de las empresas comparándolas con otras que operen en condiciones similares, pero que sean más eficientes.</w:t>
      </w:r>
    </w:p>
    <w:p w:rsidR="0062206C" w:rsidRDefault="0062206C" w:rsidP="0062206C"/>
    <w:p w:rsidR="0062206C" w:rsidRDefault="0062206C" w:rsidP="0062206C">
      <w:pPr>
        <w:pStyle w:val="Ttulo3"/>
        <w:tabs>
          <w:tab w:val="left" w:pos="993"/>
        </w:tabs>
        <w:ind w:left="993" w:hanging="633"/>
      </w:pPr>
      <w:bookmarkStart w:id="15" w:name="_Toc18732423"/>
      <w:bookmarkStart w:id="16" w:name="_Toc18825635"/>
      <w:bookmarkStart w:id="17" w:name="_Toc18825704"/>
      <w:bookmarkStart w:id="18" w:name="_Toc18825723"/>
      <w:bookmarkStart w:id="19" w:name="_Toc20800666"/>
      <w:bookmarkStart w:id="20" w:name="_Toc306540128"/>
      <w:bookmarkStart w:id="21" w:name="_Toc434593412"/>
      <w:r>
        <w:t>Vigencia del Régimen Tarifario – Alcance del Artículo    126 de la Ley 142 De 1994</w:t>
      </w:r>
      <w:bookmarkEnd w:id="15"/>
      <w:bookmarkEnd w:id="16"/>
      <w:bookmarkEnd w:id="17"/>
      <w:bookmarkEnd w:id="18"/>
      <w:bookmarkEnd w:id="19"/>
      <w:bookmarkEnd w:id="20"/>
      <w:bookmarkEnd w:id="21"/>
    </w:p>
    <w:p w:rsidR="0062206C" w:rsidRDefault="0062206C" w:rsidP="0062206C"/>
    <w:p w:rsidR="0062206C" w:rsidRDefault="0062206C" w:rsidP="0062206C">
      <w:pPr>
        <w:rPr>
          <w:rFonts w:cs="Arial"/>
        </w:rPr>
      </w:pPr>
      <w:r>
        <w:rPr>
          <w:rFonts w:cs="Arial"/>
          <w:spacing w:val="-3"/>
        </w:rPr>
        <w:t xml:space="preserve">De conformidad con el artículo 126 de la Ley 142 de 1994, </w:t>
      </w:r>
      <w:r>
        <w:rPr>
          <w:rFonts w:cs="Arial"/>
        </w:rPr>
        <w:t>las fórmulas tarifarias tienen una vigencia de cinco años, y cumplido éste término, continuarán rigiendo mientras la CREG no fije unas nuevas.</w:t>
      </w:r>
    </w:p>
    <w:p w:rsidR="00F122A8" w:rsidRDefault="00F122A8" w:rsidP="0062206C">
      <w:pPr>
        <w:rPr>
          <w:rFonts w:cs="Arial"/>
        </w:rPr>
      </w:pPr>
    </w:p>
    <w:p w:rsidR="00F122A8" w:rsidRDefault="00F122A8" w:rsidP="0062206C">
      <w:pPr>
        <w:rPr>
          <w:rFonts w:cs="Arial"/>
        </w:rPr>
      </w:pPr>
    </w:p>
    <w:p w:rsidR="00F122A8" w:rsidRDefault="00F122A8" w:rsidP="0062206C">
      <w:pPr>
        <w:rPr>
          <w:rFonts w:cs="Arial"/>
          <w:spacing w:val="-3"/>
        </w:rPr>
      </w:pPr>
    </w:p>
    <w:p w:rsidR="0062206C" w:rsidRDefault="0062206C" w:rsidP="0062206C"/>
    <w:p w:rsidR="0062206C" w:rsidRDefault="0062206C" w:rsidP="0062206C">
      <w:pPr>
        <w:pStyle w:val="Ttulo2"/>
      </w:pPr>
      <w:bookmarkStart w:id="22" w:name="_Toc434593413"/>
      <w:r>
        <w:t>ASPECTOS A ESTUDIAR</w:t>
      </w:r>
      <w:bookmarkEnd w:id="22"/>
    </w:p>
    <w:p w:rsidR="0062206C" w:rsidRPr="00BF1964" w:rsidRDefault="0062206C" w:rsidP="0062206C">
      <w:r w:rsidRPr="00BF1964">
        <w:t>De manera gráfica se presenta a continuación los temas a estudiar para estructurar la nueva metodología.</w:t>
      </w:r>
    </w:p>
    <w:p w:rsidR="0062206C" w:rsidRDefault="0062206C" w:rsidP="0062206C">
      <w:pPr>
        <w:rPr>
          <w:sz w:val="22"/>
        </w:rPr>
      </w:pPr>
    </w:p>
    <w:p w:rsidR="00B17AA0" w:rsidRDefault="00B17AA0" w:rsidP="0062206C">
      <w:pPr>
        <w:rPr>
          <w:sz w:val="22"/>
        </w:rPr>
      </w:pPr>
    </w:p>
    <w:p w:rsidR="00B17AA0" w:rsidRDefault="00B17AA0" w:rsidP="0062206C">
      <w:pPr>
        <w:rPr>
          <w:sz w:val="22"/>
        </w:rPr>
      </w:pPr>
    </w:p>
    <w:p w:rsidR="0062206C" w:rsidRDefault="0062206C" w:rsidP="0062206C">
      <w:pPr>
        <w:keepNext/>
      </w:pPr>
      <w:r w:rsidRPr="00333437">
        <w:rPr>
          <w:noProof/>
          <w:sz w:val="22"/>
          <w:lang w:val="es-CO" w:eastAsia="es-CO"/>
        </w:rPr>
        <w:drawing>
          <wp:inline distT="0" distB="0" distL="0" distR="0" wp14:anchorId="459DB38D" wp14:editId="4DFE1086">
            <wp:extent cx="6096000" cy="2657475"/>
            <wp:effectExtent l="0" t="0" r="0" b="9525"/>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2206C" w:rsidRPr="00C667BC" w:rsidRDefault="0062206C" w:rsidP="0062206C">
      <w:pPr>
        <w:pStyle w:val="Epgrafe"/>
        <w:spacing w:before="0"/>
      </w:pPr>
      <w:r>
        <w:t xml:space="preserve">      </w:t>
      </w:r>
      <w:bookmarkStart w:id="23" w:name="_Toc434593424"/>
      <w:r w:rsidRPr="00C667BC">
        <w:t xml:space="preserve">Grafica </w:t>
      </w:r>
      <w:r w:rsidRPr="00C667BC">
        <w:fldChar w:fldCharType="begin"/>
      </w:r>
      <w:r w:rsidRPr="00C667BC">
        <w:instrText xml:space="preserve"> SEQ Grafica \* ARABIC </w:instrText>
      </w:r>
      <w:r w:rsidRPr="00C667BC">
        <w:fldChar w:fldCharType="separate"/>
      </w:r>
      <w:r w:rsidR="00FC7564">
        <w:rPr>
          <w:noProof/>
        </w:rPr>
        <w:t>6</w:t>
      </w:r>
      <w:r w:rsidRPr="00C667BC">
        <w:fldChar w:fldCharType="end"/>
      </w:r>
      <w:r w:rsidRPr="00C667BC">
        <w:t xml:space="preserve"> Temas a estudiar</w:t>
      </w:r>
      <w:bookmarkEnd w:id="23"/>
    </w:p>
    <w:p w:rsidR="0062206C" w:rsidRDefault="0062206C" w:rsidP="0062206C">
      <w:pPr>
        <w:rPr>
          <w:sz w:val="22"/>
        </w:rPr>
      </w:pPr>
    </w:p>
    <w:p w:rsidR="0062206C" w:rsidRDefault="0062206C" w:rsidP="0062206C"/>
    <w:p w:rsidR="00B17AA0" w:rsidRDefault="00B17AA0" w:rsidP="0062206C"/>
    <w:p w:rsidR="0062206C" w:rsidRDefault="0062206C" w:rsidP="0062206C">
      <w:r w:rsidRPr="004F1364">
        <w:t>En los siguientes apartes se incluye una breve referencia a los temas a estudiar.</w:t>
      </w:r>
    </w:p>
    <w:p w:rsidR="0062206C" w:rsidRPr="004F1364" w:rsidRDefault="0062206C" w:rsidP="0062206C"/>
    <w:p w:rsidR="0062206C" w:rsidRDefault="0062206C" w:rsidP="0062206C">
      <w:pPr>
        <w:pStyle w:val="Ttulo3"/>
      </w:pPr>
      <w:bookmarkStart w:id="24" w:name="_Toc434593414"/>
      <w:r>
        <w:t>Mercados Origen</w:t>
      </w:r>
      <w:bookmarkEnd w:id="24"/>
    </w:p>
    <w:p w:rsidR="00B17AA0" w:rsidRPr="00B17AA0" w:rsidRDefault="00B17AA0" w:rsidP="00B17AA0"/>
    <w:p w:rsidR="0062206C" w:rsidRDefault="0062206C" w:rsidP="0062206C">
      <w:r>
        <w:t xml:space="preserve">Dentro de los temas a estudiar un elemento relevante es la revisión de fuentes alternas de suministro. En la </w:t>
      </w:r>
      <w:r>
        <w:fldChar w:fldCharType="begin"/>
      </w:r>
      <w:r>
        <w:instrText xml:space="preserve"> REF _Ref432691816 \h </w:instrText>
      </w:r>
      <w:r>
        <w:fldChar w:fldCharType="separate"/>
      </w:r>
      <w:r w:rsidR="00FC7564">
        <w:t xml:space="preserve">Grafica </w:t>
      </w:r>
      <w:r w:rsidR="00FC7564">
        <w:rPr>
          <w:noProof/>
        </w:rPr>
        <w:t>7</w:t>
      </w:r>
      <w:r>
        <w:fldChar w:fldCharType="end"/>
      </w:r>
      <w:r>
        <w:t xml:space="preserve"> se presentan mercados alternos a Cartagena y a Barranca para los cuales se adelantará un análisis de las posibilidades para dar señales de compra eficiente de GLP y el efecto en la componente de transporte dentro del costo unitar</w:t>
      </w:r>
      <w:r w:rsidR="00A16563">
        <w:t>io para los consumidores de la i</w:t>
      </w:r>
      <w:r>
        <w:t>sla.</w:t>
      </w:r>
    </w:p>
    <w:p w:rsidR="0062206C" w:rsidRDefault="0062206C"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B17AA0" w:rsidRDefault="00B17AA0" w:rsidP="0062206C"/>
    <w:p w:rsidR="0062206C" w:rsidRDefault="0062206C" w:rsidP="0062206C">
      <w:pPr>
        <w:keepNext/>
        <w:jc w:val="left"/>
      </w:pPr>
      <w:r>
        <w:rPr>
          <w:noProof/>
          <w:lang w:val="es-CO" w:eastAsia="es-CO"/>
        </w:rPr>
        <w:lastRenderedPageBreak/>
        <mc:AlternateContent>
          <mc:Choice Requires="wps">
            <w:drawing>
              <wp:anchor distT="0" distB="0" distL="114300" distR="114300" simplePos="0" relativeHeight="251663360" behindDoc="0" locked="0" layoutInCell="1" allowOverlap="1" wp14:anchorId="26CCB887" wp14:editId="16CFD056">
                <wp:simplePos x="0" y="0"/>
                <wp:positionH relativeFrom="column">
                  <wp:posOffset>3110865</wp:posOffset>
                </wp:positionH>
                <wp:positionV relativeFrom="paragraph">
                  <wp:posOffset>2443480</wp:posOffset>
                </wp:positionV>
                <wp:extent cx="762000" cy="1403985"/>
                <wp:effectExtent l="0" t="0" r="19050" b="2413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solidFill>
                            <a:srgbClr val="000000"/>
                          </a:solidFill>
                          <a:miter lim="800000"/>
                          <a:headEnd/>
                          <a:tailEnd/>
                        </a:ln>
                      </wps:spPr>
                      <wps:txbx>
                        <w:txbxContent>
                          <w:p w:rsidR="008C411D" w:rsidRPr="00FB19CE" w:rsidRDefault="008C411D" w:rsidP="0062206C">
                            <w:pPr>
                              <w:rPr>
                                <w:sz w:val="14"/>
                                <w:lang w:val="es-CO"/>
                              </w:rPr>
                            </w:pPr>
                            <w:r>
                              <w:rPr>
                                <w:sz w:val="14"/>
                                <w:lang w:val="es-CO"/>
                              </w:rPr>
                              <w:t>Cartagena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44.95pt;margin-top:192.4pt;width:6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">
                <v:textbox style="mso-fit-shape-to-text:t">
                  <w:txbxContent>
                    <w:p w:rsidR="008C411D" w:rsidRPr="00FB19CE" w:rsidRDefault="008C411D" w:rsidP="0062206C">
                      <w:pPr>
                        <w:rPr>
                          <w:sz w:val="14"/>
                          <w:lang w:val="es-CO"/>
                        </w:rPr>
                      </w:pPr>
                      <w:r>
                        <w:rPr>
                          <w:sz w:val="14"/>
                          <w:lang w:val="es-CO"/>
                        </w:rPr>
                        <w:t>Cartagena</w:t>
                      </w:r>
                    </w:p>
                  </w:txbxContent>
                </v:textbox>
              </v:shape>
            </w:pict>
          </mc:Fallback>
        </mc:AlternateContent>
      </w:r>
      <w:r>
        <w:rPr>
          <w:noProof/>
          <w:lang w:val="es-CO" w:eastAsia="es-CO"/>
        </w:rPr>
        <mc:AlternateContent>
          <mc:Choice Requires="wps">
            <w:drawing>
              <wp:anchor distT="0" distB="0" distL="114300" distR="114300" simplePos="0" relativeHeight="251662336" behindDoc="0" locked="0" layoutInCell="1" allowOverlap="1" wp14:anchorId="3D783D0C" wp14:editId="48CACBFA">
                <wp:simplePos x="0" y="0"/>
                <wp:positionH relativeFrom="column">
                  <wp:posOffset>1405890</wp:posOffset>
                </wp:positionH>
                <wp:positionV relativeFrom="paragraph">
                  <wp:posOffset>605155</wp:posOffset>
                </wp:positionV>
                <wp:extent cx="571500" cy="1403985"/>
                <wp:effectExtent l="0" t="0" r="19050" b="2413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FF"/>
                        </a:solidFill>
                        <a:ln w="9525">
                          <a:solidFill>
                            <a:srgbClr val="000000"/>
                          </a:solidFill>
                          <a:miter lim="800000"/>
                          <a:headEnd/>
                          <a:tailEnd/>
                        </a:ln>
                      </wps:spPr>
                      <wps:txbx>
                        <w:txbxContent>
                          <w:p w:rsidR="008C411D" w:rsidRPr="00FB19CE" w:rsidRDefault="008C411D" w:rsidP="0062206C">
                            <w:pPr>
                              <w:rPr>
                                <w:sz w:val="14"/>
                                <w:lang w:val="es-CO"/>
                              </w:rPr>
                            </w:pPr>
                            <w:r>
                              <w:rPr>
                                <w:sz w:val="14"/>
                                <w:lang w:val="es-CO"/>
                              </w:rPr>
                              <w:t>Costa del golfo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0.7pt;margin-top:47.65pt;width: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">
                <v:textbox style="mso-fit-shape-to-text:t">
                  <w:txbxContent>
                    <w:p w:rsidR="008C411D" w:rsidRPr="00FB19CE" w:rsidRDefault="008C411D" w:rsidP="0062206C">
                      <w:pPr>
                        <w:rPr>
                          <w:sz w:val="14"/>
                          <w:lang w:val="es-CO"/>
                        </w:rPr>
                      </w:pPr>
                      <w:r>
                        <w:rPr>
                          <w:sz w:val="14"/>
                          <w:lang w:val="es-CO"/>
                        </w:rPr>
                        <w:t>Costa del golfo</w:t>
                      </w:r>
                    </w:p>
                  </w:txbxContent>
                </v:textbox>
              </v:shape>
            </w:pict>
          </mc:Fallback>
        </mc:AlternateContent>
      </w:r>
      <w:r>
        <w:rPr>
          <w:noProof/>
          <w:lang w:val="es-CO" w:eastAsia="es-CO"/>
        </w:rPr>
        <mc:AlternateContent>
          <mc:Choice Requires="wps">
            <w:drawing>
              <wp:anchor distT="0" distB="0" distL="114300" distR="114300" simplePos="0" relativeHeight="251661312" behindDoc="0" locked="0" layoutInCell="1" allowOverlap="1" wp14:anchorId="27000EC3" wp14:editId="4843199E">
                <wp:simplePos x="0" y="0"/>
                <wp:positionH relativeFrom="column">
                  <wp:posOffset>4863465</wp:posOffset>
                </wp:positionH>
                <wp:positionV relativeFrom="paragraph">
                  <wp:posOffset>2643505</wp:posOffset>
                </wp:positionV>
                <wp:extent cx="571500" cy="1403985"/>
                <wp:effectExtent l="0" t="0" r="19050"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3985"/>
                        </a:xfrm>
                        <a:prstGeom prst="rect">
                          <a:avLst/>
                        </a:prstGeom>
                        <a:solidFill>
                          <a:srgbClr val="FFFFFF"/>
                        </a:solidFill>
                        <a:ln w="9525">
                          <a:solidFill>
                            <a:srgbClr val="000000"/>
                          </a:solidFill>
                          <a:miter lim="800000"/>
                          <a:headEnd/>
                          <a:tailEnd/>
                        </a:ln>
                      </wps:spPr>
                      <wps:txbx>
                        <w:txbxContent>
                          <w:p w:rsidR="008C411D" w:rsidRPr="00FB19CE" w:rsidRDefault="008C411D" w:rsidP="0062206C">
                            <w:pPr>
                              <w:rPr>
                                <w:sz w:val="14"/>
                              </w:rPr>
                            </w:pPr>
                            <w:r w:rsidRPr="00FB19CE">
                              <w:rPr>
                                <w:sz w:val="14"/>
                              </w:rPr>
                              <w:t>Trinidad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82.95pt;margin-top:208.15pt;width: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">
                <v:textbox style="mso-fit-shape-to-text:t">
                  <w:txbxContent>
                    <w:p w:rsidR="008C411D" w:rsidRPr="00FB19CE" w:rsidRDefault="008C411D" w:rsidP="0062206C">
                      <w:pPr>
                        <w:rPr>
                          <w:sz w:val="14"/>
                        </w:rPr>
                      </w:pPr>
                      <w:r w:rsidRPr="00FB19CE">
                        <w:rPr>
                          <w:sz w:val="14"/>
                        </w:rPr>
                        <w:t>Trinidad</w:t>
                      </w:r>
                    </w:p>
                  </w:txbxContent>
                </v:textbox>
              </v:shape>
            </w:pict>
          </mc:Fallback>
        </mc:AlternateContent>
      </w:r>
      <w:r>
        <w:rPr>
          <w:noProof/>
          <w:lang w:val="es-CO" w:eastAsia="es-CO"/>
        </w:rPr>
        <w:drawing>
          <wp:inline distT="0" distB="0" distL="0" distR="0" wp14:anchorId="513AA6E0" wp14:editId="5220CF78">
            <wp:extent cx="6034050" cy="33147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6099" cy="3315826"/>
                    </a:xfrm>
                    <a:prstGeom prst="rect">
                      <a:avLst/>
                    </a:prstGeom>
                  </pic:spPr>
                </pic:pic>
              </a:graphicData>
            </a:graphic>
          </wp:inline>
        </w:drawing>
      </w:r>
    </w:p>
    <w:p w:rsidR="0062206C" w:rsidRDefault="0062206C" w:rsidP="0062206C">
      <w:pPr>
        <w:pStyle w:val="Epgrafe"/>
      </w:pPr>
      <w:bookmarkStart w:id="25" w:name="_Ref432691816"/>
      <w:bookmarkStart w:id="26" w:name="_Toc434593425"/>
      <w:r>
        <w:t xml:space="preserve">Grafica </w:t>
      </w:r>
      <w:r>
        <w:fldChar w:fldCharType="begin"/>
      </w:r>
      <w:r>
        <w:instrText xml:space="preserve"> SEQ Grafica \* ARABIC </w:instrText>
      </w:r>
      <w:r>
        <w:fldChar w:fldCharType="separate"/>
      </w:r>
      <w:r w:rsidR="00FC7564">
        <w:rPr>
          <w:noProof/>
        </w:rPr>
        <w:t>7</w:t>
      </w:r>
      <w:r>
        <w:fldChar w:fldCharType="end"/>
      </w:r>
      <w:bookmarkEnd w:id="25"/>
      <w:r>
        <w:t xml:space="preserve"> Mercados alternos</w:t>
      </w:r>
      <w:bookmarkEnd w:id="26"/>
    </w:p>
    <w:p w:rsidR="0062206C" w:rsidRDefault="0062206C" w:rsidP="0062206C">
      <w:pPr>
        <w:jc w:val="left"/>
      </w:pPr>
    </w:p>
    <w:p w:rsidR="0062206C" w:rsidRDefault="0062206C" w:rsidP="0062206C">
      <w:pPr>
        <w:pStyle w:val="Ttulo3"/>
      </w:pPr>
      <w:bookmarkStart w:id="27" w:name="_Toc434593415"/>
      <w:r>
        <w:t>Revisión estampilla a transporte por ductos</w:t>
      </w:r>
      <w:bookmarkEnd w:id="27"/>
    </w:p>
    <w:p w:rsidR="0062206C" w:rsidRDefault="0062206C" w:rsidP="0062206C"/>
    <w:p w:rsidR="0062206C" w:rsidRDefault="0062206C" w:rsidP="0062206C">
      <w:r>
        <w:t xml:space="preserve">La evolución del flete de transporte marítimo a San Andrés se presenta en la </w:t>
      </w:r>
      <w:r>
        <w:fldChar w:fldCharType="begin"/>
      </w:r>
      <w:r>
        <w:instrText xml:space="preserve"> REF _Ref432692046 \h </w:instrText>
      </w:r>
      <w:r>
        <w:fldChar w:fldCharType="separate"/>
      </w:r>
      <w:r w:rsidR="00FC7564">
        <w:t xml:space="preserve">Grafica </w:t>
      </w:r>
      <w:r w:rsidR="00FC7564">
        <w:rPr>
          <w:noProof/>
        </w:rPr>
        <w:t>8</w:t>
      </w:r>
      <w:r>
        <w:fldChar w:fldCharType="end"/>
      </w:r>
      <w:r>
        <w:t>.</w:t>
      </w:r>
    </w:p>
    <w:p w:rsidR="0062206C" w:rsidRDefault="0062206C" w:rsidP="0062206C"/>
    <w:p w:rsidR="0062206C" w:rsidRDefault="0062206C" w:rsidP="0062206C">
      <w:r>
        <w:rPr>
          <w:noProof/>
          <w:lang w:val="es-CO" w:eastAsia="es-CO"/>
        </w:rPr>
        <w:drawing>
          <wp:inline distT="0" distB="0" distL="0" distR="0" wp14:anchorId="4FC3FE3E" wp14:editId="2CFD6D96">
            <wp:extent cx="5941060" cy="2548846"/>
            <wp:effectExtent l="0" t="0" r="21590" b="2349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206C" w:rsidRDefault="0062206C" w:rsidP="0062206C">
      <w:pPr>
        <w:keepNext/>
        <w:jc w:val="left"/>
      </w:pPr>
      <w:r w:rsidRPr="00767F69">
        <w:rPr>
          <w:rFonts w:cs="Arial"/>
          <w:color w:val="000000"/>
          <w:sz w:val="18"/>
        </w:rPr>
        <w:t xml:space="preserve">Fuente: </w:t>
      </w:r>
      <w:r>
        <w:rPr>
          <w:rFonts w:cs="Arial"/>
          <w:color w:val="000000"/>
          <w:sz w:val="18"/>
        </w:rPr>
        <w:t>información agentes</w:t>
      </w:r>
      <w:r w:rsidRPr="00767F69">
        <w:rPr>
          <w:rFonts w:cs="Arial"/>
          <w:color w:val="000000"/>
          <w:sz w:val="18"/>
        </w:rPr>
        <w:t>. Análisis CREG</w:t>
      </w:r>
    </w:p>
    <w:p w:rsidR="0062206C" w:rsidRDefault="0062206C" w:rsidP="0062206C">
      <w:pPr>
        <w:pStyle w:val="Epgrafe"/>
      </w:pPr>
      <w:bookmarkStart w:id="28" w:name="_Ref432692046"/>
      <w:bookmarkStart w:id="29" w:name="_Toc434593426"/>
      <w:r>
        <w:t xml:space="preserve">Grafica </w:t>
      </w:r>
      <w:r>
        <w:fldChar w:fldCharType="begin"/>
      </w:r>
      <w:r>
        <w:instrText xml:space="preserve"> SEQ Grafica \* ARABIC </w:instrText>
      </w:r>
      <w:r>
        <w:fldChar w:fldCharType="separate"/>
      </w:r>
      <w:r w:rsidR="00FC7564">
        <w:rPr>
          <w:noProof/>
        </w:rPr>
        <w:t>8</w:t>
      </w:r>
      <w:r>
        <w:fldChar w:fldCharType="end"/>
      </w:r>
      <w:bookmarkEnd w:id="28"/>
      <w:r>
        <w:t xml:space="preserve"> Evolución del flete  de transporte marítimo</w:t>
      </w:r>
      <w:bookmarkEnd w:id="29"/>
    </w:p>
    <w:p w:rsidR="0062206C" w:rsidRDefault="0062206C" w:rsidP="0062206C"/>
    <w:p w:rsidR="0062206C" w:rsidRDefault="0062206C" w:rsidP="0062206C">
      <w:r>
        <w:t>Como se pude observa</w:t>
      </w:r>
      <w:r w:rsidR="005F0A13">
        <w:t>r</w:t>
      </w:r>
      <w:r>
        <w:t xml:space="preserve"> en la </w:t>
      </w:r>
      <w:r>
        <w:fldChar w:fldCharType="begin"/>
      </w:r>
      <w:r>
        <w:instrText xml:space="preserve"> REF _Ref432692046 \h </w:instrText>
      </w:r>
      <w:r>
        <w:fldChar w:fldCharType="separate"/>
      </w:r>
      <w:r w:rsidR="00FC7564">
        <w:t xml:space="preserve">Grafica </w:t>
      </w:r>
      <w:r w:rsidR="00FC7564">
        <w:rPr>
          <w:noProof/>
        </w:rPr>
        <w:t>8</w:t>
      </w:r>
      <w:r>
        <w:fldChar w:fldCharType="end"/>
      </w:r>
      <w:r>
        <w:t>, el crecimiento promedio mensual del flete fue del 14%, entre septiembre de 2010 y julio de 2015.</w:t>
      </w:r>
    </w:p>
    <w:p w:rsidR="0062206C" w:rsidRDefault="0062206C" w:rsidP="0062206C"/>
    <w:p w:rsidR="00B17AA0" w:rsidRDefault="00B17AA0" w:rsidP="0062206C"/>
    <w:p w:rsidR="00F122A8" w:rsidRDefault="00F122A8" w:rsidP="0062206C"/>
    <w:p w:rsidR="00F122A8" w:rsidRDefault="00F122A8" w:rsidP="0062206C"/>
    <w:p w:rsidR="0062206C" w:rsidRDefault="0062206C" w:rsidP="0062206C">
      <w:r>
        <w:t xml:space="preserve">El efecto de dicho crecimiento además de la señal de precio para el usuario de GLP en San Andrés, quien paga 19% del costo total, se manifiesta en la estampilla aplicada al sistema de transporte por ductos en el continente, el cual asume el 81% del costo total del flete de transporte a San Andrés, acorde a lo presentado en el numeral </w:t>
      </w:r>
      <w:r>
        <w:fldChar w:fldCharType="begin"/>
      </w:r>
      <w:r>
        <w:instrText xml:space="preserve"> REF _Ref432693334 \r \h </w:instrText>
      </w:r>
      <w:r>
        <w:fldChar w:fldCharType="separate"/>
      </w:r>
      <w:r w:rsidR="00FC7564">
        <w:t>2.1</w:t>
      </w:r>
      <w:r>
        <w:fldChar w:fldCharType="end"/>
      </w:r>
      <w:r>
        <w:t>.</w:t>
      </w:r>
    </w:p>
    <w:p w:rsidR="0062206C" w:rsidRDefault="0062206C" w:rsidP="0062206C"/>
    <w:p w:rsidR="0062206C" w:rsidRDefault="0062206C" w:rsidP="0062206C">
      <w:r>
        <w:t xml:space="preserve">Es necesario analizar en detalle el efecto de la estampilla en el sistema de transporte por red de ductos. </w:t>
      </w:r>
    </w:p>
    <w:p w:rsidR="0062206C" w:rsidRPr="002E0BF2" w:rsidRDefault="0062206C" w:rsidP="0062206C">
      <w:r>
        <w:t xml:space="preserve"> </w:t>
      </w:r>
    </w:p>
    <w:p w:rsidR="0062206C" w:rsidRDefault="0062206C" w:rsidP="0062206C">
      <w:pPr>
        <w:pStyle w:val="Ttulo3"/>
      </w:pPr>
      <w:bookmarkStart w:id="30" w:name="_Toc434593416"/>
      <w:r>
        <w:t>Remuneración inversión y AOM</w:t>
      </w:r>
      <w:bookmarkEnd w:id="30"/>
    </w:p>
    <w:p w:rsidR="0062206C" w:rsidRPr="002E0BF2" w:rsidRDefault="0062206C" w:rsidP="0062206C">
      <w:r>
        <w:t xml:space="preserve">Acorde con lo presentado en el numeral </w:t>
      </w:r>
      <w:r>
        <w:fldChar w:fldCharType="begin"/>
      </w:r>
      <w:r>
        <w:instrText xml:space="preserve"> REF _Ref432693525 \r \h </w:instrText>
      </w:r>
      <w:r>
        <w:fldChar w:fldCharType="separate"/>
      </w:r>
      <w:r w:rsidR="00FC7564">
        <w:t>2.1</w:t>
      </w:r>
      <w:r>
        <w:fldChar w:fldCharType="end"/>
      </w:r>
      <w:r>
        <w:t xml:space="preserve"> se hará una revisión de las cuentas y unidades constructivas que se remuneran dentro del flete.</w:t>
      </w:r>
    </w:p>
    <w:p w:rsidR="0062206C" w:rsidRDefault="0062206C" w:rsidP="0062206C"/>
    <w:p w:rsidR="0062206C" w:rsidRDefault="0062206C" w:rsidP="0062206C">
      <w:pPr>
        <w:pStyle w:val="Ttulo3"/>
      </w:pPr>
      <w:bookmarkStart w:id="31" w:name="_Toc434593417"/>
      <w:r>
        <w:t>Flete a Providencia</w:t>
      </w:r>
      <w:bookmarkEnd w:id="31"/>
    </w:p>
    <w:p w:rsidR="0062206C" w:rsidRDefault="0062206C" w:rsidP="0062206C">
      <w:r>
        <w:t>Se estudiará la definición de un flete a providencia desde San Andrés considerando entre otros factores los costos eficientes y disponibilidad del energético.</w:t>
      </w:r>
    </w:p>
    <w:p w:rsidR="0062206C" w:rsidRPr="00471801" w:rsidRDefault="0062206C" w:rsidP="0062206C"/>
    <w:p w:rsidR="0062206C" w:rsidRDefault="0062206C" w:rsidP="0062206C">
      <w:pPr>
        <w:pStyle w:val="Ttulo2"/>
      </w:pPr>
      <w:bookmarkStart w:id="32" w:name="_Toc434593418"/>
      <w:r>
        <w:t>BIBLIOGRAFÍA</w:t>
      </w:r>
      <w:bookmarkEnd w:id="32"/>
    </w:p>
    <w:p w:rsidR="0062206C" w:rsidRDefault="0062206C" w:rsidP="0062206C"/>
    <w:p w:rsidR="0062206C" w:rsidRPr="00B17AA0" w:rsidRDefault="0062206C" w:rsidP="0062206C">
      <w:pPr>
        <w:pStyle w:val="Prrafodelista"/>
        <w:numPr>
          <w:ilvl w:val="0"/>
          <w:numId w:val="30"/>
        </w:numPr>
        <w:rPr>
          <w:sz w:val="24"/>
          <w:szCs w:val="24"/>
        </w:rPr>
      </w:pPr>
      <w:r w:rsidRPr="00B17AA0">
        <w:rPr>
          <w:sz w:val="24"/>
          <w:szCs w:val="24"/>
        </w:rPr>
        <w:t>CREG 083 de 1997. Fórmula general de costos y tarifarias de los comercializadores mayoristas y distribuidores de GLP.</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CREG 084 de 1997. Fórmula tarifaria por producto y transporte para los grandes comercializadores de GLP.</w:t>
      </w:r>
    </w:p>
    <w:p w:rsidR="0062206C" w:rsidRPr="00B17AA0" w:rsidRDefault="0062206C" w:rsidP="0062206C">
      <w:pPr>
        <w:pStyle w:val="Prrafodelista"/>
        <w:rPr>
          <w:sz w:val="24"/>
          <w:szCs w:val="24"/>
        </w:rPr>
      </w:pPr>
    </w:p>
    <w:p w:rsidR="0062206C" w:rsidRPr="00B17AA0" w:rsidRDefault="0062206C" w:rsidP="0062206C">
      <w:pPr>
        <w:pStyle w:val="Prrafodelista"/>
        <w:numPr>
          <w:ilvl w:val="0"/>
          <w:numId w:val="30"/>
        </w:numPr>
        <w:rPr>
          <w:sz w:val="24"/>
          <w:szCs w:val="24"/>
        </w:rPr>
      </w:pPr>
      <w:r w:rsidRPr="00B17AA0">
        <w:rPr>
          <w:sz w:val="24"/>
          <w:szCs w:val="24"/>
        </w:rPr>
        <w:t xml:space="preserve">CREG 066 de 2002. bases formula aplicable a las diferentes actividades de GLP. </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CREG 122 de 2008 criterios remuneración de la actividad de transporte de gas licuado del petróleo (GLP) por ductos.</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 xml:space="preserve">CREG 050 de 2009. criterios para la remuneración de la actividad de transporte de GLP al </w:t>
      </w:r>
      <w:r w:rsidR="00FF4BCD">
        <w:rPr>
          <w:sz w:val="24"/>
          <w:szCs w:val="24"/>
        </w:rPr>
        <w:t>a</w:t>
      </w:r>
      <w:r w:rsidR="00A16563">
        <w:rPr>
          <w:sz w:val="24"/>
          <w:szCs w:val="24"/>
        </w:rPr>
        <w:t>rchipiélago</w:t>
      </w:r>
      <w:r w:rsidRPr="00B17AA0">
        <w:rPr>
          <w:sz w:val="24"/>
          <w:szCs w:val="24"/>
        </w:rPr>
        <w:t xml:space="preserve"> de San Andrés, Providencia y Santa Catalina.</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CREG 180 de 2009. fórmula tarifaria general costos de prestación del servicio de  GLP, a usuarios regulados.</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 xml:space="preserve">CREG 049 de 2011: Aprobación cargo </w:t>
      </w:r>
      <w:proofErr w:type="spellStart"/>
      <w:r w:rsidRPr="00B17AA0">
        <w:rPr>
          <w:sz w:val="24"/>
          <w:szCs w:val="24"/>
        </w:rPr>
        <w:t>Provigas</w:t>
      </w:r>
      <w:proofErr w:type="spellEnd"/>
      <w:r w:rsidRPr="00B17AA0">
        <w:rPr>
          <w:sz w:val="24"/>
          <w:szCs w:val="24"/>
        </w:rPr>
        <w:t xml:space="preserve"> S.A. E.S.P.</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 xml:space="preserve">CREG 176 de 2011. revisión del cargo para la remuneración de la actividad de transporte del GLP al </w:t>
      </w:r>
      <w:r w:rsidR="00A16563">
        <w:rPr>
          <w:sz w:val="24"/>
          <w:szCs w:val="24"/>
        </w:rPr>
        <w:t>archipiélago</w:t>
      </w:r>
      <w:r w:rsidRPr="00B17AA0">
        <w:rPr>
          <w:sz w:val="24"/>
          <w:szCs w:val="24"/>
        </w:rPr>
        <w:t xml:space="preserve"> de San Andrés, Providencia y Santa Catalina presentada por la empresa PROVIGAS.</w:t>
      </w:r>
    </w:p>
    <w:p w:rsidR="0062206C" w:rsidRDefault="0062206C" w:rsidP="0062206C">
      <w:pPr>
        <w:pStyle w:val="Prrafodelista"/>
        <w:rPr>
          <w:sz w:val="24"/>
          <w:szCs w:val="24"/>
        </w:rPr>
      </w:pPr>
    </w:p>
    <w:p w:rsidR="00B17AA0" w:rsidRDefault="00B17AA0" w:rsidP="0062206C">
      <w:pPr>
        <w:pStyle w:val="Prrafodelista"/>
        <w:rPr>
          <w:sz w:val="24"/>
          <w:szCs w:val="24"/>
        </w:rPr>
      </w:pPr>
    </w:p>
    <w:p w:rsidR="0062206C" w:rsidRPr="00B17AA0" w:rsidRDefault="0062206C" w:rsidP="0062206C">
      <w:pPr>
        <w:pStyle w:val="Prrafodelista"/>
        <w:numPr>
          <w:ilvl w:val="0"/>
          <w:numId w:val="30"/>
        </w:numPr>
        <w:rPr>
          <w:sz w:val="24"/>
          <w:szCs w:val="24"/>
        </w:rPr>
      </w:pPr>
      <w:r w:rsidRPr="00B17AA0">
        <w:rPr>
          <w:sz w:val="24"/>
          <w:szCs w:val="24"/>
        </w:rPr>
        <w:t xml:space="preserve">CREG 160 de 2013. Obligaciones de los transportadores de GLP- a través de ductos en el continente y en forma marítima entre el </w:t>
      </w:r>
      <w:r w:rsidR="00A16563">
        <w:rPr>
          <w:sz w:val="24"/>
          <w:szCs w:val="24"/>
        </w:rPr>
        <w:t>c</w:t>
      </w:r>
      <w:r w:rsidRPr="00B17AA0">
        <w:rPr>
          <w:sz w:val="24"/>
          <w:szCs w:val="24"/>
        </w:rPr>
        <w:t>ontinente y  San Andrés.</w:t>
      </w:r>
    </w:p>
    <w:p w:rsidR="0062206C" w:rsidRPr="00B17AA0" w:rsidRDefault="0062206C" w:rsidP="0062206C"/>
    <w:p w:rsidR="0062206C" w:rsidRPr="00B17AA0" w:rsidRDefault="0062206C" w:rsidP="0062206C">
      <w:pPr>
        <w:pStyle w:val="Prrafodelista"/>
        <w:numPr>
          <w:ilvl w:val="0"/>
          <w:numId w:val="30"/>
        </w:numPr>
        <w:rPr>
          <w:sz w:val="24"/>
          <w:szCs w:val="24"/>
        </w:rPr>
      </w:pPr>
      <w:r w:rsidRPr="00B17AA0">
        <w:rPr>
          <w:sz w:val="24"/>
          <w:szCs w:val="24"/>
        </w:rPr>
        <w:t>CREG 149 DE 2015. revisión tarifaria de la metodología de remuneración d</w:t>
      </w:r>
      <w:r w:rsidR="00A16563">
        <w:rPr>
          <w:sz w:val="24"/>
          <w:szCs w:val="24"/>
        </w:rPr>
        <w:t>e la actividad de transporte de gas licuado de p</w:t>
      </w:r>
      <w:r w:rsidRPr="00B17AA0">
        <w:rPr>
          <w:sz w:val="24"/>
          <w:szCs w:val="24"/>
        </w:rPr>
        <w:t>etróleo (GLP)</w:t>
      </w:r>
    </w:p>
    <w:p w:rsidR="0062206C" w:rsidRPr="00042C05" w:rsidRDefault="0062206C" w:rsidP="0062206C">
      <w:pPr>
        <w:rPr>
          <w:lang w:val="es-CO"/>
        </w:rPr>
      </w:pPr>
    </w:p>
    <w:p w:rsidR="002D2A39" w:rsidRPr="0062206C" w:rsidRDefault="002D2A39" w:rsidP="0062206C">
      <w:pPr>
        <w:rPr>
          <w:lang w:val="es-CO"/>
        </w:rPr>
      </w:pPr>
    </w:p>
    <w:sectPr w:rsidR="002D2A39" w:rsidRPr="0062206C" w:rsidSect="00F122A8">
      <w:headerReference w:type="default" r:id="rId31"/>
      <w:headerReference w:type="first" r:id="rId32"/>
      <w:type w:val="continuous"/>
      <w:pgSz w:w="12242" w:h="18722" w:code="198"/>
      <w:pgMar w:top="2342" w:right="1185" w:bottom="1758"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11D" w:rsidRDefault="008C411D">
      <w:r>
        <w:separator/>
      </w:r>
    </w:p>
  </w:endnote>
  <w:endnote w:type="continuationSeparator" w:id="0">
    <w:p w:rsidR="008C411D" w:rsidRDefault="008C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11D" w:rsidRDefault="008C411D">
      <w:r>
        <w:separator/>
      </w:r>
    </w:p>
  </w:footnote>
  <w:footnote w:type="continuationSeparator" w:id="0">
    <w:p w:rsidR="008C411D" w:rsidRDefault="008C411D">
      <w:r>
        <w:continuationSeparator/>
      </w:r>
    </w:p>
  </w:footnote>
  <w:footnote w:id="1">
    <w:p w:rsidR="008C411D" w:rsidRDefault="008C411D" w:rsidP="0062206C">
      <w:pPr>
        <w:pStyle w:val="Textonotapie"/>
        <w:rPr>
          <w:rFonts w:cs="Arial"/>
        </w:rPr>
      </w:pPr>
      <w:r>
        <w:rPr>
          <w:rStyle w:val="Refdenotaalpie"/>
          <w:rFonts w:cs="Arial"/>
        </w:rPr>
        <w:footnoteRef/>
      </w:r>
      <w:r>
        <w:rPr>
          <w:rFonts w:cs="Arial"/>
        </w:rPr>
        <w:t xml:space="preserve"> </w:t>
      </w:r>
      <w:r>
        <w:rPr>
          <w:rFonts w:cs="Arial"/>
        </w:rPr>
        <w:tab/>
        <w:t>Artículos 73 y 74 de Ley 142 de 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1D" w:rsidRDefault="008C411D" w:rsidP="00601751">
    <w:pPr>
      <w:pStyle w:val="Ttulo1"/>
    </w:pPr>
  </w:p>
  <w:p w:rsidR="008C411D" w:rsidRPr="000909CB" w:rsidRDefault="008C411D" w:rsidP="00601751">
    <w:pPr>
      <w:pStyle w:val="Ttulo1"/>
      <w:rPr>
        <w:b w:val="0"/>
      </w:rPr>
    </w:pPr>
    <w:r w:rsidRPr="000909CB">
      <w:rPr>
        <w:b w:val="0"/>
      </w:rPr>
      <w:t>RESOLUCIÓN No.  ________________DE ________________</w:t>
    </w:r>
    <w:r w:rsidRPr="000909CB">
      <w:rPr>
        <w:b w:val="0"/>
      </w:rPr>
      <w:tab/>
      <w:t xml:space="preserve">HOJA No. </w:t>
    </w:r>
    <w:r w:rsidRPr="000909CB">
      <w:rPr>
        <w:b w:val="0"/>
      </w:rPr>
      <w:fldChar w:fldCharType="begin"/>
    </w:r>
    <w:r w:rsidRPr="000909CB">
      <w:rPr>
        <w:b w:val="0"/>
      </w:rPr>
      <w:instrText xml:space="preserve"> PAGE   \* MERGEFORMAT </w:instrText>
    </w:r>
    <w:r w:rsidRPr="000909CB">
      <w:rPr>
        <w:b w:val="0"/>
      </w:rPr>
      <w:fldChar w:fldCharType="separate"/>
    </w:r>
    <w:r w:rsidR="008244EC">
      <w:rPr>
        <w:b w:val="0"/>
        <w:noProof/>
      </w:rPr>
      <w:t>18</w:t>
    </w:r>
    <w:r w:rsidRPr="000909CB">
      <w:rPr>
        <w:b w:val="0"/>
      </w:rPr>
      <w:fldChar w:fldCharType="end"/>
    </w:r>
    <w:r w:rsidRPr="000909CB">
      <w:rPr>
        <w:b w:val="0"/>
      </w:rPr>
      <w:t>/</w:t>
    </w:r>
    <w:r w:rsidRPr="000909CB">
      <w:rPr>
        <w:b w:val="0"/>
      </w:rPr>
      <w:fldChar w:fldCharType="begin"/>
    </w:r>
    <w:r w:rsidRPr="000909CB">
      <w:rPr>
        <w:b w:val="0"/>
      </w:rPr>
      <w:instrText xml:space="preserve"> NUMPAGES  \* MERGEFORMAT </w:instrText>
    </w:r>
    <w:r w:rsidRPr="000909CB">
      <w:rPr>
        <w:b w:val="0"/>
      </w:rPr>
      <w:fldChar w:fldCharType="separate"/>
    </w:r>
    <w:r w:rsidR="008244EC">
      <w:rPr>
        <w:b w:val="0"/>
        <w:noProof/>
      </w:rPr>
      <w:t>18</w:t>
    </w:r>
    <w:r w:rsidRPr="000909CB">
      <w:rPr>
        <w:b w:val="0"/>
        <w:noProof/>
      </w:rPr>
      <w:fldChar w:fldCharType="end"/>
    </w:r>
  </w:p>
  <w:p w:rsidR="008C411D" w:rsidRDefault="008C411D" w:rsidP="00AD01E4">
    <w:pPr>
      <w:ind w:left="142" w:right="148"/>
      <w:rPr>
        <w:rFonts w:cs="Arial"/>
      </w:rPr>
    </w:pPr>
    <w:r>
      <w:rPr>
        <w:noProof/>
        <w:lang w:val="es-CO" w:eastAsia="es-CO"/>
      </w:rPr>
      <mc:AlternateContent>
        <mc:Choice Requires="wps">
          <w:drawing>
            <wp:anchor distT="0" distB="0" distL="114300" distR="114300" simplePos="0" relativeHeight="251657216" behindDoc="0" locked="0" layoutInCell="1" allowOverlap="1" wp14:anchorId="239B618F" wp14:editId="1AFA6339">
              <wp:simplePos x="0" y="0"/>
              <wp:positionH relativeFrom="column">
                <wp:posOffset>-175260</wp:posOffset>
              </wp:positionH>
              <wp:positionV relativeFrom="paragraph">
                <wp:posOffset>139065</wp:posOffset>
              </wp:positionV>
              <wp:extent cx="6267450" cy="9900920"/>
              <wp:effectExtent l="9525" t="13335" r="9525" b="1079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3.8pt;margin-top:10.95pt;width:493.5pt;height:77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" filled="f" strokeweight="1.5pt"/>
          </w:pict>
        </mc:Fallback>
      </mc:AlternateContent>
    </w:r>
  </w:p>
  <w:p w:rsidR="008C411D" w:rsidRPr="00B17AA0" w:rsidRDefault="008C411D" w:rsidP="0093441C">
    <w:pPr>
      <w:rPr>
        <w:rFonts w:cs="Arial"/>
        <w:sz w:val="22"/>
        <w:szCs w:val="22"/>
        <w:lang w:val="es-CO"/>
      </w:rPr>
    </w:pPr>
    <w:r w:rsidRPr="00B17AA0">
      <w:rPr>
        <w:rFonts w:cs="Arial"/>
        <w:sz w:val="22"/>
        <w:szCs w:val="22"/>
        <w:lang w:val="es-CO"/>
      </w:rPr>
      <w:t xml:space="preserve">Por la cual se dan a conocer a los agentes, usuarios y terceros interesados, las bases sobre las cuales la Comisión de Regulación de Energía y Gas, efectuará los estudios para determinar la metodología para la remuneración de la actividad de transporte de gas licuado de petróleo (GLP) hacia el </w:t>
    </w:r>
    <w:r>
      <w:rPr>
        <w:rFonts w:cs="Arial"/>
        <w:sz w:val="22"/>
        <w:szCs w:val="22"/>
        <w:lang w:val="es-CO"/>
      </w:rPr>
      <w:t>archipiélago</w:t>
    </w:r>
    <w:r w:rsidRPr="00B17AA0">
      <w:rPr>
        <w:rFonts w:cs="Arial"/>
        <w:sz w:val="22"/>
        <w:szCs w:val="22"/>
        <w:lang w:val="es-CO"/>
      </w:rPr>
      <w:t xml:space="preserve"> de San Andrés, Providencia y Santa Catalina.</w:t>
    </w:r>
  </w:p>
  <w:p w:rsidR="008C411D" w:rsidRPr="006B4647" w:rsidRDefault="008C411D" w:rsidP="0093441C">
    <w:pPr>
      <w:pBdr>
        <w:bottom w:val="single" w:sz="4" w:space="1" w:color="auto"/>
      </w:pBdr>
      <w:ind w:right="148"/>
      <w:rPr>
        <w:b/>
        <w:lang w:val="es-C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11D" w:rsidRDefault="008C411D" w:rsidP="00416B0A">
    <w:pPr>
      <w:pStyle w:val="Encabezado"/>
      <w:jc w:val="center"/>
      <w:rPr>
        <w:rFonts w:ascii="Arial" w:hAnsi="Arial" w:cs="Arial"/>
        <w:spacing w:val="20"/>
        <w:sz w:val="20"/>
      </w:rPr>
    </w:pPr>
    <w:r>
      <w:rPr>
        <w:rFonts w:ascii="Arial" w:hAnsi="Arial" w:cs="Arial"/>
        <w:spacing w:val="20"/>
        <w:sz w:val="20"/>
      </w:rPr>
      <w:t>República de Colombia</w:t>
    </w:r>
  </w:p>
  <w:p w:rsidR="008C411D" w:rsidRDefault="008C411D">
    <w:pPr>
      <w:pStyle w:val="Encabezado"/>
      <w:jc w:val="center"/>
      <w:rPr>
        <w:rFonts w:ascii="Arial" w:hAnsi="Arial" w:cs="Arial"/>
        <w:spacing w:val="20"/>
        <w:sz w:val="20"/>
      </w:rPr>
    </w:pPr>
  </w:p>
  <w:p w:rsidR="008C411D" w:rsidRDefault="008C411D" w:rsidP="00CA77FB">
    <w:pPr>
      <w:pStyle w:val="Encabezado"/>
      <w:jc w:val="center"/>
    </w:pPr>
    <w:r>
      <w:rPr>
        <w:rFonts w:ascii="Arial" w:hAnsi="Arial" w:cs="Arial"/>
        <w:noProof/>
        <w:spacing w:val="20"/>
        <w:sz w:val="20"/>
        <w:lang w:eastAsia="es-CO"/>
      </w:rPr>
      <mc:AlternateContent>
        <mc:Choice Requires="wps">
          <w:drawing>
            <wp:anchor distT="0" distB="0" distL="114300" distR="114300" simplePos="0" relativeHeight="251658240" behindDoc="0" locked="0" layoutInCell="1" allowOverlap="1" wp14:anchorId="4514BF1C" wp14:editId="47F466B2">
              <wp:simplePos x="0" y="0"/>
              <wp:positionH relativeFrom="column">
                <wp:posOffset>-213360</wp:posOffset>
              </wp:positionH>
              <wp:positionV relativeFrom="paragraph">
                <wp:posOffset>377190</wp:posOffset>
              </wp:positionV>
              <wp:extent cx="6343650" cy="9839325"/>
              <wp:effectExtent l="9525" t="14605" r="952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8pt;margin-top:29.7pt;width:499.5pt;height:77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" filled="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1E67325"/>
    <w:multiLevelType w:val="hybridMultilevel"/>
    <w:tmpl w:val="66568F00"/>
    <w:lvl w:ilvl="0" w:tplc="DB8C2DD0">
      <w:start w:val="1"/>
      <w:numFmt w:val="decimal"/>
      <w:lvlText w:val="Artículo %1. "/>
      <w:lvlJc w:val="left"/>
      <w:pPr>
        <w:ind w:left="578" w:hanging="360"/>
      </w:pPr>
      <w:rPr>
        <w:rFonts w:hint="default"/>
        <w:b/>
        <w:i w:val="0"/>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2">
    <w:nsid w:val="03061BFF"/>
    <w:multiLevelType w:val="hybridMultilevel"/>
    <w:tmpl w:val="78C4842A"/>
    <w:lvl w:ilvl="0" w:tplc="CB589430">
      <w:start w:val="1"/>
      <w:numFmt w:val="decimal"/>
      <w:lvlText w:val="Artículo %1."/>
      <w:lvlJc w:val="left"/>
      <w:pPr>
        <w:tabs>
          <w:tab w:val="num" w:pos="1440"/>
        </w:tabs>
        <w:ind w:left="0" w:firstLine="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CE0429"/>
    <w:multiLevelType w:val="hybridMultilevel"/>
    <w:tmpl w:val="F5D2FE38"/>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0DF36714"/>
    <w:multiLevelType w:val="hybridMultilevel"/>
    <w:tmpl w:val="0F70A1FA"/>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85F6A33A">
      <w:start w:val="1"/>
      <w:numFmt w:val="lowerLetter"/>
      <w:lvlText w:val="%3)"/>
      <w:lvlJc w:val="left"/>
      <w:pPr>
        <w:ind w:left="2160" w:hanging="360"/>
      </w:pPr>
      <w:rPr>
        <w:rFonts w:ascii="Arial" w:eastAsia="Times New Roman" w:hAnsi="Arial" w:cs="Arial"/>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947FBB"/>
    <w:multiLevelType w:val="multilevel"/>
    <w:tmpl w:val="E25A4B46"/>
    <w:lvl w:ilvl="0">
      <w:start w:val="2"/>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E004C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24D0D07"/>
    <w:multiLevelType w:val="hybridMultilevel"/>
    <w:tmpl w:val="602E31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5100DC7"/>
    <w:multiLevelType w:val="hybridMultilevel"/>
    <w:tmpl w:val="51F81D26"/>
    <w:lvl w:ilvl="0" w:tplc="0C0A0017">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8D0CD2"/>
    <w:multiLevelType w:val="hybridMultilevel"/>
    <w:tmpl w:val="17322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605278E"/>
    <w:multiLevelType w:val="hybridMultilevel"/>
    <w:tmpl w:val="EFD8B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223F0C"/>
    <w:multiLevelType w:val="hybridMultilevel"/>
    <w:tmpl w:val="C6146CCC"/>
    <w:lvl w:ilvl="0" w:tplc="B498988C">
      <w:start w:val="1"/>
      <w:numFmt w:val="lowerRoman"/>
      <w:lvlText w:val="%1)"/>
      <w:lvlJc w:val="left"/>
      <w:pPr>
        <w:ind w:left="1080" w:hanging="720"/>
      </w:pPr>
      <w:rPr>
        <w:rFonts w:cs="Aria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88C7569"/>
    <w:multiLevelType w:val="hybridMultilevel"/>
    <w:tmpl w:val="F7400AF2"/>
    <w:lvl w:ilvl="0" w:tplc="240A0001">
      <w:start w:val="1"/>
      <w:numFmt w:val="bullet"/>
      <w:lvlText w:val=""/>
      <w:lvlJc w:val="left"/>
      <w:pPr>
        <w:ind w:left="795" w:hanging="360"/>
      </w:pPr>
      <w:rPr>
        <w:rFonts w:ascii="Symbol" w:hAnsi="Symbol" w:hint="default"/>
      </w:rPr>
    </w:lvl>
    <w:lvl w:ilvl="1" w:tplc="0C0A0001">
      <w:start w:val="1"/>
      <w:numFmt w:val="bullet"/>
      <w:lvlText w:val=""/>
      <w:lvlJc w:val="left"/>
      <w:pPr>
        <w:ind w:left="1515" w:hanging="360"/>
      </w:pPr>
      <w:rPr>
        <w:rFonts w:ascii="Symbol" w:hAnsi="Symbol"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3">
    <w:nsid w:val="49BD2712"/>
    <w:multiLevelType w:val="hybridMultilevel"/>
    <w:tmpl w:val="5E24E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9DB0D2F"/>
    <w:multiLevelType w:val="multilevel"/>
    <w:tmpl w:val="F0CC82C2"/>
    <w:lvl w:ilvl="0">
      <w:start w:val="1"/>
      <w:numFmt w:val="decimal"/>
      <w:lvlText w:val="Artículo %1."/>
      <w:lvlJc w:val="right"/>
      <w:pPr>
        <w:tabs>
          <w:tab w:val="num" w:pos="1721"/>
        </w:tabs>
        <w:ind w:left="0" w:firstLine="1361"/>
      </w:pPr>
      <w:rPr>
        <w:rFonts w:ascii="Bookman Old Style" w:hAnsi="Bookman Old Style" w:cs="Arial" w:hint="default"/>
        <w:b/>
        <w:i w:val="0"/>
        <w:color w:val="auto"/>
        <w:sz w:val="24"/>
        <w:szCs w:val="22"/>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1.%2.%3.%4"/>
      <w:lvlJc w:val="right"/>
      <w:pPr>
        <w:tabs>
          <w:tab w:val="num" w:pos="360"/>
        </w:tabs>
        <w:ind w:left="0" w:firstLine="0"/>
      </w:pPr>
      <w:rPr>
        <w:rFonts w:hint="default"/>
      </w:rPr>
    </w:lvl>
    <w:lvl w:ilvl="4">
      <w:start w:val="1"/>
      <w:numFmt w:val="lowerLetter"/>
      <w:lvlText w:val="%5)"/>
      <w:lvlJc w:val="left"/>
      <w:pPr>
        <w:tabs>
          <w:tab w:val="num" w:pos="360"/>
        </w:tabs>
        <w:ind w:left="0" w:firstLine="0"/>
      </w:pPr>
      <w:rPr>
        <w:rFonts w:hint="default"/>
        <w:b/>
      </w:rPr>
    </w:lvl>
    <w:lvl w:ilvl="5">
      <w:start w:val="1"/>
      <w:numFmt w:val="lowerRoman"/>
      <w:lvlText w:val="%6)"/>
      <w:lvlJc w:val="left"/>
      <w:pPr>
        <w:tabs>
          <w:tab w:val="num" w:pos="720"/>
        </w:tabs>
        <w:ind w:left="0" w:firstLine="0"/>
      </w:pPr>
      <w:rPr>
        <w:rFonts w:hint="default"/>
      </w:rPr>
    </w:lvl>
    <w:lvl w:ilvl="6">
      <w:start w:val="1"/>
      <w:numFmt w:val="lowerRoman"/>
      <w:lvlText w:val="%7)"/>
      <w:lvlJc w:val="right"/>
      <w:pPr>
        <w:tabs>
          <w:tab w:val="num" w:pos="360"/>
        </w:tabs>
        <w:ind w:left="0" w:firstLine="0"/>
      </w:pPr>
      <w:rPr>
        <w:rFonts w:hint="default"/>
      </w:rPr>
    </w:lvl>
    <w:lvl w:ilvl="7">
      <w:start w:val="1"/>
      <w:numFmt w:val="lowerLetter"/>
      <w:lvlText w:val="%7.%8."/>
      <w:lvlJc w:val="left"/>
      <w:pPr>
        <w:tabs>
          <w:tab w:val="num" w:pos="720"/>
        </w:tabs>
        <w:ind w:left="0" w:firstLine="0"/>
      </w:pPr>
      <w:rPr>
        <w:rFonts w:hint="default"/>
      </w:rPr>
    </w:lvl>
    <w:lvl w:ilvl="8">
      <w:start w:val="1"/>
      <w:numFmt w:val="lowerRoman"/>
      <w:lvlText w:val="%9."/>
      <w:lvlJc w:val="right"/>
      <w:pPr>
        <w:tabs>
          <w:tab w:val="num" w:pos="360"/>
        </w:tabs>
        <w:ind w:left="0" w:firstLine="0"/>
      </w:pPr>
      <w:rPr>
        <w:rFonts w:hint="default"/>
      </w:rPr>
    </w:lvl>
  </w:abstractNum>
  <w:abstractNum w:abstractNumId="15">
    <w:nsid w:val="4FAD75CC"/>
    <w:multiLevelType w:val="hybridMultilevel"/>
    <w:tmpl w:val="B0900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9BF446F"/>
    <w:multiLevelType w:val="hybridMultilevel"/>
    <w:tmpl w:val="37A2B500"/>
    <w:lvl w:ilvl="0" w:tplc="A0D0B8FC">
      <w:numFmt w:val="bullet"/>
      <w:lvlText w:val="•"/>
      <w:lvlJc w:val="left"/>
      <w:pPr>
        <w:ind w:left="720" w:hanging="360"/>
      </w:pPr>
      <w:rPr>
        <w:rFonts w:ascii="Bookman Old Style" w:eastAsia="Times New Roman" w:hAnsi="Bookman Old Styl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AFD5520"/>
    <w:multiLevelType w:val="hybridMultilevel"/>
    <w:tmpl w:val="00D2B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B701BA2"/>
    <w:multiLevelType w:val="hybridMultilevel"/>
    <w:tmpl w:val="7BAE5532"/>
    <w:lvl w:ilvl="0" w:tplc="FDAEACC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BAF195A"/>
    <w:multiLevelType w:val="hybridMultilevel"/>
    <w:tmpl w:val="9500842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E510510"/>
    <w:multiLevelType w:val="hybridMultilevel"/>
    <w:tmpl w:val="0BE8FE34"/>
    <w:lvl w:ilvl="0" w:tplc="BA30737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nsid w:val="62CD0C41"/>
    <w:multiLevelType w:val="hybridMultilevel"/>
    <w:tmpl w:val="69D48B7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66E81223"/>
    <w:multiLevelType w:val="multilevel"/>
    <w:tmpl w:val="666CC4BE"/>
    <w:lvl w:ilvl="0">
      <w:start w:val="1"/>
      <w:numFmt w:val="decimal"/>
      <w:pStyle w:val="Ttulo2"/>
      <w:lvlText w:val="%1."/>
      <w:lvlJc w:val="left"/>
      <w:pPr>
        <w:ind w:left="360" w:hanging="360"/>
      </w:pPr>
      <w:rPr>
        <w:rFonts w:hint="default"/>
      </w:rPr>
    </w:lvl>
    <w:lvl w:ilvl="1">
      <w:start w:val="1"/>
      <w:numFmt w:val="decimal"/>
      <w:pStyle w:val="Ttulo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F420DC0"/>
    <w:multiLevelType w:val="hybridMultilevel"/>
    <w:tmpl w:val="6C24184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2B73A13"/>
    <w:multiLevelType w:val="hybridMultilevel"/>
    <w:tmpl w:val="1BD65EF4"/>
    <w:lvl w:ilvl="0" w:tplc="1C207514">
      <w:start w:val="1"/>
      <w:numFmt w:val="lowerLetter"/>
      <w:lvlText w:val="%1)"/>
      <w:lvlJc w:val="left"/>
      <w:pPr>
        <w:ind w:left="3360" w:hanging="300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57010BC"/>
    <w:multiLevelType w:val="hybridMultilevel"/>
    <w:tmpl w:val="531238A0"/>
    <w:lvl w:ilvl="0" w:tplc="E4CAB5D4">
      <w:start w:val="1"/>
      <w:numFmt w:val="bullet"/>
      <w:lvlText w:val=""/>
      <w:lvlJc w:val="left"/>
      <w:pPr>
        <w:tabs>
          <w:tab w:val="num" w:pos="720"/>
        </w:tabs>
        <w:ind w:left="720" w:hanging="360"/>
      </w:pPr>
      <w:rPr>
        <w:rFonts w:ascii="Wingdings" w:hAnsi="Wingdings" w:hint="default"/>
      </w:rPr>
    </w:lvl>
    <w:lvl w:ilvl="1" w:tplc="198EE6DC">
      <w:start w:val="2866"/>
      <w:numFmt w:val="bullet"/>
      <w:lvlText w:val="–"/>
      <w:lvlJc w:val="left"/>
      <w:pPr>
        <w:tabs>
          <w:tab w:val="num" w:pos="1440"/>
        </w:tabs>
        <w:ind w:left="1440" w:hanging="360"/>
      </w:pPr>
      <w:rPr>
        <w:rFonts w:ascii="Arial" w:hAnsi="Arial" w:hint="default"/>
      </w:rPr>
    </w:lvl>
    <w:lvl w:ilvl="2" w:tplc="0DC0F05C" w:tentative="1">
      <w:start w:val="1"/>
      <w:numFmt w:val="bullet"/>
      <w:lvlText w:val=""/>
      <w:lvlJc w:val="left"/>
      <w:pPr>
        <w:tabs>
          <w:tab w:val="num" w:pos="2160"/>
        </w:tabs>
        <w:ind w:left="2160" w:hanging="360"/>
      </w:pPr>
      <w:rPr>
        <w:rFonts w:ascii="Wingdings" w:hAnsi="Wingdings" w:hint="default"/>
      </w:rPr>
    </w:lvl>
    <w:lvl w:ilvl="3" w:tplc="AD229162" w:tentative="1">
      <w:start w:val="1"/>
      <w:numFmt w:val="bullet"/>
      <w:lvlText w:val=""/>
      <w:lvlJc w:val="left"/>
      <w:pPr>
        <w:tabs>
          <w:tab w:val="num" w:pos="2880"/>
        </w:tabs>
        <w:ind w:left="2880" w:hanging="360"/>
      </w:pPr>
      <w:rPr>
        <w:rFonts w:ascii="Wingdings" w:hAnsi="Wingdings" w:hint="default"/>
      </w:rPr>
    </w:lvl>
    <w:lvl w:ilvl="4" w:tplc="D03C46F0" w:tentative="1">
      <w:start w:val="1"/>
      <w:numFmt w:val="bullet"/>
      <w:lvlText w:val=""/>
      <w:lvlJc w:val="left"/>
      <w:pPr>
        <w:tabs>
          <w:tab w:val="num" w:pos="3600"/>
        </w:tabs>
        <w:ind w:left="3600" w:hanging="360"/>
      </w:pPr>
      <w:rPr>
        <w:rFonts w:ascii="Wingdings" w:hAnsi="Wingdings" w:hint="default"/>
      </w:rPr>
    </w:lvl>
    <w:lvl w:ilvl="5" w:tplc="C9625A6E" w:tentative="1">
      <w:start w:val="1"/>
      <w:numFmt w:val="bullet"/>
      <w:lvlText w:val=""/>
      <w:lvlJc w:val="left"/>
      <w:pPr>
        <w:tabs>
          <w:tab w:val="num" w:pos="4320"/>
        </w:tabs>
        <w:ind w:left="4320" w:hanging="360"/>
      </w:pPr>
      <w:rPr>
        <w:rFonts w:ascii="Wingdings" w:hAnsi="Wingdings" w:hint="default"/>
      </w:rPr>
    </w:lvl>
    <w:lvl w:ilvl="6" w:tplc="CBC8663E" w:tentative="1">
      <w:start w:val="1"/>
      <w:numFmt w:val="bullet"/>
      <w:lvlText w:val=""/>
      <w:lvlJc w:val="left"/>
      <w:pPr>
        <w:tabs>
          <w:tab w:val="num" w:pos="5040"/>
        </w:tabs>
        <w:ind w:left="5040" w:hanging="360"/>
      </w:pPr>
      <w:rPr>
        <w:rFonts w:ascii="Wingdings" w:hAnsi="Wingdings" w:hint="default"/>
      </w:rPr>
    </w:lvl>
    <w:lvl w:ilvl="7" w:tplc="D88C0132" w:tentative="1">
      <w:start w:val="1"/>
      <w:numFmt w:val="bullet"/>
      <w:lvlText w:val=""/>
      <w:lvlJc w:val="left"/>
      <w:pPr>
        <w:tabs>
          <w:tab w:val="num" w:pos="5760"/>
        </w:tabs>
        <w:ind w:left="5760" w:hanging="360"/>
      </w:pPr>
      <w:rPr>
        <w:rFonts w:ascii="Wingdings" w:hAnsi="Wingdings" w:hint="default"/>
      </w:rPr>
    </w:lvl>
    <w:lvl w:ilvl="8" w:tplc="2ED2A24E" w:tentative="1">
      <w:start w:val="1"/>
      <w:numFmt w:val="bullet"/>
      <w:lvlText w:val=""/>
      <w:lvlJc w:val="left"/>
      <w:pPr>
        <w:tabs>
          <w:tab w:val="num" w:pos="6480"/>
        </w:tabs>
        <w:ind w:left="6480" w:hanging="360"/>
      </w:pPr>
      <w:rPr>
        <w:rFonts w:ascii="Wingdings" w:hAnsi="Wingdings" w:hint="default"/>
      </w:rPr>
    </w:lvl>
  </w:abstractNum>
  <w:abstractNum w:abstractNumId="26">
    <w:nsid w:val="7AF601F8"/>
    <w:multiLevelType w:val="hybridMultilevel"/>
    <w:tmpl w:val="51F81D26"/>
    <w:lvl w:ilvl="0" w:tplc="0C0A0017">
      <w:start w:val="1"/>
      <w:numFmt w:val="lowerLetter"/>
      <w:lvlText w:val="%1)"/>
      <w:lvlJc w:val="left"/>
      <w:pPr>
        <w:ind w:left="1068" w:hanging="360"/>
      </w:pPr>
      <w:rPr>
        <w:rFonts w:hint="default"/>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7B5D0067"/>
    <w:multiLevelType w:val="hybridMultilevel"/>
    <w:tmpl w:val="60AAD72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26"/>
  </w:num>
  <w:num w:numId="4">
    <w:abstractNumId w:val="8"/>
  </w:num>
  <w:num w:numId="5">
    <w:abstractNumId w:val="18"/>
  </w:num>
  <w:num w:numId="6">
    <w:abstractNumId w:val="3"/>
  </w:num>
  <w:num w:numId="7">
    <w:abstractNumId w:val="2"/>
  </w:num>
  <w:num w:numId="8">
    <w:abstractNumId w:val="21"/>
  </w:num>
  <w:num w:numId="9">
    <w:abstractNumId w:val="20"/>
  </w:num>
  <w:num w:numId="10">
    <w:abstractNumId w:val="13"/>
  </w:num>
  <w:num w:numId="11">
    <w:abstractNumId w:val="27"/>
  </w:num>
  <w:num w:numId="12">
    <w:abstractNumId w:val="23"/>
  </w:num>
  <w:num w:numId="13">
    <w:abstractNumId w:val="10"/>
  </w:num>
  <w:num w:numId="14">
    <w:abstractNumId w:val="1"/>
  </w:num>
  <w:num w:numId="15">
    <w:abstractNumId w:val="14"/>
  </w:num>
  <w:num w:numId="16">
    <w:abstractNumId w:val="0"/>
  </w:num>
  <w:num w:numId="17">
    <w:abstractNumId w:val="22"/>
  </w:num>
  <w:num w:numId="18">
    <w:abstractNumId w:val="15"/>
  </w:num>
  <w:num w:numId="19">
    <w:abstractNumId w:val="16"/>
  </w:num>
  <w:num w:numId="20">
    <w:abstractNumId w:val="6"/>
  </w:num>
  <w:num w:numId="21">
    <w:abstractNumId w:val="24"/>
  </w:num>
  <w:num w:numId="22">
    <w:abstractNumId w:val="22"/>
  </w:num>
  <w:num w:numId="23">
    <w:abstractNumId w:val="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2"/>
  </w:num>
  <w:num w:numId="28">
    <w:abstractNumId w:val="19"/>
  </w:num>
  <w:num w:numId="29">
    <w:abstractNumId w:val="7"/>
  </w:num>
  <w:num w:numId="30">
    <w:abstractNumId w:val="17"/>
  </w:num>
  <w:num w:numId="31">
    <w:abstractNumId w:val="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2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340"/>
    <w:rsid w:val="00002D3A"/>
    <w:rsid w:val="00006AE2"/>
    <w:rsid w:val="000076A1"/>
    <w:rsid w:val="00012259"/>
    <w:rsid w:val="00012724"/>
    <w:rsid w:val="00015219"/>
    <w:rsid w:val="00025383"/>
    <w:rsid w:val="00027430"/>
    <w:rsid w:val="000327CC"/>
    <w:rsid w:val="00040F8D"/>
    <w:rsid w:val="00042C05"/>
    <w:rsid w:val="00051C57"/>
    <w:rsid w:val="00052D37"/>
    <w:rsid w:val="00056CA1"/>
    <w:rsid w:val="00057D7F"/>
    <w:rsid w:val="00063657"/>
    <w:rsid w:val="0006442C"/>
    <w:rsid w:val="00070B9F"/>
    <w:rsid w:val="00071A6F"/>
    <w:rsid w:val="000726DD"/>
    <w:rsid w:val="00076680"/>
    <w:rsid w:val="00076A1D"/>
    <w:rsid w:val="0007744D"/>
    <w:rsid w:val="0008073E"/>
    <w:rsid w:val="000905E7"/>
    <w:rsid w:val="00090919"/>
    <w:rsid w:val="000909CB"/>
    <w:rsid w:val="00091CDB"/>
    <w:rsid w:val="00092BB9"/>
    <w:rsid w:val="00096C53"/>
    <w:rsid w:val="000A19AC"/>
    <w:rsid w:val="000B1543"/>
    <w:rsid w:val="000B60BE"/>
    <w:rsid w:val="000B786A"/>
    <w:rsid w:val="000C05B0"/>
    <w:rsid w:val="000C1AAA"/>
    <w:rsid w:val="000C700B"/>
    <w:rsid w:val="000D26BD"/>
    <w:rsid w:val="000D26F8"/>
    <w:rsid w:val="000D4FC0"/>
    <w:rsid w:val="000E3B34"/>
    <w:rsid w:val="000E6BC5"/>
    <w:rsid w:val="000F6C7D"/>
    <w:rsid w:val="001037BB"/>
    <w:rsid w:val="00107517"/>
    <w:rsid w:val="00107677"/>
    <w:rsid w:val="00117065"/>
    <w:rsid w:val="00120A9C"/>
    <w:rsid w:val="001219AC"/>
    <w:rsid w:val="0012373A"/>
    <w:rsid w:val="0012503F"/>
    <w:rsid w:val="00126309"/>
    <w:rsid w:val="00127F03"/>
    <w:rsid w:val="0013046B"/>
    <w:rsid w:val="00131BDE"/>
    <w:rsid w:val="00134922"/>
    <w:rsid w:val="001405C6"/>
    <w:rsid w:val="00141013"/>
    <w:rsid w:val="001442C9"/>
    <w:rsid w:val="0014659A"/>
    <w:rsid w:val="00150947"/>
    <w:rsid w:val="001601B1"/>
    <w:rsid w:val="0017185E"/>
    <w:rsid w:val="00172D95"/>
    <w:rsid w:val="00173753"/>
    <w:rsid w:val="001740D5"/>
    <w:rsid w:val="001839E9"/>
    <w:rsid w:val="0019044F"/>
    <w:rsid w:val="00192CBF"/>
    <w:rsid w:val="00192FF1"/>
    <w:rsid w:val="00195130"/>
    <w:rsid w:val="001976B5"/>
    <w:rsid w:val="001A5F1B"/>
    <w:rsid w:val="001A62BE"/>
    <w:rsid w:val="001B0487"/>
    <w:rsid w:val="001B08C8"/>
    <w:rsid w:val="001B1C22"/>
    <w:rsid w:val="001B31D9"/>
    <w:rsid w:val="001B34C6"/>
    <w:rsid w:val="001B4ABE"/>
    <w:rsid w:val="001B5CBD"/>
    <w:rsid w:val="001C2715"/>
    <w:rsid w:val="001C54E5"/>
    <w:rsid w:val="001C5A79"/>
    <w:rsid w:val="001C7CDC"/>
    <w:rsid w:val="001D7832"/>
    <w:rsid w:val="001D7BBD"/>
    <w:rsid w:val="001E027F"/>
    <w:rsid w:val="001E0C70"/>
    <w:rsid w:val="001F2981"/>
    <w:rsid w:val="001F7586"/>
    <w:rsid w:val="00202187"/>
    <w:rsid w:val="00206A22"/>
    <w:rsid w:val="00206BEC"/>
    <w:rsid w:val="00211D34"/>
    <w:rsid w:val="00212A19"/>
    <w:rsid w:val="00214F04"/>
    <w:rsid w:val="002163D2"/>
    <w:rsid w:val="00217A4E"/>
    <w:rsid w:val="00230AD1"/>
    <w:rsid w:val="002422EE"/>
    <w:rsid w:val="0024703D"/>
    <w:rsid w:val="002556C3"/>
    <w:rsid w:val="00260B02"/>
    <w:rsid w:val="00260CFC"/>
    <w:rsid w:val="00266CD6"/>
    <w:rsid w:val="00270175"/>
    <w:rsid w:val="00275DAB"/>
    <w:rsid w:val="00276165"/>
    <w:rsid w:val="002777A3"/>
    <w:rsid w:val="00283117"/>
    <w:rsid w:val="002849C4"/>
    <w:rsid w:val="0029645D"/>
    <w:rsid w:val="002A332E"/>
    <w:rsid w:val="002A3D9C"/>
    <w:rsid w:val="002A6599"/>
    <w:rsid w:val="002A782A"/>
    <w:rsid w:val="002B087E"/>
    <w:rsid w:val="002B11E2"/>
    <w:rsid w:val="002B1E3C"/>
    <w:rsid w:val="002B24B8"/>
    <w:rsid w:val="002B2A38"/>
    <w:rsid w:val="002C437F"/>
    <w:rsid w:val="002D1461"/>
    <w:rsid w:val="002D1B99"/>
    <w:rsid w:val="002D2A39"/>
    <w:rsid w:val="002D3AE9"/>
    <w:rsid w:val="002D4510"/>
    <w:rsid w:val="002D688B"/>
    <w:rsid w:val="002E0BF2"/>
    <w:rsid w:val="002E75D4"/>
    <w:rsid w:val="002F0734"/>
    <w:rsid w:val="002F08A6"/>
    <w:rsid w:val="002F2794"/>
    <w:rsid w:val="002F2ED5"/>
    <w:rsid w:val="002F46E7"/>
    <w:rsid w:val="003101DA"/>
    <w:rsid w:val="00314757"/>
    <w:rsid w:val="0031645A"/>
    <w:rsid w:val="003211CE"/>
    <w:rsid w:val="00333437"/>
    <w:rsid w:val="003341D9"/>
    <w:rsid w:val="003346C4"/>
    <w:rsid w:val="003350AF"/>
    <w:rsid w:val="00344EB2"/>
    <w:rsid w:val="0035403A"/>
    <w:rsid w:val="003614F7"/>
    <w:rsid w:val="0036237F"/>
    <w:rsid w:val="0036394B"/>
    <w:rsid w:val="003644BB"/>
    <w:rsid w:val="00366DB6"/>
    <w:rsid w:val="003709B5"/>
    <w:rsid w:val="00373EC4"/>
    <w:rsid w:val="00374CB3"/>
    <w:rsid w:val="003759C2"/>
    <w:rsid w:val="00380239"/>
    <w:rsid w:val="00385407"/>
    <w:rsid w:val="00397365"/>
    <w:rsid w:val="003A31F6"/>
    <w:rsid w:val="003A3C20"/>
    <w:rsid w:val="003A4D69"/>
    <w:rsid w:val="003B0016"/>
    <w:rsid w:val="003B3EF9"/>
    <w:rsid w:val="003C3447"/>
    <w:rsid w:val="003C4281"/>
    <w:rsid w:val="003C60B1"/>
    <w:rsid w:val="003D06D0"/>
    <w:rsid w:val="003D076C"/>
    <w:rsid w:val="003D2B3F"/>
    <w:rsid w:val="003D5009"/>
    <w:rsid w:val="003D6941"/>
    <w:rsid w:val="003E0A53"/>
    <w:rsid w:val="003E44B1"/>
    <w:rsid w:val="003E78B5"/>
    <w:rsid w:val="003F3E3D"/>
    <w:rsid w:val="004007A9"/>
    <w:rsid w:val="0040289F"/>
    <w:rsid w:val="004036C4"/>
    <w:rsid w:val="00407276"/>
    <w:rsid w:val="0041137D"/>
    <w:rsid w:val="004113F4"/>
    <w:rsid w:val="00412CC4"/>
    <w:rsid w:val="00414BE2"/>
    <w:rsid w:val="004153C2"/>
    <w:rsid w:val="004154F3"/>
    <w:rsid w:val="00415BAB"/>
    <w:rsid w:val="00415ED2"/>
    <w:rsid w:val="00416B0A"/>
    <w:rsid w:val="00417C8E"/>
    <w:rsid w:val="0042068C"/>
    <w:rsid w:val="004209E0"/>
    <w:rsid w:val="00420DAD"/>
    <w:rsid w:val="004221AF"/>
    <w:rsid w:val="004275C0"/>
    <w:rsid w:val="004318AE"/>
    <w:rsid w:val="00441C53"/>
    <w:rsid w:val="00443D96"/>
    <w:rsid w:val="00447B33"/>
    <w:rsid w:val="004541B8"/>
    <w:rsid w:val="00455430"/>
    <w:rsid w:val="004655F9"/>
    <w:rsid w:val="00465F8A"/>
    <w:rsid w:val="0047122B"/>
    <w:rsid w:val="00471801"/>
    <w:rsid w:val="00473B7A"/>
    <w:rsid w:val="00481BBF"/>
    <w:rsid w:val="0048202D"/>
    <w:rsid w:val="00482DE8"/>
    <w:rsid w:val="00486542"/>
    <w:rsid w:val="00491BFA"/>
    <w:rsid w:val="004960E9"/>
    <w:rsid w:val="004A1CC1"/>
    <w:rsid w:val="004A2E88"/>
    <w:rsid w:val="004A5305"/>
    <w:rsid w:val="004A7157"/>
    <w:rsid w:val="004B60AC"/>
    <w:rsid w:val="004C1BA4"/>
    <w:rsid w:val="004C2CAD"/>
    <w:rsid w:val="004D2CD8"/>
    <w:rsid w:val="004D7634"/>
    <w:rsid w:val="004E3B64"/>
    <w:rsid w:val="004F1364"/>
    <w:rsid w:val="004F1530"/>
    <w:rsid w:val="0051720B"/>
    <w:rsid w:val="00520254"/>
    <w:rsid w:val="005300D3"/>
    <w:rsid w:val="00531433"/>
    <w:rsid w:val="005317E2"/>
    <w:rsid w:val="00531B01"/>
    <w:rsid w:val="005353EE"/>
    <w:rsid w:val="00535959"/>
    <w:rsid w:val="00543962"/>
    <w:rsid w:val="00544F82"/>
    <w:rsid w:val="00547272"/>
    <w:rsid w:val="00572731"/>
    <w:rsid w:val="005763CE"/>
    <w:rsid w:val="00576CD8"/>
    <w:rsid w:val="00577F5A"/>
    <w:rsid w:val="0059328C"/>
    <w:rsid w:val="00593C4F"/>
    <w:rsid w:val="005946A8"/>
    <w:rsid w:val="0059500A"/>
    <w:rsid w:val="005A0359"/>
    <w:rsid w:val="005A0B5D"/>
    <w:rsid w:val="005A40B0"/>
    <w:rsid w:val="005A4407"/>
    <w:rsid w:val="005A4466"/>
    <w:rsid w:val="005A503A"/>
    <w:rsid w:val="005A59EF"/>
    <w:rsid w:val="005B1C7E"/>
    <w:rsid w:val="005B2767"/>
    <w:rsid w:val="005C28D5"/>
    <w:rsid w:val="005C6976"/>
    <w:rsid w:val="005D470B"/>
    <w:rsid w:val="005E7C15"/>
    <w:rsid w:val="005F0A13"/>
    <w:rsid w:val="005F0C57"/>
    <w:rsid w:val="005F6F41"/>
    <w:rsid w:val="005F7934"/>
    <w:rsid w:val="005F79BE"/>
    <w:rsid w:val="006006B7"/>
    <w:rsid w:val="00601751"/>
    <w:rsid w:val="0060202F"/>
    <w:rsid w:val="00602BD8"/>
    <w:rsid w:val="006069CA"/>
    <w:rsid w:val="00620979"/>
    <w:rsid w:val="0062206C"/>
    <w:rsid w:val="00625DC6"/>
    <w:rsid w:val="0063258A"/>
    <w:rsid w:val="00633489"/>
    <w:rsid w:val="0064391D"/>
    <w:rsid w:val="006446C8"/>
    <w:rsid w:val="00646A38"/>
    <w:rsid w:val="006471F1"/>
    <w:rsid w:val="00647678"/>
    <w:rsid w:val="00651821"/>
    <w:rsid w:val="0065310D"/>
    <w:rsid w:val="00654384"/>
    <w:rsid w:val="006550B2"/>
    <w:rsid w:val="00662684"/>
    <w:rsid w:val="00663523"/>
    <w:rsid w:val="006675CD"/>
    <w:rsid w:val="00675205"/>
    <w:rsid w:val="006765D1"/>
    <w:rsid w:val="006800AA"/>
    <w:rsid w:val="006825AD"/>
    <w:rsid w:val="006833F6"/>
    <w:rsid w:val="00684D9B"/>
    <w:rsid w:val="00685AEF"/>
    <w:rsid w:val="00687215"/>
    <w:rsid w:val="006904DB"/>
    <w:rsid w:val="00690A2E"/>
    <w:rsid w:val="00691C70"/>
    <w:rsid w:val="00693858"/>
    <w:rsid w:val="00697556"/>
    <w:rsid w:val="006B0208"/>
    <w:rsid w:val="006B4647"/>
    <w:rsid w:val="006B4C2B"/>
    <w:rsid w:val="006B4F39"/>
    <w:rsid w:val="006B6D47"/>
    <w:rsid w:val="006C050A"/>
    <w:rsid w:val="006C0D6C"/>
    <w:rsid w:val="006C5AFE"/>
    <w:rsid w:val="006C6B6E"/>
    <w:rsid w:val="006D0613"/>
    <w:rsid w:val="006E3C40"/>
    <w:rsid w:val="006F37AE"/>
    <w:rsid w:val="006F6D95"/>
    <w:rsid w:val="00700455"/>
    <w:rsid w:val="00700BD2"/>
    <w:rsid w:val="00706F13"/>
    <w:rsid w:val="007071C6"/>
    <w:rsid w:val="007072E8"/>
    <w:rsid w:val="0071079D"/>
    <w:rsid w:val="00713CEE"/>
    <w:rsid w:val="0071618D"/>
    <w:rsid w:val="00716DE0"/>
    <w:rsid w:val="007173FE"/>
    <w:rsid w:val="007241AF"/>
    <w:rsid w:val="0072452B"/>
    <w:rsid w:val="00725FA4"/>
    <w:rsid w:val="007358BE"/>
    <w:rsid w:val="00740446"/>
    <w:rsid w:val="007438A9"/>
    <w:rsid w:val="0074491E"/>
    <w:rsid w:val="007457ED"/>
    <w:rsid w:val="007475FC"/>
    <w:rsid w:val="00747EC6"/>
    <w:rsid w:val="00750407"/>
    <w:rsid w:val="00754E2C"/>
    <w:rsid w:val="007612F4"/>
    <w:rsid w:val="0076247A"/>
    <w:rsid w:val="00764EA2"/>
    <w:rsid w:val="00764F0F"/>
    <w:rsid w:val="00767F69"/>
    <w:rsid w:val="0077218C"/>
    <w:rsid w:val="00775964"/>
    <w:rsid w:val="007765FE"/>
    <w:rsid w:val="007775C4"/>
    <w:rsid w:val="00777620"/>
    <w:rsid w:val="007777ED"/>
    <w:rsid w:val="00784340"/>
    <w:rsid w:val="00786D26"/>
    <w:rsid w:val="00791FFF"/>
    <w:rsid w:val="00795BFB"/>
    <w:rsid w:val="007A0068"/>
    <w:rsid w:val="007A3BE5"/>
    <w:rsid w:val="007A7B99"/>
    <w:rsid w:val="007B2733"/>
    <w:rsid w:val="007B2760"/>
    <w:rsid w:val="007C2C75"/>
    <w:rsid w:val="007C2E9B"/>
    <w:rsid w:val="007C3632"/>
    <w:rsid w:val="007D1986"/>
    <w:rsid w:val="007D41BD"/>
    <w:rsid w:val="007D5DB6"/>
    <w:rsid w:val="007E0645"/>
    <w:rsid w:val="007E2149"/>
    <w:rsid w:val="007E61B1"/>
    <w:rsid w:val="007E6919"/>
    <w:rsid w:val="007F2CF1"/>
    <w:rsid w:val="00800508"/>
    <w:rsid w:val="00801353"/>
    <w:rsid w:val="00806C01"/>
    <w:rsid w:val="008148CC"/>
    <w:rsid w:val="008211A4"/>
    <w:rsid w:val="00822622"/>
    <w:rsid w:val="008244EC"/>
    <w:rsid w:val="00825D3E"/>
    <w:rsid w:val="00841BFE"/>
    <w:rsid w:val="0084202B"/>
    <w:rsid w:val="008456CC"/>
    <w:rsid w:val="0085673B"/>
    <w:rsid w:val="00857CB3"/>
    <w:rsid w:val="008633B3"/>
    <w:rsid w:val="0086674E"/>
    <w:rsid w:val="00872D2E"/>
    <w:rsid w:val="00873150"/>
    <w:rsid w:val="0087657D"/>
    <w:rsid w:val="008807D5"/>
    <w:rsid w:val="00880832"/>
    <w:rsid w:val="00885C82"/>
    <w:rsid w:val="00886EE1"/>
    <w:rsid w:val="0088727D"/>
    <w:rsid w:val="008923B1"/>
    <w:rsid w:val="00895945"/>
    <w:rsid w:val="00897C75"/>
    <w:rsid w:val="008A5FA3"/>
    <w:rsid w:val="008C1130"/>
    <w:rsid w:val="008C2105"/>
    <w:rsid w:val="008C411D"/>
    <w:rsid w:val="008C75B1"/>
    <w:rsid w:val="008D18E6"/>
    <w:rsid w:val="008D3618"/>
    <w:rsid w:val="008D5DB8"/>
    <w:rsid w:val="008D7A9B"/>
    <w:rsid w:val="008E293A"/>
    <w:rsid w:val="008E4752"/>
    <w:rsid w:val="008E5976"/>
    <w:rsid w:val="008E76AC"/>
    <w:rsid w:val="008F0946"/>
    <w:rsid w:val="008F21F6"/>
    <w:rsid w:val="008F4B51"/>
    <w:rsid w:val="00906BE2"/>
    <w:rsid w:val="00907303"/>
    <w:rsid w:val="00914631"/>
    <w:rsid w:val="0091584E"/>
    <w:rsid w:val="00916FD8"/>
    <w:rsid w:val="0091792A"/>
    <w:rsid w:val="009201A9"/>
    <w:rsid w:val="00927029"/>
    <w:rsid w:val="00930CE2"/>
    <w:rsid w:val="0093441C"/>
    <w:rsid w:val="00936D5A"/>
    <w:rsid w:val="00937234"/>
    <w:rsid w:val="00946A6B"/>
    <w:rsid w:val="00947C8A"/>
    <w:rsid w:val="00951F79"/>
    <w:rsid w:val="00954581"/>
    <w:rsid w:val="00955D5E"/>
    <w:rsid w:val="0097167B"/>
    <w:rsid w:val="00974AB5"/>
    <w:rsid w:val="00977036"/>
    <w:rsid w:val="00980670"/>
    <w:rsid w:val="0098164C"/>
    <w:rsid w:val="0098706D"/>
    <w:rsid w:val="00987FE1"/>
    <w:rsid w:val="00990540"/>
    <w:rsid w:val="009935FB"/>
    <w:rsid w:val="009942BE"/>
    <w:rsid w:val="00995A6F"/>
    <w:rsid w:val="009B250F"/>
    <w:rsid w:val="009B3827"/>
    <w:rsid w:val="009B384B"/>
    <w:rsid w:val="009B7197"/>
    <w:rsid w:val="009C1C86"/>
    <w:rsid w:val="009C2FCE"/>
    <w:rsid w:val="009C5BB6"/>
    <w:rsid w:val="009D3183"/>
    <w:rsid w:val="009D4C3B"/>
    <w:rsid w:val="009E5CC7"/>
    <w:rsid w:val="009F4A54"/>
    <w:rsid w:val="009F4BEC"/>
    <w:rsid w:val="009F7AFA"/>
    <w:rsid w:val="00A05DE4"/>
    <w:rsid w:val="00A16563"/>
    <w:rsid w:val="00A17137"/>
    <w:rsid w:val="00A208BE"/>
    <w:rsid w:val="00A21369"/>
    <w:rsid w:val="00A21AD8"/>
    <w:rsid w:val="00A25FD7"/>
    <w:rsid w:val="00A305BA"/>
    <w:rsid w:val="00A30665"/>
    <w:rsid w:val="00A37F09"/>
    <w:rsid w:val="00A43AFF"/>
    <w:rsid w:val="00A560D2"/>
    <w:rsid w:val="00A72F47"/>
    <w:rsid w:val="00A7793A"/>
    <w:rsid w:val="00A77D00"/>
    <w:rsid w:val="00A81D6F"/>
    <w:rsid w:val="00A87E87"/>
    <w:rsid w:val="00A937C5"/>
    <w:rsid w:val="00A94DB2"/>
    <w:rsid w:val="00AA4CC7"/>
    <w:rsid w:val="00AA5E8E"/>
    <w:rsid w:val="00AA7073"/>
    <w:rsid w:val="00AB1125"/>
    <w:rsid w:val="00AB1C05"/>
    <w:rsid w:val="00AB24D3"/>
    <w:rsid w:val="00AB27FB"/>
    <w:rsid w:val="00AB4454"/>
    <w:rsid w:val="00AB6043"/>
    <w:rsid w:val="00AB6CA7"/>
    <w:rsid w:val="00AB7A05"/>
    <w:rsid w:val="00AC15A4"/>
    <w:rsid w:val="00AD01E4"/>
    <w:rsid w:val="00AD0858"/>
    <w:rsid w:val="00AD148D"/>
    <w:rsid w:val="00AD2E0E"/>
    <w:rsid w:val="00AD39D8"/>
    <w:rsid w:val="00AE2EF3"/>
    <w:rsid w:val="00AE4D2C"/>
    <w:rsid w:val="00AE60BA"/>
    <w:rsid w:val="00AE7340"/>
    <w:rsid w:val="00AF0726"/>
    <w:rsid w:val="00AF1BBD"/>
    <w:rsid w:val="00AF2232"/>
    <w:rsid w:val="00AF7A8F"/>
    <w:rsid w:val="00B0593D"/>
    <w:rsid w:val="00B06750"/>
    <w:rsid w:val="00B10207"/>
    <w:rsid w:val="00B141E7"/>
    <w:rsid w:val="00B17AA0"/>
    <w:rsid w:val="00B234C3"/>
    <w:rsid w:val="00B25324"/>
    <w:rsid w:val="00B26439"/>
    <w:rsid w:val="00B27135"/>
    <w:rsid w:val="00B34ADA"/>
    <w:rsid w:val="00B351B4"/>
    <w:rsid w:val="00B400BD"/>
    <w:rsid w:val="00B42402"/>
    <w:rsid w:val="00B43DDE"/>
    <w:rsid w:val="00B45B3F"/>
    <w:rsid w:val="00B46BCA"/>
    <w:rsid w:val="00B478AA"/>
    <w:rsid w:val="00B5799E"/>
    <w:rsid w:val="00B62880"/>
    <w:rsid w:val="00B62C69"/>
    <w:rsid w:val="00B63CFD"/>
    <w:rsid w:val="00B705EB"/>
    <w:rsid w:val="00B711E6"/>
    <w:rsid w:val="00B71956"/>
    <w:rsid w:val="00B72161"/>
    <w:rsid w:val="00B72A2E"/>
    <w:rsid w:val="00B76D01"/>
    <w:rsid w:val="00B87806"/>
    <w:rsid w:val="00B87EC9"/>
    <w:rsid w:val="00B9420E"/>
    <w:rsid w:val="00B9450F"/>
    <w:rsid w:val="00B95738"/>
    <w:rsid w:val="00B95CAF"/>
    <w:rsid w:val="00BA64F9"/>
    <w:rsid w:val="00BB1A71"/>
    <w:rsid w:val="00BB3F75"/>
    <w:rsid w:val="00BB7AAD"/>
    <w:rsid w:val="00BC38FD"/>
    <w:rsid w:val="00BC5566"/>
    <w:rsid w:val="00BD3AE6"/>
    <w:rsid w:val="00BD4249"/>
    <w:rsid w:val="00BD4F63"/>
    <w:rsid w:val="00BD5479"/>
    <w:rsid w:val="00BD6CA5"/>
    <w:rsid w:val="00BD74FC"/>
    <w:rsid w:val="00BD79A3"/>
    <w:rsid w:val="00BE4598"/>
    <w:rsid w:val="00BF1964"/>
    <w:rsid w:val="00BF391E"/>
    <w:rsid w:val="00C034CB"/>
    <w:rsid w:val="00C051A8"/>
    <w:rsid w:val="00C051B2"/>
    <w:rsid w:val="00C054BC"/>
    <w:rsid w:val="00C15359"/>
    <w:rsid w:val="00C17897"/>
    <w:rsid w:val="00C22A52"/>
    <w:rsid w:val="00C26433"/>
    <w:rsid w:val="00C32D38"/>
    <w:rsid w:val="00C37C5D"/>
    <w:rsid w:val="00C4075E"/>
    <w:rsid w:val="00C409D5"/>
    <w:rsid w:val="00C435C3"/>
    <w:rsid w:val="00C45537"/>
    <w:rsid w:val="00C578F7"/>
    <w:rsid w:val="00C6234B"/>
    <w:rsid w:val="00C63511"/>
    <w:rsid w:val="00C63DB0"/>
    <w:rsid w:val="00C63EAE"/>
    <w:rsid w:val="00C667BC"/>
    <w:rsid w:val="00C72AC7"/>
    <w:rsid w:val="00C72BBA"/>
    <w:rsid w:val="00C75767"/>
    <w:rsid w:val="00C7629F"/>
    <w:rsid w:val="00C842DA"/>
    <w:rsid w:val="00C842F4"/>
    <w:rsid w:val="00C8661B"/>
    <w:rsid w:val="00C92389"/>
    <w:rsid w:val="00C960C3"/>
    <w:rsid w:val="00CA139A"/>
    <w:rsid w:val="00CA2899"/>
    <w:rsid w:val="00CA3A3D"/>
    <w:rsid w:val="00CA77FB"/>
    <w:rsid w:val="00CB379B"/>
    <w:rsid w:val="00CB4BE1"/>
    <w:rsid w:val="00CB5DD0"/>
    <w:rsid w:val="00CC2058"/>
    <w:rsid w:val="00CC51D4"/>
    <w:rsid w:val="00CC65DA"/>
    <w:rsid w:val="00CD3157"/>
    <w:rsid w:val="00CD78C2"/>
    <w:rsid w:val="00CE324F"/>
    <w:rsid w:val="00CF21B9"/>
    <w:rsid w:val="00CF4643"/>
    <w:rsid w:val="00CF4F65"/>
    <w:rsid w:val="00CF6BF9"/>
    <w:rsid w:val="00D01557"/>
    <w:rsid w:val="00D02F21"/>
    <w:rsid w:val="00D03800"/>
    <w:rsid w:val="00D065D3"/>
    <w:rsid w:val="00D14C94"/>
    <w:rsid w:val="00D176D0"/>
    <w:rsid w:val="00D322B0"/>
    <w:rsid w:val="00D33C81"/>
    <w:rsid w:val="00D342A6"/>
    <w:rsid w:val="00D45D2F"/>
    <w:rsid w:val="00D464BF"/>
    <w:rsid w:val="00D52147"/>
    <w:rsid w:val="00D53E26"/>
    <w:rsid w:val="00D55550"/>
    <w:rsid w:val="00D55C35"/>
    <w:rsid w:val="00D56D67"/>
    <w:rsid w:val="00D60925"/>
    <w:rsid w:val="00D62B22"/>
    <w:rsid w:val="00D63A93"/>
    <w:rsid w:val="00D77428"/>
    <w:rsid w:val="00D847B0"/>
    <w:rsid w:val="00D870CB"/>
    <w:rsid w:val="00D96B4F"/>
    <w:rsid w:val="00DA45EE"/>
    <w:rsid w:val="00DB4DFA"/>
    <w:rsid w:val="00DB690C"/>
    <w:rsid w:val="00DC7DAC"/>
    <w:rsid w:val="00DD4F0E"/>
    <w:rsid w:val="00DD7ACB"/>
    <w:rsid w:val="00DE4336"/>
    <w:rsid w:val="00DF0BF0"/>
    <w:rsid w:val="00E01463"/>
    <w:rsid w:val="00E01C67"/>
    <w:rsid w:val="00E05E0A"/>
    <w:rsid w:val="00E11286"/>
    <w:rsid w:val="00E22120"/>
    <w:rsid w:val="00E23A93"/>
    <w:rsid w:val="00E304A3"/>
    <w:rsid w:val="00E317CD"/>
    <w:rsid w:val="00E43D6C"/>
    <w:rsid w:val="00E4461D"/>
    <w:rsid w:val="00E462CB"/>
    <w:rsid w:val="00E534CF"/>
    <w:rsid w:val="00E567AF"/>
    <w:rsid w:val="00E73D7B"/>
    <w:rsid w:val="00E74B14"/>
    <w:rsid w:val="00E81317"/>
    <w:rsid w:val="00E818E4"/>
    <w:rsid w:val="00E81CB4"/>
    <w:rsid w:val="00E852A1"/>
    <w:rsid w:val="00E85710"/>
    <w:rsid w:val="00E8585B"/>
    <w:rsid w:val="00EA3F15"/>
    <w:rsid w:val="00EA7847"/>
    <w:rsid w:val="00EB128E"/>
    <w:rsid w:val="00EB2E02"/>
    <w:rsid w:val="00EB4C2F"/>
    <w:rsid w:val="00EC564B"/>
    <w:rsid w:val="00EC7B07"/>
    <w:rsid w:val="00ED23EA"/>
    <w:rsid w:val="00EE1DDA"/>
    <w:rsid w:val="00EE24A3"/>
    <w:rsid w:val="00EE258F"/>
    <w:rsid w:val="00EE2E6E"/>
    <w:rsid w:val="00EE75F4"/>
    <w:rsid w:val="00EF397C"/>
    <w:rsid w:val="00EF3D0C"/>
    <w:rsid w:val="00EF5FFA"/>
    <w:rsid w:val="00F03A5C"/>
    <w:rsid w:val="00F03F74"/>
    <w:rsid w:val="00F0759E"/>
    <w:rsid w:val="00F103A4"/>
    <w:rsid w:val="00F122A8"/>
    <w:rsid w:val="00F16A43"/>
    <w:rsid w:val="00F3282C"/>
    <w:rsid w:val="00F3448A"/>
    <w:rsid w:val="00F46780"/>
    <w:rsid w:val="00F5694D"/>
    <w:rsid w:val="00F660E1"/>
    <w:rsid w:val="00F73AFC"/>
    <w:rsid w:val="00F77B6E"/>
    <w:rsid w:val="00F821A3"/>
    <w:rsid w:val="00F84EB1"/>
    <w:rsid w:val="00F85C39"/>
    <w:rsid w:val="00F875A4"/>
    <w:rsid w:val="00F900F7"/>
    <w:rsid w:val="00F9314A"/>
    <w:rsid w:val="00F93B2F"/>
    <w:rsid w:val="00FA5C2F"/>
    <w:rsid w:val="00FB19CE"/>
    <w:rsid w:val="00FB7FA4"/>
    <w:rsid w:val="00FC375E"/>
    <w:rsid w:val="00FC58EF"/>
    <w:rsid w:val="00FC7564"/>
    <w:rsid w:val="00FD11B0"/>
    <w:rsid w:val="00FD33DF"/>
    <w:rsid w:val="00FD37EF"/>
    <w:rsid w:val="00FD4160"/>
    <w:rsid w:val="00FD5900"/>
    <w:rsid w:val="00FE39D7"/>
    <w:rsid w:val="00FE3ADD"/>
    <w:rsid w:val="00FE5FA0"/>
    <w:rsid w:val="00FE6BB8"/>
    <w:rsid w:val="00FF28E4"/>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D2C"/>
    <w:pPr>
      <w:jc w:val="both"/>
    </w:pPr>
    <w:rPr>
      <w:rFonts w:ascii="Bookman Old Style" w:hAnsi="Bookman Old Style"/>
      <w:sz w:val="24"/>
      <w:szCs w:val="24"/>
      <w:lang w:val="es-ES" w:eastAsia="es-ES"/>
    </w:rPr>
  </w:style>
  <w:style w:type="paragraph" w:styleId="Ttulo1">
    <w:name w:val="heading 1"/>
    <w:basedOn w:val="Normal"/>
    <w:next w:val="Normal"/>
    <w:qFormat/>
    <w:rsid w:val="00601751"/>
    <w:pPr>
      <w:keepNext/>
      <w:outlineLvl w:val="0"/>
    </w:pPr>
    <w:rPr>
      <w:b/>
      <w:szCs w:val="20"/>
      <w:lang w:val="es-CO"/>
    </w:rPr>
  </w:style>
  <w:style w:type="paragraph" w:styleId="Ttulo2">
    <w:name w:val="heading 2"/>
    <w:basedOn w:val="Normal"/>
    <w:next w:val="Normal"/>
    <w:link w:val="Ttulo2Car"/>
    <w:unhideWhenUsed/>
    <w:qFormat/>
    <w:rsid w:val="00B234C3"/>
    <w:pPr>
      <w:numPr>
        <w:numId w:val="17"/>
      </w:numPr>
      <w:suppressAutoHyphens/>
      <w:spacing w:before="120" w:after="120"/>
      <w:ind w:right="51"/>
      <w:outlineLvl w:val="1"/>
    </w:pPr>
    <w:rPr>
      <w:rFonts w:cs="Arial"/>
      <w:b/>
      <w:color w:val="000000"/>
    </w:rPr>
  </w:style>
  <w:style w:type="paragraph" w:styleId="Ttulo3">
    <w:name w:val="heading 3"/>
    <w:basedOn w:val="Ttulo2"/>
    <w:next w:val="Normal"/>
    <w:link w:val="Ttulo3Car"/>
    <w:qFormat/>
    <w:rsid w:val="00385407"/>
    <w:pPr>
      <w:numPr>
        <w:ilvl w:val="1"/>
      </w:numPr>
      <w:outlineLvl w:val="2"/>
    </w:pPr>
  </w:style>
  <w:style w:type="paragraph" w:styleId="Ttulo4">
    <w:name w:val="heading 4"/>
    <w:basedOn w:val="Normal"/>
    <w:next w:val="Normal"/>
    <w:link w:val="Ttulo4Car"/>
    <w:qFormat/>
    <w:rsid w:val="003101DA"/>
    <w:pPr>
      <w:keepNext/>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3101DA"/>
    <w:pPr>
      <w:keepNext/>
      <w:jc w:val="center"/>
      <w:outlineLvl w:val="4"/>
    </w:pPr>
    <w:rPr>
      <w:rFonts w:ascii="Arial" w:hAnsi="Arial" w:cs="Arial"/>
      <w:b/>
      <w:snapToGrid w:val="0"/>
      <w:color w:val="000000"/>
      <w:spacing w:val="20"/>
      <w:sz w:val="28"/>
      <w:szCs w:val="20"/>
      <w:lang w:val="es-ES_tradnl"/>
    </w:rPr>
  </w:style>
  <w:style w:type="paragraph" w:styleId="Ttulo6">
    <w:name w:val="heading 6"/>
    <w:basedOn w:val="Normal"/>
    <w:next w:val="Normal"/>
    <w:link w:val="Ttulo6Car"/>
    <w:unhideWhenUsed/>
    <w:qFormat/>
    <w:rsid w:val="00795BFB"/>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6B4647"/>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szCs w:val="20"/>
      <w:lang w:val="es-CO"/>
    </w:rPr>
  </w:style>
  <w:style w:type="paragraph" w:styleId="Piedepgina">
    <w:name w:val="footer"/>
    <w:basedOn w:val="Normal"/>
    <w:semiHidden/>
    <w:rsid w:val="003101DA"/>
    <w:pPr>
      <w:tabs>
        <w:tab w:val="center" w:pos="4252"/>
        <w:tab w:val="right" w:pos="8504"/>
      </w:tabs>
    </w:pPr>
  </w:style>
  <w:style w:type="paragraph" w:customStyle="1" w:styleId="Estilo1">
    <w:name w:val="Estilo1"/>
    <w:basedOn w:val="Normal"/>
    <w:rsid w:val="003101DA"/>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ascii="Arial" w:hAnsi="Arial" w:cs="Arial"/>
      <w:b/>
      <w:bCs/>
    </w:rPr>
  </w:style>
  <w:style w:type="paragraph" w:styleId="Textoindependiente3">
    <w:name w:val="Body Text 3"/>
    <w:basedOn w:val="Normal"/>
    <w:link w:val="Textoindependiente3Car"/>
    <w:semiHidden/>
    <w:rsid w:val="003101DA"/>
    <w:pPr>
      <w:jc w:val="center"/>
      <w:outlineLvl w:val="0"/>
    </w:pPr>
    <w:rPr>
      <w:rFonts w:ascii="Arial" w:hAnsi="Arial" w:cs="Arial"/>
      <w:b/>
      <w:bCs/>
      <w:spacing w:val="-3"/>
    </w:rPr>
  </w:style>
  <w:style w:type="paragraph" w:styleId="Textodeglobo">
    <w:name w:val="Balloon Text"/>
    <w:basedOn w:val="Normal"/>
    <w:link w:val="TextodegloboCar"/>
    <w:uiPriority w:val="99"/>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rsid w:val="00385407"/>
    <w:rPr>
      <w:rFonts w:ascii="Bookman Old Style" w:hAnsi="Bookman Old Style" w:cs="Arial"/>
      <w:b/>
      <w:color w:val="000000"/>
      <w:sz w:val="24"/>
      <w:szCs w:val="24"/>
      <w:lang w:val="es-ES" w:eastAsia="es-ES"/>
    </w:rPr>
  </w:style>
  <w:style w:type="character" w:customStyle="1" w:styleId="Ttulo4Car">
    <w:name w:val="Título 4 Car"/>
    <w:link w:val="Ttulo4"/>
    <w:rsid w:val="00141013"/>
    <w:rPr>
      <w:rFonts w:ascii="Arial" w:hAnsi="Arial" w:cs="Arial"/>
      <w:b/>
      <w:snapToGrid w:val="0"/>
      <w:color w:val="000000"/>
      <w:spacing w:val="20"/>
      <w:lang w:val="es-ES_tradnl"/>
    </w:rPr>
  </w:style>
  <w:style w:type="character" w:customStyle="1" w:styleId="Ttulo5Car">
    <w:name w:val="Título 5 Car"/>
    <w:link w:val="Ttulo5"/>
    <w:rsid w:val="00141013"/>
    <w:rPr>
      <w:rFonts w:ascii="Arial" w:hAnsi="Arial" w:cs="Arial"/>
      <w:b/>
      <w:snapToGrid w:val="0"/>
      <w:color w:val="000000"/>
      <w:spacing w:val="20"/>
      <w:sz w:val="28"/>
      <w:lang w:val="es-ES_tradnl"/>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795BFB"/>
    <w:rPr>
      <w:rFonts w:ascii="Calibri" w:eastAsia="Times New Roman" w:hAnsi="Calibri" w:cs="Times New Roman"/>
      <w:b/>
      <w:bCs/>
      <w:sz w:val="22"/>
      <w:szCs w:val="22"/>
    </w:r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cs="Arial"/>
      <w:b/>
      <w:bC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1405C6"/>
    <w:pPr>
      <w:ind w:left="708"/>
    </w:pPr>
    <w:rPr>
      <w:sz w:val="20"/>
      <w:szCs w:val="20"/>
      <w:lang w:val="es-CO"/>
    </w:rPr>
  </w:style>
  <w:style w:type="character" w:customStyle="1" w:styleId="PrrafodelistaCar">
    <w:name w:val="Párrafo de lista Car"/>
    <w:link w:val="Prrafodelista"/>
    <w:uiPriority w:val="34"/>
    <w:rsid w:val="001405C6"/>
    <w:rPr>
      <w:lang w:val="es-CO"/>
    </w:rPr>
  </w:style>
  <w:style w:type="paragraph" w:styleId="TDC1">
    <w:name w:val="toc 1"/>
    <w:basedOn w:val="Normal"/>
    <w:next w:val="Normal"/>
    <w:autoRedefine/>
    <w:uiPriority w:val="39"/>
    <w:rsid w:val="00FE6BB8"/>
    <w:pPr>
      <w:tabs>
        <w:tab w:val="left" w:pos="480"/>
        <w:tab w:val="right" w:leader="dot" w:pos="8828"/>
      </w:tabs>
      <w:spacing w:before="120"/>
      <w:jc w:val="left"/>
    </w:pPr>
    <w:rPr>
      <w:b/>
      <w:noProof/>
    </w:rPr>
  </w:style>
  <w:style w:type="paragraph" w:styleId="Textodebloque">
    <w:name w:val="Block Text"/>
    <w:basedOn w:val="Normal"/>
    <w:rsid w:val="00D03800"/>
    <w:pPr>
      <w:suppressAutoHyphens/>
      <w:spacing w:after="240"/>
      <w:ind w:right="788"/>
    </w:pPr>
    <w:rPr>
      <w:rFonts w:ascii="Arial" w:hAnsi="Arial"/>
      <w:spacing w:val="-3"/>
      <w:szCs w:val="20"/>
      <w:lang w:val="es-ES_tradnl"/>
    </w:rPr>
  </w:style>
  <w:style w:type="paragraph" w:styleId="Textoindependiente2">
    <w:name w:val="Body Text 2"/>
    <w:basedOn w:val="Normal"/>
    <w:link w:val="Textoindependiente2Car"/>
    <w:uiPriority w:val="99"/>
    <w:semiHidden/>
    <w:unhideWhenUsed/>
    <w:rsid w:val="00006AE2"/>
    <w:pPr>
      <w:spacing w:after="120" w:line="480" w:lineRule="auto"/>
    </w:pPr>
  </w:style>
  <w:style w:type="character" w:customStyle="1" w:styleId="Textoindependiente2Car">
    <w:name w:val="Texto independiente 2 Car"/>
    <w:link w:val="Textoindependiente2"/>
    <w:uiPriority w:val="99"/>
    <w:semiHidden/>
    <w:rsid w:val="00006AE2"/>
    <w:rPr>
      <w:sz w:val="24"/>
      <w:szCs w:val="24"/>
    </w:rPr>
  </w:style>
  <w:style w:type="paragraph" w:styleId="Epgrafe">
    <w:name w:val="caption"/>
    <w:basedOn w:val="Normal"/>
    <w:next w:val="Normal"/>
    <w:uiPriority w:val="35"/>
    <w:qFormat/>
    <w:rsid w:val="00407276"/>
    <w:pPr>
      <w:widowControl w:val="0"/>
      <w:adjustRightInd w:val="0"/>
      <w:spacing w:before="120"/>
      <w:jc w:val="center"/>
      <w:textAlignment w:val="baseline"/>
    </w:pPr>
    <w:rPr>
      <w:sz w:val="22"/>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rFonts w:ascii="Arial" w:hAnsi="Arial"/>
      <w:sz w:val="22"/>
      <w:szCs w:val="20"/>
    </w:rPr>
  </w:style>
  <w:style w:type="character" w:customStyle="1" w:styleId="Ttulo7Car">
    <w:name w:val="Título 7 Car"/>
    <w:link w:val="Ttulo7"/>
    <w:uiPriority w:val="9"/>
    <w:semiHidden/>
    <w:rsid w:val="006B4647"/>
    <w:rPr>
      <w:rFonts w:ascii="Calibri" w:eastAsia="Times New Roman" w:hAnsi="Calibri" w:cs="Times New Roman"/>
      <w:sz w:val="24"/>
      <w:szCs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6"/>
      </w:numPr>
      <w:suppressAutoHyphens/>
      <w:overflowPunct w:val="0"/>
      <w:autoSpaceDE w:val="0"/>
      <w:textAlignment w:val="baseline"/>
    </w:pPr>
    <w:rPr>
      <w:rFonts w:ascii="Arial" w:hAnsi="Arial"/>
      <w:szCs w:val="20"/>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Textonotapie">
    <w:name w:val="footnote text"/>
    <w:basedOn w:val="Normal"/>
    <w:link w:val="TextonotapieCar"/>
    <w:semiHidden/>
    <w:unhideWhenUsed/>
    <w:rsid w:val="00601751"/>
    <w:rPr>
      <w:sz w:val="20"/>
      <w:szCs w:val="20"/>
    </w:rPr>
  </w:style>
  <w:style w:type="character" w:customStyle="1" w:styleId="TextonotapieCar">
    <w:name w:val="Texto nota pie Car"/>
    <w:basedOn w:val="Fuentedeprrafopredeter"/>
    <w:link w:val="Textonotapie"/>
    <w:uiPriority w:val="99"/>
    <w:semiHidden/>
    <w:rsid w:val="00601751"/>
    <w:rPr>
      <w:lang w:val="es-ES" w:eastAsia="es-ES"/>
    </w:rPr>
  </w:style>
  <w:style w:type="character" w:styleId="Refdenotaalpie">
    <w:name w:val="footnote reference"/>
    <w:basedOn w:val="Fuentedeprrafopredeter"/>
    <w:semiHidden/>
    <w:unhideWhenUsed/>
    <w:rsid w:val="00601751"/>
    <w:rPr>
      <w:vertAlign w:val="superscript"/>
    </w:rPr>
  </w:style>
  <w:style w:type="character" w:customStyle="1" w:styleId="Ttulo2Car">
    <w:name w:val="Título 2 Car"/>
    <w:basedOn w:val="Fuentedeprrafopredeter"/>
    <w:link w:val="Ttulo2"/>
    <w:uiPriority w:val="9"/>
    <w:rsid w:val="00B234C3"/>
    <w:rPr>
      <w:rFonts w:ascii="Bookman Old Style" w:hAnsi="Bookman Old Style" w:cs="Arial"/>
      <w:b/>
      <w:color w:val="000000"/>
      <w:sz w:val="24"/>
      <w:szCs w:val="24"/>
      <w:lang w:val="es-ES" w:eastAsia="es-ES"/>
    </w:rPr>
  </w:style>
  <w:style w:type="paragraph" w:styleId="TtulodeTDC">
    <w:name w:val="TOC Heading"/>
    <w:basedOn w:val="Ttulo1"/>
    <w:next w:val="Normal"/>
    <w:uiPriority w:val="39"/>
    <w:semiHidden/>
    <w:unhideWhenUsed/>
    <w:qFormat/>
    <w:rsid w:val="0017375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rsid w:val="00051C57"/>
    <w:pPr>
      <w:tabs>
        <w:tab w:val="left" w:pos="660"/>
        <w:tab w:val="right" w:leader="dot" w:pos="9346"/>
      </w:tabs>
      <w:spacing w:after="100"/>
      <w:ind w:left="709" w:hanging="567"/>
      <w:jc w:val="left"/>
    </w:pPr>
    <w:rPr>
      <w:b/>
    </w:rPr>
  </w:style>
  <w:style w:type="paragraph" w:styleId="TDC3">
    <w:name w:val="toc 3"/>
    <w:basedOn w:val="Normal"/>
    <w:next w:val="Normal"/>
    <w:autoRedefine/>
    <w:uiPriority w:val="39"/>
    <w:unhideWhenUsed/>
    <w:rsid w:val="00CC2058"/>
    <w:pPr>
      <w:tabs>
        <w:tab w:val="left" w:pos="1320"/>
        <w:tab w:val="right" w:leader="dot" w:pos="9356"/>
      </w:tabs>
      <w:spacing w:after="100"/>
      <w:ind w:left="1276" w:right="425" w:hanging="796"/>
    </w:pPr>
  </w:style>
  <w:style w:type="character" w:styleId="Hipervnculo">
    <w:name w:val="Hyperlink"/>
    <w:basedOn w:val="Fuentedeprrafopredeter"/>
    <w:uiPriority w:val="99"/>
    <w:unhideWhenUsed/>
    <w:rsid w:val="00173753"/>
    <w:rPr>
      <w:color w:val="0000FF" w:themeColor="hyperlink"/>
      <w:u w:val="single"/>
    </w:rPr>
  </w:style>
  <w:style w:type="character" w:styleId="Refdecomentario">
    <w:name w:val="annotation reference"/>
    <w:basedOn w:val="Fuentedeprrafopredeter"/>
    <w:uiPriority w:val="99"/>
    <w:semiHidden/>
    <w:unhideWhenUsed/>
    <w:rsid w:val="004B60AC"/>
    <w:rPr>
      <w:sz w:val="16"/>
      <w:szCs w:val="16"/>
    </w:rPr>
  </w:style>
  <w:style w:type="paragraph" w:styleId="Textocomentario">
    <w:name w:val="annotation text"/>
    <w:basedOn w:val="Normal"/>
    <w:link w:val="TextocomentarioCar"/>
    <w:uiPriority w:val="99"/>
    <w:semiHidden/>
    <w:unhideWhenUsed/>
    <w:rsid w:val="004B60AC"/>
    <w:rPr>
      <w:sz w:val="20"/>
      <w:szCs w:val="20"/>
    </w:rPr>
  </w:style>
  <w:style w:type="character" w:customStyle="1" w:styleId="TextocomentarioCar">
    <w:name w:val="Texto comentario Car"/>
    <w:basedOn w:val="Fuentedeprrafopredeter"/>
    <w:link w:val="Textocomentario"/>
    <w:uiPriority w:val="99"/>
    <w:semiHidden/>
    <w:rsid w:val="004B60AC"/>
    <w:rPr>
      <w:rFonts w:ascii="Bookman Old Style" w:hAnsi="Bookman Old Style"/>
      <w:lang w:val="es-ES" w:eastAsia="es-ES"/>
    </w:rPr>
  </w:style>
  <w:style w:type="paragraph" w:styleId="Asuntodelcomentario">
    <w:name w:val="annotation subject"/>
    <w:basedOn w:val="Textocomentario"/>
    <w:next w:val="Textocomentario"/>
    <w:link w:val="AsuntodelcomentarioCar"/>
    <w:uiPriority w:val="99"/>
    <w:semiHidden/>
    <w:unhideWhenUsed/>
    <w:rsid w:val="004B60AC"/>
    <w:rPr>
      <w:b/>
      <w:bCs/>
    </w:rPr>
  </w:style>
  <w:style w:type="character" w:customStyle="1" w:styleId="AsuntodelcomentarioCar">
    <w:name w:val="Asunto del comentario Car"/>
    <w:basedOn w:val="TextocomentarioCar"/>
    <w:link w:val="Asuntodelcomentario"/>
    <w:uiPriority w:val="99"/>
    <w:semiHidden/>
    <w:rsid w:val="004B60AC"/>
    <w:rPr>
      <w:rFonts w:ascii="Bookman Old Style" w:hAnsi="Bookman Old Style"/>
      <w:b/>
      <w:bCs/>
      <w:lang w:val="es-ES" w:eastAsia="es-ES"/>
    </w:rPr>
  </w:style>
  <w:style w:type="paragraph" w:styleId="NormalWeb">
    <w:name w:val="Normal (Web)"/>
    <w:basedOn w:val="Normal"/>
    <w:uiPriority w:val="99"/>
    <w:semiHidden/>
    <w:unhideWhenUsed/>
    <w:rsid w:val="00DB690C"/>
    <w:pPr>
      <w:spacing w:before="100" w:beforeAutospacing="1" w:after="100" w:afterAutospacing="1"/>
      <w:jc w:val="left"/>
    </w:pPr>
    <w:rPr>
      <w:rFonts w:ascii="Times New Roman" w:eastAsiaTheme="minorEastAsia" w:hAnsi="Times New Roman"/>
      <w:lang w:val="es-CO" w:eastAsia="es-CO"/>
    </w:rPr>
  </w:style>
  <w:style w:type="character" w:styleId="Textodelmarcadordeposicin">
    <w:name w:val="Placeholder Text"/>
    <w:basedOn w:val="Fuentedeprrafopredeter"/>
    <w:uiPriority w:val="99"/>
    <w:semiHidden/>
    <w:rsid w:val="00AB1C05"/>
    <w:rPr>
      <w:color w:val="808080"/>
    </w:rPr>
  </w:style>
  <w:style w:type="paragraph" w:styleId="Tabladeilustraciones">
    <w:name w:val="table of figures"/>
    <w:basedOn w:val="Normal"/>
    <w:next w:val="Normal"/>
    <w:uiPriority w:val="99"/>
    <w:unhideWhenUsed/>
    <w:rsid w:val="00C667BC"/>
  </w:style>
  <w:style w:type="paragraph" w:customStyle="1" w:styleId="Textoindependiente21">
    <w:name w:val="Texto independiente 21"/>
    <w:basedOn w:val="Normal"/>
    <w:rsid w:val="0062206C"/>
    <w:pPr>
      <w:suppressAutoHyphens/>
      <w:overflowPunct w:val="0"/>
      <w:autoSpaceDE w:val="0"/>
      <w:textAlignment w:val="baseline"/>
    </w:pPr>
    <w:rPr>
      <w:b/>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D2C"/>
    <w:pPr>
      <w:jc w:val="both"/>
    </w:pPr>
    <w:rPr>
      <w:rFonts w:ascii="Bookman Old Style" w:hAnsi="Bookman Old Style"/>
      <w:sz w:val="24"/>
      <w:szCs w:val="24"/>
      <w:lang w:val="es-ES" w:eastAsia="es-ES"/>
    </w:rPr>
  </w:style>
  <w:style w:type="paragraph" w:styleId="Ttulo1">
    <w:name w:val="heading 1"/>
    <w:basedOn w:val="Normal"/>
    <w:next w:val="Normal"/>
    <w:qFormat/>
    <w:rsid w:val="00601751"/>
    <w:pPr>
      <w:keepNext/>
      <w:outlineLvl w:val="0"/>
    </w:pPr>
    <w:rPr>
      <w:b/>
      <w:szCs w:val="20"/>
      <w:lang w:val="es-CO"/>
    </w:rPr>
  </w:style>
  <w:style w:type="paragraph" w:styleId="Ttulo2">
    <w:name w:val="heading 2"/>
    <w:basedOn w:val="Normal"/>
    <w:next w:val="Normal"/>
    <w:link w:val="Ttulo2Car"/>
    <w:unhideWhenUsed/>
    <w:qFormat/>
    <w:rsid w:val="00B234C3"/>
    <w:pPr>
      <w:numPr>
        <w:numId w:val="17"/>
      </w:numPr>
      <w:suppressAutoHyphens/>
      <w:spacing w:before="120" w:after="120"/>
      <w:ind w:right="51"/>
      <w:outlineLvl w:val="1"/>
    </w:pPr>
    <w:rPr>
      <w:rFonts w:cs="Arial"/>
      <w:b/>
      <w:color w:val="000000"/>
    </w:rPr>
  </w:style>
  <w:style w:type="paragraph" w:styleId="Ttulo3">
    <w:name w:val="heading 3"/>
    <w:basedOn w:val="Ttulo2"/>
    <w:next w:val="Normal"/>
    <w:link w:val="Ttulo3Car"/>
    <w:qFormat/>
    <w:rsid w:val="00385407"/>
    <w:pPr>
      <w:numPr>
        <w:ilvl w:val="1"/>
      </w:numPr>
      <w:outlineLvl w:val="2"/>
    </w:pPr>
  </w:style>
  <w:style w:type="paragraph" w:styleId="Ttulo4">
    <w:name w:val="heading 4"/>
    <w:basedOn w:val="Normal"/>
    <w:next w:val="Normal"/>
    <w:link w:val="Ttulo4Car"/>
    <w:qFormat/>
    <w:rsid w:val="003101DA"/>
    <w:pPr>
      <w:keepNext/>
      <w:jc w:val="center"/>
      <w:outlineLvl w:val="3"/>
    </w:pPr>
    <w:rPr>
      <w:rFonts w:ascii="Arial" w:hAnsi="Arial" w:cs="Arial"/>
      <w:b/>
      <w:snapToGrid w:val="0"/>
      <w:color w:val="000000"/>
      <w:spacing w:val="20"/>
      <w:sz w:val="20"/>
      <w:szCs w:val="20"/>
      <w:lang w:val="es-ES_tradnl"/>
    </w:rPr>
  </w:style>
  <w:style w:type="paragraph" w:styleId="Ttulo5">
    <w:name w:val="heading 5"/>
    <w:basedOn w:val="Normal"/>
    <w:next w:val="Normal"/>
    <w:link w:val="Ttulo5Car"/>
    <w:qFormat/>
    <w:rsid w:val="003101DA"/>
    <w:pPr>
      <w:keepNext/>
      <w:jc w:val="center"/>
      <w:outlineLvl w:val="4"/>
    </w:pPr>
    <w:rPr>
      <w:rFonts w:ascii="Arial" w:hAnsi="Arial" w:cs="Arial"/>
      <w:b/>
      <w:snapToGrid w:val="0"/>
      <w:color w:val="000000"/>
      <w:spacing w:val="20"/>
      <w:sz w:val="28"/>
      <w:szCs w:val="20"/>
      <w:lang w:val="es-ES_tradnl"/>
    </w:rPr>
  </w:style>
  <w:style w:type="paragraph" w:styleId="Ttulo6">
    <w:name w:val="heading 6"/>
    <w:basedOn w:val="Normal"/>
    <w:next w:val="Normal"/>
    <w:link w:val="Ttulo6Car"/>
    <w:unhideWhenUsed/>
    <w:qFormat/>
    <w:rsid w:val="00795BFB"/>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6B4647"/>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szCs w:val="20"/>
      <w:lang w:val="es-CO"/>
    </w:rPr>
  </w:style>
  <w:style w:type="paragraph" w:styleId="Piedepgina">
    <w:name w:val="footer"/>
    <w:basedOn w:val="Normal"/>
    <w:semiHidden/>
    <w:rsid w:val="003101DA"/>
    <w:pPr>
      <w:tabs>
        <w:tab w:val="center" w:pos="4252"/>
        <w:tab w:val="right" w:pos="8504"/>
      </w:tabs>
    </w:pPr>
  </w:style>
  <w:style w:type="paragraph" w:customStyle="1" w:styleId="Estilo1">
    <w:name w:val="Estilo1"/>
    <w:basedOn w:val="Normal"/>
    <w:rsid w:val="003101DA"/>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ascii="Arial" w:hAnsi="Arial" w:cs="Arial"/>
      <w:b/>
      <w:bCs/>
    </w:rPr>
  </w:style>
  <w:style w:type="paragraph" w:styleId="Textoindependiente3">
    <w:name w:val="Body Text 3"/>
    <w:basedOn w:val="Normal"/>
    <w:link w:val="Textoindependiente3Car"/>
    <w:semiHidden/>
    <w:rsid w:val="003101DA"/>
    <w:pPr>
      <w:jc w:val="center"/>
      <w:outlineLvl w:val="0"/>
    </w:pPr>
    <w:rPr>
      <w:rFonts w:ascii="Arial" w:hAnsi="Arial" w:cs="Arial"/>
      <w:b/>
      <w:bCs/>
      <w:spacing w:val="-3"/>
    </w:rPr>
  </w:style>
  <w:style w:type="paragraph" w:styleId="Textodeglobo">
    <w:name w:val="Balloon Text"/>
    <w:basedOn w:val="Normal"/>
    <w:link w:val="TextodegloboCar"/>
    <w:uiPriority w:val="99"/>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rsid w:val="00385407"/>
    <w:rPr>
      <w:rFonts w:ascii="Bookman Old Style" w:hAnsi="Bookman Old Style" w:cs="Arial"/>
      <w:b/>
      <w:color w:val="000000"/>
      <w:sz w:val="24"/>
      <w:szCs w:val="24"/>
      <w:lang w:val="es-ES" w:eastAsia="es-ES"/>
    </w:rPr>
  </w:style>
  <w:style w:type="character" w:customStyle="1" w:styleId="Ttulo4Car">
    <w:name w:val="Título 4 Car"/>
    <w:link w:val="Ttulo4"/>
    <w:rsid w:val="00141013"/>
    <w:rPr>
      <w:rFonts w:ascii="Arial" w:hAnsi="Arial" w:cs="Arial"/>
      <w:b/>
      <w:snapToGrid w:val="0"/>
      <w:color w:val="000000"/>
      <w:spacing w:val="20"/>
      <w:lang w:val="es-ES_tradnl"/>
    </w:rPr>
  </w:style>
  <w:style w:type="character" w:customStyle="1" w:styleId="Ttulo5Car">
    <w:name w:val="Título 5 Car"/>
    <w:link w:val="Ttulo5"/>
    <w:rsid w:val="00141013"/>
    <w:rPr>
      <w:rFonts w:ascii="Arial" w:hAnsi="Arial" w:cs="Arial"/>
      <w:b/>
      <w:snapToGrid w:val="0"/>
      <w:color w:val="000000"/>
      <w:spacing w:val="20"/>
      <w:sz w:val="28"/>
      <w:lang w:val="es-ES_tradnl"/>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795BFB"/>
    <w:rPr>
      <w:rFonts w:ascii="Calibri" w:eastAsia="Times New Roman" w:hAnsi="Calibri" w:cs="Times New Roman"/>
      <w:b/>
      <w:bCs/>
      <w:sz w:val="22"/>
      <w:szCs w:val="22"/>
    </w:r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cs="Arial"/>
      <w:b/>
      <w:bC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1405C6"/>
    <w:pPr>
      <w:ind w:left="708"/>
    </w:pPr>
    <w:rPr>
      <w:sz w:val="20"/>
      <w:szCs w:val="20"/>
      <w:lang w:val="es-CO"/>
    </w:rPr>
  </w:style>
  <w:style w:type="character" w:customStyle="1" w:styleId="PrrafodelistaCar">
    <w:name w:val="Párrafo de lista Car"/>
    <w:link w:val="Prrafodelista"/>
    <w:uiPriority w:val="34"/>
    <w:rsid w:val="001405C6"/>
    <w:rPr>
      <w:lang w:val="es-CO"/>
    </w:rPr>
  </w:style>
  <w:style w:type="paragraph" w:styleId="TDC1">
    <w:name w:val="toc 1"/>
    <w:basedOn w:val="Normal"/>
    <w:next w:val="Normal"/>
    <w:autoRedefine/>
    <w:uiPriority w:val="39"/>
    <w:rsid w:val="00FE6BB8"/>
    <w:pPr>
      <w:tabs>
        <w:tab w:val="left" w:pos="480"/>
        <w:tab w:val="right" w:leader="dot" w:pos="8828"/>
      </w:tabs>
      <w:spacing w:before="120"/>
      <w:jc w:val="left"/>
    </w:pPr>
    <w:rPr>
      <w:b/>
      <w:noProof/>
    </w:rPr>
  </w:style>
  <w:style w:type="paragraph" w:styleId="Textodebloque">
    <w:name w:val="Block Text"/>
    <w:basedOn w:val="Normal"/>
    <w:rsid w:val="00D03800"/>
    <w:pPr>
      <w:suppressAutoHyphens/>
      <w:spacing w:after="240"/>
      <w:ind w:right="788"/>
    </w:pPr>
    <w:rPr>
      <w:rFonts w:ascii="Arial" w:hAnsi="Arial"/>
      <w:spacing w:val="-3"/>
      <w:szCs w:val="20"/>
      <w:lang w:val="es-ES_tradnl"/>
    </w:rPr>
  </w:style>
  <w:style w:type="paragraph" w:styleId="Textoindependiente2">
    <w:name w:val="Body Text 2"/>
    <w:basedOn w:val="Normal"/>
    <w:link w:val="Textoindependiente2Car"/>
    <w:uiPriority w:val="99"/>
    <w:semiHidden/>
    <w:unhideWhenUsed/>
    <w:rsid w:val="00006AE2"/>
    <w:pPr>
      <w:spacing w:after="120" w:line="480" w:lineRule="auto"/>
    </w:pPr>
  </w:style>
  <w:style w:type="character" w:customStyle="1" w:styleId="Textoindependiente2Car">
    <w:name w:val="Texto independiente 2 Car"/>
    <w:link w:val="Textoindependiente2"/>
    <w:uiPriority w:val="99"/>
    <w:semiHidden/>
    <w:rsid w:val="00006AE2"/>
    <w:rPr>
      <w:sz w:val="24"/>
      <w:szCs w:val="24"/>
    </w:rPr>
  </w:style>
  <w:style w:type="paragraph" w:styleId="Epgrafe">
    <w:name w:val="caption"/>
    <w:basedOn w:val="Normal"/>
    <w:next w:val="Normal"/>
    <w:uiPriority w:val="35"/>
    <w:qFormat/>
    <w:rsid w:val="00407276"/>
    <w:pPr>
      <w:widowControl w:val="0"/>
      <w:adjustRightInd w:val="0"/>
      <w:spacing w:before="120"/>
      <w:jc w:val="center"/>
      <w:textAlignment w:val="baseline"/>
    </w:pPr>
    <w:rPr>
      <w:sz w:val="22"/>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rFonts w:ascii="Arial" w:hAnsi="Arial"/>
      <w:sz w:val="22"/>
      <w:szCs w:val="20"/>
    </w:rPr>
  </w:style>
  <w:style w:type="character" w:customStyle="1" w:styleId="Ttulo7Car">
    <w:name w:val="Título 7 Car"/>
    <w:link w:val="Ttulo7"/>
    <w:uiPriority w:val="9"/>
    <w:semiHidden/>
    <w:rsid w:val="006B4647"/>
    <w:rPr>
      <w:rFonts w:ascii="Calibri" w:eastAsia="Times New Roman" w:hAnsi="Calibri" w:cs="Times New Roman"/>
      <w:sz w:val="24"/>
      <w:szCs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6"/>
      </w:numPr>
      <w:suppressAutoHyphens/>
      <w:overflowPunct w:val="0"/>
      <w:autoSpaceDE w:val="0"/>
      <w:textAlignment w:val="baseline"/>
    </w:pPr>
    <w:rPr>
      <w:rFonts w:ascii="Arial" w:hAnsi="Arial"/>
      <w:szCs w:val="20"/>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Textonotapie">
    <w:name w:val="footnote text"/>
    <w:basedOn w:val="Normal"/>
    <w:link w:val="TextonotapieCar"/>
    <w:semiHidden/>
    <w:unhideWhenUsed/>
    <w:rsid w:val="00601751"/>
    <w:rPr>
      <w:sz w:val="20"/>
      <w:szCs w:val="20"/>
    </w:rPr>
  </w:style>
  <w:style w:type="character" w:customStyle="1" w:styleId="TextonotapieCar">
    <w:name w:val="Texto nota pie Car"/>
    <w:basedOn w:val="Fuentedeprrafopredeter"/>
    <w:link w:val="Textonotapie"/>
    <w:uiPriority w:val="99"/>
    <w:semiHidden/>
    <w:rsid w:val="00601751"/>
    <w:rPr>
      <w:lang w:val="es-ES" w:eastAsia="es-ES"/>
    </w:rPr>
  </w:style>
  <w:style w:type="character" w:styleId="Refdenotaalpie">
    <w:name w:val="footnote reference"/>
    <w:basedOn w:val="Fuentedeprrafopredeter"/>
    <w:semiHidden/>
    <w:unhideWhenUsed/>
    <w:rsid w:val="00601751"/>
    <w:rPr>
      <w:vertAlign w:val="superscript"/>
    </w:rPr>
  </w:style>
  <w:style w:type="character" w:customStyle="1" w:styleId="Ttulo2Car">
    <w:name w:val="Título 2 Car"/>
    <w:basedOn w:val="Fuentedeprrafopredeter"/>
    <w:link w:val="Ttulo2"/>
    <w:uiPriority w:val="9"/>
    <w:rsid w:val="00B234C3"/>
    <w:rPr>
      <w:rFonts w:ascii="Bookman Old Style" w:hAnsi="Bookman Old Style" w:cs="Arial"/>
      <w:b/>
      <w:color w:val="000000"/>
      <w:sz w:val="24"/>
      <w:szCs w:val="24"/>
      <w:lang w:val="es-ES" w:eastAsia="es-ES"/>
    </w:rPr>
  </w:style>
  <w:style w:type="paragraph" w:styleId="TtulodeTDC">
    <w:name w:val="TOC Heading"/>
    <w:basedOn w:val="Ttulo1"/>
    <w:next w:val="Normal"/>
    <w:uiPriority w:val="39"/>
    <w:semiHidden/>
    <w:unhideWhenUsed/>
    <w:qFormat/>
    <w:rsid w:val="00173753"/>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s-CO"/>
    </w:rPr>
  </w:style>
  <w:style w:type="paragraph" w:styleId="TDC2">
    <w:name w:val="toc 2"/>
    <w:basedOn w:val="Normal"/>
    <w:next w:val="Normal"/>
    <w:autoRedefine/>
    <w:uiPriority w:val="39"/>
    <w:unhideWhenUsed/>
    <w:rsid w:val="00051C57"/>
    <w:pPr>
      <w:tabs>
        <w:tab w:val="left" w:pos="660"/>
        <w:tab w:val="right" w:leader="dot" w:pos="9346"/>
      </w:tabs>
      <w:spacing w:after="100"/>
      <w:ind w:left="709" w:hanging="567"/>
      <w:jc w:val="left"/>
    </w:pPr>
    <w:rPr>
      <w:b/>
    </w:rPr>
  </w:style>
  <w:style w:type="paragraph" w:styleId="TDC3">
    <w:name w:val="toc 3"/>
    <w:basedOn w:val="Normal"/>
    <w:next w:val="Normal"/>
    <w:autoRedefine/>
    <w:uiPriority w:val="39"/>
    <w:unhideWhenUsed/>
    <w:rsid w:val="00CC2058"/>
    <w:pPr>
      <w:tabs>
        <w:tab w:val="left" w:pos="1320"/>
        <w:tab w:val="right" w:leader="dot" w:pos="9356"/>
      </w:tabs>
      <w:spacing w:after="100"/>
      <w:ind w:left="1276" w:right="425" w:hanging="796"/>
    </w:pPr>
  </w:style>
  <w:style w:type="character" w:styleId="Hipervnculo">
    <w:name w:val="Hyperlink"/>
    <w:basedOn w:val="Fuentedeprrafopredeter"/>
    <w:uiPriority w:val="99"/>
    <w:unhideWhenUsed/>
    <w:rsid w:val="00173753"/>
    <w:rPr>
      <w:color w:val="0000FF" w:themeColor="hyperlink"/>
      <w:u w:val="single"/>
    </w:rPr>
  </w:style>
  <w:style w:type="character" w:styleId="Refdecomentario">
    <w:name w:val="annotation reference"/>
    <w:basedOn w:val="Fuentedeprrafopredeter"/>
    <w:uiPriority w:val="99"/>
    <w:semiHidden/>
    <w:unhideWhenUsed/>
    <w:rsid w:val="004B60AC"/>
    <w:rPr>
      <w:sz w:val="16"/>
      <w:szCs w:val="16"/>
    </w:rPr>
  </w:style>
  <w:style w:type="paragraph" w:styleId="Textocomentario">
    <w:name w:val="annotation text"/>
    <w:basedOn w:val="Normal"/>
    <w:link w:val="TextocomentarioCar"/>
    <w:uiPriority w:val="99"/>
    <w:semiHidden/>
    <w:unhideWhenUsed/>
    <w:rsid w:val="004B60AC"/>
    <w:rPr>
      <w:sz w:val="20"/>
      <w:szCs w:val="20"/>
    </w:rPr>
  </w:style>
  <w:style w:type="character" w:customStyle="1" w:styleId="TextocomentarioCar">
    <w:name w:val="Texto comentario Car"/>
    <w:basedOn w:val="Fuentedeprrafopredeter"/>
    <w:link w:val="Textocomentario"/>
    <w:uiPriority w:val="99"/>
    <w:semiHidden/>
    <w:rsid w:val="004B60AC"/>
    <w:rPr>
      <w:rFonts w:ascii="Bookman Old Style" w:hAnsi="Bookman Old Style"/>
      <w:lang w:val="es-ES" w:eastAsia="es-ES"/>
    </w:rPr>
  </w:style>
  <w:style w:type="paragraph" w:styleId="Asuntodelcomentario">
    <w:name w:val="annotation subject"/>
    <w:basedOn w:val="Textocomentario"/>
    <w:next w:val="Textocomentario"/>
    <w:link w:val="AsuntodelcomentarioCar"/>
    <w:uiPriority w:val="99"/>
    <w:semiHidden/>
    <w:unhideWhenUsed/>
    <w:rsid w:val="004B60AC"/>
    <w:rPr>
      <w:b/>
      <w:bCs/>
    </w:rPr>
  </w:style>
  <w:style w:type="character" w:customStyle="1" w:styleId="AsuntodelcomentarioCar">
    <w:name w:val="Asunto del comentario Car"/>
    <w:basedOn w:val="TextocomentarioCar"/>
    <w:link w:val="Asuntodelcomentario"/>
    <w:uiPriority w:val="99"/>
    <w:semiHidden/>
    <w:rsid w:val="004B60AC"/>
    <w:rPr>
      <w:rFonts w:ascii="Bookman Old Style" w:hAnsi="Bookman Old Style"/>
      <w:b/>
      <w:bCs/>
      <w:lang w:val="es-ES" w:eastAsia="es-ES"/>
    </w:rPr>
  </w:style>
  <w:style w:type="paragraph" w:styleId="NormalWeb">
    <w:name w:val="Normal (Web)"/>
    <w:basedOn w:val="Normal"/>
    <w:uiPriority w:val="99"/>
    <w:semiHidden/>
    <w:unhideWhenUsed/>
    <w:rsid w:val="00DB690C"/>
    <w:pPr>
      <w:spacing w:before="100" w:beforeAutospacing="1" w:after="100" w:afterAutospacing="1"/>
      <w:jc w:val="left"/>
    </w:pPr>
    <w:rPr>
      <w:rFonts w:ascii="Times New Roman" w:eastAsiaTheme="minorEastAsia" w:hAnsi="Times New Roman"/>
      <w:lang w:val="es-CO" w:eastAsia="es-CO"/>
    </w:rPr>
  </w:style>
  <w:style w:type="character" w:styleId="Textodelmarcadordeposicin">
    <w:name w:val="Placeholder Text"/>
    <w:basedOn w:val="Fuentedeprrafopredeter"/>
    <w:uiPriority w:val="99"/>
    <w:semiHidden/>
    <w:rsid w:val="00AB1C05"/>
    <w:rPr>
      <w:color w:val="808080"/>
    </w:rPr>
  </w:style>
  <w:style w:type="paragraph" w:styleId="Tabladeilustraciones">
    <w:name w:val="table of figures"/>
    <w:basedOn w:val="Normal"/>
    <w:next w:val="Normal"/>
    <w:uiPriority w:val="99"/>
    <w:unhideWhenUsed/>
    <w:rsid w:val="00C667BC"/>
  </w:style>
  <w:style w:type="paragraph" w:customStyle="1" w:styleId="Textoindependiente21">
    <w:name w:val="Texto independiente 21"/>
    <w:basedOn w:val="Normal"/>
    <w:rsid w:val="0062206C"/>
    <w:pPr>
      <w:suppressAutoHyphens/>
      <w:overflowPunct w:val="0"/>
      <w:autoSpaceDE w:val="0"/>
      <w:textAlignment w:val="baseline"/>
    </w:pPr>
    <w:rPr>
      <w:b/>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401131">
      <w:bodyDiv w:val="1"/>
      <w:marLeft w:val="0"/>
      <w:marRight w:val="0"/>
      <w:marTop w:val="0"/>
      <w:marBottom w:val="0"/>
      <w:divBdr>
        <w:top w:val="none" w:sz="0" w:space="0" w:color="auto"/>
        <w:left w:val="none" w:sz="0" w:space="0" w:color="auto"/>
        <w:bottom w:val="none" w:sz="0" w:space="0" w:color="auto"/>
        <w:right w:val="none" w:sz="0" w:space="0" w:color="auto"/>
      </w:divBdr>
      <w:divsChild>
        <w:div w:id="269237450">
          <w:marLeft w:val="562"/>
          <w:marRight w:val="0"/>
          <w:marTop w:val="134"/>
          <w:marBottom w:val="0"/>
          <w:divBdr>
            <w:top w:val="none" w:sz="0" w:space="0" w:color="auto"/>
            <w:left w:val="none" w:sz="0" w:space="0" w:color="auto"/>
            <w:bottom w:val="none" w:sz="0" w:space="0" w:color="auto"/>
            <w:right w:val="none" w:sz="0" w:space="0" w:color="auto"/>
          </w:divBdr>
        </w:div>
        <w:div w:id="498352214">
          <w:marLeft w:val="562"/>
          <w:marRight w:val="0"/>
          <w:marTop w:val="134"/>
          <w:marBottom w:val="0"/>
          <w:divBdr>
            <w:top w:val="none" w:sz="0" w:space="0" w:color="auto"/>
            <w:left w:val="none" w:sz="0" w:space="0" w:color="auto"/>
            <w:bottom w:val="none" w:sz="0" w:space="0" w:color="auto"/>
            <w:right w:val="none" w:sz="0" w:space="0" w:color="auto"/>
          </w:divBdr>
        </w:div>
        <w:div w:id="628584116">
          <w:marLeft w:val="1166"/>
          <w:marRight w:val="0"/>
          <w:marTop w:val="115"/>
          <w:marBottom w:val="0"/>
          <w:divBdr>
            <w:top w:val="none" w:sz="0" w:space="0" w:color="auto"/>
            <w:left w:val="none" w:sz="0" w:space="0" w:color="auto"/>
            <w:bottom w:val="none" w:sz="0" w:space="0" w:color="auto"/>
            <w:right w:val="none" w:sz="0" w:space="0" w:color="auto"/>
          </w:divBdr>
        </w:div>
        <w:div w:id="1703627717">
          <w:marLeft w:val="1166"/>
          <w:marRight w:val="0"/>
          <w:marTop w:val="115"/>
          <w:marBottom w:val="0"/>
          <w:divBdr>
            <w:top w:val="none" w:sz="0" w:space="0" w:color="auto"/>
            <w:left w:val="none" w:sz="0" w:space="0" w:color="auto"/>
            <w:bottom w:val="none" w:sz="0" w:space="0" w:color="auto"/>
            <w:right w:val="none" w:sz="0" w:space="0" w:color="auto"/>
          </w:divBdr>
        </w:div>
        <w:div w:id="1803692032">
          <w:marLeft w:val="1166"/>
          <w:marRight w:val="0"/>
          <w:marTop w:val="115"/>
          <w:marBottom w:val="0"/>
          <w:divBdr>
            <w:top w:val="none" w:sz="0" w:space="0" w:color="auto"/>
            <w:left w:val="none" w:sz="0" w:space="0" w:color="auto"/>
            <w:bottom w:val="none" w:sz="0" w:space="0" w:color="auto"/>
            <w:right w:val="none" w:sz="0" w:space="0" w:color="auto"/>
          </w:divBdr>
        </w:div>
      </w:divsChild>
    </w:div>
    <w:div w:id="1460297881">
      <w:bodyDiv w:val="1"/>
      <w:marLeft w:val="0"/>
      <w:marRight w:val="0"/>
      <w:marTop w:val="0"/>
      <w:marBottom w:val="0"/>
      <w:divBdr>
        <w:top w:val="none" w:sz="0" w:space="0" w:color="auto"/>
        <w:left w:val="none" w:sz="0" w:space="0" w:color="auto"/>
        <w:bottom w:val="none" w:sz="0" w:space="0" w:color="auto"/>
        <w:right w:val="none" w:sz="0" w:space="0" w:color="auto"/>
      </w:divBdr>
      <w:divsChild>
        <w:div w:id="281885035">
          <w:marLeft w:val="1166"/>
          <w:marRight w:val="0"/>
          <w:marTop w:val="115"/>
          <w:marBottom w:val="0"/>
          <w:divBdr>
            <w:top w:val="none" w:sz="0" w:space="0" w:color="auto"/>
            <w:left w:val="none" w:sz="0" w:space="0" w:color="auto"/>
            <w:bottom w:val="none" w:sz="0" w:space="0" w:color="auto"/>
            <w:right w:val="none" w:sz="0" w:space="0" w:color="auto"/>
          </w:divBdr>
        </w:div>
        <w:div w:id="810288501">
          <w:marLeft w:val="562"/>
          <w:marRight w:val="0"/>
          <w:marTop w:val="134"/>
          <w:marBottom w:val="0"/>
          <w:divBdr>
            <w:top w:val="none" w:sz="0" w:space="0" w:color="auto"/>
            <w:left w:val="none" w:sz="0" w:space="0" w:color="auto"/>
            <w:bottom w:val="none" w:sz="0" w:space="0" w:color="auto"/>
            <w:right w:val="none" w:sz="0" w:space="0" w:color="auto"/>
          </w:divBdr>
        </w:div>
        <w:div w:id="944388559">
          <w:marLeft w:val="562"/>
          <w:marRight w:val="0"/>
          <w:marTop w:val="134"/>
          <w:marBottom w:val="0"/>
          <w:divBdr>
            <w:top w:val="none" w:sz="0" w:space="0" w:color="auto"/>
            <w:left w:val="none" w:sz="0" w:space="0" w:color="auto"/>
            <w:bottom w:val="none" w:sz="0" w:space="0" w:color="auto"/>
            <w:right w:val="none" w:sz="0" w:space="0" w:color="auto"/>
          </w:divBdr>
        </w:div>
        <w:div w:id="1360006402">
          <w:marLeft w:val="1166"/>
          <w:marRight w:val="0"/>
          <w:marTop w:val="115"/>
          <w:marBottom w:val="0"/>
          <w:divBdr>
            <w:top w:val="none" w:sz="0" w:space="0" w:color="auto"/>
            <w:left w:val="none" w:sz="0" w:space="0" w:color="auto"/>
            <w:bottom w:val="none" w:sz="0" w:space="0" w:color="auto"/>
            <w:right w:val="none" w:sz="0" w:space="0" w:color="auto"/>
          </w:divBdr>
        </w:div>
        <w:div w:id="2125036303">
          <w:marLeft w:val="1166"/>
          <w:marRight w:val="0"/>
          <w:marTop w:val="115"/>
          <w:marBottom w:val="0"/>
          <w:divBdr>
            <w:top w:val="none" w:sz="0" w:space="0" w:color="auto"/>
            <w:left w:val="none" w:sz="0" w:space="0" w:color="auto"/>
            <w:bottom w:val="none" w:sz="0" w:space="0" w:color="auto"/>
            <w:right w:val="none" w:sz="0" w:space="0" w:color="auto"/>
          </w:divBdr>
        </w:div>
      </w:divsChild>
    </w:div>
    <w:div w:id="1634285677">
      <w:bodyDiv w:val="1"/>
      <w:marLeft w:val="0"/>
      <w:marRight w:val="0"/>
      <w:marTop w:val="0"/>
      <w:marBottom w:val="0"/>
      <w:divBdr>
        <w:top w:val="none" w:sz="0" w:space="0" w:color="auto"/>
        <w:left w:val="none" w:sz="0" w:space="0" w:color="auto"/>
        <w:bottom w:val="none" w:sz="0" w:space="0" w:color="auto"/>
        <w:right w:val="none" w:sz="0" w:space="0" w:color="auto"/>
      </w:divBdr>
      <w:divsChild>
        <w:div w:id="1523934728">
          <w:marLeft w:val="547"/>
          <w:marRight w:val="0"/>
          <w:marTop w:val="86"/>
          <w:marBottom w:val="0"/>
          <w:divBdr>
            <w:top w:val="none" w:sz="0" w:space="0" w:color="auto"/>
            <w:left w:val="none" w:sz="0" w:space="0" w:color="auto"/>
            <w:bottom w:val="none" w:sz="0" w:space="0" w:color="auto"/>
            <w:right w:val="none" w:sz="0" w:space="0" w:color="auto"/>
          </w:divBdr>
        </w:div>
        <w:div w:id="412437275">
          <w:marLeft w:val="547"/>
          <w:marRight w:val="0"/>
          <w:marTop w:val="86"/>
          <w:marBottom w:val="0"/>
          <w:divBdr>
            <w:top w:val="none" w:sz="0" w:space="0" w:color="auto"/>
            <w:left w:val="none" w:sz="0" w:space="0" w:color="auto"/>
            <w:bottom w:val="none" w:sz="0" w:space="0" w:color="auto"/>
            <w:right w:val="none" w:sz="0" w:space="0" w:color="auto"/>
          </w:divBdr>
        </w:div>
        <w:div w:id="359355451">
          <w:marLeft w:val="547"/>
          <w:marRight w:val="0"/>
          <w:marTop w:val="86"/>
          <w:marBottom w:val="0"/>
          <w:divBdr>
            <w:top w:val="none" w:sz="0" w:space="0" w:color="auto"/>
            <w:left w:val="none" w:sz="0" w:space="0" w:color="auto"/>
            <w:bottom w:val="none" w:sz="0" w:space="0" w:color="auto"/>
            <w:right w:val="none" w:sz="0" w:space="0" w:color="auto"/>
          </w:divBdr>
        </w:div>
        <w:div w:id="1464348801">
          <w:marLeft w:val="547"/>
          <w:marRight w:val="0"/>
          <w:marTop w:val="86"/>
          <w:marBottom w:val="0"/>
          <w:divBdr>
            <w:top w:val="none" w:sz="0" w:space="0" w:color="auto"/>
            <w:left w:val="none" w:sz="0" w:space="0" w:color="auto"/>
            <w:bottom w:val="none" w:sz="0" w:space="0" w:color="auto"/>
            <w:right w:val="none" w:sz="0" w:space="0" w:color="auto"/>
          </w:divBdr>
        </w:div>
        <w:div w:id="27026851">
          <w:marLeft w:val="547"/>
          <w:marRight w:val="0"/>
          <w:marTop w:val="86"/>
          <w:marBottom w:val="0"/>
          <w:divBdr>
            <w:top w:val="none" w:sz="0" w:space="0" w:color="auto"/>
            <w:left w:val="none" w:sz="0" w:space="0" w:color="auto"/>
            <w:bottom w:val="none" w:sz="0" w:space="0" w:color="auto"/>
            <w:right w:val="none" w:sz="0" w:space="0" w:color="auto"/>
          </w:divBdr>
        </w:div>
        <w:div w:id="818152279">
          <w:marLeft w:val="547"/>
          <w:marRight w:val="0"/>
          <w:marTop w:val="86"/>
          <w:marBottom w:val="0"/>
          <w:divBdr>
            <w:top w:val="none" w:sz="0" w:space="0" w:color="auto"/>
            <w:left w:val="none" w:sz="0" w:space="0" w:color="auto"/>
            <w:bottom w:val="none" w:sz="0" w:space="0" w:color="auto"/>
            <w:right w:val="none" w:sz="0" w:space="0" w:color="auto"/>
          </w:divBdr>
        </w:div>
        <w:div w:id="1310279925">
          <w:marLeft w:val="547"/>
          <w:marRight w:val="0"/>
          <w:marTop w:val="86"/>
          <w:marBottom w:val="0"/>
          <w:divBdr>
            <w:top w:val="none" w:sz="0" w:space="0" w:color="auto"/>
            <w:left w:val="none" w:sz="0" w:space="0" w:color="auto"/>
            <w:bottom w:val="none" w:sz="0" w:space="0" w:color="auto"/>
            <w:right w:val="none" w:sz="0" w:space="0" w:color="auto"/>
          </w:divBdr>
        </w:div>
        <w:div w:id="1151021605">
          <w:marLeft w:val="547"/>
          <w:marRight w:val="0"/>
          <w:marTop w:val="86"/>
          <w:marBottom w:val="0"/>
          <w:divBdr>
            <w:top w:val="none" w:sz="0" w:space="0" w:color="auto"/>
            <w:left w:val="none" w:sz="0" w:space="0" w:color="auto"/>
            <w:bottom w:val="none" w:sz="0" w:space="0" w:color="auto"/>
            <w:right w:val="none" w:sz="0" w:space="0" w:color="auto"/>
          </w:divBdr>
        </w:div>
        <w:div w:id="1260989171">
          <w:marLeft w:val="547"/>
          <w:marRight w:val="0"/>
          <w:marTop w:val="86"/>
          <w:marBottom w:val="0"/>
          <w:divBdr>
            <w:top w:val="none" w:sz="0" w:space="0" w:color="auto"/>
            <w:left w:val="none" w:sz="0" w:space="0" w:color="auto"/>
            <w:bottom w:val="none" w:sz="0" w:space="0" w:color="auto"/>
            <w:right w:val="none" w:sz="0" w:space="0" w:color="auto"/>
          </w:divBdr>
        </w:div>
        <w:div w:id="55982849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wmf"/><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chart" Target="charts/chart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diagramData" Target="diagrams/data1.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chart" Target="charts/chart5.xml"/><Relationship Id="rId28" Type="http://schemas.microsoft.com/office/2007/relationships/diagramDrawing" Target="diagrams/drawing1.xml"/><Relationship Id="rId10" Type="http://schemas.openxmlformats.org/officeDocument/2006/relationships/oleObject" Target="embeddings/oleObject1.bin"/><Relationship Id="rId19" Type="http://schemas.openxmlformats.org/officeDocument/2006/relationships/chart" Target="charts/chart1.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chart" Target="charts/chart4.xml"/><Relationship Id="rId27" Type="http://schemas.openxmlformats.org/officeDocument/2006/relationships/diagramColors" Target="diagrams/colors1.xml"/><Relationship Id="rId30" Type="http://schemas.openxmlformats.org/officeDocument/2006/relationships/chart" Target="charts/chart6.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cero\AppData\Local\Temp\notes12113A\Tarifas%20san%20andres_2%20mio%20porcien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barbosa\Documents\T%20san%20Andres\Ventas%20San%20And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barbosa\Documents\T%20san%20Andres\Ventas%20San%20And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barbosa\Documents\T%20san%20Andres\Ventas%20San%20Andr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barbosa\Documents\T%20san%20Andres\Ventas%20San%20And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cero\AppData\Local\Temp\notes12113A\~52517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Participación </a:t>
            </a:r>
            <a:r>
              <a:rPr lang="es-CO" baseline="0">
                <a:solidFill>
                  <a:sysClr val="windowText" lastClr="000000"/>
                </a:solidFill>
              </a:rPr>
              <a:t>de las componetes del CU GLP- San Andres</a:t>
            </a:r>
            <a:endParaRPr lang="es-CO">
              <a:solidFill>
                <a:sysClr val="windowText" lastClr="000000"/>
              </a:solidFill>
            </a:endParaRPr>
          </a:p>
        </c:rich>
      </c:tx>
      <c:overlay val="0"/>
    </c:title>
    <c:autoTitleDeleted val="0"/>
    <c:plotArea>
      <c:layout/>
      <c:areaChart>
        <c:grouping val="stacked"/>
        <c:varyColors val="0"/>
        <c:ser>
          <c:idx val="1"/>
          <c:order val="0"/>
          <c:tx>
            <c:strRef>
              <c:f>'Copia curvas (2)'!$T$1</c:f>
              <c:strCache>
                <c:ptCount val="1"/>
                <c:pt idx="0">
                  <c:v>% DyC en 100lbs</c:v>
                </c:pt>
              </c:strCache>
            </c:strRef>
          </c:tx>
          <c:spPr>
            <a:ln w="25400">
              <a:noFill/>
            </a:ln>
          </c:spPr>
          <c:cat>
            <c:numRef>
              <c:f>'Copia curvas (2)'!$A$7:$A$73</c:f>
              <c:numCache>
                <c:formatCode>mmm\-yy</c:formatCode>
                <c:ptCount val="57"/>
                <c:pt idx="0">
                  <c:v>40179</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pt idx="48">
                  <c:v>41913</c:v>
                </c:pt>
                <c:pt idx="49">
                  <c:v>41944</c:v>
                </c:pt>
                <c:pt idx="50">
                  <c:v>41974</c:v>
                </c:pt>
                <c:pt idx="51">
                  <c:v>42005</c:v>
                </c:pt>
                <c:pt idx="52">
                  <c:v>42036</c:v>
                </c:pt>
                <c:pt idx="53">
                  <c:v>42064</c:v>
                </c:pt>
                <c:pt idx="54">
                  <c:v>42095</c:v>
                </c:pt>
                <c:pt idx="55">
                  <c:v>42125</c:v>
                </c:pt>
                <c:pt idx="56">
                  <c:v>42186</c:v>
                </c:pt>
              </c:numCache>
            </c:numRef>
          </c:cat>
          <c:val>
            <c:numRef>
              <c:f>'Copia curvas (2)'!$T$7:$T$73</c:f>
              <c:numCache>
                <c:formatCode>0.0%</c:formatCode>
                <c:ptCount val="57"/>
                <c:pt idx="0">
                  <c:v>0.17930209168799094</c:v>
                </c:pt>
                <c:pt idx="1">
                  <c:v>0.2446678958003089</c:v>
                </c:pt>
                <c:pt idx="2">
                  <c:v>0.22898008202271594</c:v>
                </c:pt>
                <c:pt idx="3">
                  <c:v>0.23449180327868854</c:v>
                </c:pt>
                <c:pt idx="4">
                  <c:v>0.23298774063786995</c:v>
                </c:pt>
                <c:pt idx="5">
                  <c:v>0.22132319272735393</c:v>
                </c:pt>
                <c:pt idx="6">
                  <c:v>0.21986438198137362</c:v>
                </c:pt>
                <c:pt idx="7">
                  <c:v>0.22400975155386643</c:v>
                </c:pt>
                <c:pt idx="8">
                  <c:v>0.22400975155386643</c:v>
                </c:pt>
                <c:pt idx="9">
                  <c:v>0.218387607502254</c:v>
                </c:pt>
                <c:pt idx="10">
                  <c:v>0.21636031447237297</c:v>
                </c:pt>
                <c:pt idx="11">
                  <c:v>0.21386930179037897</c:v>
                </c:pt>
                <c:pt idx="12">
                  <c:v>0.1819060376137222</c:v>
                </c:pt>
                <c:pt idx="13">
                  <c:v>0.18461083471267548</c:v>
                </c:pt>
                <c:pt idx="14">
                  <c:v>0.18065486701310376</c:v>
                </c:pt>
                <c:pt idx="15">
                  <c:v>0.18121729797415145</c:v>
                </c:pt>
                <c:pt idx="16">
                  <c:v>0.19855702460278069</c:v>
                </c:pt>
                <c:pt idx="17">
                  <c:v>0.22870938654411124</c:v>
                </c:pt>
                <c:pt idx="18">
                  <c:v>0.20715924736117483</c:v>
                </c:pt>
                <c:pt idx="19">
                  <c:v>0.21361468497481828</c:v>
                </c:pt>
                <c:pt idx="20">
                  <c:v>0.22579091964766196</c:v>
                </c:pt>
                <c:pt idx="21">
                  <c:v>0.23653243065394852</c:v>
                </c:pt>
                <c:pt idx="22">
                  <c:v>0.22897300804277548</c:v>
                </c:pt>
                <c:pt idx="23">
                  <c:v>0.22557624385535177</c:v>
                </c:pt>
                <c:pt idx="24">
                  <c:v>0.21780148318997966</c:v>
                </c:pt>
                <c:pt idx="25">
                  <c:v>0.21888138893572584</c:v>
                </c:pt>
                <c:pt idx="26">
                  <c:v>0.22601990162010921</c:v>
                </c:pt>
                <c:pt idx="27">
                  <c:v>0.2306919418581285</c:v>
                </c:pt>
                <c:pt idx="28">
                  <c:v>0.24085793614615461</c:v>
                </c:pt>
                <c:pt idx="29">
                  <c:v>0.2323620996441281</c:v>
                </c:pt>
                <c:pt idx="30">
                  <c:v>0.23486256424375915</c:v>
                </c:pt>
                <c:pt idx="31">
                  <c:v>0.22277235741629636</c:v>
                </c:pt>
                <c:pt idx="32">
                  <c:v>0.22062336087157747</c:v>
                </c:pt>
                <c:pt idx="33">
                  <c:v>0.2295623684121641</c:v>
                </c:pt>
                <c:pt idx="34">
                  <c:v>0.22528574836792678</c:v>
                </c:pt>
                <c:pt idx="35">
                  <c:v>0.21414954025749669</c:v>
                </c:pt>
                <c:pt idx="36">
                  <c:v>0.20943413474723466</c:v>
                </c:pt>
                <c:pt idx="37">
                  <c:v>0.20624971997232083</c:v>
                </c:pt>
                <c:pt idx="38">
                  <c:v>0.22426760561909553</c:v>
                </c:pt>
                <c:pt idx="39">
                  <c:v>0.21625045109163926</c:v>
                </c:pt>
                <c:pt idx="40">
                  <c:v>0.17336604635577038</c:v>
                </c:pt>
                <c:pt idx="41">
                  <c:v>0.16351174175129365</c:v>
                </c:pt>
                <c:pt idx="42">
                  <c:v>0.18823611596227732</c:v>
                </c:pt>
                <c:pt idx="43">
                  <c:v>0.19490491368231569</c:v>
                </c:pt>
                <c:pt idx="44">
                  <c:v>0.17361790351031189</c:v>
                </c:pt>
                <c:pt idx="45">
                  <c:v>0.20851234831271148</c:v>
                </c:pt>
                <c:pt idx="46">
                  <c:v>0.16823683428507177</c:v>
                </c:pt>
                <c:pt idx="47">
                  <c:v>0.21421436216298864</c:v>
                </c:pt>
                <c:pt idx="48">
                  <c:v>0.17888019588605739</c:v>
                </c:pt>
                <c:pt idx="49">
                  <c:v>0.19376041691119511</c:v>
                </c:pt>
                <c:pt idx="50">
                  <c:v>0.20725437549721559</c:v>
                </c:pt>
                <c:pt idx="51">
                  <c:v>0.22347265149638693</c:v>
                </c:pt>
                <c:pt idx="52">
                  <c:v>0.25555990014136615</c:v>
                </c:pt>
                <c:pt idx="53">
                  <c:v>0.24297545911853605</c:v>
                </c:pt>
                <c:pt idx="54">
                  <c:v>0.24004968888740341</c:v>
                </c:pt>
                <c:pt idx="55">
                  <c:v>0.26290409001607429</c:v>
                </c:pt>
                <c:pt idx="56">
                  <c:v>0.238375659428291</c:v>
                </c:pt>
              </c:numCache>
            </c:numRef>
          </c:val>
        </c:ser>
        <c:ser>
          <c:idx val="3"/>
          <c:order val="1"/>
          <c:tx>
            <c:strRef>
              <c:f>'Copia curvas (2)'!$AF$1</c:f>
              <c:strCache>
                <c:ptCount val="1"/>
                <c:pt idx="0">
                  <c:v>% Transporte 100lb</c:v>
                </c:pt>
              </c:strCache>
            </c:strRef>
          </c:tx>
          <c:cat>
            <c:numRef>
              <c:f>'Copia curvas (2)'!$A$7:$A$73</c:f>
              <c:numCache>
                <c:formatCode>mmm\-yy</c:formatCode>
                <c:ptCount val="57"/>
                <c:pt idx="0">
                  <c:v>40179</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pt idx="48">
                  <c:v>41913</c:v>
                </c:pt>
                <c:pt idx="49">
                  <c:v>41944</c:v>
                </c:pt>
                <c:pt idx="50">
                  <c:v>41974</c:v>
                </c:pt>
                <c:pt idx="51">
                  <c:v>42005</c:v>
                </c:pt>
                <c:pt idx="52">
                  <c:v>42036</c:v>
                </c:pt>
                <c:pt idx="53">
                  <c:v>42064</c:v>
                </c:pt>
                <c:pt idx="54">
                  <c:v>42095</c:v>
                </c:pt>
                <c:pt idx="55">
                  <c:v>42125</c:v>
                </c:pt>
                <c:pt idx="56">
                  <c:v>42186</c:v>
                </c:pt>
              </c:numCache>
            </c:numRef>
          </c:cat>
          <c:val>
            <c:numRef>
              <c:f>'Copia curvas (2)'!$AF$7:$AF$73</c:f>
              <c:numCache>
                <c:formatCode>0.0%</c:formatCode>
                <c:ptCount val="57"/>
                <c:pt idx="0">
                  <c:v>4.6658773504436715E-2</c:v>
                </c:pt>
                <c:pt idx="1">
                  <c:v>8.8239095974473949E-3</c:v>
                </c:pt>
                <c:pt idx="2">
                  <c:v>8.285316400710353E-3</c:v>
                </c:pt>
                <c:pt idx="3">
                  <c:v>4.2008941877794338E-2</c:v>
                </c:pt>
                <c:pt idx="4">
                  <c:v>4.6235992721003732E-2</c:v>
                </c:pt>
                <c:pt idx="5">
                  <c:v>4.3131079617158612E-2</c:v>
                </c:pt>
                <c:pt idx="6">
                  <c:v>4.3465293604569369E-2</c:v>
                </c:pt>
                <c:pt idx="7">
                  <c:v>4.4410968198204927E-2</c:v>
                </c:pt>
                <c:pt idx="8">
                  <c:v>4.4410968198204927E-2</c:v>
                </c:pt>
                <c:pt idx="9">
                  <c:v>4.4236614370869419E-2</c:v>
                </c:pt>
                <c:pt idx="10">
                  <c:v>5.8038976857490869E-2</c:v>
                </c:pt>
                <c:pt idx="11">
                  <c:v>7.1407926094378002E-2</c:v>
                </c:pt>
                <c:pt idx="12">
                  <c:v>7.1168506598583203E-2</c:v>
                </c:pt>
                <c:pt idx="13">
                  <c:v>8.0418429601079949E-2</c:v>
                </c:pt>
                <c:pt idx="14">
                  <c:v>7.7425480096684388E-2</c:v>
                </c:pt>
                <c:pt idx="15">
                  <c:v>7.7706721524082104E-2</c:v>
                </c:pt>
                <c:pt idx="16">
                  <c:v>8.6934504560062978E-2</c:v>
                </c:pt>
                <c:pt idx="17">
                  <c:v>0.10099770208557551</c:v>
                </c:pt>
                <c:pt idx="18">
                  <c:v>0.18032736729386567</c:v>
                </c:pt>
                <c:pt idx="19">
                  <c:v>0.18925544357745983</c:v>
                </c:pt>
                <c:pt idx="20">
                  <c:v>0.20044183872886398</c:v>
                </c:pt>
                <c:pt idx="21">
                  <c:v>0.21520248039221496</c:v>
                </c:pt>
                <c:pt idx="22">
                  <c:v>0.20266340033781896</c:v>
                </c:pt>
                <c:pt idx="23">
                  <c:v>0.20317373522076099</c:v>
                </c:pt>
                <c:pt idx="24">
                  <c:v>0.19569244897196461</c:v>
                </c:pt>
                <c:pt idx="25">
                  <c:v>0.19897418045938875</c:v>
                </c:pt>
                <c:pt idx="26">
                  <c:v>0.20463468568076176</c:v>
                </c:pt>
                <c:pt idx="27">
                  <c:v>0.19347131980262133</c:v>
                </c:pt>
                <c:pt idx="28">
                  <c:v>0.20508296974253629</c:v>
                </c:pt>
                <c:pt idx="29">
                  <c:v>0.19296040925266902</c:v>
                </c:pt>
                <c:pt idx="30">
                  <c:v>0.19979235499265785</c:v>
                </c:pt>
                <c:pt idx="31">
                  <c:v>0.23982894814990796</c:v>
                </c:pt>
                <c:pt idx="32">
                  <c:v>0.2247461179587299</c:v>
                </c:pt>
                <c:pt idx="33">
                  <c:v>0.22815501187808918</c:v>
                </c:pt>
                <c:pt idx="34">
                  <c:v>0.2202431301103954</c:v>
                </c:pt>
                <c:pt idx="35">
                  <c:v>0.19822849636857087</c:v>
                </c:pt>
                <c:pt idx="36">
                  <c:v>0.2032178444099095</c:v>
                </c:pt>
                <c:pt idx="37">
                  <c:v>0.19476485142353628</c:v>
                </c:pt>
                <c:pt idx="38">
                  <c:v>0.22471387600810949</c:v>
                </c:pt>
                <c:pt idx="39">
                  <c:v>0.26199100275439818</c:v>
                </c:pt>
                <c:pt idx="40">
                  <c:v>0.35199247596853128</c:v>
                </c:pt>
                <c:pt idx="41">
                  <c:v>0.3677685629834212</c:v>
                </c:pt>
                <c:pt idx="42">
                  <c:v>0.40648736756316223</c:v>
                </c:pt>
                <c:pt idx="43">
                  <c:v>0.39948780046487675</c:v>
                </c:pt>
                <c:pt idx="44">
                  <c:v>0.4902189451508539</c:v>
                </c:pt>
                <c:pt idx="45">
                  <c:v>0.38932161177976449</c:v>
                </c:pt>
                <c:pt idx="46">
                  <c:v>0.46794609225035944</c:v>
                </c:pt>
                <c:pt idx="47">
                  <c:v>0.31950461240507622</c:v>
                </c:pt>
                <c:pt idx="48">
                  <c:v>0.39546174938995249</c:v>
                </c:pt>
                <c:pt idx="49">
                  <c:v>0.38236578323434822</c:v>
                </c:pt>
                <c:pt idx="50">
                  <c:v>0.36371817820206842</c:v>
                </c:pt>
                <c:pt idx="51">
                  <c:v>0.43999913846021305</c:v>
                </c:pt>
                <c:pt idx="52">
                  <c:v>0.40780220771798958</c:v>
                </c:pt>
                <c:pt idx="53">
                  <c:v>0.40176009078707597</c:v>
                </c:pt>
                <c:pt idx="54">
                  <c:v>0.40508698340547133</c:v>
                </c:pt>
                <c:pt idx="55">
                  <c:v>0.37693307302412377</c:v>
                </c:pt>
                <c:pt idx="56">
                  <c:v>0.3175070543491596</c:v>
                </c:pt>
              </c:numCache>
            </c:numRef>
          </c:val>
        </c:ser>
        <c:ser>
          <c:idx val="0"/>
          <c:order val="2"/>
          <c:tx>
            <c:strRef>
              <c:f>'Copia curvas (2)'!$AE$1</c:f>
              <c:strCache>
                <c:ptCount val="1"/>
                <c:pt idx="0">
                  <c:v>% G en 100 lb</c:v>
                </c:pt>
              </c:strCache>
            </c:strRef>
          </c:tx>
          <c:cat>
            <c:numRef>
              <c:f>'Copia curvas (2)'!$A$7:$A$73</c:f>
              <c:numCache>
                <c:formatCode>mmm\-yy</c:formatCode>
                <c:ptCount val="57"/>
                <c:pt idx="0">
                  <c:v>40179</c:v>
                </c:pt>
                <c:pt idx="1">
                  <c:v>40483</c:v>
                </c:pt>
                <c:pt idx="2">
                  <c:v>40513</c:v>
                </c:pt>
                <c:pt idx="3">
                  <c:v>40544</c:v>
                </c:pt>
                <c:pt idx="4">
                  <c:v>40575</c:v>
                </c:pt>
                <c:pt idx="5">
                  <c:v>40603</c:v>
                </c:pt>
                <c:pt idx="6">
                  <c:v>40634</c:v>
                </c:pt>
                <c:pt idx="7">
                  <c:v>40664</c:v>
                </c:pt>
                <c:pt idx="8">
                  <c:v>40695</c:v>
                </c:pt>
                <c:pt idx="9">
                  <c:v>40725</c:v>
                </c:pt>
                <c:pt idx="10">
                  <c:v>40756</c:v>
                </c:pt>
                <c:pt idx="11">
                  <c:v>40787</c:v>
                </c:pt>
                <c:pt idx="12">
                  <c:v>40817</c:v>
                </c:pt>
                <c:pt idx="13">
                  <c:v>40848</c:v>
                </c:pt>
                <c:pt idx="14">
                  <c:v>40878</c:v>
                </c:pt>
                <c:pt idx="15">
                  <c:v>40909</c:v>
                </c:pt>
                <c:pt idx="16">
                  <c:v>40940</c:v>
                </c:pt>
                <c:pt idx="17">
                  <c:v>40969</c:v>
                </c:pt>
                <c:pt idx="18">
                  <c:v>41000</c:v>
                </c:pt>
                <c:pt idx="19">
                  <c:v>41030</c:v>
                </c:pt>
                <c:pt idx="20">
                  <c:v>41061</c:v>
                </c:pt>
                <c:pt idx="21">
                  <c:v>41091</c:v>
                </c:pt>
                <c:pt idx="22">
                  <c:v>41122</c:v>
                </c:pt>
                <c:pt idx="23">
                  <c:v>41153</c:v>
                </c:pt>
                <c:pt idx="24">
                  <c:v>41183</c:v>
                </c:pt>
                <c:pt idx="25">
                  <c:v>41214</c:v>
                </c:pt>
                <c:pt idx="26">
                  <c:v>41244</c:v>
                </c:pt>
                <c:pt idx="27">
                  <c:v>41275</c:v>
                </c:pt>
                <c:pt idx="28">
                  <c:v>41306</c:v>
                </c:pt>
                <c:pt idx="29">
                  <c:v>41334</c:v>
                </c:pt>
                <c:pt idx="30">
                  <c:v>41365</c:v>
                </c:pt>
                <c:pt idx="31">
                  <c:v>41395</c:v>
                </c:pt>
                <c:pt idx="32">
                  <c:v>41426</c:v>
                </c:pt>
                <c:pt idx="33">
                  <c:v>41456</c:v>
                </c:pt>
                <c:pt idx="34">
                  <c:v>41487</c:v>
                </c:pt>
                <c:pt idx="35">
                  <c:v>41518</c:v>
                </c:pt>
                <c:pt idx="36">
                  <c:v>41548</c:v>
                </c:pt>
                <c:pt idx="37">
                  <c:v>41579</c:v>
                </c:pt>
                <c:pt idx="38">
                  <c:v>41609</c:v>
                </c:pt>
                <c:pt idx="39">
                  <c:v>41640</c:v>
                </c:pt>
                <c:pt idx="40">
                  <c:v>41671</c:v>
                </c:pt>
                <c:pt idx="41">
                  <c:v>41699</c:v>
                </c:pt>
                <c:pt idx="42">
                  <c:v>41730</c:v>
                </c:pt>
                <c:pt idx="43">
                  <c:v>41760</c:v>
                </c:pt>
                <c:pt idx="44">
                  <c:v>41791</c:v>
                </c:pt>
                <c:pt idx="45">
                  <c:v>41821</c:v>
                </c:pt>
                <c:pt idx="46">
                  <c:v>41852</c:v>
                </c:pt>
                <c:pt idx="47">
                  <c:v>41883</c:v>
                </c:pt>
                <c:pt idx="48">
                  <c:v>41913</c:v>
                </c:pt>
                <c:pt idx="49">
                  <c:v>41944</c:v>
                </c:pt>
                <c:pt idx="50">
                  <c:v>41974</c:v>
                </c:pt>
                <c:pt idx="51">
                  <c:v>42005</c:v>
                </c:pt>
                <c:pt idx="52">
                  <c:v>42036</c:v>
                </c:pt>
                <c:pt idx="53">
                  <c:v>42064</c:v>
                </c:pt>
                <c:pt idx="54">
                  <c:v>42095</c:v>
                </c:pt>
                <c:pt idx="55">
                  <c:v>42125</c:v>
                </c:pt>
                <c:pt idx="56">
                  <c:v>42186</c:v>
                </c:pt>
              </c:numCache>
            </c:numRef>
          </c:cat>
          <c:val>
            <c:numRef>
              <c:f>'Copia curvas (2)'!$AE$7:$AE$73</c:f>
              <c:numCache>
                <c:formatCode>0.0%</c:formatCode>
                <c:ptCount val="57"/>
                <c:pt idx="0">
                  <c:v>0.77403913480757236</c:v>
                </c:pt>
                <c:pt idx="1">
                  <c:v>0.74650819460224382</c:v>
                </c:pt>
                <c:pt idx="2">
                  <c:v>0.76273460157657369</c:v>
                </c:pt>
                <c:pt idx="3">
                  <c:v>0.72349925484351718</c:v>
                </c:pt>
                <c:pt idx="4">
                  <c:v>0.72077626664112626</c:v>
                </c:pt>
                <c:pt idx="5">
                  <c:v>0.73554572765548742</c:v>
                </c:pt>
                <c:pt idx="6">
                  <c:v>0.736670324414057</c:v>
                </c:pt>
                <c:pt idx="7">
                  <c:v>0.73157928024792862</c:v>
                </c:pt>
                <c:pt idx="8">
                  <c:v>0.73157928024792862</c:v>
                </c:pt>
                <c:pt idx="9">
                  <c:v>0.73737577812687649</c:v>
                </c:pt>
                <c:pt idx="10">
                  <c:v>0.72560070867013626</c:v>
                </c:pt>
                <c:pt idx="11">
                  <c:v>0.71472277211524293</c:v>
                </c:pt>
                <c:pt idx="12">
                  <c:v>0.74692545578769476</c:v>
                </c:pt>
                <c:pt idx="13">
                  <c:v>0.7349707356862446</c:v>
                </c:pt>
                <c:pt idx="14">
                  <c:v>0.74191965289021178</c:v>
                </c:pt>
                <c:pt idx="15">
                  <c:v>0.74107598050176648</c:v>
                </c:pt>
                <c:pt idx="16">
                  <c:v>0.71450847083715641</c:v>
                </c:pt>
                <c:pt idx="17">
                  <c:v>0.67029291137031333</c:v>
                </c:pt>
                <c:pt idx="18">
                  <c:v>0.61251338534495947</c:v>
                </c:pt>
                <c:pt idx="19">
                  <c:v>0.59712987144772178</c:v>
                </c:pt>
                <c:pt idx="20">
                  <c:v>0.57376724162347414</c:v>
                </c:pt>
                <c:pt idx="21">
                  <c:v>0.54826508895383641</c:v>
                </c:pt>
                <c:pt idx="22">
                  <c:v>0.56836359161940553</c:v>
                </c:pt>
                <c:pt idx="23">
                  <c:v>0.57125002092388732</c:v>
                </c:pt>
                <c:pt idx="24">
                  <c:v>0.5865060678380557</c:v>
                </c:pt>
                <c:pt idx="25">
                  <c:v>0.58214443060488541</c:v>
                </c:pt>
                <c:pt idx="26">
                  <c:v>0.56934541269912897</c:v>
                </c:pt>
                <c:pt idx="27">
                  <c:v>0.5758367383392502</c:v>
                </c:pt>
                <c:pt idx="28">
                  <c:v>0.55405909411130905</c:v>
                </c:pt>
                <c:pt idx="29">
                  <c:v>0.57467749110320276</c:v>
                </c:pt>
                <c:pt idx="30">
                  <c:v>0.56534508076358292</c:v>
                </c:pt>
                <c:pt idx="31">
                  <c:v>0.53739869443379573</c:v>
                </c:pt>
                <c:pt idx="32">
                  <c:v>0.55463052116969269</c:v>
                </c:pt>
                <c:pt idx="33">
                  <c:v>0.54228261970974678</c:v>
                </c:pt>
                <c:pt idx="34">
                  <c:v>0.55447112152167788</c:v>
                </c:pt>
                <c:pt idx="35">
                  <c:v>0.58762196337393247</c:v>
                </c:pt>
                <c:pt idx="36">
                  <c:v>0.58734802084285587</c:v>
                </c:pt>
                <c:pt idx="37">
                  <c:v>0.59898542860414294</c:v>
                </c:pt>
                <c:pt idx="38">
                  <c:v>0.55101851837279503</c:v>
                </c:pt>
                <c:pt idx="39">
                  <c:v>0.52175854615396255</c:v>
                </c:pt>
                <c:pt idx="40">
                  <c:v>0.47464147767569836</c:v>
                </c:pt>
                <c:pt idx="41">
                  <c:v>0.46871969526528529</c:v>
                </c:pt>
                <c:pt idx="42">
                  <c:v>0.40527651647456048</c:v>
                </c:pt>
                <c:pt idx="43">
                  <c:v>0.40560728585280759</c:v>
                </c:pt>
                <c:pt idx="44">
                  <c:v>0.33616315133883412</c:v>
                </c:pt>
                <c:pt idx="45">
                  <c:v>0.40216603990752409</c:v>
                </c:pt>
                <c:pt idx="46">
                  <c:v>0.36381707346456887</c:v>
                </c:pt>
                <c:pt idx="47">
                  <c:v>0.46628102543193517</c:v>
                </c:pt>
                <c:pt idx="48">
                  <c:v>0.42565805472399021</c:v>
                </c:pt>
                <c:pt idx="49">
                  <c:v>0.42387379985445672</c:v>
                </c:pt>
                <c:pt idx="50">
                  <c:v>0.42902744630071604</c:v>
                </c:pt>
                <c:pt idx="51">
                  <c:v>0.33652821004340011</c:v>
                </c:pt>
                <c:pt idx="52">
                  <c:v>0.33663789214064427</c:v>
                </c:pt>
                <c:pt idx="53">
                  <c:v>0.35526445009438801</c:v>
                </c:pt>
                <c:pt idx="54">
                  <c:v>0.3548633277071252</c:v>
                </c:pt>
                <c:pt idx="55">
                  <c:v>0.36016283695980189</c:v>
                </c:pt>
                <c:pt idx="56">
                  <c:v>0.44411728622254937</c:v>
                </c:pt>
              </c:numCache>
            </c:numRef>
          </c:val>
        </c:ser>
        <c:dLbls>
          <c:showLegendKey val="0"/>
          <c:showVal val="0"/>
          <c:showCatName val="0"/>
          <c:showSerName val="0"/>
          <c:showPercent val="0"/>
          <c:showBubbleSize val="0"/>
        </c:dLbls>
        <c:axId val="47243648"/>
        <c:axId val="47245184"/>
      </c:areaChart>
      <c:dateAx>
        <c:axId val="47243648"/>
        <c:scaling>
          <c:orientation val="minMax"/>
          <c:max val="42186"/>
        </c:scaling>
        <c:delete val="0"/>
        <c:axPos val="b"/>
        <c:numFmt formatCode="mmm\-yy" sourceLinked="1"/>
        <c:majorTickMark val="none"/>
        <c:minorTickMark val="none"/>
        <c:tickLblPos val="nextTo"/>
        <c:crossAx val="47245184"/>
        <c:crosses val="autoZero"/>
        <c:auto val="1"/>
        <c:lblOffset val="100"/>
        <c:baseTimeUnit val="months"/>
        <c:majorUnit val="5"/>
        <c:majorTimeUnit val="months"/>
      </c:dateAx>
      <c:valAx>
        <c:axId val="47245184"/>
        <c:scaling>
          <c:orientation val="minMax"/>
          <c:max val="1"/>
        </c:scaling>
        <c:delete val="0"/>
        <c:axPos val="l"/>
        <c:majorGridlines/>
        <c:numFmt formatCode="0.0%" sourceLinked="1"/>
        <c:majorTickMark val="none"/>
        <c:minorTickMark val="none"/>
        <c:tickLblPos val="nextTo"/>
        <c:crossAx val="47243648"/>
        <c:crosses val="autoZero"/>
        <c:crossBetween val="midCat"/>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Demanda </a:t>
            </a:r>
            <a:r>
              <a:rPr lang="en-US" sz="1800" b="1" i="0" u="none" strike="noStrike" kern="1200" baseline="0">
                <a:solidFill>
                  <a:sysClr val="windowText" lastClr="000000"/>
                </a:solidFill>
                <a:latin typeface="+mn-lt"/>
                <a:ea typeface="+mn-ea"/>
                <a:cs typeface="+mn-cs"/>
              </a:rPr>
              <a:t>Archipiélago</a:t>
            </a:r>
            <a:r>
              <a:rPr lang="en-US"/>
              <a:t> </a:t>
            </a:r>
          </a:p>
        </c:rich>
      </c:tx>
      <c:overlay val="0"/>
    </c:title>
    <c:autoTitleDeleted val="0"/>
    <c:plotArea>
      <c:layout>
        <c:manualLayout>
          <c:layoutTarget val="inner"/>
          <c:xMode val="edge"/>
          <c:yMode val="edge"/>
          <c:x val="0.21246196684430838"/>
          <c:y val="0.13497311207434576"/>
          <c:w val="0.72152710419394295"/>
          <c:h val="0.62902425470431833"/>
        </c:manualLayout>
      </c:layout>
      <c:areaChart>
        <c:grouping val="stacked"/>
        <c:varyColors val="0"/>
        <c:ser>
          <c:idx val="0"/>
          <c:order val="0"/>
          <c:tx>
            <c:strRef>
              <c:f>Hoja1!$D$1</c:f>
              <c:strCache>
                <c:ptCount val="1"/>
                <c:pt idx="0">
                  <c:v>CIL20</c:v>
                </c:pt>
              </c:strCache>
            </c:strRef>
          </c:tx>
          <c:cat>
            <c:numRef>
              <c:f>Hoja1!$A$10:$A$15</c:f>
              <c:numCache>
                <c:formatCode>General</c:formatCode>
                <c:ptCount val="6"/>
                <c:pt idx="0">
                  <c:v>2009</c:v>
                </c:pt>
                <c:pt idx="1">
                  <c:v>2010</c:v>
                </c:pt>
                <c:pt idx="2">
                  <c:v>2011</c:v>
                </c:pt>
                <c:pt idx="3">
                  <c:v>2012</c:v>
                </c:pt>
                <c:pt idx="4">
                  <c:v>2013</c:v>
                </c:pt>
                <c:pt idx="5">
                  <c:v>2014</c:v>
                </c:pt>
              </c:numCache>
            </c:numRef>
          </c:cat>
          <c:val>
            <c:numRef>
              <c:f>Hoja1!$D$10:$D$15</c:f>
              <c:numCache>
                <c:formatCode>_(* #,##0_);_(* \(#,##0\);_(* "-"??_);_(@_)</c:formatCode>
                <c:ptCount val="6"/>
                <c:pt idx="0">
                  <c:v>18621</c:v>
                </c:pt>
                <c:pt idx="1">
                  <c:v>16011</c:v>
                </c:pt>
                <c:pt idx="2">
                  <c:v>6363</c:v>
                </c:pt>
                <c:pt idx="3">
                  <c:v>657</c:v>
                </c:pt>
                <c:pt idx="4">
                  <c:v>900</c:v>
                </c:pt>
                <c:pt idx="5">
                  <c:v>1485</c:v>
                </c:pt>
              </c:numCache>
            </c:numRef>
          </c:val>
        </c:ser>
        <c:ser>
          <c:idx val="1"/>
          <c:order val="1"/>
          <c:tx>
            <c:strRef>
              <c:f>Hoja1!$F$1</c:f>
              <c:strCache>
                <c:ptCount val="1"/>
                <c:pt idx="0">
                  <c:v>CIL30</c:v>
                </c:pt>
              </c:strCache>
            </c:strRef>
          </c:tx>
          <c:spPr>
            <a:ln w="25400">
              <a:noFill/>
            </a:ln>
          </c:spPr>
          <c:cat>
            <c:numRef>
              <c:f>Hoja1!$A$10:$A$15</c:f>
              <c:numCache>
                <c:formatCode>General</c:formatCode>
                <c:ptCount val="6"/>
                <c:pt idx="0">
                  <c:v>2009</c:v>
                </c:pt>
                <c:pt idx="1">
                  <c:v>2010</c:v>
                </c:pt>
                <c:pt idx="2">
                  <c:v>2011</c:v>
                </c:pt>
                <c:pt idx="3">
                  <c:v>2012</c:v>
                </c:pt>
                <c:pt idx="4">
                  <c:v>2013</c:v>
                </c:pt>
                <c:pt idx="5">
                  <c:v>2014</c:v>
                </c:pt>
              </c:numCache>
            </c:numRef>
          </c:cat>
          <c:val>
            <c:numRef>
              <c:f>Hoja1!$F$10:$F$15</c:f>
              <c:numCache>
                <c:formatCode>_(* #,##0_);_(* \(#,##0\);_(* "-"??_);_(@_)</c:formatCode>
                <c:ptCount val="6"/>
                <c:pt idx="0">
                  <c:v>886980</c:v>
                </c:pt>
                <c:pt idx="1">
                  <c:v>1114320</c:v>
                </c:pt>
                <c:pt idx="2">
                  <c:v>853245</c:v>
                </c:pt>
                <c:pt idx="3">
                  <c:v>907005</c:v>
                </c:pt>
                <c:pt idx="4">
                  <c:v>838260</c:v>
                </c:pt>
                <c:pt idx="5">
                  <c:v>829170</c:v>
                </c:pt>
              </c:numCache>
            </c:numRef>
          </c:val>
        </c:ser>
        <c:ser>
          <c:idx val="2"/>
          <c:order val="2"/>
          <c:tx>
            <c:strRef>
              <c:f>Hoja1!$G$1</c:f>
              <c:strCache>
                <c:ptCount val="1"/>
                <c:pt idx="0">
                  <c:v>CIL40</c:v>
                </c:pt>
              </c:strCache>
            </c:strRef>
          </c:tx>
          <c:spPr>
            <a:ln w="25400">
              <a:noFill/>
            </a:ln>
          </c:spPr>
          <c:cat>
            <c:numRef>
              <c:f>Hoja1!$A$10:$A$15</c:f>
              <c:numCache>
                <c:formatCode>General</c:formatCode>
                <c:ptCount val="6"/>
                <c:pt idx="0">
                  <c:v>2009</c:v>
                </c:pt>
                <c:pt idx="1">
                  <c:v>2010</c:v>
                </c:pt>
                <c:pt idx="2">
                  <c:v>2011</c:v>
                </c:pt>
                <c:pt idx="3">
                  <c:v>2012</c:v>
                </c:pt>
                <c:pt idx="4">
                  <c:v>2013</c:v>
                </c:pt>
                <c:pt idx="5">
                  <c:v>2014</c:v>
                </c:pt>
              </c:numCache>
            </c:numRef>
          </c:cat>
          <c:val>
            <c:numRef>
              <c:f>Hoja1!$G$10:$G$15</c:f>
              <c:numCache>
                <c:formatCode>_(* #,##0_);_(* \(#,##0\);_(* "-"??_);_(@_)</c:formatCode>
                <c:ptCount val="6"/>
                <c:pt idx="0">
                  <c:v>60894</c:v>
                </c:pt>
                <c:pt idx="1">
                  <c:v>20016</c:v>
                </c:pt>
                <c:pt idx="2">
                  <c:v>9594</c:v>
                </c:pt>
                <c:pt idx="3">
                  <c:v>6192</c:v>
                </c:pt>
                <c:pt idx="4">
                  <c:v>8946</c:v>
                </c:pt>
                <c:pt idx="5">
                  <c:v>17406</c:v>
                </c:pt>
              </c:numCache>
            </c:numRef>
          </c:val>
        </c:ser>
        <c:ser>
          <c:idx val="3"/>
          <c:order val="3"/>
          <c:tx>
            <c:strRef>
              <c:f>Hoja1!$H$1</c:f>
              <c:strCache>
                <c:ptCount val="1"/>
                <c:pt idx="0">
                  <c:v>CIL80</c:v>
                </c:pt>
              </c:strCache>
            </c:strRef>
          </c:tx>
          <c:spPr>
            <a:ln w="25400">
              <a:noFill/>
            </a:ln>
          </c:spPr>
          <c:cat>
            <c:numRef>
              <c:f>Hoja1!$A$10:$A$15</c:f>
              <c:numCache>
                <c:formatCode>General</c:formatCode>
                <c:ptCount val="6"/>
                <c:pt idx="0">
                  <c:v>2009</c:v>
                </c:pt>
                <c:pt idx="1">
                  <c:v>2010</c:v>
                </c:pt>
                <c:pt idx="2">
                  <c:v>2011</c:v>
                </c:pt>
                <c:pt idx="3">
                  <c:v>2012</c:v>
                </c:pt>
                <c:pt idx="4">
                  <c:v>2013</c:v>
                </c:pt>
                <c:pt idx="5">
                  <c:v>2014</c:v>
                </c:pt>
              </c:numCache>
            </c:numRef>
          </c:cat>
          <c:val>
            <c:numRef>
              <c:f>Hoja1!$H$10:$H$15</c:f>
              <c:numCache>
                <c:formatCode>_(* #,##0_);_(* \(#,##0\);_(* "-"??_);_(@_)</c:formatCode>
                <c:ptCount val="6"/>
                <c:pt idx="0">
                  <c:v>154210</c:v>
                </c:pt>
                <c:pt idx="1">
                  <c:v>20965</c:v>
                </c:pt>
                <c:pt idx="2">
                  <c:v>910</c:v>
                </c:pt>
                <c:pt idx="3">
                  <c:v>4200</c:v>
                </c:pt>
                <c:pt idx="4">
                  <c:v>0</c:v>
                </c:pt>
                <c:pt idx="5">
                  <c:v>0</c:v>
                </c:pt>
              </c:numCache>
            </c:numRef>
          </c:val>
        </c:ser>
        <c:ser>
          <c:idx val="4"/>
          <c:order val="4"/>
          <c:tx>
            <c:strRef>
              <c:f>Hoja1!$I$1</c:f>
              <c:strCache>
                <c:ptCount val="1"/>
                <c:pt idx="0">
                  <c:v>CIL100</c:v>
                </c:pt>
              </c:strCache>
            </c:strRef>
          </c:tx>
          <c:spPr>
            <a:ln w="25400">
              <a:noFill/>
            </a:ln>
          </c:spPr>
          <c:cat>
            <c:numRef>
              <c:f>Hoja1!$A$10:$A$15</c:f>
              <c:numCache>
                <c:formatCode>General</c:formatCode>
                <c:ptCount val="6"/>
                <c:pt idx="0">
                  <c:v>2009</c:v>
                </c:pt>
                <c:pt idx="1">
                  <c:v>2010</c:v>
                </c:pt>
                <c:pt idx="2">
                  <c:v>2011</c:v>
                </c:pt>
                <c:pt idx="3">
                  <c:v>2012</c:v>
                </c:pt>
                <c:pt idx="4">
                  <c:v>2013</c:v>
                </c:pt>
                <c:pt idx="5">
                  <c:v>2014</c:v>
                </c:pt>
              </c:numCache>
            </c:numRef>
          </c:cat>
          <c:val>
            <c:numRef>
              <c:f>Hoja1!$I$10:$I$15</c:f>
              <c:numCache>
                <c:formatCode>_(* #,##0_);_(* \(#,##0\);_(* "-"??_);_(@_)</c:formatCode>
                <c:ptCount val="6"/>
                <c:pt idx="0">
                  <c:v>991800</c:v>
                </c:pt>
                <c:pt idx="1">
                  <c:v>1512495</c:v>
                </c:pt>
                <c:pt idx="2">
                  <c:v>1568970</c:v>
                </c:pt>
                <c:pt idx="3">
                  <c:v>1743975</c:v>
                </c:pt>
                <c:pt idx="4">
                  <c:v>1818540</c:v>
                </c:pt>
                <c:pt idx="5">
                  <c:v>1559115</c:v>
                </c:pt>
              </c:numCache>
            </c:numRef>
          </c:val>
        </c:ser>
        <c:ser>
          <c:idx val="5"/>
          <c:order val="5"/>
          <c:tx>
            <c:strRef>
              <c:f>Hoja1!$J$1</c:f>
              <c:strCache>
                <c:ptCount val="1"/>
                <c:pt idx="0">
                  <c:v>TAN</c:v>
                </c:pt>
              </c:strCache>
            </c:strRef>
          </c:tx>
          <c:spPr>
            <a:ln w="25400">
              <a:noFill/>
            </a:ln>
          </c:spPr>
          <c:cat>
            <c:numRef>
              <c:f>Hoja1!$A$10:$A$15</c:f>
              <c:numCache>
                <c:formatCode>General</c:formatCode>
                <c:ptCount val="6"/>
                <c:pt idx="0">
                  <c:v>2009</c:v>
                </c:pt>
                <c:pt idx="1">
                  <c:v>2010</c:v>
                </c:pt>
                <c:pt idx="2">
                  <c:v>2011</c:v>
                </c:pt>
                <c:pt idx="3">
                  <c:v>2012</c:v>
                </c:pt>
                <c:pt idx="4">
                  <c:v>2013</c:v>
                </c:pt>
                <c:pt idx="5">
                  <c:v>2014</c:v>
                </c:pt>
              </c:numCache>
            </c:numRef>
          </c:cat>
          <c:val>
            <c:numRef>
              <c:f>Hoja1!$J$10:$J$15</c:f>
              <c:numCache>
                <c:formatCode>_(* #,##0_);_(* \(#,##0\);_(* "-"??_);_(@_)</c:formatCode>
                <c:ptCount val="6"/>
                <c:pt idx="0">
                  <c:v>0</c:v>
                </c:pt>
                <c:pt idx="1">
                  <c:v>0</c:v>
                </c:pt>
                <c:pt idx="2">
                  <c:v>0</c:v>
                </c:pt>
                <c:pt idx="3">
                  <c:v>0</c:v>
                </c:pt>
                <c:pt idx="4">
                  <c:v>0</c:v>
                </c:pt>
                <c:pt idx="5">
                  <c:v>185156</c:v>
                </c:pt>
              </c:numCache>
            </c:numRef>
          </c:val>
        </c:ser>
        <c:dLbls>
          <c:showLegendKey val="0"/>
          <c:showVal val="0"/>
          <c:showCatName val="0"/>
          <c:showSerName val="0"/>
          <c:showPercent val="0"/>
          <c:showBubbleSize val="0"/>
        </c:dLbls>
        <c:axId val="56176000"/>
        <c:axId val="56186368"/>
      </c:areaChart>
      <c:catAx>
        <c:axId val="56176000"/>
        <c:scaling>
          <c:orientation val="minMax"/>
        </c:scaling>
        <c:delete val="0"/>
        <c:axPos val="b"/>
        <c:title>
          <c:tx>
            <c:rich>
              <a:bodyPr/>
              <a:lstStyle/>
              <a:p>
                <a:pPr>
                  <a:defRPr/>
                </a:pPr>
                <a:r>
                  <a:rPr lang="en-US"/>
                  <a:t>Año</a:t>
                </a:r>
              </a:p>
            </c:rich>
          </c:tx>
          <c:layout>
            <c:manualLayout>
              <c:xMode val="edge"/>
              <c:yMode val="edge"/>
              <c:x val="0.50328004081457034"/>
              <c:y val="0.84674070464318996"/>
            </c:manualLayout>
          </c:layout>
          <c:overlay val="0"/>
        </c:title>
        <c:numFmt formatCode="General" sourceLinked="1"/>
        <c:majorTickMark val="none"/>
        <c:minorTickMark val="none"/>
        <c:tickLblPos val="nextTo"/>
        <c:crossAx val="56186368"/>
        <c:crosses val="autoZero"/>
        <c:auto val="1"/>
        <c:lblAlgn val="ctr"/>
        <c:lblOffset val="100"/>
        <c:noMultiLvlLbl val="0"/>
      </c:catAx>
      <c:valAx>
        <c:axId val="56186368"/>
        <c:scaling>
          <c:orientation val="minMax"/>
        </c:scaling>
        <c:delete val="0"/>
        <c:axPos val="l"/>
        <c:majorGridlines/>
        <c:minorGridlines>
          <c:spPr>
            <a:ln>
              <a:solidFill>
                <a:schemeClr val="bg1">
                  <a:lumMod val="95000"/>
                </a:schemeClr>
              </a:solidFill>
            </a:ln>
          </c:spPr>
        </c:minorGridlines>
        <c:title>
          <c:tx>
            <c:rich>
              <a:bodyPr/>
              <a:lstStyle/>
              <a:p>
                <a:pPr>
                  <a:defRPr/>
                </a:pPr>
                <a:r>
                  <a:rPr lang="en-US"/>
                  <a:t>Kg de GLP</a:t>
                </a:r>
              </a:p>
            </c:rich>
          </c:tx>
          <c:overlay val="0"/>
        </c:title>
        <c:numFmt formatCode="_(* #,##0_);_(* \(#,##0\);_(* &quot;-&quot;??_);_(@_)" sourceLinked="1"/>
        <c:majorTickMark val="none"/>
        <c:minorTickMark val="none"/>
        <c:tickLblPos val="nextTo"/>
        <c:crossAx val="56176000"/>
        <c:crosses val="autoZero"/>
        <c:crossBetween val="midCat"/>
      </c:valAx>
    </c:plotArea>
    <c:legend>
      <c:legendPos val="b"/>
      <c:layout>
        <c:manualLayout>
          <c:xMode val="edge"/>
          <c:yMode val="edge"/>
          <c:x val="0.15826587250364196"/>
          <c:y val="0.92146400266741901"/>
          <c:w val="0.74591921911400416"/>
          <c:h val="7.8535997332580987E-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CO"/>
        </a:p>
      </c:txPr>
    </c:title>
    <c:autoTitleDeleted val="0"/>
    <c:plotArea>
      <c:layout>
        <c:manualLayout>
          <c:layoutTarget val="inner"/>
          <c:xMode val="edge"/>
          <c:yMode val="edge"/>
          <c:x val="9.6061060595782177E-2"/>
          <c:y val="0.15046729268474884"/>
          <c:w val="0.85817489889257115"/>
          <c:h val="0.80886412531052621"/>
        </c:manualLayout>
      </c:layout>
      <c:barChart>
        <c:barDir val="col"/>
        <c:grouping val="clustered"/>
        <c:varyColors val="0"/>
        <c:ser>
          <c:idx val="0"/>
          <c:order val="0"/>
          <c:tx>
            <c:v>Variación anual demanda Archipiélago</c:v>
          </c:tx>
          <c:invertIfNegative val="0"/>
          <c:dLbls>
            <c:showLegendKey val="0"/>
            <c:showVal val="1"/>
            <c:showCatName val="0"/>
            <c:showSerName val="0"/>
            <c:showPercent val="0"/>
            <c:showBubbleSize val="0"/>
            <c:showLeaderLines val="0"/>
          </c:dLbls>
          <c:cat>
            <c:numRef>
              <c:f>Hoja1!$J$27:$J$31</c:f>
              <c:numCache>
                <c:formatCode>General</c:formatCode>
                <c:ptCount val="5"/>
                <c:pt idx="0">
                  <c:v>2010</c:v>
                </c:pt>
                <c:pt idx="1">
                  <c:v>2011</c:v>
                </c:pt>
                <c:pt idx="2">
                  <c:v>2012</c:v>
                </c:pt>
                <c:pt idx="3">
                  <c:v>2013</c:v>
                </c:pt>
                <c:pt idx="4">
                  <c:v>2014</c:v>
                </c:pt>
              </c:numCache>
            </c:numRef>
          </c:cat>
          <c:val>
            <c:numRef>
              <c:f>Hoja1!$O$27:$O$31</c:f>
              <c:numCache>
                <c:formatCode>0%</c:formatCode>
                <c:ptCount val="5"/>
                <c:pt idx="0">
                  <c:v>0.27043817647768886</c:v>
                </c:pt>
                <c:pt idx="1">
                  <c:v>-9.1185767083847735E-2</c:v>
                </c:pt>
                <c:pt idx="2">
                  <c:v>9.1406110987658495E-2</c:v>
                </c:pt>
                <c:pt idx="3">
                  <c:v>1.7343913233101027E-3</c:v>
                </c:pt>
                <c:pt idx="4">
                  <c:v>-2.7888216133674981E-2</c:v>
                </c:pt>
              </c:numCache>
            </c:numRef>
          </c:val>
        </c:ser>
        <c:dLbls>
          <c:showLegendKey val="0"/>
          <c:showVal val="0"/>
          <c:showCatName val="0"/>
          <c:showSerName val="0"/>
          <c:showPercent val="0"/>
          <c:showBubbleSize val="0"/>
        </c:dLbls>
        <c:gapWidth val="150"/>
        <c:axId val="56215808"/>
        <c:axId val="56222080"/>
      </c:barChart>
      <c:catAx>
        <c:axId val="56215808"/>
        <c:scaling>
          <c:orientation val="minMax"/>
        </c:scaling>
        <c:delete val="0"/>
        <c:axPos val="b"/>
        <c:title>
          <c:tx>
            <c:rich>
              <a:bodyPr/>
              <a:lstStyle/>
              <a:p>
                <a:pPr>
                  <a:defRPr/>
                </a:pPr>
                <a:r>
                  <a:rPr lang="es-CO"/>
                  <a:t>Año</a:t>
                </a:r>
              </a:p>
            </c:rich>
          </c:tx>
          <c:layout>
            <c:manualLayout>
              <c:xMode val="edge"/>
              <c:yMode val="edge"/>
              <c:x val="0.48243931231084153"/>
              <c:y val="0.79757774882456245"/>
            </c:manualLayout>
          </c:layout>
          <c:overlay val="0"/>
        </c:title>
        <c:numFmt formatCode="General" sourceLinked="1"/>
        <c:majorTickMark val="out"/>
        <c:minorTickMark val="none"/>
        <c:tickLblPos val="nextTo"/>
        <c:crossAx val="56222080"/>
        <c:crosses val="autoZero"/>
        <c:auto val="1"/>
        <c:lblAlgn val="ctr"/>
        <c:lblOffset val="100"/>
        <c:noMultiLvlLbl val="0"/>
      </c:catAx>
      <c:valAx>
        <c:axId val="56222080"/>
        <c:scaling>
          <c:orientation val="minMax"/>
        </c:scaling>
        <c:delete val="0"/>
        <c:axPos val="l"/>
        <c:majorGridlines>
          <c:spPr>
            <a:ln>
              <a:solidFill>
                <a:schemeClr val="bg1">
                  <a:lumMod val="95000"/>
                </a:schemeClr>
              </a:solidFill>
            </a:ln>
          </c:spPr>
        </c:majorGridlines>
        <c:numFmt formatCode="0%" sourceLinked="1"/>
        <c:majorTickMark val="out"/>
        <c:minorTickMark val="none"/>
        <c:tickLblPos val="nextTo"/>
        <c:crossAx val="56215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a:t>Orientación del mercado en 2015</a:t>
            </a:r>
          </a:p>
        </c:rich>
      </c:tx>
      <c:overlay val="0"/>
    </c:title>
    <c:autoTitleDeleted val="0"/>
    <c:plotArea>
      <c:layout>
        <c:manualLayout>
          <c:layoutTarget val="inner"/>
          <c:xMode val="edge"/>
          <c:yMode val="edge"/>
          <c:x val="0.23903215223097113"/>
          <c:y val="0.17842155147273259"/>
          <c:w val="0.4651692913385827"/>
          <c:h val="0.77528215223097108"/>
        </c:manualLayout>
      </c:layout>
      <c:pieChart>
        <c:varyColors val="1"/>
        <c:ser>
          <c:idx val="0"/>
          <c:order val="0"/>
          <c:dLbls>
            <c:dLbl>
              <c:idx val="0"/>
              <c:layout>
                <c:manualLayout>
                  <c:x val="-9.7727194581026713E-3"/>
                  <c:y val="-5.451692626012989E-2"/>
                </c:manualLayout>
              </c:layout>
              <c:showLegendKey val="0"/>
              <c:showVal val="0"/>
              <c:showCatName val="1"/>
              <c:showSerName val="0"/>
              <c:showPercent val="1"/>
              <c:showBubbleSize val="0"/>
            </c:dLbl>
            <c:dLbl>
              <c:idx val="3"/>
              <c:layout>
                <c:manualLayout>
                  <c:x val="-6.5128540155188028E-2"/>
                  <c:y val="-0.12817518248175183"/>
                </c:manualLayout>
              </c:layout>
              <c:showLegendKey val="0"/>
              <c:showVal val="0"/>
              <c:showCatName val="1"/>
              <c:showSerName val="0"/>
              <c:showPercent val="1"/>
              <c:showBubbleSize val="0"/>
            </c:dLbl>
            <c:dLbl>
              <c:idx val="4"/>
              <c:layout>
                <c:manualLayout>
                  <c:x val="-3.8728008343935173E-2"/>
                  <c:y val="5.1671935168687858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Hoja1!$F$1:$J$1</c:f>
              <c:strCache>
                <c:ptCount val="5"/>
                <c:pt idx="0">
                  <c:v>CIL30</c:v>
                </c:pt>
                <c:pt idx="1">
                  <c:v>CIL40</c:v>
                </c:pt>
                <c:pt idx="2">
                  <c:v>CIL80</c:v>
                </c:pt>
                <c:pt idx="3">
                  <c:v>CIL100</c:v>
                </c:pt>
                <c:pt idx="4">
                  <c:v>TAN</c:v>
                </c:pt>
              </c:strCache>
            </c:strRef>
          </c:cat>
          <c:val>
            <c:numRef>
              <c:f>Hoja1!$F$19:$J$19</c:f>
              <c:numCache>
                <c:formatCode>0%</c:formatCode>
                <c:ptCount val="5"/>
                <c:pt idx="0">
                  <c:v>0.34077677582175958</c:v>
                </c:pt>
                <c:pt idx="1">
                  <c:v>5.4742075183286006E-3</c:v>
                </c:pt>
                <c:pt idx="3">
                  <c:v>0.49273386019310561</c:v>
                </c:pt>
                <c:pt idx="4">
                  <c:v>0.16041917419666557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Demanda discriminada San Andrés y Providencia</a:t>
            </a:r>
          </a:p>
        </c:rich>
      </c:tx>
      <c:overlay val="0"/>
    </c:title>
    <c:autoTitleDeleted val="0"/>
    <c:plotArea>
      <c:layout>
        <c:manualLayout>
          <c:layoutTarget val="inner"/>
          <c:xMode val="edge"/>
          <c:yMode val="edge"/>
          <c:x val="0.19197100362454694"/>
          <c:y val="0.19413727624882904"/>
          <c:w val="0.74091788526434199"/>
          <c:h val="0.60719345773096689"/>
        </c:manualLayout>
      </c:layout>
      <c:areaChart>
        <c:grouping val="stacked"/>
        <c:varyColors val="0"/>
        <c:ser>
          <c:idx val="0"/>
          <c:order val="0"/>
          <c:tx>
            <c:strRef>
              <c:f>Hoja1!$K$25</c:f>
              <c:strCache>
                <c:ptCount val="1"/>
                <c:pt idx="0">
                  <c:v>SA</c:v>
                </c:pt>
              </c:strCache>
            </c:strRef>
          </c:tx>
          <c:cat>
            <c:numRef>
              <c:f>Hoja1!$J$26:$J$31</c:f>
              <c:numCache>
                <c:formatCode>General</c:formatCode>
                <c:ptCount val="6"/>
                <c:pt idx="0">
                  <c:v>2009</c:v>
                </c:pt>
                <c:pt idx="1">
                  <c:v>2010</c:v>
                </c:pt>
                <c:pt idx="2">
                  <c:v>2011</c:v>
                </c:pt>
                <c:pt idx="3">
                  <c:v>2012</c:v>
                </c:pt>
                <c:pt idx="4">
                  <c:v>2013</c:v>
                </c:pt>
                <c:pt idx="5">
                  <c:v>2014</c:v>
                </c:pt>
              </c:numCache>
            </c:numRef>
          </c:cat>
          <c:val>
            <c:numRef>
              <c:f>Hoja1!$K$26:$K$31</c:f>
              <c:numCache>
                <c:formatCode>General</c:formatCode>
                <c:ptCount val="6"/>
                <c:pt idx="0">
                  <c:v>2061151</c:v>
                </c:pt>
                <c:pt idx="1">
                  <c:v>2534332</c:v>
                </c:pt>
                <c:pt idx="2">
                  <c:v>2285919</c:v>
                </c:pt>
                <c:pt idx="3">
                  <c:v>2485644</c:v>
                </c:pt>
                <c:pt idx="4">
                  <c:v>2500206</c:v>
                </c:pt>
                <c:pt idx="5">
                  <c:v>2413943</c:v>
                </c:pt>
              </c:numCache>
            </c:numRef>
          </c:val>
        </c:ser>
        <c:ser>
          <c:idx val="1"/>
          <c:order val="1"/>
          <c:tx>
            <c:strRef>
              <c:f>Hoja1!$L$25</c:f>
              <c:strCache>
                <c:ptCount val="1"/>
                <c:pt idx="0">
                  <c:v>P</c:v>
                </c:pt>
              </c:strCache>
            </c:strRef>
          </c:tx>
          <c:spPr>
            <a:ln w="25400">
              <a:noFill/>
            </a:ln>
          </c:spPr>
          <c:cat>
            <c:numRef>
              <c:f>Hoja1!$J$26:$J$31</c:f>
              <c:numCache>
                <c:formatCode>General</c:formatCode>
                <c:ptCount val="6"/>
                <c:pt idx="0">
                  <c:v>2009</c:v>
                </c:pt>
                <c:pt idx="1">
                  <c:v>2010</c:v>
                </c:pt>
                <c:pt idx="2">
                  <c:v>2011</c:v>
                </c:pt>
                <c:pt idx="3">
                  <c:v>2012</c:v>
                </c:pt>
                <c:pt idx="4">
                  <c:v>2013</c:v>
                </c:pt>
                <c:pt idx="5">
                  <c:v>2014</c:v>
                </c:pt>
              </c:numCache>
            </c:numRef>
          </c:cat>
          <c:val>
            <c:numRef>
              <c:f>Hoja1!$L$26:$L$31</c:f>
              <c:numCache>
                <c:formatCode>General</c:formatCode>
                <c:ptCount val="6"/>
                <c:pt idx="0">
                  <c:v>51354</c:v>
                </c:pt>
                <c:pt idx="1">
                  <c:v>149475</c:v>
                </c:pt>
                <c:pt idx="2">
                  <c:v>153163</c:v>
                </c:pt>
                <c:pt idx="3">
                  <c:v>176385</c:v>
                </c:pt>
                <c:pt idx="4">
                  <c:v>166440</c:v>
                </c:pt>
                <c:pt idx="5">
                  <c:v>178335</c:v>
                </c:pt>
              </c:numCache>
            </c:numRef>
          </c:val>
        </c:ser>
        <c:dLbls>
          <c:showLegendKey val="0"/>
          <c:showVal val="0"/>
          <c:showCatName val="0"/>
          <c:showSerName val="0"/>
          <c:showPercent val="0"/>
          <c:showBubbleSize val="0"/>
        </c:dLbls>
        <c:axId val="56278016"/>
        <c:axId val="56284288"/>
      </c:areaChart>
      <c:catAx>
        <c:axId val="56278016"/>
        <c:scaling>
          <c:orientation val="minMax"/>
        </c:scaling>
        <c:delete val="0"/>
        <c:axPos val="b"/>
        <c:title>
          <c:tx>
            <c:rich>
              <a:bodyPr/>
              <a:lstStyle/>
              <a:p>
                <a:pPr>
                  <a:defRPr/>
                </a:pPr>
                <a:r>
                  <a:rPr lang="es-CO"/>
                  <a:t>Año</a:t>
                </a:r>
              </a:p>
            </c:rich>
          </c:tx>
          <c:layout>
            <c:manualLayout>
              <c:xMode val="edge"/>
              <c:yMode val="edge"/>
              <c:x val="0.85004899387576549"/>
              <c:y val="0.88729709429408143"/>
            </c:manualLayout>
          </c:layout>
          <c:overlay val="0"/>
        </c:title>
        <c:numFmt formatCode="General" sourceLinked="1"/>
        <c:majorTickMark val="none"/>
        <c:minorTickMark val="none"/>
        <c:tickLblPos val="nextTo"/>
        <c:crossAx val="56284288"/>
        <c:crosses val="autoZero"/>
        <c:auto val="1"/>
        <c:lblAlgn val="ctr"/>
        <c:lblOffset val="100"/>
        <c:noMultiLvlLbl val="0"/>
      </c:catAx>
      <c:valAx>
        <c:axId val="56284288"/>
        <c:scaling>
          <c:orientation val="minMax"/>
        </c:scaling>
        <c:delete val="0"/>
        <c:axPos val="l"/>
        <c:majorGridlines/>
        <c:minorGridlines>
          <c:spPr>
            <a:ln>
              <a:solidFill>
                <a:schemeClr val="bg1">
                  <a:lumMod val="95000"/>
                </a:schemeClr>
              </a:solidFill>
            </a:ln>
          </c:spPr>
        </c:minorGridlines>
        <c:title>
          <c:tx>
            <c:rich>
              <a:bodyPr/>
              <a:lstStyle/>
              <a:p>
                <a:pPr>
                  <a:defRPr/>
                </a:pPr>
                <a:r>
                  <a:rPr lang="en-US"/>
                  <a:t>Kg de GLP</a:t>
                </a:r>
              </a:p>
            </c:rich>
          </c:tx>
          <c:overlay val="0"/>
        </c:title>
        <c:numFmt formatCode="General" sourceLinked="1"/>
        <c:majorTickMark val="none"/>
        <c:minorTickMark val="none"/>
        <c:tickLblPos val="nextTo"/>
        <c:crossAx val="56278016"/>
        <c:crosses val="autoZero"/>
        <c:crossBetween val="midCat"/>
      </c:valAx>
    </c:plotArea>
    <c:legend>
      <c:legendPos val="b"/>
      <c:overlay val="0"/>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800"/>
              <a:t>Evolución</a:t>
            </a:r>
            <a:r>
              <a:rPr lang="es-CO" sz="1800" baseline="0"/>
              <a:t> Cargo T</a:t>
            </a:r>
            <a:r>
              <a:rPr lang="es-CO" sz="1800" baseline="-25000"/>
              <a:t>SA</a:t>
            </a:r>
            <a:r>
              <a:rPr lang="es-CO" sz="1800" baseline="0"/>
              <a:t>  en  S. Andres</a:t>
            </a:r>
            <a:endParaRPr lang="es-CO" sz="1800"/>
          </a:p>
        </c:rich>
      </c:tx>
      <c:overlay val="0"/>
    </c:title>
    <c:autoTitleDeleted val="0"/>
    <c:plotArea>
      <c:layout/>
      <c:barChart>
        <c:barDir val="col"/>
        <c:grouping val="clustered"/>
        <c:varyColors val="0"/>
        <c:ser>
          <c:idx val="1"/>
          <c:order val="1"/>
          <c:tx>
            <c:strRef>
              <c:f>Hoja2!$H$15</c:f>
              <c:strCache>
                <c:ptCount val="1"/>
                <c:pt idx="0">
                  <c:v>% variación Tsa</c:v>
                </c:pt>
              </c:strCache>
            </c:strRef>
          </c:tx>
          <c:invertIfNegative val="0"/>
          <c:val>
            <c:numRef>
              <c:f>Hoja2!$H$29:$H$86</c:f>
              <c:numCache>
                <c:formatCode>0%</c:formatCode>
                <c:ptCount val="58"/>
                <c:pt idx="0">
                  <c:v>0</c:v>
                </c:pt>
                <c:pt idx="1">
                  <c:v>-1.3688212927756682E-2</c:v>
                </c:pt>
                <c:pt idx="2">
                  <c:v>0</c:v>
                </c:pt>
                <c:pt idx="3">
                  <c:v>0</c:v>
                </c:pt>
                <c:pt idx="4">
                  <c:v>4.4333076329992283</c:v>
                </c:pt>
                <c:pt idx="5">
                  <c:v>9.6069249325954287E-2</c:v>
                </c:pt>
                <c:pt idx="6">
                  <c:v>0</c:v>
                </c:pt>
                <c:pt idx="7">
                  <c:v>0</c:v>
                </c:pt>
                <c:pt idx="8">
                  <c:v>0</c:v>
                </c:pt>
                <c:pt idx="9">
                  <c:v>0</c:v>
                </c:pt>
                <c:pt idx="10">
                  <c:v>2.3342827550492107E-2</c:v>
                </c:pt>
                <c:pt idx="11">
                  <c:v>0.32624014776767063</c:v>
                </c:pt>
                <c:pt idx="12">
                  <c:v>0.24906992273204231</c:v>
                </c:pt>
                <c:pt idx="13">
                  <c:v>0.209179776997098</c:v>
                </c:pt>
                <c:pt idx="14">
                  <c:v>6.4801364239247095E-2</c:v>
                </c:pt>
                <c:pt idx="15">
                  <c:v>1.3049409810783619E-3</c:v>
                </c:pt>
                <c:pt idx="16">
                  <c:v>2.9322907410698429E-2</c:v>
                </c:pt>
                <c:pt idx="17">
                  <c:v>-2.1293738489871483E-3</c:v>
                </c:pt>
                <c:pt idx="18">
                  <c:v>1.2688159640119601E-3</c:v>
                </c:pt>
                <c:pt idx="19">
                  <c:v>1.0369794366683944</c:v>
                </c:pt>
                <c:pt idx="20">
                  <c:v>2.0359687818121142E-3</c:v>
                </c:pt>
                <c:pt idx="21">
                  <c:v>-1.4392143582796502E-3</c:v>
                </c:pt>
                <c:pt idx="22">
                  <c:v>2.5886675144835225E-2</c:v>
                </c:pt>
                <c:pt idx="23">
                  <c:v>-1.8181317319081458E-3</c:v>
                </c:pt>
                <c:pt idx="24">
                  <c:v>4.9123775355319754E-3</c:v>
                </c:pt>
                <c:pt idx="25">
                  <c:v>6.59105264603288E-3</c:v>
                </c:pt>
                <c:pt idx="26">
                  <c:v>-1.9370856410115822E-3</c:v>
                </c:pt>
                <c:pt idx="27">
                  <c:v>-8.3647695587993898E-3</c:v>
                </c:pt>
                <c:pt idx="28">
                  <c:v>-4.4547359135516551E-2</c:v>
                </c:pt>
                <c:pt idx="29">
                  <c:v>-5.1933064050779798E-4</c:v>
                </c:pt>
                <c:pt idx="30">
                  <c:v>1.7320016165347507E-3</c:v>
                </c:pt>
                <c:pt idx="31">
                  <c:v>3.7173649933721631E-3</c:v>
                </c:pt>
                <c:pt idx="32">
                  <c:v>0.27524331773420241</c:v>
                </c:pt>
                <c:pt idx="33">
                  <c:v>-4.8854068170561482E-2</c:v>
                </c:pt>
                <c:pt idx="34">
                  <c:v>-4.0688316606703245E-2</c:v>
                </c:pt>
                <c:pt idx="35">
                  <c:v>2.2206321399491635E-3</c:v>
                </c:pt>
                <c:pt idx="36">
                  <c:v>-4.5175902902582554E-2</c:v>
                </c:pt>
                <c:pt idx="37">
                  <c:v>3.1714108910891214E-2</c:v>
                </c:pt>
                <c:pt idx="38">
                  <c:v>-2.2267206477732726E-2</c:v>
                </c:pt>
                <c:pt idx="39">
                  <c:v>2.965007795925656E-2</c:v>
                </c:pt>
                <c:pt idx="40">
                  <c:v>0.26760668271975785</c:v>
                </c:pt>
                <c:pt idx="41">
                  <c:v>0.70354268256859176</c:v>
                </c:pt>
                <c:pt idx="42">
                  <c:v>8.9920448797535357E-2</c:v>
                </c:pt>
                <c:pt idx="43">
                  <c:v>-7.9390359666701826E-2</c:v>
                </c:pt>
                <c:pt idx="44">
                  <c:v>-1.348487105163676E-2</c:v>
                </c:pt>
                <c:pt idx="45">
                  <c:v>0.36203052052121798</c:v>
                </c:pt>
                <c:pt idx="46">
                  <c:v>-0.33087765073030972</c:v>
                </c:pt>
                <c:pt idx="47">
                  <c:v>0.4849122002191808</c:v>
                </c:pt>
                <c:pt idx="48">
                  <c:v>-0.46201309567739668</c:v>
                </c:pt>
                <c:pt idx="49">
                  <c:v>0.50454617961397363</c:v>
                </c:pt>
                <c:pt idx="50">
                  <c:v>-0.13653519932145897</c:v>
                </c:pt>
                <c:pt idx="51">
                  <c:v>-0.10180250976154803</c:v>
                </c:pt>
                <c:pt idx="52">
                  <c:v>0.11705923364000492</c:v>
                </c:pt>
                <c:pt idx="53">
                  <c:v>-0.17038695939496296</c:v>
                </c:pt>
                <c:pt idx="54">
                  <c:v>8.6235635998878957E-2</c:v>
                </c:pt>
                <c:pt idx="55">
                  <c:v>-1.2452978801417713E-2</c:v>
                </c:pt>
                <c:pt idx="56">
                  <c:v>-0.158374587458746</c:v>
                </c:pt>
                <c:pt idx="57">
                  <c:v>5.7137722007091218E-2</c:v>
                </c:pt>
              </c:numCache>
            </c:numRef>
          </c:val>
        </c:ser>
        <c:dLbls>
          <c:showLegendKey val="0"/>
          <c:showVal val="0"/>
          <c:showCatName val="0"/>
          <c:showSerName val="0"/>
          <c:showPercent val="0"/>
          <c:showBubbleSize val="0"/>
        </c:dLbls>
        <c:gapWidth val="150"/>
        <c:axId val="75649408"/>
        <c:axId val="75635328"/>
      </c:barChart>
      <c:lineChart>
        <c:grouping val="standard"/>
        <c:varyColors val="0"/>
        <c:ser>
          <c:idx val="0"/>
          <c:order val="0"/>
          <c:tx>
            <c:strRef>
              <c:f>Hoja2!$C$15</c:f>
              <c:strCache>
                <c:ptCount val="1"/>
                <c:pt idx="0">
                  <c:v>TSA ($/Kg)</c:v>
                </c:pt>
              </c:strCache>
            </c:strRef>
          </c:tx>
          <c:marker>
            <c:symbol val="none"/>
          </c:marker>
          <c:cat>
            <c:numRef>
              <c:f>Hoja2!$B$29:$B$86</c:f>
              <c:numCache>
                <c:formatCode>mmm\-yy</c:formatCode>
                <c:ptCount val="58"/>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pt idx="33">
                  <c:v>41426</c:v>
                </c:pt>
                <c:pt idx="34">
                  <c:v>41456</c:v>
                </c:pt>
                <c:pt idx="35">
                  <c:v>41487</c:v>
                </c:pt>
                <c:pt idx="36">
                  <c:v>41518</c:v>
                </c:pt>
                <c:pt idx="37">
                  <c:v>41548</c:v>
                </c:pt>
                <c:pt idx="38">
                  <c:v>41579</c:v>
                </c:pt>
                <c:pt idx="39">
                  <c:v>41609</c:v>
                </c:pt>
                <c:pt idx="40">
                  <c:v>41640</c:v>
                </c:pt>
                <c:pt idx="41">
                  <c:v>41671</c:v>
                </c:pt>
                <c:pt idx="42">
                  <c:v>41699</c:v>
                </c:pt>
                <c:pt idx="43">
                  <c:v>41730</c:v>
                </c:pt>
                <c:pt idx="44">
                  <c:v>41760</c:v>
                </c:pt>
                <c:pt idx="45">
                  <c:v>41791</c:v>
                </c:pt>
                <c:pt idx="46">
                  <c:v>41821</c:v>
                </c:pt>
                <c:pt idx="47">
                  <c:v>41852</c:v>
                </c:pt>
                <c:pt idx="48">
                  <c:v>41883</c:v>
                </c:pt>
                <c:pt idx="49">
                  <c:v>41913</c:v>
                </c:pt>
                <c:pt idx="50">
                  <c:v>41944</c:v>
                </c:pt>
                <c:pt idx="51">
                  <c:v>41974</c:v>
                </c:pt>
                <c:pt idx="52">
                  <c:v>42005</c:v>
                </c:pt>
                <c:pt idx="53">
                  <c:v>42036</c:v>
                </c:pt>
                <c:pt idx="54">
                  <c:v>42064</c:v>
                </c:pt>
                <c:pt idx="55">
                  <c:v>42095</c:v>
                </c:pt>
                <c:pt idx="56">
                  <c:v>42125</c:v>
                </c:pt>
                <c:pt idx="57">
                  <c:v>42186</c:v>
                </c:pt>
              </c:numCache>
            </c:numRef>
          </c:cat>
          <c:val>
            <c:numRef>
              <c:f>Hoja2!$C$29:$C$86</c:f>
              <c:numCache>
                <c:formatCode>_ * #,##0.0_ ;_ * \-#,##0.0_ ;_ * "-"??_ ;_ @_ </c:formatCode>
                <c:ptCount val="58"/>
                <c:pt idx="0">
                  <c:v>13.15</c:v>
                </c:pt>
                <c:pt idx="1">
                  <c:v>12.97</c:v>
                </c:pt>
                <c:pt idx="2">
                  <c:v>12.97</c:v>
                </c:pt>
                <c:pt idx="3">
                  <c:v>12.97</c:v>
                </c:pt>
                <c:pt idx="4">
                  <c:v>70.47</c:v>
                </c:pt>
                <c:pt idx="5">
                  <c:v>77.239999999999995</c:v>
                </c:pt>
                <c:pt idx="6">
                  <c:v>77.239999999999995</c:v>
                </c:pt>
                <c:pt idx="7">
                  <c:v>77.239999999999995</c:v>
                </c:pt>
                <c:pt idx="8">
                  <c:v>77.239999999999995</c:v>
                </c:pt>
                <c:pt idx="9">
                  <c:v>77.239999999999995</c:v>
                </c:pt>
                <c:pt idx="10">
                  <c:v>79.043000000000006</c:v>
                </c:pt>
                <c:pt idx="11">
                  <c:v>104.83</c:v>
                </c:pt>
                <c:pt idx="12">
                  <c:v>130.94</c:v>
                </c:pt>
                <c:pt idx="13">
                  <c:v>158.33000000000001</c:v>
                </c:pt>
                <c:pt idx="14">
                  <c:v>168.59</c:v>
                </c:pt>
                <c:pt idx="15">
                  <c:v>168.81</c:v>
                </c:pt>
                <c:pt idx="16">
                  <c:v>173.76</c:v>
                </c:pt>
                <c:pt idx="17">
                  <c:v>173.39</c:v>
                </c:pt>
                <c:pt idx="18">
                  <c:v>173.61</c:v>
                </c:pt>
                <c:pt idx="19">
                  <c:v>353.64</c:v>
                </c:pt>
                <c:pt idx="20">
                  <c:v>354.36</c:v>
                </c:pt>
                <c:pt idx="21">
                  <c:v>353.85</c:v>
                </c:pt>
                <c:pt idx="22">
                  <c:v>363.01</c:v>
                </c:pt>
                <c:pt idx="23">
                  <c:v>362.35</c:v>
                </c:pt>
                <c:pt idx="24">
                  <c:v>364.13</c:v>
                </c:pt>
                <c:pt idx="25">
                  <c:v>366.53</c:v>
                </c:pt>
                <c:pt idx="26">
                  <c:v>365.82</c:v>
                </c:pt>
                <c:pt idx="27">
                  <c:v>362.76</c:v>
                </c:pt>
                <c:pt idx="28">
                  <c:v>346.6</c:v>
                </c:pt>
                <c:pt idx="29">
                  <c:v>346.42</c:v>
                </c:pt>
                <c:pt idx="30">
                  <c:v>347.02</c:v>
                </c:pt>
                <c:pt idx="31">
                  <c:v>348.31</c:v>
                </c:pt>
                <c:pt idx="32">
                  <c:v>444.18</c:v>
                </c:pt>
                <c:pt idx="33">
                  <c:v>422.48</c:v>
                </c:pt>
                <c:pt idx="34">
                  <c:v>405.29</c:v>
                </c:pt>
                <c:pt idx="35">
                  <c:v>406.19</c:v>
                </c:pt>
                <c:pt idx="36">
                  <c:v>387.84</c:v>
                </c:pt>
                <c:pt idx="37">
                  <c:v>400.14</c:v>
                </c:pt>
                <c:pt idx="38">
                  <c:v>391.23</c:v>
                </c:pt>
                <c:pt idx="39">
                  <c:v>402.83</c:v>
                </c:pt>
                <c:pt idx="40">
                  <c:v>510.63</c:v>
                </c:pt>
                <c:pt idx="41">
                  <c:v>869.88</c:v>
                </c:pt>
                <c:pt idx="42">
                  <c:v>948.1</c:v>
                </c:pt>
                <c:pt idx="43">
                  <c:v>872.83</c:v>
                </c:pt>
                <c:pt idx="44">
                  <c:v>861.06</c:v>
                </c:pt>
                <c:pt idx="45">
                  <c:v>1172.79</c:v>
                </c:pt>
                <c:pt idx="46">
                  <c:v>784.74</c:v>
                </c:pt>
                <c:pt idx="47">
                  <c:v>1165.27</c:v>
                </c:pt>
                <c:pt idx="48">
                  <c:v>626.9</c:v>
                </c:pt>
                <c:pt idx="49">
                  <c:v>943.2</c:v>
                </c:pt>
                <c:pt idx="50">
                  <c:v>814.42</c:v>
                </c:pt>
                <c:pt idx="51">
                  <c:v>731.51</c:v>
                </c:pt>
                <c:pt idx="52">
                  <c:v>817.14</c:v>
                </c:pt>
                <c:pt idx="53">
                  <c:v>677.91</c:v>
                </c:pt>
                <c:pt idx="54">
                  <c:v>736.37</c:v>
                </c:pt>
                <c:pt idx="55">
                  <c:v>727.2</c:v>
                </c:pt>
                <c:pt idx="56">
                  <c:v>612.03</c:v>
                </c:pt>
                <c:pt idx="57">
                  <c:v>647</c:v>
                </c:pt>
              </c:numCache>
            </c:numRef>
          </c:val>
          <c:smooth val="0"/>
        </c:ser>
        <c:dLbls>
          <c:showLegendKey val="0"/>
          <c:showVal val="0"/>
          <c:showCatName val="0"/>
          <c:showSerName val="0"/>
          <c:showPercent val="0"/>
          <c:showBubbleSize val="0"/>
        </c:dLbls>
        <c:marker val="1"/>
        <c:smooth val="0"/>
        <c:axId val="75480064"/>
        <c:axId val="75633408"/>
      </c:lineChart>
      <c:dateAx>
        <c:axId val="75480064"/>
        <c:scaling>
          <c:orientation val="minMax"/>
          <c:max val="42186"/>
        </c:scaling>
        <c:delete val="0"/>
        <c:axPos val="b"/>
        <c:numFmt formatCode="mmm\-yy" sourceLinked="1"/>
        <c:majorTickMark val="none"/>
        <c:minorTickMark val="none"/>
        <c:tickLblPos val="nextTo"/>
        <c:crossAx val="75633408"/>
        <c:crosses val="autoZero"/>
        <c:auto val="1"/>
        <c:lblOffset val="100"/>
        <c:baseTimeUnit val="months"/>
        <c:majorUnit val="3"/>
        <c:majorTimeUnit val="months"/>
        <c:minorUnit val="1"/>
        <c:minorTimeUnit val="months"/>
      </c:dateAx>
      <c:valAx>
        <c:axId val="75633408"/>
        <c:scaling>
          <c:orientation val="minMax"/>
        </c:scaling>
        <c:delete val="0"/>
        <c:axPos val="l"/>
        <c:majorGridlines>
          <c:spPr>
            <a:ln>
              <a:solidFill>
                <a:schemeClr val="bg1">
                  <a:lumMod val="95000"/>
                </a:schemeClr>
              </a:solidFill>
            </a:ln>
          </c:spPr>
        </c:majorGridlines>
        <c:title>
          <c:tx>
            <c:rich>
              <a:bodyPr/>
              <a:lstStyle/>
              <a:p>
                <a:pPr>
                  <a:defRPr/>
                </a:pPr>
                <a:r>
                  <a:rPr lang="es-CO"/>
                  <a:t>$/kg</a:t>
                </a:r>
              </a:p>
            </c:rich>
          </c:tx>
          <c:overlay val="0"/>
        </c:title>
        <c:numFmt formatCode="#,##0" sourceLinked="0"/>
        <c:majorTickMark val="none"/>
        <c:minorTickMark val="none"/>
        <c:tickLblPos val="nextTo"/>
        <c:crossAx val="75480064"/>
        <c:crosses val="autoZero"/>
        <c:crossBetween val="between"/>
      </c:valAx>
      <c:valAx>
        <c:axId val="75635328"/>
        <c:scaling>
          <c:orientation val="minMax"/>
        </c:scaling>
        <c:delete val="0"/>
        <c:axPos val="r"/>
        <c:numFmt formatCode="0%" sourceLinked="1"/>
        <c:majorTickMark val="out"/>
        <c:minorTickMark val="none"/>
        <c:tickLblPos val="nextTo"/>
        <c:crossAx val="75649408"/>
        <c:crosses val="max"/>
        <c:crossBetween val="between"/>
      </c:valAx>
      <c:catAx>
        <c:axId val="75649408"/>
        <c:scaling>
          <c:orientation val="minMax"/>
        </c:scaling>
        <c:delete val="1"/>
        <c:axPos val="b"/>
        <c:majorTickMark val="out"/>
        <c:minorTickMark val="none"/>
        <c:tickLblPos val="nextTo"/>
        <c:crossAx val="75635328"/>
        <c:crosses val="autoZero"/>
        <c:auto val="1"/>
        <c:lblAlgn val="ctr"/>
        <c:lblOffset val="100"/>
        <c:noMultiLvlLbl val="0"/>
      </c:catAx>
    </c:plotArea>
    <c:legend>
      <c:legendPos val="b"/>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59CAA1-1A2D-4D68-A291-461B2C9BC3E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s-CO"/>
        </a:p>
      </dgm:t>
    </dgm:pt>
    <dgm:pt modelId="{CCBC58D3-4691-495E-A58D-3F26FE4A2FD5}">
      <dgm:prSet phldrT="[Texto]" custT="1"/>
      <dgm:spPr/>
      <dgm:t>
        <a:bodyPr/>
        <a:lstStyle/>
        <a:p>
          <a:r>
            <a:rPr lang="es-CO" sz="1100" b="0" dirty="0" smtClean="0">
              <a:solidFill>
                <a:schemeClr val="tx2"/>
              </a:solidFill>
            </a:rPr>
            <a:t>Temas a estudiar Metodología</a:t>
          </a:r>
          <a:endParaRPr lang="es-CO" sz="1100" b="0" dirty="0">
            <a:solidFill>
              <a:schemeClr val="tx2"/>
            </a:solidFill>
          </a:endParaRPr>
        </a:p>
      </dgm:t>
    </dgm:pt>
    <dgm:pt modelId="{40E4574A-5D58-4AC6-94C0-7042AF1408A0}" type="parTrans" cxnId="{2FC3E52B-382E-46CA-B00A-9D3EA8B0EDF2}">
      <dgm:prSet/>
      <dgm:spPr/>
      <dgm:t>
        <a:bodyPr/>
        <a:lstStyle/>
        <a:p>
          <a:endParaRPr lang="es-CO" sz="1100" b="0">
            <a:solidFill>
              <a:schemeClr val="tx2"/>
            </a:solidFill>
          </a:endParaRPr>
        </a:p>
      </dgm:t>
    </dgm:pt>
    <dgm:pt modelId="{85616D11-E106-4916-B611-C887FAC85F4E}" type="sibTrans" cxnId="{2FC3E52B-382E-46CA-B00A-9D3EA8B0EDF2}">
      <dgm:prSet/>
      <dgm:spPr/>
      <dgm:t>
        <a:bodyPr/>
        <a:lstStyle/>
        <a:p>
          <a:endParaRPr lang="es-CO" sz="1100" b="0">
            <a:solidFill>
              <a:schemeClr val="tx2"/>
            </a:solidFill>
          </a:endParaRPr>
        </a:p>
      </dgm:t>
    </dgm:pt>
    <dgm:pt modelId="{5C7DBCF3-2782-4844-B4BD-6B220F680C51}">
      <dgm:prSet custT="1"/>
      <dgm:spPr>
        <a:ln>
          <a:solidFill>
            <a:schemeClr val="accent1"/>
          </a:solidFill>
          <a:prstDash val="sysDot"/>
        </a:ln>
      </dgm:spPr>
      <dgm:t>
        <a:bodyPr/>
        <a:lstStyle/>
        <a:p>
          <a:r>
            <a:rPr lang="es-CO" sz="1100" b="0" dirty="0" smtClean="0">
              <a:solidFill>
                <a:schemeClr val="tx2"/>
              </a:solidFill>
            </a:rPr>
            <a:t>Mercados Origen</a:t>
          </a:r>
          <a:endParaRPr lang="es-CO" sz="1100" b="0" dirty="0">
            <a:solidFill>
              <a:schemeClr val="tx2"/>
            </a:solidFill>
          </a:endParaRPr>
        </a:p>
      </dgm:t>
    </dgm:pt>
    <dgm:pt modelId="{7F745C69-4309-44B5-8382-9F266FBE0A15}" type="parTrans" cxnId="{018789E8-699F-4DCF-B3DA-ADD66E340F11}">
      <dgm:prSet/>
      <dgm:spPr/>
      <dgm:t>
        <a:bodyPr/>
        <a:lstStyle/>
        <a:p>
          <a:endParaRPr lang="es-CO" sz="1100" b="0">
            <a:solidFill>
              <a:schemeClr val="tx2"/>
            </a:solidFill>
          </a:endParaRPr>
        </a:p>
      </dgm:t>
    </dgm:pt>
    <dgm:pt modelId="{258DFFF5-ACFE-4CD0-8C78-D71F2C4B929D}" type="sibTrans" cxnId="{018789E8-699F-4DCF-B3DA-ADD66E340F11}">
      <dgm:prSet/>
      <dgm:spPr/>
      <dgm:t>
        <a:bodyPr/>
        <a:lstStyle/>
        <a:p>
          <a:endParaRPr lang="es-CO" sz="1100" b="0">
            <a:solidFill>
              <a:schemeClr val="tx2"/>
            </a:solidFill>
          </a:endParaRPr>
        </a:p>
      </dgm:t>
    </dgm:pt>
    <dgm:pt modelId="{8033F6F7-3ECB-402A-AA3F-2AD8CAD7A1E9}">
      <dgm:prSet custT="1"/>
      <dgm:spPr>
        <a:ln>
          <a:solidFill>
            <a:schemeClr val="accent1"/>
          </a:solidFill>
          <a:prstDash val="sysDot"/>
        </a:ln>
      </dgm:spPr>
      <dgm:t>
        <a:bodyPr/>
        <a:lstStyle/>
        <a:p>
          <a:r>
            <a:rPr lang="es-CO" sz="1100" b="0" dirty="0" smtClean="0">
              <a:solidFill>
                <a:schemeClr val="tx2"/>
              </a:solidFill>
            </a:rPr>
            <a:t>Cartagena</a:t>
          </a:r>
          <a:endParaRPr lang="es-CO" sz="1100" b="0" dirty="0">
            <a:solidFill>
              <a:schemeClr val="tx2"/>
            </a:solidFill>
          </a:endParaRPr>
        </a:p>
      </dgm:t>
    </dgm:pt>
    <dgm:pt modelId="{2E998791-20FE-48BD-85DC-DEACB1F49D65}" type="parTrans" cxnId="{B0E44987-FB02-468C-8984-426500F8D6B0}">
      <dgm:prSet/>
      <dgm:spPr/>
      <dgm:t>
        <a:bodyPr/>
        <a:lstStyle/>
        <a:p>
          <a:endParaRPr lang="es-CO" sz="1100" b="0">
            <a:solidFill>
              <a:schemeClr val="tx2"/>
            </a:solidFill>
          </a:endParaRPr>
        </a:p>
      </dgm:t>
    </dgm:pt>
    <dgm:pt modelId="{74CD25A0-CB51-4BCC-9071-BABF59DC9797}" type="sibTrans" cxnId="{B0E44987-FB02-468C-8984-426500F8D6B0}">
      <dgm:prSet/>
      <dgm:spPr/>
      <dgm:t>
        <a:bodyPr/>
        <a:lstStyle/>
        <a:p>
          <a:endParaRPr lang="es-CO" sz="1100" b="0">
            <a:solidFill>
              <a:schemeClr val="tx2"/>
            </a:solidFill>
          </a:endParaRPr>
        </a:p>
      </dgm:t>
    </dgm:pt>
    <dgm:pt modelId="{052105F9-C76C-42BC-AA18-1F67E2FB4D5C}">
      <dgm:prSet custT="1"/>
      <dgm:spPr>
        <a:ln>
          <a:solidFill>
            <a:schemeClr val="accent1"/>
          </a:solidFill>
          <a:prstDash val="sysDot"/>
        </a:ln>
      </dgm:spPr>
      <dgm:t>
        <a:bodyPr/>
        <a:lstStyle/>
        <a:p>
          <a:r>
            <a:rPr lang="es-CO" sz="1100" b="0" dirty="0" smtClean="0">
              <a:solidFill>
                <a:schemeClr val="tx2"/>
              </a:solidFill>
            </a:rPr>
            <a:t>Centroamérica</a:t>
          </a:r>
          <a:endParaRPr lang="es-CO" sz="1100" b="0" dirty="0">
            <a:solidFill>
              <a:schemeClr val="tx2"/>
            </a:solidFill>
          </a:endParaRPr>
        </a:p>
      </dgm:t>
    </dgm:pt>
    <dgm:pt modelId="{85D621C5-7392-4C66-8E54-2E361DD02378}" type="parTrans" cxnId="{411F4C1C-9F11-4174-803F-CC8CA1529DAC}">
      <dgm:prSet/>
      <dgm:spPr/>
      <dgm:t>
        <a:bodyPr/>
        <a:lstStyle/>
        <a:p>
          <a:endParaRPr lang="es-CO" sz="1100" b="0">
            <a:solidFill>
              <a:schemeClr val="tx2"/>
            </a:solidFill>
          </a:endParaRPr>
        </a:p>
      </dgm:t>
    </dgm:pt>
    <dgm:pt modelId="{99B6B76F-5C93-4BBE-A347-A73E3D929CC2}" type="sibTrans" cxnId="{411F4C1C-9F11-4174-803F-CC8CA1529DAC}">
      <dgm:prSet/>
      <dgm:spPr/>
      <dgm:t>
        <a:bodyPr/>
        <a:lstStyle/>
        <a:p>
          <a:endParaRPr lang="es-CO" sz="1100" b="0">
            <a:solidFill>
              <a:schemeClr val="tx2"/>
            </a:solidFill>
          </a:endParaRPr>
        </a:p>
      </dgm:t>
    </dgm:pt>
    <dgm:pt modelId="{9DA33AFA-63B1-4A9C-BFF6-8C9061085D5C}">
      <dgm:prSet custT="1"/>
      <dgm:spPr>
        <a:ln>
          <a:solidFill>
            <a:schemeClr val="accent1"/>
          </a:solidFill>
          <a:prstDash val="sysDot"/>
        </a:ln>
      </dgm:spPr>
      <dgm:t>
        <a:bodyPr/>
        <a:lstStyle/>
        <a:p>
          <a:r>
            <a:rPr lang="es-CO" sz="1100" b="0" dirty="0" smtClean="0">
              <a:solidFill>
                <a:schemeClr val="tx2"/>
              </a:solidFill>
            </a:rPr>
            <a:t>Revisión estampilla a transporte por ductos</a:t>
          </a:r>
          <a:endParaRPr lang="es-CO" sz="1100" b="0" dirty="0">
            <a:solidFill>
              <a:schemeClr val="tx2"/>
            </a:solidFill>
          </a:endParaRPr>
        </a:p>
      </dgm:t>
    </dgm:pt>
    <dgm:pt modelId="{88BBC4C0-5DD1-4B09-A4D4-AC008078F856}" type="parTrans" cxnId="{F49960E0-6AAD-452D-8E09-EB8D5A11EF41}">
      <dgm:prSet/>
      <dgm:spPr/>
      <dgm:t>
        <a:bodyPr/>
        <a:lstStyle/>
        <a:p>
          <a:endParaRPr lang="es-CO" sz="1100" b="0">
            <a:solidFill>
              <a:schemeClr val="tx2"/>
            </a:solidFill>
          </a:endParaRPr>
        </a:p>
      </dgm:t>
    </dgm:pt>
    <dgm:pt modelId="{8FC541EE-16F1-40E6-BB10-D594B0E03ED9}" type="sibTrans" cxnId="{F49960E0-6AAD-452D-8E09-EB8D5A11EF41}">
      <dgm:prSet/>
      <dgm:spPr/>
      <dgm:t>
        <a:bodyPr/>
        <a:lstStyle/>
        <a:p>
          <a:endParaRPr lang="es-CO" sz="1100" b="0">
            <a:solidFill>
              <a:schemeClr val="tx2"/>
            </a:solidFill>
          </a:endParaRPr>
        </a:p>
      </dgm:t>
    </dgm:pt>
    <dgm:pt modelId="{790E7783-F223-4115-A5F9-13CB4623560C}">
      <dgm:prSet custT="1"/>
      <dgm:spPr>
        <a:ln>
          <a:solidFill>
            <a:schemeClr val="accent1"/>
          </a:solidFill>
          <a:prstDash val="sysDot"/>
        </a:ln>
      </dgm:spPr>
      <dgm:t>
        <a:bodyPr/>
        <a:lstStyle/>
        <a:p>
          <a:r>
            <a:rPr lang="es-CO" sz="1100" b="0" dirty="0" smtClean="0">
              <a:solidFill>
                <a:schemeClr val="tx2"/>
              </a:solidFill>
            </a:rPr>
            <a:t>Remuneración inversión</a:t>
          </a:r>
        </a:p>
        <a:p>
          <a:r>
            <a:rPr lang="es-CO" sz="1100" b="0" dirty="0" smtClean="0">
              <a:solidFill>
                <a:schemeClr val="tx2"/>
              </a:solidFill>
            </a:rPr>
            <a:t>(Flete)</a:t>
          </a:r>
          <a:endParaRPr lang="es-CO" sz="1100" b="0" dirty="0">
            <a:solidFill>
              <a:schemeClr val="tx2"/>
            </a:solidFill>
          </a:endParaRPr>
        </a:p>
      </dgm:t>
    </dgm:pt>
    <dgm:pt modelId="{373B2AD0-EBA6-40C8-A0B3-E50EB0750D5B}" type="parTrans" cxnId="{5F7057D7-705A-4249-9C69-AB6152ED9EA9}">
      <dgm:prSet/>
      <dgm:spPr/>
      <dgm:t>
        <a:bodyPr/>
        <a:lstStyle/>
        <a:p>
          <a:endParaRPr lang="es-CO" sz="1100" b="0"/>
        </a:p>
      </dgm:t>
    </dgm:pt>
    <dgm:pt modelId="{1FC2E004-3A1F-4E36-9137-6193C3BC0A4F}" type="sibTrans" cxnId="{5F7057D7-705A-4249-9C69-AB6152ED9EA9}">
      <dgm:prSet/>
      <dgm:spPr/>
      <dgm:t>
        <a:bodyPr/>
        <a:lstStyle/>
        <a:p>
          <a:endParaRPr lang="es-CO" sz="1100" b="0"/>
        </a:p>
      </dgm:t>
    </dgm:pt>
    <dgm:pt modelId="{84AF4345-5728-467D-A4C0-2470E18A05D3}">
      <dgm:prSet custT="1"/>
      <dgm:spPr>
        <a:ln>
          <a:solidFill>
            <a:schemeClr val="accent1"/>
          </a:solidFill>
          <a:prstDash val="sysDot"/>
        </a:ln>
      </dgm:spPr>
      <dgm:t>
        <a:bodyPr/>
        <a:lstStyle/>
        <a:p>
          <a:r>
            <a:rPr lang="es-CO" sz="1100" b="0" dirty="0" smtClean="0">
              <a:solidFill>
                <a:schemeClr val="tx2"/>
              </a:solidFill>
            </a:rPr>
            <a:t>AOM</a:t>
          </a:r>
          <a:endParaRPr lang="es-CO" sz="1100" b="0" dirty="0">
            <a:solidFill>
              <a:schemeClr val="tx2"/>
            </a:solidFill>
          </a:endParaRPr>
        </a:p>
      </dgm:t>
    </dgm:pt>
    <dgm:pt modelId="{6FAC97E1-4892-4C50-B0A0-1281878D5673}" type="parTrans" cxnId="{D9E06197-99B5-49A5-8A87-B9329C65F227}">
      <dgm:prSet/>
      <dgm:spPr/>
      <dgm:t>
        <a:bodyPr/>
        <a:lstStyle/>
        <a:p>
          <a:endParaRPr lang="es-CO" sz="1100" b="0"/>
        </a:p>
      </dgm:t>
    </dgm:pt>
    <dgm:pt modelId="{54BE6FB2-27F7-4478-A5A3-0F57C941E008}" type="sibTrans" cxnId="{D9E06197-99B5-49A5-8A87-B9329C65F227}">
      <dgm:prSet/>
      <dgm:spPr/>
      <dgm:t>
        <a:bodyPr/>
        <a:lstStyle/>
        <a:p>
          <a:endParaRPr lang="es-CO" sz="1100" b="0"/>
        </a:p>
      </dgm:t>
    </dgm:pt>
    <dgm:pt modelId="{D37AC850-4966-487C-AA9C-131214094B54}">
      <dgm:prSet custT="1"/>
      <dgm:spPr/>
      <dgm:t>
        <a:bodyPr/>
        <a:lstStyle/>
        <a:p>
          <a:r>
            <a:rPr lang="es-CO" sz="1100" b="0" dirty="0" smtClean="0">
              <a:solidFill>
                <a:schemeClr val="tx2"/>
              </a:solidFill>
            </a:rPr>
            <a:t>Información para cálculo</a:t>
          </a:r>
          <a:endParaRPr lang="es-CO" sz="1100" b="0" dirty="0">
            <a:solidFill>
              <a:schemeClr val="tx2"/>
            </a:solidFill>
          </a:endParaRPr>
        </a:p>
      </dgm:t>
    </dgm:pt>
    <dgm:pt modelId="{B9FBD13C-A7D6-4864-A158-1C00567A19EA}" type="parTrans" cxnId="{634EC8A5-7406-4F43-9BC9-38ED87631728}">
      <dgm:prSet/>
      <dgm:spPr/>
      <dgm:t>
        <a:bodyPr/>
        <a:lstStyle/>
        <a:p>
          <a:endParaRPr lang="es-CO" sz="1100" b="0"/>
        </a:p>
      </dgm:t>
    </dgm:pt>
    <dgm:pt modelId="{F387630F-09D6-43E5-8056-832DB904C857}" type="sibTrans" cxnId="{634EC8A5-7406-4F43-9BC9-38ED87631728}">
      <dgm:prSet/>
      <dgm:spPr/>
      <dgm:t>
        <a:bodyPr/>
        <a:lstStyle/>
        <a:p>
          <a:endParaRPr lang="es-CO" sz="1100" b="0"/>
        </a:p>
      </dgm:t>
    </dgm:pt>
    <dgm:pt modelId="{DFA4C101-2356-46B8-A59B-61CFD6400FC8}">
      <dgm:prSet custT="1"/>
      <dgm:spPr>
        <a:ln>
          <a:solidFill>
            <a:schemeClr val="accent1"/>
          </a:solidFill>
          <a:prstDash val="sysDot"/>
        </a:ln>
      </dgm:spPr>
      <dgm:t>
        <a:bodyPr/>
        <a:lstStyle/>
        <a:p>
          <a:r>
            <a:rPr lang="es-CO" sz="1100" b="0" dirty="0" smtClean="0">
              <a:solidFill>
                <a:schemeClr val="tx2"/>
              </a:solidFill>
            </a:rPr>
            <a:t>Otros</a:t>
          </a:r>
          <a:endParaRPr lang="es-CO" sz="1100" b="0" dirty="0">
            <a:solidFill>
              <a:schemeClr val="tx2"/>
            </a:solidFill>
          </a:endParaRPr>
        </a:p>
      </dgm:t>
    </dgm:pt>
    <dgm:pt modelId="{502BE493-326A-4246-941D-00535AF790D7}" type="parTrans" cxnId="{ECE6D700-2935-4147-8682-03724F71AEC9}">
      <dgm:prSet/>
      <dgm:spPr/>
      <dgm:t>
        <a:bodyPr/>
        <a:lstStyle/>
        <a:p>
          <a:endParaRPr lang="es-CO" sz="1100"/>
        </a:p>
      </dgm:t>
    </dgm:pt>
    <dgm:pt modelId="{37E5EC69-88D0-4B9F-8D52-A080393497AD}" type="sibTrans" cxnId="{ECE6D700-2935-4147-8682-03724F71AEC9}">
      <dgm:prSet/>
      <dgm:spPr/>
      <dgm:t>
        <a:bodyPr/>
        <a:lstStyle/>
        <a:p>
          <a:endParaRPr lang="es-CO" sz="1100"/>
        </a:p>
      </dgm:t>
    </dgm:pt>
    <dgm:pt modelId="{E94D37E4-4923-470F-9D22-3C76EA5CD31C}">
      <dgm:prSet custT="1"/>
      <dgm:spPr/>
      <dgm:t>
        <a:bodyPr/>
        <a:lstStyle/>
        <a:p>
          <a:r>
            <a:rPr lang="es-CO" sz="1100" b="0" dirty="0" smtClean="0">
              <a:solidFill>
                <a:schemeClr val="tx2"/>
              </a:solidFill>
            </a:rPr>
            <a:t>Flete a Providencia</a:t>
          </a:r>
          <a:endParaRPr lang="es-CO" sz="1100" b="0" dirty="0">
            <a:solidFill>
              <a:schemeClr val="tx2"/>
            </a:solidFill>
          </a:endParaRPr>
        </a:p>
      </dgm:t>
    </dgm:pt>
    <dgm:pt modelId="{127A1C4E-987A-4EDC-B0C3-1BCB9CAC1538}" type="parTrans" cxnId="{BDC72A8C-7B4E-475F-98C5-83F2D1704DD2}">
      <dgm:prSet/>
      <dgm:spPr/>
      <dgm:t>
        <a:bodyPr/>
        <a:lstStyle/>
        <a:p>
          <a:endParaRPr lang="es-CO" sz="1100"/>
        </a:p>
      </dgm:t>
    </dgm:pt>
    <dgm:pt modelId="{7E8FA011-5B6C-44FF-835A-E0399DF79AD9}" type="sibTrans" cxnId="{BDC72A8C-7B4E-475F-98C5-83F2D1704DD2}">
      <dgm:prSet/>
      <dgm:spPr/>
      <dgm:t>
        <a:bodyPr/>
        <a:lstStyle/>
        <a:p>
          <a:endParaRPr lang="es-CO" sz="1100"/>
        </a:p>
      </dgm:t>
    </dgm:pt>
    <dgm:pt modelId="{E59AE793-9A7B-4A8B-9890-A415729EC337}" type="pres">
      <dgm:prSet presAssocID="{A759CAA1-1A2D-4D68-A291-461B2C9BC3EB}" presName="cycle" presStyleCnt="0">
        <dgm:presLayoutVars>
          <dgm:chMax val="1"/>
          <dgm:dir/>
          <dgm:animLvl val="ctr"/>
          <dgm:resizeHandles val="exact"/>
        </dgm:presLayoutVars>
      </dgm:prSet>
      <dgm:spPr/>
      <dgm:t>
        <a:bodyPr/>
        <a:lstStyle/>
        <a:p>
          <a:endParaRPr lang="es-CO"/>
        </a:p>
      </dgm:t>
    </dgm:pt>
    <dgm:pt modelId="{7FC16B21-18F1-4A4A-A9E1-A3DB59157E52}" type="pres">
      <dgm:prSet presAssocID="{CCBC58D3-4691-495E-A58D-3F26FE4A2FD5}" presName="centerShape" presStyleLbl="node0" presStyleIdx="0" presStyleCnt="1"/>
      <dgm:spPr/>
      <dgm:t>
        <a:bodyPr/>
        <a:lstStyle/>
        <a:p>
          <a:endParaRPr lang="es-CO"/>
        </a:p>
      </dgm:t>
    </dgm:pt>
    <dgm:pt modelId="{0F75E495-8489-48B9-8205-F1C27C1C432D}" type="pres">
      <dgm:prSet presAssocID="{7F745C69-4309-44B5-8382-9F266FBE0A15}" presName="parTrans" presStyleLbl="bgSibTrans2D1" presStyleIdx="0" presStyleCnt="5"/>
      <dgm:spPr/>
      <dgm:t>
        <a:bodyPr/>
        <a:lstStyle/>
        <a:p>
          <a:endParaRPr lang="es-CO"/>
        </a:p>
      </dgm:t>
    </dgm:pt>
    <dgm:pt modelId="{0B85E716-8152-4AA6-A96D-4F77E4A7E024}" type="pres">
      <dgm:prSet presAssocID="{5C7DBCF3-2782-4844-B4BD-6B220F680C51}" presName="node" presStyleLbl="node1" presStyleIdx="0" presStyleCnt="5" custScaleX="124660" custScaleY="105479">
        <dgm:presLayoutVars>
          <dgm:bulletEnabled val="1"/>
        </dgm:presLayoutVars>
      </dgm:prSet>
      <dgm:spPr/>
      <dgm:t>
        <a:bodyPr/>
        <a:lstStyle/>
        <a:p>
          <a:endParaRPr lang="es-CO"/>
        </a:p>
      </dgm:t>
    </dgm:pt>
    <dgm:pt modelId="{8BCBCACF-7A20-4492-AC94-7FC003089FF8}" type="pres">
      <dgm:prSet presAssocID="{88BBC4C0-5DD1-4B09-A4D4-AC008078F856}" presName="parTrans" presStyleLbl="bgSibTrans2D1" presStyleIdx="1" presStyleCnt="5"/>
      <dgm:spPr/>
      <dgm:t>
        <a:bodyPr/>
        <a:lstStyle/>
        <a:p>
          <a:endParaRPr lang="es-CO"/>
        </a:p>
      </dgm:t>
    </dgm:pt>
    <dgm:pt modelId="{6659435C-4894-47E1-8C23-08321E3991CC}" type="pres">
      <dgm:prSet presAssocID="{9DA33AFA-63B1-4A9C-BFF6-8C9061085D5C}" presName="node" presStyleLbl="node1" presStyleIdx="1" presStyleCnt="5" custScaleX="101569" custScaleY="112532" custRadScaleRad="109079" custRadScaleInc="-6422">
        <dgm:presLayoutVars>
          <dgm:bulletEnabled val="1"/>
        </dgm:presLayoutVars>
      </dgm:prSet>
      <dgm:spPr/>
      <dgm:t>
        <a:bodyPr/>
        <a:lstStyle/>
        <a:p>
          <a:endParaRPr lang="es-CO"/>
        </a:p>
      </dgm:t>
    </dgm:pt>
    <dgm:pt modelId="{B23FAF00-AB6D-4CC2-A13D-D362B55143E9}" type="pres">
      <dgm:prSet presAssocID="{373B2AD0-EBA6-40C8-A0B3-E50EB0750D5B}" presName="parTrans" presStyleLbl="bgSibTrans2D1" presStyleIdx="2" presStyleCnt="5"/>
      <dgm:spPr/>
      <dgm:t>
        <a:bodyPr/>
        <a:lstStyle/>
        <a:p>
          <a:endParaRPr lang="es-CO"/>
        </a:p>
      </dgm:t>
    </dgm:pt>
    <dgm:pt modelId="{F61D787D-3680-4111-B4C4-A7F0BDCF1870}" type="pres">
      <dgm:prSet presAssocID="{790E7783-F223-4115-A5F9-13CB4623560C}" presName="node" presStyleLbl="node1" presStyleIdx="2" presStyleCnt="5" custRadScaleRad="97910" custRadScaleInc="-203">
        <dgm:presLayoutVars>
          <dgm:bulletEnabled val="1"/>
        </dgm:presLayoutVars>
      </dgm:prSet>
      <dgm:spPr/>
      <dgm:t>
        <a:bodyPr/>
        <a:lstStyle/>
        <a:p>
          <a:endParaRPr lang="es-CO"/>
        </a:p>
      </dgm:t>
    </dgm:pt>
    <dgm:pt modelId="{215C8738-6D2C-4F79-9E9D-211941409349}" type="pres">
      <dgm:prSet presAssocID="{6FAC97E1-4892-4C50-B0A0-1281878D5673}" presName="parTrans" presStyleLbl="bgSibTrans2D1" presStyleIdx="3" presStyleCnt="5"/>
      <dgm:spPr/>
      <dgm:t>
        <a:bodyPr/>
        <a:lstStyle/>
        <a:p>
          <a:endParaRPr lang="es-CO"/>
        </a:p>
      </dgm:t>
    </dgm:pt>
    <dgm:pt modelId="{DEDAA2C3-CC50-4C14-8D1E-A35D51234BBC}" type="pres">
      <dgm:prSet presAssocID="{84AF4345-5728-467D-A4C0-2470E18A05D3}" presName="node" presStyleLbl="node1" presStyleIdx="3" presStyleCnt="5">
        <dgm:presLayoutVars>
          <dgm:bulletEnabled val="1"/>
        </dgm:presLayoutVars>
      </dgm:prSet>
      <dgm:spPr/>
      <dgm:t>
        <a:bodyPr/>
        <a:lstStyle/>
        <a:p>
          <a:endParaRPr lang="es-CO"/>
        </a:p>
      </dgm:t>
    </dgm:pt>
    <dgm:pt modelId="{582E45A6-D5FD-49BA-8C22-8C0A8D516CDE}" type="pres">
      <dgm:prSet presAssocID="{127A1C4E-987A-4EDC-B0C3-1BCB9CAC1538}" presName="parTrans" presStyleLbl="bgSibTrans2D1" presStyleIdx="4" presStyleCnt="5"/>
      <dgm:spPr/>
      <dgm:t>
        <a:bodyPr/>
        <a:lstStyle/>
        <a:p>
          <a:endParaRPr lang="es-CO"/>
        </a:p>
      </dgm:t>
    </dgm:pt>
    <dgm:pt modelId="{D80EDAFC-CB0D-46C7-BC99-803D5EDAEC62}" type="pres">
      <dgm:prSet presAssocID="{E94D37E4-4923-470F-9D22-3C76EA5CD31C}" presName="node" presStyleLbl="node1" presStyleIdx="4" presStyleCnt="5">
        <dgm:presLayoutVars>
          <dgm:bulletEnabled val="1"/>
        </dgm:presLayoutVars>
      </dgm:prSet>
      <dgm:spPr/>
      <dgm:t>
        <a:bodyPr/>
        <a:lstStyle/>
        <a:p>
          <a:endParaRPr lang="es-CO"/>
        </a:p>
      </dgm:t>
    </dgm:pt>
  </dgm:ptLst>
  <dgm:cxnLst>
    <dgm:cxn modelId="{4C4EF5E3-1512-4947-BC0D-EA3D079623FA}" type="presOf" srcId="{127A1C4E-987A-4EDC-B0C3-1BCB9CAC1538}" destId="{582E45A6-D5FD-49BA-8C22-8C0A8D516CDE}" srcOrd="0" destOrd="0" presId="urn:microsoft.com/office/officeart/2005/8/layout/radial4"/>
    <dgm:cxn modelId="{3258C3B5-40A0-482A-83AA-521B0B88B642}" type="presOf" srcId="{6FAC97E1-4892-4C50-B0A0-1281878D5673}" destId="{215C8738-6D2C-4F79-9E9D-211941409349}" srcOrd="0" destOrd="0" presId="urn:microsoft.com/office/officeart/2005/8/layout/radial4"/>
    <dgm:cxn modelId="{34132C03-138C-4F21-8C61-0B1CBE8736B6}" type="presOf" srcId="{84AF4345-5728-467D-A4C0-2470E18A05D3}" destId="{DEDAA2C3-CC50-4C14-8D1E-A35D51234BBC}" srcOrd="0" destOrd="0" presId="urn:microsoft.com/office/officeart/2005/8/layout/radial4"/>
    <dgm:cxn modelId="{B0E44987-FB02-468C-8984-426500F8D6B0}" srcId="{5C7DBCF3-2782-4844-B4BD-6B220F680C51}" destId="{8033F6F7-3ECB-402A-AA3F-2AD8CAD7A1E9}" srcOrd="0" destOrd="0" parTransId="{2E998791-20FE-48BD-85DC-DEACB1F49D65}" sibTransId="{74CD25A0-CB51-4BCC-9071-BABF59DC9797}"/>
    <dgm:cxn modelId="{3846B317-F6FC-4ACA-B757-E5855B97A9DF}" type="presOf" srcId="{790E7783-F223-4115-A5F9-13CB4623560C}" destId="{F61D787D-3680-4111-B4C4-A7F0BDCF1870}" srcOrd="0" destOrd="0" presId="urn:microsoft.com/office/officeart/2005/8/layout/radial4"/>
    <dgm:cxn modelId="{634EC8A5-7406-4F43-9BC9-38ED87631728}" srcId="{84AF4345-5728-467D-A4C0-2470E18A05D3}" destId="{D37AC850-4966-487C-AA9C-131214094B54}" srcOrd="0" destOrd="0" parTransId="{B9FBD13C-A7D6-4864-A158-1C00567A19EA}" sibTransId="{F387630F-09D6-43E5-8056-832DB904C857}"/>
    <dgm:cxn modelId="{018789E8-699F-4DCF-B3DA-ADD66E340F11}" srcId="{CCBC58D3-4691-495E-A58D-3F26FE4A2FD5}" destId="{5C7DBCF3-2782-4844-B4BD-6B220F680C51}" srcOrd="0" destOrd="0" parTransId="{7F745C69-4309-44B5-8382-9F266FBE0A15}" sibTransId="{258DFFF5-ACFE-4CD0-8C78-D71F2C4B929D}"/>
    <dgm:cxn modelId="{D9E06197-99B5-49A5-8A87-B9329C65F227}" srcId="{CCBC58D3-4691-495E-A58D-3F26FE4A2FD5}" destId="{84AF4345-5728-467D-A4C0-2470E18A05D3}" srcOrd="3" destOrd="0" parTransId="{6FAC97E1-4892-4C50-B0A0-1281878D5673}" sibTransId="{54BE6FB2-27F7-4478-A5A3-0F57C941E008}"/>
    <dgm:cxn modelId="{E48F7CBC-28D6-4136-9377-55D426CD2F61}" type="presOf" srcId="{D37AC850-4966-487C-AA9C-131214094B54}" destId="{DEDAA2C3-CC50-4C14-8D1E-A35D51234BBC}" srcOrd="0" destOrd="1" presId="urn:microsoft.com/office/officeart/2005/8/layout/radial4"/>
    <dgm:cxn modelId="{ECE6D700-2935-4147-8682-03724F71AEC9}" srcId="{5C7DBCF3-2782-4844-B4BD-6B220F680C51}" destId="{DFA4C101-2356-46B8-A59B-61CFD6400FC8}" srcOrd="2" destOrd="0" parTransId="{502BE493-326A-4246-941D-00535AF790D7}" sibTransId="{37E5EC69-88D0-4B9F-8D52-A080393497AD}"/>
    <dgm:cxn modelId="{3BD07B7D-4B01-4CFF-AB3B-47BFD3C35254}" type="presOf" srcId="{373B2AD0-EBA6-40C8-A0B3-E50EB0750D5B}" destId="{B23FAF00-AB6D-4CC2-A13D-D362B55143E9}" srcOrd="0" destOrd="0" presId="urn:microsoft.com/office/officeart/2005/8/layout/radial4"/>
    <dgm:cxn modelId="{F49960E0-6AAD-452D-8E09-EB8D5A11EF41}" srcId="{CCBC58D3-4691-495E-A58D-3F26FE4A2FD5}" destId="{9DA33AFA-63B1-4A9C-BFF6-8C9061085D5C}" srcOrd="1" destOrd="0" parTransId="{88BBC4C0-5DD1-4B09-A4D4-AC008078F856}" sibTransId="{8FC541EE-16F1-40E6-BB10-D594B0E03ED9}"/>
    <dgm:cxn modelId="{B0140FDE-2E07-4187-80E7-BC8273FBF86B}" type="presOf" srcId="{9DA33AFA-63B1-4A9C-BFF6-8C9061085D5C}" destId="{6659435C-4894-47E1-8C23-08321E3991CC}" srcOrd="0" destOrd="0" presId="urn:microsoft.com/office/officeart/2005/8/layout/radial4"/>
    <dgm:cxn modelId="{BDC72A8C-7B4E-475F-98C5-83F2D1704DD2}" srcId="{CCBC58D3-4691-495E-A58D-3F26FE4A2FD5}" destId="{E94D37E4-4923-470F-9D22-3C76EA5CD31C}" srcOrd="4" destOrd="0" parTransId="{127A1C4E-987A-4EDC-B0C3-1BCB9CAC1538}" sibTransId="{7E8FA011-5B6C-44FF-835A-E0399DF79AD9}"/>
    <dgm:cxn modelId="{AC7EA0BD-A2F2-4BBA-8C75-4F68E736F233}" type="presOf" srcId="{7F745C69-4309-44B5-8382-9F266FBE0A15}" destId="{0F75E495-8489-48B9-8205-F1C27C1C432D}" srcOrd="0" destOrd="0" presId="urn:microsoft.com/office/officeart/2005/8/layout/radial4"/>
    <dgm:cxn modelId="{8B43EA8A-BD41-46CD-8AB9-FA5A267C7D99}" type="presOf" srcId="{052105F9-C76C-42BC-AA18-1F67E2FB4D5C}" destId="{0B85E716-8152-4AA6-A96D-4F77E4A7E024}" srcOrd="0" destOrd="2" presId="urn:microsoft.com/office/officeart/2005/8/layout/radial4"/>
    <dgm:cxn modelId="{5F7057D7-705A-4249-9C69-AB6152ED9EA9}" srcId="{CCBC58D3-4691-495E-A58D-3F26FE4A2FD5}" destId="{790E7783-F223-4115-A5F9-13CB4623560C}" srcOrd="2" destOrd="0" parTransId="{373B2AD0-EBA6-40C8-A0B3-E50EB0750D5B}" sibTransId="{1FC2E004-3A1F-4E36-9137-6193C3BC0A4F}"/>
    <dgm:cxn modelId="{2FC3E52B-382E-46CA-B00A-9D3EA8B0EDF2}" srcId="{A759CAA1-1A2D-4D68-A291-461B2C9BC3EB}" destId="{CCBC58D3-4691-495E-A58D-3F26FE4A2FD5}" srcOrd="0" destOrd="0" parTransId="{40E4574A-5D58-4AC6-94C0-7042AF1408A0}" sibTransId="{85616D11-E106-4916-B611-C887FAC85F4E}"/>
    <dgm:cxn modelId="{5ADC9223-9202-4251-A0C2-9B3495022D09}" type="presOf" srcId="{88BBC4C0-5DD1-4B09-A4D4-AC008078F856}" destId="{8BCBCACF-7A20-4492-AC94-7FC003089FF8}" srcOrd="0" destOrd="0" presId="urn:microsoft.com/office/officeart/2005/8/layout/radial4"/>
    <dgm:cxn modelId="{BF51EC78-A26A-4068-9B88-FAE11B4B1F98}" type="presOf" srcId="{A759CAA1-1A2D-4D68-A291-461B2C9BC3EB}" destId="{E59AE793-9A7B-4A8B-9890-A415729EC337}" srcOrd="0" destOrd="0" presId="urn:microsoft.com/office/officeart/2005/8/layout/radial4"/>
    <dgm:cxn modelId="{2CEE8CC0-D8B5-4850-81B1-CEB53C63266C}" type="presOf" srcId="{CCBC58D3-4691-495E-A58D-3F26FE4A2FD5}" destId="{7FC16B21-18F1-4A4A-A9E1-A3DB59157E52}" srcOrd="0" destOrd="0" presId="urn:microsoft.com/office/officeart/2005/8/layout/radial4"/>
    <dgm:cxn modelId="{411F4C1C-9F11-4174-803F-CC8CA1529DAC}" srcId="{5C7DBCF3-2782-4844-B4BD-6B220F680C51}" destId="{052105F9-C76C-42BC-AA18-1F67E2FB4D5C}" srcOrd="1" destOrd="0" parTransId="{85D621C5-7392-4C66-8E54-2E361DD02378}" sibTransId="{99B6B76F-5C93-4BBE-A347-A73E3D929CC2}"/>
    <dgm:cxn modelId="{CF658764-20D1-4FCC-81E5-35F748A213AC}" type="presOf" srcId="{DFA4C101-2356-46B8-A59B-61CFD6400FC8}" destId="{0B85E716-8152-4AA6-A96D-4F77E4A7E024}" srcOrd="0" destOrd="3" presId="urn:microsoft.com/office/officeart/2005/8/layout/radial4"/>
    <dgm:cxn modelId="{BC30530E-BFFD-4516-9658-7A967C258298}" type="presOf" srcId="{8033F6F7-3ECB-402A-AA3F-2AD8CAD7A1E9}" destId="{0B85E716-8152-4AA6-A96D-4F77E4A7E024}" srcOrd="0" destOrd="1" presId="urn:microsoft.com/office/officeart/2005/8/layout/radial4"/>
    <dgm:cxn modelId="{C387CC32-5A2A-4E8E-AC9F-C90AF28094C1}" type="presOf" srcId="{E94D37E4-4923-470F-9D22-3C76EA5CD31C}" destId="{D80EDAFC-CB0D-46C7-BC99-803D5EDAEC62}" srcOrd="0" destOrd="0" presId="urn:microsoft.com/office/officeart/2005/8/layout/radial4"/>
    <dgm:cxn modelId="{0AB5185B-AFB6-4162-8EB3-09990AE123A4}" type="presOf" srcId="{5C7DBCF3-2782-4844-B4BD-6B220F680C51}" destId="{0B85E716-8152-4AA6-A96D-4F77E4A7E024}" srcOrd="0" destOrd="0" presId="urn:microsoft.com/office/officeart/2005/8/layout/radial4"/>
    <dgm:cxn modelId="{5EF34491-5A9B-4119-A0D3-7CC2189946E8}" type="presParOf" srcId="{E59AE793-9A7B-4A8B-9890-A415729EC337}" destId="{7FC16B21-18F1-4A4A-A9E1-A3DB59157E52}" srcOrd="0" destOrd="0" presId="urn:microsoft.com/office/officeart/2005/8/layout/radial4"/>
    <dgm:cxn modelId="{ADD79959-F02B-4B13-95BA-DE379C6FDD58}" type="presParOf" srcId="{E59AE793-9A7B-4A8B-9890-A415729EC337}" destId="{0F75E495-8489-48B9-8205-F1C27C1C432D}" srcOrd="1" destOrd="0" presId="urn:microsoft.com/office/officeart/2005/8/layout/radial4"/>
    <dgm:cxn modelId="{0755B878-FB5E-40BF-BDA6-EDD5C771DE81}" type="presParOf" srcId="{E59AE793-9A7B-4A8B-9890-A415729EC337}" destId="{0B85E716-8152-4AA6-A96D-4F77E4A7E024}" srcOrd="2" destOrd="0" presId="urn:microsoft.com/office/officeart/2005/8/layout/radial4"/>
    <dgm:cxn modelId="{94D6B0BE-FF84-4269-8066-0E81193D4814}" type="presParOf" srcId="{E59AE793-9A7B-4A8B-9890-A415729EC337}" destId="{8BCBCACF-7A20-4492-AC94-7FC003089FF8}" srcOrd="3" destOrd="0" presId="urn:microsoft.com/office/officeart/2005/8/layout/radial4"/>
    <dgm:cxn modelId="{9F94CE74-C1CC-48E6-BAAD-6F3B82C1254D}" type="presParOf" srcId="{E59AE793-9A7B-4A8B-9890-A415729EC337}" destId="{6659435C-4894-47E1-8C23-08321E3991CC}" srcOrd="4" destOrd="0" presId="urn:microsoft.com/office/officeart/2005/8/layout/radial4"/>
    <dgm:cxn modelId="{3C399E59-1F26-45C9-AB89-382091781A56}" type="presParOf" srcId="{E59AE793-9A7B-4A8B-9890-A415729EC337}" destId="{B23FAF00-AB6D-4CC2-A13D-D362B55143E9}" srcOrd="5" destOrd="0" presId="urn:microsoft.com/office/officeart/2005/8/layout/radial4"/>
    <dgm:cxn modelId="{3C54B83D-B484-4120-A932-1D1851E6A428}" type="presParOf" srcId="{E59AE793-9A7B-4A8B-9890-A415729EC337}" destId="{F61D787D-3680-4111-B4C4-A7F0BDCF1870}" srcOrd="6" destOrd="0" presId="urn:microsoft.com/office/officeart/2005/8/layout/radial4"/>
    <dgm:cxn modelId="{28E90F2B-CDD0-4E9A-A527-18A5572BF469}" type="presParOf" srcId="{E59AE793-9A7B-4A8B-9890-A415729EC337}" destId="{215C8738-6D2C-4F79-9E9D-211941409349}" srcOrd="7" destOrd="0" presId="urn:microsoft.com/office/officeart/2005/8/layout/radial4"/>
    <dgm:cxn modelId="{FD120C90-F98A-40A1-971B-2E297D4B4860}" type="presParOf" srcId="{E59AE793-9A7B-4A8B-9890-A415729EC337}" destId="{DEDAA2C3-CC50-4C14-8D1E-A35D51234BBC}" srcOrd="8" destOrd="0" presId="urn:microsoft.com/office/officeart/2005/8/layout/radial4"/>
    <dgm:cxn modelId="{5C002FE6-C984-4CC2-AA93-A4A915219B29}" type="presParOf" srcId="{E59AE793-9A7B-4A8B-9890-A415729EC337}" destId="{582E45A6-D5FD-49BA-8C22-8C0A8D516CDE}" srcOrd="9" destOrd="0" presId="urn:microsoft.com/office/officeart/2005/8/layout/radial4"/>
    <dgm:cxn modelId="{30C08FB9-A3C4-472A-94EB-6123A97139F4}" type="presParOf" srcId="{E59AE793-9A7B-4A8B-9890-A415729EC337}" destId="{D80EDAFC-CB0D-46C7-BC99-803D5EDAEC62}" srcOrd="10" destOrd="0" presId="urn:microsoft.com/office/officeart/2005/8/layout/radial4"/>
  </dgm:cxnLst>
  <dgm:bg>
    <a:solidFill>
      <a:schemeClr val="bg1">
        <a:alpha val="92000"/>
      </a:schemeClr>
    </a:solidFill>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16B21-18F1-4A4A-A9E1-A3DB59157E52}">
      <dsp:nvSpPr>
        <dsp:cNvPr id="0" name=""/>
        <dsp:cNvSpPr/>
      </dsp:nvSpPr>
      <dsp:spPr>
        <a:xfrm>
          <a:off x="2548488" y="1525572"/>
          <a:ext cx="1131570" cy="1131570"/>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O" sz="1100" b="0" kern="1200" dirty="0" smtClean="0">
              <a:solidFill>
                <a:schemeClr val="tx2"/>
              </a:solidFill>
            </a:rPr>
            <a:t>Temas a estudiar Metodología</a:t>
          </a:r>
          <a:endParaRPr lang="es-CO" sz="1100" b="0" kern="1200" dirty="0">
            <a:solidFill>
              <a:schemeClr val="tx2"/>
            </a:solidFill>
          </a:endParaRPr>
        </a:p>
      </dsp:txBody>
      <dsp:txXfrm>
        <a:off x="2714203" y="1691287"/>
        <a:ext cx="800140" cy="800140"/>
      </dsp:txXfrm>
    </dsp:sp>
    <dsp:sp modelId="{0F75E495-8489-48B9-8205-F1C27C1C432D}">
      <dsp:nvSpPr>
        <dsp:cNvPr id="0" name=""/>
        <dsp:cNvSpPr/>
      </dsp:nvSpPr>
      <dsp:spPr>
        <a:xfrm rot="10800000">
          <a:off x="1453244" y="1930109"/>
          <a:ext cx="1035005" cy="32249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85E716-8152-4AA6-A96D-4F77E4A7E024}">
      <dsp:nvSpPr>
        <dsp:cNvPr id="0" name=""/>
        <dsp:cNvSpPr/>
      </dsp:nvSpPr>
      <dsp:spPr>
        <a:xfrm>
          <a:off x="783202" y="1637801"/>
          <a:ext cx="1340084" cy="907112"/>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88950">
            <a:lnSpc>
              <a:spcPct val="90000"/>
            </a:lnSpc>
            <a:spcBef>
              <a:spcPct val="0"/>
            </a:spcBef>
            <a:spcAft>
              <a:spcPct val="35000"/>
            </a:spcAft>
          </a:pPr>
          <a:r>
            <a:rPr lang="es-CO" sz="1100" b="0" kern="1200" dirty="0" smtClean="0">
              <a:solidFill>
                <a:schemeClr val="tx2"/>
              </a:solidFill>
            </a:rPr>
            <a:t>Mercados Origen</a:t>
          </a:r>
          <a:endParaRPr lang="es-CO" sz="1100" b="0" kern="1200" dirty="0">
            <a:solidFill>
              <a:schemeClr val="tx2"/>
            </a:solidFill>
          </a:endParaRPr>
        </a:p>
        <a:p>
          <a:pPr marL="57150" lvl="1" indent="-57150" algn="l" defTabSz="488950">
            <a:lnSpc>
              <a:spcPct val="90000"/>
            </a:lnSpc>
            <a:spcBef>
              <a:spcPct val="0"/>
            </a:spcBef>
            <a:spcAft>
              <a:spcPct val="15000"/>
            </a:spcAft>
            <a:buChar char="••"/>
          </a:pPr>
          <a:r>
            <a:rPr lang="es-CO" sz="1100" b="0" kern="1200" dirty="0" smtClean="0">
              <a:solidFill>
                <a:schemeClr val="tx2"/>
              </a:solidFill>
            </a:rPr>
            <a:t>Cartagena</a:t>
          </a:r>
          <a:endParaRPr lang="es-CO" sz="1100" b="0" kern="1200" dirty="0">
            <a:solidFill>
              <a:schemeClr val="tx2"/>
            </a:solidFill>
          </a:endParaRPr>
        </a:p>
        <a:p>
          <a:pPr marL="57150" lvl="1" indent="-57150" algn="l" defTabSz="488950">
            <a:lnSpc>
              <a:spcPct val="90000"/>
            </a:lnSpc>
            <a:spcBef>
              <a:spcPct val="0"/>
            </a:spcBef>
            <a:spcAft>
              <a:spcPct val="15000"/>
            </a:spcAft>
            <a:buChar char="••"/>
          </a:pPr>
          <a:r>
            <a:rPr lang="es-CO" sz="1100" b="0" kern="1200" dirty="0" smtClean="0">
              <a:solidFill>
                <a:schemeClr val="tx2"/>
              </a:solidFill>
            </a:rPr>
            <a:t>Centroamérica</a:t>
          </a:r>
          <a:endParaRPr lang="es-CO" sz="1100" b="0" kern="1200" dirty="0">
            <a:solidFill>
              <a:schemeClr val="tx2"/>
            </a:solidFill>
          </a:endParaRPr>
        </a:p>
        <a:p>
          <a:pPr marL="57150" lvl="1" indent="-57150" algn="l" defTabSz="488950">
            <a:lnSpc>
              <a:spcPct val="90000"/>
            </a:lnSpc>
            <a:spcBef>
              <a:spcPct val="0"/>
            </a:spcBef>
            <a:spcAft>
              <a:spcPct val="15000"/>
            </a:spcAft>
            <a:buChar char="••"/>
          </a:pPr>
          <a:r>
            <a:rPr lang="es-CO" sz="1100" b="0" kern="1200" dirty="0" smtClean="0">
              <a:solidFill>
                <a:schemeClr val="tx2"/>
              </a:solidFill>
            </a:rPr>
            <a:t>Otros</a:t>
          </a:r>
          <a:endParaRPr lang="es-CO" sz="1100" b="0" kern="1200" dirty="0">
            <a:solidFill>
              <a:schemeClr val="tx2"/>
            </a:solidFill>
          </a:endParaRPr>
        </a:p>
      </dsp:txBody>
      <dsp:txXfrm>
        <a:off x="809770" y="1664369"/>
        <a:ext cx="1286948" cy="853976"/>
      </dsp:txXfrm>
    </dsp:sp>
    <dsp:sp modelId="{8BCBCACF-7A20-4492-AC94-7FC003089FF8}">
      <dsp:nvSpPr>
        <dsp:cNvPr id="0" name=""/>
        <dsp:cNvSpPr/>
      </dsp:nvSpPr>
      <dsp:spPr>
        <a:xfrm rot="13361285">
          <a:off x="1626486" y="1100855"/>
          <a:ext cx="1177516" cy="32249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59435C-4894-47E1-8C23-08321E3991CC}">
      <dsp:nvSpPr>
        <dsp:cNvPr id="0" name=""/>
        <dsp:cNvSpPr/>
      </dsp:nvSpPr>
      <dsp:spPr>
        <a:xfrm>
          <a:off x="1236545" y="379038"/>
          <a:ext cx="1091858" cy="967767"/>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s-CO" sz="1100" b="0" kern="1200" dirty="0" smtClean="0">
              <a:solidFill>
                <a:schemeClr val="tx2"/>
              </a:solidFill>
            </a:rPr>
            <a:t>Revisión estampilla a transporte por ductos</a:t>
          </a:r>
          <a:endParaRPr lang="es-CO" sz="1100" b="0" kern="1200" dirty="0">
            <a:solidFill>
              <a:schemeClr val="tx2"/>
            </a:solidFill>
          </a:endParaRPr>
        </a:p>
      </dsp:txBody>
      <dsp:txXfrm>
        <a:off x="1264890" y="407383"/>
        <a:ext cx="1035168" cy="911077"/>
      </dsp:txXfrm>
    </dsp:sp>
    <dsp:sp modelId="{B23FAF00-AB6D-4CC2-A13D-D362B55143E9}">
      <dsp:nvSpPr>
        <dsp:cNvPr id="0" name=""/>
        <dsp:cNvSpPr/>
      </dsp:nvSpPr>
      <dsp:spPr>
        <a:xfrm rot="16195615">
          <a:off x="2611738" y="804896"/>
          <a:ext cx="1002199" cy="32249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1D787D-3680-4111-B4C4-A7F0BDCF1870}">
      <dsp:nvSpPr>
        <dsp:cNvPr id="0" name=""/>
        <dsp:cNvSpPr/>
      </dsp:nvSpPr>
      <dsp:spPr>
        <a:xfrm>
          <a:off x="2574703" y="35049"/>
          <a:ext cx="1074991" cy="859993"/>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s-CO" sz="1100" b="0" kern="1200" dirty="0" smtClean="0">
              <a:solidFill>
                <a:schemeClr val="tx2"/>
              </a:solidFill>
            </a:rPr>
            <a:t>Remuneración inversión</a:t>
          </a:r>
        </a:p>
        <a:p>
          <a:pPr lvl="0" algn="ctr" defTabSz="488950">
            <a:lnSpc>
              <a:spcPct val="90000"/>
            </a:lnSpc>
            <a:spcBef>
              <a:spcPct val="0"/>
            </a:spcBef>
            <a:spcAft>
              <a:spcPct val="35000"/>
            </a:spcAft>
          </a:pPr>
          <a:r>
            <a:rPr lang="es-CO" sz="1100" b="0" kern="1200" dirty="0" smtClean="0">
              <a:solidFill>
                <a:schemeClr val="tx2"/>
              </a:solidFill>
            </a:rPr>
            <a:t>(Flete)</a:t>
          </a:r>
          <a:endParaRPr lang="es-CO" sz="1100" b="0" kern="1200" dirty="0">
            <a:solidFill>
              <a:schemeClr val="tx2"/>
            </a:solidFill>
          </a:endParaRPr>
        </a:p>
      </dsp:txBody>
      <dsp:txXfrm>
        <a:off x="2599891" y="60237"/>
        <a:ext cx="1024615" cy="809617"/>
      </dsp:txXfrm>
    </dsp:sp>
    <dsp:sp modelId="{215C8738-6D2C-4F79-9E9D-211941409349}">
      <dsp:nvSpPr>
        <dsp:cNvPr id="0" name=""/>
        <dsp:cNvSpPr/>
      </dsp:nvSpPr>
      <dsp:spPr>
        <a:xfrm rot="18900000">
          <a:off x="3405365" y="1121513"/>
          <a:ext cx="1035005" cy="32249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DAA2C3-CC50-4C14-8D1E-A35D51234BBC}">
      <dsp:nvSpPr>
        <dsp:cNvPr id="0" name=""/>
        <dsp:cNvSpPr/>
      </dsp:nvSpPr>
      <dsp:spPr>
        <a:xfrm>
          <a:off x="3751302" y="486836"/>
          <a:ext cx="1074991" cy="859993"/>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88950">
            <a:lnSpc>
              <a:spcPct val="90000"/>
            </a:lnSpc>
            <a:spcBef>
              <a:spcPct val="0"/>
            </a:spcBef>
            <a:spcAft>
              <a:spcPct val="35000"/>
            </a:spcAft>
          </a:pPr>
          <a:r>
            <a:rPr lang="es-CO" sz="1100" b="0" kern="1200" dirty="0" smtClean="0">
              <a:solidFill>
                <a:schemeClr val="tx2"/>
              </a:solidFill>
            </a:rPr>
            <a:t>AOM</a:t>
          </a:r>
          <a:endParaRPr lang="es-CO" sz="1100" b="0" kern="1200" dirty="0">
            <a:solidFill>
              <a:schemeClr val="tx2"/>
            </a:solidFill>
          </a:endParaRPr>
        </a:p>
        <a:p>
          <a:pPr marL="57150" lvl="1" indent="-57150" algn="l" defTabSz="488950">
            <a:lnSpc>
              <a:spcPct val="90000"/>
            </a:lnSpc>
            <a:spcBef>
              <a:spcPct val="0"/>
            </a:spcBef>
            <a:spcAft>
              <a:spcPct val="15000"/>
            </a:spcAft>
            <a:buChar char="••"/>
          </a:pPr>
          <a:r>
            <a:rPr lang="es-CO" sz="1100" b="0" kern="1200" dirty="0" smtClean="0">
              <a:solidFill>
                <a:schemeClr val="tx2"/>
              </a:solidFill>
            </a:rPr>
            <a:t>Información para cálculo</a:t>
          </a:r>
          <a:endParaRPr lang="es-CO" sz="1100" b="0" kern="1200" dirty="0">
            <a:solidFill>
              <a:schemeClr val="tx2"/>
            </a:solidFill>
          </a:endParaRPr>
        </a:p>
      </dsp:txBody>
      <dsp:txXfrm>
        <a:off x="3776490" y="512024"/>
        <a:ext cx="1024615" cy="809617"/>
      </dsp:txXfrm>
    </dsp:sp>
    <dsp:sp modelId="{582E45A6-D5FD-49BA-8C22-8C0A8D516CDE}">
      <dsp:nvSpPr>
        <dsp:cNvPr id="0" name=""/>
        <dsp:cNvSpPr/>
      </dsp:nvSpPr>
      <dsp:spPr>
        <a:xfrm>
          <a:off x="3740296" y="1930109"/>
          <a:ext cx="1035005" cy="32249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0EDAFC-CB0D-46C7-BC99-803D5EDAEC62}">
      <dsp:nvSpPr>
        <dsp:cNvPr id="0" name=""/>
        <dsp:cNvSpPr/>
      </dsp:nvSpPr>
      <dsp:spPr>
        <a:xfrm>
          <a:off x="4237806" y="1661361"/>
          <a:ext cx="1074991" cy="85999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es-CO" sz="1100" b="0" kern="1200" dirty="0" smtClean="0">
              <a:solidFill>
                <a:schemeClr val="tx2"/>
              </a:solidFill>
            </a:rPr>
            <a:t>Flete a Providencia</a:t>
          </a:r>
          <a:endParaRPr lang="es-CO" sz="1100" b="0" kern="1200" dirty="0">
            <a:solidFill>
              <a:schemeClr val="tx2"/>
            </a:solidFill>
          </a:endParaRPr>
        </a:p>
      </dsp:txBody>
      <dsp:txXfrm>
        <a:off x="4262994" y="1686549"/>
        <a:ext cx="1024615" cy="8096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0.11318</cdr:x>
      <cdr:y>0.6766</cdr:y>
    </cdr:from>
    <cdr:to>
      <cdr:x>0.19142</cdr:x>
      <cdr:y>0.74041</cdr:y>
    </cdr:to>
    <cdr:sp macro="" textlink="">
      <cdr:nvSpPr>
        <cdr:cNvPr id="2" name="4 CuadroTexto"/>
        <cdr:cNvSpPr txBox="1"/>
      </cdr:nvSpPr>
      <cdr:spPr>
        <a:xfrm xmlns:a="http://schemas.openxmlformats.org/drawingml/2006/main">
          <a:off x="653313" y="2184720"/>
          <a:ext cx="451587" cy="206055"/>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800"/>
            <a:t>23,7%</a:t>
          </a:r>
        </a:p>
      </cdr:txBody>
    </cdr:sp>
  </cdr:relSizeAnchor>
  <cdr:relSizeAnchor xmlns:cdr="http://schemas.openxmlformats.org/drawingml/2006/chartDrawing">
    <cdr:from>
      <cdr:x>0.48295</cdr:x>
      <cdr:y>0.65774</cdr:y>
    </cdr:from>
    <cdr:to>
      <cdr:x>0.56436</cdr:x>
      <cdr:y>0.71976</cdr:y>
    </cdr:to>
    <cdr:sp macro="" textlink="">
      <cdr:nvSpPr>
        <cdr:cNvPr id="3" name="4 CuadroTexto"/>
        <cdr:cNvSpPr txBox="1"/>
      </cdr:nvSpPr>
      <cdr:spPr>
        <a:xfrm xmlns:a="http://schemas.openxmlformats.org/drawingml/2006/main">
          <a:off x="2787663" y="2123837"/>
          <a:ext cx="469888" cy="20026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900"/>
            <a:t>18,1%</a:t>
          </a:r>
        </a:p>
      </cdr:txBody>
    </cdr:sp>
  </cdr:relSizeAnchor>
  <cdr:relSizeAnchor xmlns:cdr="http://schemas.openxmlformats.org/drawingml/2006/chartDrawing">
    <cdr:from>
      <cdr:x>0.48726</cdr:x>
      <cdr:y>0.55502</cdr:y>
    </cdr:from>
    <cdr:to>
      <cdr:x>0.57921</cdr:x>
      <cdr:y>0.60472</cdr:y>
    </cdr:to>
    <cdr:sp macro="" textlink="">
      <cdr:nvSpPr>
        <cdr:cNvPr id="4" name="4 CuadroTexto"/>
        <cdr:cNvSpPr txBox="1"/>
      </cdr:nvSpPr>
      <cdr:spPr>
        <a:xfrm xmlns:a="http://schemas.openxmlformats.org/drawingml/2006/main">
          <a:off x="2812541" y="1792152"/>
          <a:ext cx="530734" cy="160474"/>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800"/>
            <a:t>7,8%</a:t>
          </a:r>
        </a:p>
      </cdr:txBody>
    </cdr:sp>
  </cdr:relSizeAnchor>
  <cdr:relSizeAnchor xmlns:cdr="http://schemas.openxmlformats.org/drawingml/2006/chartDrawing">
    <cdr:from>
      <cdr:x>0.11483</cdr:x>
      <cdr:y>0.59543</cdr:y>
    </cdr:from>
    <cdr:to>
      <cdr:x>0.19307</cdr:x>
      <cdr:y>0.66077</cdr:y>
    </cdr:to>
    <cdr:sp macro="" textlink="">
      <cdr:nvSpPr>
        <cdr:cNvPr id="5" name="4 CuadroTexto"/>
        <cdr:cNvSpPr txBox="1"/>
      </cdr:nvSpPr>
      <cdr:spPr>
        <a:xfrm xmlns:a="http://schemas.openxmlformats.org/drawingml/2006/main">
          <a:off x="662839" y="1922637"/>
          <a:ext cx="451586" cy="21096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800"/>
            <a:t>4,7%</a:t>
          </a:r>
        </a:p>
      </cdr:txBody>
    </cdr:sp>
  </cdr:relSizeAnchor>
  <cdr:relSizeAnchor xmlns:cdr="http://schemas.openxmlformats.org/drawingml/2006/chartDrawing">
    <cdr:from>
      <cdr:x>0.4638</cdr:x>
      <cdr:y>0.36754</cdr:y>
    </cdr:from>
    <cdr:to>
      <cdr:x>0.55347</cdr:x>
      <cdr:y>0.43363</cdr:y>
    </cdr:to>
    <cdr:sp macro="" textlink="">
      <cdr:nvSpPr>
        <cdr:cNvPr id="6" name="4 CuadroTexto"/>
        <cdr:cNvSpPr txBox="1"/>
      </cdr:nvSpPr>
      <cdr:spPr>
        <a:xfrm xmlns:a="http://schemas.openxmlformats.org/drawingml/2006/main">
          <a:off x="2677115" y="1186768"/>
          <a:ext cx="517571" cy="21340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800"/>
            <a:t>74,1%</a:t>
          </a:r>
        </a:p>
      </cdr:txBody>
    </cdr:sp>
  </cdr:relSizeAnchor>
  <cdr:relSizeAnchor xmlns:cdr="http://schemas.openxmlformats.org/drawingml/2006/chartDrawing">
    <cdr:from>
      <cdr:x>0.89274</cdr:x>
      <cdr:y>0.33637</cdr:y>
    </cdr:from>
    <cdr:to>
      <cdr:x>0.9868</cdr:x>
      <cdr:y>0.39528</cdr:y>
    </cdr:to>
    <cdr:sp macro="" textlink="">
      <cdr:nvSpPr>
        <cdr:cNvPr id="7" name="4 CuadroTexto"/>
        <cdr:cNvSpPr txBox="1"/>
      </cdr:nvSpPr>
      <cdr:spPr>
        <a:xfrm xmlns:a="http://schemas.openxmlformats.org/drawingml/2006/main">
          <a:off x="5153026" y="1086127"/>
          <a:ext cx="542924" cy="190223"/>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800"/>
            <a:t>44,4%</a:t>
          </a:r>
        </a:p>
      </cdr:txBody>
    </cdr:sp>
  </cdr:relSizeAnchor>
  <cdr:relSizeAnchor xmlns:cdr="http://schemas.openxmlformats.org/drawingml/2006/chartDrawing">
    <cdr:from>
      <cdr:x>0.90768</cdr:x>
      <cdr:y>0.51924</cdr:y>
    </cdr:from>
    <cdr:to>
      <cdr:x>0.98515</cdr:x>
      <cdr:y>0.57817</cdr:y>
    </cdr:to>
    <cdr:sp macro="" textlink="">
      <cdr:nvSpPr>
        <cdr:cNvPr id="8" name="4 CuadroTexto"/>
        <cdr:cNvSpPr txBox="1"/>
      </cdr:nvSpPr>
      <cdr:spPr>
        <a:xfrm xmlns:a="http://schemas.openxmlformats.org/drawingml/2006/main">
          <a:off x="5239285" y="1676613"/>
          <a:ext cx="447140" cy="190288"/>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700"/>
            <a:t>31,8%</a:t>
          </a:r>
        </a:p>
      </cdr:txBody>
    </cdr:sp>
  </cdr:relSizeAnchor>
  <cdr:relSizeAnchor xmlns:cdr="http://schemas.openxmlformats.org/drawingml/2006/chartDrawing">
    <cdr:from>
      <cdr:x>0.88449</cdr:x>
      <cdr:y>0.65453</cdr:y>
    </cdr:from>
    <cdr:to>
      <cdr:x>0.967</cdr:x>
      <cdr:y>0.71091</cdr:y>
    </cdr:to>
    <cdr:sp macro="" textlink="">
      <cdr:nvSpPr>
        <cdr:cNvPr id="9" name="4 CuadroTexto"/>
        <cdr:cNvSpPr txBox="1"/>
      </cdr:nvSpPr>
      <cdr:spPr>
        <a:xfrm xmlns:a="http://schemas.openxmlformats.org/drawingml/2006/main">
          <a:off x="5105401" y="2113476"/>
          <a:ext cx="476249" cy="18205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O" sz="900"/>
            <a:t>23,8%</a:t>
          </a:r>
        </a:p>
      </cdr:txBody>
    </cdr:sp>
  </cdr:relSizeAnchor>
</c:userShapes>
</file>

<file path=word/drawings/drawing2.xml><?xml version="1.0" encoding="utf-8"?>
<c:userShapes xmlns:c="http://schemas.openxmlformats.org/drawingml/2006/chart">
  <cdr:relSizeAnchor xmlns:cdr="http://schemas.openxmlformats.org/drawingml/2006/chartDrawing">
    <cdr:from>
      <cdr:x>0.84395</cdr:x>
      <cdr:y>0.24866</cdr:y>
    </cdr:from>
    <cdr:to>
      <cdr:x>0.91107</cdr:x>
      <cdr:y>0.3194</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670425" y="736600"/>
          <a:ext cx="371475" cy="209550"/>
        </a:xfrm>
        <a:prstGeom xmlns:a="http://schemas.openxmlformats.org/drawingml/2006/main" prst="rect">
          <a:avLst/>
        </a:prstGeom>
        <a:solidFill xmlns:a="http://schemas.openxmlformats.org/drawingml/2006/main">
          <a:schemeClr val="accent2">
            <a:lumMod val="60000"/>
            <a:lumOff val="4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CO" sz="1000" b="1">
              <a:solidFill>
                <a:schemeClr val="bg1"/>
              </a:solidFill>
            </a:rPr>
            <a:t>6%</a:t>
          </a:r>
        </a:p>
      </cdr:txBody>
    </cdr:sp>
  </cdr:relSizeAnchor>
  <cdr:relSizeAnchor xmlns:cdr="http://schemas.openxmlformats.org/drawingml/2006/chartDrawing">
    <cdr:from>
      <cdr:x>0.85255</cdr:x>
      <cdr:y>0.55734</cdr:y>
    </cdr:from>
    <cdr:to>
      <cdr:x>0.91968</cdr:x>
      <cdr:y>0.62808</cdr:y>
    </cdr:to>
    <cdr:sp macro="" textlink="">
      <cdr:nvSpPr>
        <cdr:cNvPr id="3" name="Cuadro de texto 2"/>
        <cdr:cNvSpPr txBox="1">
          <a:spLocks xmlns:a="http://schemas.openxmlformats.org/drawingml/2006/main" noChangeArrowheads="1"/>
        </cdr:cNvSpPr>
      </cdr:nvSpPr>
      <cdr:spPr bwMode="auto">
        <a:xfrm xmlns:a="http://schemas.openxmlformats.org/drawingml/2006/main">
          <a:off x="4718050" y="1651000"/>
          <a:ext cx="371475" cy="209550"/>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s-CO" sz="800" b="1">
              <a:solidFill>
                <a:schemeClr val="bg1"/>
              </a:solidFill>
            </a:rPr>
            <a:t>94%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85901-FFCE-4DD7-8A22-E969137A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PLANTILLA1</Template>
  <TotalTime>1</TotalTime>
  <Pages>18</Pages>
  <Words>3839</Words>
  <Characters>21704</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25493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LSROJAS</dc:creator>
  <cp:lastModifiedBy>Luz Stella Rojas Macias</cp:lastModifiedBy>
  <cp:revision>2</cp:revision>
  <cp:lastPrinted>2015-12-04T20:48:00Z</cp:lastPrinted>
  <dcterms:created xsi:type="dcterms:W3CDTF">2015-12-21T22:52:00Z</dcterms:created>
  <dcterms:modified xsi:type="dcterms:W3CDTF">2015-12-21T22:52:00Z</dcterms:modified>
</cp:coreProperties>
</file>