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9D4B4F"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5724"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Pr="007507BF" w:rsidRDefault="00D126E3" w:rsidP="00D126E3">
      <w:pPr>
        <w:tabs>
          <w:tab w:val="left" w:pos="0"/>
          <w:tab w:val="right" w:pos="9498"/>
        </w:tabs>
        <w:ind w:left="0" w:right="-142"/>
        <w:jc w:val="center"/>
        <w:rPr>
          <w:rFonts w:ascii="Bookman Old Style" w:hAnsi="Bookman Old Style"/>
          <w:sz w:val="20"/>
          <w:lang w:val="es-ES_tradnl"/>
        </w:rPr>
      </w:pPr>
    </w:p>
    <w:p w:rsidR="00D126E3" w:rsidRDefault="00D126E3" w:rsidP="00D126E3">
      <w:pPr>
        <w:tabs>
          <w:tab w:val="right" w:pos="9498"/>
        </w:tabs>
        <w:ind w:left="0" w:right="-142"/>
        <w:rPr>
          <w:rFonts w:ascii="Bookman Old Style" w:hAnsi="Bookman Old Style"/>
          <w:bCs/>
          <w:sz w:val="22"/>
          <w:lang w:val="es-CO"/>
        </w:rPr>
      </w:pPr>
    </w:p>
    <w:p w:rsidR="00DA3ED9" w:rsidRPr="007507BF" w:rsidRDefault="00DA3ED9"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5D6FB3">
        <w:rPr>
          <w:rFonts w:ascii="Bookman Old Style" w:hAnsi="Bookman Old Style"/>
          <w:bCs/>
          <w:lang w:val="es-CO"/>
        </w:rPr>
        <w:t xml:space="preserve">la </w:t>
      </w:r>
      <w:r w:rsidR="005D6FB3" w:rsidRPr="005D6FB3">
        <w:rPr>
          <w:rFonts w:ascii="Bookman Old Style" w:hAnsi="Bookman Old Style"/>
          <w:bCs/>
          <w:lang w:val="es-CO"/>
        </w:rPr>
        <w:t xml:space="preserve">Distribuidora </w:t>
      </w:r>
      <w:r w:rsidR="005D6FB3">
        <w:rPr>
          <w:rFonts w:ascii="Bookman Old Style" w:hAnsi="Bookman Old Style"/>
          <w:bCs/>
          <w:lang w:val="es-CO"/>
        </w:rPr>
        <w:t>de</w:t>
      </w:r>
      <w:r w:rsidR="005328C4">
        <w:rPr>
          <w:rFonts w:ascii="Bookman Old Style" w:hAnsi="Bookman Old Style"/>
          <w:bCs/>
          <w:lang w:val="es-CO"/>
        </w:rPr>
        <w:t xml:space="preserve"> Gas</w:t>
      </w:r>
      <w:r w:rsidR="005D6FB3">
        <w:rPr>
          <w:rFonts w:ascii="Bookman Old Style" w:hAnsi="Bookman Old Style"/>
          <w:bCs/>
          <w:lang w:val="es-CO"/>
        </w:rPr>
        <w:t xml:space="preserve"> </w:t>
      </w:r>
      <w:proofErr w:type="spellStart"/>
      <w:r w:rsidR="005D6FB3" w:rsidRPr="005D6FB3">
        <w:rPr>
          <w:rFonts w:ascii="Bookman Old Style" w:hAnsi="Bookman Old Style"/>
          <w:bCs/>
          <w:lang w:val="es-CO"/>
        </w:rPr>
        <w:t>Monzagas</w:t>
      </w:r>
      <w:proofErr w:type="spellEnd"/>
      <w:r w:rsidR="005D6FB3">
        <w:rPr>
          <w:rFonts w:ascii="Bookman Old Style" w:hAnsi="Bookman Old Style"/>
          <w:bCs/>
          <w:lang w:val="es-CO"/>
        </w:rPr>
        <w:t xml:space="preserve"> </w:t>
      </w:r>
      <w:r w:rsidR="00EC3BB2">
        <w:rPr>
          <w:rFonts w:ascii="Bookman Old Style" w:hAnsi="Bookman Old Style"/>
          <w:bCs/>
          <w:lang w:val="es-CO"/>
        </w:rPr>
        <w:t>S.A. E.S.P.</w:t>
      </w:r>
      <w:r w:rsidRPr="00D7035A">
        <w:rPr>
          <w:rFonts w:ascii="Bookman Old Style" w:hAnsi="Bookman Old Style"/>
          <w:bCs/>
          <w:lang w:val="es-CO"/>
        </w:rPr>
        <w:t xml:space="preserve"> contra la Resolución CREG </w:t>
      </w:r>
      <w:r w:rsidR="00EC3BB2">
        <w:rPr>
          <w:rFonts w:ascii="Bookman Old Style" w:hAnsi="Bookman Old Style"/>
          <w:bCs/>
          <w:lang w:val="es-CO"/>
        </w:rPr>
        <w:t>075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Pr="003234E2" w:rsidRDefault="00D126E3"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EC3BB2" w:rsidRPr="003234E2" w:rsidRDefault="00EC3BB2" w:rsidP="00EC3BB2">
      <w:pPr>
        <w:tabs>
          <w:tab w:val="right" w:pos="9498"/>
        </w:tabs>
        <w:ind w:left="0" w:right="-142"/>
        <w:jc w:val="center"/>
        <w:rPr>
          <w:rFonts w:ascii="Bookman Old Style" w:hAnsi="Bookman Old Style" w:cs="Arial"/>
          <w:sz w:val="22"/>
        </w:rPr>
      </w:pPr>
    </w:p>
    <w:p w:rsidR="00D126E3" w:rsidRPr="003234E2" w:rsidRDefault="00D126E3" w:rsidP="00D126E3">
      <w:pPr>
        <w:tabs>
          <w:tab w:val="right" w:pos="9498"/>
        </w:tabs>
        <w:ind w:left="0" w:right="-142"/>
        <w:jc w:val="both"/>
        <w:rPr>
          <w:rFonts w:ascii="Bookman Old Style" w:hAnsi="Bookman Old Style" w:cs="Arial"/>
          <w:sz w:val="22"/>
        </w:rPr>
      </w:pPr>
    </w:p>
    <w:p w:rsidR="00D126E3" w:rsidRDefault="00D126E3" w:rsidP="00D126E3">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D126E3" w:rsidRPr="003234E2" w:rsidRDefault="00D126E3" w:rsidP="00D126E3">
      <w:pPr>
        <w:tabs>
          <w:tab w:val="right" w:pos="9498"/>
        </w:tabs>
        <w:ind w:left="0" w:right="-142"/>
        <w:jc w:val="center"/>
        <w:rPr>
          <w:rFonts w:ascii="Bookman Old Style" w:hAnsi="Bookman Old Style" w:cs="Arial"/>
          <w:b/>
          <w:sz w:val="20"/>
        </w:rPr>
      </w:pPr>
    </w:p>
    <w:p w:rsidR="00D126E3" w:rsidRDefault="00D126E3" w:rsidP="00D126E3">
      <w:pPr>
        <w:tabs>
          <w:tab w:val="right" w:pos="9498"/>
        </w:tabs>
        <w:ind w:left="0" w:right="-142"/>
        <w:jc w:val="center"/>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w:t>
      </w:r>
      <w:r w:rsidRPr="00EC3BB2">
        <w:rPr>
          <w:rFonts w:ascii="Bookman Old Style" w:hAnsi="Bookman Old Style" w:cs="Arial"/>
          <w:spacing w:val="-5"/>
          <w:lang w:val="es-CO" w:eastAsia="en-US"/>
        </w:rPr>
        <w:lastRenderedPageBreak/>
        <w:t>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616485" w:rsidRDefault="00616485"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616485"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9D4B4F"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9D4B4F"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9D4B4F"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616485"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616485"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616485" w:rsidRDefault="009D4B4F"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9D4B4F"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9D4B4F"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616485"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616485"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616485" w:rsidRDefault="00616485"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616485"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616485"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616485" w:rsidRDefault="00616485"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61648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61648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616485"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61648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61648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Default="00EC3BB2" w:rsidP="00EC3BB2">
            <w:pPr>
              <w:ind w:left="0"/>
              <w:jc w:val="both"/>
              <w:rPr>
                <w:rFonts w:ascii="Bookman Old Style" w:hAnsi="Bookman Old Style"/>
                <w:color w:val="000000"/>
                <w:kern w:val="24"/>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p w:rsidR="00116D42" w:rsidRPr="00EC3BB2" w:rsidRDefault="00116D42" w:rsidP="00EC3BB2">
            <w:pPr>
              <w:ind w:left="0"/>
              <w:jc w:val="both"/>
              <w:rPr>
                <w:rFonts w:ascii="Bookman Old Style" w:hAnsi="Bookman Old Style" w:cs="Arial"/>
                <w:sz w:val="22"/>
                <w:szCs w:val="22"/>
                <w:lang w:val="es-CO" w:eastAsia="es-CO"/>
              </w:rPr>
            </w:pPr>
          </w:p>
        </w:tc>
      </w:tr>
    </w:tbl>
    <w:p w:rsidR="00EC3BB2" w:rsidRPr="00616485" w:rsidRDefault="00616485"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61648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61648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61648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616485" w:rsidRDefault="00616485"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616485"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616485"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616485"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616485"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616485"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C3BB2">
        <w:rPr>
          <w:rFonts w:ascii="Bookman Old Style" w:hAnsi="Bookman Old Style" w:cs="Arial"/>
          <w:b/>
          <w:sz w:val="22"/>
          <w:szCs w:val="22"/>
        </w:rPr>
        <w:t xml:space="preserve">“Artículo 9. Determinación y publicación de información. </w:t>
      </w:r>
      <w:r w:rsidRPr="00EC3BB2">
        <w:rPr>
          <w:rFonts w:ascii="Bookman Old Style" w:hAnsi="Bookman Old Style" w:cs="Arial"/>
          <w:sz w:val="22"/>
          <w:szCs w:val="22"/>
        </w:rPr>
        <w:t xml:space="preserve">Atendiendo lo dispuesto en el artículo anterior, </w:t>
      </w:r>
      <w:r w:rsidRPr="00EC3BB2">
        <w:rPr>
          <w:rFonts w:ascii="Bookman Old Style" w:hAnsi="Bookman Old Style" w:cs="Arial"/>
          <w:b/>
          <w:sz w:val="22"/>
          <w:szCs w:val="22"/>
          <w:u w:val="single"/>
        </w:rPr>
        <w:t>la CREG determinará</w:t>
      </w:r>
      <w:r w:rsidRPr="00EC3BB2">
        <w:rPr>
          <w:rFonts w:ascii="Bookman Old Style" w:hAnsi="Bookman Old Style" w:cs="Arial"/>
          <w:sz w:val="22"/>
          <w:szCs w:val="22"/>
        </w:rPr>
        <w:t xml:space="preserve"> y publicará, por lo menos con un (1) mes de anterioridad al inicio del periodo de compra, la capacidad de compra de cada distribuidor, </w:t>
      </w:r>
      <w:r w:rsidRPr="00EC3BB2">
        <w:rPr>
          <w:rFonts w:ascii="Bookman Old Style" w:hAnsi="Bookman Old Style" w:cs="Arial"/>
          <w:b/>
          <w:sz w:val="22"/>
          <w:szCs w:val="22"/>
          <w:u w:val="single"/>
        </w:rPr>
        <w:t>con información reportada al SUI, hasta el día 10 del mes correspondiente.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C3BB2">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i/>
          <w:color w:val="000000"/>
          <w:sz w:val="22"/>
          <w:szCs w:val="22"/>
          <w:lang w:val="es-CO" w:eastAsia="es-CO"/>
        </w:rPr>
        <w:t>"</w:t>
      </w:r>
      <w:r w:rsidRPr="007E0F7D">
        <w:rPr>
          <w:rFonts w:ascii="Bookman Old Style" w:hAnsi="Bookman Old Style" w:cs="Arial"/>
          <w:b/>
          <w:sz w:val="22"/>
          <w:szCs w:val="22"/>
          <w:lang w:val="es-ES_tradnl" w:eastAsia="ar-SA"/>
        </w:rPr>
        <w:t>Artículo nuevo. Del sistema único de información</w:t>
      </w:r>
      <w:r w:rsidRPr="007E0F7D">
        <w:rPr>
          <w:rFonts w:ascii="Bookman Old Style" w:hAnsi="Bookman Old Style" w:cs="Arial"/>
          <w:sz w:val="22"/>
          <w:szCs w:val="22"/>
          <w:lang w:val="es-ES_tradnl" w:eastAsia="ar-SA"/>
        </w:rPr>
        <w:t xml:space="preserve">. </w:t>
      </w:r>
      <w:r w:rsidRPr="007E0F7D">
        <w:rPr>
          <w:rFonts w:ascii="Bookman Old Style" w:hAnsi="Bookman Old Style" w:cs="Arial"/>
          <w:b/>
          <w:sz w:val="22"/>
          <w:szCs w:val="22"/>
          <w:lang w:val="es-ES_tradnl" w:eastAsia="ar-SA"/>
        </w:rPr>
        <w:t xml:space="preserve">Corresponde a la Superintendencia de Servicios Públicos Domiciliarios, en desarrollo de sus funciones de inspección y vigilancia, establecer, administrar, mantener y operar </w:t>
      </w:r>
      <w:r w:rsidRPr="007E0F7D">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7E0F7D">
        <w:rPr>
          <w:rFonts w:ascii="Bookman Old Style" w:hAnsi="Bookman Old Style" w:cs="Arial"/>
          <w:b/>
          <w:sz w:val="22"/>
          <w:szCs w:val="22"/>
          <w:lang w:val="es-ES_tradnl" w:eastAsia="ar-SA"/>
        </w:rPr>
        <w:t xml:space="preserve"> </w:t>
      </w:r>
      <w:r w:rsidRPr="007E0F7D">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7E0F7D">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sz w:val="22"/>
          <w:szCs w:val="22"/>
          <w:lang w:val="es-ES_tradnl" w:eastAsia="ar-SA"/>
        </w:rPr>
        <w:t>1. Evitar la duplicidad de funciones en materia de información relativa a los servicios públicos.</w:t>
      </w: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sz w:val="22"/>
          <w:szCs w:val="22"/>
          <w:lang w:val="es-ES_tradnl" w:eastAsia="ar-SA"/>
        </w:rPr>
        <w:t>(…)</w:t>
      </w: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7E0F7D">
        <w:rPr>
          <w:rFonts w:ascii="Bookman Old Style" w:hAnsi="Bookman Old Style" w:cs="Arial"/>
          <w:b/>
          <w:sz w:val="22"/>
          <w:szCs w:val="22"/>
          <w:u w:val="single"/>
          <w:lang w:val="es-ES_tradnl" w:eastAsia="ar-SA"/>
        </w:rPr>
        <w:t>4. Apoyar las funciones asignadas a las Comisiones de Regulación.</w:t>
      </w: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sz w:val="22"/>
          <w:szCs w:val="22"/>
          <w:lang w:val="es-ES_tradnl" w:eastAsia="ar-SA"/>
        </w:rPr>
        <w:t>(…)</w:t>
      </w: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7E0F7D">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b/>
          <w:sz w:val="22"/>
          <w:szCs w:val="22"/>
          <w:lang w:val="es-ES_tradnl" w:eastAsia="ar-SA"/>
        </w:rPr>
        <w:t>Parágrafo 1°.</w:t>
      </w:r>
      <w:r w:rsidRPr="007E0F7D">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7E0F7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7E0F7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7E0F7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sz w:val="22"/>
          <w:szCs w:val="22"/>
          <w:lang w:val="es-ES_tradnl" w:eastAsia="ar-SA"/>
        </w:rPr>
        <w:t>a.</w:t>
      </w:r>
      <w:r w:rsidRPr="007E0F7D">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7E0F7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sz w:val="22"/>
          <w:szCs w:val="22"/>
          <w:lang w:val="es-ES_tradnl" w:eastAsia="ar-SA"/>
        </w:rPr>
        <w:t>b.</w:t>
      </w:r>
      <w:r w:rsidRPr="007E0F7D">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7E0F7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7E0F7D"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7E0F7D">
        <w:rPr>
          <w:rFonts w:ascii="Bookman Old Style" w:hAnsi="Bookman Old Style" w:cs="Arial"/>
          <w:sz w:val="22"/>
          <w:szCs w:val="22"/>
          <w:lang w:val="es-ES_tradnl" w:eastAsia="ar-SA"/>
        </w:rPr>
        <w:t>c.</w:t>
      </w:r>
      <w:r w:rsidRPr="007E0F7D">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7E0F7D">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FC2C01">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la Resolución CREG 075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214" w:type="dxa"/>
        <w:jc w:val="center"/>
        <w:tblCellMar>
          <w:left w:w="70" w:type="dxa"/>
          <w:right w:w="70" w:type="dxa"/>
        </w:tblCellMar>
        <w:tblLook w:val="04A0" w:firstRow="1" w:lastRow="0" w:firstColumn="1" w:lastColumn="0" w:noHBand="0" w:noVBand="1"/>
      </w:tblPr>
      <w:tblGrid>
        <w:gridCol w:w="1421"/>
        <w:gridCol w:w="4964"/>
        <w:gridCol w:w="1829"/>
      </w:tblGrid>
      <w:tr w:rsidR="00EC3BB2" w:rsidRPr="00BD1622" w:rsidTr="00616485">
        <w:trPr>
          <w:trHeight w:val="405"/>
          <w:tblHeader/>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5D6FB3" w:rsidRPr="005040A2" w:rsidTr="00616485">
        <w:trPr>
          <w:trHeight w:val="405"/>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rsidR="005D6FB3" w:rsidRPr="00616485" w:rsidRDefault="005D6FB3" w:rsidP="00616485">
            <w:pPr>
              <w:ind w:left="68"/>
              <w:rPr>
                <w:rFonts w:ascii="Bookman Old Style" w:hAnsi="Bookman Old Style"/>
                <w:sz w:val="18"/>
                <w:szCs w:val="18"/>
              </w:rPr>
            </w:pPr>
            <w:r w:rsidRPr="00616485">
              <w:rPr>
                <w:rFonts w:ascii="Bookman Old Style" w:hAnsi="Bookman Old Style"/>
                <w:sz w:val="18"/>
                <w:szCs w:val="18"/>
              </w:rPr>
              <w:t>2923</w:t>
            </w:r>
          </w:p>
        </w:tc>
        <w:tc>
          <w:tcPr>
            <w:tcW w:w="4964" w:type="dxa"/>
            <w:tcBorders>
              <w:top w:val="nil"/>
              <w:left w:val="nil"/>
              <w:bottom w:val="single" w:sz="4" w:space="0" w:color="auto"/>
              <w:right w:val="single" w:sz="4" w:space="0" w:color="auto"/>
            </w:tcBorders>
            <w:shd w:val="clear" w:color="auto" w:fill="auto"/>
            <w:noWrap/>
            <w:vAlign w:val="center"/>
            <w:hideMark/>
          </w:tcPr>
          <w:p w:rsidR="005D6FB3" w:rsidRPr="00616485" w:rsidRDefault="005D6FB3" w:rsidP="00616485">
            <w:pPr>
              <w:ind w:left="68"/>
              <w:rPr>
                <w:rFonts w:ascii="Bookman Old Style" w:hAnsi="Bookman Old Style"/>
                <w:sz w:val="18"/>
                <w:szCs w:val="18"/>
              </w:rPr>
            </w:pPr>
            <w:r w:rsidRPr="00616485">
              <w:rPr>
                <w:rFonts w:ascii="Bookman Old Style" w:hAnsi="Bookman Old Style"/>
                <w:sz w:val="18"/>
                <w:szCs w:val="18"/>
              </w:rPr>
              <w:t>DISTRIBUIDORA DE GAS MONZAGAS S.A. E.S.P.</w:t>
            </w:r>
          </w:p>
        </w:tc>
        <w:tc>
          <w:tcPr>
            <w:tcW w:w="1829" w:type="dxa"/>
            <w:tcBorders>
              <w:top w:val="nil"/>
              <w:left w:val="nil"/>
              <w:bottom w:val="single" w:sz="4" w:space="0" w:color="auto"/>
              <w:right w:val="single" w:sz="4" w:space="0" w:color="auto"/>
            </w:tcBorders>
            <w:shd w:val="clear" w:color="auto" w:fill="auto"/>
            <w:noWrap/>
            <w:vAlign w:val="center"/>
            <w:hideMark/>
          </w:tcPr>
          <w:p w:rsidR="005D6FB3" w:rsidRPr="00616485" w:rsidRDefault="005D6FB3" w:rsidP="00616485">
            <w:pPr>
              <w:ind w:left="68"/>
              <w:rPr>
                <w:rFonts w:ascii="Bookman Old Style" w:hAnsi="Bookman Old Style"/>
                <w:sz w:val="18"/>
                <w:szCs w:val="18"/>
              </w:rPr>
            </w:pPr>
            <w:r w:rsidRPr="00616485">
              <w:rPr>
                <w:rFonts w:ascii="Bookman Old Style" w:hAnsi="Bookman Old Style"/>
                <w:sz w:val="18"/>
                <w:szCs w:val="18"/>
              </w:rPr>
              <w:t>97.139</w:t>
            </w:r>
          </w:p>
        </w:tc>
      </w:tr>
    </w:tbl>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ab/>
      </w: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ab/>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DC6FA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sidR="00CF092A">
        <w:rPr>
          <w:rFonts w:ascii="Bookman Old Style" w:hAnsi="Bookman Old Style" w:cs="Arial"/>
          <w:spacing w:val="-5"/>
          <w:lang w:val="es-CO" w:eastAsia="en-US"/>
        </w:rPr>
        <w:t>con</w:t>
      </w:r>
      <w:r w:rsidR="005040A2">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número E-2016-</w:t>
      </w:r>
      <w:r w:rsidR="00E836A3">
        <w:rPr>
          <w:rFonts w:ascii="Bookman Old Style" w:hAnsi="Bookman Old Style" w:cs="Arial"/>
          <w:spacing w:val="-5"/>
          <w:lang w:val="es-CO" w:eastAsia="en-US"/>
        </w:rPr>
        <w:t>007244</w:t>
      </w:r>
      <w:r w:rsidRPr="00EC3BB2">
        <w:rPr>
          <w:rFonts w:ascii="Bookman Old Style" w:hAnsi="Bookman Old Style" w:cs="Arial"/>
          <w:spacing w:val="-5"/>
          <w:lang w:val="es-CO" w:eastAsia="en-US"/>
        </w:rPr>
        <w:t xml:space="preserve"> de</w:t>
      </w:r>
      <w:r w:rsidR="00FC2C01">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w:t>
      </w:r>
      <w:r w:rsidR="003C7655">
        <w:rPr>
          <w:rFonts w:ascii="Bookman Old Style" w:hAnsi="Bookman Old Style" w:cs="Arial"/>
          <w:spacing w:val="-5"/>
          <w:lang w:val="es-CO" w:eastAsia="en-US"/>
        </w:rPr>
        <w:t>27</w:t>
      </w:r>
      <w:r w:rsidR="005040A2">
        <w:rPr>
          <w:rFonts w:ascii="Bookman Old Style" w:hAnsi="Bookman Old Style" w:cs="Arial"/>
          <w:spacing w:val="-5"/>
          <w:lang w:val="es-CO" w:eastAsia="en-US"/>
        </w:rPr>
        <w:t xml:space="preserve"> de jun</w:t>
      </w:r>
      <w:r w:rsidRPr="00EC3BB2">
        <w:rPr>
          <w:rFonts w:ascii="Bookman Old Style" w:hAnsi="Bookman Old Style" w:cs="Arial"/>
          <w:spacing w:val="-5"/>
          <w:lang w:val="es-CO" w:eastAsia="en-US"/>
        </w:rPr>
        <w:t xml:space="preserve">io de 2016, </w:t>
      </w:r>
      <w:r w:rsidR="005040A2">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3C7655">
        <w:rPr>
          <w:rFonts w:ascii="Bookman Old Style" w:hAnsi="Bookman Old Style" w:cs="Arial"/>
          <w:spacing w:val="-5"/>
          <w:lang w:val="es-CO" w:eastAsia="en-US"/>
        </w:rPr>
        <w:t xml:space="preserve">Distribuidora de Gas </w:t>
      </w:r>
      <w:proofErr w:type="spellStart"/>
      <w:r w:rsidR="003C7655">
        <w:rPr>
          <w:rFonts w:ascii="Bookman Old Style" w:hAnsi="Bookman Old Style" w:cs="Arial"/>
          <w:spacing w:val="-5"/>
          <w:lang w:val="es-CO" w:eastAsia="en-US"/>
        </w:rPr>
        <w:t>Monzagas</w:t>
      </w:r>
      <w:proofErr w:type="spellEnd"/>
      <w:r w:rsidRPr="00EC3BB2">
        <w:rPr>
          <w:rFonts w:ascii="Bookman Old Style" w:hAnsi="Bookman Old Style" w:cs="Arial"/>
          <w:spacing w:val="-5"/>
          <w:lang w:val="es-CO" w:eastAsia="en-US"/>
        </w:rPr>
        <w:t xml:space="preserve"> S.A. E.S.P. interpuso recurso de reposición contra </w:t>
      </w:r>
      <w:r w:rsidR="00DC6FA9">
        <w:rPr>
          <w:rFonts w:ascii="Bookman Old Style" w:hAnsi="Bookman Old Style" w:cs="Arial"/>
          <w:spacing w:val="-5"/>
          <w:lang w:val="es-CO" w:eastAsia="en-US"/>
        </w:rPr>
        <w:t>la Resolución CREG 075 de 2016.</w:t>
      </w:r>
      <w:r w:rsidR="00FC2C01">
        <w:rPr>
          <w:rFonts w:ascii="Bookman Old Style" w:hAnsi="Bookman Old Style" w:cs="Arial"/>
          <w:spacing w:val="-5"/>
          <w:lang w:val="es-CO" w:eastAsia="en-US"/>
        </w:rPr>
        <w:t xml:space="preserve"> En dicho recurso realiza</w:t>
      </w:r>
      <w:r w:rsidR="005040A2">
        <w:rPr>
          <w:rFonts w:ascii="Bookman Old Style" w:hAnsi="Bookman Old Style" w:cs="Arial"/>
          <w:spacing w:val="-5"/>
          <w:lang w:val="es-CO" w:eastAsia="en-US"/>
        </w:rPr>
        <w:t>n</w:t>
      </w:r>
      <w:r w:rsidR="00FC2C01">
        <w:rPr>
          <w:rFonts w:ascii="Bookman Old Style" w:hAnsi="Bookman Old Style" w:cs="Arial"/>
          <w:spacing w:val="-5"/>
          <w:lang w:val="es-CO" w:eastAsia="en-US"/>
        </w:rPr>
        <w:t xml:space="preserve"> las siguientes solicitudes:</w:t>
      </w:r>
    </w:p>
    <w:p w:rsidR="00FC2C01" w:rsidRPr="00FC2C01" w:rsidRDefault="00FC2C01" w:rsidP="00FC2C01">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FC2C01" w:rsidRPr="00FC2C01" w:rsidRDefault="00FC2C01" w:rsidP="00DC2FA0">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w:t>
      </w:r>
      <w:r w:rsidR="003C7655" w:rsidRPr="003C7655">
        <w:rPr>
          <w:rFonts w:ascii="Bookman Old Style" w:hAnsi="Bookman Old Style" w:cs="Arial"/>
          <w:i/>
          <w:spacing w:val="-5"/>
          <w:sz w:val="22"/>
          <w:szCs w:val="22"/>
          <w:lang w:val="es-CO" w:eastAsia="en-US"/>
        </w:rPr>
        <w:t xml:space="preserve">De acuerdos los anteriores planteamientos, solicito respetuosamente a la </w:t>
      </w:r>
      <w:r w:rsidR="003C7655">
        <w:rPr>
          <w:rFonts w:ascii="Bookman Old Style" w:hAnsi="Bookman Old Style" w:cs="Arial"/>
          <w:i/>
          <w:spacing w:val="-5"/>
          <w:sz w:val="22"/>
          <w:szCs w:val="22"/>
          <w:lang w:val="es-CO" w:eastAsia="en-US"/>
        </w:rPr>
        <w:t>Comisión</w:t>
      </w:r>
      <w:r w:rsidR="003C7655" w:rsidRPr="003C7655">
        <w:rPr>
          <w:rFonts w:ascii="Bookman Old Style" w:hAnsi="Bookman Old Style" w:cs="Arial"/>
          <w:i/>
          <w:spacing w:val="-5"/>
          <w:sz w:val="22"/>
          <w:szCs w:val="22"/>
          <w:lang w:val="es-CO" w:eastAsia="en-US"/>
        </w:rPr>
        <w:t xml:space="preserve"> Reguladora de Energía</w:t>
      </w:r>
      <w:r w:rsidR="003C7655">
        <w:rPr>
          <w:rFonts w:ascii="Bookman Old Style" w:hAnsi="Bookman Old Style" w:cs="Arial"/>
          <w:i/>
          <w:spacing w:val="-5"/>
          <w:sz w:val="22"/>
          <w:szCs w:val="22"/>
          <w:lang w:val="es-CO" w:eastAsia="en-US"/>
        </w:rPr>
        <w:t xml:space="preserve"> </w:t>
      </w:r>
      <w:r w:rsidR="003C7655" w:rsidRPr="003C7655">
        <w:rPr>
          <w:rFonts w:ascii="Bookman Old Style" w:hAnsi="Bookman Old Style" w:cs="Arial"/>
          <w:i/>
          <w:spacing w:val="-5"/>
          <w:sz w:val="22"/>
          <w:szCs w:val="22"/>
          <w:lang w:val="es-CO" w:eastAsia="en-US"/>
        </w:rPr>
        <w:t>y</w:t>
      </w:r>
      <w:r w:rsidR="003C7655">
        <w:rPr>
          <w:rFonts w:ascii="Bookman Old Style" w:hAnsi="Bookman Old Style" w:cs="Arial"/>
          <w:i/>
          <w:spacing w:val="-5"/>
          <w:sz w:val="22"/>
          <w:szCs w:val="22"/>
          <w:lang w:val="es-CO" w:eastAsia="en-US"/>
        </w:rPr>
        <w:t xml:space="preserve"> </w:t>
      </w:r>
      <w:r w:rsidR="003C7655" w:rsidRPr="003C7655">
        <w:rPr>
          <w:rFonts w:ascii="Bookman Old Style" w:hAnsi="Bookman Old Style" w:cs="Arial"/>
          <w:i/>
          <w:spacing w:val="-5"/>
          <w:sz w:val="22"/>
          <w:szCs w:val="22"/>
          <w:lang w:val="es-CO" w:eastAsia="en-US"/>
        </w:rPr>
        <w:t>Gas</w:t>
      </w:r>
      <w:r w:rsidR="003C7655">
        <w:rPr>
          <w:rFonts w:ascii="Bookman Old Style" w:hAnsi="Bookman Old Style" w:cs="Arial"/>
          <w:i/>
          <w:spacing w:val="-5"/>
          <w:sz w:val="22"/>
          <w:szCs w:val="22"/>
          <w:lang w:val="es-CO" w:eastAsia="en-US"/>
        </w:rPr>
        <w:t xml:space="preserve"> REPONER</w:t>
      </w:r>
      <w:r w:rsidR="003C7655" w:rsidRPr="003C7655">
        <w:rPr>
          <w:rFonts w:ascii="Bookman Old Style" w:hAnsi="Bookman Old Style" w:cs="Arial"/>
          <w:i/>
          <w:spacing w:val="-5"/>
          <w:sz w:val="22"/>
          <w:szCs w:val="22"/>
          <w:lang w:val="es-CO" w:eastAsia="en-US"/>
        </w:rPr>
        <w:t xml:space="preserve"> la decis</w:t>
      </w:r>
      <w:r w:rsidR="003C7655">
        <w:rPr>
          <w:rFonts w:ascii="Bookman Old Style" w:hAnsi="Bookman Old Style" w:cs="Arial"/>
          <w:i/>
          <w:spacing w:val="-5"/>
          <w:sz w:val="22"/>
          <w:szCs w:val="22"/>
          <w:lang w:val="es-CO" w:eastAsia="en-US"/>
        </w:rPr>
        <w:t>ión contenida en la Resolución C</w:t>
      </w:r>
      <w:r w:rsidR="003C7655" w:rsidRPr="003C7655">
        <w:rPr>
          <w:rFonts w:ascii="Bookman Old Style" w:hAnsi="Bookman Old Style" w:cs="Arial"/>
          <w:i/>
          <w:spacing w:val="-5"/>
          <w:sz w:val="22"/>
          <w:szCs w:val="22"/>
          <w:lang w:val="es-CO" w:eastAsia="en-US"/>
        </w:rPr>
        <w:t>REG 075 de 2016 y en su lugar se determine no tener en cuenta las cantidades allí determinadas como ca</w:t>
      </w:r>
      <w:r w:rsidR="00CF092A">
        <w:rPr>
          <w:rFonts w:ascii="Bookman Old Style" w:hAnsi="Bookman Old Style" w:cs="Arial"/>
          <w:i/>
          <w:spacing w:val="-5"/>
          <w:sz w:val="22"/>
          <w:szCs w:val="22"/>
          <w:lang w:val="es-CO" w:eastAsia="en-US"/>
        </w:rPr>
        <w:t>pacidad máxima de compra de GLP</w:t>
      </w:r>
      <w:r w:rsidR="003C7655" w:rsidRPr="003C7655">
        <w:rPr>
          <w:rFonts w:ascii="Bookman Old Style" w:hAnsi="Bookman Old Style" w:cs="Arial"/>
          <w:i/>
          <w:spacing w:val="-5"/>
          <w:sz w:val="22"/>
          <w:szCs w:val="22"/>
          <w:lang w:val="es-CO" w:eastAsia="en-US"/>
        </w:rPr>
        <w:t xml:space="preserve"> permitiendo el libre acceso al mercado en la forma como ha venido efectuándose hasta la actualidad, lo que evitarla perjuicios no solo</w:t>
      </w:r>
      <w:r w:rsidR="003C7655">
        <w:rPr>
          <w:rFonts w:ascii="Bookman Old Style" w:hAnsi="Bookman Old Style" w:cs="Arial"/>
          <w:i/>
          <w:spacing w:val="-5"/>
          <w:sz w:val="22"/>
          <w:szCs w:val="22"/>
          <w:lang w:val="es-CO" w:eastAsia="en-US"/>
        </w:rPr>
        <w:t xml:space="preserve"> </w:t>
      </w:r>
      <w:r w:rsidR="003C7655" w:rsidRPr="003C7655">
        <w:rPr>
          <w:rFonts w:ascii="Bookman Old Style" w:hAnsi="Bookman Old Style" w:cs="Arial"/>
          <w:i/>
          <w:spacing w:val="-5"/>
          <w:sz w:val="22"/>
          <w:szCs w:val="22"/>
          <w:lang w:val="es-CO" w:eastAsia="en-US"/>
        </w:rPr>
        <w:t>a</w:t>
      </w:r>
      <w:r w:rsidR="003C7655">
        <w:rPr>
          <w:rFonts w:ascii="Bookman Old Style" w:hAnsi="Bookman Old Style" w:cs="Arial"/>
          <w:i/>
          <w:spacing w:val="-5"/>
          <w:sz w:val="22"/>
          <w:szCs w:val="22"/>
          <w:lang w:val="es-CO" w:eastAsia="en-US"/>
        </w:rPr>
        <w:t xml:space="preserve"> </w:t>
      </w:r>
      <w:r w:rsidR="003C7655" w:rsidRPr="003C7655">
        <w:rPr>
          <w:rFonts w:ascii="Bookman Old Style" w:hAnsi="Bookman Old Style" w:cs="Arial"/>
          <w:i/>
          <w:spacing w:val="-5"/>
          <w:sz w:val="22"/>
          <w:szCs w:val="22"/>
          <w:lang w:val="es-CO" w:eastAsia="en-US"/>
        </w:rPr>
        <w:t>nivel empresarial sino</w:t>
      </w:r>
      <w:r w:rsidR="003C7655">
        <w:rPr>
          <w:rFonts w:ascii="Bookman Old Style" w:hAnsi="Bookman Old Style" w:cs="Arial"/>
          <w:i/>
          <w:spacing w:val="-5"/>
          <w:sz w:val="22"/>
          <w:szCs w:val="22"/>
          <w:lang w:val="es-CO" w:eastAsia="en-US"/>
        </w:rPr>
        <w:t xml:space="preserve"> </w:t>
      </w:r>
      <w:r w:rsidR="003C7655" w:rsidRPr="003C7655">
        <w:rPr>
          <w:rFonts w:ascii="Bookman Old Style" w:hAnsi="Bookman Old Style" w:cs="Arial"/>
          <w:i/>
          <w:spacing w:val="-5"/>
          <w:sz w:val="22"/>
          <w:szCs w:val="22"/>
          <w:lang w:val="es-CO" w:eastAsia="en-US"/>
        </w:rPr>
        <w:t>a</w:t>
      </w:r>
      <w:r w:rsidR="003C7655">
        <w:rPr>
          <w:rFonts w:ascii="Bookman Old Style" w:hAnsi="Bookman Old Style" w:cs="Arial"/>
          <w:i/>
          <w:spacing w:val="-5"/>
          <w:sz w:val="22"/>
          <w:szCs w:val="22"/>
          <w:lang w:val="es-CO" w:eastAsia="en-US"/>
        </w:rPr>
        <w:t xml:space="preserve"> </w:t>
      </w:r>
      <w:r w:rsidR="003C7655" w:rsidRPr="003C7655">
        <w:rPr>
          <w:rFonts w:ascii="Bookman Old Style" w:hAnsi="Bookman Old Style" w:cs="Arial"/>
          <w:i/>
          <w:spacing w:val="-5"/>
          <w:sz w:val="22"/>
          <w:szCs w:val="22"/>
          <w:lang w:val="es-CO" w:eastAsia="en-US"/>
        </w:rPr>
        <w:t>nuestros consumidores</w:t>
      </w:r>
    </w:p>
    <w:p w:rsidR="00EC3BB2" w:rsidRPr="00EC3BB2" w:rsidRDefault="00EC3BB2" w:rsidP="00EC3BB2">
      <w:pPr>
        <w:widowControl w:val="0"/>
        <w:tabs>
          <w:tab w:val="right" w:pos="9498"/>
        </w:tabs>
        <w:adjustRightInd w:val="0"/>
        <w:ind w:left="0" w:right="-142"/>
        <w:jc w:val="both"/>
        <w:rPr>
          <w:rFonts w:ascii="Arial" w:hAnsi="Arial" w:cs="Arial"/>
          <w:sz w:val="22"/>
          <w:szCs w:val="22"/>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075 de 2016 fue notificada a </w:t>
      </w:r>
      <w:proofErr w:type="spellStart"/>
      <w:r w:rsidR="003C7655">
        <w:rPr>
          <w:rFonts w:ascii="Bookman Old Style" w:hAnsi="Bookman Old Style" w:cs="Arial"/>
          <w:spacing w:val="-5"/>
          <w:lang w:val="es-CO" w:eastAsia="en-US"/>
        </w:rPr>
        <w:t>Monzagas</w:t>
      </w:r>
      <w:proofErr w:type="spellEnd"/>
      <w:r w:rsidRPr="00EC3BB2">
        <w:rPr>
          <w:rFonts w:ascii="Bookman Old Style" w:hAnsi="Bookman Old Style" w:cs="Arial"/>
          <w:spacing w:val="-5"/>
          <w:lang w:val="es-CO" w:eastAsia="en-US"/>
        </w:rPr>
        <w:t xml:space="preserve"> mediante </w:t>
      </w:r>
      <w:r w:rsidR="00FC2C01">
        <w:rPr>
          <w:rFonts w:ascii="Bookman Old Style" w:hAnsi="Bookman Old Style" w:cs="Arial"/>
          <w:spacing w:val="-5"/>
          <w:lang w:val="es-CO" w:eastAsia="en-US"/>
        </w:rPr>
        <w:t>notificación personal I-2016-</w:t>
      </w:r>
      <w:r w:rsidR="003C7655">
        <w:rPr>
          <w:rFonts w:ascii="Bookman Old Style" w:hAnsi="Bookman Old Style" w:cs="Arial"/>
          <w:spacing w:val="-5"/>
          <w:lang w:val="es-CO" w:eastAsia="en-US"/>
        </w:rPr>
        <w:t>003142</w:t>
      </w:r>
      <w:r w:rsidR="00FC2C01">
        <w:rPr>
          <w:rFonts w:ascii="Bookman Old Style" w:hAnsi="Bookman Old Style" w:cs="Arial"/>
          <w:spacing w:val="-5"/>
          <w:lang w:val="es-CO" w:eastAsia="en-US"/>
        </w:rPr>
        <w:t xml:space="preserve"> de </w:t>
      </w:r>
      <w:r w:rsidR="003C7655">
        <w:rPr>
          <w:rFonts w:ascii="Bookman Old Style" w:hAnsi="Bookman Old Style" w:cs="Arial"/>
          <w:spacing w:val="-5"/>
          <w:lang w:val="es-CO" w:eastAsia="en-US"/>
        </w:rPr>
        <w:t>21</w:t>
      </w:r>
      <w:r w:rsidR="00FC2C01">
        <w:rPr>
          <w:rFonts w:ascii="Bookman Old Style" w:hAnsi="Bookman Old Style" w:cs="Arial"/>
          <w:spacing w:val="-5"/>
          <w:lang w:val="es-CO" w:eastAsia="en-US"/>
        </w:rPr>
        <w:t xml:space="preserve"> de junio de 2016 </w:t>
      </w:r>
      <w:r w:rsidRPr="00EC3BB2">
        <w:rPr>
          <w:rFonts w:ascii="Bookman Old Style" w:hAnsi="Bookman Old Style" w:cs="Arial"/>
          <w:spacing w:val="-5"/>
          <w:lang w:val="es-CO" w:eastAsia="en-US"/>
        </w:rPr>
        <w:t>atendiendo l</w:t>
      </w:r>
      <w:r w:rsidR="00FC2C01">
        <w:rPr>
          <w:rFonts w:ascii="Bookman Old Style" w:hAnsi="Bookman Old Style" w:cs="Arial"/>
          <w:spacing w:val="-5"/>
          <w:lang w:val="es-CO" w:eastAsia="en-US"/>
        </w:rPr>
        <w:t>o dispuesto en el artículo 67</w:t>
      </w:r>
      <w:r w:rsidRPr="00CD67E2">
        <w:rPr>
          <w:rFonts w:ascii="Bookman Old Style" w:hAnsi="Bookman Old Style" w:cs="Arial"/>
          <w:spacing w:val="-5"/>
          <w:vertAlign w:val="superscript"/>
          <w:lang w:val="es-CO" w:eastAsia="en-US"/>
        </w:rPr>
        <w:footnoteReference w:id="3"/>
      </w:r>
      <w:r w:rsidRPr="00EC3BB2">
        <w:rPr>
          <w:rFonts w:ascii="Bookman Old Style" w:hAnsi="Bookman Old Style" w:cs="Arial"/>
          <w:spacing w:val="-5"/>
          <w:lang w:val="es-CO" w:eastAsia="en-US"/>
        </w:rPr>
        <w:t xml:space="preserve"> de la Ley 1437 de 2011. </w:t>
      </w:r>
    </w:p>
    <w:p w:rsidR="00CD67E2" w:rsidRPr="00EC3BB2" w:rsidRDefault="00CD67E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sidR="00CD67E2">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3C7655">
        <w:rPr>
          <w:rFonts w:ascii="Bookman Old Style" w:hAnsi="Bookman Old Style" w:cs="Arial"/>
          <w:spacing w:val="-5"/>
          <w:lang w:val="es-CO" w:eastAsia="en-US"/>
        </w:rPr>
        <w:t>28</w:t>
      </w:r>
      <w:r w:rsidR="00DC2FA0">
        <w:rPr>
          <w:rFonts w:ascii="Bookman Old Style" w:hAnsi="Bookman Old Style" w:cs="Arial"/>
          <w:spacing w:val="-5"/>
          <w:lang w:val="es-CO" w:eastAsia="en-US"/>
        </w:rPr>
        <w:t xml:space="preserve"> de jun</w:t>
      </w:r>
      <w:r w:rsidRPr="00EC3BB2">
        <w:rPr>
          <w:rFonts w:ascii="Bookman Old Style" w:hAnsi="Bookman Old Style" w:cs="Arial"/>
          <w:spacing w:val="-5"/>
          <w:lang w:val="es-CO" w:eastAsia="en-US"/>
        </w:rPr>
        <w:t>io de</w:t>
      </w:r>
      <w:r w:rsidR="00FC2C01">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2016.  </w:t>
      </w:r>
    </w:p>
    <w:p w:rsidR="00CD67E2" w:rsidRDefault="00CD67E2" w:rsidP="00B36FE8">
      <w:pPr>
        <w:pStyle w:val="Textoindependiente2"/>
        <w:spacing w:after="0" w:line="240" w:lineRule="auto"/>
        <w:ind w:left="-142"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w:t>
      </w:r>
      <w:r w:rsidRPr="00D549B1">
        <w:rPr>
          <w:rFonts w:ascii="Bookman Old Style" w:hAnsi="Bookman Old Style"/>
          <w:szCs w:val="27"/>
        </w:rPr>
        <w:lastRenderedPageBreak/>
        <w:t>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625260"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fundamentos del</w:t>
      </w:r>
      <w:r w:rsidR="00D126E3" w:rsidRPr="00D549B1">
        <w:rPr>
          <w:rFonts w:ascii="Bookman Old Style" w:hAnsi="Bookman Old Style"/>
          <w:szCs w:val="27"/>
        </w:rPr>
        <w:t xml:space="preserve"> recurso de reposición interpuesto por </w:t>
      </w:r>
      <w:proofErr w:type="spellStart"/>
      <w:r w:rsidR="003C7655">
        <w:rPr>
          <w:rFonts w:ascii="Bookman Old Style" w:hAnsi="Bookman Old Style"/>
          <w:szCs w:val="27"/>
        </w:rPr>
        <w:t>Monzagas</w:t>
      </w:r>
      <w:proofErr w:type="spellEnd"/>
      <w:r>
        <w:rPr>
          <w:rFonts w:ascii="Bookman Old Style" w:hAnsi="Bookman Old Style"/>
          <w:szCs w:val="27"/>
        </w:rPr>
        <w:t xml:space="preserve"> </w:t>
      </w:r>
      <w:r w:rsidR="002A452D">
        <w:rPr>
          <w:rFonts w:ascii="Bookman Old Style" w:hAnsi="Bookman Old Style"/>
          <w:szCs w:val="27"/>
        </w:rPr>
        <w:t>hacen referencia a lo siguiente:</w:t>
      </w:r>
    </w:p>
    <w:p w:rsidR="002A452D" w:rsidRPr="002A452D" w:rsidRDefault="002A452D" w:rsidP="002A452D">
      <w:pPr>
        <w:ind w:left="284" w:right="284"/>
        <w:jc w:val="both"/>
        <w:rPr>
          <w:rFonts w:ascii="Bookman Old Style" w:hAnsi="Bookman Old Style" w:cs="Arial"/>
          <w:i/>
          <w:sz w:val="22"/>
          <w:szCs w:val="22"/>
        </w:rPr>
      </w:pPr>
    </w:p>
    <w:p w:rsidR="003C7655" w:rsidRDefault="00D126E3" w:rsidP="00DC2FA0">
      <w:pPr>
        <w:ind w:left="284" w:right="284"/>
        <w:jc w:val="both"/>
        <w:rPr>
          <w:rFonts w:ascii="Bookman Old Style" w:hAnsi="Bookman Old Style" w:cs="Arial"/>
          <w:i/>
          <w:sz w:val="22"/>
          <w:szCs w:val="22"/>
        </w:rPr>
      </w:pPr>
      <w:r w:rsidRPr="002A452D">
        <w:rPr>
          <w:rFonts w:ascii="Bookman Old Style" w:hAnsi="Bookman Old Style" w:cs="Arial"/>
          <w:i/>
          <w:sz w:val="22"/>
          <w:szCs w:val="22"/>
        </w:rPr>
        <w:t>“</w:t>
      </w:r>
      <w:r w:rsidR="003C7655" w:rsidRPr="003C7655">
        <w:rPr>
          <w:rFonts w:ascii="Bookman Old Style" w:hAnsi="Bookman Old Style" w:cs="Arial"/>
          <w:i/>
          <w:sz w:val="22"/>
          <w:szCs w:val="22"/>
        </w:rPr>
        <w:t>El derecho a la libre competencia elevado a rango constitucional -artículo 333-, ha sido vulnerado con la expedición de la Resolución CREG 075 de 2016, teniendo en cuenta que dicho acto administrativo se expidió para dar cumplimiento a los artículos 8 y 9 de la Resolución CREG 063 de 2016, los cuales desconocen el objetivo principal establecido por la carta política para la protección de la libre competencia, y de esta manera, los parámetros establecidos por la entidad reguladora dejan de lado todo lo que comporta el correcto desarrollo de este derecho. </w:t>
      </w:r>
    </w:p>
    <w:p w:rsidR="003C7655" w:rsidRDefault="003C7655" w:rsidP="00DC2FA0">
      <w:pPr>
        <w:ind w:left="284" w:right="284"/>
        <w:jc w:val="both"/>
        <w:rPr>
          <w:rFonts w:ascii="Bookman Old Style" w:hAnsi="Bookman Old Style" w:cs="Arial"/>
          <w:i/>
          <w:sz w:val="22"/>
          <w:szCs w:val="22"/>
        </w:rPr>
      </w:pPr>
    </w:p>
    <w:p w:rsidR="003C7655" w:rsidRPr="003C7655" w:rsidRDefault="003C7655" w:rsidP="003C7655">
      <w:pPr>
        <w:ind w:left="284" w:right="284"/>
        <w:jc w:val="both"/>
        <w:rPr>
          <w:rFonts w:ascii="Bookman Old Style" w:hAnsi="Bookman Old Style" w:cs="Arial"/>
          <w:i/>
          <w:sz w:val="22"/>
          <w:szCs w:val="22"/>
        </w:rPr>
      </w:pPr>
      <w:r w:rsidRPr="003C7655">
        <w:rPr>
          <w:rFonts w:ascii="Bookman Old Style" w:hAnsi="Bookman Old Style" w:cs="Arial"/>
          <w:i/>
          <w:sz w:val="22"/>
          <w:szCs w:val="22"/>
        </w:rPr>
        <w:t>El derecho de competencia tiene a su cargo la protección de los intereses de los consumidores</w:t>
      </w:r>
      <w:r>
        <w:rPr>
          <w:rFonts w:ascii="Bookman Old Style" w:hAnsi="Bookman Old Style" w:cs="Arial"/>
          <w:i/>
          <w:sz w:val="22"/>
          <w:szCs w:val="22"/>
        </w:rPr>
        <w:t xml:space="preserve"> </w:t>
      </w:r>
      <w:r w:rsidRPr="003C7655">
        <w:rPr>
          <w:rFonts w:ascii="Bookman Old Style" w:hAnsi="Bookman Old Style" w:cs="Arial"/>
          <w:i/>
          <w:sz w:val="22"/>
          <w:szCs w:val="22"/>
        </w:rPr>
        <w:t>y</w:t>
      </w:r>
      <w:r>
        <w:rPr>
          <w:rFonts w:ascii="Bookman Old Style" w:hAnsi="Bookman Old Style" w:cs="Arial"/>
          <w:i/>
          <w:sz w:val="22"/>
          <w:szCs w:val="22"/>
        </w:rPr>
        <w:t xml:space="preserve"> </w:t>
      </w:r>
      <w:r w:rsidRPr="003C7655">
        <w:rPr>
          <w:rFonts w:ascii="Bookman Old Style" w:hAnsi="Bookman Old Style" w:cs="Arial"/>
          <w:i/>
          <w:sz w:val="22"/>
          <w:szCs w:val="22"/>
        </w:rPr>
        <w:t>de la libre competencia de los empresarios en los diferentes mercados Dicha protección se extiende hasta el punto de prohibir la expedición de actos administrativos que impidan la libre competencia en detrimento de los derechos de los consumidores en un medio competitivo</w:t>
      </w:r>
    </w:p>
    <w:p w:rsidR="003C7655" w:rsidRDefault="003C7655" w:rsidP="003C7655">
      <w:pPr>
        <w:ind w:left="284" w:right="284"/>
        <w:jc w:val="both"/>
        <w:rPr>
          <w:rFonts w:ascii="Bookman Old Style" w:hAnsi="Bookman Old Style" w:cs="Arial"/>
          <w:i/>
          <w:sz w:val="22"/>
          <w:szCs w:val="22"/>
        </w:rPr>
      </w:pPr>
    </w:p>
    <w:p w:rsidR="003C7655" w:rsidRDefault="003C7655" w:rsidP="003C7655">
      <w:pPr>
        <w:ind w:left="284" w:right="284"/>
        <w:jc w:val="both"/>
        <w:rPr>
          <w:rFonts w:ascii="Bookman Old Style" w:hAnsi="Bookman Old Style" w:cs="Arial"/>
          <w:i/>
          <w:sz w:val="22"/>
          <w:szCs w:val="22"/>
        </w:rPr>
      </w:pPr>
      <w:r w:rsidRPr="003C7655">
        <w:rPr>
          <w:rFonts w:ascii="Bookman Old Style" w:hAnsi="Bookman Old Style" w:cs="Arial"/>
          <w:i/>
          <w:sz w:val="22"/>
          <w:szCs w:val="22"/>
        </w:rPr>
        <w:t xml:space="preserve">De esta </w:t>
      </w:r>
      <w:r>
        <w:rPr>
          <w:rFonts w:ascii="Bookman Old Style" w:hAnsi="Bookman Old Style" w:cs="Arial"/>
          <w:i/>
          <w:sz w:val="22"/>
          <w:szCs w:val="22"/>
        </w:rPr>
        <w:t>manera, la constitución política</w:t>
      </w:r>
      <w:r w:rsidRPr="003C7655">
        <w:rPr>
          <w:rFonts w:ascii="Bookman Old Style" w:hAnsi="Bookman Old Style" w:cs="Arial"/>
          <w:i/>
          <w:sz w:val="22"/>
          <w:szCs w:val="22"/>
        </w:rPr>
        <w:t xml:space="preserve"> señala el principio de libre competencia como un derecho de todos los ciudadanos el cual comporta responsabilidades,</w:t>
      </w:r>
      <w:r>
        <w:rPr>
          <w:rFonts w:ascii="Bookman Old Style" w:hAnsi="Bookman Old Style" w:cs="Arial"/>
          <w:i/>
          <w:sz w:val="22"/>
          <w:szCs w:val="22"/>
        </w:rPr>
        <w:t xml:space="preserve"> </w:t>
      </w:r>
      <w:r w:rsidRPr="003C7655">
        <w:rPr>
          <w:rFonts w:ascii="Bookman Old Style" w:hAnsi="Bookman Old Style" w:cs="Arial"/>
          <w:i/>
          <w:sz w:val="22"/>
          <w:szCs w:val="22"/>
        </w:rPr>
        <w:t>y</w:t>
      </w:r>
      <w:r>
        <w:rPr>
          <w:rFonts w:ascii="Bookman Old Style" w:hAnsi="Bookman Old Style" w:cs="Arial"/>
          <w:i/>
          <w:sz w:val="22"/>
          <w:szCs w:val="22"/>
        </w:rPr>
        <w:t xml:space="preserve"> </w:t>
      </w:r>
      <w:r w:rsidRPr="003C7655">
        <w:rPr>
          <w:rFonts w:ascii="Bookman Old Style" w:hAnsi="Bookman Old Style" w:cs="Arial"/>
          <w:i/>
          <w:sz w:val="22"/>
          <w:szCs w:val="22"/>
        </w:rPr>
        <w:t>que solo puede ser limitado de acuerdo</w:t>
      </w:r>
      <w:r>
        <w:rPr>
          <w:rFonts w:ascii="Bookman Old Style" w:hAnsi="Bookman Old Style" w:cs="Arial"/>
          <w:i/>
          <w:sz w:val="22"/>
          <w:szCs w:val="22"/>
        </w:rPr>
        <w:t xml:space="preserve"> </w:t>
      </w:r>
      <w:r w:rsidRPr="003C7655">
        <w:rPr>
          <w:rFonts w:ascii="Bookman Old Style" w:hAnsi="Bookman Old Style" w:cs="Arial"/>
          <w:i/>
          <w:sz w:val="22"/>
          <w:szCs w:val="22"/>
        </w:rPr>
        <w:t>a</w:t>
      </w:r>
      <w:r>
        <w:rPr>
          <w:rFonts w:ascii="Bookman Old Style" w:hAnsi="Bookman Old Style" w:cs="Arial"/>
          <w:i/>
          <w:sz w:val="22"/>
          <w:szCs w:val="22"/>
        </w:rPr>
        <w:t xml:space="preserve"> </w:t>
      </w:r>
      <w:r w:rsidRPr="003C7655">
        <w:rPr>
          <w:rFonts w:ascii="Bookman Old Style" w:hAnsi="Bookman Old Style" w:cs="Arial"/>
          <w:i/>
          <w:sz w:val="22"/>
          <w:szCs w:val="22"/>
        </w:rPr>
        <w:t>la Ley,</w:t>
      </w:r>
      <w:r>
        <w:rPr>
          <w:rFonts w:ascii="Bookman Old Style" w:hAnsi="Bookman Old Style" w:cs="Arial"/>
          <w:i/>
          <w:sz w:val="22"/>
          <w:szCs w:val="22"/>
        </w:rPr>
        <w:t xml:space="preserve"> </w:t>
      </w:r>
      <w:r w:rsidRPr="003C7655">
        <w:rPr>
          <w:rFonts w:ascii="Bookman Old Style" w:hAnsi="Bookman Old Style" w:cs="Arial"/>
          <w:i/>
          <w:sz w:val="22"/>
          <w:szCs w:val="22"/>
        </w:rPr>
        <w:t>cuando sea necesario po</w:t>
      </w:r>
      <w:r>
        <w:rPr>
          <w:rFonts w:ascii="Bookman Old Style" w:hAnsi="Bookman Old Style" w:cs="Arial"/>
          <w:i/>
          <w:sz w:val="22"/>
          <w:szCs w:val="22"/>
        </w:rPr>
        <w:t>r raz</w:t>
      </w:r>
      <w:r w:rsidRPr="003C7655">
        <w:rPr>
          <w:rFonts w:ascii="Bookman Old Style" w:hAnsi="Bookman Old Style" w:cs="Arial"/>
          <w:i/>
          <w:sz w:val="22"/>
          <w:szCs w:val="22"/>
        </w:rPr>
        <w:t>ones sociales,</w:t>
      </w:r>
      <w:r>
        <w:rPr>
          <w:rFonts w:ascii="Bookman Old Style" w:hAnsi="Bookman Old Style" w:cs="Arial"/>
          <w:i/>
          <w:sz w:val="22"/>
          <w:szCs w:val="22"/>
        </w:rPr>
        <w:t xml:space="preserve"> </w:t>
      </w:r>
      <w:r w:rsidRPr="003C7655">
        <w:rPr>
          <w:rFonts w:ascii="Bookman Old Style" w:hAnsi="Bookman Old Style" w:cs="Arial"/>
          <w:i/>
          <w:sz w:val="22"/>
          <w:szCs w:val="22"/>
        </w:rPr>
        <w:t>económicas o</w:t>
      </w:r>
      <w:r>
        <w:rPr>
          <w:rFonts w:ascii="Bookman Old Style" w:hAnsi="Bookman Old Style" w:cs="Arial"/>
          <w:i/>
          <w:sz w:val="22"/>
          <w:szCs w:val="22"/>
        </w:rPr>
        <w:t xml:space="preserve"> </w:t>
      </w:r>
      <w:r w:rsidRPr="003C7655">
        <w:rPr>
          <w:rFonts w:ascii="Bookman Old Style" w:hAnsi="Bookman Old Style" w:cs="Arial"/>
          <w:i/>
          <w:sz w:val="22"/>
          <w:szCs w:val="22"/>
        </w:rPr>
        <w:t>de medio ambiente,</w:t>
      </w:r>
      <w:r>
        <w:rPr>
          <w:rFonts w:ascii="Bookman Old Style" w:hAnsi="Bookman Old Style" w:cs="Arial"/>
          <w:i/>
          <w:sz w:val="22"/>
          <w:szCs w:val="22"/>
        </w:rPr>
        <w:t xml:space="preserve"> </w:t>
      </w:r>
      <w:r w:rsidRPr="003C7655">
        <w:rPr>
          <w:rFonts w:ascii="Bookman Old Style" w:hAnsi="Bookman Old Style" w:cs="Arial"/>
          <w:i/>
          <w:sz w:val="22"/>
          <w:szCs w:val="22"/>
        </w:rPr>
        <w:t>sin perder de vista que debe darse la menor afectación posible</w:t>
      </w:r>
      <w:r>
        <w:rPr>
          <w:rFonts w:ascii="Bookman Old Style" w:hAnsi="Bookman Old Style" w:cs="Arial"/>
          <w:i/>
          <w:sz w:val="22"/>
          <w:szCs w:val="22"/>
        </w:rPr>
        <w:t xml:space="preserve"> </w:t>
      </w:r>
      <w:r w:rsidRPr="003C7655">
        <w:rPr>
          <w:rFonts w:ascii="Bookman Old Style" w:hAnsi="Bookman Old Style" w:cs="Arial"/>
          <w:i/>
          <w:sz w:val="22"/>
          <w:szCs w:val="22"/>
        </w:rPr>
        <w:t>a</w:t>
      </w:r>
      <w:r>
        <w:rPr>
          <w:rFonts w:ascii="Bookman Old Style" w:hAnsi="Bookman Old Style" w:cs="Arial"/>
          <w:i/>
          <w:sz w:val="22"/>
          <w:szCs w:val="22"/>
        </w:rPr>
        <w:t xml:space="preserve"> </w:t>
      </w:r>
      <w:r w:rsidRPr="003C7655">
        <w:rPr>
          <w:rFonts w:ascii="Bookman Old Style" w:hAnsi="Bookman Old Style" w:cs="Arial"/>
          <w:i/>
          <w:sz w:val="22"/>
          <w:szCs w:val="22"/>
        </w:rPr>
        <w:t>los intereses de los consumidores del bien</w:t>
      </w:r>
      <w:r>
        <w:rPr>
          <w:rFonts w:ascii="Bookman Old Style" w:hAnsi="Bookman Old Style" w:cs="Arial"/>
          <w:i/>
          <w:sz w:val="22"/>
          <w:szCs w:val="22"/>
        </w:rPr>
        <w:t xml:space="preserve"> </w:t>
      </w:r>
      <w:r w:rsidRPr="003C7655">
        <w:rPr>
          <w:rFonts w:ascii="Bookman Old Style" w:hAnsi="Bookman Old Style" w:cs="Arial"/>
          <w:i/>
          <w:sz w:val="22"/>
          <w:szCs w:val="22"/>
        </w:rPr>
        <w:t>o</w:t>
      </w:r>
      <w:r>
        <w:rPr>
          <w:rFonts w:ascii="Bookman Old Style" w:hAnsi="Bookman Old Style" w:cs="Arial"/>
          <w:i/>
          <w:sz w:val="22"/>
          <w:szCs w:val="22"/>
        </w:rPr>
        <w:t xml:space="preserve"> </w:t>
      </w:r>
      <w:r w:rsidRPr="003C7655">
        <w:rPr>
          <w:rFonts w:ascii="Bookman Old Style" w:hAnsi="Bookman Old Style" w:cs="Arial"/>
          <w:i/>
          <w:sz w:val="22"/>
          <w:szCs w:val="22"/>
        </w:rPr>
        <w:t>servicio que se pretenda restringir</w:t>
      </w:r>
    </w:p>
    <w:p w:rsidR="003C7655" w:rsidRPr="003C7655" w:rsidRDefault="003C7655" w:rsidP="003C7655">
      <w:pPr>
        <w:ind w:left="284" w:right="284"/>
        <w:jc w:val="both"/>
        <w:rPr>
          <w:rFonts w:ascii="Bookman Old Style" w:hAnsi="Bookman Old Style" w:cs="Arial"/>
          <w:i/>
          <w:sz w:val="22"/>
          <w:szCs w:val="22"/>
        </w:rPr>
      </w:pPr>
    </w:p>
    <w:p w:rsidR="003C7655" w:rsidRDefault="003C7655" w:rsidP="003C7655">
      <w:pPr>
        <w:ind w:left="284" w:right="284"/>
        <w:jc w:val="both"/>
        <w:rPr>
          <w:rFonts w:ascii="Bookman Old Style" w:hAnsi="Bookman Old Style" w:cs="Arial"/>
          <w:i/>
          <w:sz w:val="22"/>
          <w:szCs w:val="22"/>
        </w:rPr>
      </w:pPr>
      <w:r w:rsidRPr="003C7655">
        <w:rPr>
          <w:rFonts w:ascii="Bookman Old Style" w:hAnsi="Bookman Old Style" w:cs="Arial"/>
          <w:i/>
          <w:sz w:val="22"/>
          <w:szCs w:val="22"/>
        </w:rPr>
        <w:t>La Resolución 075 de 2016 objeto de recurso,</w:t>
      </w:r>
      <w:r>
        <w:rPr>
          <w:rFonts w:ascii="Bookman Old Style" w:hAnsi="Bookman Old Style" w:cs="Arial"/>
          <w:i/>
          <w:sz w:val="22"/>
          <w:szCs w:val="22"/>
        </w:rPr>
        <w:t xml:space="preserve"> </w:t>
      </w:r>
      <w:r w:rsidRPr="003C7655">
        <w:rPr>
          <w:rFonts w:ascii="Bookman Old Style" w:hAnsi="Bookman Old Style" w:cs="Arial"/>
          <w:i/>
          <w:sz w:val="22"/>
          <w:szCs w:val="22"/>
        </w:rPr>
        <w:t>afecta drásticamente</w:t>
      </w:r>
      <w:r>
        <w:rPr>
          <w:rFonts w:ascii="Bookman Old Style" w:hAnsi="Bookman Old Style" w:cs="Arial"/>
          <w:i/>
          <w:sz w:val="22"/>
          <w:szCs w:val="22"/>
        </w:rPr>
        <w:t xml:space="preserve"> </w:t>
      </w:r>
      <w:r w:rsidRPr="003C7655">
        <w:rPr>
          <w:rFonts w:ascii="Bookman Old Style" w:hAnsi="Bookman Old Style" w:cs="Arial"/>
          <w:i/>
          <w:sz w:val="22"/>
          <w:szCs w:val="22"/>
        </w:rPr>
        <w:t>a</w:t>
      </w:r>
      <w:r>
        <w:rPr>
          <w:rFonts w:ascii="Bookman Old Style" w:hAnsi="Bookman Old Style" w:cs="Arial"/>
          <w:i/>
          <w:sz w:val="22"/>
          <w:szCs w:val="22"/>
        </w:rPr>
        <w:t xml:space="preserve"> </w:t>
      </w:r>
      <w:r w:rsidRPr="003C7655">
        <w:rPr>
          <w:rFonts w:ascii="Bookman Old Style" w:hAnsi="Bookman Old Style" w:cs="Arial"/>
          <w:i/>
          <w:sz w:val="22"/>
          <w:szCs w:val="22"/>
        </w:rPr>
        <w:t>las empresas con los criterios adoptados para determinar su capacidad de compra, ya que con esos parámetros impide que se pueda satisfacer las necesidades de la totalidad de cl</w:t>
      </w:r>
      <w:r>
        <w:rPr>
          <w:rFonts w:ascii="Bookman Old Style" w:hAnsi="Bookman Old Style" w:cs="Arial"/>
          <w:i/>
          <w:sz w:val="22"/>
          <w:szCs w:val="22"/>
        </w:rPr>
        <w:t>ientes para el suministro de GLP</w:t>
      </w:r>
      <w:r w:rsidRPr="003C7655">
        <w:rPr>
          <w:rFonts w:ascii="Bookman Old Style" w:hAnsi="Bookman Old Style" w:cs="Arial"/>
          <w:i/>
          <w:sz w:val="22"/>
          <w:szCs w:val="22"/>
        </w:rPr>
        <w:t>,</w:t>
      </w:r>
      <w:r>
        <w:rPr>
          <w:rFonts w:ascii="Bookman Old Style" w:hAnsi="Bookman Old Style" w:cs="Arial"/>
          <w:i/>
          <w:sz w:val="22"/>
          <w:szCs w:val="22"/>
        </w:rPr>
        <w:t xml:space="preserve"> </w:t>
      </w:r>
      <w:r w:rsidRPr="003C7655">
        <w:rPr>
          <w:rFonts w:ascii="Bookman Old Style" w:hAnsi="Bookman Old Style" w:cs="Arial"/>
          <w:i/>
          <w:sz w:val="22"/>
          <w:szCs w:val="22"/>
        </w:rPr>
        <w:t>y</w:t>
      </w:r>
      <w:r>
        <w:rPr>
          <w:rFonts w:ascii="Bookman Old Style" w:hAnsi="Bookman Old Style" w:cs="Arial"/>
          <w:i/>
          <w:sz w:val="22"/>
          <w:szCs w:val="22"/>
        </w:rPr>
        <w:t xml:space="preserve"> </w:t>
      </w:r>
      <w:r w:rsidRPr="003C7655">
        <w:rPr>
          <w:rFonts w:ascii="Bookman Old Style" w:hAnsi="Bookman Old Style" w:cs="Arial"/>
          <w:i/>
          <w:sz w:val="22"/>
          <w:szCs w:val="22"/>
        </w:rPr>
        <w:t>disminuye la posibilidad de crecer como empresa con la consecución de clientes nuevos para la prestación del servicio pues de entrada s</w:t>
      </w:r>
      <w:r>
        <w:rPr>
          <w:rFonts w:ascii="Bookman Old Style" w:hAnsi="Bookman Old Style" w:cs="Arial"/>
          <w:i/>
          <w:sz w:val="22"/>
          <w:szCs w:val="22"/>
        </w:rPr>
        <w:t>e sabe que las cantidades de GLP</w:t>
      </w:r>
      <w:r w:rsidRPr="003C7655">
        <w:rPr>
          <w:rFonts w:ascii="Bookman Old Style" w:hAnsi="Bookman Old Style" w:cs="Arial"/>
          <w:i/>
          <w:sz w:val="22"/>
          <w:szCs w:val="22"/>
        </w:rPr>
        <w:t xml:space="preserve"> asignadas no permitirían adquirir nuevos consumidores</w:t>
      </w:r>
      <w:r>
        <w:rPr>
          <w:rFonts w:ascii="Bookman Old Style" w:hAnsi="Bookman Old Style" w:cs="Arial"/>
          <w:i/>
          <w:sz w:val="22"/>
          <w:szCs w:val="22"/>
        </w:rPr>
        <w:t>.</w:t>
      </w:r>
    </w:p>
    <w:p w:rsidR="003C7655" w:rsidRPr="003C7655" w:rsidRDefault="003C7655" w:rsidP="003C7655">
      <w:pPr>
        <w:ind w:left="284" w:right="284"/>
        <w:jc w:val="both"/>
        <w:rPr>
          <w:rFonts w:ascii="Bookman Old Style" w:hAnsi="Bookman Old Style" w:cs="Arial"/>
          <w:i/>
          <w:sz w:val="22"/>
          <w:szCs w:val="22"/>
        </w:rPr>
      </w:pPr>
    </w:p>
    <w:p w:rsidR="003C7655" w:rsidRDefault="003C7655" w:rsidP="003C7655">
      <w:pPr>
        <w:ind w:left="284" w:right="284"/>
        <w:jc w:val="both"/>
        <w:rPr>
          <w:rFonts w:ascii="Bookman Old Style" w:hAnsi="Bookman Old Style" w:cs="Arial"/>
          <w:i/>
          <w:sz w:val="22"/>
          <w:szCs w:val="22"/>
        </w:rPr>
      </w:pPr>
      <w:r>
        <w:rPr>
          <w:rFonts w:ascii="Bookman Old Style" w:hAnsi="Bookman Old Style" w:cs="Arial"/>
          <w:i/>
          <w:sz w:val="22"/>
          <w:szCs w:val="22"/>
        </w:rPr>
        <w:t>Adicionalmente, la C</w:t>
      </w:r>
      <w:r w:rsidRPr="003C7655">
        <w:rPr>
          <w:rFonts w:ascii="Bookman Old Style" w:hAnsi="Bookman Old Style" w:cs="Arial"/>
          <w:i/>
          <w:sz w:val="22"/>
          <w:szCs w:val="22"/>
        </w:rPr>
        <w:t>REG está restando las oportunidades de participar en el merc</w:t>
      </w:r>
      <w:r>
        <w:rPr>
          <w:rFonts w:ascii="Bookman Old Style" w:hAnsi="Bookman Old Style" w:cs="Arial"/>
          <w:i/>
          <w:sz w:val="22"/>
          <w:szCs w:val="22"/>
        </w:rPr>
        <w:t>ado del GLP</w:t>
      </w:r>
      <w:r w:rsidRPr="003C7655">
        <w:rPr>
          <w:rFonts w:ascii="Bookman Old Style" w:hAnsi="Bookman Old Style" w:cs="Arial"/>
          <w:i/>
          <w:sz w:val="22"/>
          <w:szCs w:val="22"/>
        </w:rPr>
        <w:t xml:space="preserve"> al ofrecer a penas pocas oportunidade</w:t>
      </w:r>
      <w:r>
        <w:rPr>
          <w:rFonts w:ascii="Bookman Old Style" w:hAnsi="Bookman Old Style" w:cs="Arial"/>
          <w:i/>
          <w:sz w:val="22"/>
          <w:szCs w:val="22"/>
        </w:rPr>
        <w:t>s anuales para participar en OPC</w:t>
      </w:r>
      <w:r w:rsidRPr="003C7655">
        <w:rPr>
          <w:rFonts w:ascii="Bookman Old Style" w:hAnsi="Bookman Old Style" w:cs="Arial"/>
          <w:i/>
          <w:sz w:val="22"/>
          <w:szCs w:val="22"/>
        </w:rPr>
        <w:t>, circunstancia bastante preocupante pues eso</w:t>
      </w:r>
      <w:r>
        <w:rPr>
          <w:rFonts w:ascii="Bookman Old Style" w:hAnsi="Bookman Old Style" w:cs="Arial"/>
          <w:i/>
          <w:sz w:val="22"/>
          <w:szCs w:val="22"/>
        </w:rPr>
        <w:t xml:space="preserve"> </w:t>
      </w:r>
      <w:r w:rsidRPr="003C7655">
        <w:rPr>
          <w:rFonts w:ascii="Bookman Old Style" w:hAnsi="Bookman Old Style" w:cs="Arial"/>
          <w:i/>
          <w:sz w:val="22"/>
          <w:szCs w:val="22"/>
        </w:rPr>
        <w:t>significa</w:t>
      </w:r>
      <w:r>
        <w:rPr>
          <w:rFonts w:ascii="Bookman Old Style" w:hAnsi="Bookman Old Style" w:cs="Arial"/>
          <w:i/>
          <w:sz w:val="22"/>
          <w:szCs w:val="22"/>
        </w:rPr>
        <w:t xml:space="preserve"> </w:t>
      </w:r>
      <w:r w:rsidRPr="003C7655">
        <w:rPr>
          <w:rFonts w:ascii="Bookman Old Style" w:hAnsi="Bookman Old Style" w:cs="Arial"/>
          <w:i/>
          <w:sz w:val="22"/>
          <w:szCs w:val="22"/>
        </w:rPr>
        <w:t>que</w:t>
      </w:r>
      <w:r>
        <w:rPr>
          <w:rFonts w:ascii="Bookman Old Style" w:hAnsi="Bookman Old Style" w:cs="Arial"/>
          <w:i/>
          <w:sz w:val="22"/>
          <w:szCs w:val="22"/>
        </w:rPr>
        <w:t xml:space="preserve"> </w:t>
      </w:r>
      <w:r w:rsidRPr="003C7655">
        <w:rPr>
          <w:rFonts w:ascii="Bookman Old Style" w:hAnsi="Bookman Old Style" w:cs="Arial"/>
          <w:i/>
          <w:sz w:val="22"/>
          <w:szCs w:val="22"/>
        </w:rPr>
        <w:t>el</w:t>
      </w:r>
      <w:r>
        <w:rPr>
          <w:rFonts w:ascii="Bookman Old Style" w:hAnsi="Bookman Old Style" w:cs="Arial"/>
          <w:i/>
          <w:sz w:val="22"/>
          <w:szCs w:val="22"/>
        </w:rPr>
        <w:t xml:space="preserve"> </w:t>
      </w:r>
      <w:r w:rsidRPr="003C7655">
        <w:rPr>
          <w:rFonts w:ascii="Bookman Old Style" w:hAnsi="Bookman Old Style" w:cs="Arial"/>
          <w:i/>
          <w:sz w:val="22"/>
          <w:szCs w:val="22"/>
        </w:rPr>
        <w:t>crecimiento de</w:t>
      </w:r>
      <w:r>
        <w:rPr>
          <w:rFonts w:ascii="Bookman Old Style" w:hAnsi="Bookman Old Style" w:cs="Arial"/>
          <w:i/>
          <w:sz w:val="22"/>
          <w:szCs w:val="22"/>
        </w:rPr>
        <w:t xml:space="preserve"> </w:t>
      </w:r>
      <w:r w:rsidRPr="003C7655">
        <w:rPr>
          <w:rFonts w:ascii="Bookman Old Style" w:hAnsi="Bookman Old Style" w:cs="Arial"/>
          <w:i/>
          <w:sz w:val="22"/>
          <w:szCs w:val="22"/>
        </w:rPr>
        <w:t>nuestras empresas va</w:t>
      </w:r>
      <w:r>
        <w:rPr>
          <w:rFonts w:ascii="Bookman Old Style" w:hAnsi="Bookman Old Style" w:cs="Arial"/>
          <w:i/>
          <w:sz w:val="22"/>
          <w:szCs w:val="22"/>
        </w:rPr>
        <w:t xml:space="preserve"> </w:t>
      </w:r>
      <w:r w:rsidRPr="003C7655">
        <w:rPr>
          <w:rFonts w:ascii="Bookman Old Style" w:hAnsi="Bookman Old Style" w:cs="Arial"/>
          <w:i/>
          <w:sz w:val="22"/>
          <w:szCs w:val="22"/>
        </w:rPr>
        <w:t>a</w:t>
      </w:r>
      <w:r>
        <w:rPr>
          <w:rFonts w:ascii="Bookman Old Style" w:hAnsi="Bookman Old Style" w:cs="Arial"/>
          <w:i/>
          <w:sz w:val="22"/>
          <w:szCs w:val="22"/>
        </w:rPr>
        <w:t xml:space="preserve"> </w:t>
      </w:r>
      <w:r w:rsidRPr="003C7655">
        <w:rPr>
          <w:rFonts w:ascii="Bookman Old Style" w:hAnsi="Bookman Old Style" w:cs="Arial"/>
          <w:i/>
          <w:sz w:val="22"/>
          <w:szCs w:val="22"/>
        </w:rPr>
        <w:t>ser bastante restringido</w:t>
      </w:r>
      <w:r>
        <w:rPr>
          <w:rFonts w:ascii="Bookman Old Style" w:hAnsi="Bookman Old Style" w:cs="Arial"/>
          <w:i/>
          <w:sz w:val="22"/>
          <w:szCs w:val="22"/>
        </w:rPr>
        <w:t xml:space="preserve"> </w:t>
      </w:r>
      <w:r w:rsidRPr="003C7655">
        <w:rPr>
          <w:rFonts w:ascii="Bookman Old Style" w:hAnsi="Bookman Old Style" w:cs="Arial"/>
          <w:i/>
          <w:sz w:val="22"/>
          <w:szCs w:val="22"/>
        </w:rPr>
        <w:t>y</w:t>
      </w:r>
      <w:r>
        <w:rPr>
          <w:rFonts w:ascii="Bookman Old Style" w:hAnsi="Bookman Old Style" w:cs="Arial"/>
          <w:i/>
          <w:sz w:val="22"/>
          <w:szCs w:val="22"/>
        </w:rPr>
        <w:t xml:space="preserve"> </w:t>
      </w:r>
      <w:r w:rsidRPr="003C7655">
        <w:rPr>
          <w:rFonts w:ascii="Bookman Old Style" w:hAnsi="Bookman Old Style" w:cs="Arial"/>
          <w:i/>
          <w:sz w:val="22"/>
          <w:szCs w:val="22"/>
        </w:rPr>
        <w:t xml:space="preserve">mientras tanto aquellas empresas que se ven beneficiadas con la cantidad estimada como capacidad de compra de </w:t>
      </w:r>
      <w:r>
        <w:rPr>
          <w:rFonts w:ascii="Bookman Old Style" w:hAnsi="Bookman Old Style" w:cs="Arial"/>
          <w:i/>
          <w:sz w:val="22"/>
          <w:szCs w:val="22"/>
        </w:rPr>
        <w:t>GLP</w:t>
      </w:r>
      <w:r w:rsidRPr="003C7655">
        <w:rPr>
          <w:rFonts w:ascii="Bookman Old Style" w:hAnsi="Bookman Old Style" w:cs="Arial"/>
          <w:i/>
          <w:sz w:val="22"/>
          <w:szCs w:val="22"/>
        </w:rPr>
        <w:t xml:space="preserve">, aprovecharan este momento para crecer ilimitadamente en el mercado, reduciendo a su mínima expresión aquellas empresas como </w:t>
      </w:r>
      <w:r>
        <w:rPr>
          <w:rFonts w:ascii="Bookman Old Style" w:hAnsi="Bookman Old Style" w:cs="Arial"/>
          <w:i/>
          <w:sz w:val="22"/>
          <w:szCs w:val="22"/>
        </w:rPr>
        <w:t>MONZAGAS S.A. E.S.P.</w:t>
      </w:r>
      <w:r w:rsidRPr="003C7655">
        <w:rPr>
          <w:rFonts w:ascii="Bookman Old Style" w:hAnsi="Bookman Old Style" w:cs="Arial"/>
          <w:i/>
          <w:sz w:val="22"/>
          <w:szCs w:val="22"/>
        </w:rPr>
        <w:t>., que han venido luchando por</w:t>
      </w:r>
      <w:r>
        <w:rPr>
          <w:rFonts w:ascii="Bookman Old Style" w:hAnsi="Bookman Old Style" w:cs="Arial"/>
          <w:i/>
          <w:sz w:val="22"/>
          <w:szCs w:val="22"/>
        </w:rPr>
        <w:t xml:space="preserve"> </w:t>
      </w:r>
      <w:r w:rsidRPr="003C7655">
        <w:rPr>
          <w:rFonts w:ascii="Bookman Old Style" w:hAnsi="Bookman Old Style" w:cs="Arial"/>
          <w:i/>
          <w:sz w:val="22"/>
          <w:szCs w:val="22"/>
        </w:rPr>
        <w:t>posesionarse</w:t>
      </w:r>
      <w:r>
        <w:rPr>
          <w:rFonts w:ascii="Bookman Old Style" w:hAnsi="Bookman Old Style" w:cs="Arial"/>
          <w:i/>
          <w:sz w:val="22"/>
          <w:szCs w:val="22"/>
        </w:rPr>
        <w:t xml:space="preserve"> </w:t>
      </w:r>
      <w:r w:rsidRPr="003C7655">
        <w:rPr>
          <w:rFonts w:ascii="Bookman Old Style" w:hAnsi="Bookman Old Style" w:cs="Arial"/>
          <w:i/>
          <w:sz w:val="22"/>
          <w:szCs w:val="22"/>
        </w:rPr>
        <w:t>en el mercado durante un</w:t>
      </w:r>
      <w:r>
        <w:rPr>
          <w:rFonts w:ascii="Bookman Old Style" w:hAnsi="Bookman Old Style" w:cs="Arial"/>
          <w:i/>
          <w:sz w:val="22"/>
          <w:szCs w:val="22"/>
        </w:rPr>
        <w:t xml:space="preserve"> </w:t>
      </w:r>
      <w:r w:rsidRPr="003C7655">
        <w:rPr>
          <w:rFonts w:ascii="Bookman Old Style" w:hAnsi="Bookman Old Style" w:cs="Arial"/>
          <w:i/>
          <w:sz w:val="22"/>
          <w:szCs w:val="22"/>
        </w:rPr>
        <w:t>trayecto considerable</w:t>
      </w:r>
      <w:r>
        <w:rPr>
          <w:rFonts w:ascii="Bookman Old Style" w:hAnsi="Bookman Old Style" w:cs="Arial"/>
          <w:i/>
          <w:sz w:val="22"/>
          <w:szCs w:val="22"/>
        </w:rPr>
        <w:t xml:space="preserve"> </w:t>
      </w:r>
      <w:r w:rsidRPr="003C7655">
        <w:rPr>
          <w:rFonts w:ascii="Bookman Old Style" w:hAnsi="Bookman Old Style" w:cs="Arial"/>
          <w:i/>
          <w:sz w:val="22"/>
          <w:szCs w:val="22"/>
        </w:rPr>
        <w:t>de tiempo, lo que genera sin lugar</w:t>
      </w:r>
      <w:r>
        <w:rPr>
          <w:rFonts w:ascii="Bookman Old Style" w:hAnsi="Bookman Old Style" w:cs="Arial"/>
          <w:i/>
          <w:sz w:val="22"/>
          <w:szCs w:val="22"/>
        </w:rPr>
        <w:t xml:space="preserve"> </w:t>
      </w:r>
      <w:r w:rsidRPr="003C7655">
        <w:rPr>
          <w:rFonts w:ascii="Bookman Old Style" w:hAnsi="Bookman Old Style" w:cs="Arial"/>
          <w:i/>
          <w:sz w:val="22"/>
          <w:szCs w:val="22"/>
        </w:rPr>
        <w:t>a</w:t>
      </w:r>
      <w:r>
        <w:rPr>
          <w:rFonts w:ascii="Bookman Old Style" w:hAnsi="Bookman Old Style" w:cs="Arial"/>
          <w:i/>
          <w:sz w:val="22"/>
          <w:szCs w:val="22"/>
        </w:rPr>
        <w:t xml:space="preserve"> </w:t>
      </w:r>
      <w:r w:rsidRPr="003C7655">
        <w:rPr>
          <w:rFonts w:ascii="Bookman Old Style" w:hAnsi="Bookman Old Style" w:cs="Arial"/>
          <w:i/>
          <w:sz w:val="22"/>
          <w:szCs w:val="22"/>
        </w:rPr>
        <w:t xml:space="preserve">dudas que serán las grandes compañías quienes </w:t>
      </w:r>
      <w:r>
        <w:rPr>
          <w:rFonts w:ascii="Bookman Old Style" w:hAnsi="Bookman Old Style" w:cs="Arial"/>
          <w:i/>
          <w:sz w:val="22"/>
          <w:szCs w:val="22"/>
        </w:rPr>
        <w:t>acaparen el mercado del GLR en C</w:t>
      </w:r>
      <w:r w:rsidRPr="003C7655">
        <w:rPr>
          <w:rFonts w:ascii="Bookman Old Style" w:hAnsi="Bookman Old Style" w:cs="Arial"/>
          <w:i/>
          <w:sz w:val="22"/>
          <w:szCs w:val="22"/>
        </w:rPr>
        <w:t>olombia, perjudicando como ya mencionó, los intereses de nuestros consumidores</w:t>
      </w:r>
      <w:r>
        <w:rPr>
          <w:rFonts w:ascii="Bookman Old Style" w:hAnsi="Bookman Old Style" w:cs="Arial"/>
          <w:i/>
          <w:sz w:val="22"/>
          <w:szCs w:val="22"/>
        </w:rPr>
        <w:t xml:space="preserve"> </w:t>
      </w:r>
      <w:r w:rsidRPr="003C7655">
        <w:rPr>
          <w:rFonts w:ascii="Bookman Old Style" w:hAnsi="Bookman Old Style" w:cs="Arial"/>
          <w:i/>
          <w:sz w:val="22"/>
          <w:szCs w:val="22"/>
        </w:rPr>
        <w:t>y</w:t>
      </w:r>
      <w:r>
        <w:rPr>
          <w:rFonts w:ascii="Bookman Old Style" w:hAnsi="Bookman Old Style" w:cs="Arial"/>
          <w:i/>
          <w:sz w:val="22"/>
          <w:szCs w:val="22"/>
        </w:rPr>
        <w:t xml:space="preserve"> </w:t>
      </w:r>
      <w:r w:rsidRPr="003C7655">
        <w:rPr>
          <w:rFonts w:ascii="Bookman Old Style" w:hAnsi="Bookman Old Style" w:cs="Arial"/>
          <w:i/>
          <w:sz w:val="22"/>
          <w:szCs w:val="22"/>
        </w:rPr>
        <w:t xml:space="preserve">por </w:t>
      </w:r>
      <w:r w:rsidRPr="003C7655">
        <w:rPr>
          <w:rFonts w:ascii="Bookman Old Style" w:hAnsi="Bookman Old Style" w:cs="Arial"/>
          <w:i/>
          <w:sz w:val="22"/>
          <w:szCs w:val="22"/>
        </w:rPr>
        <w:lastRenderedPageBreak/>
        <w:t xml:space="preserve">supuesto los nuestros como </w:t>
      </w:r>
      <w:r>
        <w:rPr>
          <w:rFonts w:ascii="Bookman Old Style" w:hAnsi="Bookman Old Style" w:cs="Arial"/>
          <w:i/>
          <w:sz w:val="22"/>
          <w:szCs w:val="22"/>
        </w:rPr>
        <w:t>empresarios</w:t>
      </w:r>
      <w:r w:rsidRPr="003C7655">
        <w:rPr>
          <w:rFonts w:ascii="Bookman Old Style" w:hAnsi="Bookman Old Style" w:cs="Arial"/>
          <w:i/>
          <w:sz w:val="22"/>
          <w:szCs w:val="22"/>
        </w:rPr>
        <w:t xml:space="preserve"> quienes vamos</w:t>
      </w:r>
      <w:r>
        <w:rPr>
          <w:rFonts w:ascii="Bookman Old Style" w:hAnsi="Bookman Old Style" w:cs="Arial"/>
          <w:i/>
          <w:sz w:val="22"/>
          <w:szCs w:val="22"/>
        </w:rPr>
        <w:t xml:space="preserve"> </w:t>
      </w:r>
      <w:r w:rsidRPr="003C7655">
        <w:rPr>
          <w:rFonts w:ascii="Bookman Old Style" w:hAnsi="Bookman Old Style" w:cs="Arial"/>
          <w:i/>
          <w:sz w:val="22"/>
          <w:szCs w:val="22"/>
        </w:rPr>
        <w:t>a</w:t>
      </w:r>
      <w:r>
        <w:rPr>
          <w:rFonts w:ascii="Bookman Old Style" w:hAnsi="Bookman Old Style" w:cs="Arial"/>
          <w:i/>
          <w:sz w:val="22"/>
          <w:szCs w:val="22"/>
        </w:rPr>
        <w:t xml:space="preserve"> </w:t>
      </w:r>
      <w:r w:rsidRPr="003C7655">
        <w:rPr>
          <w:rFonts w:ascii="Bookman Old Style" w:hAnsi="Bookman Old Style" w:cs="Arial"/>
          <w:i/>
          <w:sz w:val="22"/>
          <w:szCs w:val="22"/>
        </w:rPr>
        <w:t>comen</w:t>
      </w:r>
      <w:r>
        <w:rPr>
          <w:rFonts w:ascii="Bookman Old Style" w:hAnsi="Bookman Old Style" w:cs="Arial"/>
          <w:i/>
          <w:sz w:val="22"/>
          <w:szCs w:val="22"/>
        </w:rPr>
        <w:t>z</w:t>
      </w:r>
      <w:r w:rsidRPr="003C7655">
        <w:rPr>
          <w:rFonts w:ascii="Bookman Old Style" w:hAnsi="Bookman Old Style" w:cs="Arial"/>
          <w:i/>
          <w:sz w:val="22"/>
          <w:szCs w:val="22"/>
        </w:rPr>
        <w:t>ar a</w:t>
      </w:r>
      <w:r>
        <w:rPr>
          <w:rFonts w:ascii="Bookman Old Style" w:hAnsi="Bookman Old Style" w:cs="Arial"/>
          <w:i/>
          <w:sz w:val="22"/>
          <w:szCs w:val="22"/>
        </w:rPr>
        <w:t xml:space="preserve"> </w:t>
      </w:r>
      <w:r w:rsidRPr="003C7655">
        <w:rPr>
          <w:rFonts w:ascii="Bookman Old Style" w:hAnsi="Bookman Old Style" w:cs="Arial"/>
          <w:i/>
          <w:sz w:val="22"/>
          <w:szCs w:val="22"/>
        </w:rPr>
        <w:t>perder nuestra clientela que bastante esfuerzo nos ha costado mantener</w:t>
      </w:r>
    </w:p>
    <w:p w:rsidR="003C7655" w:rsidRPr="003C7655" w:rsidRDefault="003C7655" w:rsidP="003C7655">
      <w:pPr>
        <w:ind w:left="284" w:right="284"/>
        <w:jc w:val="both"/>
        <w:rPr>
          <w:rFonts w:ascii="Bookman Old Style" w:hAnsi="Bookman Old Style" w:cs="Arial"/>
          <w:i/>
          <w:sz w:val="22"/>
          <w:szCs w:val="22"/>
        </w:rPr>
      </w:pPr>
    </w:p>
    <w:p w:rsidR="003C7655" w:rsidRDefault="003C7655" w:rsidP="003C7655">
      <w:pPr>
        <w:ind w:left="284" w:right="284"/>
        <w:jc w:val="both"/>
        <w:rPr>
          <w:rFonts w:ascii="Bookman Old Style" w:hAnsi="Bookman Old Style" w:cs="Arial"/>
          <w:i/>
          <w:sz w:val="22"/>
          <w:szCs w:val="22"/>
        </w:rPr>
      </w:pPr>
      <w:r w:rsidRPr="003C7655">
        <w:rPr>
          <w:rFonts w:ascii="Bookman Old Style" w:hAnsi="Bookman Old Style" w:cs="Arial"/>
          <w:i/>
          <w:sz w:val="22"/>
          <w:szCs w:val="22"/>
        </w:rPr>
        <w:t>Ahora bien, existen casos donde</w:t>
      </w:r>
      <w:r>
        <w:rPr>
          <w:rFonts w:ascii="Bookman Old Style" w:hAnsi="Bookman Old Style" w:cs="Arial"/>
          <w:i/>
          <w:sz w:val="22"/>
          <w:szCs w:val="22"/>
        </w:rPr>
        <w:t xml:space="preserve"> </w:t>
      </w:r>
      <w:r w:rsidRPr="003C7655">
        <w:rPr>
          <w:rFonts w:ascii="Bookman Old Style" w:hAnsi="Bookman Old Style" w:cs="Arial"/>
          <w:i/>
          <w:sz w:val="22"/>
          <w:szCs w:val="22"/>
        </w:rPr>
        <w:t>el</w:t>
      </w:r>
      <w:r>
        <w:rPr>
          <w:rFonts w:ascii="Bookman Old Style" w:hAnsi="Bookman Old Style" w:cs="Arial"/>
          <w:i/>
          <w:sz w:val="22"/>
          <w:szCs w:val="22"/>
        </w:rPr>
        <w:t xml:space="preserve"> </w:t>
      </w:r>
      <w:r w:rsidRPr="003C7655">
        <w:rPr>
          <w:rFonts w:ascii="Bookman Old Style" w:hAnsi="Bookman Old Style" w:cs="Arial"/>
          <w:i/>
          <w:sz w:val="22"/>
          <w:szCs w:val="22"/>
        </w:rPr>
        <w:t>Estado considera necesaria su intervención</w:t>
      </w:r>
      <w:r>
        <w:rPr>
          <w:rFonts w:ascii="Bookman Old Style" w:hAnsi="Bookman Old Style" w:cs="Arial"/>
          <w:i/>
          <w:sz w:val="22"/>
          <w:szCs w:val="22"/>
        </w:rPr>
        <w:t xml:space="preserve"> </w:t>
      </w:r>
      <w:r w:rsidRPr="003C7655">
        <w:rPr>
          <w:rFonts w:ascii="Bookman Old Style" w:hAnsi="Bookman Old Style" w:cs="Arial"/>
          <w:i/>
          <w:sz w:val="22"/>
          <w:szCs w:val="22"/>
        </w:rPr>
        <w:t>en</w:t>
      </w:r>
      <w:r>
        <w:rPr>
          <w:rFonts w:ascii="Bookman Old Style" w:hAnsi="Bookman Old Style" w:cs="Arial"/>
          <w:i/>
          <w:sz w:val="22"/>
          <w:szCs w:val="22"/>
        </w:rPr>
        <w:t xml:space="preserve"> </w:t>
      </w:r>
      <w:r w:rsidRPr="003C7655">
        <w:rPr>
          <w:rFonts w:ascii="Bookman Old Style" w:hAnsi="Bookman Old Style" w:cs="Arial"/>
          <w:i/>
          <w:sz w:val="22"/>
          <w:szCs w:val="22"/>
        </w:rPr>
        <w:t>el mercado,</w:t>
      </w:r>
      <w:r>
        <w:rPr>
          <w:rFonts w:ascii="Bookman Old Style" w:hAnsi="Bookman Old Style" w:cs="Arial"/>
          <w:i/>
          <w:sz w:val="22"/>
          <w:szCs w:val="22"/>
        </w:rPr>
        <w:t xml:space="preserve"> </w:t>
      </w:r>
      <w:r w:rsidRPr="003C7655">
        <w:rPr>
          <w:rFonts w:ascii="Bookman Old Style" w:hAnsi="Bookman Old Style" w:cs="Arial"/>
          <w:i/>
          <w:sz w:val="22"/>
          <w:szCs w:val="22"/>
        </w:rPr>
        <w:t>y</w:t>
      </w:r>
      <w:r>
        <w:rPr>
          <w:rFonts w:ascii="Bookman Old Style" w:hAnsi="Bookman Old Style" w:cs="Arial"/>
          <w:i/>
          <w:sz w:val="22"/>
          <w:szCs w:val="22"/>
        </w:rPr>
        <w:t xml:space="preserve"> </w:t>
      </w:r>
      <w:r w:rsidRPr="003C7655">
        <w:rPr>
          <w:rFonts w:ascii="Bookman Old Style" w:hAnsi="Bookman Old Style" w:cs="Arial"/>
          <w:i/>
          <w:sz w:val="22"/>
          <w:szCs w:val="22"/>
        </w:rPr>
        <w:t>para ello otorga</w:t>
      </w:r>
      <w:r>
        <w:rPr>
          <w:rFonts w:ascii="Bookman Old Style" w:hAnsi="Bookman Old Style" w:cs="Arial"/>
          <w:i/>
          <w:sz w:val="22"/>
          <w:szCs w:val="22"/>
        </w:rPr>
        <w:t xml:space="preserve"> </w:t>
      </w:r>
      <w:r w:rsidRPr="003C7655">
        <w:rPr>
          <w:rFonts w:ascii="Bookman Old Style" w:hAnsi="Bookman Old Style" w:cs="Arial"/>
          <w:i/>
          <w:sz w:val="22"/>
          <w:szCs w:val="22"/>
        </w:rPr>
        <w:t>a</w:t>
      </w:r>
      <w:r>
        <w:rPr>
          <w:rFonts w:ascii="Bookman Old Style" w:hAnsi="Bookman Old Style" w:cs="Arial"/>
          <w:i/>
          <w:sz w:val="22"/>
          <w:szCs w:val="22"/>
        </w:rPr>
        <w:t xml:space="preserve"> los entes reguladores</w:t>
      </w:r>
      <w:r w:rsidRPr="003C7655">
        <w:rPr>
          <w:rFonts w:ascii="Bookman Old Style" w:hAnsi="Bookman Old Style" w:cs="Arial"/>
          <w:i/>
          <w:sz w:val="22"/>
          <w:szCs w:val="22"/>
        </w:rPr>
        <w:t xml:space="preserve"> la facultad</w:t>
      </w:r>
      <w:r>
        <w:rPr>
          <w:rFonts w:ascii="Bookman Old Style" w:hAnsi="Bookman Old Style" w:cs="Arial"/>
          <w:i/>
          <w:sz w:val="22"/>
          <w:szCs w:val="22"/>
        </w:rPr>
        <w:t xml:space="preserve"> </w:t>
      </w:r>
      <w:r w:rsidRPr="003C7655">
        <w:rPr>
          <w:rFonts w:ascii="Bookman Old Style" w:hAnsi="Bookman Old Style" w:cs="Arial"/>
          <w:i/>
          <w:sz w:val="22"/>
          <w:szCs w:val="22"/>
        </w:rPr>
        <w:t>de ejercer esta labor,</w:t>
      </w:r>
      <w:r>
        <w:rPr>
          <w:rFonts w:ascii="Bookman Old Style" w:hAnsi="Bookman Old Style" w:cs="Arial"/>
          <w:i/>
          <w:sz w:val="22"/>
          <w:szCs w:val="22"/>
        </w:rPr>
        <w:t xml:space="preserve"> </w:t>
      </w:r>
      <w:r w:rsidRPr="003C7655">
        <w:rPr>
          <w:rFonts w:ascii="Bookman Old Style" w:hAnsi="Bookman Old Style" w:cs="Arial"/>
          <w:i/>
          <w:sz w:val="22"/>
          <w:szCs w:val="22"/>
        </w:rPr>
        <w:t>sin embargo su intervención debe propender por la prot</w:t>
      </w:r>
      <w:r>
        <w:rPr>
          <w:rFonts w:ascii="Bookman Old Style" w:hAnsi="Bookman Old Style" w:cs="Arial"/>
          <w:i/>
          <w:sz w:val="22"/>
          <w:szCs w:val="22"/>
        </w:rPr>
        <w:t>ección de la libre competencia. P</w:t>
      </w:r>
      <w:r w:rsidRPr="003C7655">
        <w:rPr>
          <w:rFonts w:ascii="Bookman Old Style" w:hAnsi="Bookman Old Style" w:cs="Arial"/>
          <w:i/>
          <w:sz w:val="22"/>
          <w:szCs w:val="22"/>
        </w:rPr>
        <w:t>or</w:t>
      </w:r>
      <w:r>
        <w:rPr>
          <w:rFonts w:ascii="Bookman Old Style" w:hAnsi="Bookman Old Style" w:cs="Arial"/>
          <w:i/>
          <w:sz w:val="22"/>
          <w:szCs w:val="22"/>
        </w:rPr>
        <w:t xml:space="preserve"> </w:t>
      </w:r>
      <w:r w:rsidRPr="003C7655">
        <w:rPr>
          <w:rFonts w:ascii="Bookman Old Style" w:hAnsi="Bookman Old Style" w:cs="Arial"/>
          <w:i/>
          <w:sz w:val="22"/>
          <w:szCs w:val="22"/>
        </w:rPr>
        <w:t>tal motivo existe el mecanismo de la abogacía que utiliz</w:t>
      </w:r>
      <w:r>
        <w:rPr>
          <w:rFonts w:ascii="Bookman Old Style" w:hAnsi="Bookman Old Style" w:cs="Arial"/>
          <w:i/>
          <w:sz w:val="22"/>
          <w:szCs w:val="22"/>
        </w:rPr>
        <w:t>a la superintendencia de Industri</w:t>
      </w:r>
      <w:r w:rsidRPr="003C7655">
        <w:rPr>
          <w:rFonts w:ascii="Bookman Old Style" w:hAnsi="Bookman Old Style" w:cs="Arial"/>
          <w:i/>
          <w:sz w:val="22"/>
          <w:szCs w:val="22"/>
        </w:rPr>
        <w:t>a</w:t>
      </w:r>
      <w:r>
        <w:rPr>
          <w:rFonts w:ascii="Bookman Old Style" w:hAnsi="Bookman Old Style" w:cs="Arial"/>
          <w:i/>
          <w:sz w:val="22"/>
          <w:szCs w:val="22"/>
        </w:rPr>
        <w:t xml:space="preserve"> y Comercio SIC</w:t>
      </w:r>
      <w:r w:rsidRPr="003C7655">
        <w:rPr>
          <w:rFonts w:ascii="Bookman Old Style" w:hAnsi="Bookman Old Style" w:cs="Arial"/>
          <w:i/>
          <w:sz w:val="22"/>
          <w:szCs w:val="22"/>
        </w:rPr>
        <w:t>,</w:t>
      </w:r>
      <w:r>
        <w:rPr>
          <w:rFonts w:ascii="Bookman Old Style" w:hAnsi="Bookman Old Style" w:cs="Arial"/>
          <w:i/>
          <w:sz w:val="22"/>
          <w:szCs w:val="22"/>
        </w:rPr>
        <w:t xml:space="preserve"> </w:t>
      </w:r>
      <w:r w:rsidRPr="003C7655">
        <w:rPr>
          <w:rFonts w:ascii="Bookman Old Style" w:hAnsi="Bookman Old Style" w:cs="Arial"/>
          <w:i/>
          <w:sz w:val="22"/>
          <w:szCs w:val="22"/>
        </w:rPr>
        <w:t>cuyo objetivo</w:t>
      </w:r>
      <w:r>
        <w:rPr>
          <w:rFonts w:ascii="Bookman Old Style" w:hAnsi="Bookman Old Style" w:cs="Arial"/>
          <w:i/>
          <w:sz w:val="22"/>
          <w:szCs w:val="22"/>
        </w:rPr>
        <w:t xml:space="preserve"> </w:t>
      </w:r>
      <w:r w:rsidRPr="003C7655">
        <w:rPr>
          <w:rFonts w:ascii="Bookman Old Style" w:hAnsi="Bookman Old Style" w:cs="Arial"/>
          <w:i/>
          <w:sz w:val="22"/>
          <w:szCs w:val="22"/>
        </w:rPr>
        <w:t>principal es evitar que la expedición de normas pueda influir negativamente en los mercados.</w:t>
      </w:r>
    </w:p>
    <w:p w:rsidR="003C7655" w:rsidRPr="003C7655" w:rsidRDefault="003C7655" w:rsidP="003C7655">
      <w:pPr>
        <w:ind w:left="284" w:right="284"/>
        <w:jc w:val="both"/>
        <w:rPr>
          <w:rFonts w:ascii="Bookman Old Style" w:hAnsi="Bookman Old Style" w:cs="Arial"/>
          <w:i/>
          <w:sz w:val="22"/>
          <w:szCs w:val="22"/>
        </w:rPr>
      </w:pPr>
    </w:p>
    <w:p w:rsidR="003C7655" w:rsidRDefault="003C7655" w:rsidP="003C7655">
      <w:pPr>
        <w:ind w:left="284" w:right="284"/>
        <w:jc w:val="both"/>
        <w:rPr>
          <w:rFonts w:ascii="Bookman Old Style" w:hAnsi="Bookman Old Style" w:cs="Arial"/>
          <w:i/>
          <w:sz w:val="22"/>
          <w:szCs w:val="22"/>
        </w:rPr>
      </w:pPr>
      <w:r w:rsidRPr="003C7655">
        <w:rPr>
          <w:rFonts w:ascii="Bookman Old Style" w:hAnsi="Bookman Old Style" w:cs="Arial"/>
          <w:i/>
          <w:sz w:val="22"/>
          <w:szCs w:val="22"/>
        </w:rPr>
        <w:t xml:space="preserve">Mediante este mecanismo, las autoridades que pretenden expedir actos administrativos regúlatenos deben remitirlo para el estudio de abogacía que efectúa la </w:t>
      </w:r>
      <w:r>
        <w:rPr>
          <w:rFonts w:ascii="Bookman Old Style" w:hAnsi="Bookman Old Style" w:cs="Arial"/>
          <w:i/>
          <w:sz w:val="22"/>
          <w:szCs w:val="22"/>
        </w:rPr>
        <w:t>SIC</w:t>
      </w:r>
      <w:r w:rsidRPr="003C7655">
        <w:rPr>
          <w:rFonts w:ascii="Bookman Old Style" w:hAnsi="Bookman Old Style" w:cs="Arial"/>
          <w:i/>
          <w:sz w:val="22"/>
          <w:szCs w:val="22"/>
        </w:rPr>
        <w:t>, con el ánimo de proteger la libre competencia</w:t>
      </w:r>
      <w:r>
        <w:rPr>
          <w:rFonts w:ascii="Bookman Old Style" w:hAnsi="Bookman Old Style" w:cs="Arial"/>
          <w:i/>
          <w:sz w:val="22"/>
          <w:szCs w:val="22"/>
        </w:rPr>
        <w:t xml:space="preserve"> </w:t>
      </w:r>
      <w:r w:rsidRPr="003C7655">
        <w:rPr>
          <w:rFonts w:ascii="Bookman Old Style" w:hAnsi="Bookman Old Style" w:cs="Arial"/>
          <w:i/>
          <w:sz w:val="22"/>
          <w:szCs w:val="22"/>
        </w:rPr>
        <w:t>y</w:t>
      </w:r>
      <w:r>
        <w:rPr>
          <w:rFonts w:ascii="Bookman Old Style" w:hAnsi="Bookman Old Style" w:cs="Arial"/>
          <w:i/>
          <w:sz w:val="22"/>
          <w:szCs w:val="22"/>
        </w:rPr>
        <w:t xml:space="preserve"> </w:t>
      </w:r>
      <w:r w:rsidRPr="003C7655">
        <w:rPr>
          <w:rFonts w:ascii="Bookman Old Style" w:hAnsi="Bookman Old Style" w:cs="Arial"/>
          <w:i/>
          <w:sz w:val="22"/>
          <w:szCs w:val="22"/>
        </w:rPr>
        <w:t>determinar si el acto administrativo</w:t>
      </w:r>
      <w:r>
        <w:rPr>
          <w:rFonts w:ascii="Bookman Old Style" w:hAnsi="Bookman Old Style" w:cs="Arial"/>
          <w:i/>
          <w:sz w:val="22"/>
          <w:szCs w:val="22"/>
        </w:rPr>
        <w:t xml:space="preserve"> </w:t>
      </w:r>
      <w:r w:rsidRPr="003C7655">
        <w:rPr>
          <w:rFonts w:ascii="Bookman Old Style" w:hAnsi="Bookman Old Style" w:cs="Arial"/>
          <w:i/>
          <w:sz w:val="22"/>
          <w:szCs w:val="22"/>
        </w:rPr>
        <w:t>a</w:t>
      </w:r>
      <w:r>
        <w:rPr>
          <w:rFonts w:ascii="Bookman Old Style" w:hAnsi="Bookman Old Style" w:cs="Arial"/>
          <w:i/>
          <w:sz w:val="22"/>
          <w:szCs w:val="22"/>
        </w:rPr>
        <w:t xml:space="preserve"> </w:t>
      </w:r>
      <w:r w:rsidRPr="003C7655">
        <w:rPr>
          <w:rFonts w:ascii="Bookman Old Style" w:hAnsi="Bookman Old Style" w:cs="Arial"/>
          <w:i/>
          <w:sz w:val="22"/>
          <w:szCs w:val="22"/>
        </w:rPr>
        <w:t>expedir vulnera este derecho</w:t>
      </w:r>
    </w:p>
    <w:p w:rsidR="003C7655" w:rsidRPr="003C7655" w:rsidRDefault="003C7655" w:rsidP="003C7655">
      <w:pPr>
        <w:ind w:left="284" w:right="284"/>
        <w:jc w:val="both"/>
        <w:rPr>
          <w:rFonts w:ascii="Bookman Old Style" w:hAnsi="Bookman Old Style" w:cs="Arial"/>
          <w:i/>
          <w:sz w:val="22"/>
          <w:szCs w:val="22"/>
        </w:rPr>
      </w:pPr>
    </w:p>
    <w:p w:rsidR="003C7655" w:rsidRDefault="003C7655" w:rsidP="003C7655">
      <w:pPr>
        <w:ind w:left="284" w:right="284"/>
        <w:jc w:val="both"/>
        <w:rPr>
          <w:rFonts w:ascii="Bookman Old Style" w:hAnsi="Bookman Old Style" w:cs="Arial"/>
          <w:i/>
          <w:sz w:val="22"/>
          <w:szCs w:val="22"/>
        </w:rPr>
      </w:pPr>
      <w:r>
        <w:rPr>
          <w:rFonts w:ascii="Bookman Old Style" w:hAnsi="Bookman Old Style" w:cs="Arial"/>
          <w:i/>
          <w:sz w:val="22"/>
          <w:szCs w:val="22"/>
        </w:rPr>
        <w:t>C</w:t>
      </w:r>
      <w:r w:rsidRPr="003C7655">
        <w:rPr>
          <w:rFonts w:ascii="Bookman Old Style" w:hAnsi="Bookman Old Style" w:cs="Arial"/>
          <w:i/>
          <w:sz w:val="22"/>
          <w:szCs w:val="22"/>
        </w:rPr>
        <w:t xml:space="preserve">omo puede observarse en el concepto de abogacía de la competencia emitida por la </w:t>
      </w:r>
      <w:r>
        <w:rPr>
          <w:rFonts w:ascii="Bookman Old Style" w:hAnsi="Bookman Old Style" w:cs="Arial"/>
          <w:i/>
          <w:sz w:val="22"/>
          <w:szCs w:val="22"/>
        </w:rPr>
        <w:t>SIC</w:t>
      </w:r>
      <w:r w:rsidRPr="003C7655">
        <w:rPr>
          <w:rFonts w:ascii="Bookman Old Style" w:hAnsi="Bookman Old Style" w:cs="Arial"/>
          <w:i/>
          <w:sz w:val="22"/>
          <w:szCs w:val="22"/>
        </w:rPr>
        <w:t xml:space="preserve"> sobre</w:t>
      </w:r>
      <w:r>
        <w:rPr>
          <w:rFonts w:ascii="Bookman Old Style" w:hAnsi="Bookman Old Style" w:cs="Arial"/>
          <w:i/>
          <w:sz w:val="22"/>
          <w:szCs w:val="22"/>
        </w:rPr>
        <w:t xml:space="preserve"> el proyecto presentado por la C</w:t>
      </w:r>
      <w:r w:rsidRPr="003C7655">
        <w:rPr>
          <w:rFonts w:ascii="Bookman Old Style" w:hAnsi="Bookman Old Style" w:cs="Arial"/>
          <w:i/>
          <w:sz w:val="22"/>
          <w:szCs w:val="22"/>
        </w:rPr>
        <w:t>REG de la Resolución 063 de 2016, se consideró que el</w:t>
      </w:r>
      <w:r>
        <w:rPr>
          <w:rFonts w:ascii="Bookman Old Style" w:hAnsi="Bookman Old Style" w:cs="Arial"/>
          <w:i/>
          <w:sz w:val="22"/>
          <w:szCs w:val="22"/>
        </w:rPr>
        <w:t xml:space="preserve"> </w:t>
      </w:r>
      <w:r w:rsidRPr="003C7655">
        <w:rPr>
          <w:rFonts w:ascii="Bookman Old Style" w:hAnsi="Bookman Old Style" w:cs="Arial"/>
          <w:i/>
          <w:sz w:val="22"/>
          <w:szCs w:val="22"/>
        </w:rPr>
        <w:t>referido proyecto podría generar restricción</w:t>
      </w:r>
      <w:r>
        <w:rPr>
          <w:rFonts w:ascii="Bookman Old Style" w:hAnsi="Bookman Old Style" w:cs="Arial"/>
          <w:i/>
          <w:sz w:val="22"/>
          <w:szCs w:val="22"/>
        </w:rPr>
        <w:t xml:space="preserve"> </w:t>
      </w:r>
      <w:r w:rsidRPr="003C7655">
        <w:rPr>
          <w:rFonts w:ascii="Bookman Old Style" w:hAnsi="Bookman Old Style" w:cs="Arial"/>
          <w:i/>
          <w:sz w:val="22"/>
          <w:szCs w:val="22"/>
        </w:rPr>
        <w:t>a</w:t>
      </w:r>
      <w:r>
        <w:rPr>
          <w:rFonts w:ascii="Bookman Old Style" w:hAnsi="Bookman Old Style" w:cs="Arial"/>
          <w:i/>
          <w:sz w:val="22"/>
          <w:szCs w:val="22"/>
        </w:rPr>
        <w:t xml:space="preserve"> </w:t>
      </w:r>
      <w:r w:rsidRPr="003C7655">
        <w:rPr>
          <w:rFonts w:ascii="Bookman Old Style" w:hAnsi="Bookman Old Style" w:cs="Arial"/>
          <w:i/>
          <w:sz w:val="22"/>
          <w:szCs w:val="22"/>
        </w:rPr>
        <w:t xml:space="preserve">la competencia-entre otros aspectos- por la publicación de las capacidades de compra establecidos por la </w:t>
      </w:r>
      <w:r>
        <w:rPr>
          <w:rFonts w:ascii="Bookman Old Style" w:hAnsi="Bookman Old Style" w:cs="Arial"/>
          <w:i/>
          <w:sz w:val="22"/>
          <w:szCs w:val="22"/>
        </w:rPr>
        <w:t xml:space="preserve">CREG </w:t>
      </w:r>
      <w:r w:rsidRPr="003C7655">
        <w:rPr>
          <w:rFonts w:ascii="Bookman Old Style" w:hAnsi="Bookman Old Style" w:cs="Arial"/>
          <w:i/>
          <w:sz w:val="22"/>
          <w:szCs w:val="22"/>
        </w:rPr>
        <w:t>y</w:t>
      </w:r>
      <w:r>
        <w:rPr>
          <w:rFonts w:ascii="Bookman Old Style" w:hAnsi="Bookman Old Style" w:cs="Arial"/>
          <w:i/>
          <w:sz w:val="22"/>
          <w:szCs w:val="22"/>
        </w:rPr>
        <w:t xml:space="preserve"> </w:t>
      </w:r>
      <w:r w:rsidRPr="003C7655">
        <w:rPr>
          <w:rFonts w:ascii="Bookman Old Style" w:hAnsi="Bookman Old Style" w:cs="Arial"/>
          <w:i/>
          <w:sz w:val="22"/>
          <w:szCs w:val="22"/>
        </w:rPr>
        <w:t>señalados en el</w:t>
      </w:r>
      <w:r>
        <w:rPr>
          <w:rFonts w:ascii="Bookman Old Style" w:hAnsi="Bookman Old Style" w:cs="Arial"/>
          <w:i/>
          <w:sz w:val="22"/>
          <w:szCs w:val="22"/>
        </w:rPr>
        <w:t xml:space="preserve"> </w:t>
      </w:r>
      <w:r w:rsidRPr="003C7655">
        <w:rPr>
          <w:rFonts w:ascii="Bookman Old Style" w:hAnsi="Bookman Old Style" w:cs="Arial"/>
          <w:i/>
          <w:sz w:val="22"/>
          <w:szCs w:val="22"/>
        </w:rPr>
        <w:t>artículo</w:t>
      </w:r>
      <w:r>
        <w:rPr>
          <w:rFonts w:ascii="Bookman Old Style" w:hAnsi="Bookman Old Style" w:cs="Arial"/>
          <w:i/>
          <w:sz w:val="22"/>
          <w:szCs w:val="22"/>
        </w:rPr>
        <w:t xml:space="preserve"> 9 </w:t>
      </w:r>
      <w:r w:rsidRPr="003C7655">
        <w:rPr>
          <w:rFonts w:ascii="Bookman Old Style" w:hAnsi="Bookman Old Style" w:cs="Arial"/>
          <w:i/>
          <w:sz w:val="22"/>
          <w:szCs w:val="22"/>
        </w:rPr>
        <w:t>de la Resolución 063</w:t>
      </w:r>
      <w:r>
        <w:rPr>
          <w:rFonts w:ascii="Bookman Old Style" w:hAnsi="Bookman Old Style" w:cs="Arial"/>
          <w:i/>
          <w:sz w:val="22"/>
          <w:szCs w:val="22"/>
        </w:rPr>
        <w:t xml:space="preserve"> </w:t>
      </w:r>
      <w:r w:rsidRPr="003C7655">
        <w:rPr>
          <w:rFonts w:ascii="Bookman Old Style" w:hAnsi="Bookman Old Style" w:cs="Arial"/>
          <w:i/>
          <w:sz w:val="22"/>
          <w:szCs w:val="22"/>
        </w:rPr>
        <w:t>de</w:t>
      </w:r>
      <w:r>
        <w:rPr>
          <w:rFonts w:ascii="Bookman Old Style" w:hAnsi="Bookman Old Style" w:cs="Arial"/>
          <w:i/>
          <w:sz w:val="22"/>
          <w:szCs w:val="22"/>
        </w:rPr>
        <w:t xml:space="preserve"> </w:t>
      </w:r>
      <w:r w:rsidRPr="003C7655">
        <w:rPr>
          <w:rFonts w:ascii="Bookman Old Style" w:hAnsi="Bookman Old Style" w:cs="Arial"/>
          <w:i/>
          <w:sz w:val="22"/>
          <w:szCs w:val="22"/>
        </w:rPr>
        <w:t>2016.</w:t>
      </w:r>
      <w:r>
        <w:rPr>
          <w:rFonts w:ascii="Bookman Old Style" w:hAnsi="Bookman Old Style" w:cs="Arial"/>
          <w:i/>
          <w:sz w:val="22"/>
          <w:szCs w:val="22"/>
        </w:rPr>
        <w:t>”</w:t>
      </w:r>
    </w:p>
    <w:p w:rsidR="00D24859" w:rsidRPr="00CD67E2" w:rsidRDefault="00D24859" w:rsidP="003C7655">
      <w:pPr>
        <w:ind w:left="0" w:right="284"/>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B42221" w:rsidRDefault="00967468"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w:t>
      </w:r>
      <w:r w:rsidR="002A452D">
        <w:rPr>
          <w:rFonts w:ascii="Bookman Old Style" w:hAnsi="Bookman Old Style"/>
          <w:szCs w:val="27"/>
        </w:rPr>
        <w:t xml:space="preserve">por el recurrente </w:t>
      </w:r>
      <w:r>
        <w:rPr>
          <w:rFonts w:ascii="Bookman Old Style" w:hAnsi="Bookman Old Style"/>
          <w:szCs w:val="27"/>
        </w:rPr>
        <w:t xml:space="preserve">en el recurso de reposición, </w:t>
      </w:r>
      <w:r w:rsidR="00B42221">
        <w:rPr>
          <w:rFonts w:ascii="Bookman Old Style" w:hAnsi="Bookman Old Style"/>
          <w:szCs w:val="27"/>
        </w:rPr>
        <w:t xml:space="preserve">se </w:t>
      </w:r>
      <w:r w:rsidR="00B42221" w:rsidRPr="00B42221">
        <w:rPr>
          <w:rFonts w:ascii="Bookman Old Style" w:hAnsi="Bookman Old Style"/>
          <w:szCs w:val="27"/>
        </w:rPr>
        <w:t xml:space="preserve">advierte por parte esta Comisión que los </w:t>
      </w:r>
      <w:r w:rsidR="00B42221">
        <w:rPr>
          <w:rFonts w:ascii="Bookman Old Style" w:hAnsi="Bookman Old Style"/>
          <w:szCs w:val="27"/>
        </w:rPr>
        <w:t xml:space="preserve">mismos no están dirigidos a </w:t>
      </w:r>
      <w:r w:rsidR="00B42221" w:rsidRPr="00B42221">
        <w:rPr>
          <w:rFonts w:ascii="Bookman Old Style" w:hAnsi="Bookman Old Style"/>
          <w:szCs w:val="27"/>
        </w:rPr>
        <w:t xml:space="preserve">cuestionar las motivaciones y la decisión adoptada por la CREG en relación con la información del Sistema Único de Información – SUI, así como a la forma y el procedimiento que se llevó a cabo para la definición de la capacidad de compra para la empresa Gases del </w:t>
      </w:r>
      <w:proofErr w:type="spellStart"/>
      <w:r w:rsidR="00B42221" w:rsidRPr="00B42221">
        <w:rPr>
          <w:rFonts w:ascii="Bookman Old Style" w:hAnsi="Bookman Old Style"/>
          <w:szCs w:val="27"/>
        </w:rPr>
        <w:t>Cagúan</w:t>
      </w:r>
      <w:proofErr w:type="spellEnd"/>
      <w:r w:rsidR="00B42221" w:rsidRPr="00B42221">
        <w:rPr>
          <w:rFonts w:ascii="Bookman Old Style" w:hAnsi="Bookman Old Style"/>
          <w:szCs w:val="27"/>
        </w:rPr>
        <w:t xml:space="preserve"> en la Resolución CREG 075 de 2016 y su Anexo en aplicación de lo previsto en el artículo 8 de</w:t>
      </w:r>
      <w:r w:rsidR="00B42221">
        <w:rPr>
          <w:rFonts w:ascii="Bookman Old Style" w:hAnsi="Bookman Old Style"/>
          <w:szCs w:val="27"/>
        </w:rPr>
        <w:t xml:space="preserve"> la Resolución CREG 063 de 2016.</w:t>
      </w:r>
    </w:p>
    <w:p w:rsidR="00B42221" w:rsidRDefault="00B42221" w:rsidP="00B42221">
      <w:pPr>
        <w:pStyle w:val="Textoindependiente2"/>
        <w:spacing w:after="0" w:line="240" w:lineRule="auto"/>
        <w:ind w:left="-142" w:right="-142"/>
        <w:jc w:val="both"/>
        <w:rPr>
          <w:rFonts w:ascii="Bookman Old Style" w:hAnsi="Bookman Old Style"/>
          <w:szCs w:val="27"/>
        </w:rPr>
      </w:pPr>
    </w:p>
    <w:p w:rsidR="00025BBC" w:rsidRDefault="00B42221" w:rsidP="00DC2FA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Por el contrario, </w:t>
      </w:r>
      <w:r w:rsidR="00025BBC">
        <w:rPr>
          <w:rFonts w:ascii="Bookman Old Style" w:hAnsi="Bookman Old Style"/>
          <w:szCs w:val="27"/>
        </w:rPr>
        <w:t xml:space="preserve">estos argumentos en relación con una posible afectación a la libre competencia y la aplicación del mecanismo de la abogacía de la competencia, corresponden a cuestionamientos que no son propios del acto </w:t>
      </w:r>
      <w:r w:rsidR="00107423">
        <w:rPr>
          <w:rFonts w:ascii="Bookman Old Style" w:hAnsi="Bookman Old Style"/>
          <w:szCs w:val="27"/>
        </w:rPr>
        <w:t xml:space="preserve">particular </w:t>
      </w:r>
      <w:r w:rsidR="00025BBC">
        <w:rPr>
          <w:rFonts w:ascii="Bookman Old Style" w:hAnsi="Bookman Old Style"/>
          <w:szCs w:val="27"/>
        </w:rPr>
        <w:t>objeto de recurso</w:t>
      </w:r>
      <w:r w:rsidR="00107423">
        <w:rPr>
          <w:rFonts w:ascii="Bookman Old Style" w:hAnsi="Bookman Old Style"/>
          <w:szCs w:val="27"/>
        </w:rPr>
        <w:t xml:space="preserve"> y lo que allí fue definido para el caso de la empresa </w:t>
      </w:r>
      <w:proofErr w:type="spellStart"/>
      <w:r w:rsidR="00107423">
        <w:rPr>
          <w:rFonts w:ascii="Bookman Old Style" w:hAnsi="Bookman Old Style"/>
          <w:szCs w:val="27"/>
        </w:rPr>
        <w:t>Monzagas</w:t>
      </w:r>
      <w:proofErr w:type="spellEnd"/>
      <w:r w:rsidR="00025BBC">
        <w:rPr>
          <w:rFonts w:ascii="Bookman Old Style" w:hAnsi="Bookman Old Style"/>
          <w:szCs w:val="27"/>
        </w:rPr>
        <w:t xml:space="preserve">, sino que están dirigidos a cuestionar la legalidad de la </w:t>
      </w:r>
      <w:r w:rsidR="00107423">
        <w:rPr>
          <w:rFonts w:ascii="Bookman Old Style" w:hAnsi="Bookman Old Style"/>
          <w:szCs w:val="27"/>
        </w:rPr>
        <w:t xml:space="preserve">medida general definida en la </w:t>
      </w:r>
      <w:r w:rsidR="00025BBC">
        <w:rPr>
          <w:rFonts w:ascii="Bookman Old Style" w:hAnsi="Bookman Old Style"/>
          <w:szCs w:val="27"/>
        </w:rPr>
        <w:t>Resolución CREG 063 de 2016.</w:t>
      </w:r>
    </w:p>
    <w:p w:rsidR="00107423" w:rsidRDefault="00107423" w:rsidP="00107423">
      <w:pPr>
        <w:pStyle w:val="Textoindependiente2"/>
        <w:spacing w:after="0" w:line="240" w:lineRule="auto"/>
        <w:ind w:left="0" w:right="-142"/>
        <w:jc w:val="both"/>
        <w:rPr>
          <w:rFonts w:ascii="Bookman Old Style" w:hAnsi="Bookman Old Style"/>
          <w:szCs w:val="27"/>
        </w:rPr>
      </w:pPr>
    </w:p>
    <w:p w:rsidR="00107423" w:rsidRDefault="00107423" w:rsidP="0010742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Se debe tener en cuenta que estos cuestionamientos en relación con una posible afectación a la libre competencia con la expedición de la Resolución CREG 063 de 2016 fueron analizados y expuestos por parte de esta Comisión dentro del proceso de consulta de dicho acto administrativo y fueron consignados en dicha resolución, así como en el documento soporte </w:t>
      </w:r>
      <w:r w:rsidRPr="00107423">
        <w:rPr>
          <w:rFonts w:ascii="Bookman Old Style" w:hAnsi="Bookman Old Style"/>
          <w:szCs w:val="27"/>
        </w:rPr>
        <w:t>030 de 2016</w:t>
      </w:r>
      <w:r>
        <w:rPr>
          <w:rFonts w:ascii="Bookman Old Style" w:hAnsi="Bookman Old Style"/>
          <w:szCs w:val="27"/>
        </w:rPr>
        <w:t>.</w:t>
      </w:r>
    </w:p>
    <w:p w:rsidR="00107423" w:rsidRDefault="00107423" w:rsidP="00107423">
      <w:pPr>
        <w:pStyle w:val="Textoindependiente2"/>
        <w:spacing w:after="0" w:line="240" w:lineRule="auto"/>
        <w:ind w:left="-142" w:right="-142"/>
        <w:jc w:val="both"/>
        <w:rPr>
          <w:rFonts w:ascii="Bookman Old Style" w:hAnsi="Bookman Old Style"/>
          <w:szCs w:val="27"/>
        </w:rPr>
      </w:pPr>
    </w:p>
    <w:p w:rsidR="00025BBC" w:rsidRDefault="00107423" w:rsidP="0010742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en </w:t>
      </w:r>
      <w:r w:rsidR="0036643C">
        <w:rPr>
          <w:rFonts w:ascii="Bookman Old Style" w:hAnsi="Bookman Old Style"/>
          <w:szCs w:val="27"/>
        </w:rPr>
        <w:t>dicho</w:t>
      </w:r>
      <w:r>
        <w:rPr>
          <w:rFonts w:ascii="Bookman Old Style" w:hAnsi="Bookman Old Style"/>
          <w:szCs w:val="27"/>
        </w:rPr>
        <w:t xml:space="preserve"> documento </w:t>
      </w:r>
      <w:r w:rsidR="0036643C">
        <w:rPr>
          <w:rFonts w:ascii="Bookman Old Style" w:hAnsi="Bookman Old Style"/>
          <w:szCs w:val="27"/>
        </w:rPr>
        <w:t xml:space="preserve">esta Comisión analizó extensamente los argumentos relacionados con una posible afectación </w:t>
      </w:r>
      <w:r>
        <w:rPr>
          <w:rFonts w:ascii="Bookman Old Style" w:hAnsi="Bookman Old Style"/>
          <w:szCs w:val="27"/>
        </w:rPr>
        <w:t>a la libre competencia</w:t>
      </w:r>
      <w:r w:rsidR="0036643C">
        <w:rPr>
          <w:rFonts w:ascii="Bookman Old Style" w:hAnsi="Bookman Old Style"/>
          <w:szCs w:val="27"/>
        </w:rPr>
        <w:t>, frente a lo cual expuso lo siguiente</w:t>
      </w:r>
      <w:r>
        <w:rPr>
          <w:rFonts w:ascii="Bookman Old Style" w:hAnsi="Bookman Old Style"/>
          <w:szCs w:val="27"/>
        </w:rPr>
        <w:t>:</w:t>
      </w:r>
    </w:p>
    <w:p w:rsidR="00025BBC" w:rsidRDefault="00025BBC" w:rsidP="00DC2FA0">
      <w:pPr>
        <w:pStyle w:val="Textoindependiente2"/>
        <w:spacing w:after="0" w:line="240" w:lineRule="auto"/>
        <w:ind w:left="-142" w:right="-142"/>
        <w:jc w:val="both"/>
        <w:rPr>
          <w:rFonts w:ascii="Bookman Old Style" w:hAnsi="Bookman Old Style"/>
          <w:szCs w:val="27"/>
        </w:rPr>
      </w:pPr>
    </w:p>
    <w:p w:rsidR="0036643C" w:rsidRPr="0036643C" w:rsidRDefault="0036643C" w:rsidP="0036643C">
      <w:pPr>
        <w:ind w:left="284" w:right="284"/>
        <w:jc w:val="both"/>
        <w:rPr>
          <w:rFonts w:ascii="Bookman Old Style" w:hAnsi="Bookman Old Style"/>
          <w:sz w:val="22"/>
          <w:szCs w:val="22"/>
          <w:lang w:val="es-ES_tradnl"/>
        </w:rPr>
      </w:pPr>
      <w:r>
        <w:rPr>
          <w:rFonts w:ascii="Bookman Old Style" w:eastAsia="Calibri" w:hAnsi="Bookman Old Style" w:cs="Arial"/>
          <w:sz w:val="22"/>
          <w:szCs w:val="22"/>
          <w:lang w:val="es-MX" w:eastAsia="en-US"/>
        </w:rPr>
        <w:t>“</w:t>
      </w:r>
      <w:r w:rsidRPr="0036643C">
        <w:rPr>
          <w:rFonts w:ascii="Bookman Old Style" w:eastAsia="Calibri" w:hAnsi="Bookman Old Style" w:cs="Arial"/>
          <w:sz w:val="22"/>
          <w:szCs w:val="22"/>
          <w:lang w:val="es-MX" w:eastAsia="en-US"/>
        </w:rPr>
        <w:t>Ahora, en relación respecto a la incidencia de estas medidas regulatorios a la libre competencia en los mercados, en este caso respecto de la prestación del servicio público domiciliario de GLP, se debe tener en cuenta que en el numeral 4º de este documento esta Comisión, c</w:t>
      </w:r>
      <w:proofErr w:type="spellStart"/>
      <w:r w:rsidRPr="0036643C">
        <w:rPr>
          <w:rFonts w:ascii="Bookman Old Style" w:hAnsi="Bookman Old Style"/>
          <w:sz w:val="22"/>
          <w:szCs w:val="22"/>
          <w:lang w:val="es-ES_tradnl"/>
        </w:rPr>
        <w:t>on</w:t>
      </w:r>
      <w:proofErr w:type="spellEnd"/>
      <w:r w:rsidRPr="0036643C">
        <w:rPr>
          <w:rFonts w:ascii="Bookman Old Style" w:hAnsi="Bookman Old Style"/>
          <w:sz w:val="22"/>
          <w:szCs w:val="22"/>
          <w:lang w:val="es-ES_tradnl"/>
        </w:rPr>
        <w:t xml:space="preserve"> base en lo establecido en el artículo 4 del Decreto </w:t>
      </w:r>
      <w:r w:rsidRPr="0036643C">
        <w:rPr>
          <w:rFonts w:ascii="Bookman Old Style" w:hAnsi="Bookman Old Style"/>
          <w:sz w:val="22"/>
          <w:szCs w:val="22"/>
          <w:lang w:val="es-ES_tradnl"/>
        </w:rPr>
        <w:lastRenderedPageBreak/>
        <w:t>2897 de 2010</w:t>
      </w:r>
      <w:r w:rsidRPr="0036643C">
        <w:rPr>
          <w:rFonts w:ascii="Bookman Old Style" w:hAnsi="Bookman Old Style"/>
          <w:sz w:val="22"/>
          <w:szCs w:val="22"/>
          <w:vertAlign w:val="superscript"/>
          <w:lang w:val="es-ES_tradnl"/>
        </w:rPr>
        <w:footnoteReference w:id="5"/>
      </w:r>
      <w:r w:rsidRPr="0036643C">
        <w:rPr>
          <w:rFonts w:ascii="Bookman Old Style" w:hAnsi="Bookman Old Style"/>
          <w:sz w:val="22"/>
          <w:szCs w:val="22"/>
          <w:lang w:val="es-ES_tradnl"/>
        </w:rPr>
        <w:t>, reglamentario de la Ley 1340 de 2009, respondió el cuestionario establecido por la Superintendencia de Industria y Comercio para efectos de evaluar la incidencia de la propuesta regulatoria sobre la libre competencia de los mercados.</w:t>
      </w:r>
    </w:p>
    <w:p w:rsidR="0036643C" w:rsidRPr="0036643C" w:rsidRDefault="0036643C" w:rsidP="0036643C">
      <w:pPr>
        <w:ind w:left="284" w:right="284"/>
        <w:jc w:val="both"/>
        <w:rPr>
          <w:rFonts w:ascii="Bookman Old Style" w:hAnsi="Bookman Old Style"/>
          <w:sz w:val="22"/>
          <w:szCs w:val="22"/>
          <w:lang w:val="es-ES_tradnl"/>
        </w:rPr>
      </w:pPr>
    </w:p>
    <w:p w:rsidR="0036643C" w:rsidRPr="0036643C" w:rsidRDefault="0036643C" w:rsidP="0036643C">
      <w:pPr>
        <w:ind w:left="284" w:right="284"/>
        <w:jc w:val="both"/>
        <w:rPr>
          <w:rFonts w:ascii="Bookman Old Style" w:hAnsi="Bookman Old Style"/>
          <w:sz w:val="22"/>
          <w:szCs w:val="22"/>
          <w:lang w:val="es-ES_tradnl"/>
        </w:rPr>
      </w:pPr>
      <w:r w:rsidRPr="0036643C">
        <w:rPr>
          <w:rFonts w:ascii="Bookman Old Style" w:hAnsi="Bookman Old Style"/>
          <w:sz w:val="22"/>
          <w:szCs w:val="22"/>
          <w:lang w:val="es-ES_tradnl"/>
        </w:rPr>
        <w:t>De acuerdo con lo previsto en estas normas y la evaluación hecha por la Comisión, se debe tener en cuenta que dicha evaluación tuvo en cuenta lo previsto en el numeral 2 del artículo 2.2.30.6 del Decreto 1074 de 2015, el cual establece con respecto a las reglas aplicables para informar sobre un proyecto de acto administrativo lo siguiente:</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i/>
          <w:sz w:val="22"/>
          <w:szCs w:val="22"/>
          <w:lang w:val="es-ES_tradnl" w:eastAsia="en-US"/>
        </w:rPr>
      </w:pPr>
      <w:r>
        <w:rPr>
          <w:rFonts w:ascii="Bookman Old Style" w:eastAsia="Calibri" w:hAnsi="Bookman Old Style" w:cs="Arial"/>
          <w:sz w:val="22"/>
          <w:szCs w:val="22"/>
          <w:lang w:val="es-ES_tradnl" w:eastAsia="en-US"/>
        </w:rPr>
        <w:t>‘</w:t>
      </w:r>
      <w:r w:rsidRPr="0036643C">
        <w:rPr>
          <w:rFonts w:ascii="Bookman Old Style" w:eastAsia="Calibri" w:hAnsi="Bookman Old Style" w:cs="Arial"/>
          <w:i/>
          <w:sz w:val="22"/>
          <w:szCs w:val="22"/>
          <w:lang w:val="es-ES_tradnl" w:eastAsia="en-US"/>
        </w:rPr>
        <w:t xml:space="preserve">2. Cuando la respuesta que dé a cualquiera de las preguntas centrales contenidas en el cuestionario resulta afirmativa, antes de enviar proyecto a la Superintendencia de Industria y Comercio, </w:t>
      </w:r>
      <w:r w:rsidRPr="0036643C">
        <w:rPr>
          <w:rFonts w:ascii="Bookman Old Style" w:eastAsia="Calibri" w:hAnsi="Bookman Old Style" w:cs="Arial"/>
          <w:i/>
          <w:sz w:val="22"/>
          <w:szCs w:val="22"/>
          <w:u w:val="single"/>
          <w:lang w:val="es-ES_tradnl" w:eastAsia="en-US"/>
        </w:rPr>
        <w:t>podrá modificarlo o considerar otras opciones regulatorias</w:t>
      </w:r>
      <w:r w:rsidRPr="0036643C">
        <w:rPr>
          <w:rFonts w:ascii="Bookman Old Style" w:eastAsia="Calibri" w:hAnsi="Bookman Old Style" w:cs="Arial"/>
          <w:i/>
          <w:sz w:val="22"/>
          <w:szCs w:val="22"/>
          <w:lang w:val="es-ES_tradnl" w:eastAsia="en-US"/>
        </w:rPr>
        <w:t>.</w:t>
      </w:r>
    </w:p>
    <w:p w:rsidR="0036643C" w:rsidRPr="0036643C" w:rsidRDefault="0036643C" w:rsidP="0036643C">
      <w:pPr>
        <w:ind w:left="284" w:right="284"/>
        <w:jc w:val="both"/>
        <w:rPr>
          <w:rFonts w:ascii="Bookman Old Style" w:eastAsia="Calibri" w:hAnsi="Bookman Old Style" w:cs="Arial"/>
          <w:i/>
          <w:sz w:val="22"/>
          <w:szCs w:val="22"/>
          <w:lang w:val="es-ES_tradnl" w:eastAsia="en-US"/>
        </w:rPr>
      </w:pPr>
    </w:p>
    <w:p w:rsidR="0036643C" w:rsidRPr="0036643C" w:rsidRDefault="0036643C" w:rsidP="0036643C">
      <w:pPr>
        <w:ind w:left="284" w:right="284"/>
        <w:jc w:val="both"/>
        <w:rPr>
          <w:rFonts w:ascii="Bookman Old Style" w:eastAsia="Calibri" w:hAnsi="Bookman Old Style" w:cs="Arial"/>
          <w:i/>
          <w:sz w:val="22"/>
          <w:szCs w:val="22"/>
          <w:u w:val="single"/>
          <w:lang w:val="es-ES_tradnl" w:eastAsia="en-US"/>
        </w:rPr>
      </w:pPr>
      <w:r w:rsidRPr="0036643C">
        <w:rPr>
          <w:rFonts w:ascii="Bookman Old Style" w:eastAsia="Calibri" w:hAnsi="Bookman Old Style" w:cs="Arial"/>
          <w:i/>
          <w:sz w:val="22"/>
          <w:szCs w:val="22"/>
          <w:lang w:val="es-ES_tradnl" w:eastAsia="en-US"/>
        </w:rPr>
        <w:t xml:space="preserve">En uno u otro caso </w:t>
      </w:r>
      <w:r w:rsidRPr="0036643C">
        <w:rPr>
          <w:rFonts w:ascii="Bookman Old Style" w:eastAsia="Calibri" w:hAnsi="Bookman Old Style" w:cs="Arial"/>
          <w:i/>
          <w:sz w:val="22"/>
          <w:szCs w:val="22"/>
          <w:u w:val="single"/>
          <w:lang w:val="es-ES_tradnl" w:eastAsia="en-US"/>
        </w:rPr>
        <w:t>procurará compensar o mitigar las restricciones de la libre competencia de manera que logre los fines regulatorios que se propone pero con las menores restricciones posibles sobre la libre competencia en el mercado o mercados relevantes relacionados en los cuales el acto puede producir efectos.</w:t>
      </w:r>
    </w:p>
    <w:p w:rsidR="0036643C" w:rsidRPr="0036643C" w:rsidRDefault="0036643C" w:rsidP="0036643C">
      <w:pPr>
        <w:ind w:left="284" w:right="284"/>
        <w:jc w:val="both"/>
        <w:rPr>
          <w:rFonts w:ascii="Bookman Old Style" w:eastAsia="Calibri" w:hAnsi="Bookman Old Style" w:cs="Arial"/>
          <w:i/>
          <w:sz w:val="22"/>
          <w:szCs w:val="22"/>
          <w:lang w:val="es-ES_tradnl" w:eastAsia="en-US"/>
        </w:rPr>
      </w:pPr>
    </w:p>
    <w:p w:rsidR="0036643C" w:rsidRPr="0036643C" w:rsidRDefault="0036643C" w:rsidP="0036643C">
      <w:pPr>
        <w:ind w:left="284" w:right="284"/>
        <w:jc w:val="both"/>
        <w:rPr>
          <w:rFonts w:ascii="Bookman Old Style" w:eastAsia="Calibri" w:hAnsi="Bookman Old Style" w:cs="Arial"/>
          <w:i/>
          <w:sz w:val="22"/>
          <w:szCs w:val="22"/>
          <w:lang w:val="es-ES_tradnl" w:eastAsia="en-US"/>
        </w:rPr>
      </w:pPr>
      <w:r w:rsidRPr="0036643C">
        <w:rPr>
          <w:rFonts w:ascii="Bookman Old Style" w:eastAsia="Calibri" w:hAnsi="Bookman Old Style" w:cs="Arial"/>
          <w:i/>
          <w:sz w:val="22"/>
          <w:szCs w:val="22"/>
          <w:lang w:val="es-ES_tradnl" w:eastAsia="en-US"/>
        </w:rPr>
        <w:t>Si de realizar el análisis a que se numeral la autoridad considera que el proyecto final que encuentra más conveniente adoptar aún produce los efectos a que se una o más de las preguntas centrales contenidas en cuestionario, deberá informar a la Superintendencia Industr</w:t>
      </w:r>
      <w:r>
        <w:rPr>
          <w:rFonts w:ascii="Bookman Old Style" w:eastAsia="Calibri" w:hAnsi="Bookman Old Style" w:cs="Arial"/>
          <w:i/>
          <w:sz w:val="22"/>
          <w:szCs w:val="22"/>
          <w:lang w:val="es-ES_tradnl" w:eastAsia="en-US"/>
        </w:rPr>
        <w:t>ia y Comercio sobre el proyecto’</w:t>
      </w:r>
      <w:r w:rsidRPr="0036643C">
        <w:rPr>
          <w:rFonts w:ascii="Bookman Old Style" w:eastAsia="Calibri" w:hAnsi="Bookman Old Style" w:cs="Arial"/>
          <w:i/>
          <w:sz w:val="22"/>
          <w:szCs w:val="22"/>
          <w:lang w:val="es-ES_tradnl" w:eastAsia="en-US"/>
        </w:rPr>
        <w:t>.</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En relación con lo anterior, en primer lugar esta Comisión ha evaluado la existencia de otras alternativas regulatorias a fin de dar cumplimiento a los fines y objetivos perseguidos por esta norma, en relación con garantizar la debida prestación del servicio de GLP en cilindros y tanques estacionarios, reforzando igualmente la operatividad del esquema de cilindros marcados en el cual se sustenta el marco regulatorio para la prestación del servicio, así como las responsabilidades, obligaciones y derechos con los que se cuenta por parte de empresas y usuarios dentro de la actividad de distribución de GLP. </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En este sentido, estas consideraciones han implicado la evaluación del alternativas regulatorias, entre otras: i) la de no emitir nueva regulación, es decir, no expedir ninguna media regulatoria y mantener el esquema regulatorio actual del cual hacen parte los parámetros de conducta (obligaciones, responsabilidades y/o prohibiciones) de los agentes que realizan las actividades de comercialización mayorista y distribución de GLP, a fin de que el cumplimiento de los objetivos perseguidos por la propuesta regulatoria se vean materializados a través de las labores de inspección, vigilancia y control a cargo de la Superintendencia de Servicios Públicos Domiciliarios - SSPD. Esto ha sido expuesto por los intervinientes y agentes dentro de la consulta y el proceso de socialización de la propuesta de la Resolución CREG 221 de 2015; ii) expedir una media regulatoria, para lo cual, se debe establecer cuál es la medida de intervención, desde el punto de vista de orientar las conductas de los agentes dentro de las actividades de comercialización mayorista y distribución de GLP, que pueda generar en mayor grado el cumplimiento de los fines y objetivos a los que hace referencia la propuesta regulatoria de acuerdo con lo previsto en la Ley 142 de 1994 y el artículo 62 de la Ley 1151 de 2007 y que a su vez genere un menor impacto entre los agentes, impacto que debe tener en el cumplimiento de otros elementos normativos, como es el caso de la normativa en materia de libre competencia a que hace la Ley 1341 de 2009.  </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lastRenderedPageBreak/>
        <w:t xml:space="preserve"> </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En el caso de la primera alternativa, se debe tener en cuenta que a efectos de llevar a cabo el cambio de esquema de cilindros universales a un parque de cilindros marcados propiedad de los distribuidores en cumplimiento a los fines en relación con la prestación del servicio previstos en la Ley 142 de 1994, como del artículo 62 de la Ley 1151 de 2007, a partir del año 2008 la CREG expidió una serie de medidas regulatorias de las cuales hacen parte las resoluciones CREG 045 de 2008, 177 de 2011 y 098 de 2012. De igual forma, dentro de las medidas tendientes para el cambio de esquema y la forma como se debería prestar el servicio a los usuarios, la CREG expidió el reglamento de distribución y/o comercialización minorista de GLP, en el cual se incorporan las reglas, obligaciones y responsabilidades a las que se someten los agentes que van a realizar estas actividades. Estas medidas, así como aquellas en materia tarifaria, incorporaban igualmente incentivos a efectos de que los agentes contarán con las inversiones en cilindros marcados necesarias para llevar a cabo la prestación del servicio.  </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Adicionalmente, como se ha explicado, las medidas regulatorias en su conjunto, tanto para las actividades de comercialización mayorista como para la distribución de GLP, implican que los parámetros de conducta generan una responsabilidad compartida y un control mutuo, entendido este como el cumplimiento de las obligaciones y responsabilidades entre los agentes que interactúan dentro de alguna de las actividades que hacen parte del mercado y la prestación del servicio de GLP.</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De acuerdo con lo anterior, si bien a partir de dicho momento se contaba con un esquema regulatorio claro y consistente a efectos de llevar a cabo la prestación del servicio de GLP atendiendo el nuevo esquema, se ha evidenciado que con posterioridad a dicho momento y de acuerdo con lo manifestado por los agentes en diversos espacios, las comunicaciones enviadas por las diversas autoridades de supervisión, vigilancia y control, la existencia de una problemática alrededor de las conductas que se vienen presentando dentro de la prestación del servicio público domiciliario de GLP, las cuales han pasado de eventos aislados y específicos y se han convertido en un elemento sistemático que viene afectando el mercado de GLP, tanto a nivel de usuarios en relación con la forma en que se viene prestando el servicio, así como a las empresas apegadas a la regulación, toda vez que estas conductas afectan las inversiones de estas empresas, la forma en que estos compiten dentro del mercado, poniendo en peligro el esquema regulatorio en el que se sustenta la prestación de este servicio público domiciliario. No es un dato menor que estas conductas ya representan aproximadamente un porcentaje del 15% del mercado de GLP de acuerdo con la información expuesta por parte de los agentes. </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En este sentido, a pesar de existir este marco regulatorio, la existencia de estos eventos no se pueden supeditar exclusivamente a la capacidad de supervisión, vigilancia y control. Como se ha expuesto en este documento, la regulación implica la evaluación y la expedición de medias regulatorias eficientes, </w:t>
      </w:r>
      <w:r w:rsidRPr="0036643C">
        <w:rPr>
          <w:rFonts w:ascii="Bookman Old Style" w:eastAsia="Calibri" w:hAnsi="Bookman Old Style" w:cs="Arial"/>
          <w:sz w:val="22"/>
          <w:szCs w:val="22"/>
          <w:shd w:val="clear" w:color="auto" w:fill="FFFFFF"/>
          <w:lang w:val="es-CO" w:eastAsia="es-ES_tradnl"/>
        </w:rPr>
        <w:t xml:space="preserve">e igualmente eficaces, entendidas estas como el cumplimiento que de las mismas se deben realizar por parte de los agentes. Si bien la regulación, en relación con los parámetros de conducta implica que estas tienen un grado de coerción en cuanto su complimiento, como de la realización de aquellas conductas que no están permitidas (prohibiciones), mal haría el regulador en expedir medidas que no sean realizables o que no sean verificables por parte de la autoridad de supervisión y control. </w:t>
      </w: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lastRenderedPageBreak/>
        <w:t xml:space="preserve">En este sentido no puede el regulador emitir una medida regulatoria y a la espera de su cumplimiento, así como expedir una decisión y que sea la entidad de supervisión y control la que obligue a los agentes a que se cumpla. </w:t>
      </w: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 xml:space="preserve">Por el contrario, la regulación debe considerar medidas regulatorias eficaces y eficientes, las cuales incluyan incentivos o lo que la misma Corte Constitucional define como “orientar” las conductas de los agentes regulados a llevar a cabo su cumplimiento, por lo que dicho cumplimiento no se debe dar a través de la expedición de un acto de ejecución por parte del órgano de supervisión y control, ya que a este le corresponde es investigar y sancionar las conductas que vayan en contra de la regulación y no hacerla cumplir en cada caso concreto, ya que son los agentes </w:t>
      </w:r>
      <w:r w:rsidRPr="0036643C">
        <w:rPr>
          <w:rFonts w:ascii="Bookman Old Style" w:eastAsia="Calibri" w:hAnsi="Bookman Old Style" w:cs="Arial"/>
          <w:i/>
          <w:sz w:val="22"/>
          <w:szCs w:val="22"/>
          <w:shd w:val="clear" w:color="auto" w:fill="FFFFFF"/>
          <w:lang w:val="es-CO" w:eastAsia="es-ES_tradnl"/>
        </w:rPr>
        <w:t>per se</w:t>
      </w:r>
      <w:r w:rsidRPr="0036643C">
        <w:rPr>
          <w:rFonts w:ascii="Bookman Old Style" w:eastAsia="Calibri" w:hAnsi="Bookman Old Style" w:cs="Arial"/>
          <w:sz w:val="22"/>
          <w:szCs w:val="22"/>
          <w:shd w:val="clear" w:color="auto" w:fill="FFFFFF"/>
          <w:lang w:val="es-CO" w:eastAsia="es-ES_tradnl"/>
        </w:rPr>
        <w:t xml:space="preserve"> quienes deben acatarla. Ejemplo de esto ha sido la expedición de medidas tales como las consagradas en las resoluciones CREG 178 de 2011 en relación con la prohibición de cilindros marcados para circulación y uso para la prestación del servicio, la resolución CREG 164 de 2014 en relación con la existencia de cilindros marcados remanentes, así como ajustes al reglamento de comercialización mayorista mediante la Resolución CREG 174 de 2014 a fin de hacer más transparente la publicidad de la información, incluyendo quien realiza compras en el mercado de libre de GLP. Estas medidas de igual forma persiguen objetivos y fines dentro de la prestación del servicio público domiciliario de GLP en el mismo sentido de la propuesta regulatoria de la Resolución CREG 221 de 2015.</w:t>
      </w: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p>
    <w:p w:rsidR="0036643C" w:rsidRPr="0036643C" w:rsidRDefault="0036643C" w:rsidP="0036643C">
      <w:pPr>
        <w:ind w:left="284" w:right="284"/>
        <w:contextualSpacing/>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 xml:space="preserve">En este sentido, la Comisión encuentra que el no emitir una medida regulatoria y abstenerse de expedir una medida de intervención no logra el cumplimiento de los fines y objetivos perseguidos por la regulación y la Ley. Esto más aún cuando de la misma información del Sistema Único de Información – SUI se establece la existencia de una situación anómala relacionada con el nivel de coherencia entre las ventas que se realizan algunos agentes a los usuarios finales y las inversiones en activos (cilindros y tanques estacionarios) con las que se deberían contar para llevar a cabo dichas ventas. Esta situación claramente afecta el esquema de prestación del servicio público domiciliario de GLP, al mercado de dicho servicio, así como a los agentes que en debida forma dan cumplimiento a la regulación. </w:t>
      </w: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shd w:val="clear" w:color="auto" w:fill="FFFFFF"/>
          <w:lang w:val="es-CO" w:eastAsia="es-ES_tradnl"/>
        </w:rPr>
        <w:t xml:space="preserve">Ahora, teniendo en cuenta la pertinencia de expedir una medida, la Comisión evalúo cuál medida de intervención dentro del mercado de GLP y específicamente, cuál parámetro de conducta entendido como la orientación al actuar de los agentes que realizan alguna de estas actividades </w:t>
      </w:r>
      <w:r w:rsidRPr="0036643C">
        <w:rPr>
          <w:rFonts w:ascii="Bookman Old Style" w:eastAsia="Calibri" w:hAnsi="Bookman Old Style" w:cs="Arial"/>
          <w:sz w:val="22"/>
          <w:szCs w:val="22"/>
          <w:lang w:val="es-ES_tradnl" w:eastAsia="en-US"/>
        </w:rPr>
        <w:t>generan un mayor grado el cumplimiento de los fines y objetivos a los que hace referencia la propuesta regulatoria y que a su vez, genere un menor impacto entre los agentes, así como el cumplimiento de otros elementos normativos, como es el caso de la normativa en materia de libre competencia a que hace la Ley 1341 de 2009.</w:t>
      </w: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En relación con lo anterior, la medida relativa a la definición de una capacidad de compra y las demás responsabilidades y obligaciones incorporadas en los reglamentos mayorista y minorista a nivel de información y control, así como la forma en que esta se encuentra definida dentro de la propuesta regulatoria, obedece a un parámetro razonable y debidamente sustentado y analizado a nivel estadístico y econométrico. Además correspondería a una medida que generaría un impacto menor en el mercado de GLP en relación con la participación de los agentes. De la misma forma que no afectaría otros elementos relacionados con la debida prestación de este servicio.</w:t>
      </w: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 xml:space="preserve">Actualmente de acuerdo con la información registrada en el SUI las ventas de los distribuidores durante el año 2014 suman 484 millones kilogramos, al implementar la medida en mención, de acuerdo con la capacidad de compra existente actual de todos los agentes que realizan la actividad de distribución de </w:t>
      </w:r>
      <w:r w:rsidRPr="0036643C">
        <w:rPr>
          <w:rFonts w:ascii="Bookman Old Style" w:eastAsia="Calibri" w:hAnsi="Bookman Old Style" w:cs="Arial"/>
          <w:sz w:val="22"/>
          <w:szCs w:val="22"/>
          <w:shd w:val="clear" w:color="auto" w:fill="FFFFFF"/>
          <w:lang w:val="es-CO" w:eastAsia="es-ES_tradnl"/>
        </w:rPr>
        <w:lastRenderedPageBreak/>
        <w:t xml:space="preserve">GLP, el mercado podría disponer de 615 millones kg de acuerdo con las inversiones para envasado con las que hoy cuenta dichos agentes. </w:t>
      </w: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Adicionalmente, si se implementara la medida propuesta en este momento, solo se restringirían las compras de GLP a 8% de los distribuidores; los cuales en la medida en que llegaran a ajustar sus inversiones a los niveles razonables</w:t>
      </w:r>
      <w:r w:rsidRPr="0036643C">
        <w:rPr>
          <w:rFonts w:ascii="Bookman Old Style" w:eastAsia="Calibri" w:hAnsi="Bookman Old Style" w:cs="Arial"/>
          <w:sz w:val="22"/>
          <w:szCs w:val="22"/>
          <w:shd w:val="clear" w:color="auto" w:fill="FFFFFF"/>
          <w:vertAlign w:val="superscript"/>
          <w:lang w:val="es-CO" w:eastAsia="es-ES_tradnl"/>
        </w:rPr>
        <w:footnoteReference w:id="6"/>
      </w:r>
      <w:r w:rsidRPr="0036643C">
        <w:rPr>
          <w:rFonts w:ascii="Bookman Old Style" w:eastAsia="Calibri" w:hAnsi="Bookman Old Style" w:cs="Arial"/>
          <w:sz w:val="22"/>
          <w:szCs w:val="22"/>
          <w:shd w:val="clear" w:color="auto" w:fill="FFFFFF"/>
          <w:lang w:val="es-CO" w:eastAsia="es-ES_tradnl"/>
        </w:rPr>
        <w:t xml:space="preserve">, que son requeridos para atender su mercado, bajo el incentivo propuesto, podrán comprar el producto que puede envasar y posteriormente atender su mercado en las condiciones de competencia que están previstos en la regulación expedida por esta comisión en materia de distribución y comercialización minorista de GLP, de libertad vigilada. Igualmente se advierte que la medida no afectaría la atención del usuario ya que con la capacidad de compra existe actual de todos los agentes, se garantiza el abastecimiento del mercado. </w:t>
      </w: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 xml:space="preserve">Es así que, si bien la adopción de esta medida, en particular, la relativa a la definición de una capacidad de compra en la comercialización mayorista por parte de los distribuidores, puede generar incidencia en la libre competencia en los términos del cuestionario diligenciado en el presente documento, la Comisión encuentra que esta medida permitiría dar cumplimiento de los objetivos a que hace referencia la propuesta regulatoria, así como permitiría un ejercicio más eficaz y eficiente de la labor de supervisión, vigilancia y control en esta materia.  Asimismo, propende por proteger las inversiones que los distribuidores han realizado desde la implementación del esquema de marcas. </w:t>
      </w: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r w:rsidRPr="0036643C">
        <w:rPr>
          <w:rFonts w:ascii="Bookman Old Style" w:eastAsia="Calibri" w:hAnsi="Bookman Old Style" w:cs="Arial"/>
          <w:sz w:val="22"/>
          <w:szCs w:val="22"/>
          <w:shd w:val="clear" w:color="auto" w:fill="FFFFFF"/>
          <w:lang w:val="es-CO" w:eastAsia="es-ES_tradnl"/>
        </w:rPr>
        <w:t>Por el contrario existen alternativas más intrusivas que no permiten llegar al mismo grado de eficacia y el cumplimiento de los objetivos perseguidos mediante la presente propuesta, como sería el caso de: 1) la asignación de cupos, a pesar de no estar en un escenario deficitario de producto; 2) establecer tarifas que correspondan a nivel de activos de cada distribuidor, que puedan generar la presencia de diferentes precios en un mismo mercado y llevar a que no se promueva la competencia; 3), generar incentivos perversos, desde el punto de vista tarifario, que generen ineficiencias relacionadas con el descreme de mercado, lo cual implicaría entre otras no llevar a cabo inversiones en activos propios y usar cilindros que no son de su propiedad.</w:t>
      </w:r>
    </w:p>
    <w:p w:rsidR="0036643C" w:rsidRPr="0036643C" w:rsidRDefault="0036643C" w:rsidP="0036643C">
      <w:pPr>
        <w:ind w:left="284" w:right="284"/>
        <w:jc w:val="both"/>
        <w:rPr>
          <w:rFonts w:ascii="Bookman Old Style" w:eastAsia="Calibri" w:hAnsi="Bookman Old Style" w:cs="Arial"/>
          <w:sz w:val="22"/>
          <w:szCs w:val="22"/>
          <w:shd w:val="clear" w:color="auto" w:fill="FFFFFF"/>
          <w:lang w:val="es-CO" w:eastAsia="es-ES_tradnl"/>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Igualmente, la forma en que se encuentra definida la capacidad de compra de acuerdo con lo previsto en la propuesta de la Resolución CREG 221 de 2015 y el análisis técnico y económico incorporado en el documento de soporte 143 de 2015, fundamentado en análisis econométricos y estadísticos consignados en los numerales 3 y siguientes, permite establecer que los agentes que se ven impactados por la medida regulatoria propuesta dentro del mercado de GLP y la participación en dicho mercado (atendiendo la normativa en materia de libre competencia) es reducido, frente a los agentes que no se verían afectados en su situación actual. Tal como se ha expuesto, en el caso de los agentes que realizan compras en el mercado mayorista y que cuentan con niveles de inversiones en cilindros marcados razonables y necesarias para llevar a cabo la actividad de distribución de GLP, de acuerdo con lo previsto en la propuesta, no se verían afectados con dicha medida y su participación en el mercado. Esto, más aún cuando la misma regulación del cambio de esquema, así como aquella a nivel tarifario han incentivado a los agentes desde el año 2008 hasta hoy a contar con un parque de cilindros marcados de su propiedad necesario y acorde con el nivel de ventas con el que se pretende competir dentro de la actividad de distribución y/o comercialización minorista de GLP.</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lastRenderedPageBreak/>
        <w:t xml:space="preserve">Frente a estos agentes que no cuentan con este nivel de inversiones, la información del SUI en relación con el nivel de ventas y nivel de activos, así como de las compras en el mayorista, no atiende un parámetro razonable ni tiene una relación lógica en la forma como se lleva a cabo la prestación de este servicio público, por lo que las conductas que estos realizan pueden estar afectando el esquema regulatorio y la forma como se debe llevar a cabo la prestación del servicio de GLP, en perjuicio de los demás agentes que acatan la regulación y de los usuarios finales. </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En este sentido, esta medida no está dirigida a limitar la participación de los agentes dentro del mercado de GLP sino a fortalecer sus conductas y la forma como estos desarrollan las actividades de comercialización mayorista y distribución sean coherentes con lo dispuesto en la regulación y la forma en que estos deben actuar en el mercado frente a los demás agentes, ya que de lo contrario, dichas conductas estarían afectando la prestación del servicio y el desarrollo de la competencia en la medida en que los agentes que no realizan las inversiones necesarias para la prestación del servicio obtienen ventajas sobre el precio de venta final; así como los fines y objetivos a los que se ha hecho referencia, que persigue la prestación del servicio público domiciliario de GLP de acuerdo con lo previsto en la Ley 142 de 1994 y el artículo 62 de la Ley 1151 de 2007.   </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En este sentido, la Comisión encuentra que la medida regulatoria propuesta genera un menor impacto a nivel de la participación de los agentes y del mercado, toda vez que deberán participar aquellos agentes que desarrollen conductas coherentes que no afecten el mercado de GLP, así como aquellos que den cumplimiento a la regulación incluida la forma como se lleva a cabo la prestación del servicio de GLP. De esta forma la Comisión encuentra que se encuentran compensados y mitigados los eventos en los cuales la medida regulatoria propuesta puede generar una afectación en materia de libre competencia y participación en el mercado, logrando el cumplimiento de los fines regulatorios a los que se hace referencia en la parte motiva de la propuesta, su documento de soporte, así como en el presente documento en materia de servicios públicos domiciliarios y particularmente el esquema de marca en que se sustenta la formalidad, seguridad y responsabilidad para prestación del servicio público de GLP.</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Ahora, esta mitigación o menor impacto de la medida propuesta con respecto a la participación de los agentes en el mercado de GLP se ve igualmente como una menor incidencia en la libre competencia en la medida en que los agentes que alcancen un nivel de inversiones eficiente para su operación comercial (y ajustado a la regulación), no se ven excluidos o limitados en su participación dentro del mercado de GLP. De esta forma, la medida regulatoria no les impide ni les prohíbe en ningún momento de la participación en el mercado de GLP, toda vez que cuentan con la alternativa o posibilidad de ajustarse al mismo parámetro regulatorio exigido a los agentes que estén en las mismas condiciones para desarrollar la actividad de distribución de GLP o realizar compras en el mercado mayorista. </w:t>
      </w:r>
    </w:p>
    <w:p w:rsidR="0036643C" w:rsidRPr="0036643C" w:rsidRDefault="0036643C" w:rsidP="0036643C">
      <w:pPr>
        <w:ind w:left="284" w:right="284"/>
        <w:jc w:val="both"/>
        <w:rPr>
          <w:rFonts w:ascii="Bookman Old Style" w:eastAsia="Calibri" w:hAnsi="Bookman Old Style" w:cs="Arial"/>
          <w:sz w:val="22"/>
          <w:szCs w:val="22"/>
          <w:lang w:val="es-ES_tradnl" w:eastAsia="en-US"/>
        </w:rPr>
      </w:pPr>
    </w:p>
    <w:p w:rsidR="0036643C" w:rsidRPr="0036643C" w:rsidRDefault="0036643C" w:rsidP="0036643C">
      <w:pPr>
        <w:ind w:left="284" w:right="284"/>
        <w:jc w:val="both"/>
        <w:rPr>
          <w:rFonts w:ascii="Bookman Old Style" w:eastAsia="Calibri" w:hAnsi="Bookman Old Style" w:cs="Arial"/>
          <w:sz w:val="22"/>
          <w:szCs w:val="22"/>
          <w:lang w:val="es-ES_tradnl" w:eastAsia="en-US"/>
        </w:rPr>
      </w:pPr>
      <w:r w:rsidRPr="0036643C">
        <w:rPr>
          <w:rFonts w:ascii="Bookman Old Style" w:eastAsia="Calibri" w:hAnsi="Bookman Old Style" w:cs="Arial"/>
          <w:sz w:val="22"/>
          <w:szCs w:val="22"/>
          <w:lang w:val="es-ES_tradnl" w:eastAsia="en-US"/>
        </w:rPr>
        <w:t xml:space="preserve">De la misma forma, se debe tener en cuenta que la medida propuesta no eleva los costos de entrada o salida de estos agentes. Esto, teniendo en cuenta que la regulación en materia tarifaria, particularmente lo previsto en la Resolución CREG 001 de 2009 ha fomentado para el esquema de marca la remuneración y el incentivo a fin de que los agentes cuenten con las inversiones necesarias y razonables, propias de la actividad, para prestar el servicio. Igualmente, la medida no tiene afectación o implicaciones en materia de precio o a nivel tarifario. </w:t>
      </w:r>
      <w:r>
        <w:rPr>
          <w:rFonts w:ascii="Bookman Old Style" w:eastAsia="Calibri" w:hAnsi="Bookman Old Style" w:cs="Arial"/>
          <w:sz w:val="22"/>
          <w:szCs w:val="22"/>
          <w:lang w:val="es-ES_tradnl" w:eastAsia="en-US"/>
        </w:rPr>
        <w:t>“</w:t>
      </w:r>
    </w:p>
    <w:p w:rsidR="00025BBC" w:rsidRDefault="00025BBC" w:rsidP="00DC2FA0">
      <w:pPr>
        <w:pStyle w:val="Textoindependiente2"/>
        <w:spacing w:after="0" w:line="240" w:lineRule="auto"/>
        <w:ind w:left="-142" w:right="-142"/>
        <w:jc w:val="both"/>
        <w:rPr>
          <w:rFonts w:ascii="Bookman Old Style" w:hAnsi="Bookman Old Style"/>
          <w:szCs w:val="27"/>
          <w:lang w:val="es-ES_tradnl"/>
        </w:rPr>
      </w:pPr>
    </w:p>
    <w:p w:rsidR="00CF092A" w:rsidRDefault="0036643C" w:rsidP="00E65D8D">
      <w:pPr>
        <w:pStyle w:val="Textoindependiente2"/>
        <w:spacing w:after="0" w:line="240" w:lineRule="auto"/>
        <w:ind w:left="-142" w:right="-142"/>
        <w:jc w:val="both"/>
        <w:rPr>
          <w:rFonts w:ascii="Bookman Old Style" w:hAnsi="Bookman Old Style"/>
          <w:lang w:val="es-ES_tradnl"/>
        </w:rPr>
      </w:pPr>
      <w:r>
        <w:rPr>
          <w:rFonts w:ascii="Bookman Old Style" w:hAnsi="Bookman Old Style"/>
          <w:szCs w:val="27"/>
          <w:lang w:val="es-ES_tradnl"/>
        </w:rPr>
        <w:lastRenderedPageBreak/>
        <w:t xml:space="preserve">Igualmente, se debe tener en cuenta que </w:t>
      </w:r>
      <w:r w:rsidR="00E65D8D">
        <w:rPr>
          <w:rFonts w:ascii="Bookman Old Style" w:hAnsi="Bookman Old Style"/>
          <w:szCs w:val="27"/>
          <w:lang w:val="es-ES_tradnl"/>
        </w:rPr>
        <w:t xml:space="preserve">con </w:t>
      </w:r>
      <w:r w:rsidR="00E65D8D" w:rsidRPr="00E65D8D">
        <w:rPr>
          <w:rFonts w:ascii="Bookman Old Style" w:hAnsi="Bookman Old Style"/>
          <w:lang w:val="es-ES_tradnl"/>
        </w:rPr>
        <w:t>base en lo establecido en el artículo 4 del Decreto 2897 de 2010, reglamentario de la Ley 1340 de 2009</w:t>
      </w:r>
      <w:r w:rsidR="00E65D8D" w:rsidRPr="00E65D8D">
        <w:rPr>
          <w:rFonts w:ascii="Bookman Old Style" w:hAnsi="Bookman Old Style"/>
          <w:vertAlign w:val="superscript"/>
          <w:lang w:val="es-ES_tradnl"/>
        </w:rPr>
        <w:footnoteReference w:id="7"/>
      </w:r>
      <w:r w:rsidR="00E65D8D" w:rsidRPr="00E65D8D">
        <w:rPr>
          <w:rFonts w:ascii="Bookman Old Style" w:hAnsi="Bookman Old Style"/>
          <w:lang w:val="es-ES_tradnl"/>
        </w:rPr>
        <w:t xml:space="preserve">, </w:t>
      </w:r>
      <w:r w:rsidR="00E65D8D">
        <w:rPr>
          <w:rFonts w:ascii="Bookman Old Style" w:hAnsi="Bookman Old Style"/>
          <w:lang w:val="es-ES_tradnl"/>
        </w:rPr>
        <w:t xml:space="preserve">la Comisión </w:t>
      </w:r>
      <w:r w:rsidR="00E65D8D" w:rsidRPr="00E65D8D">
        <w:rPr>
          <w:rFonts w:ascii="Bookman Old Style" w:hAnsi="Bookman Old Style"/>
          <w:lang w:val="es-ES_tradnl"/>
        </w:rPr>
        <w:t>respondió el cuestionario establecido por la Superintendencia de Industria y Comercio para efectos de evaluar la incidencia sobre la libre competencia de los mercados. En el Documento CREG 030 de 2016 se transcribe el cuestionario al que se refiere el artículo 5 del Decreto 2897 de 2010.</w:t>
      </w:r>
      <w:r w:rsidR="00E65D8D">
        <w:rPr>
          <w:rFonts w:ascii="Bookman Old Style" w:hAnsi="Bookman Old Style"/>
          <w:lang w:val="es-ES_tradnl"/>
        </w:rPr>
        <w:t xml:space="preserve"> </w:t>
      </w:r>
    </w:p>
    <w:p w:rsidR="00CF092A" w:rsidRDefault="00CF092A" w:rsidP="00E65D8D">
      <w:pPr>
        <w:pStyle w:val="Textoindependiente2"/>
        <w:spacing w:after="0" w:line="240" w:lineRule="auto"/>
        <w:ind w:left="-142" w:right="-142"/>
        <w:jc w:val="both"/>
        <w:rPr>
          <w:rFonts w:ascii="Bookman Old Style" w:hAnsi="Bookman Old Style"/>
          <w:lang w:val="es-ES_tradnl"/>
        </w:rPr>
      </w:pPr>
    </w:p>
    <w:p w:rsidR="00E65D8D" w:rsidRDefault="00E65D8D" w:rsidP="00E65D8D">
      <w:pPr>
        <w:pStyle w:val="Textoindependiente2"/>
        <w:spacing w:after="0" w:line="240" w:lineRule="auto"/>
        <w:ind w:left="-142" w:right="-142"/>
        <w:jc w:val="both"/>
        <w:rPr>
          <w:rFonts w:ascii="Bookman Old Style" w:hAnsi="Bookman Old Style"/>
          <w:lang w:val="es-ES_tradnl"/>
        </w:rPr>
      </w:pPr>
      <w:r>
        <w:rPr>
          <w:rFonts w:ascii="Bookman Old Style" w:hAnsi="Bookman Old Style"/>
          <w:lang w:val="es-ES_tradnl"/>
        </w:rPr>
        <w:t>En este sentido, m</w:t>
      </w:r>
      <w:r w:rsidRPr="00E65D8D">
        <w:rPr>
          <w:rFonts w:ascii="Bookman Old Style" w:hAnsi="Bookman Old Style"/>
          <w:lang w:val="es-ES_tradnl"/>
        </w:rPr>
        <w:t>ediante comunicación con radicado CREG S-2016-001715, radicado SIC 16-088496, se informó de la propuesta regulatoria, así como los demás documentos que de esta hace parte, a la Superintendencia de Industria y Comercio en cumplimiento del requisito pr</w:t>
      </w:r>
      <w:r w:rsidR="00CF092A">
        <w:rPr>
          <w:rFonts w:ascii="Bookman Old Style" w:hAnsi="Bookman Old Style"/>
          <w:lang w:val="es-ES_tradnl"/>
        </w:rPr>
        <w:t>evisto en el numeral 2.2.2.30.3</w:t>
      </w:r>
      <w:r w:rsidRPr="00E65D8D">
        <w:rPr>
          <w:rFonts w:ascii="Bookman Old Style" w:hAnsi="Bookman Old Style"/>
          <w:lang w:val="es-ES_tradnl"/>
        </w:rPr>
        <w:t xml:space="preserve"> del Decreto 1078 de 2015.</w:t>
      </w:r>
    </w:p>
    <w:p w:rsidR="00E65D8D" w:rsidRDefault="00E65D8D" w:rsidP="00E65D8D">
      <w:pPr>
        <w:pStyle w:val="Textoindependiente2"/>
        <w:spacing w:after="0" w:line="240" w:lineRule="auto"/>
        <w:ind w:left="-142" w:right="-142"/>
        <w:jc w:val="both"/>
        <w:rPr>
          <w:rFonts w:ascii="Bookman Old Style" w:hAnsi="Bookman Old Style"/>
          <w:lang w:val="es-ES_tradnl"/>
        </w:rPr>
      </w:pPr>
    </w:p>
    <w:p w:rsidR="00E65D8D" w:rsidRPr="00E65D8D" w:rsidRDefault="00E65D8D" w:rsidP="00E65D8D">
      <w:pPr>
        <w:pStyle w:val="Textoindependiente2"/>
        <w:spacing w:after="0" w:line="240" w:lineRule="auto"/>
        <w:ind w:left="-142" w:right="-142"/>
        <w:jc w:val="both"/>
        <w:rPr>
          <w:rFonts w:ascii="Bookman Old Style" w:hAnsi="Bookman Old Style"/>
          <w:szCs w:val="27"/>
          <w:lang w:val="es-ES_tradnl"/>
        </w:rPr>
      </w:pPr>
      <w:r w:rsidRPr="00E65D8D">
        <w:rPr>
          <w:rFonts w:ascii="Bookman Old Style" w:hAnsi="Bookman Old Style"/>
          <w:lang w:val="es-ES_tradnl"/>
        </w:rPr>
        <w:t>Mediante comunicación con radicado CREG E-2016-004751 de 22 de abril de 2016 la Superintendencia de Industria y Comercio emitió el concepto en relación con la abogacía de la competencia, en el cual formulo tres (3) recomendaciones en relación con el contenido del proyecto:</w:t>
      </w:r>
    </w:p>
    <w:p w:rsidR="00E65D8D" w:rsidRPr="00E65D8D" w:rsidRDefault="00E65D8D" w:rsidP="00E65D8D">
      <w:pPr>
        <w:ind w:left="0"/>
        <w:jc w:val="both"/>
        <w:rPr>
          <w:rFonts w:ascii="Bookman Old Style" w:hAnsi="Bookman Old Style"/>
          <w:lang w:val="es-ES_tradnl"/>
        </w:rPr>
      </w:pPr>
    </w:p>
    <w:p w:rsidR="00E65D8D" w:rsidRPr="00E65D8D" w:rsidRDefault="00E65D8D" w:rsidP="00E65D8D">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“i)</w:t>
      </w:r>
      <w:r w:rsidRPr="00E65D8D">
        <w:rPr>
          <w:rFonts w:ascii="Bookman Old Style" w:hAnsi="Bookman Old Style"/>
          <w:sz w:val="22"/>
          <w:szCs w:val="22"/>
          <w:lang w:val="es-ES_tradnl"/>
        </w:rPr>
        <w:tab/>
        <w:t xml:space="preserve">Con el fin de mitigar el riesgo de ‘free </w:t>
      </w:r>
      <w:proofErr w:type="spellStart"/>
      <w:r w:rsidRPr="00E65D8D">
        <w:rPr>
          <w:rFonts w:ascii="Bookman Old Style" w:hAnsi="Bookman Old Style"/>
          <w:sz w:val="22"/>
          <w:szCs w:val="22"/>
          <w:lang w:val="es-ES_tradnl"/>
        </w:rPr>
        <w:t>riding</w:t>
      </w:r>
      <w:proofErr w:type="spellEnd"/>
      <w:r w:rsidRPr="00E65D8D">
        <w:rPr>
          <w:rFonts w:ascii="Bookman Old Style" w:hAnsi="Bookman Old Style"/>
          <w:sz w:val="22"/>
          <w:szCs w:val="22"/>
          <w:lang w:val="es-ES_tradnl"/>
        </w:rPr>
        <w:t>’ y evitar que se desincentive el crecimiento de las inversiones de los distribuidores en el mercado, se podría condicionar la entrega efectiva de GLP, en vez de la compra, a la existencia de capacidad disponible. Así, el distribuidor podría resultar asignatario de cantidades de GLP superiores a su capacidad disponible.</w:t>
      </w:r>
    </w:p>
    <w:p w:rsidR="00E65D8D" w:rsidRPr="00E65D8D" w:rsidRDefault="00E65D8D" w:rsidP="00E65D8D">
      <w:pPr>
        <w:ind w:left="284" w:right="284"/>
        <w:jc w:val="both"/>
        <w:rPr>
          <w:rFonts w:ascii="Bookman Old Style" w:hAnsi="Bookman Old Style"/>
          <w:sz w:val="22"/>
          <w:szCs w:val="22"/>
          <w:lang w:val="es-ES_tradnl"/>
        </w:rPr>
      </w:pPr>
    </w:p>
    <w:p w:rsidR="00E65D8D" w:rsidRPr="00E65D8D" w:rsidRDefault="00E65D8D" w:rsidP="00E65D8D">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Ahora bien, de acoger esta recomendación, sería necesario que el regulador considere la posibilidad de permitirle a los comercializadores mayoristas vender aquellas cantidades comprometidas pero no que pudieron ser entregadas por ausencia de capacidad disponible del distribuidor.</w:t>
      </w:r>
    </w:p>
    <w:p w:rsidR="00E65D8D" w:rsidRPr="00E65D8D" w:rsidRDefault="00E65D8D" w:rsidP="00E65D8D">
      <w:pPr>
        <w:ind w:left="284" w:right="284"/>
        <w:jc w:val="both"/>
        <w:rPr>
          <w:rFonts w:ascii="Bookman Old Style" w:hAnsi="Bookman Old Style"/>
          <w:sz w:val="22"/>
          <w:szCs w:val="22"/>
          <w:lang w:val="es-ES_tradnl"/>
        </w:rPr>
      </w:pPr>
    </w:p>
    <w:p w:rsidR="00E65D8D" w:rsidRPr="00E65D8D" w:rsidRDefault="00E65D8D" w:rsidP="00E65D8D">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ii)</w:t>
      </w:r>
      <w:r w:rsidRPr="00E65D8D">
        <w:rPr>
          <w:rFonts w:ascii="Bookman Old Style" w:hAnsi="Bookman Old Style"/>
          <w:sz w:val="22"/>
          <w:szCs w:val="22"/>
          <w:lang w:val="es-ES_tradnl"/>
        </w:rPr>
        <w:tab/>
        <w:t>A futuro, en caso de que el regulador implemente las subastas como mecanismo de determinación de precios y cantidades vendidas de GLP, evitar la publicación de la capacidad máxima de compra y de la capacidad disponible de compra de cada distribuidor.</w:t>
      </w:r>
    </w:p>
    <w:p w:rsidR="00E65D8D" w:rsidRPr="00E65D8D" w:rsidRDefault="00E65D8D" w:rsidP="00E65D8D">
      <w:pPr>
        <w:ind w:left="284" w:right="284"/>
        <w:jc w:val="both"/>
        <w:rPr>
          <w:rFonts w:ascii="Bookman Old Style" w:hAnsi="Bookman Old Style"/>
          <w:sz w:val="22"/>
          <w:szCs w:val="22"/>
          <w:lang w:val="es-ES_tradnl"/>
        </w:rPr>
      </w:pPr>
    </w:p>
    <w:p w:rsidR="00E65D8D" w:rsidRPr="00E65D8D" w:rsidRDefault="00E65D8D" w:rsidP="00E65D8D">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iii)</w:t>
      </w:r>
      <w:r w:rsidRPr="00E65D8D">
        <w:rPr>
          <w:rFonts w:ascii="Bookman Old Style" w:hAnsi="Bookman Old Style"/>
          <w:sz w:val="22"/>
          <w:szCs w:val="22"/>
          <w:lang w:val="es-ES_tradnl"/>
        </w:rPr>
        <w:tab/>
        <w:t>Diseñar un mecanismo de trazabilidad que permite identificar posibles declaraciones sobreestimadas de la capacidad de envasado.”</w:t>
      </w:r>
    </w:p>
    <w:p w:rsidR="00E65D8D" w:rsidRPr="00E65D8D" w:rsidRDefault="00E65D8D" w:rsidP="00E65D8D">
      <w:pPr>
        <w:ind w:left="0"/>
        <w:jc w:val="both"/>
        <w:rPr>
          <w:rFonts w:ascii="Bookman Old Style" w:hAnsi="Bookman Old Style"/>
          <w:lang w:val="es-ES_tradnl"/>
        </w:rPr>
      </w:pPr>
    </w:p>
    <w:p w:rsidR="00E65D8D" w:rsidRPr="00E65D8D" w:rsidRDefault="00470762" w:rsidP="00CF092A">
      <w:pPr>
        <w:pStyle w:val="Textoindependiente2"/>
        <w:spacing w:after="0" w:line="240" w:lineRule="auto"/>
        <w:ind w:left="-142" w:right="-142"/>
        <w:jc w:val="both"/>
        <w:rPr>
          <w:rFonts w:ascii="Bookman Old Style" w:hAnsi="Bookman Old Style"/>
          <w:lang w:val="es-ES_tradnl"/>
        </w:rPr>
      </w:pPr>
      <w:r>
        <w:rPr>
          <w:rFonts w:ascii="Bookman Old Style" w:hAnsi="Bookman Old Style"/>
          <w:lang w:val="es-ES_tradnl"/>
        </w:rPr>
        <w:t xml:space="preserve">Dichas recomendaciones fueron incorporadas en la Resolución CREG 063 de 2016 y fueron objeto de respuesta </w:t>
      </w:r>
      <w:r w:rsidR="00E65D8D" w:rsidRPr="00E65D8D">
        <w:rPr>
          <w:rFonts w:ascii="Bookman Old Style" w:hAnsi="Bookman Old Style"/>
          <w:lang w:val="es-ES_tradnl"/>
        </w:rPr>
        <w:t xml:space="preserve">por parte de esta Comisión </w:t>
      </w:r>
      <w:r>
        <w:rPr>
          <w:rFonts w:ascii="Bookman Old Style" w:hAnsi="Bookman Old Style"/>
          <w:lang w:val="es-ES_tradnl"/>
        </w:rPr>
        <w:t>en dicho acto administrativo como en su documento soporte para lo cual se expuso</w:t>
      </w:r>
      <w:r w:rsidR="00E65D8D" w:rsidRPr="00E65D8D">
        <w:rPr>
          <w:rFonts w:ascii="Bookman Old Style" w:hAnsi="Bookman Old Style"/>
          <w:lang w:val="es-ES_tradnl"/>
        </w:rPr>
        <w:t xml:space="preserve"> lo siguiente:</w:t>
      </w:r>
    </w:p>
    <w:p w:rsidR="00E65D8D" w:rsidRPr="00E65D8D" w:rsidRDefault="00E65D8D" w:rsidP="00E65D8D">
      <w:pPr>
        <w:ind w:left="0"/>
        <w:jc w:val="both"/>
        <w:rPr>
          <w:rFonts w:ascii="Bookman Old Style" w:hAnsi="Bookman Old Style"/>
          <w:lang w:val="es-ES_tradnl"/>
        </w:rPr>
      </w:pPr>
    </w:p>
    <w:p w:rsidR="00E65D8D" w:rsidRPr="00E65D8D" w:rsidRDefault="00470762" w:rsidP="00470762">
      <w:pPr>
        <w:ind w:left="284" w:right="284"/>
        <w:jc w:val="both"/>
        <w:rPr>
          <w:rFonts w:ascii="Bookman Old Style" w:hAnsi="Bookman Old Style"/>
          <w:sz w:val="22"/>
          <w:szCs w:val="22"/>
          <w:lang w:val="es-ES_tradnl"/>
        </w:rPr>
      </w:pPr>
      <w:r>
        <w:rPr>
          <w:rFonts w:ascii="Bookman Old Style" w:hAnsi="Bookman Old Style"/>
          <w:sz w:val="22"/>
          <w:szCs w:val="22"/>
          <w:lang w:val="es-ES_tradnl"/>
        </w:rPr>
        <w:t>“</w:t>
      </w:r>
      <w:r w:rsidR="00E65D8D" w:rsidRPr="00E65D8D">
        <w:rPr>
          <w:rFonts w:ascii="Bookman Old Style" w:hAnsi="Bookman Old Style"/>
          <w:sz w:val="22"/>
          <w:szCs w:val="22"/>
          <w:lang w:val="es-ES_tradnl"/>
        </w:rPr>
        <w:t>Frente a la alternativa de enfocar la medida regulatoria propuesta en relación con la entrega efectiva de GLP a la existencia de capacidad disponible, en vez de la compra, se debe tener en cuenta que esta alternativa fue analizada por la Comisión, sin embargo, la misma no fue implementada toda vez que esto no permitiría dar cumplimiento a los principios y objetivos que se persigue la regulación dentro de la comercialización mayorista de GLP en el marco de la Ley 142 de 1994, los cuales tienen relación con: i) garantizar la asignación de producto con precio regulado en condiciones transparentes y no discriminatorias; ii) contar permanentemente con una adecuada estimación del balance entre oferta y demanda; iii) contar con una imagen integrada de toda la oferta disponible.</w:t>
      </w:r>
    </w:p>
    <w:p w:rsidR="00E65D8D" w:rsidRPr="00E65D8D" w:rsidRDefault="00E65D8D" w:rsidP="00470762">
      <w:pPr>
        <w:ind w:left="284" w:right="284"/>
        <w:jc w:val="both"/>
        <w:rPr>
          <w:rFonts w:ascii="Bookman Old Style" w:hAnsi="Bookman Old Style"/>
          <w:sz w:val="22"/>
          <w:szCs w:val="22"/>
          <w:lang w:val="es-ES_tradnl"/>
        </w:rPr>
      </w:pPr>
    </w:p>
    <w:p w:rsidR="00E65D8D" w:rsidRPr="00E65D8D" w:rsidRDefault="00E65D8D" w:rsidP="00470762">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lastRenderedPageBreak/>
        <w:t xml:space="preserve">Los mecanismos regulatorios definidos, tanto a nivel de precio regulado, así como respecto a las obligaciones, responsabilidades de los agentes, incluido el mecanismo de asignación del producto dentro del reglamento de comercialización mayorista, están dirigidos a incentivar la oferta de GLP dentro de la prestación del servicio público domiciliario de manera eficiente, que lleve al comercializador mayorista con precio regulado a que incorpore dentro de la oferta de la OPC inicial la totalidad del GLP disponible y previsible dentro del período de la OPC, siendo excepcional la aplicación de la OPC adicional para el producto que no tiene dichas características, es decir, disuadiéndolo de ofrecer producto en una OPC adicional cuando no sea procedente. </w:t>
      </w:r>
    </w:p>
    <w:p w:rsidR="00E65D8D" w:rsidRPr="00E65D8D" w:rsidRDefault="00E65D8D" w:rsidP="00470762">
      <w:pPr>
        <w:ind w:left="284" w:right="284"/>
        <w:jc w:val="both"/>
        <w:rPr>
          <w:rFonts w:ascii="Bookman Old Style" w:hAnsi="Bookman Old Style"/>
          <w:sz w:val="22"/>
          <w:szCs w:val="22"/>
          <w:lang w:val="es-ES_tradnl"/>
        </w:rPr>
      </w:pPr>
    </w:p>
    <w:p w:rsidR="00E65D8D" w:rsidRPr="00E65D8D" w:rsidRDefault="00E65D8D" w:rsidP="00470762">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Para ello, le corresponde al comercializador mayorista ofrecer el producto de manera independiente para cada fuente de producción nacional y de manera simultánea para todas ellas, estableciendo las cantidades disponibles en cada punto de producción, de considerarlo necesario, informando el detalle para cada mes que refleje las condiciones reales y previsibles de disponibilidad. Además el comercializador mayorista, deberá incorporar las variaciones en la producción o importación previsibles, generadas por cualquier causa, en la oferta de venta de GLP disponible y, manteniendo los criterios definidos en la regulación aplicables al precio del producto que se ofrece en una OPC adicional.</w:t>
      </w:r>
    </w:p>
    <w:p w:rsidR="00E65D8D" w:rsidRPr="00E65D8D" w:rsidRDefault="00E65D8D" w:rsidP="00470762">
      <w:pPr>
        <w:ind w:left="284" w:right="284"/>
        <w:jc w:val="both"/>
        <w:rPr>
          <w:rFonts w:ascii="Bookman Old Style" w:hAnsi="Bookman Old Style"/>
          <w:sz w:val="22"/>
          <w:szCs w:val="22"/>
          <w:lang w:val="es-ES_tradnl"/>
        </w:rPr>
      </w:pPr>
    </w:p>
    <w:p w:rsidR="00E65D8D" w:rsidRPr="00E65D8D" w:rsidRDefault="00E65D8D" w:rsidP="00470762">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 xml:space="preserve">En este sentido, en el caso de que la propuesta regulatoria se sustentara en la capacidad disponible y no en la capacidad de compra: i) no permitiría tener un panorama claro de la oferta de producto y del balance oferta demanda lo más cercano posible a la realidad, considerando aquellas posibles variaciones que pueden llegar a darse en la producción o importación de producto; ii) en relación con el anterior literal, esto afectaría la participación de los agentes dentro del mercado, tanto en el incentivo que existe al comercializador mayorista con precio regulado a ofrecer todo el GLP para el servicio público domiciliario, así como en cuanto al GLP que le podría ser asignado a un comercializador mayorista y el criterio de neutralidad como parte de la aplicación del mecanismo de asignación de la OPC; iii) este panorama es necesario regulatoriamente a efecto de adoptar medidas como parte del balance oferta demanda de GLP; iv) se llevarían a cabo compras de GLP por fuera de la OPC inicial, es decir, se estaría llevando a cabo OPC adicionales para el GLP que no se pueda entregar como aplicación de la presente propuesta regulatoria, toda vez que regulatoriamente la OPC inicial es el escenario que se tiene previsto para realizar la totalidad de las transacciones de GLP en el mercado mayorista, siendo excepcional dicha aplicación para el GLP que no sea disponible y previsible, más no para aquel que no sea entregado. Esto crearía un mercado secundario que no está concebido claramente por la regulación lo que puede llevar a la desnaturalización de la OPC inicial. </w:t>
      </w:r>
    </w:p>
    <w:p w:rsidR="00E65D8D" w:rsidRPr="00E65D8D" w:rsidRDefault="00E65D8D" w:rsidP="00470762">
      <w:pPr>
        <w:ind w:left="284" w:right="284"/>
        <w:jc w:val="both"/>
        <w:rPr>
          <w:rFonts w:ascii="Bookman Old Style" w:hAnsi="Bookman Old Style"/>
          <w:sz w:val="22"/>
          <w:szCs w:val="22"/>
          <w:lang w:val="es-ES_tradnl"/>
        </w:rPr>
      </w:pPr>
    </w:p>
    <w:p w:rsidR="00E65D8D" w:rsidRPr="00E65D8D" w:rsidRDefault="00E65D8D" w:rsidP="00470762">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Igualmente, la propuesta regulatoria no genera un desincentivo al crecimiento de los distribuidores en el mercado de GLP, toda vez que las medidas propuestas están orientadas y dirigidas dentro de los fines que persigue la prestación de los servicios públicos domiciliarios consagrados en la Ley 142 de 1994, así como a los fines a los cuales se sujeta la regulación (sociales y económicos), cuando dentro del objeto de la propuesta se establece que las medidas propuestas se han de expedir “a fin de evitar que se presenten eventos que afecten el marco regulatorio y la forma como se debe realizar la prestación del servicio público domiciliario de GLP”. Sumado a esto la capacidad de compra total del mercado supera las ventas, dejando una brecha para el crecimiento del mercado formal.</w:t>
      </w:r>
    </w:p>
    <w:p w:rsidR="00E65D8D" w:rsidRPr="00E65D8D" w:rsidRDefault="00E65D8D" w:rsidP="00470762">
      <w:pPr>
        <w:ind w:left="284" w:right="284"/>
        <w:jc w:val="both"/>
        <w:rPr>
          <w:rFonts w:ascii="Bookman Old Style" w:hAnsi="Bookman Old Style"/>
          <w:sz w:val="22"/>
          <w:szCs w:val="22"/>
          <w:lang w:val="es-ES_tradnl"/>
        </w:rPr>
      </w:pPr>
    </w:p>
    <w:p w:rsidR="00E65D8D" w:rsidRPr="00E65D8D" w:rsidRDefault="00E65D8D" w:rsidP="00470762">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 xml:space="preserve">Es por esto que la propuesta regulatoria hace referencia a que las medidas adoptadas corresponden a establecer “parámetros de conducta y la participación de los agentes” dentro de las actividades de comercialización mayorista y </w:t>
      </w:r>
      <w:r w:rsidRPr="00E65D8D">
        <w:rPr>
          <w:rFonts w:ascii="Bookman Old Style" w:hAnsi="Bookman Old Style"/>
          <w:sz w:val="22"/>
          <w:szCs w:val="22"/>
          <w:lang w:val="es-ES_tradnl"/>
        </w:rPr>
        <w:lastRenderedPageBreak/>
        <w:t xml:space="preserve">distribución de GLP, por lo que las disposiciones que allí se incorporan están relacionadas con la forma en que los agentes deben conducirse o comportarse a efectos de llevar a cabo la compra y venta de GLP a nivel mayorista, teniendo en cuenta la relación que esto tiene con la actividad de distribución, atendiendo la forma en que esta se debe llevar a cabo. Lo anterior, principalmente a nivel de la gestión y el incentivo a contar con las inversiones razonables y necesarias para llevar a cabo dicha actividad; razón por la cual, la aplicación de dichas medidas están directamente relacionadas con los reglamentos de comercialización mayorista y minorista de GLP. </w:t>
      </w:r>
    </w:p>
    <w:p w:rsidR="00E65D8D" w:rsidRPr="00E65D8D" w:rsidRDefault="00E65D8D" w:rsidP="00470762">
      <w:pPr>
        <w:ind w:left="284" w:right="284"/>
        <w:jc w:val="both"/>
        <w:rPr>
          <w:rFonts w:ascii="Bookman Old Style" w:hAnsi="Bookman Old Style"/>
          <w:sz w:val="22"/>
          <w:szCs w:val="22"/>
          <w:lang w:val="es-ES_tradnl"/>
        </w:rPr>
      </w:pPr>
    </w:p>
    <w:p w:rsidR="00E65D8D" w:rsidRPr="00E65D8D" w:rsidRDefault="00E65D8D" w:rsidP="00470762">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 xml:space="preserve">En este sentido, el articulado propuesto y las medidas que allí se incluyen establecen criterios que deben ser considerados para la compra y venta de GLP dentro de la comercialización mayorista, sea con precio regulado o con precio libre. Para esto la adquisición del producto por parte de los distribuidores se dará en relación con el nivel de activos (cilindros y tanques estacionarios), y su capacidad de envase, las cuales tienen relación con la actividad de distribución de GLP, así como medidas con respecto al reporte de información en el Sistema Único de Información – SUI, sin que por esto se limite la participación de los agentes en el mercado, toda vez que en el caso de dar cumplimiento a dichas medidas estos podrán mantener su participación en el mercado, más aun teniendo en cuenta que dicha actividad se rige por un esquema regulatorio de libertad vigilada. </w:t>
      </w:r>
    </w:p>
    <w:p w:rsidR="00E65D8D" w:rsidRPr="00E65D8D" w:rsidRDefault="00E65D8D" w:rsidP="00470762">
      <w:pPr>
        <w:ind w:left="284" w:right="284"/>
        <w:jc w:val="both"/>
        <w:rPr>
          <w:rFonts w:ascii="Bookman Old Style" w:hAnsi="Bookman Old Style"/>
          <w:sz w:val="22"/>
          <w:szCs w:val="22"/>
          <w:lang w:val="es-ES_tradnl"/>
        </w:rPr>
      </w:pPr>
    </w:p>
    <w:p w:rsidR="00E65D8D" w:rsidRPr="00E65D8D" w:rsidRDefault="00E65D8D" w:rsidP="00470762">
      <w:pPr>
        <w:ind w:left="284" w:right="284"/>
        <w:jc w:val="both"/>
        <w:rPr>
          <w:rFonts w:ascii="Bookman Old Style" w:hAnsi="Bookman Old Style"/>
          <w:sz w:val="22"/>
          <w:szCs w:val="22"/>
          <w:lang w:val="es-ES_tradnl"/>
        </w:rPr>
      </w:pPr>
      <w:r w:rsidRPr="00E65D8D">
        <w:rPr>
          <w:rFonts w:ascii="Bookman Old Style" w:hAnsi="Bookman Old Style"/>
          <w:sz w:val="22"/>
          <w:szCs w:val="22"/>
          <w:lang w:val="es-ES_tradnl"/>
        </w:rPr>
        <w:t xml:space="preserve">Por lo anterior, se establece que esta alternativa basada en la capacidad de entrega genera impactos negativos a nivel regulatorio dentro de los fines y objetivos perseguidos por la comercialización mayorista de GLP, dentro de los cuales se encuentran evitar que el acceso al producto se convierta en una barrera para la competencia en la distribución y comercialización minorista de GLP o en una ventaja para aumentar la posición dominante de algún agente, así como no se ajusta a los incentivos y los mecanismos diseñados por la regulación para el correcto funcionamiento del mecanismo de asignación de producto y la conducta de los agentes, en materia de oferta de producto al mercado nacional, así como la señal de precio existente. </w:t>
      </w:r>
    </w:p>
    <w:p w:rsidR="00E65D8D" w:rsidRPr="00E65D8D" w:rsidRDefault="00E65D8D" w:rsidP="00470762">
      <w:pPr>
        <w:ind w:left="284" w:right="284"/>
        <w:jc w:val="both"/>
        <w:rPr>
          <w:rFonts w:ascii="Bookman Old Style" w:hAnsi="Bookman Old Style"/>
          <w:sz w:val="22"/>
          <w:szCs w:val="22"/>
          <w:lang w:val="es-ES_tradnl"/>
        </w:rPr>
      </w:pPr>
    </w:p>
    <w:p w:rsidR="00E65D8D" w:rsidRPr="00E65D8D" w:rsidRDefault="00E65D8D" w:rsidP="00470762">
      <w:pPr>
        <w:ind w:left="284" w:right="284"/>
        <w:jc w:val="both"/>
        <w:rPr>
          <w:rFonts w:ascii="Bookman Old Style" w:hAnsi="Bookman Old Style"/>
          <w:sz w:val="22"/>
          <w:szCs w:val="22"/>
          <w:lang w:val="es-CO"/>
        </w:rPr>
      </w:pPr>
      <w:r w:rsidRPr="00E65D8D">
        <w:rPr>
          <w:rFonts w:ascii="Bookman Old Style" w:hAnsi="Bookman Old Style"/>
          <w:sz w:val="22"/>
          <w:szCs w:val="22"/>
          <w:lang w:val="es-CO"/>
        </w:rPr>
        <w:t>Ahora bien, para el caso de la aplicación de la propuesta regulatoria dentro de un esquema de subasta que reemplace el esquema actual de comercialización mayorista previsto, entre otras, en las resoluciones CREG 053 de 2011 y 066 de 2007, esta Comisión analizará su compatibilidad y aplicación dentro de dicho esquema, incluyendo los impactos que esto tenga en materia de libre competencia de acuerdo con el análisis que se haga en materia de abogacía de la competencia, donde en caso de ser propuesto, dicha medida regulatoria será enviada a la Superintendencia de Industria y Comercio en caso de que proceda. En este sentido, la presente propuesta regulatoria se limita al mecanismo de comercialización previsto actual dentro del reglamento de comercialización mayorista dentro de la Resolución CREG 053 de 2011.</w:t>
      </w:r>
    </w:p>
    <w:p w:rsidR="00E65D8D" w:rsidRPr="00E65D8D" w:rsidRDefault="00E65D8D" w:rsidP="00470762">
      <w:pPr>
        <w:ind w:left="284" w:right="284"/>
        <w:jc w:val="both"/>
        <w:rPr>
          <w:rFonts w:ascii="Bookman Old Style" w:hAnsi="Bookman Old Style"/>
          <w:sz w:val="22"/>
          <w:szCs w:val="22"/>
          <w:lang w:val="es-CO"/>
        </w:rPr>
      </w:pPr>
    </w:p>
    <w:p w:rsidR="00E65D8D" w:rsidRPr="00E65D8D" w:rsidRDefault="00E65D8D" w:rsidP="00470762">
      <w:pPr>
        <w:ind w:left="284" w:right="284"/>
        <w:jc w:val="both"/>
        <w:rPr>
          <w:rFonts w:ascii="Bookman Old Style" w:hAnsi="Bookman Old Style"/>
          <w:sz w:val="22"/>
          <w:szCs w:val="22"/>
          <w:lang w:val="es-CO"/>
        </w:rPr>
      </w:pPr>
      <w:r w:rsidRPr="00E65D8D">
        <w:rPr>
          <w:rFonts w:ascii="Bookman Old Style" w:hAnsi="Bookman Old Style"/>
          <w:sz w:val="22"/>
          <w:szCs w:val="22"/>
          <w:lang w:val="es-CO"/>
        </w:rPr>
        <w:t>Finalmente, en cuanto al posible incentivo de sobreestimar la capacidad de envasado en cilindros ante posibles</w:t>
      </w:r>
      <w:r w:rsidRPr="00E65D8D">
        <w:rPr>
          <w:rFonts w:ascii="Bookman Old Style" w:hAnsi="Bookman Old Style"/>
          <w:sz w:val="22"/>
          <w:szCs w:val="22"/>
        </w:rPr>
        <w:t xml:space="preserve"> </w:t>
      </w:r>
      <w:r w:rsidRPr="00E65D8D">
        <w:rPr>
          <w:rFonts w:ascii="Bookman Old Style" w:hAnsi="Bookman Old Style"/>
          <w:sz w:val="22"/>
          <w:szCs w:val="22"/>
          <w:lang w:val="es-CO"/>
        </w:rPr>
        <w:t>conductas estratégicas de los distribuidores consistentes en reportar al SUI más cilindros de los que realmente tienen</w:t>
      </w:r>
      <w:r w:rsidRPr="00E65D8D">
        <w:rPr>
          <w:rFonts w:ascii="Bookman Old Style" w:hAnsi="Bookman Old Style"/>
          <w:sz w:val="22"/>
          <w:szCs w:val="22"/>
        </w:rPr>
        <w:t xml:space="preserve"> y </w:t>
      </w:r>
      <w:r w:rsidRPr="00E65D8D">
        <w:rPr>
          <w:rFonts w:ascii="Bookman Old Style" w:hAnsi="Bookman Old Style"/>
          <w:sz w:val="22"/>
          <w:szCs w:val="22"/>
          <w:lang w:val="es-CO"/>
        </w:rPr>
        <w:t xml:space="preserve">diseñar un mecanismo de trazabilidad que permite identificar posibles declaraciones sobreestimadas de la capacidad de envasado, se debe tener en cuenta que la información en relación con el nivel de inversiones y en particular de los cilindros marcados se encuentra en cabeza de la Superintendencia de Servicios Públicos Domiciliarios. </w:t>
      </w:r>
    </w:p>
    <w:p w:rsidR="00E65D8D" w:rsidRPr="00E65D8D" w:rsidRDefault="00E65D8D" w:rsidP="00470762">
      <w:pPr>
        <w:ind w:left="284" w:right="284"/>
        <w:jc w:val="both"/>
        <w:rPr>
          <w:rFonts w:ascii="Bookman Old Style" w:hAnsi="Bookman Old Style"/>
          <w:sz w:val="22"/>
          <w:szCs w:val="22"/>
          <w:lang w:val="es-CO"/>
        </w:rPr>
      </w:pPr>
    </w:p>
    <w:p w:rsidR="00E65D8D" w:rsidRPr="00E65D8D" w:rsidRDefault="00E65D8D" w:rsidP="00470762">
      <w:pPr>
        <w:ind w:left="284" w:right="284"/>
        <w:jc w:val="both"/>
        <w:rPr>
          <w:rFonts w:ascii="Bookman Old Style" w:hAnsi="Bookman Old Style"/>
          <w:sz w:val="22"/>
          <w:szCs w:val="22"/>
          <w:lang w:val="es-CO"/>
        </w:rPr>
      </w:pPr>
      <w:r w:rsidRPr="00E65D8D">
        <w:rPr>
          <w:rFonts w:ascii="Bookman Old Style" w:hAnsi="Bookman Old Style"/>
          <w:sz w:val="22"/>
          <w:szCs w:val="22"/>
          <w:lang w:val="es-CO"/>
        </w:rPr>
        <w:t xml:space="preserve">Sin embargo y con respecto a esta preocupación, esta Comisión dentro del período de la consulta, como parte de la implementación de la propuesta definitiva, así </w:t>
      </w:r>
      <w:r w:rsidRPr="00E65D8D">
        <w:rPr>
          <w:rFonts w:ascii="Bookman Old Style" w:hAnsi="Bookman Old Style"/>
          <w:sz w:val="22"/>
          <w:szCs w:val="22"/>
          <w:lang w:val="es-CO"/>
        </w:rPr>
        <w:lastRenderedPageBreak/>
        <w:t>como atendiendo los comentarios de los agentes en relación con la información del SICMA y el SUI, entre otros, ha venido adelantando un trabajo coordinado con la Dirección Técnica de Gas Combustible de dicha superintendencia a efectos de establecer el estado y el grado de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w:t>
      </w:r>
    </w:p>
    <w:p w:rsidR="00E65D8D" w:rsidRPr="00E65D8D" w:rsidRDefault="00E65D8D" w:rsidP="00470762">
      <w:pPr>
        <w:ind w:left="284" w:right="284"/>
        <w:jc w:val="both"/>
        <w:rPr>
          <w:rFonts w:ascii="Bookman Old Style" w:hAnsi="Bookman Old Style"/>
          <w:sz w:val="22"/>
          <w:szCs w:val="22"/>
          <w:lang w:val="es-CO"/>
        </w:rPr>
      </w:pPr>
    </w:p>
    <w:p w:rsidR="00E65D8D" w:rsidRPr="00E65D8D" w:rsidRDefault="00E65D8D" w:rsidP="00CA3850">
      <w:pPr>
        <w:ind w:left="284" w:right="284"/>
        <w:jc w:val="both"/>
        <w:rPr>
          <w:rFonts w:ascii="Bookman Old Style" w:hAnsi="Bookman Old Style"/>
          <w:sz w:val="22"/>
          <w:szCs w:val="22"/>
          <w:lang w:val="es-CO"/>
        </w:rPr>
      </w:pPr>
      <w:r w:rsidRPr="00E65D8D">
        <w:rPr>
          <w:rFonts w:ascii="Bookman Old Style" w:hAnsi="Bookman Old Style"/>
          <w:sz w:val="22"/>
          <w:szCs w:val="22"/>
          <w:lang w:val="es-CO"/>
        </w:rPr>
        <w:t>Así mismo, se le ha manifestado a esta superintendencia la necesidad de que dicha herramienta, además de ser pública en cuanto a la información que contiene, permita un control y verificación en eventos como los expresados por la Superintendencia de Industria y Comercio. Sin perjuicio de lo anterior, esta circunstancia será informada directamente a dicha Entidad, como dentro de la discusión de la presente propuesta regulatoria como Entid</w:t>
      </w:r>
      <w:r w:rsidR="00CA3850">
        <w:rPr>
          <w:rFonts w:ascii="Bookman Old Style" w:hAnsi="Bookman Old Style"/>
          <w:sz w:val="22"/>
          <w:szCs w:val="22"/>
          <w:lang w:val="es-CO"/>
        </w:rPr>
        <w:t>ad participante de la Comisión</w:t>
      </w:r>
      <w:r w:rsidRPr="00E65D8D">
        <w:rPr>
          <w:rFonts w:ascii="Bookman Old Style" w:hAnsi="Bookman Old Style"/>
          <w:sz w:val="22"/>
          <w:szCs w:val="22"/>
          <w:lang w:val="es-ES_tradnl"/>
        </w:rPr>
        <w:t>.</w:t>
      </w:r>
      <w:r w:rsidR="00470762">
        <w:rPr>
          <w:rFonts w:ascii="Bookman Old Style" w:hAnsi="Bookman Old Style"/>
          <w:sz w:val="22"/>
          <w:szCs w:val="22"/>
          <w:lang w:val="es-ES_tradnl"/>
        </w:rPr>
        <w:t>”</w:t>
      </w:r>
    </w:p>
    <w:p w:rsidR="00107423" w:rsidRDefault="00107423" w:rsidP="00DC2FA0">
      <w:pPr>
        <w:pStyle w:val="Textoindependiente2"/>
        <w:spacing w:after="0" w:line="240" w:lineRule="auto"/>
        <w:ind w:left="-142" w:right="-142"/>
        <w:jc w:val="both"/>
        <w:rPr>
          <w:rFonts w:ascii="Bookman Old Style" w:hAnsi="Bookman Old Style"/>
          <w:szCs w:val="27"/>
          <w:lang w:val="es-CO"/>
        </w:rPr>
      </w:pPr>
    </w:p>
    <w:p w:rsidR="00CA3850" w:rsidRPr="00CA3850" w:rsidRDefault="00470762" w:rsidP="00CA3850">
      <w:pPr>
        <w:pStyle w:val="Textoindependiente2"/>
        <w:spacing w:after="0" w:line="240" w:lineRule="auto"/>
        <w:ind w:left="-142" w:right="-142"/>
        <w:jc w:val="both"/>
        <w:rPr>
          <w:rFonts w:ascii="Bookman Old Style" w:hAnsi="Bookman Old Style"/>
          <w:lang w:val="es-ES_tradnl"/>
        </w:rPr>
      </w:pPr>
      <w:r>
        <w:rPr>
          <w:rFonts w:ascii="Bookman Old Style" w:hAnsi="Bookman Old Style"/>
          <w:szCs w:val="27"/>
          <w:lang w:val="es-CO"/>
        </w:rPr>
        <w:t xml:space="preserve">En este punto, </w:t>
      </w:r>
      <w:r w:rsidR="00CA3850" w:rsidRPr="00CA3850">
        <w:rPr>
          <w:rFonts w:ascii="Bookman Old Style" w:hAnsi="Bookman Old Style"/>
          <w:szCs w:val="27"/>
          <w:lang w:val="es-CO"/>
        </w:rPr>
        <w:t xml:space="preserve">debemos hacer énfasis en que esta Comisión </w:t>
      </w:r>
      <w:r w:rsidR="00CA3850">
        <w:rPr>
          <w:rFonts w:ascii="Bookman Old Style" w:hAnsi="Bookman Old Style"/>
          <w:szCs w:val="27"/>
          <w:lang w:val="es-CO"/>
        </w:rPr>
        <w:t>dio estricto cumplimiento</w:t>
      </w:r>
      <w:r w:rsidR="00CA3850" w:rsidRPr="00CA3850">
        <w:rPr>
          <w:rFonts w:ascii="Bookman Old Style" w:hAnsi="Bookman Old Style"/>
          <w:szCs w:val="27"/>
          <w:lang w:val="es-CO"/>
        </w:rPr>
        <w:t xml:space="preserve"> cabalmente con la obligación establecida en la Ley 1340 de 2009 </w:t>
      </w:r>
      <w:r w:rsidR="00CA3850">
        <w:rPr>
          <w:rFonts w:ascii="Bookman Old Style" w:hAnsi="Bookman Old Style"/>
          <w:szCs w:val="27"/>
          <w:lang w:val="es-CO"/>
        </w:rPr>
        <w:t xml:space="preserve"> y en el </w:t>
      </w:r>
      <w:r w:rsidRPr="00E65D8D">
        <w:rPr>
          <w:rFonts w:ascii="Bookman Old Style" w:hAnsi="Bookman Old Style"/>
          <w:lang w:val="es-ES_tradnl"/>
        </w:rPr>
        <w:t>artículo 4 del Decreto 2897 de 2010</w:t>
      </w:r>
      <w:r w:rsidRPr="00E65D8D">
        <w:rPr>
          <w:rFonts w:ascii="Bookman Old Style" w:hAnsi="Bookman Old Style"/>
          <w:vertAlign w:val="superscript"/>
          <w:lang w:val="es-ES_tradnl"/>
        </w:rPr>
        <w:footnoteReference w:id="8"/>
      </w:r>
      <w:r w:rsidR="00CA3850">
        <w:rPr>
          <w:rFonts w:ascii="Bookman Old Style" w:hAnsi="Bookman Old Style"/>
          <w:lang w:val="es-ES_tradnl"/>
        </w:rPr>
        <w:t xml:space="preserve"> en materia de abogacía de la competencia</w:t>
      </w:r>
      <w:r>
        <w:rPr>
          <w:rFonts w:ascii="Bookman Old Style" w:hAnsi="Bookman Old Style"/>
          <w:lang w:val="es-ES_tradnl"/>
        </w:rPr>
        <w:t>. No sobra advertir en este punto que el H. Consejo de Estado en su Sala de Consulta y Servicio Civil precisó igualmente la aplicación de este mecanismo,</w:t>
      </w:r>
      <w:r w:rsidR="00CA3850">
        <w:rPr>
          <w:rFonts w:ascii="Bookman Old Style" w:hAnsi="Bookman Old Style"/>
          <w:lang w:val="es-ES_tradnl"/>
        </w:rPr>
        <w:t xml:space="preserve"> con base en las normas citadas, resaltando en este caso </w:t>
      </w:r>
      <w:r w:rsidR="00CA3850" w:rsidRPr="00CA3850">
        <w:rPr>
          <w:rFonts w:ascii="Bookman Old Style" w:hAnsi="Bookman Old Style" w:cs="Arial"/>
          <w:spacing w:val="-5"/>
          <w:lang w:val="es-CO" w:eastAsia="en-US"/>
        </w:rPr>
        <w:t>la autonomía que tiene el análisis que se debe hacer por parte de los entes reguladores a fin de establecer si un proyecto regulatorio tiene incidencia o no en la libre competencia y la obligatoriedad de enviar dicho proyecto a la Superintendencia, sólo en la medida que esto sea procedente, es decir, cuando alguna de las respuesta a dicho cuestionario sea afirmativa. Con respecto a esto la Sala de Consulta y Servicio Civil del Consejo de Estado expuso que:</w:t>
      </w:r>
    </w:p>
    <w:p w:rsidR="00CA3850" w:rsidRPr="00CA3850" w:rsidRDefault="00CA3850" w:rsidP="00CA3850">
      <w:pPr>
        <w:ind w:left="0"/>
        <w:jc w:val="both"/>
        <w:rPr>
          <w:rFonts w:ascii="Bookman Old Style" w:hAnsi="Bookman Old Style" w:cs="Arial"/>
          <w:i/>
          <w:spacing w:val="-5"/>
          <w:lang w:val="es-CO" w:eastAsia="en-US"/>
        </w:rPr>
      </w:pPr>
    </w:p>
    <w:p w:rsidR="00CA3850" w:rsidRPr="00CA3850" w:rsidRDefault="00CA3850" w:rsidP="00CA3850">
      <w:pPr>
        <w:ind w:left="284" w:right="284"/>
        <w:jc w:val="both"/>
        <w:rPr>
          <w:rFonts w:ascii="Bookman Old Style" w:hAnsi="Bookman Old Style" w:cs="Arial"/>
          <w:i/>
          <w:spacing w:val="-5"/>
          <w:sz w:val="22"/>
          <w:szCs w:val="22"/>
          <w:lang w:val="es-CO" w:eastAsia="en-US"/>
        </w:rPr>
      </w:pPr>
      <w:r w:rsidRPr="00CA3850">
        <w:rPr>
          <w:rFonts w:ascii="Bookman Old Style" w:hAnsi="Bookman Old Style" w:cs="Arial"/>
          <w:i/>
          <w:spacing w:val="-5"/>
          <w:sz w:val="22"/>
          <w:szCs w:val="22"/>
          <w:lang w:val="es-CO" w:eastAsia="en-US"/>
        </w:rPr>
        <w:t>“(iv) Debe tratarse de un proyecto de regulación que puedan incidir en la libre competencia.</w:t>
      </w:r>
    </w:p>
    <w:p w:rsidR="00CA3850" w:rsidRPr="00CA3850" w:rsidRDefault="00CA3850" w:rsidP="00CA3850">
      <w:pPr>
        <w:ind w:left="284" w:right="284"/>
        <w:jc w:val="both"/>
        <w:rPr>
          <w:rFonts w:ascii="Bookman Old Style" w:hAnsi="Bookman Old Style" w:cs="Arial"/>
          <w:i/>
          <w:spacing w:val="-5"/>
          <w:sz w:val="22"/>
          <w:szCs w:val="22"/>
          <w:lang w:val="es-CO" w:eastAsia="en-US"/>
        </w:rPr>
      </w:pPr>
    </w:p>
    <w:p w:rsidR="00CA3850" w:rsidRPr="00CA3850" w:rsidRDefault="00CA3850" w:rsidP="00CA3850">
      <w:pPr>
        <w:ind w:left="284" w:right="284"/>
        <w:jc w:val="both"/>
        <w:rPr>
          <w:rFonts w:ascii="Bookman Old Style" w:hAnsi="Bookman Old Style" w:cs="Arial"/>
          <w:i/>
          <w:spacing w:val="-5"/>
          <w:sz w:val="22"/>
          <w:szCs w:val="22"/>
          <w:lang w:val="es-CO" w:eastAsia="en-US"/>
        </w:rPr>
      </w:pPr>
      <w:r w:rsidRPr="00CA3850">
        <w:rPr>
          <w:rFonts w:ascii="Bookman Old Style" w:hAnsi="Bookman Old Style" w:cs="Arial"/>
          <w:i/>
          <w:spacing w:val="-5"/>
          <w:sz w:val="22"/>
          <w:szCs w:val="22"/>
          <w:lang w:val="es-CO" w:eastAsia="en-US"/>
        </w:rPr>
        <w:t xml:space="preserve">Por otra parte, los proyectos de regulación administrativa que deben informarse </w:t>
      </w:r>
      <w:r w:rsidRPr="00CA3850">
        <w:rPr>
          <w:rFonts w:ascii="Bookman Old Style" w:hAnsi="Bookman Old Style" w:cs="Arial"/>
          <w:i/>
          <w:spacing w:val="-5"/>
          <w:sz w:val="22"/>
          <w:szCs w:val="22"/>
          <w:u w:val="single"/>
          <w:lang w:val="es-CO" w:eastAsia="en-US"/>
        </w:rPr>
        <w:t>son aquellos que ‘pueden tener incidencia para la libre competencia de los mercados’.</w:t>
      </w:r>
      <w:r w:rsidRPr="00CA3850">
        <w:rPr>
          <w:rFonts w:ascii="Bookman Old Style" w:hAnsi="Bookman Old Style" w:cs="Arial"/>
          <w:i/>
          <w:spacing w:val="-5"/>
          <w:sz w:val="22"/>
          <w:szCs w:val="22"/>
          <w:lang w:val="es-CO" w:eastAsia="en-US"/>
        </w:rPr>
        <w:t xml:space="preserve"> Esta condición supone </w:t>
      </w:r>
      <w:r w:rsidRPr="00CA3850">
        <w:rPr>
          <w:rFonts w:ascii="Bookman Old Style" w:hAnsi="Bookman Old Style" w:cs="Arial"/>
          <w:i/>
          <w:spacing w:val="-5"/>
          <w:sz w:val="22"/>
          <w:szCs w:val="22"/>
          <w:u w:val="single"/>
          <w:lang w:val="es-CO" w:eastAsia="en-US"/>
        </w:rPr>
        <w:t xml:space="preserve">un deber de evaluación previa de cada autoridad de regulación sobre el impacto de ésta en materia de libre competencia, </w:t>
      </w:r>
      <w:r w:rsidRPr="00CA3850">
        <w:rPr>
          <w:rFonts w:ascii="Bookman Old Style" w:hAnsi="Bookman Old Style" w:cs="Arial"/>
          <w:i/>
          <w:spacing w:val="-5"/>
          <w:sz w:val="22"/>
          <w:szCs w:val="22"/>
          <w:lang w:val="es-CO" w:eastAsia="en-US"/>
        </w:rPr>
        <w:t>caso en el cual, de ser afirmativa la respuesta, es imperativo informar a la Superintendencia de Industria y Comercio,  en los términos en que ha quedado expuesto.</w:t>
      </w:r>
    </w:p>
    <w:p w:rsidR="00CA3850" w:rsidRPr="00CA3850" w:rsidRDefault="00CA3850" w:rsidP="00CA3850">
      <w:pPr>
        <w:ind w:left="284" w:right="284"/>
        <w:jc w:val="both"/>
        <w:rPr>
          <w:rFonts w:ascii="Bookman Old Style" w:hAnsi="Bookman Old Style" w:cs="Arial"/>
          <w:i/>
          <w:spacing w:val="-5"/>
          <w:sz w:val="22"/>
          <w:szCs w:val="22"/>
          <w:lang w:val="es-CO" w:eastAsia="en-US"/>
        </w:rPr>
      </w:pPr>
    </w:p>
    <w:p w:rsidR="00CA3850" w:rsidRPr="00CA3850" w:rsidRDefault="00CA3850" w:rsidP="00CA3850">
      <w:pPr>
        <w:ind w:left="284" w:right="284"/>
        <w:jc w:val="both"/>
        <w:rPr>
          <w:rFonts w:ascii="Bookman Old Style" w:hAnsi="Bookman Old Style" w:cs="Arial"/>
          <w:i/>
          <w:spacing w:val="-5"/>
          <w:sz w:val="22"/>
          <w:szCs w:val="22"/>
          <w:lang w:val="es-CO" w:eastAsia="en-US"/>
        </w:rPr>
      </w:pPr>
      <w:r w:rsidRPr="00CA3850">
        <w:rPr>
          <w:rFonts w:ascii="Bookman Old Style" w:hAnsi="Bookman Old Style" w:cs="Arial"/>
          <w:i/>
          <w:spacing w:val="-5"/>
          <w:sz w:val="22"/>
          <w:szCs w:val="22"/>
          <w:lang w:val="es-CO" w:eastAsia="en-US"/>
        </w:rPr>
        <w:t>(…) En ese sentido, la autoridad de regulación debe examinar previamente si se adecua a alguno de los criterios que señala dicho artículo y de esta manera cumplir, cuando sea procedente, con el deber de informar.”</w:t>
      </w:r>
      <w:r w:rsidRPr="00CA3850">
        <w:rPr>
          <w:rFonts w:ascii="Bookman Old Style" w:hAnsi="Bookman Old Style" w:cs="Arial"/>
          <w:i/>
          <w:spacing w:val="-5"/>
          <w:sz w:val="22"/>
          <w:szCs w:val="22"/>
          <w:vertAlign w:val="superscript"/>
          <w:lang w:val="es-CO" w:eastAsia="en-US"/>
        </w:rPr>
        <w:footnoteReference w:id="9"/>
      </w:r>
      <w:r w:rsidRPr="00CA3850">
        <w:rPr>
          <w:rFonts w:ascii="Bookman Old Style" w:hAnsi="Bookman Old Style" w:cs="Arial"/>
          <w:i/>
          <w:spacing w:val="-5"/>
          <w:sz w:val="22"/>
          <w:szCs w:val="22"/>
          <w:lang w:val="es-CO" w:eastAsia="en-US"/>
        </w:rPr>
        <w:t>(Resaltado fuera de texto)</w:t>
      </w:r>
    </w:p>
    <w:p w:rsidR="00CA3850" w:rsidRPr="00CA3850" w:rsidRDefault="00CA3850" w:rsidP="00CA3850">
      <w:pPr>
        <w:ind w:left="0"/>
        <w:jc w:val="both"/>
        <w:rPr>
          <w:rFonts w:ascii="Bookman Old Style" w:hAnsi="Bookman Old Style" w:cs="Arial"/>
          <w:spacing w:val="-5"/>
          <w:lang w:val="es-CO" w:eastAsia="en-US"/>
        </w:rPr>
      </w:pPr>
    </w:p>
    <w:p w:rsidR="00CA3850" w:rsidRPr="00CA3850" w:rsidRDefault="00CA3850" w:rsidP="00CA3850">
      <w:pPr>
        <w:pStyle w:val="Textoindependiente2"/>
        <w:spacing w:after="0" w:line="240" w:lineRule="auto"/>
        <w:ind w:left="-142" w:right="-142"/>
        <w:jc w:val="both"/>
        <w:rPr>
          <w:rFonts w:ascii="Bookman Old Style" w:hAnsi="Bookman Old Style" w:cs="Arial"/>
          <w:spacing w:val="-5"/>
          <w:lang w:val="es-CO" w:eastAsia="en-US"/>
        </w:rPr>
      </w:pPr>
      <w:r w:rsidRPr="00CA3850">
        <w:rPr>
          <w:rFonts w:ascii="Bookman Old Style" w:hAnsi="Bookman Old Style" w:cs="Arial"/>
          <w:spacing w:val="-5"/>
          <w:lang w:val="es-CO" w:eastAsia="en-US"/>
        </w:rPr>
        <w:t xml:space="preserve">Así las cosas, consideramos que es claro que si bien la Superintendencia de Industria y Comercio tiene la función de conocer y pronunciarse sobre los proyectos regulatorios, ni la ley ni el decreto establecen que sea sobre todos los proyectos regulatorios sino únicamente sobre los que puedan tener incidencia sobre la libre competencia en un mercado. Por mandato del decreto reglamentario de la Ley 1340 mencionada, la forma de determinar si un proyecto puede tener incidencia en la libre competencia, que dé </w:t>
      </w:r>
      <w:r w:rsidRPr="00CA3850">
        <w:rPr>
          <w:rFonts w:ascii="Bookman Old Style" w:hAnsi="Bookman Old Style" w:cs="Arial"/>
          <w:spacing w:val="-5"/>
          <w:lang w:val="es-CO" w:eastAsia="en-US"/>
        </w:rPr>
        <w:lastRenderedPageBreak/>
        <w:t xml:space="preserve">lugar a la notificación del mismo a la SIC, es diligenciando el formulario y sólo si esa autoevaluación arroja una respuesta positiva la CREG está en la obligación de enviar el proyecto a la Superintendencia. </w:t>
      </w:r>
    </w:p>
    <w:p w:rsidR="00CA3850" w:rsidRPr="00CA3850" w:rsidRDefault="00CA3850" w:rsidP="00CA3850">
      <w:pPr>
        <w:ind w:left="0"/>
        <w:jc w:val="both"/>
        <w:rPr>
          <w:rFonts w:ascii="Bookman Old Style" w:hAnsi="Bookman Old Style" w:cs="Arial"/>
          <w:spacing w:val="-5"/>
          <w:lang w:val="es-CO" w:eastAsia="en-US"/>
        </w:rPr>
      </w:pPr>
    </w:p>
    <w:p w:rsidR="00CA3850" w:rsidRDefault="00CA3850" w:rsidP="00CA3850">
      <w:pPr>
        <w:pStyle w:val="Textoindependiente2"/>
        <w:spacing w:after="0" w:line="240" w:lineRule="auto"/>
        <w:ind w:left="-142" w:right="-142"/>
        <w:jc w:val="both"/>
        <w:rPr>
          <w:rFonts w:ascii="Bookman Old Style" w:hAnsi="Bookman Old Style" w:cs="Arial"/>
          <w:spacing w:val="-5"/>
          <w:lang w:val="es-CO" w:eastAsia="en-US"/>
        </w:rPr>
      </w:pPr>
      <w:r w:rsidRPr="00CA3850">
        <w:rPr>
          <w:rFonts w:ascii="Bookman Old Style" w:hAnsi="Bookman Old Style" w:cs="Arial"/>
          <w:spacing w:val="-5"/>
          <w:lang w:val="es-CO" w:eastAsia="en-US"/>
        </w:rPr>
        <w:t>En este sentido, se debe recordar que la misma jurisprudencia administrativa ha precisado que “</w:t>
      </w:r>
      <w:r w:rsidRPr="00CA3850">
        <w:rPr>
          <w:rFonts w:ascii="Bookman Old Style" w:hAnsi="Bookman Old Style" w:cs="Arial"/>
          <w:i/>
          <w:spacing w:val="-5"/>
          <w:lang w:val="es-CO" w:eastAsia="en-US"/>
        </w:rPr>
        <w:t>la abogacía de la competencia no interfiere sobre la autonomía funcional de las autoridades de regulación, en la medida que estas mantienen la decisión final de expedir o no actos generales que se derivan de sus competencias constitucionales y legales y de acoger o no las observaciones hechas por la Superintendencia de Industria y Comercio desde la perspectiva de la libre competencia”</w:t>
      </w:r>
      <w:r w:rsidRPr="00CA3850">
        <w:rPr>
          <w:rFonts w:ascii="Bookman Old Style" w:hAnsi="Bookman Old Style" w:cs="Arial"/>
          <w:i/>
          <w:spacing w:val="-5"/>
          <w:vertAlign w:val="superscript"/>
          <w:lang w:val="es-CO" w:eastAsia="en-US"/>
        </w:rPr>
        <w:footnoteReference w:id="10"/>
      </w:r>
      <w:r w:rsidRPr="00CA3850">
        <w:rPr>
          <w:rFonts w:ascii="Bookman Old Style" w:hAnsi="Bookman Old Style" w:cs="Arial"/>
          <w:spacing w:val="-5"/>
          <w:lang w:val="es-CO" w:eastAsia="en-US"/>
        </w:rPr>
        <w:t>.</w:t>
      </w:r>
    </w:p>
    <w:p w:rsidR="00CA3850" w:rsidRDefault="00CA3850" w:rsidP="00CA3850">
      <w:pPr>
        <w:pStyle w:val="Textoindependiente2"/>
        <w:spacing w:after="0" w:line="240" w:lineRule="auto"/>
        <w:ind w:left="-142" w:right="-142"/>
        <w:jc w:val="both"/>
        <w:rPr>
          <w:rFonts w:ascii="Bookman Old Style" w:hAnsi="Bookman Old Style" w:cs="Arial"/>
          <w:spacing w:val="-5"/>
          <w:lang w:val="es-CO" w:eastAsia="en-US"/>
        </w:rPr>
      </w:pPr>
    </w:p>
    <w:p w:rsidR="00CA3850" w:rsidRDefault="00CA3850" w:rsidP="00CA3850">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 xml:space="preserve">De acuerdo con </w:t>
      </w:r>
      <w:r w:rsidRPr="00CA3850">
        <w:rPr>
          <w:rFonts w:ascii="Bookman Old Style" w:hAnsi="Bookman Old Style" w:cs="Arial"/>
          <w:spacing w:val="-5"/>
          <w:lang w:val="es-CO" w:eastAsia="en-US"/>
        </w:rPr>
        <w:t xml:space="preserve">la jurisprudencia administrativa </w:t>
      </w:r>
      <w:r>
        <w:rPr>
          <w:rFonts w:ascii="Bookman Old Style" w:hAnsi="Bookman Old Style" w:cs="Arial"/>
          <w:spacing w:val="-5"/>
          <w:lang w:val="es-CO" w:eastAsia="en-US"/>
        </w:rPr>
        <w:t xml:space="preserve">citada, </w:t>
      </w:r>
      <w:r w:rsidRPr="00CA3850">
        <w:rPr>
          <w:rFonts w:ascii="Bookman Old Style" w:hAnsi="Bookman Old Style" w:cs="Arial"/>
          <w:spacing w:val="-5"/>
          <w:lang w:val="es-CO" w:eastAsia="en-US"/>
        </w:rPr>
        <w:t xml:space="preserve">el análisis en relación con si un proyecto de regulación afecta o no la libre competencia se debe realizar por parte de la autoridad que expide la regulación, así como, que el ejercicio de la función en materia de abogacía de la competencia no debe interferir sobre la autonomía funcional de las autoridades de regulación, en la medida que estas mantienen la decisión final de expedir o no actos generales que se derivan de sus competencias constitucionales y legales. </w:t>
      </w:r>
      <w:r>
        <w:rPr>
          <w:rFonts w:ascii="Bookman Old Style" w:hAnsi="Bookman Old Style" w:cs="Arial"/>
          <w:spacing w:val="-5"/>
          <w:lang w:val="es-CO" w:eastAsia="en-US"/>
        </w:rPr>
        <w:t>Es por esto que esta Comisión en la Resolución CREG 063 de 2016 consideró que:</w:t>
      </w:r>
    </w:p>
    <w:p w:rsidR="00CA3850" w:rsidRDefault="00CA3850" w:rsidP="00CA3850">
      <w:pPr>
        <w:pStyle w:val="Textoindependiente2"/>
        <w:spacing w:after="0" w:line="240" w:lineRule="auto"/>
        <w:ind w:left="-142" w:right="-142"/>
        <w:jc w:val="both"/>
        <w:rPr>
          <w:rFonts w:ascii="Bookman Old Style" w:hAnsi="Bookman Old Style" w:cs="Arial"/>
          <w:spacing w:val="-5"/>
          <w:lang w:val="es-CO" w:eastAsia="en-US"/>
        </w:rPr>
      </w:pPr>
    </w:p>
    <w:p w:rsidR="00CA3850" w:rsidRPr="00CA3850" w:rsidRDefault="00CA3850" w:rsidP="00CA3850">
      <w:pPr>
        <w:pStyle w:val="Textoindependiente2"/>
        <w:spacing w:after="0" w:line="240" w:lineRule="auto"/>
        <w:ind w:left="284" w:right="284"/>
        <w:jc w:val="both"/>
        <w:rPr>
          <w:rFonts w:ascii="Bookman Old Style" w:hAnsi="Bookman Old Style" w:cs="Arial"/>
          <w:spacing w:val="-5"/>
          <w:lang w:val="es-CO" w:eastAsia="en-US"/>
        </w:rPr>
      </w:pPr>
      <w:r>
        <w:rPr>
          <w:rFonts w:ascii="Bookman Old Style" w:hAnsi="Bookman Old Style"/>
          <w:sz w:val="22"/>
          <w:szCs w:val="22"/>
          <w:lang w:val="es-CO"/>
        </w:rPr>
        <w:t>“</w:t>
      </w:r>
      <w:r w:rsidRPr="00E65D8D">
        <w:rPr>
          <w:rFonts w:ascii="Bookman Old Style" w:hAnsi="Bookman Old Style"/>
          <w:sz w:val="22"/>
          <w:szCs w:val="22"/>
          <w:lang w:val="es-CO"/>
        </w:rPr>
        <w:t xml:space="preserve">De acuerdo con lo expuesto, una vez analizadas, evaluadas y respondidas las recomendaciones hechas por la Superintendencia de Industria y Comercio, se considera procedente proseguir con la presente propuesta regulatoria para su aprobación por parte de la Comisión atendido los fines y objetivos perseguidos y las motivaciones de orden jurídico, técnico y económico que la sustentan. </w:t>
      </w:r>
      <w:r w:rsidRPr="00E65D8D">
        <w:rPr>
          <w:rFonts w:ascii="Bookman Old Style" w:hAnsi="Bookman Old Style"/>
          <w:sz w:val="22"/>
          <w:szCs w:val="22"/>
          <w:lang w:val="es-ES_tradnl"/>
        </w:rPr>
        <w:t>El detalle de este análisis se encuentra consignado en el documento CREG 030 de 2016</w:t>
      </w:r>
      <w:r>
        <w:rPr>
          <w:rFonts w:ascii="Bookman Old Style" w:hAnsi="Bookman Old Style"/>
          <w:sz w:val="22"/>
          <w:szCs w:val="22"/>
          <w:lang w:val="es-ES_tradnl"/>
        </w:rPr>
        <w:t>”.</w:t>
      </w:r>
    </w:p>
    <w:p w:rsidR="00CA3850" w:rsidRPr="00CA3850" w:rsidRDefault="00CA3850" w:rsidP="00CA3850">
      <w:pPr>
        <w:ind w:left="0"/>
        <w:jc w:val="both"/>
        <w:rPr>
          <w:rFonts w:ascii="Bookman Old Style" w:hAnsi="Bookman Old Style" w:cs="Arial"/>
          <w:spacing w:val="-5"/>
          <w:lang w:val="es-CO" w:eastAsia="en-US"/>
        </w:rPr>
      </w:pPr>
    </w:p>
    <w:p w:rsidR="00CA3850" w:rsidRPr="00CA3850" w:rsidRDefault="00CA3850" w:rsidP="00CA3850">
      <w:pPr>
        <w:pStyle w:val="Textoindependiente2"/>
        <w:spacing w:after="0" w:line="240" w:lineRule="auto"/>
        <w:ind w:left="-142" w:right="-142"/>
        <w:jc w:val="both"/>
        <w:rPr>
          <w:rFonts w:ascii="Bookman Old Style" w:hAnsi="Bookman Old Style" w:cs="Arial"/>
          <w:spacing w:val="-5"/>
          <w:lang w:val="es-CO" w:eastAsia="en-US"/>
        </w:rPr>
      </w:pPr>
      <w:r w:rsidRPr="00CA3850">
        <w:rPr>
          <w:rFonts w:ascii="Bookman Old Style" w:hAnsi="Bookman Old Style" w:cs="Arial"/>
          <w:spacing w:val="-5"/>
          <w:lang w:val="es-CO" w:eastAsia="en-US"/>
        </w:rPr>
        <w:t xml:space="preserve">De acuerdo con lo anteriormente expuesto, la CREG </w:t>
      </w:r>
      <w:r>
        <w:rPr>
          <w:rFonts w:ascii="Bookman Old Style" w:hAnsi="Bookman Old Style" w:cs="Arial"/>
          <w:spacing w:val="-5"/>
          <w:lang w:val="es-CO" w:eastAsia="en-US"/>
        </w:rPr>
        <w:t>ha dado correcta aplicación a las normas en materia de abogacía de la competencia para el caso de la Resoluci</w:t>
      </w:r>
      <w:r w:rsidR="00241587">
        <w:rPr>
          <w:rFonts w:ascii="Bookman Old Style" w:hAnsi="Bookman Old Style" w:cs="Arial"/>
          <w:spacing w:val="-5"/>
          <w:lang w:val="es-CO" w:eastAsia="en-US"/>
        </w:rPr>
        <w:t xml:space="preserve">ón CREG 063 de 2016. </w:t>
      </w:r>
    </w:p>
    <w:p w:rsidR="00CA3850" w:rsidRPr="00CA3850" w:rsidRDefault="00CA3850" w:rsidP="00CA3850">
      <w:pPr>
        <w:ind w:left="0"/>
        <w:jc w:val="both"/>
        <w:rPr>
          <w:rFonts w:ascii="Bookman Old Style" w:hAnsi="Bookman Old Style" w:cs="Arial"/>
          <w:spacing w:val="-5"/>
          <w:lang w:val="es-CO" w:eastAsia="en-US"/>
        </w:rPr>
      </w:pPr>
    </w:p>
    <w:p w:rsidR="00D126E3" w:rsidRDefault="00CF092A" w:rsidP="00241587">
      <w:pPr>
        <w:pStyle w:val="Textoindependiente2"/>
        <w:spacing w:after="0" w:line="240" w:lineRule="auto"/>
        <w:ind w:left="-142" w:right="-142"/>
        <w:jc w:val="both"/>
        <w:rPr>
          <w:rFonts w:ascii="Bookman Old Style" w:hAnsi="Bookman Old Style"/>
          <w:lang w:val="es-ES_tradnl"/>
        </w:rPr>
      </w:pPr>
      <w:r>
        <w:rPr>
          <w:rFonts w:ascii="Bookman Old Style" w:hAnsi="Bookman Old Style"/>
          <w:lang w:val="es-CO"/>
        </w:rPr>
        <w:t xml:space="preserve">Por lo tanto, </w:t>
      </w:r>
      <w:r w:rsidR="00241587" w:rsidRPr="00241587">
        <w:rPr>
          <w:rFonts w:ascii="Bookman Old Style" w:hAnsi="Bookman Old Style"/>
          <w:lang w:val="es-ES_tradnl"/>
        </w:rPr>
        <w:t xml:space="preserve">una vez analizadas las consideraciones expuestas por </w:t>
      </w:r>
      <w:proofErr w:type="spellStart"/>
      <w:r w:rsidR="00241587">
        <w:rPr>
          <w:rFonts w:ascii="Bookman Old Style" w:hAnsi="Bookman Old Style"/>
          <w:lang w:val="es-ES_tradnl"/>
        </w:rPr>
        <w:t>Monzagas</w:t>
      </w:r>
      <w:proofErr w:type="spellEnd"/>
      <w:r w:rsidR="00241587" w:rsidRPr="00241587">
        <w:rPr>
          <w:rFonts w:ascii="Bookman Old Style" w:hAnsi="Bookman Old Style"/>
          <w:lang w:val="es-ES_tradnl"/>
        </w:rPr>
        <w:t xml:space="preserve"> en el recurso de reposición</w:t>
      </w:r>
      <w:r w:rsidR="00241587">
        <w:rPr>
          <w:rFonts w:ascii="Bookman Old Style" w:hAnsi="Bookman Old Style"/>
          <w:lang w:val="es-ES_tradnl"/>
        </w:rPr>
        <w:t xml:space="preserve"> en relación con la afectación a la libre competencia y la aplicación del mecanismo de la abogacía de la competencia</w:t>
      </w:r>
      <w:r w:rsidR="00241587" w:rsidRPr="00241587">
        <w:rPr>
          <w:rFonts w:ascii="Bookman Old Style" w:hAnsi="Bookman Old Style"/>
          <w:lang w:val="es-ES_tradnl"/>
        </w:rPr>
        <w:t>, dichos argumentos no son procedentes, razón por la cual no llevan a revocar o modificar la decisión adoptada por la CREG en la Resolución CREG 075 de 2016.</w:t>
      </w:r>
    </w:p>
    <w:p w:rsidR="00241587" w:rsidRPr="00241587" w:rsidRDefault="00241587" w:rsidP="00241587">
      <w:pPr>
        <w:pStyle w:val="Textoindependiente2"/>
        <w:spacing w:after="0" w:line="240" w:lineRule="auto"/>
        <w:ind w:left="-142" w:right="-142"/>
        <w:jc w:val="both"/>
        <w:rPr>
          <w:rFonts w:ascii="Bookman Old Style" w:hAnsi="Bookman Old Style"/>
          <w:lang w:val="es-ES_tradnl"/>
        </w:rPr>
      </w:pPr>
    </w:p>
    <w:p w:rsidR="00C40900" w:rsidRPr="00EE6670" w:rsidRDefault="00C40900" w:rsidP="00C4090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bien, t</w:t>
      </w:r>
      <w:r w:rsidRPr="00EE6670">
        <w:rPr>
          <w:rFonts w:ascii="Bookman Old Style" w:hAnsi="Bookman Old Style"/>
          <w:szCs w:val="27"/>
        </w:rPr>
        <w:t>eniendo en cuenta que dentro de</w:t>
      </w:r>
      <w:r>
        <w:rPr>
          <w:rFonts w:ascii="Bookman Old Style" w:hAnsi="Bookman Old Style"/>
          <w:szCs w:val="27"/>
        </w:rPr>
        <w:t xml:space="preserve"> los argumentos expuestos por una serie de empresas dentro de sus</w:t>
      </w:r>
      <w:r w:rsidRPr="00EE6670">
        <w:rPr>
          <w:rFonts w:ascii="Bookman Old Style" w:hAnsi="Bookman Old Style"/>
          <w:szCs w:val="27"/>
        </w:rPr>
        <w:t xml:space="preserve"> recurso</w:t>
      </w:r>
      <w:r>
        <w:rPr>
          <w:rFonts w:ascii="Bookman Old Style" w:hAnsi="Bookman Old Style"/>
          <w:szCs w:val="27"/>
        </w:rPr>
        <w:t>s</w:t>
      </w:r>
      <w:r w:rsidRPr="00EE6670">
        <w:rPr>
          <w:rFonts w:ascii="Bookman Old Style" w:hAnsi="Bookman Old Style"/>
          <w:szCs w:val="27"/>
        </w:rPr>
        <w:t xml:space="preserve"> de reposición se encontraban elementos relacionados con una posible diferencia de información del Sistema Único de Información – SUI</w:t>
      </w:r>
      <w:r>
        <w:rPr>
          <w:rFonts w:ascii="Bookman Old Style" w:hAnsi="Bookman Old Style"/>
          <w:szCs w:val="27"/>
        </w:rPr>
        <w:t>,</w:t>
      </w:r>
      <w:r w:rsidRPr="00EE6670">
        <w:rPr>
          <w:rFonts w:ascii="Bookman Old Style" w:hAnsi="Bookman Old Style"/>
          <w:szCs w:val="27"/>
        </w:rPr>
        <w:t xml:space="preserve"> en relación con el número </w:t>
      </w:r>
      <w:r>
        <w:rPr>
          <w:rFonts w:ascii="Bookman Old Style" w:hAnsi="Bookman Old Style"/>
          <w:szCs w:val="27"/>
        </w:rPr>
        <w:t>de cilindros marcados y de tanques estacionarios</w:t>
      </w:r>
      <w:r w:rsidRPr="00EE6670">
        <w:rPr>
          <w:rFonts w:ascii="Bookman Old Style" w:hAnsi="Bookman Old Style"/>
          <w:szCs w:val="27"/>
        </w:rPr>
        <w:t xml:space="preserve"> efectivamente reportados</w:t>
      </w:r>
      <w:r>
        <w:rPr>
          <w:rFonts w:ascii="Bookman Old Style" w:hAnsi="Bookman Old Style"/>
          <w:szCs w:val="27"/>
        </w:rPr>
        <w:t>, para lo cual se adjuntaban soportes de estas afirmaciones, esta Comisión de acuerdo con las</w:t>
      </w:r>
      <w:r w:rsidRPr="00EE6670">
        <w:rPr>
          <w:rFonts w:ascii="Bookman Old Style" w:hAnsi="Bookman Old Style"/>
          <w:szCs w:val="27"/>
        </w:rPr>
        <w:t xml:space="preserve"> facultades </w:t>
      </w:r>
      <w:r>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C40900" w:rsidRPr="00EE6670" w:rsidRDefault="00C40900" w:rsidP="00C40900">
      <w:pPr>
        <w:ind w:left="284" w:right="284"/>
        <w:jc w:val="both"/>
        <w:rPr>
          <w:rFonts w:ascii="Bookman Old Style" w:hAnsi="Bookman Old Style" w:cs="Arial"/>
          <w:i/>
          <w:sz w:val="22"/>
          <w:szCs w:val="22"/>
        </w:rPr>
      </w:pPr>
    </w:p>
    <w:p w:rsidR="00C40900" w:rsidRPr="00EE6670" w:rsidRDefault="00C40900" w:rsidP="00C40900">
      <w:pPr>
        <w:ind w:left="284" w:right="284"/>
        <w:jc w:val="both"/>
        <w:rPr>
          <w:rFonts w:ascii="Bookman Old Style" w:hAnsi="Bookman Old Style" w:cs="Arial"/>
          <w:i/>
          <w:sz w:val="22"/>
          <w:szCs w:val="22"/>
        </w:rPr>
      </w:pPr>
      <w:r>
        <w:rPr>
          <w:rFonts w:ascii="Bookman Old Style" w:hAnsi="Bookman Old Style" w:cs="Arial"/>
          <w:i/>
          <w:sz w:val="22"/>
          <w:szCs w:val="22"/>
        </w:rPr>
        <w:lastRenderedPageBreak/>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C40900" w:rsidRPr="00EE6670" w:rsidRDefault="00C40900" w:rsidP="00C40900">
      <w:pPr>
        <w:ind w:left="284" w:right="284"/>
        <w:jc w:val="both"/>
        <w:rPr>
          <w:rFonts w:ascii="Bookman Old Style" w:hAnsi="Bookman Old Style" w:cs="Arial"/>
          <w:i/>
          <w:sz w:val="22"/>
          <w:szCs w:val="22"/>
        </w:rPr>
      </w:pPr>
    </w:p>
    <w:p w:rsidR="00C40900" w:rsidRPr="00EE6670" w:rsidRDefault="00C40900" w:rsidP="00C4090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C40900" w:rsidRPr="00EE6670" w:rsidRDefault="00C40900" w:rsidP="00C40900">
      <w:pPr>
        <w:ind w:left="284" w:right="284"/>
        <w:jc w:val="both"/>
        <w:rPr>
          <w:rFonts w:ascii="Bookman Old Style" w:hAnsi="Bookman Old Style" w:cs="Arial"/>
          <w:i/>
          <w:sz w:val="22"/>
          <w:szCs w:val="22"/>
        </w:rPr>
      </w:pPr>
    </w:p>
    <w:p w:rsidR="00C40900" w:rsidRPr="00EE6670" w:rsidRDefault="00C40900" w:rsidP="00C4090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C40900" w:rsidRPr="00EE6670" w:rsidRDefault="00C40900" w:rsidP="00C40900">
      <w:pPr>
        <w:ind w:left="284" w:right="284"/>
        <w:jc w:val="both"/>
        <w:rPr>
          <w:rFonts w:ascii="Bookman Old Style" w:hAnsi="Bookman Old Style" w:cs="Arial"/>
          <w:i/>
          <w:sz w:val="22"/>
          <w:szCs w:val="22"/>
        </w:rPr>
      </w:pPr>
    </w:p>
    <w:p w:rsidR="00C40900" w:rsidRPr="00EE6670" w:rsidRDefault="00C40900" w:rsidP="00C40900">
      <w:pPr>
        <w:ind w:left="284" w:right="284"/>
        <w:jc w:val="both"/>
        <w:rPr>
          <w:rFonts w:ascii="Bookman Old Style" w:hAnsi="Bookman Old Style" w:cs="Arial"/>
          <w:i/>
          <w:sz w:val="22"/>
          <w:szCs w:val="22"/>
        </w:rPr>
      </w:pPr>
      <w:r w:rsidRPr="00EE6670">
        <w:rPr>
          <w:rFonts w:ascii="Bookman Old Style" w:hAnsi="Bookman Old Style" w:cs="Arial"/>
          <w:i/>
          <w:sz w:val="22"/>
          <w:szCs w:val="22"/>
        </w:rPr>
        <w:t>Para el efecto se remitirá a la Superintendencia la información del archivo Excel correspondiente al radicado CREG E-2016-005769, así como copia de los recursos de reposición interpuestos en contra de las resolu</w:t>
      </w:r>
      <w:r>
        <w:rPr>
          <w:rFonts w:ascii="Bookman Old Style" w:hAnsi="Bookman Old Style" w:cs="Arial"/>
          <w:i/>
          <w:sz w:val="22"/>
          <w:szCs w:val="22"/>
        </w:rPr>
        <w:t>ciones CREG 075 y 089 de 2016</w:t>
      </w:r>
      <w:r w:rsidRPr="00EE6670">
        <w:rPr>
          <w:rFonts w:ascii="Bookman Old Style" w:hAnsi="Bookman Old Style" w:cs="Arial"/>
          <w:i/>
          <w:sz w:val="22"/>
          <w:szCs w:val="22"/>
        </w:rPr>
        <w:t>.</w:t>
      </w:r>
      <w:r>
        <w:rPr>
          <w:rFonts w:ascii="Bookman Old Style" w:hAnsi="Bookman Old Style" w:cs="Arial"/>
          <w:i/>
          <w:sz w:val="22"/>
          <w:szCs w:val="22"/>
        </w:rPr>
        <w:t>”</w:t>
      </w:r>
    </w:p>
    <w:p w:rsidR="00C40900" w:rsidRPr="007F1548" w:rsidRDefault="00C40900" w:rsidP="00C40900">
      <w:pPr>
        <w:jc w:val="both"/>
        <w:rPr>
          <w:rFonts w:ascii="Arial" w:hAnsi="Arial" w:cs="Arial"/>
          <w:bCs/>
          <w:sz w:val="22"/>
          <w:szCs w:val="22"/>
          <w:lang w:val="es-CO"/>
        </w:rPr>
      </w:pPr>
    </w:p>
    <w:p w:rsidR="00C40900" w:rsidRPr="00EE6670" w:rsidRDefault="00C40900" w:rsidP="00C4090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Posteriormente se expidió el Auto I-2016-004099 a efectos de incluir a las empresas Gases de Popayán y </w:t>
      </w:r>
      <w:proofErr w:type="spellStart"/>
      <w:r w:rsidRPr="00EE6670">
        <w:rPr>
          <w:rFonts w:ascii="Bookman Old Style" w:hAnsi="Bookman Old Style"/>
          <w:szCs w:val="27"/>
        </w:rPr>
        <w:t>Electrogas</w:t>
      </w:r>
      <w:proofErr w:type="spellEnd"/>
      <w:r w:rsidRPr="00EE6670">
        <w:rPr>
          <w:rFonts w:ascii="Bookman Old Style" w:hAnsi="Bookman Old Style"/>
          <w:szCs w:val="27"/>
        </w:rPr>
        <w:t xml:space="preserve"> dentro de la misma solicitud hecha a la Superintendencia, como parte del decreto y práctica de pruebas hecho inicialmente para 12 empresas distribuidoras en el Auto I-2016-003755.</w:t>
      </w:r>
    </w:p>
    <w:p w:rsidR="00C40900" w:rsidRPr="00EE6670" w:rsidRDefault="00C40900" w:rsidP="00C40900">
      <w:pPr>
        <w:pStyle w:val="Textoindependiente2"/>
        <w:spacing w:after="0" w:line="240" w:lineRule="auto"/>
        <w:ind w:left="0" w:right="-142"/>
        <w:jc w:val="both"/>
        <w:rPr>
          <w:rFonts w:ascii="Bookman Old Style" w:hAnsi="Bookman Old Style"/>
          <w:szCs w:val="27"/>
        </w:rPr>
      </w:pPr>
    </w:p>
    <w:p w:rsidR="00C40900" w:rsidRDefault="00C40900" w:rsidP="00C40900">
      <w:pPr>
        <w:pStyle w:val="Textoindependiente2"/>
        <w:spacing w:after="0" w:line="240" w:lineRule="auto"/>
        <w:ind w:left="-142" w:right="-142"/>
        <w:jc w:val="both"/>
        <w:rPr>
          <w:rFonts w:ascii="Bookman Old Style" w:hAnsi="Bookman Old Style"/>
          <w:szCs w:val="27"/>
        </w:rPr>
      </w:pPr>
      <w:r w:rsidRPr="00D24BFC">
        <w:rPr>
          <w:rFonts w:ascii="Bookman Old Style" w:hAnsi="Bookman Old Style"/>
          <w:szCs w:val="27"/>
        </w:rPr>
        <w:t>Mediante oficio</w:t>
      </w:r>
      <w:r>
        <w:rPr>
          <w:rFonts w:ascii="Bookman Old Style" w:hAnsi="Bookman Old Style"/>
          <w:szCs w:val="27"/>
        </w:rPr>
        <w:t>s</w:t>
      </w:r>
      <w:r w:rsidRPr="00D24BFC">
        <w:rPr>
          <w:rFonts w:ascii="Bookman Old Style" w:hAnsi="Bookman Old Style"/>
          <w:szCs w:val="27"/>
        </w:rPr>
        <w:t xml:space="preserve"> con radicado CREG E-2016-010390 de 23 de septiembre </w:t>
      </w:r>
      <w:r>
        <w:rPr>
          <w:rFonts w:ascii="Bookman Old Style" w:hAnsi="Bookman Old Style"/>
          <w:szCs w:val="27"/>
        </w:rPr>
        <w:t>y E-2016-</w:t>
      </w:r>
      <w:r w:rsidR="007E0F7D">
        <w:rPr>
          <w:rFonts w:ascii="Bookman Old Style" w:hAnsi="Bookman Old Style"/>
          <w:szCs w:val="27"/>
        </w:rPr>
        <w:t>010452</w:t>
      </w:r>
      <w:r>
        <w:rPr>
          <w:rFonts w:ascii="Bookman Old Style" w:hAnsi="Bookman Old Style"/>
          <w:szCs w:val="27"/>
        </w:rPr>
        <w:t xml:space="preserve"> de septiembre 30 </w:t>
      </w:r>
      <w:r w:rsidRPr="00D24BFC">
        <w:rPr>
          <w:rFonts w:ascii="Bookman Old Style" w:hAnsi="Bookman Old Style"/>
          <w:szCs w:val="27"/>
        </w:rPr>
        <w:t xml:space="preserve">de 2016 la Superintendencia de Servicios Públicos Domiciliarios a través de la Delegada de Energía Eléctrica y Gas Combustible remitió la información solicitada por esta Comisión. </w:t>
      </w:r>
    </w:p>
    <w:p w:rsidR="00C40900" w:rsidRDefault="00C40900" w:rsidP="00C40900">
      <w:pPr>
        <w:pStyle w:val="Textoindependiente2"/>
        <w:spacing w:after="0" w:line="240" w:lineRule="auto"/>
        <w:ind w:left="-142" w:right="-142"/>
        <w:jc w:val="both"/>
        <w:rPr>
          <w:rFonts w:ascii="Bookman Old Style" w:hAnsi="Bookman Old Style"/>
          <w:szCs w:val="27"/>
        </w:rPr>
      </w:pPr>
    </w:p>
    <w:p w:rsidR="00C40900" w:rsidRDefault="00C40900" w:rsidP="00C4090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Igualmente, dentro del auto de pruebas esta Comisión precisó lo siguiente:</w:t>
      </w:r>
    </w:p>
    <w:p w:rsidR="00C40900" w:rsidRDefault="00C40900" w:rsidP="00C40900">
      <w:pPr>
        <w:pStyle w:val="Textoindependiente2"/>
        <w:spacing w:after="0" w:line="240" w:lineRule="auto"/>
        <w:ind w:left="-142" w:right="-142"/>
        <w:jc w:val="both"/>
        <w:rPr>
          <w:rFonts w:ascii="Bookman Old Style" w:hAnsi="Bookman Old Style"/>
          <w:szCs w:val="27"/>
        </w:rPr>
      </w:pPr>
    </w:p>
    <w:p w:rsidR="00C40900" w:rsidRPr="00EE6670" w:rsidRDefault="00C40900" w:rsidP="00C4090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C40900" w:rsidRPr="00EE6670" w:rsidRDefault="00C40900" w:rsidP="00C4090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C40900" w:rsidRPr="006B1C94" w:rsidTr="00012619">
        <w:trPr>
          <w:jc w:val="center"/>
        </w:trPr>
        <w:tc>
          <w:tcPr>
            <w:tcW w:w="2408" w:type="dxa"/>
            <w:shd w:val="clear" w:color="auto" w:fill="auto"/>
            <w:vAlign w:val="center"/>
          </w:tcPr>
          <w:p w:rsidR="00C40900" w:rsidRPr="006B1C94" w:rsidRDefault="00C40900" w:rsidP="00012619">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C40900" w:rsidRPr="006B1C94" w:rsidRDefault="00C40900" w:rsidP="00012619">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C40900" w:rsidRPr="006B1C94" w:rsidRDefault="00C40900" w:rsidP="00012619">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C40900" w:rsidRDefault="00C40900" w:rsidP="00C40900">
      <w:pPr>
        <w:pStyle w:val="Textoindependiente"/>
        <w:rPr>
          <w:sz w:val="22"/>
          <w:szCs w:val="22"/>
        </w:rPr>
      </w:pPr>
    </w:p>
    <w:p w:rsidR="00C40900" w:rsidRDefault="00C40900" w:rsidP="00C40900">
      <w:pPr>
        <w:ind w:left="284" w:right="284"/>
        <w:jc w:val="both"/>
        <w:rPr>
          <w:rFonts w:ascii="Bookman Old Style" w:hAnsi="Bookman Old Style"/>
          <w:szCs w:val="27"/>
        </w:rPr>
      </w:pPr>
      <w:r w:rsidRPr="00EE6670">
        <w:rPr>
          <w:rFonts w:ascii="Bookman Old Style" w:hAnsi="Bookman Old Style" w:cs="Arial"/>
          <w:i/>
          <w:sz w:val="22"/>
          <w:szCs w:val="22"/>
        </w:rPr>
        <w:lastRenderedPageBreak/>
        <w:t xml:space="preserve">Así mismo, remitir la información de tanques estacionarios atendidos por cada distribuidor y su capacidad en galones correspondiente al año 2015 de acuerdo con lo reportado a la Superintendencia de Servicios Públicos Domiciliarios en el Sistema Único de Información </w:t>
      </w:r>
      <w:r>
        <w:rPr>
          <w:rFonts w:ascii="Bookman Old Style" w:hAnsi="Bookman Old Style" w:cs="Arial"/>
          <w:i/>
          <w:sz w:val="22"/>
          <w:szCs w:val="22"/>
        </w:rPr>
        <w:t>–</w:t>
      </w:r>
      <w:r w:rsidRPr="00EE6670">
        <w:rPr>
          <w:rFonts w:ascii="Bookman Old Style" w:hAnsi="Bookman Old Style" w:cs="Arial"/>
          <w:i/>
          <w:sz w:val="22"/>
          <w:szCs w:val="22"/>
        </w:rPr>
        <w:t xml:space="preserve"> SUI</w:t>
      </w:r>
      <w:r>
        <w:rPr>
          <w:rFonts w:ascii="Bookman Old Style" w:hAnsi="Bookman Old Style" w:cs="Arial"/>
          <w:i/>
          <w:sz w:val="22"/>
          <w:szCs w:val="22"/>
        </w:rPr>
        <w:t>”</w:t>
      </w:r>
    </w:p>
    <w:p w:rsidR="00C40900" w:rsidRDefault="00C40900" w:rsidP="00C40900">
      <w:pPr>
        <w:pStyle w:val="Textoindependiente2"/>
        <w:spacing w:after="0" w:line="240" w:lineRule="auto"/>
        <w:ind w:left="-142" w:right="-142"/>
        <w:jc w:val="both"/>
        <w:rPr>
          <w:rFonts w:ascii="Bookman Old Style" w:hAnsi="Bookman Old Style"/>
          <w:szCs w:val="27"/>
        </w:rPr>
      </w:pPr>
    </w:p>
    <w:p w:rsidR="00C40900" w:rsidRDefault="00C40900" w:rsidP="00C4090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C40900" w:rsidRDefault="00C40900" w:rsidP="00C40900">
      <w:pPr>
        <w:pStyle w:val="Textoindependiente2"/>
        <w:spacing w:after="0" w:line="240" w:lineRule="auto"/>
        <w:ind w:left="0" w:right="-142"/>
        <w:jc w:val="both"/>
        <w:rPr>
          <w:rFonts w:ascii="Bookman Old Style" w:hAnsi="Bookman Old Style"/>
          <w:szCs w:val="27"/>
        </w:rPr>
      </w:pPr>
    </w:p>
    <w:p w:rsidR="00C40900" w:rsidRDefault="00616485" w:rsidP="00CF092A">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C40900" w:rsidRDefault="00C40900" w:rsidP="00C40900">
      <w:pPr>
        <w:pStyle w:val="Textoindependiente2"/>
        <w:spacing w:after="0" w:line="240" w:lineRule="auto"/>
        <w:ind w:left="-142" w:right="-142"/>
        <w:jc w:val="both"/>
        <w:rPr>
          <w:rFonts w:ascii="Bookman Old Style" w:hAnsi="Bookman Old Style"/>
          <w:szCs w:val="27"/>
        </w:rPr>
      </w:pPr>
    </w:p>
    <w:p w:rsidR="00C40900" w:rsidRDefault="00C40900" w:rsidP="00C4090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C40900" w:rsidRDefault="00C40900" w:rsidP="00C40900">
      <w:pPr>
        <w:pStyle w:val="Textoindependiente2"/>
        <w:spacing w:after="0" w:line="240" w:lineRule="auto"/>
        <w:ind w:left="-142" w:right="-142"/>
        <w:jc w:val="both"/>
        <w:rPr>
          <w:rFonts w:ascii="Bookman Old Style" w:hAnsi="Bookman Old Style"/>
          <w:szCs w:val="27"/>
        </w:rPr>
      </w:pPr>
    </w:p>
    <w:p w:rsidR="00C40900" w:rsidRDefault="00C40900" w:rsidP="00C4090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de acuerdo con la información remitida por parte de la Superintendencia de Servicios Públicos Domiciliarios, se establece por parte de esta Comisión que se han hecho ajustes a la información del Sistema Único de Información – SUI reportada y remitida inicialmente con corte a 10 de mayo de 2016 con la cual fue definida la capacidad de compra a que hace referencia las resoluciones CREG 075 y 089 de 2016, tanto a nivel de cilindros y tanques estacionarios de las empresas distribuidoras de GLP. De esto se concluye que dichas modificaciones y ajustes al SUI son consideradas como ajustadas a las normas sobre reporte de información por parte de dicha superintendencia y corresponde a información válida dentro de este sistema de información. </w:t>
      </w:r>
    </w:p>
    <w:p w:rsidR="00C40900" w:rsidRDefault="00C40900" w:rsidP="00C40900">
      <w:pPr>
        <w:pStyle w:val="Textoindependiente2"/>
        <w:spacing w:after="0" w:line="240" w:lineRule="auto"/>
        <w:ind w:left="-142" w:right="-142"/>
        <w:jc w:val="both"/>
        <w:rPr>
          <w:rFonts w:ascii="Bookman Old Style" w:hAnsi="Bookman Old Style"/>
          <w:szCs w:val="27"/>
        </w:rPr>
      </w:pPr>
    </w:p>
    <w:p w:rsidR="00C40900" w:rsidRDefault="00C40900" w:rsidP="00C4090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atendiendo el contenido de la información remitida por la Superintendencia de Servicios Públicos, así como en el marco de los principios de: i) neutralidad en el tratamiento de los agentes a que hace referencia el artículo 87 de la Ley 142 de 1994, al dar igual tratamiento a los que estén en condiciones similares, en este caso, respecto del estado del reporte de información al SUI; ii) prevalencia de lo sustancial sobre lo formal, y; iii) así como atendiendo el principio de congruencia </w:t>
      </w:r>
      <w:r w:rsidRPr="00CE445E">
        <w:rPr>
          <w:rFonts w:ascii="Bookman Old Style" w:hAnsi="Bookman Old Style"/>
          <w:szCs w:val="27"/>
        </w:rPr>
        <w:t>de acuerdo con lo previsto en el artículo 80 de la Ley 1437 de 2011</w:t>
      </w:r>
      <w:r w:rsidRPr="00CE445E">
        <w:rPr>
          <w:rFonts w:ascii="Bookman Old Style" w:hAnsi="Bookman Old Style"/>
          <w:szCs w:val="27"/>
        </w:rPr>
        <w:footnoteReference w:id="11"/>
      </w:r>
      <w:r w:rsidRPr="00CE445E">
        <w:rPr>
          <w:rFonts w:ascii="Bookman Old Style" w:hAnsi="Bookman Old Style"/>
          <w:szCs w:val="27"/>
        </w:rPr>
        <w:t xml:space="preserve">, </w:t>
      </w:r>
      <w:r>
        <w:rPr>
          <w:rFonts w:ascii="Bookman Old Style" w:hAnsi="Bookman Old Style"/>
          <w:szCs w:val="27"/>
        </w:rPr>
        <w:t>al considerar que este elemento hace parte de los recursos de reposición interpuestos por los agentes con respecto a lo solicitado o que tienen</w:t>
      </w:r>
      <w:r w:rsidRPr="00CE445E">
        <w:rPr>
          <w:rFonts w:ascii="Bookman Old Style" w:hAnsi="Bookman Old Style"/>
          <w:szCs w:val="27"/>
        </w:rPr>
        <w:t xml:space="preserve"> relación directa con las peticiones hechas</w:t>
      </w:r>
      <w:r>
        <w:rPr>
          <w:rFonts w:ascii="Bookman Old Style" w:hAnsi="Bookman Old Style"/>
          <w:szCs w:val="27"/>
        </w:rPr>
        <w:t xml:space="preserve"> por los interesados; esta Comisión encuentra procedente realizar los ajustes en la definición de la capacidad de compra de las empresas que hayan interpuesto recurso de reposición contras las resoluciones CREG 075 y 089 de 2016, con base en la información </w:t>
      </w:r>
      <w:r w:rsidRPr="009E796E">
        <w:rPr>
          <w:rFonts w:ascii="Bookman Old Style" w:hAnsi="Bookman Old Style"/>
          <w:szCs w:val="27"/>
        </w:rPr>
        <w:t xml:space="preserve">remitida por </w:t>
      </w:r>
      <w:r>
        <w:rPr>
          <w:rFonts w:ascii="Bookman Old Style" w:hAnsi="Bookman Old Style"/>
          <w:szCs w:val="27"/>
        </w:rPr>
        <w:t xml:space="preserve">parte de </w:t>
      </w:r>
      <w:r w:rsidRPr="009E796E">
        <w:rPr>
          <w:rFonts w:ascii="Bookman Old Style" w:hAnsi="Bookman Old Style"/>
          <w:szCs w:val="27"/>
        </w:rPr>
        <w:t>la Superintendencia de Servicios Públicos</w:t>
      </w:r>
      <w:r>
        <w:rPr>
          <w:rFonts w:ascii="Bookman Old Style" w:hAnsi="Bookman Old Style"/>
          <w:szCs w:val="27"/>
        </w:rPr>
        <w:t>.</w:t>
      </w:r>
    </w:p>
    <w:p w:rsidR="00C40900" w:rsidRDefault="00C40900" w:rsidP="00C40900">
      <w:pPr>
        <w:pStyle w:val="Textoindependiente2"/>
        <w:spacing w:after="0" w:line="240" w:lineRule="auto"/>
        <w:ind w:left="-142" w:right="-142"/>
        <w:jc w:val="both"/>
        <w:rPr>
          <w:rFonts w:ascii="Bookman Old Style" w:hAnsi="Bookman Old Style"/>
          <w:szCs w:val="27"/>
        </w:rPr>
      </w:pPr>
    </w:p>
    <w:p w:rsidR="00C40900" w:rsidRPr="003E59E7" w:rsidRDefault="00C40900" w:rsidP="00C40900">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lastRenderedPageBreak/>
        <w:t xml:space="preserve">Una vez expuestos los anteriores argumentos, la Comisión de Regulación de Energía y Gas, en su sesión No. </w:t>
      </w:r>
      <w:r w:rsidR="005328C4">
        <w:rPr>
          <w:rFonts w:ascii="Bookman Old Style" w:hAnsi="Bookman Old Style"/>
          <w:szCs w:val="27"/>
        </w:rPr>
        <w:t>746</w:t>
      </w:r>
      <w:r w:rsidRPr="003E59E7">
        <w:rPr>
          <w:rFonts w:ascii="Bookman Old Style" w:hAnsi="Bookman Old Style"/>
          <w:szCs w:val="27"/>
        </w:rPr>
        <w:t xml:space="preserve"> del </w:t>
      </w:r>
      <w:r w:rsidR="005328C4">
        <w:rPr>
          <w:rFonts w:ascii="Bookman Old Style" w:hAnsi="Bookman Old Style"/>
          <w:szCs w:val="27"/>
        </w:rPr>
        <w:t>21</w:t>
      </w:r>
      <w:r w:rsidRPr="003E59E7">
        <w:rPr>
          <w:rFonts w:ascii="Bookman Old Style" w:hAnsi="Bookman Old Style"/>
          <w:szCs w:val="27"/>
        </w:rPr>
        <w:t xml:space="preserve"> de </w:t>
      </w:r>
      <w:r w:rsidR="005328C4">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C40900" w:rsidRPr="003234E2" w:rsidRDefault="00C40900" w:rsidP="00C40900">
      <w:pPr>
        <w:tabs>
          <w:tab w:val="right" w:pos="9498"/>
        </w:tabs>
        <w:ind w:left="0" w:right="-142"/>
        <w:jc w:val="both"/>
        <w:rPr>
          <w:rFonts w:ascii="Bookman Old Style" w:hAnsi="Bookman Old Style"/>
          <w:bCs/>
          <w:sz w:val="20"/>
        </w:rPr>
      </w:pPr>
    </w:p>
    <w:p w:rsidR="00C40900" w:rsidRPr="003234E2" w:rsidRDefault="00C40900" w:rsidP="00C40900">
      <w:pPr>
        <w:tabs>
          <w:tab w:val="right" w:pos="9498"/>
        </w:tabs>
        <w:ind w:left="0" w:right="-142"/>
        <w:jc w:val="both"/>
        <w:rPr>
          <w:rFonts w:ascii="Bookman Old Style" w:hAnsi="Bookman Old Style"/>
          <w:bCs/>
          <w:sz w:val="20"/>
        </w:rPr>
      </w:pPr>
    </w:p>
    <w:p w:rsidR="00C40900" w:rsidRPr="00945A3C" w:rsidRDefault="00C40900" w:rsidP="00C40900">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C40900" w:rsidRPr="003234E2" w:rsidRDefault="00C40900" w:rsidP="00C40900">
      <w:pPr>
        <w:tabs>
          <w:tab w:val="right" w:pos="9498"/>
        </w:tabs>
        <w:ind w:left="0" w:right="-142"/>
        <w:jc w:val="both"/>
        <w:rPr>
          <w:rFonts w:ascii="Bookman Old Style" w:hAnsi="Bookman Old Style" w:cs="Arial"/>
          <w:b/>
          <w:spacing w:val="-3"/>
          <w:sz w:val="20"/>
        </w:rPr>
      </w:pPr>
    </w:p>
    <w:p w:rsidR="00C40900" w:rsidRPr="004620F7" w:rsidRDefault="00C40900" w:rsidP="00C40900">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Pr="004620F7">
        <w:rPr>
          <w:rFonts w:ascii="Bookman Old Style" w:hAnsi="Bookman Old Style"/>
          <w:szCs w:val="27"/>
        </w:rPr>
        <w:t>Negar por improcedente</w:t>
      </w:r>
      <w:r>
        <w:rPr>
          <w:rFonts w:ascii="Bookman Old Style" w:hAnsi="Bookman Old Style"/>
          <w:szCs w:val="27"/>
        </w:rPr>
        <w:t>s</w:t>
      </w:r>
      <w:r w:rsidRPr="004620F7">
        <w:rPr>
          <w:rFonts w:ascii="Bookman Old Style" w:hAnsi="Bookman Old Style"/>
          <w:szCs w:val="27"/>
        </w:rPr>
        <w:t xml:space="preserve"> </w:t>
      </w:r>
      <w:r>
        <w:rPr>
          <w:rFonts w:ascii="Bookman Old Style" w:hAnsi="Bookman Old Style"/>
          <w:szCs w:val="27"/>
        </w:rPr>
        <w:t xml:space="preserve">los argumentos de </w:t>
      </w:r>
      <w:r w:rsidR="00830010">
        <w:rPr>
          <w:rFonts w:ascii="Bookman Old Style" w:hAnsi="Bookman Old Style"/>
          <w:szCs w:val="27"/>
        </w:rPr>
        <w:t xml:space="preserve">Distribuidora de Gas </w:t>
      </w:r>
      <w:proofErr w:type="spellStart"/>
      <w:r w:rsidR="00830010">
        <w:rPr>
          <w:rFonts w:ascii="Bookman Old Style" w:hAnsi="Bookman Old Style"/>
          <w:szCs w:val="27"/>
        </w:rPr>
        <w:t>Monzagas</w:t>
      </w:r>
      <w:proofErr w:type="spellEnd"/>
      <w:r>
        <w:rPr>
          <w:rFonts w:ascii="Bookman Old Style" w:hAnsi="Bookman Old Style"/>
          <w:szCs w:val="27"/>
        </w:rPr>
        <w:t xml:space="preserve"> S.A. E.S.P.</w:t>
      </w:r>
      <w:r w:rsidRPr="004620F7">
        <w:rPr>
          <w:rFonts w:ascii="Bookman Old Style" w:hAnsi="Bookman Old Style"/>
          <w:szCs w:val="27"/>
        </w:rPr>
        <w:t xml:space="preserve"> </w:t>
      </w:r>
      <w:r>
        <w:rPr>
          <w:rFonts w:ascii="Bookman Old Style" w:hAnsi="Bookman Old Style"/>
          <w:szCs w:val="27"/>
        </w:rPr>
        <w:t>en su recurso de reposición ateniendo</w:t>
      </w:r>
      <w:r w:rsidRPr="004620F7">
        <w:rPr>
          <w:rFonts w:ascii="Bookman Old Style" w:hAnsi="Bookman Old Style"/>
          <w:szCs w:val="27"/>
        </w:rPr>
        <w:t xml:space="preserve"> las consideraciones expuestas</w:t>
      </w:r>
      <w:r>
        <w:rPr>
          <w:rFonts w:ascii="Bookman Old Style" w:hAnsi="Bookman Old Style"/>
          <w:szCs w:val="27"/>
        </w:rPr>
        <w:t xml:space="preserve"> en la presente resolución</w:t>
      </w:r>
      <w:r w:rsidRPr="004620F7">
        <w:rPr>
          <w:rFonts w:ascii="Bookman Old Style" w:hAnsi="Bookman Old Style"/>
          <w:szCs w:val="27"/>
        </w:rPr>
        <w:t>.</w:t>
      </w:r>
    </w:p>
    <w:p w:rsidR="00C40900" w:rsidRPr="004620F7" w:rsidRDefault="00C40900" w:rsidP="00C40900">
      <w:pPr>
        <w:ind w:left="-142" w:right="-142"/>
        <w:jc w:val="both"/>
        <w:rPr>
          <w:rFonts w:ascii="Bookman Old Style" w:hAnsi="Bookman Old Style"/>
          <w:szCs w:val="27"/>
        </w:rPr>
      </w:pPr>
    </w:p>
    <w:p w:rsidR="00C40900" w:rsidRPr="004620F7" w:rsidRDefault="00C40900" w:rsidP="00C40900">
      <w:pPr>
        <w:ind w:left="-142" w:right="-142"/>
        <w:jc w:val="both"/>
        <w:rPr>
          <w:rFonts w:ascii="Bookman Old Style" w:hAnsi="Bookman Old Style"/>
          <w:szCs w:val="27"/>
        </w:rPr>
      </w:pPr>
      <w:r w:rsidRPr="004620F7">
        <w:rPr>
          <w:rFonts w:ascii="Bookman Old Style" w:hAnsi="Bookman Old Style"/>
          <w:b/>
          <w:szCs w:val="27"/>
        </w:rPr>
        <w:t>Artículo 2.</w:t>
      </w:r>
      <w:r w:rsidRPr="004620F7">
        <w:rPr>
          <w:rFonts w:ascii="Bookman Old Style" w:hAnsi="Bookman Old Style"/>
          <w:szCs w:val="27"/>
        </w:rPr>
        <w:t xml:space="preserve"> Modificar el artículo 1 de la Resolución CREG 075 de 2016 de la siguiente forma:</w:t>
      </w:r>
    </w:p>
    <w:p w:rsidR="00C40900" w:rsidRPr="004620F7" w:rsidRDefault="00C40900" w:rsidP="00C40900">
      <w:pPr>
        <w:ind w:left="-142" w:right="-142"/>
        <w:jc w:val="both"/>
        <w:rPr>
          <w:rFonts w:ascii="Bookman Old Style" w:hAnsi="Bookman Old Style"/>
          <w:szCs w:val="27"/>
        </w:rPr>
      </w:pPr>
    </w:p>
    <w:p w:rsidR="00C40900" w:rsidRPr="004620F7" w:rsidRDefault="00C40900" w:rsidP="00C40900">
      <w:pPr>
        <w:ind w:left="-142" w:right="-142"/>
        <w:jc w:val="both"/>
        <w:rPr>
          <w:rFonts w:ascii="Bookman Old Style" w:hAnsi="Bookman Old Style"/>
          <w:szCs w:val="27"/>
        </w:rPr>
      </w:pPr>
      <w:r w:rsidRPr="004620F7">
        <w:rPr>
          <w:rFonts w:ascii="Bookman Old Style" w:hAnsi="Bookman Old Style"/>
          <w:szCs w:val="27"/>
        </w:rPr>
        <w:t>La siguiente corresponde a la Capacidad de Compra para cada uno de los códigos SUI de las empresas:</w:t>
      </w:r>
    </w:p>
    <w:p w:rsidR="00C40900" w:rsidRPr="00116D42" w:rsidRDefault="00C40900" w:rsidP="00C40900">
      <w:pPr>
        <w:ind w:left="-142" w:right="-142"/>
        <w:jc w:val="both"/>
        <w:rPr>
          <w:rFonts w:ascii="Bookman Old Style" w:hAnsi="Bookman Old Style"/>
          <w:sz w:val="36"/>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C40900" w:rsidRPr="004620F7" w:rsidTr="00012619">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900" w:rsidRPr="004620F7" w:rsidRDefault="00C40900" w:rsidP="005328C4">
            <w:pPr>
              <w:ind w:left="67"/>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C40900" w:rsidRPr="004620F7" w:rsidRDefault="00C40900" w:rsidP="00012619">
            <w:pPr>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C40900" w:rsidRPr="004620F7" w:rsidRDefault="00C40900" w:rsidP="00012619">
            <w:pPr>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C40900" w:rsidRPr="004620F7" w:rsidTr="00616485">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900" w:rsidRPr="004620F7" w:rsidRDefault="00616485" w:rsidP="00616485">
            <w:pPr>
              <w:ind w:left="117"/>
              <w:rPr>
                <w:rFonts w:ascii="Bookman Old Style" w:hAnsi="Bookman Old Style"/>
                <w:sz w:val="18"/>
                <w:szCs w:val="18"/>
              </w:rPr>
            </w:pPr>
            <w:r>
              <w:rPr>
                <w:rFonts w:ascii="Bookman Old Style" w:hAnsi="Bookman Old Style"/>
                <w:sz w:val="18"/>
                <w:szCs w:val="18"/>
              </w:rPr>
              <w:t>2923</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C40900" w:rsidRPr="004620F7" w:rsidRDefault="00830010" w:rsidP="005328C4">
            <w:pPr>
              <w:ind w:left="117"/>
              <w:jc w:val="both"/>
              <w:rPr>
                <w:rFonts w:ascii="Bookman Old Style" w:hAnsi="Bookman Old Style"/>
                <w:sz w:val="18"/>
                <w:szCs w:val="18"/>
              </w:rPr>
            </w:pPr>
            <w:r>
              <w:rPr>
                <w:rFonts w:ascii="Bookman Old Style" w:hAnsi="Bookman Old Style"/>
                <w:sz w:val="18"/>
                <w:szCs w:val="18"/>
              </w:rPr>
              <w:t>DISTRIBUIDORA DE GAS MONZAGAS</w:t>
            </w:r>
            <w:r w:rsidR="00C40900" w:rsidRPr="004620F7">
              <w:rPr>
                <w:rFonts w:ascii="Bookman Old Style" w:hAnsi="Bookman Old Style"/>
                <w:sz w:val="18"/>
                <w:szCs w:val="18"/>
              </w:rPr>
              <w:t xml:space="preserve">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C40900" w:rsidRPr="004620F7" w:rsidRDefault="00616485" w:rsidP="00616485">
            <w:pPr>
              <w:ind w:left="117"/>
              <w:rPr>
                <w:rFonts w:ascii="Bookman Old Style" w:hAnsi="Bookman Old Style"/>
                <w:sz w:val="18"/>
                <w:szCs w:val="18"/>
              </w:rPr>
            </w:pPr>
            <w:r>
              <w:rPr>
                <w:rFonts w:ascii="Bookman Old Style" w:hAnsi="Bookman Old Style"/>
                <w:sz w:val="18"/>
                <w:szCs w:val="18"/>
              </w:rPr>
              <w:t>123.644</w:t>
            </w:r>
          </w:p>
        </w:tc>
      </w:tr>
    </w:tbl>
    <w:p w:rsidR="00C40900" w:rsidRPr="00116D42" w:rsidRDefault="00C40900" w:rsidP="00C40900">
      <w:pPr>
        <w:tabs>
          <w:tab w:val="right" w:pos="9498"/>
        </w:tabs>
        <w:ind w:left="0" w:right="-142"/>
        <w:jc w:val="both"/>
        <w:rPr>
          <w:rFonts w:ascii="Bookman Old Style" w:hAnsi="Bookman Old Style" w:cs="Arial"/>
          <w:b/>
          <w:bCs/>
          <w:color w:val="666666"/>
          <w:sz w:val="32"/>
          <w:szCs w:val="27"/>
          <w:lang w:eastAsia="es-CO"/>
        </w:rPr>
      </w:pPr>
    </w:p>
    <w:p w:rsidR="00C40900" w:rsidRPr="004620F7" w:rsidRDefault="00C40900" w:rsidP="00C40900">
      <w:pPr>
        <w:ind w:left="-142" w:right="-142"/>
        <w:jc w:val="both"/>
        <w:rPr>
          <w:rFonts w:ascii="Bookman Old Style" w:hAnsi="Bookman Old Style"/>
          <w:szCs w:val="27"/>
        </w:rPr>
      </w:pPr>
      <w:r w:rsidRPr="004620F7">
        <w:rPr>
          <w:rFonts w:ascii="Bookman Old Style" w:hAnsi="Bookman Old Style"/>
          <w:b/>
          <w:szCs w:val="27"/>
        </w:rPr>
        <w:t>Artículo 3.</w:t>
      </w:r>
      <w:r w:rsidRPr="004620F7">
        <w:rPr>
          <w:rFonts w:ascii="Bookman Old Style" w:hAnsi="Bookman Old Style"/>
          <w:szCs w:val="27"/>
        </w:rPr>
        <w:t xml:space="preserve"> Modificar el Anexo de la Resolución CREG 075 de 2016 de la siguiente forma:</w:t>
      </w:r>
    </w:p>
    <w:p w:rsidR="00616485" w:rsidRPr="00CD74B5" w:rsidRDefault="00616485" w:rsidP="00616485">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616485" w:rsidRDefault="00616485" w:rsidP="00616485">
      <w:pPr>
        <w:jc w:val="both"/>
        <w:rPr>
          <w:rFonts w:ascii="Bookman Old Style" w:hAnsi="Bookman Old Style"/>
        </w:rPr>
      </w:pPr>
    </w:p>
    <w:p w:rsidR="00616485" w:rsidRDefault="00616485" w:rsidP="00616485">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616485" w:rsidRDefault="00616485" w:rsidP="00616485">
      <w:pPr>
        <w:jc w:val="both"/>
        <w:rPr>
          <w:rFonts w:ascii="Bookman Old Style" w:hAnsi="Bookman Old Style"/>
        </w:rPr>
      </w:pPr>
    </w:p>
    <w:p w:rsidR="00616485" w:rsidRDefault="00616485" w:rsidP="00616485">
      <w:pPr>
        <w:pStyle w:val="Prrafodelista"/>
        <w:numPr>
          <w:ilvl w:val="0"/>
          <w:numId w:val="36"/>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616485">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616485" w:rsidRPr="001C513B" w:rsidRDefault="00616485" w:rsidP="00616485">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DC076D" w:rsidRPr="00DC076D" w:rsidTr="00A167F8">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w:r w:rsidRPr="00DC076D">
              <w:rPr>
                <w:rFonts w:ascii="Bookman Old Style" w:hAnsi="Bookman Old Style"/>
                <w:b/>
                <w:bCs/>
                <w:color w:val="000000"/>
                <w:sz w:val="16"/>
                <w:szCs w:val="16"/>
                <w:lang w:val="es-CO"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w:r w:rsidRPr="00DC076D">
              <w:rPr>
                <w:rFonts w:ascii="Bookman Old Style" w:hAnsi="Bookman Old Style"/>
                <w:b/>
                <w:bCs/>
                <w:color w:val="000000"/>
                <w:sz w:val="16"/>
                <w:szCs w:val="16"/>
                <w:lang w:val="es-CO"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w:r w:rsidRPr="00DC076D">
              <w:rPr>
                <w:rFonts w:ascii="Bookman Old Style" w:hAnsi="Bookman Old Style"/>
                <w:b/>
                <w:bCs/>
                <w:color w:val="000000"/>
                <w:sz w:val="16"/>
                <w:szCs w:val="16"/>
                <w:lang w:val="es-CO"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w:r w:rsidRPr="00DC076D">
              <w:rPr>
                <w:rFonts w:ascii="Bookman Old Style" w:hAnsi="Bookman Old Style"/>
                <w:b/>
                <w:bCs/>
                <w:color w:val="000000"/>
                <w:sz w:val="16"/>
                <w:szCs w:val="16"/>
                <w:lang w:val="es-CO"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w:r w:rsidRPr="00DC076D">
              <w:rPr>
                <w:rFonts w:ascii="Bookman Old Style" w:hAnsi="Bookman Old Style"/>
                <w:b/>
                <w:bCs/>
                <w:color w:val="000000"/>
                <w:sz w:val="16"/>
                <w:szCs w:val="16"/>
                <w:lang w:val="es-CO"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w:r w:rsidRPr="00DC076D">
              <w:rPr>
                <w:rFonts w:ascii="Bookman Old Style" w:hAnsi="Bookman Old Style"/>
                <w:b/>
                <w:bCs/>
                <w:color w:val="000000"/>
                <w:sz w:val="16"/>
                <w:szCs w:val="16"/>
                <w:lang w:val="es-CO" w:eastAsia="es-CO"/>
              </w:rPr>
              <w:t>30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w:r w:rsidRPr="00DC076D">
              <w:rPr>
                <w:rFonts w:ascii="Bookman Old Style" w:hAnsi="Bookman Old Style"/>
                <w:b/>
                <w:bCs/>
                <w:color w:val="000000"/>
                <w:sz w:val="16"/>
                <w:szCs w:val="16"/>
                <w:lang w:val="es-CO"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w:r w:rsidRPr="00DC076D">
              <w:rPr>
                <w:rFonts w:ascii="Bookman Old Style" w:hAnsi="Bookman Old Style"/>
                <w:b/>
                <w:bCs/>
                <w:color w:val="000000"/>
                <w:sz w:val="16"/>
                <w:szCs w:val="16"/>
                <w:lang w:val="es-CO"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w:r w:rsidRPr="00DC076D">
              <w:rPr>
                <w:rFonts w:ascii="Bookman Old Style" w:hAnsi="Bookman Old Style"/>
                <w:b/>
                <w:bCs/>
                <w:color w:val="000000"/>
                <w:sz w:val="16"/>
                <w:szCs w:val="16"/>
                <w:lang w:val="es-CO"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w:r w:rsidRPr="00DC076D">
              <w:rPr>
                <w:rFonts w:ascii="Bookman Old Style" w:hAnsi="Bookman Old Style"/>
                <w:b/>
                <w:bCs/>
                <w:color w:val="000000"/>
                <w:sz w:val="16"/>
                <w:szCs w:val="16"/>
                <w:lang w:val="es-CO"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DC076D" w:rsidRPr="00DC076D" w:rsidRDefault="00DC076D" w:rsidP="00DC076D">
            <w:pPr>
              <w:ind w:left="0"/>
              <w:jc w:val="center"/>
              <w:rPr>
                <w:rFonts w:ascii="Bookman Old Style" w:hAnsi="Bookman Old Style"/>
                <w:b/>
                <w:bCs/>
                <w:color w:val="000000"/>
                <w:sz w:val="16"/>
                <w:szCs w:val="16"/>
                <w:lang w:val="es-CO" w:eastAsia="es-CO"/>
              </w:rPr>
            </w:pPr>
            <m:oMathPara>
              <m:oMathParaPr>
                <m:jc m:val="center"/>
              </m:oMathParaPr>
              <m:oMath>
                <m:r>
                  <m:rPr>
                    <m:sty m:val="bi"/>
                  </m:rPr>
                  <w:rPr>
                    <w:rFonts w:ascii="Cambria Math" w:eastAsia="Calibri" w:hAnsi="Cambria Math"/>
                    <w:color w:val="000000"/>
                    <w:sz w:val="16"/>
                    <w:szCs w:val="16"/>
                    <w:lang w:val="es-CO" w:eastAsia="en-US"/>
                  </w:rPr>
                  <m:t>Cap.</m:t>
                </m:r>
                <m:sSub>
                  <m:sSubPr>
                    <m:ctrlPr>
                      <w:rPr>
                        <w:rFonts w:ascii="Cambria Math" w:hAnsi="Cambria Math"/>
                        <w:b/>
                        <w:bCs/>
                        <w:i/>
                        <w:iCs/>
                        <w:color w:val="000000"/>
                        <w:sz w:val="16"/>
                        <w:szCs w:val="16"/>
                        <w:lang w:val="es-CO" w:eastAsia="en-US"/>
                      </w:rPr>
                    </m:ctrlPr>
                  </m:sSubPr>
                  <m:e>
                    <m:r>
                      <m:rPr>
                        <m:sty m:val="bi"/>
                      </m:rPr>
                      <w:rPr>
                        <w:rFonts w:ascii="Cambria Math" w:eastAsia="Calibri" w:hAnsi="Cambria Math"/>
                        <w:color w:val="000000"/>
                        <w:sz w:val="16"/>
                        <w:szCs w:val="16"/>
                        <w:lang w:val="es-CO" w:eastAsia="en-US"/>
                      </w:rPr>
                      <m:t>1</m:t>
                    </m:r>
                  </m:e>
                  <m:sub>
                    <m:r>
                      <m:rPr>
                        <m:sty m:val="bi"/>
                      </m:rPr>
                      <w:rPr>
                        <w:rFonts w:ascii="Cambria Math" w:eastAsia="Calibri" w:hAnsi="Cambria Math"/>
                        <w:color w:val="000000"/>
                        <w:sz w:val="16"/>
                        <w:szCs w:val="16"/>
                        <w:lang w:val="es-CO" w:eastAsia="en-US"/>
                      </w:rPr>
                      <m:t>i,t</m:t>
                    </m:r>
                  </m:sub>
                </m:sSub>
              </m:oMath>
            </m:oMathPara>
          </w:p>
        </w:tc>
      </w:tr>
      <w:tr w:rsidR="00DC076D" w:rsidRPr="00DC076D" w:rsidTr="00DC076D">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Bookman Old Style" w:eastAsia="Calibri" w:hAnsi="Bookman Old Style"/>
                <w:color w:val="000000"/>
                <w:sz w:val="18"/>
                <w:szCs w:val="20"/>
                <w:lang w:val="es-CO" w:eastAsia="en-US"/>
              </w:rPr>
            </w:pPr>
            <w:r>
              <w:rPr>
                <w:rFonts w:ascii="Bookman Old Style" w:eastAsia="Calibri" w:hAnsi="Bookman Old Style"/>
                <w:color w:val="000000"/>
                <w:sz w:val="18"/>
                <w:szCs w:val="20"/>
                <w:lang w:val="es-CO" w:eastAsia="en-US"/>
              </w:rPr>
              <w:t>2923</w:t>
            </w:r>
          </w:p>
        </w:tc>
        <w:tc>
          <w:tcPr>
            <w:tcW w:w="868" w:type="dxa"/>
            <w:tcBorders>
              <w:top w:val="nil"/>
              <w:left w:val="nil"/>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Calibri" w:eastAsia="Calibri" w:hAnsi="Calibri"/>
                <w:sz w:val="22"/>
                <w:szCs w:val="22"/>
                <w:lang w:val="es-CO" w:eastAsia="en-US"/>
              </w:rPr>
            </w:pPr>
            <w:r w:rsidRPr="00DC076D">
              <w:rPr>
                <w:rFonts w:ascii="Bookman Old Style" w:eastAsia="Calibri" w:hAnsi="Bookman Old Style"/>
                <w:color w:val="000000"/>
                <w:sz w:val="18"/>
                <w:szCs w:val="18"/>
                <w:lang w:val="es-CO" w:eastAsia="en-US"/>
              </w:rPr>
              <w:t>NR*</w:t>
            </w:r>
          </w:p>
        </w:tc>
        <w:tc>
          <w:tcPr>
            <w:tcW w:w="688" w:type="dxa"/>
            <w:tcBorders>
              <w:top w:val="nil"/>
              <w:left w:val="nil"/>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Calibri" w:eastAsia="Calibri" w:hAnsi="Calibri"/>
                <w:sz w:val="22"/>
                <w:szCs w:val="22"/>
                <w:lang w:val="es-CO" w:eastAsia="en-US"/>
              </w:rPr>
            </w:pPr>
            <w:r w:rsidRPr="00DC076D">
              <w:rPr>
                <w:rFonts w:ascii="Bookman Old Style" w:eastAsia="Calibri" w:hAnsi="Bookman Old Style"/>
                <w:color w:val="000000"/>
                <w:sz w:val="18"/>
                <w:szCs w:val="18"/>
                <w:lang w:val="es-CO" w:eastAsia="en-US"/>
              </w:rPr>
              <w:t>NR*</w:t>
            </w:r>
          </w:p>
        </w:tc>
        <w:tc>
          <w:tcPr>
            <w:tcW w:w="756" w:type="dxa"/>
            <w:tcBorders>
              <w:top w:val="nil"/>
              <w:left w:val="nil"/>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Calibri" w:eastAsia="Calibri" w:hAnsi="Calibri"/>
                <w:sz w:val="22"/>
                <w:szCs w:val="22"/>
                <w:lang w:val="es-CO" w:eastAsia="en-US"/>
              </w:rPr>
            </w:pPr>
            <w:r w:rsidRPr="00DC076D">
              <w:rPr>
                <w:rFonts w:ascii="Bookman Old Style" w:eastAsia="Calibri" w:hAnsi="Bookman Old Style"/>
                <w:color w:val="000000"/>
                <w:sz w:val="18"/>
                <w:szCs w:val="18"/>
                <w:lang w:val="es-CO" w:eastAsia="en-US"/>
              </w:rPr>
              <w:t>NR*</w:t>
            </w:r>
          </w:p>
        </w:tc>
        <w:tc>
          <w:tcPr>
            <w:tcW w:w="756" w:type="dxa"/>
            <w:tcBorders>
              <w:top w:val="nil"/>
              <w:left w:val="nil"/>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Calibri" w:eastAsia="Calibri" w:hAnsi="Calibri"/>
                <w:sz w:val="22"/>
                <w:szCs w:val="22"/>
                <w:lang w:val="es-CO" w:eastAsia="en-US"/>
              </w:rPr>
            </w:pPr>
            <w:r w:rsidRPr="00DC076D">
              <w:rPr>
                <w:rFonts w:ascii="Bookman Old Style" w:eastAsia="Calibri" w:hAnsi="Bookman Old Style"/>
                <w:color w:val="000000"/>
                <w:sz w:val="18"/>
                <w:szCs w:val="18"/>
                <w:lang w:val="es-CO" w:eastAsia="en-US"/>
              </w:rPr>
              <w:t>NR*</w:t>
            </w:r>
          </w:p>
        </w:tc>
        <w:tc>
          <w:tcPr>
            <w:tcW w:w="868" w:type="dxa"/>
            <w:tcBorders>
              <w:top w:val="nil"/>
              <w:left w:val="nil"/>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Calibri" w:eastAsia="Calibri" w:hAnsi="Calibri"/>
                <w:sz w:val="22"/>
                <w:szCs w:val="22"/>
                <w:lang w:val="es-CO" w:eastAsia="en-US"/>
              </w:rPr>
            </w:pPr>
            <w:r>
              <w:rPr>
                <w:rFonts w:ascii="Bookman Old Style" w:eastAsia="Calibri" w:hAnsi="Bookman Old Style"/>
                <w:color w:val="000000"/>
                <w:sz w:val="18"/>
                <w:szCs w:val="18"/>
                <w:lang w:val="es-CO" w:eastAsia="en-US"/>
              </w:rPr>
              <w:t>3.018</w:t>
            </w:r>
          </w:p>
        </w:tc>
        <w:tc>
          <w:tcPr>
            <w:tcW w:w="868" w:type="dxa"/>
            <w:tcBorders>
              <w:top w:val="nil"/>
              <w:left w:val="nil"/>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Calibri" w:eastAsia="Calibri" w:hAnsi="Calibri"/>
                <w:sz w:val="22"/>
                <w:szCs w:val="22"/>
                <w:lang w:val="es-CO" w:eastAsia="en-US"/>
              </w:rPr>
            </w:pPr>
            <w:r w:rsidRPr="00DC076D">
              <w:rPr>
                <w:rFonts w:ascii="Bookman Old Style" w:eastAsia="Calibri" w:hAnsi="Bookman Old Style"/>
                <w:color w:val="000000"/>
                <w:sz w:val="18"/>
                <w:szCs w:val="18"/>
                <w:lang w:val="es-CO" w:eastAsia="en-US"/>
              </w:rPr>
              <w:t>NR*</w:t>
            </w:r>
          </w:p>
        </w:tc>
        <w:tc>
          <w:tcPr>
            <w:tcW w:w="704" w:type="dxa"/>
            <w:tcBorders>
              <w:top w:val="nil"/>
              <w:left w:val="nil"/>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Calibri" w:eastAsia="Calibri" w:hAnsi="Calibri"/>
                <w:sz w:val="22"/>
                <w:szCs w:val="22"/>
                <w:lang w:val="es-CO" w:eastAsia="en-US"/>
              </w:rPr>
            </w:pPr>
            <w:r>
              <w:rPr>
                <w:rFonts w:ascii="Bookman Old Style" w:eastAsia="Calibri" w:hAnsi="Bookman Old Style"/>
                <w:color w:val="000000"/>
                <w:sz w:val="18"/>
                <w:szCs w:val="18"/>
                <w:lang w:val="es-CO" w:eastAsia="en-US"/>
              </w:rPr>
              <w:t>968</w:t>
            </w:r>
          </w:p>
        </w:tc>
        <w:tc>
          <w:tcPr>
            <w:tcW w:w="832" w:type="dxa"/>
            <w:tcBorders>
              <w:top w:val="nil"/>
              <w:left w:val="nil"/>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Calibri" w:eastAsia="Calibri" w:hAnsi="Calibri"/>
                <w:sz w:val="22"/>
                <w:szCs w:val="22"/>
                <w:lang w:val="es-CO" w:eastAsia="en-US"/>
              </w:rPr>
            </w:pPr>
            <w:r>
              <w:rPr>
                <w:rFonts w:ascii="Bookman Old Style" w:eastAsia="Calibri" w:hAnsi="Bookman Old Style"/>
                <w:color w:val="000000"/>
                <w:sz w:val="18"/>
                <w:szCs w:val="18"/>
                <w:lang w:val="es-CO" w:eastAsia="en-US"/>
              </w:rPr>
              <w:t>100</w:t>
            </w:r>
          </w:p>
        </w:tc>
        <w:tc>
          <w:tcPr>
            <w:tcW w:w="1037" w:type="dxa"/>
            <w:tcBorders>
              <w:top w:val="nil"/>
              <w:left w:val="nil"/>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Calibri" w:eastAsia="Calibri" w:hAnsi="Calibri"/>
                <w:sz w:val="22"/>
                <w:szCs w:val="22"/>
                <w:lang w:val="es-CO" w:eastAsia="en-US"/>
              </w:rPr>
            </w:pPr>
            <w:r>
              <w:rPr>
                <w:rFonts w:ascii="Bookman Old Style" w:eastAsia="Calibri" w:hAnsi="Bookman Old Style"/>
                <w:color w:val="000000"/>
                <w:sz w:val="18"/>
                <w:szCs w:val="18"/>
                <w:lang w:val="es-CO" w:eastAsia="en-US"/>
              </w:rPr>
              <w:t>3.186</w:t>
            </w:r>
          </w:p>
        </w:tc>
        <w:tc>
          <w:tcPr>
            <w:tcW w:w="1266" w:type="dxa"/>
            <w:tcBorders>
              <w:top w:val="nil"/>
              <w:left w:val="nil"/>
              <w:bottom w:val="single" w:sz="4" w:space="0" w:color="auto"/>
              <w:right w:val="single" w:sz="4" w:space="0" w:color="auto"/>
            </w:tcBorders>
            <w:shd w:val="clear" w:color="auto" w:fill="auto"/>
            <w:noWrap/>
            <w:vAlign w:val="center"/>
          </w:tcPr>
          <w:p w:rsidR="00DC076D" w:rsidRPr="00DC076D" w:rsidRDefault="00DC076D" w:rsidP="00DC076D">
            <w:pPr>
              <w:ind w:left="0"/>
              <w:jc w:val="center"/>
              <w:rPr>
                <w:rFonts w:ascii="Calibri" w:eastAsia="Calibri" w:hAnsi="Calibri"/>
                <w:sz w:val="22"/>
                <w:szCs w:val="22"/>
                <w:lang w:val="es-CO" w:eastAsia="en-US"/>
              </w:rPr>
            </w:pPr>
            <w:r>
              <w:rPr>
                <w:rFonts w:ascii="Bookman Old Style" w:eastAsia="Calibri" w:hAnsi="Bookman Old Style"/>
                <w:color w:val="000000"/>
                <w:sz w:val="18"/>
                <w:szCs w:val="18"/>
                <w:lang w:val="es-CO" w:eastAsia="en-US"/>
              </w:rPr>
              <w:t>313.353</w:t>
            </w:r>
          </w:p>
        </w:tc>
      </w:tr>
    </w:tbl>
    <w:p w:rsidR="00616485" w:rsidRDefault="00616485" w:rsidP="00616485">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DC076D" w:rsidRDefault="00DC076D" w:rsidP="00616485">
      <w:pPr>
        <w:jc w:val="center"/>
        <w:rPr>
          <w:rFonts w:ascii="Bookman Old Style" w:hAnsi="Bookman Old Style"/>
        </w:rPr>
      </w:pPr>
    </w:p>
    <w:p w:rsidR="00616485" w:rsidRPr="002E47EE" w:rsidRDefault="00616485" w:rsidP="00616485">
      <w:pPr>
        <w:pStyle w:val="Prrafodelista"/>
        <w:numPr>
          <w:ilvl w:val="0"/>
          <w:numId w:val="36"/>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616485">
        <w:rPr>
          <w:rFonts w:ascii="Bookman Old Style" w:hAnsi="Bookman Old Style"/>
          <w:iCs/>
          <w:sz w:val="24"/>
          <w:szCs w:val="24"/>
        </w:rPr>
        <w:t xml:space="preserve">, a continuación se muestra el conteo de cilindros por código de presentación para cada uno de los códigos SUI de las empresas. </w:t>
      </w:r>
    </w:p>
    <w:tbl>
      <w:tblPr>
        <w:tblStyle w:val="Tablaconcuadrcula"/>
        <w:tblW w:w="0" w:type="auto"/>
        <w:jc w:val="center"/>
        <w:tblLook w:val="04A0" w:firstRow="1" w:lastRow="0" w:firstColumn="1" w:lastColumn="0" w:noHBand="0" w:noVBand="1"/>
      </w:tblPr>
      <w:tblGrid>
        <w:gridCol w:w="1413"/>
        <w:gridCol w:w="1417"/>
      </w:tblGrid>
      <w:tr w:rsidR="00616485" w:rsidRPr="00060097" w:rsidTr="00116D42">
        <w:trPr>
          <w:trHeight w:val="443"/>
          <w:tblHeader/>
          <w:jc w:val="center"/>
        </w:trPr>
        <w:tc>
          <w:tcPr>
            <w:tcW w:w="1413" w:type="dxa"/>
            <w:vAlign w:val="center"/>
          </w:tcPr>
          <w:p w:rsidR="00616485" w:rsidRPr="00060097" w:rsidRDefault="00616485" w:rsidP="00DC076D">
            <w:pPr>
              <w:ind w:left="29"/>
              <w:jc w:val="center"/>
              <w:rPr>
                <w:rFonts w:ascii="Bookman Old Style" w:hAnsi="Bookman Old Style"/>
                <w:b/>
                <w:sz w:val="18"/>
                <w:szCs w:val="18"/>
              </w:rPr>
            </w:pPr>
            <w:r w:rsidRPr="00060097">
              <w:rPr>
                <w:rFonts w:ascii="Bookman Old Style" w:hAnsi="Bookman Old Style"/>
                <w:b/>
                <w:sz w:val="18"/>
                <w:szCs w:val="18"/>
              </w:rPr>
              <w:t>Código SUI</w:t>
            </w:r>
          </w:p>
        </w:tc>
        <w:tc>
          <w:tcPr>
            <w:tcW w:w="1417" w:type="dxa"/>
            <w:vAlign w:val="center"/>
          </w:tcPr>
          <w:p w:rsidR="00616485" w:rsidRPr="00216D63" w:rsidRDefault="00DC076D" w:rsidP="00DC076D">
            <w:pPr>
              <w:ind w:left="29"/>
              <w:jc w:val="center"/>
              <w:rPr>
                <w:rFonts w:ascii="Bookman Old Style" w:hAnsi="Bookman Old Style"/>
                <w:b/>
                <w:sz w:val="18"/>
                <w:szCs w:val="18"/>
              </w:rPr>
            </w:pPr>
            <w:r>
              <w:rPr>
                <w:rFonts w:ascii="Bookman Old Style" w:hAnsi="Bookman Old Style"/>
                <w:b/>
                <w:sz w:val="18"/>
                <w:szCs w:val="18"/>
              </w:rPr>
              <w:t>2923</w:t>
            </w:r>
          </w:p>
        </w:tc>
      </w:tr>
      <w:tr w:rsidR="00DC076D" w:rsidRPr="00060097" w:rsidTr="00387100">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417" w:type="dxa"/>
          </w:tcPr>
          <w:p w:rsidR="00DC076D" w:rsidRDefault="00DC076D" w:rsidP="00DC076D">
            <w:r w:rsidRPr="00B412AC">
              <w:rPr>
                <w:rFonts w:ascii="Bookman Old Style" w:hAnsi="Bookman Old Style"/>
                <w:sz w:val="18"/>
              </w:rPr>
              <w:t>NR*</w:t>
            </w:r>
          </w:p>
        </w:tc>
      </w:tr>
      <w:tr w:rsidR="00DC076D" w:rsidRPr="00060097" w:rsidTr="00387100">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417" w:type="dxa"/>
          </w:tcPr>
          <w:p w:rsidR="00DC076D" w:rsidRDefault="00DC076D" w:rsidP="00DC076D">
            <w:r w:rsidRPr="00B412AC">
              <w:rPr>
                <w:rFonts w:ascii="Bookman Old Style" w:hAnsi="Bookman Old Style"/>
                <w:sz w:val="18"/>
              </w:rPr>
              <w:t>NR*</w:t>
            </w:r>
          </w:p>
        </w:tc>
      </w:tr>
      <w:tr w:rsidR="00DC076D" w:rsidRPr="00060097" w:rsidTr="00387100">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417" w:type="dxa"/>
          </w:tcPr>
          <w:p w:rsidR="00DC076D" w:rsidRDefault="00DC076D" w:rsidP="00DC076D">
            <w:r w:rsidRPr="00B412AC">
              <w:rPr>
                <w:rFonts w:ascii="Bookman Old Style" w:hAnsi="Bookman Old Style"/>
                <w:sz w:val="18"/>
              </w:rPr>
              <w:t>NR*</w:t>
            </w:r>
          </w:p>
        </w:tc>
      </w:tr>
      <w:tr w:rsidR="00DC076D" w:rsidRPr="00060097" w:rsidTr="00387100">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lastRenderedPageBreak/>
              <w:t>9 Kg</w:t>
            </w:r>
          </w:p>
        </w:tc>
        <w:tc>
          <w:tcPr>
            <w:tcW w:w="1417" w:type="dxa"/>
          </w:tcPr>
          <w:p w:rsidR="00DC076D" w:rsidRDefault="00DC076D" w:rsidP="00DC076D">
            <w:r w:rsidRPr="00B412AC">
              <w:rPr>
                <w:rFonts w:ascii="Bookman Old Style" w:hAnsi="Bookman Old Style"/>
                <w:sz w:val="18"/>
              </w:rPr>
              <w:t>NR*</w:t>
            </w:r>
          </w:p>
        </w:tc>
      </w:tr>
      <w:tr w:rsidR="00DC076D" w:rsidRPr="00060097" w:rsidTr="00A167F8">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417" w:type="dxa"/>
          </w:tcPr>
          <w:p w:rsidR="00DC076D" w:rsidRDefault="00DC076D" w:rsidP="00DC076D">
            <w:r w:rsidRPr="00B412AC">
              <w:rPr>
                <w:rFonts w:ascii="Bookman Old Style" w:hAnsi="Bookman Old Style"/>
                <w:sz w:val="18"/>
              </w:rPr>
              <w:t>NR*</w:t>
            </w:r>
          </w:p>
        </w:tc>
      </w:tr>
      <w:tr w:rsidR="00616485" w:rsidRPr="00060097" w:rsidTr="00A167F8">
        <w:trPr>
          <w:trHeight w:val="443"/>
          <w:jc w:val="center"/>
        </w:trPr>
        <w:tc>
          <w:tcPr>
            <w:tcW w:w="1413" w:type="dxa"/>
            <w:vAlign w:val="center"/>
          </w:tcPr>
          <w:p w:rsidR="00616485" w:rsidRPr="00060097" w:rsidRDefault="00616485"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417" w:type="dxa"/>
          </w:tcPr>
          <w:p w:rsidR="00616485" w:rsidRPr="00060097" w:rsidRDefault="00DC076D" w:rsidP="00DC076D">
            <w:pPr>
              <w:ind w:left="29"/>
              <w:jc w:val="center"/>
              <w:rPr>
                <w:rFonts w:ascii="Bookman Old Style" w:hAnsi="Bookman Old Style"/>
                <w:sz w:val="18"/>
                <w:szCs w:val="18"/>
              </w:rPr>
            </w:pPr>
            <w:r>
              <w:rPr>
                <w:rFonts w:ascii="Bookman Old Style" w:hAnsi="Bookman Old Style"/>
                <w:sz w:val="18"/>
                <w:szCs w:val="18"/>
              </w:rPr>
              <w:t>950</w:t>
            </w:r>
          </w:p>
        </w:tc>
      </w:tr>
      <w:tr w:rsidR="00DC076D" w:rsidRPr="00060097" w:rsidTr="00A167F8">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417" w:type="dxa"/>
          </w:tcPr>
          <w:p w:rsidR="00DC076D" w:rsidRDefault="00DC076D" w:rsidP="00DC076D">
            <w:pPr>
              <w:ind w:left="34"/>
              <w:jc w:val="center"/>
            </w:pPr>
            <w:r w:rsidRPr="00171D3C">
              <w:rPr>
                <w:rFonts w:ascii="Bookman Old Style" w:hAnsi="Bookman Old Style"/>
                <w:sz w:val="18"/>
              </w:rPr>
              <w:t>NR*</w:t>
            </w:r>
          </w:p>
        </w:tc>
      </w:tr>
      <w:tr w:rsidR="00DC076D" w:rsidRPr="00060097" w:rsidTr="00A167F8">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417" w:type="dxa"/>
          </w:tcPr>
          <w:p w:rsidR="00DC076D" w:rsidRDefault="00DC076D" w:rsidP="00DC076D">
            <w:pPr>
              <w:ind w:left="34"/>
              <w:jc w:val="center"/>
            </w:pPr>
            <w:r w:rsidRPr="00171D3C">
              <w:rPr>
                <w:rFonts w:ascii="Bookman Old Style" w:hAnsi="Bookman Old Style"/>
                <w:sz w:val="18"/>
              </w:rPr>
              <w:t>NR*</w:t>
            </w:r>
          </w:p>
        </w:tc>
      </w:tr>
      <w:tr w:rsidR="00DC076D" w:rsidRPr="00060097" w:rsidTr="00A167F8">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417" w:type="dxa"/>
          </w:tcPr>
          <w:p w:rsidR="00DC076D" w:rsidRDefault="00DC076D" w:rsidP="00DC076D">
            <w:pPr>
              <w:ind w:left="34"/>
              <w:jc w:val="center"/>
            </w:pPr>
            <w:r w:rsidRPr="00171D3C">
              <w:rPr>
                <w:rFonts w:ascii="Bookman Old Style" w:hAnsi="Bookman Old Style"/>
                <w:sz w:val="18"/>
              </w:rPr>
              <w:t>NR*</w:t>
            </w:r>
          </w:p>
        </w:tc>
      </w:tr>
      <w:tr w:rsidR="00DC076D" w:rsidRPr="00060097" w:rsidTr="00A167F8">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417" w:type="dxa"/>
          </w:tcPr>
          <w:p w:rsidR="00DC076D" w:rsidRDefault="00DC076D" w:rsidP="00DC076D">
            <w:pPr>
              <w:ind w:left="34"/>
              <w:jc w:val="center"/>
            </w:pPr>
            <w:r w:rsidRPr="00171D3C">
              <w:rPr>
                <w:rFonts w:ascii="Bookman Old Style" w:hAnsi="Bookman Old Style"/>
                <w:sz w:val="18"/>
              </w:rPr>
              <w:t>NR*</w:t>
            </w:r>
          </w:p>
        </w:tc>
      </w:tr>
      <w:tr w:rsidR="00DC076D" w:rsidRPr="00060097" w:rsidTr="00A167F8">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417" w:type="dxa"/>
          </w:tcPr>
          <w:p w:rsidR="00DC076D" w:rsidRDefault="00DC076D" w:rsidP="00DC076D">
            <w:pPr>
              <w:ind w:left="34"/>
              <w:jc w:val="center"/>
            </w:pPr>
            <w:r w:rsidRPr="00171D3C">
              <w:rPr>
                <w:rFonts w:ascii="Bookman Old Style" w:hAnsi="Bookman Old Style"/>
                <w:sz w:val="18"/>
              </w:rPr>
              <w:t>NR*</w:t>
            </w:r>
          </w:p>
        </w:tc>
      </w:tr>
      <w:tr w:rsidR="00DC076D" w:rsidRPr="00060097" w:rsidTr="00A167F8">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417" w:type="dxa"/>
          </w:tcPr>
          <w:p w:rsidR="00DC076D" w:rsidRDefault="00DC076D" w:rsidP="00DC076D">
            <w:pPr>
              <w:ind w:left="34"/>
              <w:jc w:val="center"/>
            </w:pPr>
            <w:r w:rsidRPr="00171D3C">
              <w:rPr>
                <w:rFonts w:ascii="Bookman Old Style" w:hAnsi="Bookman Old Style"/>
                <w:sz w:val="18"/>
              </w:rPr>
              <w:t>NR*</w:t>
            </w:r>
          </w:p>
        </w:tc>
      </w:tr>
      <w:tr w:rsidR="00DC076D" w:rsidRPr="00060097" w:rsidTr="00A167F8">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417" w:type="dxa"/>
          </w:tcPr>
          <w:p w:rsidR="00DC076D" w:rsidRDefault="00DC076D" w:rsidP="00DC076D">
            <w:pPr>
              <w:ind w:left="34"/>
              <w:jc w:val="center"/>
            </w:pPr>
            <w:r w:rsidRPr="00171D3C">
              <w:rPr>
                <w:rFonts w:ascii="Bookman Old Style" w:hAnsi="Bookman Old Style"/>
                <w:sz w:val="18"/>
              </w:rPr>
              <w:t>NR*</w:t>
            </w:r>
          </w:p>
        </w:tc>
      </w:tr>
      <w:tr w:rsidR="00DC076D" w:rsidRPr="00060097" w:rsidTr="00A167F8">
        <w:trPr>
          <w:trHeight w:val="443"/>
          <w:jc w:val="center"/>
        </w:trPr>
        <w:tc>
          <w:tcPr>
            <w:tcW w:w="1413" w:type="dxa"/>
            <w:vAlign w:val="center"/>
          </w:tcPr>
          <w:p w:rsidR="00DC076D" w:rsidRPr="00060097" w:rsidRDefault="00DC076D"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417" w:type="dxa"/>
          </w:tcPr>
          <w:p w:rsidR="00DC076D" w:rsidRDefault="00DC076D" w:rsidP="00DC076D">
            <w:pPr>
              <w:ind w:left="34"/>
              <w:jc w:val="center"/>
            </w:pPr>
            <w:r w:rsidRPr="00171D3C">
              <w:rPr>
                <w:rFonts w:ascii="Bookman Old Style" w:hAnsi="Bookman Old Style"/>
                <w:sz w:val="18"/>
              </w:rPr>
              <w:t>NR*</w:t>
            </w:r>
          </w:p>
        </w:tc>
      </w:tr>
      <w:tr w:rsidR="00616485" w:rsidRPr="00060097" w:rsidTr="00A167F8">
        <w:trPr>
          <w:trHeight w:val="443"/>
          <w:jc w:val="center"/>
        </w:trPr>
        <w:tc>
          <w:tcPr>
            <w:tcW w:w="1413" w:type="dxa"/>
            <w:vAlign w:val="center"/>
          </w:tcPr>
          <w:p w:rsidR="00616485" w:rsidRPr="00060097" w:rsidRDefault="00616485" w:rsidP="00DC076D">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417" w:type="dxa"/>
          </w:tcPr>
          <w:p w:rsidR="00616485" w:rsidRPr="00060097" w:rsidRDefault="00DC076D" w:rsidP="00DC076D">
            <w:pPr>
              <w:ind w:left="29"/>
              <w:jc w:val="center"/>
              <w:rPr>
                <w:rFonts w:ascii="Bookman Old Style" w:hAnsi="Bookman Old Style"/>
                <w:sz w:val="18"/>
                <w:szCs w:val="18"/>
              </w:rPr>
            </w:pPr>
            <w:r>
              <w:rPr>
                <w:rFonts w:ascii="Bookman Old Style" w:hAnsi="Bookman Old Style"/>
                <w:sz w:val="18"/>
                <w:szCs w:val="18"/>
              </w:rPr>
              <w:t>950</w:t>
            </w:r>
          </w:p>
        </w:tc>
      </w:tr>
      <w:tr w:rsidR="00616485" w:rsidRPr="00060097" w:rsidTr="00A167F8">
        <w:trPr>
          <w:trHeight w:val="443"/>
          <w:jc w:val="center"/>
        </w:trPr>
        <w:tc>
          <w:tcPr>
            <w:tcW w:w="1413" w:type="dxa"/>
            <w:vAlign w:val="center"/>
          </w:tcPr>
          <w:p w:rsidR="00616485" w:rsidRPr="00616485" w:rsidRDefault="00616485" w:rsidP="00DC076D">
            <w:pPr>
              <w:ind w:left="29"/>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417" w:type="dxa"/>
          </w:tcPr>
          <w:p w:rsidR="00616485" w:rsidRPr="00060097" w:rsidRDefault="00DC076D" w:rsidP="00DC076D">
            <w:pPr>
              <w:ind w:left="29"/>
              <w:jc w:val="center"/>
              <w:rPr>
                <w:rFonts w:ascii="Bookman Old Style" w:hAnsi="Bookman Old Style"/>
                <w:sz w:val="18"/>
                <w:szCs w:val="18"/>
              </w:rPr>
            </w:pPr>
            <w:r>
              <w:rPr>
                <w:rFonts w:ascii="Bookman Old Style" w:hAnsi="Bookman Old Style"/>
                <w:sz w:val="18"/>
                <w:szCs w:val="18"/>
              </w:rPr>
              <w:t>85.500</w:t>
            </w:r>
          </w:p>
        </w:tc>
      </w:tr>
    </w:tbl>
    <w:p w:rsidR="00616485" w:rsidRPr="00074962" w:rsidRDefault="00616485" w:rsidP="00616485">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616485" w:rsidRDefault="00616485" w:rsidP="00616485">
      <w:pPr>
        <w:jc w:val="center"/>
        <w:rPr>
          <w:rFonts w:ascii="Bookman Old Style" w:hAnsi="Bookman Old Style"/>
          <w:sz w:val="18"/>
        </w:rPr>
      </w:pPr>
    </w:p>
    <w:p w:rsidR="00616485" w:rsidRPr="00616485" w:rsidRDefault="00616485" w:rsidP="00616485">
      <w:pPr>
        <w:pStyle w:val="Prrafodelista"/>
        <w:numPr>
          <w:ilvl w:val="0"/>
          <w:numId w:val="36"/>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616485">
        <w:rPr>
          <w:rFonts w:ascii="Bookman Old Style" w:hAnsi="Bookman Old Style"/>
          <w:iCs/>
          <w:sz w:val="24"/>
          <w:szCs w:val="24"/>
        </w:rPr>
        <w:t xml:space="preserve">, a continuación se muestra el conteo de cilindros por código de presentación para cada uno de los códigos SUI de las empresas. </w:t>
      </w:r>
    </w:p>
    <w:p w:rsidR="00616485" w:rsidRPr="0089470C" w:rsidRDefault="00616485" w:rsidP="00616485">
      <w:pPr>
        <w:pStyle w:val="Prrafodelista"/>
        <w:ind w:left="720"/>
        <w:jc w:val="both"/>
        <w:rPr>
          <w:rFonts w:ascii="Bookman Old Style" w:hAnsi="Bookman Old Style"/>
          <w:sz w:val="24"/>
          <w:szCs w:val="24"/>
        </w:rPr>
      </w:pPr>
    </w:p>
    <w:tbl>
      <w:tblPr>
        <w:tblW w:w="6001" w:type="dxa"/>
        <w:jc w:val="center"/>
        <w:tblCellMar>
          <w:left w:w="70" w:type="dxa"/>
          <w:right w:w="70" w:type="dxa"/>
        </w:tblCellMar>
        <w:tblLook w:val="04A0" w:firstRow="1" w:lastRow="0" w:firstColumn="1" w:lastColumn="0" w:noHBand="0" w:noVBand="1"/>
      </w:tblPr>
      <w:tblGrid>
        <w:gridCol w:w="1381"/>
        <w:gridCol w:w="1660"/>
        <w:gridCol w:w="1360"/>
        <w:gridCol w:w="1600"/>
      </w:tblGrid>
      <w:tr w:rsidR="00616485" w:rsidRPr="00074962" w:rsidTr="00A167F8">
        <w:trPr>
          <w:trHeight w:val="405"/>
          <w:tblHeader/>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6485" w:rsidRPr="00074962" w:rsidRDefault="00616485" w:rsidP="00DC076D">
            <w:pPr>
              <w:ind w:left="67"/>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616485" w:rsidRPr="00616485" w:rsidRDefault="00616485" w:rsidP="00DC076D">
            <w:pPr>
              <w:ind w:left="67"/>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616485" w:rsidRPr="00616485" w:rsidRDefault="00616485" w:rsidP="00DC076D">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616485" w:rsidRPr="00616485" w:rsidRDefault="00616485" w:rsidP="00DC076D">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DC076D" w:rsidRPr="00074962" w:rsidTr="00A167F8">
        <w:trPr>
          <w:trHeight w:val="311"/>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076D" w:rsidRPr="0093479E" w:rsidRDefault="00DC076D" w:rsidP="00DC076D">
            <w:pPr>
              <w:ind w:left="67"/>
              <w:jc w:val="center"/>
              <w:rPr>
                <w:rFonts w:ascii="Bookman Old Style" w:hAnsi="Bookman Old Style"/>
                <w:color w:val="000000"/>
                <w:sz w:val="18"/>
                <w:szCs w:val="20"/>
              </w:rPr>
            </w:pPr>
            <w:r>
              <w:rPr>
                <w:rFonts w:ascii="Bookman Old Style" w:hAnsi="Bookman Old Style"/>
                <w:color w:val="000000"/>
                <w:sz w:val="18"/>
                <w:szCs w:val="20"/>
              </w:rPr>
              <w:t>2923</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DC076D" w:rsidRDefault="00DC076D" w:rsidP="005717E8">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313.353</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DC076D" w:rsidRDefault="00DC076D" w:rsidP="005717E8">
            <w:pPr>
              <w:ind w:left="0"/>
              <w:jc w:val="center"/>
              <w:rPr>
                <w:rFonts w:ascii="Bookman Old Style" w:hAnsi="Bookman Old Style"/>
                <w:color w:val="000000"/>
                <w:sz w:val="20"/>
                <w:szCs w:val="20"/>
              </w:rPr>
            </w:pPr>
            <w:r>
              <w:rPr>
                <w:rFonts w:ascii="Bookman Old Style" w:hAnsi="Bookman Old Style"/>
                <w:color w:val="000000"/>
                <w:sz w:val="20"/>
                <w:szCs w:val="20"/>
              </w:rPr>
              <w:t>85.500</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DC076D" w:rsidRDefault="00DC076D" w:rsidP="005717E8">
            <w:pPr>
              <w:ind w:left="60"/>
              <w:jc w:val="center"/>
              <w:rPr>
                <w:rFonts w:ascii="Bookman Old Style" w:hAnsi="Bookman Old Style"/>
                <w:color w:val="000000"/>
                <w:sz w:val="20"/>
                <w:szCs w:val="20"/>
              </w:rPr>
            </w:pPr>
            <w:r>
              <w:rPr>
                <w:rFonts w:ascii="Bookman Old Style" w:hAnsi="Bookman Old Style"/>
                <w:color w:val="000000"/>
                <w:sz w:val="20"/>
                <w:szCs w:val="20"/>
              </w:rPr>
              <w:t>398.853</w:t>
            </w:r>
          </w:p>
        </w:tc>
      </w:tr>
    </w:tbl>
    <w:p w:rsidR="00616485" w:rsidRPr="00074962" w:rsidRDefault="00616485" w:rsidP="00616485">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616485" w:rsidRDefault="00616485" w:rsidP="00616485">
      <w:pPr>
        <w:rPr>
          <w:rFonts w:ascii="Bookman Old Style" w:hAnsi="Bookman Old Style"/>
        </w:rPr>
      </w:pPr>
    </w:p>
    <w:p w:rsidR="00616485" w:rsidRPr="00116D42" w:rsidRDefault="00616485" w:rsidP="00616485">
      <w:pPr>
        <w:pStyle w:val="Prrafodelista"/>
        <w:numPr>
          <w:ilvl w:val="0"/>
          <w:numId w:val="36"/>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616485">
        <w:rPr>
          <w:rFonts w:ascii="Bookman Old Style" w:hAnsi="Bookman Old Style"/>
          <w:iCs/>
          <w:sz w:val="24"/>
          <w:szCs w:val="24"/>
        </w:rPr>
        <w:t xml:space="preserve">, a continuación se muestra el conteo de cilindros por código de presentación para cada uno de los códigos SUI de las empresas. </w:t>
      </w:r>
    </w:p>
    <w:p w:rsidR="00116D42" w:rsidRPr="004443F3" w:rsidRDefault="00116D42" w:rsidP="00116D42">
      <w:pPr>
        <w:pStyle w:val="Prrafodelista"/>
        <w:ind w:left="720"/>
        <w:contextualSpacing/>
        <w:jc w:val="both"/>
        <w:rPr>
          <w:rFonts w:ascii="Bookman Old Style" w:hAnsi="Bookman Old Style"/>
          <w:sz w:val="24"/>
          <w:szCs w:val="24"/>
        </w:rPr>
      </w:pPr>
    </w:p>
    <w:tbl>
      <w:tblPr>
        <w:tblW w:w="7088" w:type="dxa"/>
        <w:jc w:val="center"/>
        <w:tblCellMar>
          <w:left w:w="70" w:type="dxa"/>
          <w:right w:w="70" w:type="dxa"/>
        </w:tblCellMar>
        <w:tblLook w:val="04A0" w:firstRow="1" w:lastRow="0" w:firstColumn="1" w:lastColumn="0" w:noHBand="0" w:noVBand="1"/>
      </w:tblPr>
      <w:tblGrid>
        <w:gridCol w:w="1420"/>
        <w:gridCol w:w="1776"/>
        <w:gridCol w:w="2092"/>
        <w:gridCol w:w="1800"/>
      </w:tblGrid>
      <w:tr w:rsidR="00616485" w:rsidRPr="0056639C" w:rsidTr="005717E8">
        <w:trPr>
          <w:trHeight w:val="791"/>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485" w:rsidRPr="0056639C" w:rsidRDefault="00616485" w:rsidP="005328C4">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616485" w:rsidRPr="0056639C" w:rsidRDefault="00616485" w:rsidP="005328C4">
            <w:pPr>
              <w:ind w:left="65"/>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w:t>
            </w:r>
            <w:proofErr w:type="spellStart"/>
            <w:r w:rsidRPr="0056639C">
              <w:rPr>
                <w:rFonts w:ascii="Bookman Old Style" w:hAnsi="Bookman Old Style"/>
                <w:b/>
                <w:bCs/>
                <w:color w:val="000000"/>
                <w:sz w:val="20"/>
                <w:szCs w:val="20"/>
                <w:lang w:eastAsia="es-CO"/>
              </w:rPr>
              <w:t>gl</w:t>
            </w:r>
            <w:proofErr w:type="spellEnd"/>
            <w:r w:rsidRPr="0056639C">
              <w:rPr>
                <w:rFonts w:ascii="Bookman Old Style" w:hAnsi="Bookman Old Style"/>
                <w:b/>
                <w:bCs/>
                <w:color w:val="000000"/>
                <w:sz w:val="20"/>
                <w:szCs w:val="20"/>
                <w:lang w:eastAsia="es-CO"/>
              </w:rPr>
              <w:t>)</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616485" w:rsidRPr="0056639C" w:rsidRDefault="00616485" w:rsidP="005328C4">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16485" w:rsidRPr="0056639C" w:rsidRDefault="00616485" w:rsidP="005328C4">
            <w:pPr>
              <w:ind w:left="24"/>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5717E8" w:rsidRPr="0056639C" w:rsidTr="005717E8">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5717E8" w:rsidRPr="0093479E" w:rsidRDefault="005717E8" w:rsidP="005328C4">
            <w:pPr>
              <w:ind w:left="67"/>
              <w:jc w:val="center"/>
              <w:rPr>
                <w:rFonts w:ascii="Bookman Old Style" w:hAnsi="Bookman Old Style"/>
                <w:color w:val="000000"/>
                <w:sz w:val="18"/>
                <w:szCs w:val="20"/>
              </w:rPr>
            </w:pPr>
            <w:r>
              <w:rPr>
                <w:rFonts w:ascii="Bookman Old Style" w:hAnsi="Bookman Old Style"/>
                <w:color w:val="000000"/>
                <w:sz w:val="18"/>
                <w:szCs w:val="20"/>
              </w:rPr>
              <w:t>2923</w:t>
            </w:r>
          </w:p>
        </w:tc>
        <w:tc>
          <w:tcPr>
            <w:tcW w:w="1776" w:type="dxa"/>
            <w:tcBorders>
              <w:top w:val="nil"/>
              <w:left w:val="nil"/>
              <w:bottom w:val="single" w:sz="4" w:space="0" w:color="auto"/>
              <w:right w:val="single" w:sz="4" w:space="0" w:color="auto"/>
            </w:tcBorders>
            <w:shd w:val="clear" w:color="auto" w:fill="auto"/>
            <w:noWrap/>
          </w:tcPr>
          <w:p w:rsidR="005717E8" w:rsidRDefault="005717E8" w:rsidP="005717E8">
            <w:r w:rsidRPr="001A3A79">
              <w:rPr>
                <w:rFonts w:ascii="Bookman Old Style" w:hAnsi="Bookman Old Style"/>
                <w:color w:val="000000"/>
                <w:sz w:val="20"/>
                <w:szCs w:val="20"/>
              </w:rPr>
              <w:t>NR*</w:t>
            </w:r>
          </w:p>
        </w:tc>
        <w:tc>
          <w:tcPr>
            <w:tcW w:w="2092" w:type="dxa"/>
            <w:tcBorders>
              <w:top w:val="nil"/>
              <w:left w:val="nil"/>
              <w:bottom w:val="single" w:sz="4" w:space="0" w:color="auto"/>
              <w:right w:val="single" w:sz="4" w:space="0" w:color="auto"/>
            </w:tcBorders>
            <w:shd w:val="clear" w:color="auto" w:fill="auto"/>
            <w:noWrap/>
          </w:tcPr>
          <w:p w:rsidR="005717E8" w:rsidRDefault="005717E8" w:rsidP="005717E8">
            <w:r w:rsidRPr="001A3A79">
              <w:rPr>
                <w:rFonts w:ascii="Bookman Old Style" w:hAnsi="Bookman Old Style"/>
                <w:color w:val="000000"/>
                <w:sz w:val="20"/>
                <w:szCs w:val="20"/>
              </w:rPr>
              <w:t>NR*</w:t>
            </w:r>
          </w:p>
        </w:tc>
        <w:tc>
          <w:tcPr>
            <w:tcW w:w="1800" w:type="dxa"/>
            <w:tcBorders>
              <w:top w:val="nil"/>
              <w:left w:val="nil"/>
              <w:bottom w:val="single" w:sz="4" w:space="0" w:color="auto"/>
              <w:right w:val="single" w:sz="4" w:space="0" w:color="auto"/>
            </w:tcBorders>
            <w:shd w:val="clear" w:color="auto" w:fill="auto"/>
            <w:noWrap/>
          </w:tcPr>
          <w:p w:rsidR="005717E8" w:rsidRDefault="005717E8" w:rsidP="005717E8">
            <w:r w:rsidRPr="001A3A79">
              <w:rPr>
                <w:rFonts w:ascii="Bookman Old Style" w:hAnsi="Bookman Old Style"/>
                <w:color w:val="000000"/>
                <w:sz w:val="20"/>
                <w:szCs w:val="20"/>
              </w:rPr>
              <w:t>NR*</w:t>
            </w:r>
          </w:p>
        </w:tc>
      </w:tr>
    </w:tbl>
    <w:p w:rsidR="005717E8" w:rsidRPr="002B4873" w:rsidRDefault="005717E8" w:rsidP="005717E8">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616485" w:rsidRDefault="00616485" w:rsidP="00616485">
      <w:pPr>
        <w:pStyle w:val="Prrafodelista"/>
        <w:jc w:val="both"/>
        <w:rPr>
          <w:rFonts w:ascii="Bookman Old Style" w:hAnsi="Bookman Old Style"/>
          <w:sz w:val="24"/>
          <w:szCs w:val="24"/>
        </w:rPr>
      </w:pPr>
    </w:p>
    <w:p w:rsidR="00616485" w:rsidRPr="004443F3" w:rsidRDefault="00616485" w:rsidP="00616485">
      <w:pPr>
        <w:pStyle w:val="Prrafodelista"/>
        <w:numPr>
          <w:ilvl w:val="0"/>
          <w:numId w:val="36"/>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616485">
        <w:rPr>
          <w:rFonts w:ascii="Bookman Old Style" w:hAnsi="Bookman Old Style"/>
          <w:iCs/>
          <w:sz w:val="24"/>
          <w:szCs w:val="24"/>
        </w:rPr>
        <w:t xml:space="preserve">, a continuación se muestra el conteo de cilindros por código de presentación para cada uno de los códigos SUI de las empresas. </w:t>
      </w:r>
    </w:p>
    <w:p w:rsidR="00616485" w:rsidRDefault="00616485" w:rsidP="00616485">
      <w:pPr>
        <w:pStyle w:val="Prrafodelista"/>
        <w:ind w:left="0"/>
        <w:jc w:val="center"/>
        <w:rPr>
          <w:rFonts w:ascii="Bookman Old Style" w:hAnsi="Bookman Old Style"/>
          <w:sz w:val="18"/>
          <w:szCs w:val="24"/>
        </w:rPr>
      </w:pPr>
    </w:p>
    <w:tbl>
      <w:tblPr>
        <w:tblW w:w="6340" w:type="dxa"/>
        <w:jc w:val="center"/>
        <w:tblCellMar>
          <w:left w:w="70" w:type="dxa"/>
          <w:right w:w="70" w:type="dxa"/>
        </w:tblCellMar>
        <w:tblLook w:val="04A0" w:firstRow="1" w:lastRow="0" w:firstColumn="1" w:lastColumn="0" w:noHBand="0" w:noVBand="1"/>
      </w:tblPr>
      <w:tblGrid>
        <w:gridCol w:w="1420"/>
        <w:gridCol w:w="1700"/>
        <w:gridCol w:w="1704"/>
        <w:gridCol w:w="1516"/>
      </w:tblGrid>
      <w:tr w:rsidR="00616485" w:rsidRPr="000768E2" w:rsidTr="005717E8">
        <w:trPr>
          <w:trHeight w:val="570"/>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485" w:rsidRPr="000768E2" w:rsidRDefault="00616485" w:rsidP="005717E8">
            <w:pPr>
              <w:ind w:left="67"/>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lastRenderedPageBreak/>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6485" w:rsidRPr="00616485" w:rsidRDefault="00616485" w:rsidP="005717E8">
            <w:pPr>
              <w:ind w:left="67"/>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616485" w:rsidRPr="00616485" w:rsidRDefault="00616485" w:rsidP="005717E8">
            <w:pPr>
              <w:ind w:left="67"/>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616485" w:rsidRPr="00616485" w:rsidRDefault="00616485" w:rsidP="005717E8">
            <w:pPr>
              <w:ind w:left="67"/>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5717E8" w:rsidRPr="000768E2" w:rsidTr="005717E8">
        <w:trPr>
          <w:trHeight w:val="22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5717E8" w:rsidRPr="005717E8" w:rsidRDefault="005717E8" w:rsidP="005717E8">
            <w:pPr>
              <w:ind w:left="0"/>
              <w:jc w:val="center"/>
              <w:rPr>
                <w:rFonts w:ascii="Bookman Old Style" w:hAnsi="Bookman Old Style"/>
                <w:color w:val="000000"/>
                <w:sz w:val="18"/>
                <w:szCs w:val="18"/>
                <w:lang w:val="es-CO" w:eastAsia="es-CO"/>
              </w:rPr>
            </w:pPr>
            <w:r w:rsidRPr="005717E8">
              <w:rPr>
                <w:rFonts w:ascii="Bookman Old Style" w:hAnsi="Bookman Old Style"/>
                <w:color w:val="000000"/>
                <w:sz w:val="18"/>
                <w:szCs w:val="18"/>
              </w:rPr>
              <w:t>2923</w:t>
            </w:r>
          </w:p>
        </w:tc>
        <w:tc>
          <w:tcPr>
            <w:tcW w:w="1700" w:type="dxa"/>
            <w:tcBorders>
              <w:top w:val="nil"/>
              <w:left w:val="nil"/>
              <w:bottom w:val="single" w:sz="4" w:space="0" w:color="auto"/>
              <w:right w:val="single" w:sz="4" w:space="0" w:color="auto"/>
            </w:tcBorders>
            <w:shd w:val="clear" w:color="auto" w:fill="auto"/>
            <w:noWrap/>
            <w:vAlign w:val="center"/>
          </w:tcPr>
          <w:p w:rsidR="005717E8" w:rsidRPr="005717E8" w:rsidRDefault="005717E8" w:rsidP="005717E8">
            <w:pPr>
              <w:ind w:left="0"/>
              <w:jc w:val="center"/>
              <w:rPr>
                <w:rFonts w:ascii="Bookman Old Style" w:hAnsi="Bookman Old Style"/>
                <w:color w:val="000000"/>
                <w:sz w:val="18"/>
                <w:szCs w:val="18"/>
              </w:rPr>
            </w:pPr>
            <w:r w:rsidRPr="005717E8">
              <w:rPr>
                <w:rFonts w:ascii="Bookman Old Style" w:hAnsi="Bookman Old Style"/>
                <w:color w:val="000000"/>
                <w:sz w:val="18"/>
                <w:szCs w:val="18"/>
              </w:rPr>
              <w:t>398.853</w:t>
            </w:r>
          </w:p>
        </w:tc>
        <w:tc>
          <w:tcPr>
            <w:tcW w:w="1704" w:type="dxa"/>
            <w:tcBorders>
              <w:top w:val="nil"/>
              <w:left w:val="nil"/>
              <w:bottom w:val="single" w:sz="4" w:space="0" w:color="auto"/>
              <w:right w:val="single" w:sz="4" w:space="0" w:color="auto"/>
            </w:tcBorders>
            <w:shd w:val="clear" w:color="auto" w:fill="auto"/>
            <w:noWrap/>
            <w:vAlign w:val="center"/>
          </w:tcPr>
          <w:p w:rsidR="005717E8" w:rsidRPr="005717E8" w:rsidRDefault="005717E8" w:rsidP="005717E8">
            <w:pPr>
              <w:ind w:left="66"/>
              <w:jc w:val="center"/>
              <w:rPr>
                <w:rFonts w:ascii="Bookman Old Style" w:hAnsi="Bookman Old Style"/>
                <w:color w:val="000000"/>
                <w:sz w:val="18"/>
                <w:szCs w:val="18"/>
              </w:rPr>
            </w:pPr>
            <w:r w:rsidRPr="005717E8">
              <w:rPr>
                <w:rFonts w:ascii="Bookman Old Style" w:hAnsi="Bookman Old Style"/>
                <w:sz w:val="18"/>
                <w:szCs w:val="18"/>
              </w:rPr>
              <w:t>NR*</w:t>
            </w:r>
          </w:p>
        </w:tc>
        <w:tc>
          <w:tcPr>
            <w:tcW w:w="1516" w:type="dxa"/>
            <w:tcBorders>
              <w:top w:val="nil"/>
              <w:left w:val="nil"/>
              <w:bottom w:val="single" w:sz="4" w:space="0" w:color="auto"/>
              <w:right w:val="single" w:sz="4" w:space="0" w:color="auto"/>
            </w:tcBorders>
            <w:shd w:val="clear" w:color="auto" w:fill="auto"/>
            <w:noWrap/>
            <w:vAlign w:val="center"/>
          </w:tcPr>
          <w:p w:rsidR="005717E8" w:rsidRPr="005717E8" w:rsidRDefault="005717E8" w:rsidP="005717E8">
            <w:pPr>
              <w:ind w:left="0"/>
              <w:jc w:val="center"/>
              <w:rPr>
                <w:rFonts w:ascii="Bookman Old Style" w:hAnsi="Bookman Old Style"/>
                <w:color w:val="000000"/>
                <w:sz w:val="18"/>
                <w:szCs w:val="18"/>
              </w:rPr>
            </w:pPr>
            <w:r w:rsidRPr="005717E8">
              <w:rPr>
                <w:rFonts w:ascii="Bookman Old Style" w:hAnsi="Bookman Old Style"/>
                <w:color w:val="000000"/>
                <w:sz w:val="18"/>
                <w:szCs w:val="18"/>
              </w:rPr>
              <w:t>123.644</w:t>
            </w:r>
          </w:p>
        </w:tc>
      </w:tr>
    </w:tbl>
    <w:p w:rsidR="00616485" w:rsidRPr="002B4873" w:rsidRDefault="00616485" w:rsidP="00616485">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616485" w:rsidRDefault="00616485" w:rsidP="00616485">
      <w:pPr>
        <w:pStyle w:val="Prrafodelista"/>
        <w:ind w:left="0"/>
        <w:jc w:val="both"/>
        <w:rPr>
          <w:rFonts w:ascii="Bookman Old Style" w:hAnsi="Bookman Old Style"/>
          <w:sz w:val="24"/>
          <w:szCs w:val="24"/>
        </w:rPr>
      </w:pPr>
    </w:p>
    <w:p w:rsidR="00C40900" w:rsidRPr="004620F7" w:rsidRDefault="00C40900" w:rsidP="00C40900">
      <w:pPr>
        <w:ind w:left="-142" w:right="-142"/>
        <w:jc w:val="both"/>
        <w:rPr>
          <w:rFonts w:ascii="Bookman Old Style" w:hAnsi="Bookman Old Style"/>
          <w:szCs w:val="27"/>
        </w:rPr>
      </w:pPr>
      <w:r w:rsidRPr="004620F7">
        <w:rPr>
          <w:rFonts w:ascii="Bookman Old Style" w:hAnsi="Bookman Old Style"/>
          <w:b/>
          <w:szCs w:val="27"/>
        </w:rPr>
        <w:t xml:space="preserve">Artículo 4. </w:t>
      </w:r>
      <w:r w:rsidRPr="004620F7">
        <w:rPr>
          <w:rFonts w:ascii="Bookman Old Style" w:hAnsi="Bookman Old Style"/>
          <w:szCs w:val="27"/>
        </w:rPr>
        <w:t xml:space="preserve">La presente resolución deberá notificarse a la empresa </w:t>
      </w:r>
      <w:r w:rsidR="00830010" w:rsidRPr="00830010">
        <w:rPr>
          <w:rFonts w:ascii="Bookman Old Style" w:hAnsi="Bookman Old Style"/>
          <w:szCs w:val="27"/>
        </w:rPr>
        <w:t xml:space="preserve">Distribuidora de Gas </w:t>
      </w:r>
      <w:proofErr w:type="spellStart"/>
      <w:r w:rsidR="00830010" w:rsidRPr="00830010">
        <w:rPr>
          <w:rFonts w:ascii="Bookman Old Style" w:hAnsi="Bookman Old Style"/>
          <w:szCs w:val="27"/>
        </w:rPr>
        <w:t>Monzagas</w:t>
      </w:r>
      <w:proofErr w:type="spellEnd"/>
      <w:r w:rsidR="00830010" w:rsidRPr="00830010">
        <w:rPr>
          <w:rFonts w:ascii="Bookman Old Style" w:hAnsi="Bookman Old Style"/>
          <w:szCs w:val="27"/>
        </w:rPr>
        <w:t xml:space="preserve"> S.A. E.S.P. </w:t>
      </w:r>
      <w:r w:rsidRPr="004620F7">
        <w:rPr>
          <w:rFonts w:ascii="Bookman Old Style" w:hAnsi="Bookman Old Style"/>
          <w:szCs w:val="27"/>
        </w:rPr>
        <w:t xml:space="preserve"> Contra lo aquí dispuesto no procede recurso alguno por haber finalizado la actuación administrativa correspondiente a la presentación de recursos previsto en la Ley.</w:t>
      </w:r>
    </w:p>
    <w:p w:rsidR="00C40900" w:rsidRDefault="00C40900" w:rsidP="00C40900">
      <w:pPr>
        <w:pStyle w:val="Textoindependiente2"/>
        <w:spacing w:after="0" w:line="240" w:lineRule="auto"/>
        <w:ind w:left="0" w:right="-142"/>
        <w:jc w:val="both"/>
        <w:rPr>
          <w:rFonts w:ascii="Bookman Old Style" w:hAnsi="Bookman Old Style"/>
          <w:szCs w:val="27"/>
        </w:rPr>
      </w:pPr>
    </w:p>
    <w:p w:rsidR="00C40900" w:rsidRPr="005023D3" w:rsidRDefault="00C40900" w:rsidP="00C40900">
      <w:pPr>
        <w:ind w:left="-181"/>
        <w:jc w:val="center"/>
        <w:rPr>
          <w:rFonts w:ascii="Bookman Old Style" w:hAnsi="Bookman Old Style" w:cs="Arial"/>
          <w:b/>
        </w:rPr>
      </w:pPr>
      <w:r>
        <w:rPr>
          <w:rFonts w:ascii="Bookman Old Style" w:hAnsi="Bookman Old Style" w:cs="Arial"/>
          <w:b/>
        </w:rPr>
        <w:t xml:space="preserve">     NOTIFÍQUESE </w:t>
      </w:r>
      <w:r w:rsidR="00CF092A">
        <w:rPr>
          <w:rFonts w:ascii="Bookman Old Style" w:hAnsi="Bookman Old Style" w:cs="Arial"/>
          <w:b/>
        </w:rPr>
        <w:t>Y CÚMPLASE</w:t>
      </w:r>
    </w:p>
    <w:p w:rsidR="00C40900" w:rsidRPr="003234E2" w:rsidRDefault="00C40900" w:rsidP="00C40900">
      <w:pPr>
        <w:ind w:left="0"/>
        <w:rPr>
          <w:rFonts w:ascii="Bookman Old Style" w:hAnsi="Bookman Old Style" w:cs="Arial"/>
          <w:sz w:val="20"/>
          <w:szCs w:val="20"/>
        </w:rPr>
      </w:pPr>
    </w:p>
    <w:p w:rsidR="00C40900" w:rsidRPr="005023D3" w:rsidRDefault="00C40900" w:rsidP="00C40900">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CF092A" w:rsidRPr="00A14C71" w:rsidTr="005D266B">
        <w:trPr>
          <w:tblCellSpacing w:w="0" w:type="dxa"/>
          <w:jc w:val="center"/>
        </w:trPr>
        <w:tc>
          <w:tcPr>
            <w:tcW w:w="5529" w:type="dxa"/>
            <w:hideMark/>
          </w:tcPr>
          <w:p w:rsidR="00CF092A" w:rsidRPr="00A14C71" w:rsidRDefault="00CF092A" w:rsidP="005D266B">
            <w:pPr>
              <w:ind w:left="0"/>
              <w:rPr>
                <w:rFonts w:ascii="Bookman Old Style" w:hAnsi="Bookman Old Style" w:cs="Arial"/>
                <w:b/>
                <w:spacing w:val="-3"/>
              </w:rPr>
            </w:pPr>
          </w:p>
          <w:p w:rsidR="00CF092A" w:rsidRPr="00A14C71" w:rsidRDefault="00CF092A" w:rsidP="005D266B">
            <w:pPr>
              <w:ind w:left="0"/>
              <w:rPr>
                <w:rFonts w:ascii="Bookman Old Style" w:hAnsi="Bookman Old Style" w:cs="Arial"/>
                <w:b/>
                <w:spacing w:val="-3"/>
              </w:rPr>
            </w:pPr>
          </w:p>
          <w:p w:rsidR="00CF092A" w:rsidRDefault="00CF092A" w:rsidP="005D266B">
            <w:pPr>
              <w:ind w:left="0"/>
              <w:rPr>
                <w:rFonts w:ascii="Bookman Old Style" w:hAnsi="Bookman Old Style" w:cs="Arial"/>
                <w:b/>
                <w:spacing w:val="-3"/>
              </w:rPr>
            </w:pPr>
          </w:p>
          <w:p w:rsidR="00116D42" w:rsidRPr="00A14C71" w:rsidRDefault="00116D42" w:rsidP="005D266B">
            <w:pPr>
              <w:ind w:left="0"/>
              <w:rPr>
                <w:rFonts w:ascii="Bookman Old Style" w:hAnsi="Bookman Old Style" w:cs="Arial"/>
                <w:b/>
                <w:spacing w:val="-3"/>
              </w:rPr>
            </w:pPr>
          </w:p>
          <w:p w:rsidR="00CF092A" w:rsidRPr="00A14C71" w:rsidRDefault="00CF092A" w:rsidP="005D266B">
            <w:pPr>
              <w:ind w:left="66"/>
              <w:jc w:val="center"/>
              <w:rPr>
                <w:rFonts w:ascii="Bookman Old Style" w:hAnsi="Bookman Old Style" w:cs="Arial"/>
                <w:b/>
                <w:spacing w:val="-3"/>
              </w:rPr>
            </w:pPr>
          </w:p>
          <w:p w:rsidR="00CF092A" w:rsidRPr="00A14C71" w:rsidRDefault="00CF092A"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CF092A" w:rsidRPr="00A14C71" w:rsidRDefault="00CF092A" w:rsidP="005D266B">
            <w:pPr>
              <w:ind w:left="89"/>
              <w:jc w:val="center"/>
              <w:rPr>
                <w:rFonts w:ascii="Bookman Old Style" w:hAnsi="Bookman Old Style" w:cs="Arial"/>
                <w:b/>
                <w:spacing w:val="-3"/>
              </w:rPr>
            </w:pPr>
          </w:p>
          <w:p w:rsidR="00CF092A" w:rsidRPr="00A14C71" w:rsidRDefault="00CF092A" w:rsidP="005D266B">
            <w:pPr>
              <w:ind w:left="89"/>
              <w:jc w:val="center"/>
              <w:rPr>
                <w:rFonts w:ascii="Bookman Old Style" w:hAnsi="Bookman Old Style" w:cs="Arial"/>
                <w:b/>
                <w:spacing w:val="-3"/>
              </w:rPr>
            </w:pPr>
          </w:p>
          <w:p w:rsidR="00CF092A" w:rsidRDefault="00CF092A" w:rsidP="005D266B">
            <w:pPr>
              <w:ind w:left="89"/>
              <w:jc w:val="center"/>
              <w:rPr>
                <w:rFonts w:ascii="Bookman Old Style" w:hAnsi="Bookman Old Style" w:cs="Arial"/>
                <w:b/>
                <w:spacing w:val="-3"/>
              </w:rPr>
            </w:pPr>
          </w:p>
          <w:p w:rsidR="00116D42" w:rsidRPr="00A14C71" w:rsidRDefault="00116D42" w:rsidP="005D266B">
            <w:pPr>
              <w:ind w:left="89"/>
              <w:jc w:val="center"/>
              <w:rPr>
                <w:rFonts w:ascii="Bookman Old Style" w:hAnsi="Bookman Old Style" w:cs="Arial"/>
                <w:b/>
                <w:spacing w:val="-3"/>
              </w:rPr>
            </w:pPr>
          </w:p>
          <w:p w:rsidR="00CF092A" w:rsidRPr="00A14C71" w:rsidRDefault="00CF092A" w:rsidP="005D266B">
            <w:pPr>
              <w:ind w:left="89"/>
              <w:jc w:val="center"/>
              <w:rPr>
                <w:rFonts w:ascii="Bookman Old Style" w:hAnsi="Bookman Old Style" w:cs="Arial"/>
                <w:b/>
                <w:spacing w:val="-3"/>
              </w:rPr>
            </w:pPr>
          </w:p>
          <w:p w:rsidR="00CF092A" w:rsidRPr="00A14C71" w:rsidRDefault="00CF092A"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CF092A" w:rsidRPr="00A14C71" w:rsidTr="005D266B">
        <w:trPr>
          <w:tblCellSpacing w:w="0" w:type="dxa"/>
          <w:jc w:val="center"/>
        </w:trPr>
        <w:tc>
          <w:tcPr>
            <w:tcW w:w="5529" w:type="dxa"/>
            <w:hideMark/>
          </w:tcPr>
          <w:p w:rsidR="00CF092A" w:rsidRDefault="00CF092A"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116D42" w:rsidRPr="00A14C71" w:rsidRDefault="00116D42"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CF092A" w:rsidRPr="00A14C71" w:rsidRDefault="00CF092A"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CF092A" w:rsidRPr="00A14C71" w:rsidTr="005D266B">
        <w:trPr>
          <w:tblCellSpacing w:w="0" w:type="dxa"/>
          <w:jc w:val="center"/>
        </w:trPr>
        <w:tc>
          <w:tcPr>
            <w:tcW w:w="5529" w:type="dxa"/>
            <w:hideMark/>
          </w:tcPr>
          <w:p w:rsidR="00CF092A" w:rsidRPr="00A14C71" w:rsidRDefault="00CF092A"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CF092A" w:rsidRPr="00A14C71" w:rsidRDefault="00CF092A" w:rsidP="005D266B">
            <w:pPr>
              <w:ind w:left="0"/>
              <w:jc w:val="center"/>
              <w:rPr>
                <w:rFonts w:ascii="Bookman Old Style" w:eastAsia="Arial Unicode MS" w:hAnsi="Bookman Old Style" w:cs="Arial"/>
                <w:color w:val="000000"/>
              </w:rPr>
            </w:pPr>
          </w:p>
        </w:tc>
      </w:tr>
    </w:tbl>
    <w:p w:rsidR="00C40900" w:rsidRDefault="00C40900" w:rsidP="00C40900">
      <w:pPr>
        <w:rPr>
          <w:rFonts w:ascii="Bookman Old Style" w:hAnsi="Bookman Old Style" w:cs="Arial"/>
          <w:szCs w:val="20"/>
        </w:rPr>
      </w:pPr>
    </w:p>
    <w:p w:rsidR="00C40900" w:rsidRDefault="00C40900" w:rsidP="00C40900">
      <w:pPr>
        <w:rPr>
          <w:rFonts w:ascii="Bookman Old Style" w:hAnsi="Bookman Old Style" w:cs="Arial"/>
          <w:szCs w:val="20"/>
        </w:rPr>
      </w:pPr>
    </w:p>
    <w:p w:rsidR="00C40900" w:rsidRPr="002A01F2" w:rsidRDefault="00C40900" w:rsidP="00C40900">
      <w:pPr>
        <w:rPr>
          <w:rFonts w:ascii="Bookman Old Style" w:hAnsi="Bookman Old Style" w:cs="Arial"/>
          <w:sz w:val="18"/>
          <w:szCs w:val="20"/>
        </w:rPr>
      </w:pPr>
    </w:p>
    <w:p w:rsidR="00C40900" w:rsidRPr="00FE2D9D" w:rsidRDefault="00C40900" w:rsidP="00C40900">
      <w:pPr>
        <w:ind w:left="0"/>
        <w:rPr>
          <w:rFonts w:ascii="Bookman Old Style" w:hAnsi="Bookman Old Style" w:cs="Arial"/>
          <w:sz w:val="22"/>
          <w:szCs w:val="20"/>
        </w:rPr>
      </w:pPr>
    </w:p>
    <w:p w:rsidR="00C40900" w:rsidRPr="00FE2D9D" w:rsidRDefault="00C40900" w:rsidP="00C40900">
      <w:pPr>
        <w:rPr>
          <w:rFonts w:ascii="Bookman Old Style" w:hAnsi="Bookman Old Style" w:cs="Arial"/>
          <w:szCs w:val="20"/>
        </w:rPr>
      </w:pPr>
    </w:p>
    <w:p w:rsidR="00C40900" w:rsidRDefault="00C40900" w:rsidP="00D126E3">
      <w:pPr>
        <w:pStyle w:val="Textoindependiente2"/>
        <w:spacing w:after="0" w:line="240" w:lineRule="auto"/>
        <w:ind w:left="-142" w:right="-142"/>
        <w:jc w:val="both"/>
        <w:rPr>
          <w:rFonts w:ascii="Bookman Old Style" w:hAnsi="Bookman Old Style"/>
          <w:szCs w:val="27"/>
        </w:rPr>
      </w:pPr>
    </w:p>
    <w:p w:rsidR="00C40900" w:rsidRDefault="00C40900" w:rsidP="00D126E3">
      <w:pPr>
        <w:pStyle w:val="Textoindependiente2"/>
        <w:spacing w:after="0" w:line="240" w:lineRule="auto"/>
        <w:ind w:left="-142" w:right="-142"/>
        <w:jc w:val="both"/>
        <w:rPr>
          <w:rFonts w:ascii="Bookman Old Style" w:hAnsi="Bookman Old Style"/>
          <w:szCs w:val="27"/>
        </w:rPr>
      </w:pPr>
    </w:p>
    <w:p w:rsidR="00C40900" w:rsidRDefault="00C40900" w:rsidP="00830010">
      <w:pPr>
        <w:pStyle w:val="Textoindependiente2"/>
        <w:spacing w:after="0" w:line="240" w:lineRule="auto"/>
        <w:ind w:left="0" w:right="-142"/>
        <w:jc w:val="both"/>
        <w:rPr>
          <w:rFonts w:ascii="Bookman Old Style" w:hAnsi="Bookman Old Style"/>
          <w:szCs w:val="27"/>
        </w:rPr>
      </w:pPr>
    </w:p>
    <w:sectPr w:rsidR="00C40900" w:rsidSect="00D549B1">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881" w:rsidRDefault="00BE3881">
      <w:r>
        <w:separator/>
      </w:r>
    </w:p>
  </w:endnote>
  <w:endnote w:type="continuationSeparator" w:id="0">
    <w:p w:rsidR="00BE3881" w:rsidRDefault="00BE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881" w:rsidRDefault="00BE3881">
      <w:r>
        <w:separator/>
      </w:r>
    </w:p>
  </w:footnote>
  <w:footnote w:type="continuationSeparator" w:id="0">
    <w:p w:rsidR="00BE3881" w:rsidRDefault="00BE3881">
      <w:r>
        <w:continuationSeparator/>
      </w:r>
    </w:p>
  </w:footnote>
  <w:footnote w:id="1">
    <w:p w:rsidR="00967468" w:rsidRPr="00EC3BB2" w:rsidRDefault="00967468"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967468" w:rsidRPr="00BD1622" w:rsidRDefault="00967468"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FC2C01" w:rsidRPr="00FC2C01" w:rsidRDefault="00967468" w:rsidP="00FC2C01">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00FC2C01"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FC2C01" w:rsidRPr="00FC2C01" w:rsidRDefault="00FC2C01" w:rsidP="00FC2C01">
      <w:pPr>
        <w:pStyle w:val="Textonotapie"/>
        <w:jc w:val="both"/>
        <w:rPr>
          <w:rFonts w:ascii="Bookman Old Style" w:hAnsi="Bookman Old Style" w:cs="Arial"/>
          <w:sz w:val="16"/>
          <w:szCs w:val="16"/>
        </w:rPr>
      </w:pPr>
    </w:p>
    <w:p w:rsidR="00967468" w:rsidRPr="00CD67E2" w:rsidRDefault="00FC2C01" w:rsidP="00FC2C01">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00967468" w:rsidRPr="00CD67E2">
        <w:rPr>
          <w:rFonts w:ascii="Bookman Old Style" w:hAnsi="Bookman Old Style" w:cs="Arial"/>
          <w:sz w:val="16"/>
          <w:szCs w:val="16"/>
        </w:rPr>
        <w:t>.”</w:t>
      </w:r>
    </w:p>
  </w:footnote>
  <w:footnote w:id="4">
    <w:p w:rsidR="00CD67E2" w:rsidRPr="00FA7CDB" w:rsidRDefault="00CD67E2" w:rsidP="00CD67E2">
      <w:pPr>
        <w:pStyle w:val="Textonotapie"/>
        <w:jc w:val="both"/>
        <w:rPr>
          <w:rFonts w:ascii="Bookman Old Style" w:hAnsi="Bookman Old Style" w:cs="Arial"/>
          <w:sz w:val="16"/>
          <w:szCs w:val="16"/>
        </w:rPr>
      </w:pPr>
    </w:p>
    <w:p w:rsidR="00CD67E2" w:rsidRPr="00FA7CDB" w:rsidRDefault="00CD67E2"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CD67E2" w:rsidRDefault="00CD67E2"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36643C" w:rsidRPr="002165CE" w:rsidRDefault="0036643C" w:rsidP="0036643C">
      <w:pPr>
        <w:pStyle w:val="Textonotapie"/>
        <w:jc w:val="both"/>
        <w:rPr>
          <w:rFonts w:ascii="Arial" w:hAnsi="Arial" w:cs="Arial"/>
          <w:sz w:val="16"/>
          <w:szCs w:val="16"/>
        </w:rPr>
      </w:pPr>
      <w:r w:rsidRPr="002165CE">
        <w:rPr>
          <w:rFonts w:ascii="Arial" w:hAnsi="Arial" w:cs="Arial"/>
          <w:sz w:val="16"/>
          <w:szCs w:val="16"/>
        </w:rPr>
        <w:footnoteRef/>
      </w:r>
      <w:r w:rsidRPr="002165CE">
        <w:rPr>
          <w:rFonts w:ascii="Arial" w:hAnsi="Arial" w:cs="Arial"/>
          <w:sz w:val="16"/>
          <w:szCs w:val="16"/>
        </w:rPr>
        <w:t xml:space="preserve"> Se debe precisar que estas disposiciones se encuentran recogidas actualmente en los numerales 2.2.2.30 y siguientes del Decreto 1074 de 2015.</w:t>
      </w:r>
    </w:p>
  </w:footnote>
  <w:footnote w:id="6">
    <w:p w:rsidR="0036643C" w:rsidRPr="0036643C" w:rsidRDefault="0036643C" w:rsidP="0036643C">
      <w:pPr>
        <w:pStyle w:val="Textonotapie"/>
        <w:jc w:val="both"/>
        <w:rPr>
          <w:rFonts w:ascii="Bookman Old Style" w:hAnsi="Bookman Old Style"/>
          <w:sz w:val="16"/>
          <w:szCs w:val="16"/>
        </w:rPr>
      </w:pPr>
      <w:r w:rsidRPr="0036643C">
        <w:rPr>
          <w:rStyle w:val="Refdenotaalpie"/>
          <w:rFonts w:ascii="Bookman Old Style" w:hAnsi="Bookman Old Style"/>
          <w:sz w:val="16"/>
          <w:szCs w:val="16"/>
        </w:rPr>
        <w:footnoteRef/>
      </w:r>
      <w:r w:rsidRPr="0036643C">
        <w:rPr>
          <w:rFonts w:ascii="Bookman Old Style" w:hAnsi="Bookman Old Style"/>
          <w:sz w:val="16"/>
          <w:szCs w:val="16"/>
        </w:rPr>
        <w:t xml:space="preserve"> Atendiendo el análisis expuesto por esta Comisión en el la sección 3 del documento 143 de 2015 así como el ANEXO 1 del presente documento.</w:t>
      </w:r>
    </w:p>
  </w:footnote>
  <w:footnote w:id="7">
    <w:p w:rsidR="00E65D8D" w:rsidRPr="00137978" w:rsidRDefault="00E65D8D" w:rsidP="00E65D8D">
      <w:pPr>
        <w:pStyle w:val="Textonotapie"/>
        <w:jc w:val="both"/>
      </w:pPr>
      <w:r w:rsidRPr="00137978">
        <w:rPr>
          <w:rFonts w:ascii="Bookman Old Style" w:hAnsi="Bookman Old Style" w:cs="Arial"/>
          <w:sz w:val="16"/>
          <w:szCs w:val="16"/>
        </w:rPr>
        <w:footnoteRef/>
      </w:r>
      <w:r w:rsidRPr="00137978">
        <w:rPr>
          <w:rFonts w:ascii="Bookman Old Style" w:hAnsi="Bookman Old Style" w:cs="Arial"/>
          <w:sz w:val="16"/>
          <w:szCs w:val="16"/>
        </w:rPr>
        <w:t xml:space="preserve"> Se debe precisar que estas disposiciones se encuentran recogidas actualmente en los numerales 2.2.</w:t>
      </w:r>
      <w:r>
        <w:rPr>
          <w:rFonts w:ascii="Bookman Old Style" w:hAnsi="Bookman Old Style" w:cs="Arial"/>
          <w:sz w:val="16"/>
          <w:szCs w:val="16"/>
        </w:rPr>
        <w:t>30</w:t>
      </w:r>
      <w:r w:rsidRPr="00137978">
        <w:rPr>
          <w:rFonts w:ascii="Bookman Old Style" w:hAnsi="Bookman Old Style" w:cs="Arial"/>
          <w:sz w:val="16"/>
          <w:szCs w:val="16"/>
        </w:rPr>
        <w:t>.1 y siguientes del Decreto 1078 de 2015.</w:t>
      </w:r>
    </w:p>
  </w:footnote>
  <w:footnote w:id="8">
    <w:p w:rsidR="00470762" w:rsidRPr="00241587" w:rsidRDefault="00470762" w:rsidP="00470762">
      <w:pPr>
        <w:pStyle w:val="Textonotapie"/>
        <w:jc w:val="both"/>
        <w:rPr>
          <w:rFonts w:ascii="Bookman Old Style" w:hAnsi="Bookman Old Style"/>
        </w:rPr>
      </w:pPr>
      <w:r w:rsidRPr="00241587">
        <w:rPr>
          <w:rFonts w:ascii="Bookman Old Style" w:hAnsi="Bookman Old Style" w:cs="Arial"/>
          <w:sz w:val="16"/>
          <w:szCs w:val="16"/>
        </w:rPr>
        <w:footnoteRef/>
      </w:r>
      <w:r w:rsidRPr="00241587">
        <w:rPr>
          <w:rFonts w:ascii="Bookman Old Style" w:hAnsi="Bookman Old Style" w:cs="Arial"/>
          <w:sz w:val="16"/>
          <w:szCs w:val="16"/>
        </w:rPr>
        <w:t xml:space="preserve"> Se debe precisar que estas disposiciones se encuentran recogidas actualmente en los numerales 2.2.30.1 y siguientes del Decreto 1078 de 2015.</w:t>
      </w:r>
    </w:p>
  </w:footnote>
  <w:footnote w:id="9">
    <w:p w:rsidR="00CA3850" w:rsidRPr="007A2D47" w:rsidRDefault="00CA3850" w:rsidP="00CA3850">
      <w:pPr>
        <w:pStyle w:val="Textonotapie"/>
        <w:jc w:val="both"/>
        <w:rPr>
          <w:rFonts w:ascii="Arial" w:hAnsi="Arial" w:cs="Arial"/>
          <w:sz w:val="16"/>
          <w:szCs w:val="16"/>
        </w:rPr>
      </w:pPr>
      <w:r w:rsidRPr="00241587">
        <w:rPr>
          <w:rStyle w:val="Refdenotaalpie"/>
          <w:rFonts w:ascii="Bookman Old Style" w:hAnsi="Bookman Old Style" w:cs="Arial"/>
          <w:sz w:val="16"/>
          <w:szCs w:val="16"/>
        </w:rPr>
        <w:footnoteRef/>
      </w:r>
      <w:r w:rsidRPr="00241587">
        <w:rPr>
          <w:rFonts w:ascii="Bookman Old Style" w:hAnsi="Bookman Old Style" w:cs="Arial"/>
          <w:sz w:val="16"/>
          <w:szCs w:val="16"/>
        </w:rPr>
        <w:t xml:space="preserve"> Consejo de Estado, Sala de Consulta y Servicio Civil, Concepto radicación interna 2138, Consejero Ponente, William Zambrano Cetina.</w:t>
      </w:r>
    </w:p>
  </w:footnote>
  <w:footnote w:id="10">
    <w:p w:rsidR="00CA3850" w:rsidRPr="00241587" w:rsidRDefault="00CA3850" w:rsidP="00CA3850">
      <w:pPr>
        <w:pStyle w:val="Textonotapie"/>
        <w:jc w:val="both"/>
        <w:rPr>
          <w:rFonts w:ascii="Bookman Old Style" w:hAnsi="Bookman Old Style"/>
        </w:rPr>
      </w:pPr>
      <w:r w:rsidRPr="00241587">
        <w:rPr>
          <w:rFonts w:ascii="Bookman Old Style" w:hAnsi="Bookman Old Style" w:cs="Arial"/>
          <w:sz w:val="16"/>
          <w:szCs w:val="16"/>
        </w:rPr>
        <w:footnoteRef/>
      </w:r>
      <w:r w:rsidRPr="00241587">
        <w:rPr>
          <w:rFonts w:ascii="Bookman Old Style" w:hAnsi="Bookman Old Style" w:cs="Arial"/>
          <w:sz w:val="16"/>
          <w:szCs w:val="16"/>
        </w:rPr>
        <w:t xml:space="preserve"> Consejo de Estado, Sala de Consulta y Servicio Civil, Concepto radicación interna 2138, Consejero Ponente, William Zambrano Cetina.</w:t>
      </w:r>
    </w:p>
  </w:footnote>
  <w:footnote w:id="11">
    <w:p w:rsidR="00C40900" w:rsidRPr="004E1287" w:rsidRDefault="00C40900" w:rsidP="00C40900">
      <w:pPr>
        <w:pStyle w:val="Textonotapie"/>
        <w:jc w:val="both"/>
        <w:rPr>
          <w:rFonts w:ascii="Bookman Old Style" w:hAnsi="Bookman Old Style" w:cs="Arial"/>
          <w:sz w:val="16"/>
          <w:szCs w:val="16"/>
        </w:rPr>
      </w:pPr>
      <w:r w:rsidRPr="004E1287">
        <w:rPr>
          <w:rStyle w:val="Refdenotaalpie"/>
          <w:rFonts w:ascii="Bookman Old Style" w:hAnsi="Bookman Old Style" w:cs="Arial"/>
          <w:sz w:val="16"/>
          <w:szCs w:val="16"/>
        </w:rPr>
        <w:footnoteRef/>
      </w:r>
      <w:r w:rsidRPr="004E1287">
        <w:rPr>
          <w:rFonts w:ascii="Bookman Old Style" w:hAnsi="Bookman Old Style" w:cs="Arial"/>
          <w:sz w:val="16"/>
          <w:szCs w:val="16"/>
        </w:rPr>
        <w:t xml:space="preserve"> Artículo 80. Decisión de los recursos. Vencido el período probatorio, si a ello hubiere lugar, y sin necesidad de acto que así lo declare, deberá proferirse la decisión motivada que resuelva el recurso.</w:t>
      </w:r>
    </w:p>
    <w:p w:rsidR="00C40900" w:rsidRPr="004E1287" w:rsidRDefault="00C40900" w:rsidP="00C40900">
      <w:pPr>
        <w:pStyle w:val="Textonotapie"/>
        <w:jc w:val="both"/>
        <w:rPr>
          <w:rFonts w:ascii="Bookman Old Style" w:hAnsi="Bookman Old Style" w:cs="Arial"/>
          <w:sz w:val="16"/>
          <w:szCs w:val="16"/>
        </w:rPr>
      </w:pPr>
    </w:p>
    <w:p w:rsidR="00C40900" w:rsidRPr="00321EAE" w:rsidRDefault="00C40900" w:rsidP="00C40900">
      <w:pPr>
        <w:pStyle w:val="Textonotapie"/>
        <w:jc w:val="both"/>
        <w:rPr>
          <w:rFonts w:ascii="Arial" w:hAnsi="Arial" w:cs="Arial"/>
          <w:sz w:val="16"/>
          <w:szCs w:val="16"/>
        </w:rPr>
      </w:pPr>
      <w:r w:rsidRPr="004E1287">
        <w:rPr>
          <w:rFonts w:ascii="Bookman Old Style" w:hAnsi="Bookman Old Style" w:cs="Arial"/>
          <w:sz w:val="16"/>
          <w:szCs w:val="16"/>
        </w:rPr>
        <w:t>La decisión resolverá todas las peticiones que hayan sido oportunamente planteadas y las que surjan con motivo del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951F79">
    <w:pPr>
      <w:pStyle w:val="Ttulo1"/>
      <w:ind w:right="6"/>
      <w:jc w:val="left"/>
      <w:rPr>
        <w:rFonts w:ascii="Bookman Old Style" w:hAnsi="Bookman Old Style" w:cs="Arial"/>
        <w:b w:val="0"/>
        <w:sz w:val="22"/>
        <w:szCs w:val="22"/>
      </w:rPr>
    </w:pPr>
  </w:p>
  <w:p w:rsidR="00967468" w:rsidRPr="00951F79" w:rsidRDefault="0096746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D4B4F">
      <w:rPr>
        <w:rFonts w:ascii="Bookman Old Style" w:hAnsi="Bookman Old Style" w:cs="Arial"/>
        <w:b w:val="0"/>
        <w:noProof/>
        <w:sz w:val="22"/>
        <w:szCs w:val="22"/>
      </w:rPr>
      <w:t>20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D4B4F" w:rsidRPr="009D4B4F">
        <w:rPr>
          <w:rFonts w:ascii="Bookman Old Style" w:hAnsi="Bookman Old Style" w:cs="Arial"/>
          <w:b w:val="0"/>
          <w:noProof/>
          <w:sz w:val="22"/>
          <w:szCs w:val="22"/>
        </w:rPr>
        <w:t>24</w:t>
      </w:r>
    </w:fldSimple>
  </w:p>
  <w:p w:rsidR="00967468" w:rsidRDefault="00616485"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405D3"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967468" w:rsidRPr="00616D65" w:rsidRDefault="00967468"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5D6FB3">
      <w:rPr>
        <w:rFonts w:ascii="Bookman Old Style" w:hAnsi="Bookman Old Style" w:cs="Arial"/>
        <w:sz w:val="22"/>
        <w:szCs w:val="22"/>
      </w:rPr>
      <w:t xml:space="preserve">la </w:t>
    </w:r>
    <w:r w:rsidR="005328C4">
      <w:rPr>
        <w:rFonts w:ascii="Bookman Old Style" w:hAnsi="Bookman Old Style" w:cs="Arial"/>
        <w:sz w:val="22"/>
        <w:szCs w:val="22"/>
      </w:rPr>
      <w:t>Distribuidora de Gas</w:t>
    </w:r>
    <w:r w:rsidR="005D6FB3">
      <w:rPr>
        <w:rFonts w:ascii="Bookman Old Style" w:hAnsi="Bookman Old Style" w:cs="Arial"/>
        <w:sz w:val="22"/>
        <w:szCs w:val="22"/>
      </w:rPr>
      <w:t xml:space="preserve"> </w:t>
    </w:r>
    <w:proofErr w:type="spellStart"/>
    <w:r w:rsidR="005D6FB3" w:rsidRPr="005D6FB3">
      <w:rPr>
        <w:rFonts w:ascii="Bookman Old Style" w:hAnsi="Bookman Old Style" w:cs="Arial"/>
        <w:sz w:val="22"/>
        <w:szCs w:val="22"/>
      </w:rPr>
      <w:t>Monzagas</w:t>
    </w:r>
    <w:proofErr w:type="spellEnd"/>
    <w:r w:rsidR="005D6FB3" w:rsidRPr="005D6FB3">
      <w:rPr>
        <w:rFonts w:ascii="Bookman Old Style" w:hAnsi="Bookman Old Style" w:cs="Arial"/>
        <w:sz w:val="22"/>
        <w:szCs w:val="22"/>
      </w:rPr>
      <w:t xml:space="preserve"> </w:t>
    </w:r>
    <w:r w:rsidRPr="00EC3BB2">
      <w:rPr>
        <w:rFonts w:ascii="Bookman Old Style" w:hAnsi="Bookman Old Style" w:cs="Arial"/>
        <w:sz w:val="22"/>
        <w:szCs w:val="22"/>
      </w:rPr>
      <w:t>S.A. E.S.P. contra</w:t>
    </w:r>
    <w:r w:rsidR="00116D42">
      <w:rPr>
        <w:rFonts w:ascii="Bookman Old Style" w:hAnsi="Bookman Old Style" w:cs="Arial"/>
        <w:sz w:val="22"/>
        <w:szCs w:val="22"/>
      </w:rPr>
      <w:t xml:space="preserve"> la Resolución CREG 075 de 2016</w:t>
    </w:r>
  </w:p>
  <w:p w:rsidR="00967468" w:rsidRPr="00730C9E" w:rsidRDefault="00616485"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E02B3"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67468" w:rsidRDefault="00967468">
    <w:pPr>
      <w:pStyle w:val="Encabezado"/>
      <w:jc w:val="center"/>
      <w:rPr>
        <w:rFonts w:ascii="Arial" w:hAnsi="Arial" w:cs="Arial"/>
        <w:spacing w:val="20"/>
        <w:sz w:val="20"/>
      </w:rPr>
    </w:pPr>
  </w:p>
  <w:p w:rsidR="00967468" w:rsidRDefault="0061648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1B36F"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8"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33"/>
  </w:num>
  <w:num w:numId="4">
    <w:abstractNumId w:val="12"/>
  </w:num>
  <w:num w:numId="5">
    <w:abstractNumId w:val="23"/>
  </w:num>
  <w:num w:numId="6">
    <w:abstractNumId w:val="3"/>
  </w:num>
  <w:num w:numId="7">
    <w:abstractNumId w:val="2"/>
  </w:num>
  <w:num w:numId="8">
    <w:abstractNumId w:val="26"/>
  </w:num>
  <w:num w:numId="9">
    <w:abstractNumId w:val="24"/>
  </w:num>
  <w:num w:numId="10">
    <w:abstractNumId w:val="18"/>
  </w:num>
  <w:num w:numId="11">
    <w:abstractNumId w:val="34"/>
  </w:num>
  <w:num w:numId="12">
    <w:abstractNumId w:val="31"/>
  </w:num>
  <w:num w:numId="13">
    <w:abstractNumId w:val="14"/>
  </w:num>
  <w:num w:numId="14">
    <w:abstractNumId w:val="1"/>
  </w:num>
  <w:num w:numId="15">
    <w:abstractNumId w:val="19"/>
  </w:num>
  <w:num w:numId="16">
    <w:abstractNumId w:val="0"/>
  </w:num>
  <w:num w:numId="17">
    <w:abstractNumId w:val="32"/>
  </w:num>
  <w:num w:numId="18">
    <w:abstractNumId w:val="8"/>
  </w:num>
  <w:num w:numId="19">
    <w:abstractNumId w:val="20"/>
  </w:num>
  <w:num w:numId="20">
    <w:abstractNumId w:val="21"/>
  </w:num>
  <w:num w:numId="21">
    <w:abstractNumId w:val="30"/>
  </w:num>
  <w:num w:numId="22">
    <w:abstractNumId w:val="25"/>
  </w:num>
  <w:num w:numId="23">
    <w:abstractNumId w:val="29"/>
  </w:num>
  <w:num w:numId="24">
    <w:abstractNumId w:val="11"/>
  </w:num>
  <w:num w:numId="25">
    <w:abstractNumId w:val="9"/>
  </w:num>
  <w:num w:numId="26">
    <w:abstractNumId w:val="22"/>
  </w:num>
  <w:num w:numId="27">
    <w:abstractNumId w:val="6"/>
  </w:num>
  <w:num w:numId="28">
    <w:abstractNumId w:val="7"/>
  </w:num>
  <w:num w:numId="29">
    <w:abstractNumId w:val="13"/>
  </w:num>
  <w:num w:numId="30">
    <w:abstractNumId w:val="28"/>
  </w:num>
  <w:num w:numId="31">
    <w:abstractNumId w:val="10"/>
  </w:num>
  <w:num w:numId="32">
    <w:abstractNumId w:val="15"/>
  </w:num>
  <w:num w:numId="33">
    <w:abstractNumId w:val="27"/>
  </w:num>
  <w:num w:numId="34">
    <w:abstractNumId w:val="35"/>
  </w:num>
  <w:num w:numId="35">
    <w:abstractNumId w:val="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2619"/>
    <w:rsid w:val="000175DD"/>
    <w:rsid w:val="0002201E"/>
    <w:rsid w:val="00024FE0"/>
    <w:rsid w:val="00025383"/>
    <w:rsid w:val="00025BBC"/>
    <w:rsid w:val="000275B9"/>
    <w:rsid w:val="000337A6"/>
    <w:rsid w:val="00034816"/>
    <w:rsid w:val="00034F40"/>
    <w:rsid w:val="000432F7"/>
    <w:rsid w:val="0004674A"/>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1CDB"/>
    <w:rsid w:val="00092215"/>
    <w:rsid w:val="00096E1F"/>
    <w:rsid w:val="00097013"/>
    <w:rsid w:val="000A061F"/>
    <w:rsid w:val="000A19AC"/>
    <w:rsid w:val="000B03C2"/>
    <w:rsid w:val="000B20EA"/>
    <w:rsid w:val="000B27E6"/>
    <w:rsid w:val="000B48BF"/>
    <w:rsid w:val="000B4B19"/>
    <w:rsid w:val="000B667A"/>
    <w:rsid w:val="000C27EB"/>
    <w:rsid w:val="000C6FE5"/>
    <w:rsid w:val="000D22D4"/>
    <w:rsid w:val="000D26F8"/>
    <w:rsid w:val="000E01B8"/>
    <w:rsid w:val="000F1132"/>
    <w:rsid w:val="000F410B"/>
    <w:rsid w:val="000F5641"/>
    <w:rsid w:val="00100A80"/>
    <w:rsid w:val="00100EBA"/>
    <w:rsid w:val="0010707E"/>
    <w:rsid w:val="00107423"/>
    <w:rsid w:val="00111AE3"/>
    <w:rsid w:val="00112FAE"/>
    <w:rsid w:val="00113128"/>
    <w:rsid w:val="0011359D"/>
    <w:rsid w:val="00115E75"/>
    <w:rsid w:val="0011665A"/>
    <w:rsid w:val="00116953"/>
    <w:rsid w:val="00116D42"/>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590D"/>
    <w:rsid w:val="001670CB"/>
    <w:rsid w:val="001779AB"/>
    <w:rsid w:val="00177FE3"/>
    <w:rsid w:val="00182917"/>
    <w:rsid w:val="0018547A"/>
    <w:rsid w:val="00192CBF"/>
    <w:rsid w:val="00192FF1"/>
    <w:rsid w:val="001946B2"/>
    <w:rsid w:val="00195B37"/>
    <w:rsid w:val="00195E5B"/>
    <w:rsid w:val="001A4274"/>
    <w:rsid w:val="001A43F3"/>
    <w:rsid w:val="001A59B6"/>
    <w:rsid w:val="001A5A68"/>
    <w:rsid w:val="001A5F1B"/>
    <w:rsid w:val="001A6FE2"/>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E7D"/>
    <w:rsid w:val="00240455"/>
    <w:rsid w:val="00241399"/>
    <w:rsid w:val="00241587"/>
    <w:rsid w:val="00241733"/>
    <w:rsid w:val="00241898"/>
    <w:rsid w:val="00241F57"/>
    <w:rsid w:val="00244C3F"/>
    <w:rsid w:val="00246AA1"/>
    <w:rsid w:val="00246C1A"/>
    <w:rsid w:val="002528AF"/>
    <w:rsid w:val="00253E07"/>
    <w:rsid w:val="00254D8C"/>
    <w:rsid w:val="002606C2"/>
    <w:rsid w:val="002606F0"/>
    <w:rsid w:val="00260CE3"/>
    <w:rsid w:val="00266CD6"/>
    <w:rsid w:val="002709FC"/>
    <w:rsid w:val="00273C18"/>
    <w:rsid w:val="00275DAB"/>
    <w:rsid w:val="002817D6"/>
    <w:rsid w:val="002870E7"/>
    <w:rsid w:val="0029597D"/>
    <w:rsid w:val="00295B70"/>
    <w:rsid w:val="00297D3E"/>
    <w:rsid w:val="002A01F2"/>
    <w:rsid w:val="002A452D"/>
    <w:rsid w:val="002A4E70"/>
    <w:rsid w:val="002A579E"/>
    <w:rsid w:val="002A782A"/>
    <w:rsid w:val="002A7F80"/>
    <w:rsid w:val="002B11E2"/>
    <w:rsid w:val="002B24B8"/>
    <w:rsid w:val="002B3063"/>
    <w:rsid w:val="002B38EF"/>
    <w:rsid w:val="002B3CF4"/>
    <w:rsid w:val="002B43F8"/>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5A85"/>
    <w:rsid w:val="00316A9A"/>
    <w:rsid w:val="00317791"/>
    <w:rsid w:val="003211CE"/>
    <w:rsid w:val="003234E2"/>
    <w:rsid w:val="0032669A"/>
    <w:rsid w:val="00332B81"/>
    <w:rsid w:val="00332BE1"/>
    <w:rsid w:val="00333DFB"/>
    <w:rsid w:val="00335916"/>
    <w:rsid w:val="00341341"/>
    <w:rsid w:val="00346E50"/>
    <w:rsid w:val="0035403A"/>
    <w:rsid w:val="003638D6"/>
    <w:rsid w:val="0036394B"/>
    <w:rsid w:val="0036643C"/>
    <w:rsid w:val="00366D5C"/>
    <w:rsid w:val="0036751E"/>
    <w:rsid w:val="003709B5"/>
    <w:rsid w:val="00373D56"/>
    <w:rsid w:val="00374471"/>
    <w:rsid w:val="003759C2"/>
    <w:rsid w:val="00376A8A"/>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6A60"/>
    <w:rsid w:val="003B769B"/>
    <w:rsid w:val="003C157F"/>
    <w:rsid w:val="003C1AEF"/>
    <w:rsid w:val="003C3447"/>
    <w:rsid w:val="003C35A2"/>
    <w:rsid w:val="003C5787"/>
    <w:rsid w:val="003C7655"/>
    <w:rsid w:val="003D076C"/>
    <w:rsid w:val="003D2A46"/>
    <w:rsid w:val="003D47BD"/>
    <w:rsid w:val="003D5E91"/>
    <w:rsid w:val="003E26E3"/>
    <w:rsid w:val="003E3304"/>
    <w:rsid w:val="003E4875"/>
    <w:rsid w:val="003E59E7"/>
    <w:rsid w:val="003E78B5"/>
    <w:rsid w:val="003F023F"/>
    <w:rsid w:val="003F3E5B"/>
    <w:rsid w:val="003F6ACE"/>
    <w:rsid w:val="00404DA1"/>
    <w:rsid w:val="004064E1"/>
    <w:rsid w:val="00407E99"/>
    <w:rsid w:val="00412BB6"/>
    <w:rsid w:val="00415BAB"/>
    <w:rsid w:val="00415ED2"/>
    <w:rsid w:val="00417B3D"/>
    <w:rsid w:val="0042068C"/>
    <w:rsid w:val="00426523"/>
    <w:rsid w:val="004314B0"/>
    <w:rsid w:val="00433128"/>
    <w:rsid w:val="00435119"/>
    <w:rsid w:val="0044048C"/>
    <w:rsid w:val="00441C4E"/>
    <w:rsid w:val="004424F6"/>
    <w:rsid w:val="00442915"/>
    <w:rsid w:val="00443C12"/>
    <w:rsid w:val="00443D9A"/>
    <w:rsid w:val="00444A03"/>
    <w:rsid w:val="00447C6D"/>
    <w:rsid w:val="00451434"/>
    <w:rsid w:val="004526E0"/>
    <w:rsid w:val="004532A9"/>
    <w:rsid w:val="00454019"/>
    <w:rsid w:val="004551B3"/>
    <w:rsid w:val="00456FE2"/>
    <w:rsid w:val="00457D70"/>
    <w:rsid w:val="0046024D"/>
    <w:rsid w:val="0046176B"/>
    <w:rsid w:val="00463F18"/>
    <w:rsid w:val="00470762"/>
    <w:rsid w:val="004708A3"/>
    <w:rsid w:val="0047122B"/>
    <w:rsid w:val="00473B7A"/>
    <w:rsid w:val="0047410D"/>
    <w:rsid w:val="00481A57"/>
    <w:rsid w:val="00483A01"/>
    <w:rsid w:val="00490647"/>
    <w:rsid w:val="00491E18"/>
    <w:rsid w:val="004926FE"/>
    <w:rsid w:val="00493726"/>
    <w:rsid w:val="00495A52"/>
    <w:rsid w:val="004960E9"/>
    <w:rsid w:val="004A2E88"/>
    <w:rsid w:val="004A5305"/>
    <w:rsid w:val="004A6EE1"/>
    <w:rsid w:val="004B0C00"/>
    <w:rsid w:val="004B78C1"/>
    <w:rsid w:val="004C0BFE"/>
    <w:rsid w:val="004C19C2"/>
    <w:rsid w:val="004C7BD8"/>
    <w:rsid w:val="004D19FA"/>
    <w:rsid w:val="004D1BE8"/>
    <w:rsid w:val="004D3045"/>
    <w:rsid w:val="004D7634"/>
    <w:rsid w:val="004E1536"/>
    <w:rsid w:val="004E33F2"/>
    <w:rsid w:val="004F3744"/>
    <w:rsid w:val="004F7D1F"/>
    <w:rsid w:val="0050015E"/>
    <w:rsid w:val="00503267"/>
    <w:rsid w:val="005040A2"/>
    <w:rsid w:val="0051257C"/>
    <w:rsid w:val="00513865"/>
    <w:rsid w:val="00515932"/>
    <w:rsid w:val="005217A1"/>
    <w:rsid w:val="005300D3"/>
    <w:rsid w:val="005328C4"/>
    <w:rsid w:val="00535B16"/>
    <w:rsid w:val="00536323"/>
    <w:rsid w:val="0054284F"/>
    <w:rsid w:val="00544F82"/>
    <w:rsid w:val="005457C2"/>
    <w:rsid w:val="00547183"/>
    <w:rsid w:val="005544E8"/>
    <w:rsid w:val="00554FFF"/>
    <w:rsid w:val="00557C22"/>
    <w:rsid w:val="00567915"/>
    <w:rsid w:val="005717E8"/>
    <w:rsid w:val="00573970"/>
    <w:rsid w:val="00573C98"/>
    <w:rsid w:val="005750EF"/>
    <w:rsid w:val="00581094"/>
    <w:rsid w:val="0058201E"/>
    <w:rsid w:val="00593C4F"/>
    <w:rsid w:val="005946A8"/>
    <w:rsid w:val="00596B5A"/>
    <w:rsid w:val="00596EEA"/>
    <w:rsid w:val="00596EFA"/>
    <w:rsid w:val="005972F1"/>
    <w:rsid w:val="005A1309"/>
    <w:rsid w:val="005A4407"/>
    <w:rsid w:val="005A59EF"/>
    <w:rsid w:val="005A6E1A"/>
    <w:rsid w:val="005B1B14"/>
    <w:rsid w:val="005C41AF"/>
    <w:rsid w:val="005C568C"/>
    <w:rsid w:val="005C6BB2"/>
    <w:rsid w:val="005C6E8F"/>
    <w:rsid w:val="005D6FB3"/>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6485"/>
    <w:rsid w:val="00616D65"/>
    <w:rsid w:val="0062102E"/>
    <w:rsid w:val="00621590"/>
    <w:rsid w:val="006234BC"/>
    <w:rsid w:val="00625260"/>
    <w:rsid w:val="00625DC6"/>
    <w:rsid w:val="00630F5A"/>
    <w:rsid w:val="00631E8F"/>
    <w:rsid w:val="00640301"/>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E48"/>
    <w:rsid w:val="00690C05"/>
    <w:rsid w:val="00693339"/>
    <w:rsid w:val="006965D3"/>
    <w:rsid w:val="00697556"/>
    <w:rsid w:val="006A01FE"/>
    <w:rsid w:val="006A4917"/>
    <w:rsid w:val="006A4D4F"/>
    <w:rsid w:val="006A5FD7"/>
    <w:rsid w:val="006B0FE8"/>
    <w:rsid w:val="006B1C64"/>
    <w:rsid w:val="006B4647"/>
    <w:rsid w:val="006B4C2B"/>
    <w:rsid w:val="006B6D47"/>
    <w:rsid w:val="006C2624"/>
    <w:rsid w:val="006C5AFE"/>
    <w:rsid w:val="006C709E"/>
    <w:rsid w:val="006D3C10"/>
    <w:rsid w:val="006D3E42"/>
    <w:rsid w:val="006D5418"/>
    <w:rsid w:val="006D6139"/>
    <w:rsid w:val="006D79D9"/>
    <w:rsid w:val="006E2F0B"/>
    <w:rsid w:val="006E6198"/>
    <w:rsid w:val="006E73A5"/>
    <w:rsid w:val="006F193C"/>
    <w:rsid w:val="006F1D41"/>
    <w:rsid w:val="006F3BDC"/>
    <w:rsid w:val="006F586A"/>
    <w:rsid w:val="006F6D95"/>
    <w:rsid w:val="006F73FB"/>
    <w:rsid w:val="006F7765"/>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4D4B"/>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E0F7D"/>
    <w:rsid w:val="007E1F80"/>
    <w:rsid w:val="007E3AB1"/>
    <w:rsid w:val="007F0732"/>
    <w:rsid w:val="008009C2"/>
    <w:rsid w:val="00802179"/>
    <w:rsid w:val="00802330"/>
    <w:rsid w:val="00804473"/>
    <w:rsid w:val="00804B35"/>
    <w:rsid w:val="00806C01"/>
    <w:rsid w:val="008074E7"/>
    <w:rsid w:val="00810E7F"/>
    <w:rsid w:val="008112E8"/>
    <w:rsid w:val="008136C3"/>
    <w:rsid w:val="008148CC"/>
    <w:rsid w:val="00820A7B"/>
    <w:rsid w:val="008211A4"/>
    <w:rsid w:val="00823A07"/>
    <w:rsid w:val="00830010"/>
    <w:rsid w:val="00832398"/>
    <w:rsid w:val="00833BEE"/>
    <w:rsid w:val="008348CB"/>
    <w:rsid w:val="00836006"/>
    <w:rsid w:val="00850F85"/>
    <w:rsid w:val="00854C37"/>
    <w:rsid w:val="0085598C"/>
    <w:rsid w:val="00857CE1"/>
    <w:rsid w:val="00862B36"/>
    <w:rsid w:val="00864289"/>
    <w:rsid w:val="00865BD4"/>
    <w:rsid w:val="008679A0"/>
    <w:rsid w:val="00873150"/>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657A"/>
    <w:rsid w:val="008B413B"/>
    <w:rsid w:val="008C1130"/>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11F4"/>
    <w:rsid w:val="00902D87"/>
    <w:rsid w:val="0090417A"/>
    <w:rsid w:val="00913905"/>
    <w:rsid w:val="00916247"/>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1F79"/>
    <w:rsid w:val="00952ADF"/>
    <w:rsid w:val="00952F4A"/>
    <w:rsid w:val="00960049"/>
    <w:rsid w:val="00960FB7"/>
    <w:rsid w:val="00962962"/>
    <w:rsid w:val="00967121"/>
    <w:rsid w:val="00967468"/>
    <w:rsid w:val="00971FF2"/>
    <w:rsid w:val="00973049"/>
    <w:rsid w:val="009742E8"/>
    <w:rsid w:val="00974AB5"/>
    <w:rsid w:val="00980704"/>
    <w:rsid w:val="0098213C"/>
    <w:rsid w:val="00985A22"/>
    <w:rsid w:val="0098706D"/>
    <w:rsid w:val="009907B1"/>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4B4F"/>
    <w:rsid w:val="009D53A9"/>
    <w:rsid w:val="009D56A3"/>
    <w:rsid w:val="009E11C8"/>
    <w:rsid w:val="009E2F5E"/>
    <w:rsid w:val="009E7A7F"/>
    <w:rsid w:val="009F0D98"/>
    <w:rsid w:val="009F4A3B"/>
    <w:rsid w:val="009F4A54"/>
    <w:rsid w:val="009F4B06"/>
    <w:rsid w:val="009F4BEC"/>
    <w:rsid w:val="00A10A0B"/>
    <w:rsid w:val="00A1296D"/>
    <w:rsid w:val="00A16385"/>
    <w:rsid w:val="00A21A33"/>
    <w:rsid w:val="00A22D58"/>
    <w:rsid w:val="00A23A1B"/>
    <w:rsid w:val="00A25FD7"/>
    <w:rsid w:val="00A30197"/>
    <w:rsid w:val="00A35FEF"/>
    <w:rsid w:val="00A40EC5"/>
    <w:rsid w:val="00A42FAB"/>
    <w:rsid w:val="00A433C5"/>
    <w:rsid w:val="00A43AFF"/>
    <w:rsid w:val="00A478A0"/>
    <w:rsid w:val="00A47F3A"/>
    <w:rsid w:val="00A5373F"/>
    <w:rsid w:val="00A54052"/>
    <w:rsid w:val="00A631A3"/>
    <w:rsid w:val="00A654DC"/>
    <w:rsid w:val="00A70F81"/>
    <w:rsid w:val="00A74AF2"/>
    <w:rsid w:val="00A7793A"/>
    <w:rsid w:val="00A87B7A"/>
    <w:rsid w:val="00AA4CC7"/>
    <w:rsid w:val="00AA4F68"/>
    <w:rsid w:val="00AA5E8E"/>
    <w:rsid w:val="00AB2A7D"/>
    <w:rsid w:val="00AB2ACC"/>
    <w:rsid w:val="00AB6CA7"/>
    <w:rsid w:val="00AB6CE2"/>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66D0"/>
    <w:rsid w:val="00AF6DEF"/>
    <w:rsid w:val="00B01B73"/>
    <w:rsid w:val="00B04B81"/>
    <w:rsid w:val="00B05626"/>
    <w:rsid w:val="00B05914"/>
    <w:rsid w:val="00B10207"/>
    <w:rsid w:val="00B13E74"/>
    <w:rsid w:val="00B141E7"/>
    <w:rsid w:val="00B23A09"/>
    <w:rsid w:val="00B309B2"/>
    <w:rsid w:val="00B31959"/>
    <w:rsid w:val="00B351B4"/>
    <w:rsid w:val="00B36FE8"/>
    <w:rsid w:val="00B42221"/>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7806"/>
    <w:rsid w:val="00B87EC9"/>
    <w:rsid w:val="00B905E0"/>
    <w:rsid w:val="00B92BC9"/>
    <w:rsid w:val="00B92EAC"/>
    <w:rsid w:val="00BA3338"/>
    <w:rsid w:val="00BA67CD"/>
    <w:rsid w:val="00BB076C"/>
    <w:rsid w:val="00BC2BE8"/>
    <w:rsid w:val="00BC38FD"/>
    <w:rsid w:val="00BC4AE4"/>
    <w:rsid w:val="00BC794F"/>
    <w:rsid w:val="00BD0898"/>
    <w:rsid w:val="00BD1622"/>
    <w:rsid w:val="00BD3267"/>
    <w:rsid w:val="00BE3881"/>
    <w:rsid w:val="00BF35DB"/>
    <w:rsid w:val="00BF4008"/>
    <w:rsid w:val="00BF4A20"/>
    <w:rsid w:val="00C013F0"/>
    <w:rsid w:val="00C034CB"/>
    <w:rsid w:val="00C051A8"/>
    <w:rsid w:val="00C054BC"/>
    <w:rsid w:val="00C0554D"/>
    <w:rsid w:val="00C122C4"/>
    <w:rsid w:val="00C15CDD"/>
    <w:rsid w:val="00C17897"/>
    <w:rsid w:val="00C17DB0"/>
    <w:rsid w:val="00C20BF7"/>
    <w:rsid w:val="00C22517"/>
    <w:rsid w:val="00C225E7"/>
    <w:rsid w:val="00C322F9"/>
    <w:rsid w:val="00C350E9"/>
    <w:rsid w:val="00C35B2B"/>
    <w:rsid w:val="00C3612F"/>
    <w:rsid w:val="00C400BD"/>
    <w:rsid w:val="00C40900"/>
    <w:rsid w:val="00C409D5"/>
    <w:rsid w:val="00C4104C"/>
    <w:rsid w:val="00C435C3"/>
    <w:rsid w:val="00C53E81"/>
    <w:rsid w:val="00C609F5"/>
    <w:rsid w:val="00C6234B"/>
    <w:rsid w:val="00C62D01"/>
    <w:rsid w:val="00C63EAE"/>
    <w:rsid w:val="00C64697"/>
    <w:rsid w:val="00C70A73"/>
    <w:rsid w:val="00C721CE"/>
    <w:rsid w:val="00C7430C"/>
    <w:rsid w:val="00C7629F"/>
    <w:rsid w:val="00C820DC"/>
    <w:rsid w:val="00C85364"/>
    <w:rsid w:val="00C8661B"/>
    <w:rsid w:val="00C9491C"/>
    <w:rsid w:val="00CA139A"/>
    <w:rsid w:val="00CA2899"/>
    <w:rsid w:val="00CA2B1D"/>
    <w:rsid w:val="00CA3850"/>
    <w:rsid w:val="00CA3A3D"/>
    <w:rsid w:val="00CA77FB"/>
    <w:rsid w:val="00CB379B"/>
    <w:rsid w:val="00CB3D87"/>
    <w:rsid w:val="00CB460F"/>
    <w:rsid w:val="00CB4ACB"/>
    <w:rsid w:val="00CB57C7"/>
    <w:rsid w:val="00CB5DD0"/>
    <w:rsid w:val="00CB7F94"/>
    <w:rsid w:val="00CC0B0B"/>
    <w:rsid w:val="00CC51D4"/>
    <w:rsid w:val="00CC65DA"/>
    <w:rsid w:val="00CD0158"/>
    <w:rsid w:val="00CD3BBA"/>
    <w:rsid w:val="00CD67E2"/>
    <w:rsid w:val="00CD75E7"/>
    <w:rsid w:val="00CE1EEF"/>
    <w:rsid w:val="00CE21E3"/>
    <w:rsid w:val="00CF092A"/>
    <w:rsid w:val="00CF21B9"/>
    <w:rsid w:val="00CF6BF9"/>
    <w:rsid w:val="00CF7CC6"/>
    <w:rsid w:val="00D0082F"/>
    <w:rsid w:val="00D01F0A"/>
    <w:rsid w:val="00D03800"/>
    <w:rsid w:val="00D03E47"/>
    <w:rsid w:val="00D065D3"/>
    <w:rsid w:val="00D11415"/>
    <w:rsid w:val="00D126E3"/>
    <w:rsid w:val="00D14C94"/>
    <w:rsid w:val="00D16F2E"/>
    <w:rsid w:val="00D20911"/>
    <w:rsid w:val="00D24859"/>
    <w:rsid w:val="00D27114"/>
    <w:rsid w:val="00D313EC"/>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19A5"/>
    <w:rsid w:val="00D62044"/>
    <w:rsid w:val="00D639B7"/>
    <w:rsid w:val="00D7035A"/>
    <w:rsid w:val="00D74A42"/>
    <w:rsid w:val="00D74BAC"/>
    <w:rsid w:val="00D83101"/>
    <w:rsid w:val="00D84F46"/>
    <w:rsid w:val="00D92EC6"/>
    <w:rsid w:val="00D95493"/>
    <w:rsid w:val="00D96E9A"/>
    <w:rsid w:val="00DA0D65"/>
    <w:rsid w:val="00DA3ED9"/>
    <w:rsid w:val="00DA4135"/>
    <w:rsid w:val="00DA4B51"/>
    <w:rsid w:val="00DA4BB6"/>
    <w:rsid w:val="00DB122B"/>
    <w:rsid w:val="00DB7AC1"/>
    <w:rsid w:val="00DC076D"/>
    <w:rsid w:val="00DC2818"/>
    <w:rsid w:val="00DC2D17"/>
    <w:rsid w:val="00DC2FA0"/>
    <w:rsid w:val="00DC3340"/>
    <w:rsid w:val="00DC6FA9"/>
    <w:rsid w:val="00DD3CE8"/>
    <w:rsid w:val="00DD4F0E"/>
    <w:rsid w:val="00DE2761"/>
    <w:rsid w:val="00DE4017"/>
    <w:rsid w:val="00DF070D"/>
    <w:rsid w:val="00DF0BF0"/>
    <w:rsid w:val="00DF465D"/>
    <w:rsid w:val="00DF4E15"/>
    <w:rsid w:val="00DF4F58"/>
    <w:rsid w:val="00E0158D"/>
    <w:rsid w:val="00E0456C"/>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65D8D"/>
    <w:rsid w:val="00E7046A"/>
    <w:rsid w:val="00E72868"/>
    <w:rsid w:val="00E72C5E"/>
    <w:rsid w:val="00E81CB4"/>
    <w:rsid w:val="00E836A3"/>
    <w:rsid w:val="00E8585B"/>
    <w:rsid w:val="00E877F1"/>
    <w:rsid w:val="00E958BA"/>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F78A2"/>
    <w:rsid w:val="00F0000A"/>
    <w:rsid w:val="00F01F07"/>
    <w:rsid w:val="00F03154"/>
    <w:rsid w:val="00F0499E"/>
    <w:rsid w:val="00F06BB2"/>
    <w:rsid w:val="00F0759E"/>
    <w:rsid w:val="00F14B80"/>
    <w:rsid w:val="00F16F1A"/>
    <w:rsid w:val="00F205F5"/>
    <w:rsid w:val="00F22B1C"/>
    <w:rsid w:val="00F22E25"/>
    <w:rsid w:val="00F30C51"/>
    <w:rsid w:val="00F30F7F"/>
    <w:rsid w:val="00F31FCD"/>
    <w:rsid w:val="00F35523"/>
    <w:rsid w:val="00F369F8"/>
    <w:rsid w:val="00F37CD2"/>
    <w:rsid w:val="00F4350B"/>
    <w:rsid w:val="00F43F5B"/>
    <w:rsid w:val="00F452BE"/>
    <w:rsid w:val="00F471E0"/>
    <w:rsid w:val="00F509F9"/>
    <w:rsid w:val="00F50EDA"/>
    <w:rsid w:val="00F5143E"/>
    <w:rsid w:val="00F53BD8"/>
    <w:rsid w:val="00F57246"/>
    <w:rsid w:val="00F75127"/>
    <w:rsid w:val="00F75280"/>
    <w:rsid w:val="00F821A3"/>
    <w:rsid w:val="00F9314A"/>
    <w:rsid w:val="00F95C9F"/>
    <w:rsid w:val="00FA049B"/>
    <w:rsid w:val="00FA717D"/>
    <w:rsid w:val="00FA7CDB"/>
    <w:rsid w:val="00FB5E09"/>
    <w:rsid w:val="00FB6E4D"/>
    <w:rsid w:val="00FC2C01"/>
    <w:rsid w:val="00FC462E"/>
    <w:rsid w:val="00FC55EF"/>
    <w:rsid w:val="00FC58EF"/>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5EE511A-9B81-4BD5-A9AF-8D1F28CC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9EB4-8733-4A90-A916-6B8716D6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24</Pages>
  <Words>11239</Words>
  <Characters>58883</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2015-01-14T20:44:00Z</cp:lastPrinted>
  <dcterms:created xsi:type="dcterms:W3CDTF">2016-12-07T16:36:00Z</dcterms:created>
  <dcterms:modified xsi:type="dcterms:W3CDTF">2016-12-07T16:36:00Z</dcterms:modified>
</cp:coreProperties>
</file>