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619F" w14:textId="2472300C" w:rsidR="00386051" w:rsidRPr="00E060BE" w:rsidRDefault="008E77BB"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2FA17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2.4pt;width:53.05pt;height:49.55pt;z-index:251658240" fillcolor="#0c9">
            <v:imagedata r:id="rId11" o:title=""/>
          </v:shape>
          <o:OLEObject Type="Embed" ProgID="PBrush" ShapeID="_x0000_s2050" DrawAspect="Content" ObjectID="_1695534638" r:id="rId12"/>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2A08E856"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Pr="00B85FC1">
        <w:rPr>
          <w:rFonts w:ascii="Bookman Old Style" w:hAnsi="Bookman Old Style"/>
          <w:sz w:val="32"/>
          <w:szCs w:val="32"/>
        </w:rPr>
        <w:t xml:space="preserve"> </w:t>
      </w:r>
      <w:r w:rsidR="00233BD6">
        <w:rPr>
          <w:rFonts w:ascii="Bookman Old Style" w:hAnsi="Bookman Old Style"/>
          <w:sz w:val="32"/>
          <w:szCs w:val="32"/>
        </w:rPr>
        <w:t>170</w:t>
      </w:r>
      <w:r w:rsidR="00233BD6" w:rsidRPr="00E060BE">
        <w:rPr>
          <w:rFonts w:ascii="Bookman Old Style" w:hAnsi="Bookman Old Style"/>
          <w:sz w:val="24"/>
          <w:szCs w:val="24"/>
        </w:rPr>
        <w:t xml:space="preserve">    </w:t>
      </w:r>
      <w:r w:rsidRPr="00E060BE">
        <w:rPr>
          <w:rFonts w:ascii="Bookman Old Style" w:hAnsi="Bookman Old Style"/>
          <w:sz w:val="24"/>
          <w:szCs w:val="24"/>
        </w:rPr>
        <w:t>DE 20</w:t>
      </w:r>
      <w:r>
        <w:rPr>
          <w:rFonts w:ascii="Bookman Old Style" w:hAnsi="Bookman Old Style"/>
          <w:sz w:val="24"/>
          <w:szCs w:val="24"/>
        </w:rPr>
        <w:t>2</w:t>
      </w:r>
      <w:r w:rsidR="000247DB">
        <w:rPr>
          <w:rFonts w:ascii="Bookman Old Style" w:hAnsi="Bookman Old Style"/>
          <w:sz w:val="24"/>
          <w:szCs w:val="24"/>
        </w:rPr>
        <w:t>1</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6CAD62A0" w:rsidR="00386051" w:rsidRPr="00E060BE" w:rsidRDefault="00386051" w:rsidP="00386051">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proofErr w:type="gramEnd"/>
      <w:r w:rsidRPr="00E060BE">
        <w:rPr>
          <w:rFonts w:ascii="Bookman Old Style" w:hAnsi="Bookman Old Style"/>
          <w:b w:val="0"/>
          <w:szCs w:val="24"/>
        </w:rPr>
        <w:t xml:space="preserve"> </w:t>
      </w:r>
      <w:r w:rsidR="00233BD6">
        <w:rPr>
          <w:rFonts w:ascii="Bookman Old Style" w:hAnsi="Bookman Old Style"/>
          <w:bCs/>
          <w:sz w:val="32"/>
          <w:szCs w:val="32"/>
        </w:rPr>
        <w:t>07</w:t>
      </w:r>
      <w:r w:rsidR="00233BD6" w:rsidRPr="00B85FC1">
        <w:rPr>
          <w:rFonts w:ascii="Bookman Old Style" w:hAnsi="Bookman Old Style"/>
          <w:bCs/>
          <w:sz w:val="32"/>
          <w:szCs w:val="32"/>
        </w:rPr>
        <w:t xml:space="preserve"> </w:t>
      </w:r>
      <w:r w:rsidR="00180F1D">
        <w:rPr>
          <w:rFonts w:ascii="Bookman Old Style" w:hAnsi="Bookman Old Style"/>
          <w:bCs/>
          <w:sz w:val="32"/>
          <w:szCs w:val="32"/>
        </w:rPr>
        <w:t>OCT</w:t>
      </w:r>
      <w:r w:rsidR="00B85FC1" w:rsidRPr="00B85FC1">
        <w:rPr>
          <w:rFonts w:ascii="Bookman Old Style" w:hAnsi="Bookman Old Style"/>
          <w:bCs/>
          <w:sz w:val="32"/>
          <w:szCs w:val="32"/>
        </w:rPr>
        <w:t>.</w:t>
      </w:r>
      <w:r w:rsidR="00233BD6">
        <w:rPr>
          <w:rFonts w:ascii="Bookman Old Style" w:hAnsi="Bookman Old Style"/>
          <w:bCs/>
          <w:sz w:val="32"/>
          <w:szCs w:val="32"/>
        </w:rPr>
        <w:t xml:space="preserve"> </w:t>
      </w:r>
      <w:r w:rsidR="00B85FC1" w:rsidRPr="00B85FC1">
        <w:rPr>
          <w:rFonts w:ascii="Bookman Old Style" w:hAnsi="Bookman Old Style"/>
          <w:bCs/>
          <w:sz w:val="32"/>
          <w:szCs w:val="32"/>
        </w:rPr>
        <w:t>2021</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2569F869" w14:textId="4CFD3DFE" w:rsidR="00386051" w:rsidRPr="00180F1D" w:rsidRDefault="00386051" w:rsidP="00386051">
      <w:pPr>
        <w:ind w:left="0"/>
        <w:jc w:val="center"/>
        <w:rPr>
          <w:rFonts w:ascii="Bookman Old Style" w:hAnsi="Bookman Old Style"/>
        </w:rPr>
      </w:pPr>
      <w:r w:rsidRPr="00180F1D">
        <w:rPr>
          <w:rFonts w:ascii="Bookman Old Style" w:hAnsi="Bookman Old Style"/>
        </w:rPr>
        <w:t xml:space="preserve">Por la cual se </w:t>
      </w:r>
      <w:r w:rsidR="00396FD7" w:rsidRPr="00180F1D">
        <w:rPr>
          <w:rFonts w:ascii="Bookman Old Style" w:hAnsi="Bookman Old Style"/>
        </w:rPr>
        <w:t xml:space="preserve">convoca a una </w:t>
      </w:r>
      <w:r w:rsidR="00001012">
        <w:rPr>
          <w:rFonts w:ascii="Bookman Old Style" w:hAnsi="Bookman Old Style"/>
        </w:rPr>
        <w:t>s</w:t>
      </w:r>
      <w:r w:rsidR="00396FD7" w:rsidRPr="00180F1D">
        <w:rPr>
          <w:rFonts w:ascii="Bookman Old Style" w:hAnsi="Bookman Old Style"/>
        </w:rPr>
        <w:t xml:space="preserve">ubasta de </w:t>
      </w:r>
      <w:r w:rsidR="00001012">
        <w:rPr>
          <w:rFonts w:ascii="Bookman Old Style" w:hAnsi="Bookman Old Style"/>
        </w:rPr>
        <w:t>r</w:t>
      </w:r>
      <w:r w:rsidR="00396FD7" w:rsidRPr="00180F1D">
        <w:rPr>
          <w:rFonts w:ascii="Bookman Old Style" w:hAnsi="Bookman Old Style"/>
        </w:rPr>
        <w:t xml:space="preserve">econfiguración de </w:t>
      </w:r>
      <w:r w:rsidR="00150A24">
        <w:rPr>
          <w:rFonts w:ascii="Bookman Old Style" w:hAnsi="Bookman Old Style"/>
        </w:rPr>
        <w:br/>
      </w:r>
      <w:r w:rsidR="00001012">
        <w:rPr>
          <w:rFonts w:ascii="Bookman Old Style" w:hAnsi="Bookman Old Style"/>
        </w:rPr>
        <w:t>v</w:t>
      </w:r>
      <w:r w:rsidR="00396FD7" w:rsidRPr="00180F1D">
        <w:rPr>
          <w:rFonts w:ascii="Bookman Old Style" w:hAnsi="Bookman Old Style"/>
        </w:rPr>
        <w:t xml:space="preserve">enta </w:t>
      </w:r>
      <w:r w:rsidR="00B9542F" w:rsidRPr="00180F1D">
        <w:rPr>
          <w:rFonts w:ascii="Bookman Old Style" w:hAnsi="Bookman Old Style"/>
        </w:rPr>
        <w:t xml:space="preserve">de </w:t>
      </w:r>
      <w:r w:rsidR="00001012">
        <w:rPr>
          <w:rFonts w:ascii="Bookman Old Style" w:hAnsi="Bookman Old Style"/>
        </w:rPr>
        <w:t>o</w:t>
      </w:r>
      <w:r w:rsidR="00B9542F" w:rsidRPr="00180F1D">
        <w:rPr>
          <w:rFonts w:ascii="Bookman Old Style" w:hAnsi="Bookman Old Style"/>
        </w:rPr>
        <w:t xml:space="preserve">bligaciones de </w:t>
      </w:r>
      <w:r w:rsidR="00001012">
        <w:rPr>
          <w:rFonts w:ascii="Bookman Old Style" w:hAnsi="Bookman Old Style"/>
        </w:rPr>
        <w:t>e</w:t>
      </w:r>
      <w:r w:rsidR="00B9542F" w:rsidRPr="00180F1D">
        <w:rPr>
          <w:rFonts w:ascii="Bookman Old Style" w:hAnsi="Bookman Old Style"/>
        </w:rPr>
        <w:t xml:space="preserve">nergía </w:t>
      </w:r>
      <w:r w:rsidR="00001012">
        <w:rPr>
          <w:rFonts w:ascii="Bookman Old Style" w:hAnsi="Bookman Old Style"/>
        </w:rPr>
        <w:t>f</w:t>
      </w:r>
      <w:r w:rsidR="00B9542F" w:rsidRPr="00180F1D">
        <w:rPr>
          <w:rFonts w:ascii="Bookman Old Style" w:hAnsi="Bookman Old Style"/>
        </w:rPr>
        <w:t xml:space="preserve">irme </w:t>
      </w:r>
      <w:r w:rsidR="00396FD7" w:rsidRPr="00180F1D">
        <w:rPr>
          <w:rFonts w:ascii="Bookman Old Style" w:hAnsi="Bookman Old Style"/>
        </w:rPr>
        <w:t>para el período 2022-2023</w:t>
      </w:r>
    </w:p>
    <w:p w14:paraId="648FB83D" w14:textId="41296C56" w:rsidR="009F3785" w:rsidRPr="00396FD7" w:rsidRDefault="009F3785" w:rsidP="00DE7E37">
      <w:pPr>
        <w:ind w:left="0"/>
        <w:jc w:val="center"/>
        <w:rPr>
          <w:rFonts w:ascii="Bookman Old Style" w:hAnsi="Bookman Old Style"/>
        </w:rPr>
      </w:pPr>
    </w:p>
    <w:p w14:paraId="7EA7DD32" w14:textId="0FD8E843" w:rsidR="00DD58E1" w:rsidRDefault="00DD58E1" w:rsidP="00DE7E37">
      <w:pPr>
        <w:ind w:left="0"/>
        <w:jc w:val="center"/>
        <w:rPr>
          <w:rFonts w:ascii="Bookman Old Style" w:hAnsi="Bookman Old Style"/>
        </w:rPr>
      </w:pPr>
    </w:p>
    <w:p w14:paraId="1CC55A9A" w14:textId="04F25380" w:rsidR="00DE7E37" w:rsidRPr="00C435C3" w:rsidRDefault="00DE7E37" w:rsidP="00B85FC1">
      <w:pPr>
        <w:ind w:left="0"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27CBF71C" w14:textId="574607A5"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w:t>
      </w:r>
      <w:r w:rsidR="00BA5DF3">
        <w:rPr>
          <w:rFonts w:ascii="Bookman Old Style" w:hAnsi="Bookman Old Style"/>
        </w:rPr>
        <w:t>,</w:t>
      </w:r>
      <w:r w:rsidRPr="00AD1F99">
        <w:rPr>
          <w:rFonts w:ascii="Bookman Old Style" w:hAnsi="Bookman Old Style"/>
        </w:rPr>
        <w:t xml:space="preserve"> y 1260 de 2013.</w:t>
      </w:r>
    </w:p>
    <w:p w14:paraId="177A3C40" w14:textId="1E015321" w:rsidR="00C240CA" w:rsidRDefault="00C240CA" w:rsidP="00DE7E37">
      <w:pPr>
        <w:ind w:right="51"/>
        <w:rPr>
          <w:rFonts w:ascii="Bookman Old Style" w:hAnsi="Bookman Old Style"/>
        </w:rPr>
      </w:pPr>
    </w:p>
    <w:p w14:paraId="0423A25E" w14:textId="77777777" w:rsidR="00DE7E37" w:rsidRPr="00C435C3" w:rsidRDefault="00DE7E37" w:rsidP="00D31F9A">
      <w:pPr>
        <w:spacing w:before="120"/>
        <w:ind w:left="0"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6618A32C" w14:textId="77777777" w:rsidR="00F44ED7" w:rsidRDefault="00F44ED7" w:rsidP="00F77D2D">
      <w:pPr>
        <w:ind w:left="0"/>
        <w:rPr>
          <w:rFonts w:ascii="Bookman Old Style" w:hAnsi="Bookman Old Style"/>
          <w:bCs/>
          <w:sz w:val="18"/>
          <w:szCs w:val="18"/>
          <w:lang w:val="es-CO"/>
        </w:rPr>
      </w:pPr>
    </w:p>
    <w:p w14:paraId="1A8283BF"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Pr>
          <w:rFonts w:ascii="Bookman Old Style" w:hAnsi="Bookman Old Style"/>
          <w:lang w:eastAsia="ar-SA"/>
        </w:rPr>
        <w:t>alidad y seguridad establecidos.</w:t>
      </w:r>
      <w:r w:rsidRPr="001B44E2">
        <w:rPr>
          <w:rFonts w:ascii="Bookman Old Style" w:hAnsi="Bookman Old Style"/>
          <w:lang w:eastAsia="ar-SA"/>
        </w:rPr>
        <w:t xml:space="preserve"> </w:t>
      </w:r>
    </w:p>
    <w:p w14:paraId="1C04F81A" w14:textId="77777777" w:rsidR="008A7880" w:rsidRPr="001B44E2" w:rsidRDefault="008A7880" w:rsidP="008A7880">
      <w:pPr>
        <w:suppressAutoHyphens/>
        <w:ind w:left="0"/>
        <w:jc w:val="both"/>
        <w:rPr>
          <w:rFonts w:ascii="Bookman Old Style" w:hAnsi="Bookman Old Style"/>
          <w:lang w:eastAsia="ar-SA"/>
        </w:rPr>
      </w:pPr>
    </w:p>
    <w:p w14:paraId="05AEBC64" w14:textId="3291D62C"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L</w:t>
      </w:r>
      <w:r w:rsidRPr="001B44E2">
        <w:rPr>
          <w:rFonts w:ascii="Bookman Old Style" w:hAnsi="Bookman Old Style"/>
          <w:lang w:eastAsia="ar-SA"/>
        </w:rPr>
        <w:t xml:space="preserve">a Ley 143 de 1994, artículo 20, definió como objetivo fundamental de la </w:t>
      </w:r>
      <w:r w:rsidR="00FC12EB">
        <w:rPr>
          <w:rFonts w:ascii="Bookman Old Style" w:hAnsi="Bookman Old Style"/>
          <w:lang w:eastAsia="ar-SA"/>
        </w:rPr>
        <w:t>r</w:t>
      </w:r>
      <w:r w:rsidRPr="001B44E2">
        <w:rPr>
          <w:rFonts w:ascii="Bookman Old Style" w:hAnsi="Bookman Old Style"/>
          <w:lang w:eastAsia="ar-SA"/>
        </w:rPr>
        <w:t>egulación en el sector eléctrico, asegurar una adecuada prestación del servicio mediante el aprovechamiento eficiente de los diferentes recursos en</w:t>
      </w:r>
      <w:r>
        <w:rPr>
          <w:rFonts w:ascii="Bookman Old Style" w:hAnsi="Bookman Old Style"/>
          <w:lang w:eastAsia="ar-SA"/>
        </w:rPr>
        <w:t>ergé</w:t>
      </w:r>
      <w:r w:rsidRPr="001B44E2">
        <w:rPr>
          <w:rFonts w:ascii="Bookman Old Style" w:hAnsi="Bookman Old Style"/>
          <w:lang w:eastAsia="ar-SA"/>
        </w:rPr>
        <w:t>ticos, en beneficio del usuario en términos de calidad, o</w:t>
      </w:r>
      <w:r>
        <w:rPr>
          <w:rFonts w:ascii="Bookman Old Style" w:hAnsi="Bookman Old Style"/>
          <w:lang w:eastAsia="ar-SA"/>
        </w:rPr>
        <w:t>portunidad y costo del servicio.</w:t>
      </w:r>
      <w:r w:rsidRPr="001B44E2">
        <w:rPr>
          <w:rFonts w:ascii="Bookman Old Style" w:hAnsi="Bookman Old Style"/>
          <w:lang w:eastAsia="ar-SA"/>
        </w:rPr>
        <w:t xml:space="preserve"> </w:t>
      </w:r>
    </w:p>
    <w:p w14:paraId="77E4D73A" w14:textId="77777777" w:rsidR="00FC12EB" w:rsidRDefault="00FC12EB" w:rsidP="008A7880">
      <w:pPr>
        <w:suppressAutoHyphens/>
        <w:ind w:left="0"/>
        <w:jc w:val="both"/>
        <w:rPr>
          <w:rFonts w:ascii="Bookman Old Style" w:hAnsi="Bookman Old Style"/>
          <w:lang w:eastAsia="ar-SA"/>
        </w:rPr>
      </w:pPr>
    </w:p>
    <w:p w14:paraId="1B7DEB9F" w14:textId="5DA401C5"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P</w:t>
      </w:r>
      <w:r w:rsidRPr="001B44E2">
        <w:rPr>
          <w:rFonts w:ascii="Bookman Old Style" w:hAnsi="Bookman Old Style"/>
          <w:lang w:eastAsia="ar-SA"/>
        </w:rPr>
        <w:t>ara el cumplimiento del objetivo señalado, la Ley 143 de 1994, artículo 23, le atribuyó a la Comisión de Regulación de Energía y Gas, entre otras, las siguientes funciones:</w:t>
      </w:r>
    </w:p>
    <w:p w14:paraId="47EEFF3C" w14:textId="73BCEDF4" w:rsidR="008A7880" w:rsidRPr="00396FD7" w:rsidRDefault="008A7880" w:rsidP="00233BD6">
      <w:pPr>
        <w:pStyle w:val="Prrafodelista"/>
        <w:numPr>
          <w:ilvl w:val="0"/>
          <w:numId w:val="49"/>
        </w:numPr>
        <w:suppressAutoHyphens/>
        <w:spacing w:before="120"/>
        <w:ind w:left="360"/>
        <w:jc w:val="both"/>
        <w:rPr>
          <w:rFonts w:ascii="Bookman Old Style" w:hAnsi="Bookman Old Style"/>
          <w:sz w:val="24"/>
          <w:szCs w:val="24"/>
          <w:lang w:eastAsia="ar-SA"/>
        </w:rPr>
      </w:pPr>
      <w:r w:rsidRPr="00396FD7">
        <w:rPr>
          <w:rFonts w:ascii="Bookman Old Style" w:hAnsi="Bookman Old Style"/>
          <w:sz w:val="24"/>
          <w:szCs w:val="24"/>
          <w:lang w:eastAsia="ar-SA"/>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36C26AD4" w14:textId="77777777" w:rsidR="008A7880" w:rsidRPr="00396FD7" w:rsidRDefault="008A7880" w:rsidP="00233BD6">
      <w:pPr>
        <w:pStyle w:val="Prrafodelista"/>
        <w:numPr>
          <w:ilvl w:val="0"/>
          <w:numId w:val="49"/>
        </w:numPr>
        <w:suppressAutoHyphens/>
        <w:spacing w:before="120"/>
        <w:ind w:left="360"/>
        <w:jc w:val="both"/>
        <w:rPr>
          <w:rFonts w:ascii="Bookman Old Style" w:hAnsi="Bookman Old Style"/>
          <w:sz w:val="24"/>
          <w:szCs w:val="24"/>
          <w:lang w:eastAsia="ar-SA"/>
        </w:rPr>
      </w:pPr>
      <w:r w:rsidRPr="00396FD7">
        <w:rPr>
          <w:rFonts w:ascii="Bookman Old Style" w:hAnsi="Bookman Old Style"/>
          <w:sz w:val="24"/>
          <w:szCs w:val="24"/>
          <w:lang w:eastAsia="ar-SA"/>
        </w:rPr>
        <w:t>Valorar la capacidad de generación de respaldo de la oferta eficiente.</w:t>
      </w:r>
    </w:p>
    <w:p w14:paraId="33A4E6ED" w14:textId="77777777" w:rsidR="008A7880" w:rsidRPr="00396FD7" w:rsidRDefault="008A7880" w:rsidP="00233BD6">
      <w:pPr>
        <w:pStyle w:val="Prrafodelista"/>
        <w:numPr>
          <w:ilvl w:val="0"/>
          <w:numId w:val="49"/>
        </w:numPr>
        <w:suppressAutoHyphens/>
        <w:spacing w:before="120"/>
        <w:ind w:left="360"/>
        <w:jc w:val="both"/>
        <w:rPr>
          <w:rFonts w:ascii="Bookman Old Style" w:hAnsi="Bookman Old Style"/>
          <w:sz w:val="24"/>
          <w:szCs w:val="24"/>
          <w:lang w:eastAsia="ar-SA"/>
        </w:rPr>
      </w:pPr>
      <w:r w:rsidRPr="00396FD7">
        <w:rPr>
          <w:rFonts w:ascii="Bookman Old Style" w:hAnsi="Bookman Old Style"/>
          <w:sz w:val="24"/>
          <w:szCs w:val="24"/>
          <w:lang w:eastAsia="ar-SA"/>
        </w:rPr>
        <w:t xml:space="preserve">Definir y hacer operativos los criterios técnicos de calidad, confiabilidad y seguridad del servicio de energía. </w:t>
      </w:r>
    </w:p>
    <w:p w14:paraId="0BC07FEB" w14:textId="74239CBF" w:rsidR="008A7880" w:rsidRDefault="008A7880" w:rsidP="00233BD6">
      <w:pPr>
        <w:pStyle w:val="Prrafodelista"/>
        <w:numPr>
          <w:ilvl w:val="0"/>
          <w:numId w:val="49"/>
        </w:numPr>
        <w:suppressAutoHyphens/>
        <w:spacing w:before="120"/>
        <w:ind w:left="360"/>
        <w:jc w:val="both"/>
        <w:rPr>
          <w:rFonts w:ascii="Bookman Old Style" w:hAnsi="Bookman Old Style"/>
          <w:sz w:val="24"/>
          <w:szCs w:val="24"/>
          <w:lang w:eastAsia="ar-SA"/>
        </w:rPr>
      </w:pPr>
      <w:r w:rsidRPr="00396FD7">
        <w:rPr>
          <w:rFonts w:ascii="Bookman Old Style" w:hAnsi="Bookman Old Style"/>
          <w:sz w:val="24"/>
          <w:szCs w:val="24"/>
          <w:lang w:eastAsia="ar-SA"/>
        </w:rPr>
        <w:t xml:space="preserve">Establecer el Reglamento de Operación para realizar el planeamiento y la coordinación de la operación del Sistema Interconectado Nacional; y </w:t>
      </w:r>
      <w:r w:rsidRPr="00396FD7">
        <w:rPr>
          <w:rFonts w:ascii="Bookman Old Style" w:hAnsi="Bookman Old Style"/>
          <w:sz w:val="24"/>
          <w:szCs w:val="24"/>
          <w:lang w:eastAsia="ar-SA"/>
        </w:rPr>
        <w:lastRenderedPageBreak/>
        <w:t>determinar las condiciones para la liberación gradual del mercado hacia la libre competencia.</w:t>
      </w:r>
    </w:p>
    <w:p w14:paraId="4181CAB2" w14:textId="77777777" w:rsidR="00B85FC1" w:rsidRDefault="00B85FC1" w:rsidP="008A7880">
      <w:pPr>
        <w:suppressAutoHyphens/>
        <w:ind w:left="0"/>
        <w:jc w:val="both"/>
        <w:rPr>
          <w:rFonts w:ascii="Bookman Old Style" w:hAnsi="Bookman Old Style"/>
          <w:lang w:eastAsia="ar-SA"/>
        </w:rPr>
      </w:pPr>
    </w:p>
    <w:p w14:paraId="310A1193" w14:textId="4235E60B"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w:t>
      </w:r>
      <w:r w:rsidR="00BA5DF3">
        <w:rPr>
          <w:rFonts w:ascii="Bookman Old Style" w:hAnsi="Bookman Old Style"/>
          <w:lang w:eastAsia="ar-SA"/>
        </w:rPr>
        <w:t>,</w:t>
      </w:r>
      <w:r w:rsidRPr="001B44E2">
        <w:rPr>
          <w:rFonts w:ascii="Bookman Old Style" w:hAnsi="Bookman Old Style"/>
          <w:lang w:eastAsia="ar-SA"/>
        </w:rPr>
        <w:t xml:space="preserve"> y entr</w:t>
      </w:r>
      <w:r>
        <w:rPr>
          <w:rFonts w:ascii="Bookman Old Style" w:hAnsi="Bookman Old Style"/>
          <w:lang w:eastAsia="ar-SA"/>
        </w:rPr>
        <w:t>e éstas y los grandes usuarios.</w:t>
      </w:r>
      <w:r w:rsidRPr="001B44E2">
        <w:rPr>
          <w:rFonts w:ascii="Bookman Old Style" w:hAnsi="Bookman Old Style"/>
          <w:lang w:eastAsia="ar-SA"/>
        </w:rPr>
        <w:t xml:space="preserve"> </w:t>
      </w:r>
    </w:p>
    <w:p w14:paraId="6A510326" w14:textId="77777777" w:rsidR="008A7880" w:rsidRPr="001B44E2" w:rsidRDefault="008A7880" w:rsidP="008A7880">
      <w:pPr>
        <w:suppressAutoHyphens/>
        <w:ind w:left="0"/>
        <w:jc w:val="both"/>
        <w:rPr>
          <w:rFonts w:ascii="Bookman Old Style" w:hAnsi="Bookman Old Style"/>
          <w:lang w:eastAsia="ar-SA"/>
        </w:rPr>
      </w:pPr>
    </w:p>
    <w:p w14:paraId="1D2EF128" w14:textId="2EEAE3CD" w:rsidR="00CE65AC" w:rsidRDefault="00CE65AC" w:rsidP="00CE65AC">
      <w:pPr>
        <w:ind w:left="0"/>
        <w:jc w:val="both"/>
        <w:rPr>
          <w:rFonts w:ascii="Bookman Old Style" w:hAnsi="Bookman Old Style"/>
        </w:rPr>
      </w:pPr>
      <w:r>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C12EB">
        <w:rPr>
          <w:rFonts w:ascii="Bookman Old Style" w:hAnsi="Bookman Old Style"/>
        </w:rPr>
        <w:t>Energía</w:t>
      </w:r>
      <w:r>
        <w:rPr>
          <w:rFonts w:ascii="Bookman Old Style" w:hAnsi="Bookman Old Style"/>
        </w:rPr>
        <w:t>.</w:t>
      </w:r>
    </w:p>
    <w:p w14:paraId="2CE6447A" w14:textId="77777777" w:rsidR="00CE65AC" w:rsidRDefault="00CE65AC" w:rsidP="00CE65AC">
      <w:pPr>
        <w:jc w:val="both"/>
        <w:rPr>
          <w:rFonts w:ascii="Bookman Old Style" w:hAnsi="Bookman Old Style"/>
        </w:rPr>
      </w:pPr>
    </w:p>
    <w:p w14:paraId="18DDD7F6" w14:textId="77777777" w:rsidR="00CE65AC" w:rsidRDefault="00CE65AC" w:rsidP="00CE65AC">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14:paraId="11B2B177" w14:textId="77777777" w:rsidR="00CE65AC" w:rsidRDefault="00CE65AC" w:rsidP="00CE65AC">
      <w:pPr>
        <w:jc w:val="both"/>
        <w:rPr>
          <w:rFonts w:ascii="Bookman Old Style" w:hAnsi="Bookman Old Style"/>
        </w:rPr>
      </w:pPr>
    </w:p>
    <w:p w14:paraId="0F4EE572" w14:textId="77777777" w:rsidR="00CE65AC" w:rsidRDefault="00CE65AC" w:rsidP="00CE65AC">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14:paraId="60C4F744" w14:textId="77777777" w:rsidR="00CE65AC" w:rsidRDefault="00CE65AC" w:rsidP="00CE65AC">
      <w:pPr>
        <w:ind w:left="0"/>
        <w:jc w:val="both"/>
        <w:rPr>
          <w:rFonts w:ascii="Bookman Old Style" w:hAnsi="Bookman Old Style"/>
        </w:rPr>
      </w:pPr>
    </w:p>
    <w:p w14:paraId="7F4ED606" w14:textId="748155C3" w:rsidR="00CE65AC" w:rsidRDefault="00CE65AC" w:rsidP="00CE65AC">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051 de 2012 </w:t>
      </w:r>
      <w:r w:rsidRPr="006913F3">
        <w:rPr>
          <w:rFonts w:ascii="Bookman Old Style" w:hAnsi="Bookman Old Style" w:cs="Arial"/>
          <w:i/>
          <w:iCs/>
        </w:rPr>
        <w:t>“</w:t>
      </w:r>
      <w:r w:rsidRPr="006913F3">
        <w:rPr>
          <w:rFonts w:ascii="Bookman Old Style" w:hAnsi="Bookman Old Style"/>
          <w:i/>
          <w:iCs/>
        </w:rPr>
        <w:t>Por la cual se definen las reglas de las Subastas de Reconfiguración como parte de los Anillos de Seguridad del Cargo por Confiabilidad”</w:t>
      </w:r>
      <w:r>
        <w:rPr>
          <w:rFonts w:ascii="Bookman Old Style" w:hAnsi="Bookman Old Style" w:cs="Arial"/>
        </w:rPr>
        <w:t>.</w:t>
      </w:r>
    </w:p>
    <w:p w14:paraId="0E759AB8" w14:textId="77777777" w:rsidR="00CE65AC" w:rsidRDefault="00CE65AC" w:rsidP="00CE65AC">
      <w:pPr>
        <w:ind w:left="0"/>
        <w:jc w:val="both"/>
        <w:rPr>
          <w:rFonts w:ascii="Bookman Old Style" w:hAnsi="Bookman Old Style" w:cs="Arial"/>
        </w:rPr>
      </w:pPr>
    </w:p>
    <w:p w14:paraId="50BD461B" w14:textId="76A72535" w:rsidR="00CE65AC" w:rsidRDefault="00CE65AC" w:rsidP="00CE65AC">
      <w:pPr>
        <w:ind w:left="0"/>
        <w:jc w:val="both"/>
        <w:rPr>
          <w:rFonts w:ascii="Bookman Old Style" w:hAnsi="Bookman Old Style" w:cs="Arial"/>
        </w:rPr>
      </w:pPr>
      <w:r>
        <w:rPr>
          <w:rFonts w:ascii="Bookman Old Style" w:hAnsi="Bookman Old Style" w:cs="Arial"/>
        </w:rPr>
        <w:t>El artículo 65 de la Resolución CREG 071 de 2006 establece que la CREG</w:t>
      </w:r>
      <w:r w:rsidR="00BA5DF3">
        <w:rPr>
          <w:rFonts w:ascii="Bookman Old Style" w:hAnsi="Bookman Old Style" w:cs="Arial"/>
        </w:rPr>
        <w:t>,</w:t>
      </w:r>
      <w:r>
        <w:rPr>
          <w:rFonts w:ascii="Bookman Old Style" w:hAnsi="Bookman Old Style" w:cs="Arial"/>
        </w:rPr>
        <w:t xml:space="preserve"> anualmente</w:t>
      </w:r>
      <w:r w:rsidR="00BA5DF3">
        <w:rPr>
          <w:rFonts w:ascii="Bookman Old Style" w:hAnsi="Bookman Old Style" w:cs="Arial"/>
        </w:rPr>
        <w:t>,</w:t>
      </w:r>
      <w:r>
        <w:rPr>
          <w:rFonts w:ascii="Bookman Old Style" w:hAnsi="Bookman Old Style" w:cs="Arial"/>
        </w:rPr>
        <w:t xml:space="preserve"> evaluará la diferencia entre las Obligaciones de Energía Firme adquiridas para un año en particular y la proyección de demanda de energía más reciente calculada por la Unidad de Planeación </w:t>
      </w:r>
      <w:proofErr w:type="gramStart"/>
      <w:r>
        <w:rPr>
          <w:rFonts w:ascii="Bookman Old Style" w:hAnsi="Bookman Old Style" w:cs="Arial"/>
        </w:rPr>
        <w:t>Minero Energética</w:t>
      </w:r>
      <w:proofErr w:type="gramEnd"/>
      <w:r w:rsidR="004D513C">
        <w:rPr>
          <w:rFonts w:ascii="Bookman Old Style" w:hAnsi="Bookman Old Style" w:cs="Arial"/>
        </w:rPr>
        <w:t xml:space="preserve">, </w:t>
      </w:r>
      <w:r>
        <w:rPr>
          <w:rFonts w:ascii="Bookman Old Style" w:hAnsi="Bookman Old Style" w:cs="Arial"/>
        </w:rPr>
        <w:t>UPME. Con base en esta evaluación</w:t>
      </w:r>
      <w:r w:rsidR="004D513C">
        <w:rPr>
          <w:rFonts w:ascii="Bookman Old Style" w:hAnsi="Bookman Old Style" w:cs="Arial"/>
        </w:rPr>
        <w:t>,</w:t>
      </w:r>
      <w:r>
        <w:rPr>
          <w:rFonts w:ascii="Bookman Old Style" w:hAnsi="Bookman Old Style" w:cs="Arial"/>
        </w:rPr>
        <w:t xml:space="preserve"> ordenará la realización de una Subasta de Reconfiguración para la compra o para la venta de Obligaciones de Energía Firme, según sea el caso, de conformidad con lo establecido en dicha norma.</w:t>
      </w:r>
    </w:p>
    <w:p w14:paraId="08375BAB" w14:textId="77777777" w:rsidR="00CE65AC" w:rsidRDefault="00CE65AC" w:rsidP="00CE65AC">
      <w:pPr>
        <w:ind w:left="0"/>
        <w:jc w:val="both"/>
        <w:rPr>
          <w:rFonts w:ascii="Bookman Old Style" w:hAnsi="Bookman Old Style" w:cs="Arial"/>
        </w:rPr>
      </w:pPr>
    </w:p>
    <w:p w14:paraId="4EC46B23" w14:textId="305050D2" w:rsidR="00CE65AC" w:rsidRDefault="00CE65AC" w:rsidP="00CE65AC">
      <w:pPr>
        <w:ind w:left="0"/>
        <w:jc w:val="both"/>
        <w:rPr>
          <w:rFonts w:ascii="Bookman Old Style" w:hAnsi="Bookman Old Style" w:cs="Arial"/>
        </w:rPr>
      </w:pPr>
      <w:r>
        <w:rPr>
          <w:rFonts w:ascii="Bookman Old Style" w:hAnsi="Bookman Old Style" w:cs="Arial"/>
        </w:rPr>
        <w:t>Una vez analizado el balance</w:t>
      </w:r>
      <w:r w:rsidR="004D513C">
        <w:rPr>
          <w:rFonts w:ascii="Bookman Old Style" w:hAnsi="Bookman Old Style" w:cs="Arial"/>
        </w:rPr>
        <w:t xml:space="preserve"> entre</w:t>
      </w:r>
      <w:r>
        <w:rPr>
          <w:rFonts w:ascii="Bookman Old Style" w:hAnsi="Bookman Old Style" w:cs="Arial"/>
        </w:rPr>
        <w:t xml:space="preserve"> las OEF </w:t>
      </w:r>
      <w:r w:rsidR="00150A24">
        <w:rPr>
          <w:rFonts w:ascii="Bookman Old Style" w:hAnsi="Bookman Old Style" w:cs="Arial"/>
        </w:rPr>
        <w:t xml:space="preserve">asignadas </w:t>
      </w:r>
      <w:r>
        <w:rPr>
          <w:rFonts w:ascii="Bookman Old Style" w:hAnsi="Bookman Old Style" w:cs="Arial"/>
        </w:rPr>
        <w:t>para el período 2022-2023 y las proyecciones de demanda de energía eléctrica más recientes de la UPME</w:t>
      </w:r>
      <w:r w:rsidR="00A22446">
        <w:rPr>
          <w:rFonts w:ascii="Bookman Old Style" w:hAnsi="Bookman Old Style" w:cs="Arial"/>
        </w:rPr>
        <w:t xml:space="preserve"> (a </w:t>
      </w:r>
      <w:r>
        <w:rPr>
          <w:rFonts w:ascii="Bookman Old Style" w:hAnsi="Bookman Old Style" w:cs="Arial"/>
        </w:rPr>
        <w:t>junio de 2021</w:t>
      </w:r>
      <w:r w:rsidR="00A22446">
        <w:rPr>
          <w:rFonts w:ascii="Bookman Old Style" w:hAnsi="Bookman Old Style" w:cs="Arial"/>
        </w:rPr>
        <w:t>)</w:t>
      </w:r>
      <w:r w:rsidR="00FB31F6">
        <w:rPr>
          <w:rFonts w:ascii="Bookman Old Style" w:hAnsi="Bookman Old Style" w:cs="Arial"/>
        </w:rPr>
        <w:t xml:space="preserve"> </w:t>
      </w:r>
      <w:r>
        <w:rPr>
          <w:rFonts w:ascii="Bookman Old Style" w:hAnsi="Bookman Old Style" w:cs="Arial"/>
        </w:rPr>
        <w:t xml:space="preserve">para el citado período, se </w:t>
      </w:r>
      <w:r w:rsidR="008A6C33">
        <w:rPr>
          <w:rFonts w:ascii="Bookman Old Style" w:hAnsi="Bookman Old Style" w:cs="Arial"/>
        </w:rPr>
        <w:t>encuentra</w:t>
      </w:r>
      <w:r>
        <w:rPr>
          <w:rFonts w:ascii="Bookman Old Style" w:hAnsi="Bookman Old Style" w:cs="Arial"/>
        </w:rPr>
        <w:t xml:space="preserve"> que es posible convocar una subasta de reconfiguración de venta para una parte de las OEF</w:t>
      </w:r>
      <w:r w:rsidR="0037188C">
        <w:rPr>
          <w:rFonts w:ascii="Bookman Old Style" w:hAnsi="Bookman Old Style" w:cs="Arial"/>
        </w:rPr>
        <w:t xml:space="preserve"> asignadas</w:t>
      </w:r>
      <w:r>
        <w:rPr>
          <w:rFonts w:ascii="Bookman Old Style" w:hAnsi="Bookman Old Style" w:cs="Arial"/>
        </w:rPr>
        <w:t xml:space="preserve">, sin </w:t>
      </w:r>
      <w:r w:rsidR="0037188C">
        <w:rPr>
          <w:rFonts w:ascii="Bookman Old Style" w:hAnsi="Bookman Old Style" w:cs="Arial"/>
        </w:rPr>
        <w:t>poner</w:t>
      </w:r>
      <w:r>
        <w:rPr>
          <w:rFonts w:ascii="Bookman Old Style" w:hAnsi="Bookman Old Style" w:cs="Arial"/>
        </w:rPr>
        <w:t xml:space="preserve"> en riesgo el suministro de energía confiable a la demanda.</w:t>
      </w:r>
    </w:p>
    <w:p w14:paraId="604F0A82" w14:textId="77777777" w:rsidR="00CE65AC" w:rsidRDefault="00CE65AC" w:rsidP="00CE65AC">
      <w:pPr>
        <w:ind w:left="0"/>
        <w:jc w:val="both"/>
        <w:rPr>
          <w:rFonts w:ascii="Bookman Old Style" w:hAnsi="Bookman Old Style" w:cs="Arial"/>
        </w:rPr>
      </w:pPr>
    </w:p>
    <w:p w14:paraId="5353138A" w14:textId="14394ECD" w:rsidR="00CE65AC" w:rsidRPr="00B75E93" w:rsidRDefault="00CE65AC" w:rsidP="00CE65AC">
      <w:pPr>
        <w:ind w:left="0"/>
        <w:jc w:val="both"/>
        <w:rPr>
          <w:rFonts w:ascii="Bookman Old Style" w:hAnsi="Bookman Old Style" w:cs="Arial"/>
        </w:rPr>
      </w:pPr>
      <w:r>
        <w:rPr>
          <w:rFonts w:ascii="Bookman Old Style" w:hAnsi="Bookman Old Style" w:cs="Arial"/>
        </w:rPr>
        <w:t xml:space="preserve">Para dar mayor oportunidad a la participación en la </w:t>
      </w:r>
      <w:r w:rsidR="00370A41">
        <w:rPr>
          <w:rFonts w:ascii="Bookman Old Style" w:hAnsi="Bookman Old Style" w:cs="Arial"/>
        </w:rPr>
        <w:t>s</w:t>
      </w:r>
      <w:r>
        <w:rPr>
          <w:rFonts w:ascii="Bookman Old Style" w:hAnsi="Bookman Old Style" w:cs="Arial"/>
        </w:rPr>
        <w:t xml:space="preserve">ubasta de </w:t>
      </w:r>
      <w:r w:rsidR="00370A41">
        <w:rPr>
          <w:rFonts w:ascii="Bookman Old Style" w:hAnsi="Bookman Old Style" w:cs="Arial"/>
        </w:rPr>
        <w:t>r</w:t>
      </w:r>
      <w:r>
        <w:rPr>
          <w:rFonts w:ascii="Bookman Old Style" w:hAnsi="Bookman Old Style" w:cs="Arial"/>
        </w:rPr>
        <w:t xml:space="preserve">econfiguración de </w:t>
      </w:r>
      <w:r w:rsidR="00370A41">
        <w:rPr>
          <w:rFonts w:ascii="Bookman Old Style" w:hAnsi="Bookman Old Style" w:cs="Arial"/>
        </w:rPr>
        <w:t>v</w:t>
      </w:r>
      <w:r>
        <w:rPr>
          <w:rFonts w:ascii="Bookman Old Style" w:hAnsi="Bookman Old Style" w:cs="Arial"/>
        </w:rPr>
        <w:t>enta</w:t>
      </w:r>
      <w:r w:rsidR="00150A24">
        <w:rPr>
          <w:rFonts w:ascii="Bookman Old Style" w:hAnsi="Bookman Old Style" w:cs="Arial"/>
        </w:rPr>
        <w:t>,</w:t>
      </w:r>
      <w:r>
        <w:rPr>
          <w:rFonts w:ascii="Bookman Old Style" w:hAnsi="Bookman Old Style" w:cs="Arial"/>
        </w:rPr>
        <w:t xml:space="preserve"> es necesario dar una transición a las plantas en construcción que </w:t>
      </w:r>
      <w:r w:rsidR="008521F3">
        <w:rPr>
          <w:rFonts w:ascii="Bookman Old Style" w:hAnsi="Bookman Old Style" w:cs="Arial"/>
        </w:rPr>
        <w:t>estén interesadas en obtener OEF de venta</w:t>
      </w:r>
      <w:r>
        <w:rPr>
          <w:rFonts w:ascii="Bookman Old Style" w:hAnsi="Bookman Old Style" w:cs="Arial"/>
        </w:rPr>
        <w:t xml:space="preserve"> para el período 2022-2023.</w:t>
      </w:r>
    </w:p>
    <w:p w14:paraId="5DA1A51E" w14:textId="1FD06F89" w:rsidR="008A7880" w:rsidRDefault="008A7880" w:rsidP="008A7880">
      <w:pPr>
        <w:suppressAutoHyphens/>
        <w:ind w:left="0"/>
        <w:jc w:val="both"/>
        <w:rPr>
          <w:rFonts w:ascii="Bookman Old Style" w:hAnsi="Bookman Old Style"/>
          <w:lang w:eastAsia="ar-SA"/>
        </w:rPr>
      </w:pPr>
    </w:p>
    <w:p w14:paraId="60AEB38C" w14:textId="45310596" w:rsidR="00BD5404" w:rsidRDefault="00BD5404" w:rsidP="00BD5404">
      <w:pPr>
        <w:ind w:left="0"/>
        <w:jc w:val="both"/>
        <w:rPr>
          <w:rFonts w:ascii="Bookman Old Style" w:hAnsi="Bookman Old Style"/>
          <w:color w:val="000000" w:themeColor="text1"/>
          <w:lang w:val="es-CO"/>
        </w:rPr>
      </w:pPr>
      <w:r>
        <w:rPr>
          <w:rFonts w:ascii="Bookman Old Style" w:hAnsi="Bookman Old Style"/>
          <w:color w:val="000000" w:themeColor="text1"/>
          <w:lang w:val="es-CO"/>
        </w:rPr>
        <w:t xml:space="preserve">La Comisión de Regulación de Energía y Gas, </w:t>
      </w:r>
      <w:r w:rsidRPr="008A06A4">
        <w:rPr>
          <w:rFonts w:ascii="Bookman Old Style" w:hAnsi="Bookman Old Style"/>
        </w:rPr>
        <w:t>en su sesión 1</w:t>
      </w:r>
      <w:r w:rsidR="008A06A4" w:rsidRPr="008A06A4">
        <w:rPr>
          <w:rFonts w:ascii="Bookman Old Style" w:hAnsi="Bookman Old Style"/>
        </w:rPr>
        <w:t>119</w:t>
      </w:r>
      <w:r w:rsidRPr="008A06A4">
        <w:rPr>
          <w:rFonts w:ascii="Bookman Old Style" w:hAnsi="Bookman Old Style"/>
        </w:rPr>
        <w:t xml:space="preserve"> del </w:t>
      </w:r>
      <w:r w:rsidR="008A06A4" w:rsidRPr="008A06A4">
        <w:rPr>
          <w:rFonts w:ascii="Bookman Old Style" w:hAnsi="Bookman Old Style"/>
        </w:rPr>
        <w:t>30</w:t>
      </w:r>
      <w:r w:rsidRPr="008A06A4">
        <w:rPr>
          <w:rFonts w:ascii="Bookman Old Style" w:hAnsi="Bookman Old Style"/>
        </w:rPr>
        <w:t xml:space="preserve"> de </w:t>
      </w:r>
      <w:r w:rsidR="008A06A4" w:rsidRPr="008A06A4">
        <w:rPr>
          <w:rFonts w:ascii="Bookman Old Style" w:hAnsi="Bookman Old Style"/>
        </w:rPr>
        <w:t>agosto</w:t>
      </w:r>
      <w:r w:rsidRPr="008A06A4">
        <w:rPr>
          <w:rFonts w:ascii="Bookman Old Style" w:hAnsi="Bookman Old Style"/>
        </w:rPr>
        <w:t xml:space="preserve"> </w:t>
      </w:r>
      <w:r w:rsidR="00150A24">
        <w:rPr>
          <w:rFonts w:ascii="Bookman Old Style" w:hAnsi="Bookman Old Style"/>
        </w:rPr>
        <w:t xml:space="preserve">de </w:t>
      </w:r>
      <w:r w:rsidRPr="008A06A4">
        <w:rPr>
          <w:rFonts w:ascii="Bookman Old Style" w:hAnsi="Bookman Old Style"/>
        </w:rPr>
        <w:t>202</w:t>
      </w:r>
      <w:r w:rsidR="008A06A4" w:rsidRPr="008A06A4">
        <w:rPr>
          <w:rFonts w:ascii="Bookman Old Style" w:hAnsi="Bookman Old Style"/>
        </w:rPr>
        <w:t>1</w:t>
      </w:r>
      <w:r w:rsidRPr="008A06A4">
        <w:rPr>
          <w:rFonts w:ascii="Bookman Old Style" w:hAnsi="Bookman Old Style"/>
        </w:rPr>
        <w:t>,</w:t>
      </w:r>
      <w:r>
        <w:rPr>
          <w:rFonts w:ascii="Bookman Old Style" w:hAnsi="Bookman Old Style"/>
        </w:rPr>
        <w:t xml:space="preserve"> </w:t>
      </w:r>
      <w:r w:rsidRPr="006B76AE">
        <w:rPr>
          <w:rFonts w:ascii="Bookman Old Style" w:hAnsi="Bookman Old Style"/>
        </w:rPr>
        <w:t xml:space="preserve">aprobó hacer público </w:t>
      </w:r>
      <w:r w:rsidR="008521F3">
        <w:rPr>
          <w:rFonts w:ascii="Bookman Old Style" w:hAnsi="Bookman Old Style"/>
        </w:rPr>
        <w:t xml:space="preserve">para consulta </w:t>
      </w:r>
      <w:r w:rsidRPr="006B76AE">
        <w:rPr>
          <w:rFonts w:ascii="Bookman Old Style" w:hAnsi="Bookman Old Style"/>
        </w:rPr>
        <w:t xml:space="preserve">el proyecto de resolución </w:t>
      </w:r>
      <w:r w:rsidR="008521F3">
        <w:rPr>
          <w:rFonts w:ascii="Bookman Old Style" w:hAnsi="Bookman Old Style"/>
        </w:rPr>
        <w:t>“</w:t>
      </w:r>
      <w:r w:rsidR="008A06A4" w:rsidRPr="008A06A4">
        <w:rPr>
          <w:rFonts w:ascii="Bookman Old Style" w:hAnsi="Bookman Old Style" w:cs="Arial"/>
          <w:i/>
          <w:color w:val="000000"/>
        </w:rPr>
        <w:t>Por la cual se convoca a una Subasta de Reconfiguración de Venta de Obligaciones de Energía Firme -OEF- para el período 2022-2023</w:t>
      </w:r>
      <w:r w:rsidRPr="00C86F4F">
        <w:rPr>
          <w:rFonts w:ascii="Bookman Old Style" w:hAnsi="Bookman Old Style" w:cs="Arial"/>
          <w:i/>
          <w:color w:val="000000"/>
        </w:rPr>
        <w:t>.</w:t>
      </w:r>
      <w:r w:rsidR="008521F3">
        <w:rPr>
          <w:rFonts w:ascii="Bookman Old Style" w:hAnsi="Bookman Old Style" w:cs="Arial"/>
          <w:i/>
          <w:color w:val="000000"/>
        </w:rPr>
        <w:t>”</w:t>
      </w:r>
      <w:r>
        <w:rPr>
          <w:rFonts w:ascii="Bookman Old Style" w:hAnsi="Bookman Old Style" w:cs="Arial"/>
          <w:i/>
          <w:color w:val="000000"/>
        </w:rPr>
        <w:t xml:space="preserve"> </w:t>
      </w:r>
    </w:p>
    <w:p w14:paraId="702C264E" w14:textId="52AD7EAC" w:rsidR="00BD5404" w:rsidRDefault="00BD5404" w:rsidP="00BD5404">
      <w:pPr>
        <w:ind w:left="0"/>
        <w:jc w:val="both"/>
        <w:rPr>
          <w:rFonts w:ascii="Bookman Old Style" w:hAnsi="Bookman Old Style"/>
          <w:color w:val="000000" w:themeColor="text1"/>
          <w:lang w:val="es-CO"/>
        </w:rPr>
      </w:pPr>
      <w:r>
        <w:rPr>
          <w:rFonts w:ascii="Bookman Old Style" w:hAnsi="Bookman Old Style"/>
          <w:color w:val="000000" w:themeColor="text1"/>
          <w:lang w:val="es-CO"/>
        </w:rPr>
        <w:lastRenderedPageBreak/>
        <w:t>En el plazo establecido para la consulta</w:t>
      </w:r>
      <w:r w:rsidR="008521F3">
        <w:rPr>
          <w:rFonts w:ascii="Bookman Old Style" w:hAnsi="Bookman Old Style"/>
          <w:color w:val="000000" w:themeColor="text1"/>
          <w:lang w:val="es-CO"/>
        </w:rPr>
        <w:t>,</w:t>
      </w:r>
      <w:r>
        <w:rPr>
          <w:rFonts w:ascii="Bookman Old Style" w:hAnsi="Bookman Old Style"/>
          <w:color w:val="000000" w:themeColor="text1"/>
          <w:lang w:val="es-CO"/>
        </w:rPr>
        <w:t xml:space="preserve"> se recibieron comentarios de los remitentes interesados sobre </w:t>
      </w:r>
      <w:r w:rsidR="008521F3">
        <w:rPr>
          <w:rFonts w:ascii="Bookman Old Style" w:hAnsi="Bookman Old Style"/>
          <w:color w:val="000000" w:themeColor="text1"/>
          <w:lang w:val="es-CO"/>
        </w:rPr>
        <w:t>el proyecto de resolución</w:t>
      </w:r>
      <w:r>
        <w:rPr>
          <w:rFonts w:ascii="Bookman Old Style" w:hAnsi="Bookman Old Style"/>
          <w:color w:val="000000" w:themeColor="text1"/>
          <w:lang w:val="es-CO"/>
        </w:rPr>
        <w:t xml:space="preserve"> publicad</w:t>
      </w:r>
      <w:r w:rsidR="008521F3">
        <w:rPr>
          <w:rFonts w:ascii="Bookman Old Style" w:hAnsi="Bookman Old Style"/>
          <w:color w:val="000000" w:themeColor="text1"/>
          <w:lang w:val="es-CO"/>
        </w:rPr>
        <w:t>o</w:t>
      </w:r>
      <w:r>
        <w:rPr>
          <w:rFonts w:ascii="Bookman Old Style" w:hAnsi="Bookman Old Style"/>
          <w:color w:val="000000" w:themeColor="text1"/>
          <w:lang w:val="es-CO"/>
        </w:rPr>
        <w:t xml:space="preserve"> en la Resolución CREG 129 de 2021. El listado de remitentes que enviaron comentarios</w:t>
      </w:r>
      <w:r w:rsidR="00BA5DF3">
        <w:rPr>
          <w:rFonts w:ascii="Bookman Old Style" w:hAnsi="Bookman Old Style"/>
          <w:color w:val="000000" w:themeColor="text1"/>
          <w:lang w:val="es-CO"/>
        </w:rPr>
        <w:t>,</w:t>
      </w:r>
      <w:r>
        <w:rPr>
          <w:rFonts w:ascii="Bookman Old Style" w:hAnsi="Bookman Old Style"/>
          <w:color w:val="000000" w:themeColor="text1"/>
          <w:lang w:val="es-CO"/>
        </w:rPr>
        <w:t xml:space="preserve"> y el análisis de las observaciones y sugerencias recibidas en la consulta, se encuentra en el documento soporte que acompaña esta resolución.</w:t>
      </w:r>
    </w:p>
    <w:p w14:paraId="68C6630A" w14:textId="77777777" w:rsidR="00BD5404" w:rsidRDefault="00BD5404" w:rsidP="00BD5404">
      <w:pPr>
        <w:ind w:left="0"/>
        <w:jc w:val="both"/>
        <w:rPr>
          <w:rFonts w:ascii="Bookman Old Style" w:hAnsi="Bookman Old Style"/>
          <w:color w:val="000000" w:themeColor="text1"/>
          <w:lang w:val="es-CO"/>
        </w:rPr>
      </w:pPr>
    </w:p>
    <w:p w14:paraId="1DD25545" w14:textId="77777777" w:rsidR="00BD5404" w:rsidRDefault="00BD5404" w:rsidP="00BD5404">
      <w:pPr>
        <w:ind w:left="0"/>
        <w:jc w:val="both"/>
        <w:rPr>
          <w:rFonts w:ascii="Bookman Old Style" w:hAnsi="Bookman Old Style"/>
          <w:color w:val="000000" w:themeColor="text1"/>
          <w:lang w:val="es-CO"/>
        </w:rPr>
      </w:pPr>
      <w:r w:rsidRPr="004B4656">
        <w:rPr>
          <w:rFonts w:ascii="Bookman Old Style" w:hAnsi="Bookman Old Style"/>
          <w:color w:val="000000" w:themeColor="text1"/>
          <w:lang w:val="es-CO"/>
        </w:rPr>
        <w:t>Como resultado del diligenciamiento del formulario sobre prácticas restrictivas a la competencia, en cumplimiento de lo establecido en el Decreto 1074 de 2015, se concluyó que esta normativa no es restrictiva de la competencia. Por lo anterior, no se informó a la Superintendencia de Industria y Comercio, SIC, sobre la presente resolución.</w:t>
      </w:r>
    </w:p>
    <w:p w14:paraId="291DFB5B" w14:textId="77777777" w:rsidR="00BD5404" w:rsidRDefault="00BD5404" w:rsidP="00BD5404">
      <w:pPr>
        <w:ind w:left="0"/>
        <w:jc w:val="both"/>
        <w:rPr>
          <w:rFonts w:ascii="Bookman Old Style" w:hAnsi="Bookman Old Style" w:cs="Arial"/>
          <w:highlight w:val="yellow"/>
        </w:rPr>
      </w:pPr>
    </w:p>
    <w:p w14:paraId="1A539178" w14:textId="2153E37C" w:rsidR="00BD5404" w:rsidRDefault="00BD5404" w:rsidP="00BD5404">
      <w:pPr>
        <w:suppressAutoHyphens/>
        <w:ind w:left="0"/>
        <w:jc w:val="both"/>
        <w:rPr>
          <w:rFonts w:ascii="Bookman Old Style" w:hAnsi="Bookman Old Style"/>
          <w:lang w:eastAsia="ar-SA"/>
        </w:rPr>
      </w:pPr>
      <w:r>
        <w:rPr>
          <w:rFonts w:ascii="Bookman Old Style" w:hAnsi="Bookman Old Style"/>
          <w:color w:val="000000" w:themeColor="text1"/>
          <w:lang w:val="es-CO"/>
        </w:rPr>
        <w:t xml:space="preserve">Con base en lo anterior, la Comisión de Regulación de Energía y Gas, en su </w:t>
      </w:r>
      <w:r w:rsidRPr="00233BD6">
        <w:rPr>
          <w:rFonts w:ascii="Bookman Old Style" w:hAnsi="Bookman Old Style"/>
          <w:color w:val="000000" w:themeColor="text1"/>
          <w:lang w:val="es-CO"/>
        </w:rPr>
        <w:t>sesión No.</w:t>
      </w:r>
      <w:r w:rsidR="003120FB" w:rsidRPr="00233BD6">
        <w:rPr>
          <w:rFonts w:ascii="Bookman Old Style" w:hAnsi="Bookman Old Style"/>
          <w:color w:val="000000" w:themeColor="text1"/>
          <w:lang w:val="es-CO"/>
        </w:rPr>
        <w:t>1127</w:t>
      </w:r>
      <w:r w:rsidRPr="00233BD6">
        <w:rPr>
          <w:rFonts w:ascii="Bookman Old Style" w:hAnsi="Bookman Old Style"/>
          <w:color w:val="000000" w:themeColor="text1"/>
          <w:lang w:val="es-CO"/>
        </w:rPr>
        <w:t xml:space="preserve"> del </w:t>
      </w:r>
      <w:r w:rsidR="008E6963" w:rsidRPr="00233BD6">
        <w:rPr>
          <w:rFonts w:ascii="Bookman Old Style" w:hAnsi="Bookman Old Style"/>
          <w:color w:val="000000" w:themeColor="text1"/>
          <w:lang w:val="es-CO"/>
        </w:rPr>
        <w:t>07</w:t>
      </w:r>
      <w:r w:rsidRPr="00233BD6">
        <w:rPr>
          <w:rFonts w:ascii="Bookman Old Style" w:hAnsi="Bookman Old Style"/>
          <w:color w:val="000000" w:themeColor="text1"/>
          <w:lang w:val="es-CO"/>
        </w:rPr>
        <w:t xml:space="preserve"> de </w:t>
      </w:r>
      <w:r w:rsidR="00551F44" w:rsidRPr="00233BD6">
        <w:rPr>
          <w:rFonts w:ascii="Bookman Old Style" w:hAnsi="Bookman Old Style"/>
          <w:color w:val="000000" w:themeColor="text1"/>
          <w:lang w:val="es-CO"/>
        </w:rPr>
        <w:t>octubre</w:t>
      </w:r>
      <w:r w:rsidRPr="00233BD6">
        <w:rPr>
          <w:rFonts w:ascii="Bookman Old Style" w:hAnsi="Bookman Old Style"/>
          <w:color w:val="000000" w:themeColor="text1"/>
          <w:lang w:val="es-CO"/>
        </w:rPr>
        <w:t xml:space="preserve"> de 202</w:t>
      </w:r>
      <w:r w:rsidR="00551F44" w:rsidRPr="00233BD6">
        <w:rPr>
          <w:rFonts w:ascii="Bookman Old Style" w:hAnsi="Bookman Old Style"/>
          <w:color w:val="000000" w:themeColor="text1"/>
          <w:lang w:val="es-CO"/>
        </w:rPr>
        <w:t>1</w:t>
      </w:r>
      <w:r w:rsidRPr="00233BD6">
        <w:rPr>
          <w:rFonts w:ascii="Bookman Old Style" w:hAnsi="Bookman Old Style"/>
          <w:color w:val="000000" w:themeColor="text1"/>
          <w:lang w:val="es-CO"/>
        </w:rPr>
        <w:t>, acordó</w:t>
      </w:r>
      <w:r>
        <w:rPr>
          <w:rFonts w:ascii="Bookman Old Style" w:hAnsi="Bookman Old Style"/>
          <w:color w:val="000000" w:themeColor="text1"/>
          <w:lang w:val="es-CO"/>
        </w:rPr>
        <w:t xml:space="preserve"> expedir esta resolución.</w:t>
      </w:r>
    </w:p>
    <w:p w14:paraId="134888A4" w14:textId="19F52CCE" w:rsidR="00BD5404" w:rsidRDefault="00BD5404" w:rsidP="008A7880">
      <w:pPr>
        <w:suppressAutoHyphens/>
        <w:ind w:left="0"/>
        <w:jc w:val="both"/>
        <w:rPr>
          <w:rFonts w:ascii="Bookman Old Style" w:hAnsi="Bookman Old Style"/>
          <w:lang w:eastAsia="ar-SA"/>
        </w:rPr>
      </w:pPr>
    </w:p>
    <w:p w14:paraId="496999A5" w14:textId="77777777" w:rsidR="004235AF" w:rsidRDefault="004235AF" w:rsidP="00D31F9A">
      <w:pPr>
        <w:suppressAutoHyphens/>
        <w:spacing w:before="120"/>
        <w:ind w:left="0"/>
        <w:jc w:val="center"/>
        <w:rPr>
          <w:rFonts w:ascii="Bookman Old Style" w:hAnsi="Bookman Old Style"/>
          <w:b/>
          <w:spacing w:val="-3"/>
        </w:rPr>
      </w:pPr>
      <w:r w:rsidRPr="00C435C3">
        <w:rPr>
          <w:rFonts w:ascii="Bookman Old Style" w:hAnsi="Bookman Old Style"/>
          <w:b/>
          <w:spacing w:val="-3"/>
        </w:rPr>
        <w:t>R E S U E L V E:</w:t>
      </w:r>
    </w:p>
    <w:p w14:paraId="68EB8C29" w14:textId="4D693F24" w:rsidR="00244689" w:rsidRDefault="00244689" w:rsidP="004235AF">
      <w:pPr>
        <w:suppressAutoHyphens/>
        <w:jc w:val="center"/>
        <w:rPr>
          <w:rFonts w:ascii="Bookman Old Style" w:hAnsi="Bookman Old Style"/>
          <w:spacing w:val="-3"/>
        </w:rPr>
      </w:pPr>
    </w:p>
    <w:p w14:paraId="451AA1BD" w14:textId="180EED8E" w:rsidR="00F413B1" w:rsidRDefault="00F413B1" w:rsidP="00F413B1">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1. Objeto.</w:t>
      </w:r>
      <w:r>
        <w:rPr>
          <w:rFonts w:ascii="Bookman Old Style" w:hAnsi="Bookman Old Style" w:cs="Arial"/>
          <w:color w:val="000000"/>
        </w:rPr>
        <w:t xml:space="preserve"> </w:t>
      </w:r>
      <w:r w:rsidR="008A06A4" w:rsidRPr="008A06A4">
        <w:rPr>
          <w:rFonts w:ascii="Bookman Old Style" w:hAnsi="Bookman Old Style" w:cs="Arial"/>
          <w:color w:val="000000"/>
        </w:rPr>
        <w:t xml:space="preserve">Mediante la presente resolución se establece el cronograma para que el Administrador del Sistema de Intercambios Comerciales del Mercado de Energía Mayorista lleve a cabo una </w:t>
      </w:r>
      <w:r w:rsidR="00F740AB">
        <w:rPr>
          <w:rFonts w:ascii="Bookman Old Style" w:hAnsi="Bookman Old Style" w:cs="Arial"/>
          <w:color w:val="000000"/>
        </w:rPr>
        <w:t>s</w:t>
      </w:r>
      <w:r w:rsidR="008A06A4" w:rsidRPr="008A06A4">
        <w:rPr>
          <w:rFonts w:ascii="Bookman Old Style" w:hAnsi="Bookman Old Style" w:cs="Arial"/>
          <w:color w:val="000000"/>
        </w:rPr>
        <w:t xml:space="preserve">ubasta de </w:t>
      </w:r>
      <w:r w:rsidR="00F740AB">
        <w:rPr>
          <w:rFonts w:ascii="Bookman Old Style" w:hAnsi="Bookman Old Style" w:cs="Arial"/>
          <w:color w:val="000000"/>
        </w:rPr>
        <w:t>r</w:t>
      </w:r>
      <w:r w:rsidR="008A06A4" w:rsidRPr="008A06A4">
        <w:rPr>
          <w:rFonts w:ascii="Bookman Old Style" w:hAnsi="Bookman Old Style" w:cs="Arial"/>
          <w:color w:val="000000"/>
        </w:rPr>
        <w:t xml:space="preserve">econfiguración de </w:t>
      </w:r>
      <w:r w:rsidR="00F740AB">
        <w:rPr>
          <w:rFonts w:ascii="Bookman Old Style" w:hAnsi="Bookman Old Style" w:cs="Arial"/>
          <w:color w:val="000000"/>
        </w:rPr>
        <w:t>venta</w:t>
      </w:r>
      <w:r w:rsidR="008A06A4" w:rsidRPr="008A06A4">
        <w:rPr>
          <w:rFonts w:ascii="Bookman Old Style" w:hAnsi="Bookman Old Style" w:cs="Arial"/>
          <w:color w:val="000000"/>
        </w:rPr>
        <w:t xml:space="preserve"> de OEF para </w:t>
      </w:r>
      <w:r w:rsidR="0055519B">
        <w:rPr>
          <w:rFonts w:ascii="Bookman Old Style" w:hAnsi="Bookman Old Style" w:cs="Arial"/>
          <w:color w:val="000000"/>
        </w:rPr>
        <w:t>el</w:t>
      </w:r>
      <w:r w:rsidR="008A06A4" w:rsidRPr="008A06A4">
        <w:rPr>
          <w:rFonts w:ascii="Bookman Old Style" w:hAnsi="Bookman Old Style" w:cs="Arial"/>
          <w:color w:val="000000"/>
        </w:rPr>
        <w:t xml:space="preserve"> período de vigencia de obligaciones de energía firme que se define en la presente resolución</w:t>
      </w:r>
      <w:r>
        <w:rPr>
          <w:rFonts w:ascii="Bookman Old Style" w:hAnsi="Bookman Old Style" w:cs="Arial"/>
          <w:color w:val="000000"/>
        </w:rPr>
        <w:t xml:space="preserve">, de acuerdo con las </w:t>
      </w:r>
      <w:r w:rsidR="00D31F9A">
        <w:rPr>
          <w:rFonts w:ascii="Bookman Old Style" w:hAnsi="Bookman Old Style" w:cs="Arial"/>
          <w:color w:val="000000"/>
        </w:rPr>
        <w:t>reglas establecidas</w:t>
      </w:r>
      <w:r>
        <w:rPr>
          <w:rFonts w:ascii="Bookman Old Style" w:hAnsi="Bookman Old Style" w:cs="Arial"/>
          <w:color w:val="000000"/>
        </w:rPr>
        <w:t xml:space="preserve"> en la Resolución CREG 051 de 2012.</w:t>
      </w:r>
    </w:p>
    <w:p w14:paraId="29BB9725" w14:textId="77777777" w:rsidR="00F413B1" w:rsidRPr="008C56A2" w:rsidRDefault="00F413B1" w:rsidP="00F413B1">
      <w:pPr>
        <w:tabs>
          <w:tab w:val="center" w:pos="4512"/>
          <w:tab w:val="left" w:pos="7088"/>
        </w:tabs>
        <w:suppressAutoHyphens/>
        <w:ind w:left="0" w:right="51"/>
        <w:jc w:val="both"/>
        <w:rPr>
          <w:rFonts w:ascii="Bookman Old Style" w:hAnsi="Bookman Old Style" w:cs="Arial"/>
          <w:color w:val="000000"/>
          <w:sz w:val="28"/>
        </w:rPr>
      </w:pPr>
    </w:p>
    <w:p w14:paraId="1CA224DC" w14:textId="7244DA30"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Pr>
          <w:rFonts w:ascii="Bookman Old Style" w:hAnsi="Bookman Old Style" w:cs="Arial"/>
          <w:b/>
          <w:color w:val="000000"/>
        </w:rPr>
        <w:t xml:space="preserve"> 2</w:t>
      </w:r>
      <w:r w:rsidRPr="00D967A6">
        <w:rPr>
          <w:rFonts w:ascii="Bookman Old Style" w:hAnsi="Bookman Old Style" w:cs="Arial"/>
          <w:b/>
          <w:color w:val="000000"/>
        </w:rPr>
        <w:t xml:space="preserve">. </w:t>
      </w:r>
      <w:r w:rsidR="00F740AB">
        <w:rPr>
          <w:rFonts w:ascii="Bookman Old Style" w:hAnsi="Bookman Old Style" w:cs="Arial"/>
          <w:b/>
          <w:color w:val="000000"/>
        </w:rPr>
        <w:t>Convocatoria para participar</w:t>
      </w:r>
      <w:r>
        <w:rPr>
          <w:rFonts w:ascii="Bookman Old Style" w:hAnsi="Bookman Old Style" w:cs="Arial"/>
          <w:b/>
          <w:color w:val="000000"/>
        </w:rPr>
        <w:t xml:space="preserve"> en la </w:t>
      </w:r>
      <w:r w:rsidR="00F740AB">
        <w:rPr>
          <w:rFonts w:ascii="Bookman Old Style" w:hAnsi="Bookman Old Style" w:cs="Arial"/>
          <w:b/>
          <w:color w:val="000000"/>
        </w:rPr>
        <w:t>s</w:t>
      </w:r>
      <w:r>
        <w:rPr>
          <w:rFonts w:ascii="Bookman Old Style" w:hAnsi="Bookman Old Style" w:cs="Arial"/>
          <w:b/>
          <w:color w:val="000000"/>
        </w:rPr>
        <w:t xml:space="preserve">ubasta de </w:t>
      </w:r>
      <w:r w:rsidR="00F740AB">
        <w:rPr>
          <w:rFonts w:ascii="Bookman Old Style" w:hAnsi="Bookman Old Style" w:cs="Arial"/>
          <w:b/>
          <w:color w:val="000000"/>
        </w:rPr>
        <w:t>r</w:t>
      </w:r>
      <w:r>
        <w:rPr>
          <w:rFonts w:ascii="Bookman Old Style" w:hAnsi="Bookman Old Style" w:cs="Arial"/>
          <w:b/>
          <w:color w:val="000000"/>
        </w:rPr>
        <w:t xml:space="preserve">econfiguración de </w:t>
      </w:r>
      <w:r w:rsidR="00F740AB">
        <w:rPr>
          <w:rFonts w:ascii="Bookman Old Style" w:hAnsi="Bookman Old Style" w:cs="Arial"/>
          <w:b/>
          <w:color w:val="000000"/>
        </w:rPr>
        <w:t>v</w:t>
      </w:r>
      <w:r>
        <w:rPr>
          <w:rFonts w:ascii="Bookman Old Style" w:hAnsi="Bookman Old Style" w:cs="Arial"/>
          <w:b/>
          <w:color w:val="000000"/>
        </w:rPr>
        <w:t>enta</w:t>
      </w:r>
      <w:r w:rsidR="00F740AB">
        <w:rPr>
          <w:rFonts w:ascii="Bookman Old Style" w:hAnsi="Bookman Old Style" w:cs="Arial"/>
          <w:b/>
          <w:color w:val="000000"/>
        </w:rPr>
        <w:t>, SR</w:t>
      </w:r>
      <w:r w:rsidR="00D065D1">
        <w:rPr>
          <w:rFonts w:ascii="Bookman Old Style" w:hAnsi="Bookman Old Style" w:cs="Arial"/>
          <w:b/>
          <w:color w:val="000000"/>
        </w:rPr>
        <w:t>CF</w:t>
      </w:r>
      <w:r w:rsidR="00F740AB">
        <w:rPr>
          <w:rFonts w:ascii="Bookman Old Style" w:hAnsi="Bookman Old Style" w:cs="Arial"/>
          <w:b/>
          <w:color w:val="000000"/>
        </w:rPr>
        <w:t>V</w:t>
      </w:r>
      <w:r w:rsidRPr="00D967A6">
        <w:rPr>
          <w:rFonts w:ascii="Bookman Old Style" w:hAnsi="Bookman Old Style" w:cs="Arial"/>
          <w:b/>
          <w:color w:val="000000"/>
        </w:rPr>
        <w:t>.</w:t>
      </w:r>
      <w:r>
        <w:rPr>
          <w:rFonts w:ascii="Bookman Old Style" w:hAnsi="Bookman Old Style" w:cs="Arial"/>
          <w:color w:val="000000"/>
        </w:rPr>
        <w:t xml:space="preserve"> La Comisión de Regulación de Energía y Gas convoca a todos los agentes con </w:t>
      </w:r>
      <w:r w:rsidR="00F740AB">
        <w:rPr>
          <w:rFonts w:ascii="Bookman Old Style" w:hAnsi="Bookman Old Style" w:cs="Arial"/>
          <w:color w:val="000000"/>
        </w:rPr>
        <w:t>p</w:t>
      </w:r>
      <w:r>
        <w:rPr>
          <w:rFonts w:ascii="Bookman Old Style" w:hAnsi="Bookman Old Style" w:cs="Arial"/>
          <w:color w:val="000000"/>
        </w:rPr>
        <w:t xml:space="preserve">lantas o </w:t>
      </w:r>
      <w:r w:rsidR="00F740AB">
        <w:rPr>
          <w:rFonts w:ascii="Bookman Old Style" w:hAnsi="Bookman Old Style" w:cs="Arial"/>
          <w:color w:val="000000"/>
        </w:rPr>
        <w:t>u</w:t>
      </w:r>
      <w:r>
        <w:rPr>
          <w:rFonts w:ascii="Bookman Old Style" w:hAnsi="Bookman Old Style" w:cs="Arial"/>
          <w:color w:val="000000"/>
        </w:rPr>
        <w:t xml:space="preserve">nidades de generación que tienen asignaciones de </w:t>
      </w:r>
      <w:r w:rsidR="00F740AB">
        <w:rPr>
          <w:rFonts w:ascii="Bookman Old Style" w:hAnsi="Bookman Old Style" w:cs="Arial"/>
          <w:color w:val="000000"/>
        </w:rPr>
        <w:t>o</w:t>
      </w:r>
      <w:r>
        <w:rPr>
          <w:rFonts w:ascii="Bookman Old Style" w:hAnsi="Bookman Old Style" w:cs="Arial"/>
          <w:color w:val="000000"/>
        </w:rPr>
        <w:t xml:space="preserve">bligaciones de </w:t>
      </w:r>
      <w:r w:rsidR="00F740AB">
        <w:rPr>
          <w:rFonts w:ascii="Bookman Old Style" w:hAnsi="Bookman Old Style" w:cs="Arial"/>
          <w:color w:val="000000"/>
        </w:rPr>
        <w:t>e</w:t>
      </w:r>
      <w:r>
        <w:rPr>
          <w:rFonts w:ascii="Bookman Old Style" w:hAnsi="Bookman Old Style" w:cs="Arial"/>
          <w:color w:val="000000"/>
        </w:rPr>
        <w:t xml:space="preserve">nergía </w:t>
      </w:r>
      <w:r w:rsidR="00F740AB">
        <w:rPr>
          <w:rFonts w:ascii="Bookman Old Style" w:hAnsi="Bookman Old Style" w:cs="Arial"/>
          <w:color w:val="000000"/>
        </w:rPr>
        <w:t>f</w:t>
      </w:r>
      <w:r>
        <w:rPr>
          <w:rFonts w:ascii="Bookman Old Style" w:hAnsi="Bookman Old Style" w:cs="Arial"/>
          <w:color w:val="000000"/>
        </w:rPr>
        <w:t>irme</w:t>
      </w:r>
      <w:r w:rsidR="00F740AB">
        <w:rPr>
          <w:rFonts w:ascii="Bookman Old Style" w:hAnsi="Bookman Old Style" w:cs="Arial"/>
          <w:color w:val="000000"/>
        </w:rPr>
        <w:t>,</w:t>
      </w:r>
      <w:r>
        <w:rPr>
          <w:rFonts w:ascii="Bookman Old Style" w:hAnsi="Bookman Old Style" w:cs="Arial"/>
          <w:color w:val="000000"/>
        </w:rPr>
        <w:t xml:space="preserve"> OEF</w:t>
      </w:r>
      <w:r w:rsidR="00F740AB">
        <w:rPr>
          <w:rFonts w:ascii="Bookman Old Style" w:hAnsi="Bookman Old Style" w:cs="Arial"/>
          <w:color w:val="000000"/>
        </w:rPr>
        <w:t>,</w:t>
      </w:r>
      <w:r>
        <w:rPr>
          <w:rFonts w:ascii="Bookman Old Style" w:hAnsi="Bookman Old Style" w:cs="Arial"/>
          <w:color w:val="000000"/>
        </w:rPr>
        <w:t xml:space="preserve"> para el período 2022-2023</w:t>
      </w:r>
      <w:r w:rsidR="00150A24">
        <w:rPr>
          <w:rFonts w:ascii="Bookman Old Style" w:hAnsi="Bookman Old Style" w:cs="Arial"/>
          <w:color w:val="000000"/>
        </w:rPr>
        <w:t>,</w:t>
      </w:r>
      <w:r>
        <w:rPr>
          <w:rFonts w:ascii="Bookman Old Style" w:hAnsi="Bookman Old Style" w:cs="Arial"/>
          <w:color w:val="000000"/>
        </w:rPr>
        <w:t xml:space="preserve"> a participar en la </w:t>
      </w:r>
      <w:r w:rsidR="00F740AB">
        <w:rPr>
          <w:rFonts w:ascii="Bookman Old Style" w:hAnsi="Bookman Old Style" w:cs="Arial"/>
          <w:color w:val="000000"/>
        </w:rPr>
        <w:t>SR</w:t>
      </w:r>
      <w:r w:rsidR="00D065D1">
        <w:rPr>
          <w:rFonts w:ascii="Bookman Old Style" w:hAnsi="Bookman Old Style" w:cs="Arial"/>
          <w:color w:val="000000"/>
        </w:rPr>
        <w:t>CF</w:t>
      </w:r>
      <w:r w:rsidR="00F740AB">
        <w:rPr>
          <w:rFonts w:ascii="Bookman Old Style" w:hAnsi="Bookman Old Style" w:cs="Arial"/>
          <w:color w:val="000000"/>
        </w:rPr>
        <w:t>V</w:t>
      </w:r>
      <w:r>
        <w:rPr>
          <w:rFonts w:ascii="Bookman Old Style" w:hAnsi="Bookman Old Style" w:cs="Arial"/>
          <w:color w:val="000000"/>
        </w:rPr>
        <w:t xml:space="preserve"> para </w:t>
      </w:r>
      <w:r w:rsidR="00105A5F">
        <w:rPr>
          <w:rFonts w:ascii="Bookman Old Style" w:hAnsi="Bookman Old Style" w:cs="Arial"/>
          <w:color w:val="000000"/>
        </w:rPr>
        <w:t>este</w:t>
      </w:r>
      <w:r>
        <w:rPr>
          <w:rFonts w:ascii="Bookman Old Style" w:hAnsi="Bookman Old Style" w:cs="Arial"/>
          <w:color w:val="000000"/>
        </w:rPr>
        <w:t xml:space="preserve"> período </w:t>
      </w:r>
      <w:r w:rsidR="00F740AB">
        <w:rPr>
          <w:rFonts w:ascii="Bookman Old Style" w:hAnsi="Bookman Old Style" w:cs="Arial"/>
          <w:color w:val="000000"/>
        </w:rPr>
        <w:t xml:space="preserve">de vigencia de OEF </w:t>
      </w:r>
      <w:r w:rsidR="0055519B">
        <w:rPr>
          <w:rFonts w:ascii="Bookman Old Style" w:hAnsi="Bookman Old Style" w:cs="Arial"/>
          <w:color w:val="000000"/>
        </w:rPr>
        <w:t>en</w:t>
      </w:r>
      <w:r>
        <w:rPr>
          <w:rFonts w:ascii="Bookman Old Style" w:hAnsi="Bookman Old Style" w:cs="Arial"/>
          <w:color w:val="000000"/>
        </w:rPr>
        <w:t xml:space="preserve"> los plazos definidos en la presente </w:t>
      </w:r>
      <w:r w:rsidR="00F740AB">
        <w:rPr>
          <w:rFonts w:ascii="Bookman Old Style" w:hAnsi="Bookman Old Style" w:cs="Arial"/>
          <w:color w:val="000000"/>
        </w:rPr>
        <w:t>r</w:t>
      </w:r>
      <w:r>
        <w:rPr>
          <w:rFonts w:ascii="Bookman Old Style" w:hAnsi="Bookman Old Style" w:cs="Arial"/>
          <w:color w:val="000000"/>
        </w:rPr>
        <w:t>esolución.</w:t>
      </w:r>
    </w:p>
    <w:p w14:paraId="7D2C0572" w14:textId="1CD9D323" w:rsidR="00B13E97" w:rsidRDefault="00B13E97" w:rsidP="00F413B1">
      <w:pPr>
        <w:tabs>
          <w:tab w:val="center" w:pos="4512"/>
          <w:tab w:val="left" w:pos="7088"/>
        </w:tabs>
        <w:suppressAutoHyphens/>
        <w:ind w:left="0" w:right="51"/>
        <w:jc w:val="both"/>
        <w:rPr>
          <w:rFonts w:ascii="Bookman Old Style" w:hAnsi="Bookman Old Style" w:cs="Arial"/>
          <w:color w:val="000000"/>
        </w:rPr>
      </w:pPr>
    </w:p>
    <w:p w14:paraId="1ADCAD3E" w14:textId="37D43C2B" w:rsidR="00D31F9A" w:rsidRDefault="00B13E97" w:rsidP="00F413B1">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bCs/>
          <w:color w:val="000000"/>
        </w:rPr>
        <w:t>Parágrafo:</w:t>
      </w:r>
      <w:r w:rsidR="00D20BD0">
        <w:rPr>
          <w:rFonts w:ascii="Bookman Old Style" w:hAnsi="Bookman Old Style" w:cs="Arial"/>
          <w:color w:val="000000"/>
        </w:rPr>
        <w:t xml:space="preserve"> </w:t>
      </w:r>
      <w:r w:rsidR="00D31F9A">
        <w:rPr>
          <w:rFonts w:ascii="Bookman Old Style" w:hAnsi="Bookman Old Style" w:cs="Arial"/>
          <w:color w:val="000000"/>
        </w:rPr>
        <w:t>Conforme al balance actualizado de las OEF asignadas y las proyecciones de demanda del período 2022-2023, previo a la realización de la SR</w:t>
      </w:r>
      <w:r w:rsidR="00D065D1">
        <w:rPr>
          <w:rFonts w:ascii="Bookman Old Style" w:hAnsi="Bookman Old Style" w:cs="Arial"/>
          <w:color w:val="000000"/>
        </w:rPr>
        <w:t>CF</w:t>
      </w:r>
      <w:r w:rsidR="00D31F9A">
        <w:rPr>
          <w:rFonts w:ascii="Bookman Old Style" w:hAnsi="Bookman Old Style" w:cs="Arial"/>
          <w:color w:val="000000"/>
        </w:rPr>
        <w:t>V</w:t>
      </w:r>
      <w:r w:rsidR="00BA5DF3">
        <w:rPr>
          <w:rFonts w:ascii="Bookman Old Style" w:hAnsi="Bookman Old Style" w:cs="Arial"/>
          <w:color w:val="000000"/>
        </w:rPr>
        <w:t>,</w:t>
      </w:r>
      <w:r w:rsidR="00D31F9A">
        <w:rPr>
          <w:rFonts w:ascii="Bookman Old Style" w:hAnsi="Bookman Old Style" w:cs="Arial"/>
          <w:color w:val="000000"/>
        </w:rPr>
        <w:t xml:space="preserve"> la CREG informará al ASIC la cantidad de OEF de venta a subastar para este período.</w:t>
      </w:r>
      <w:r w:rsidR="00D065D1">
        <w:rPr>
          <w:rFonts w:ascii="Bookman Old Style" w:hAnsi="Bookman Old Style" w:cs="Arial"/>
          <w:color w:val="000000"/>
        </w:rPr>
        <w:t xml:space="preserve"> En el caso </w:t>
      </w:r>
      <w:r w:rsidR="006D562E">
        <w:rPr>
          <w:rFonts w:ascii="Bookman Old Style" w:hAnsi="Bookman Old Style" w:cs="Arial"/>
          <w:color w:val="000000"/>
        </w:rPr>
        <w:t xml:space="preserve">de </w:t>
      </w:r>
      <w:r w:rsidR="00D065D1">
        <w:rPr>
          <w:rFonts w:ascii="Bookman Old Style" w:hAnsi="Bookman Old Style" w:cs="Arial"/>
          <w:color w:val="000000"/>
        </w:rPr>
        <w:t>que la evaluación de dicho balance energético indique que</w:t>
      </w:r>
      <w:r w:rsidR="00BA5DF3">
        <w:rPr>
          <w:rFonts w:ascii="Bookman Old Style" w:hAnsi="Bookman Old Style" w:cs="Arial"/>
          <w:color w:val="000000"/>
        </w:rPr>
        <w:t>,</w:t>
      </w:r>
      <w:r w:rsidR="00D065D1">
        <w:rPr>
          <w:rFonts w:ascii="Bookman Old Style" w:hAnsi="Bookman Old Style" w:cs="Arial"/>
          <w:color w:val="000000"/>
        </w:rPr>
        <w:t xml:space="preserve"> debido al crecimiento de la demanda</w:t>
      </w:r>
      <w:r w:rsidR="00105A5F">
        <w:rPr>
          <w:rFonts w:ascii="Bookman Old Style" w:hAnsi="Bookman Old Style" w:cs="Arial"/>
          <w:color w:val="000000"/>
        </w:rPr>
        <w:t xml:space="preserve"> ya</w:t>
      </w:r>
      <w:r w:rsidR="00D065D1">
        <w:rPr>
          <w:rFonts w:ascii="Bookman Old Style" w:hAnsi="Bookman Old Style" w:cs="Arial"/>
          <w:color w:val="000000"/>
        </w:rPr>
        <w:t xml:space="preserve"> no se cuente con exceso de OEF para el citado período, a través de Circular CREG de la </w:t>
      </w:r>
      <w:r w:rsidR="00105A5F">
        <w:rPr>
          <w:rFonts w:ascii="Bookman Old Style" w:hAnsi="Bookman Old Style" w:cs="Arial"/>
          <w:color w:val="000000"/>
        </w:rPr>
        <w:t xml:space="preserve">Dirección Ejecutiva </w:t>
      </w:r>
      <w:r w:rsidR="00D065D1">
        <w:rPr>
          <w:rFonts w:ascii="Bookman Old Style" w:hAnsi="Bookman Old Style" w:cs="Arial"/>
          <w:color w:val="000000"/>
        </w:rPr>
        <w:t xml:space="preserve">se </w:t>
      </w:r>
      <w:r w:rsidR="00C50EC6">
        <w:rPr>
          <w:rFonts w:ascii="Bookman Old Style" w:hAnsi="Bookman Old Style" w:cs="Arial"/>
          <w:color w:val="000000"/>
        </w:rPr>
        <w:t xml:space="preserve">informará </w:t>
      </w:r>
      <w:r w:rsidR="00D065D1">
        <w:rPr>
          <w:rFonts w:ascii="Bookman Old Style" w:hAnsi="Bookman Old Style" w:cs="Arial"/>
          <w:color w:val="000000"/>
        </w:rPr>
        <w:t xml:space="preserve">a los interesados la cancelación </w:t>
      </w:r>
      <w:r w:rsidR="00105A5F">
        <w:rPr>
          <w:rFonts w:ascii="Bookman Old Style" w:hAnsi="Bookman Old Style" w:cs="Arial"/>
          <w:color w:val="000000"/>
        </w:rPr>
        <w:t xml:space="preserve">y no realización </w:t>
      </w:r>
      <w:r w:rsidR="00D065D1">
        <w:rPr>
          <w:rFonts w:ascii="Bookman Old Style" w:hAnsi="Bookman Old Style" w:cs="Arial"/>
          <w:color w:val="000000"/>
        </w:rPr>
        <w:t>de la subasta.</w:t>
      </w:r>
    </w:p>
    <w:p w14:paraId="3C74BB02" w14:textId="77777777" w:rsidR="00D31F9A" w:rsidRDefault="00D31F9A" w:rsidP="00F413B1">
      <w:pPr>
        <w:tabs>
          <w:tab w:val="center" w:pos="4512"/>
          <w:tab w:val="left" w:pos="7088"/>
        </w:tabs>
        <w:suppressAutoHyphens/>
        <w:ind w:left="0" w:right="51"/>
        <w:jc w:val="both"/>
        <w:rPr>
          <w:rFonts w:ascii="Bookman Old Style" w:hAnsi="Bookman Old Style" w:cs="Arial"/>
          <w:color w:val="000000"/>
        </w:rPr>
      </w:pPr>
    </w:p>
    <w:p w14:paraId="4FBAC96C" w14:textId="20170B0F"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Pr>
          <w:rFonts w:ascii="Bookman Old Style" w:hAnsi="Bookman Old Style" w:cs="Arial"/>
          <w:b/>
          <w:color w:val="000000"/>
        </w:rPr>
        <w:t>3</w:t>
      </w:r>
      <w:r w:rsidRPr="00202498">
        <w:rPr>
          <w:rFonts w:ascii="Bookman Old Style" w:hAnsi="Bookman Old Style" w:cs="Arial"/>
          <w:b/>
          <w:color w:val="000000"/>
        </w:rPr>
        <w:t>. P</w:t>
      </w:r>
      <w:r>
        <w:rPr>
          <w:rFonts w:ascii="Bookman Old Style" w:hAnsi="Bookman Old Style" w:cs="Arial"/>
          <w:b/>
          <w:color w:val="000000"/>
        </w:rPr>
        <w:t xml:space="preserve">eríodo de </w:t>
      </w:r>
      <w:r w:rsidR="00F740AB">
        <w:rPr>
          <w:rFonts w:ascii="Bookman Old Style" w:hAnsi="Bookman Old Style" w:cs="Arial"/>
          <w:b/>
          <w:color w:val="000000"/>
        </w:rPr>
        <w:t>v</w:t>
      </w:r>
      <w:r>
        <w:rPr>
          <w:rFonts w:ascii="Bookman Old Style" w:hAnsi="Bookman Old Style" w:cs="Arial"/>
          <w:b/>
          <w:color w:val="000000"/>
        </w:rPr>
        <w:t xml:space="preserve">igencia de </w:t>
      </w:r>
      <w:r w:rsidR="00F740AB">
        <w:rPr>
          <w:rFonts w:ascii="Bookman Old Style" w:hAnsi="Bookman Old Style" w:cs="Arial"/>
          <w:b/>
          <w:color w:val="000000"/>
        </w:rPr>
        <w:t xml:space="preserve">OEF </w:t>
      </w:r>
      <w:r>
        <w:rPr>
          <w:rFonts w:ascii="Bookman Old Style" w:hAnsi="Bookman Old Style" w:cs="Arial"/>
          <w:b/>
          <w:color w:val="000000"/>
        </w:rPr>
        <w:t xml:space="preserve">de </w:t>
      </w:r>
      <w:r w:rsidR="00F740AB">
        <w:rPr>
          <w:rFonts w:ascii="Bookman Old Style" w:hAnsi="Bookman Old Style" w:cs="Arial"/>
          <w:b/>
          <w:color w:val="000000"/>
        </w:rPr>
        <w:t>v</w:t>
      </w:r>
      <w:r>
        <w:rPr>
          <w:rFonts w:ascii="Bookman Old Style" w:hAnsi="Bookman Old Style" w:cs="Arial"/>
          <w:b/>
          <w:color w:val="000000"/>
        </w:rPr>
        <w:t xml:space="preserve">enta que se asignarán en la </w:t>
      </w:r>
      <w:r w:rsidR="00F740AB">
        <w:rPr>
          <w:rFonts w:ascii="Bookman Old Style" w:hAnsi="Bookman Old Style" w:cs="Arial"/>
          <w:b/>
          <w:color w:val="000000"/>
        </w:rPr>
        <w:t>SRCFV</w:t>
      </w:r>
      <w:r w:rsidRPr="00202498">
        <w:rPr>
          <w:rFonts w:ascii="Bookman Old Style" w:hAnsi="Bookman Old Style" w:cs="Arial"/>
          <w:b/>
          <w:color w:val="000000"/>
        </w:rPr>
        <w:t>.</w:t>
      </w:r>
      <w:r>
        <w:rPr>
          <w:rFonts w:ascii="Bookman Old Style" w:hAnsi="Bookman Old Style" w:cs="Arial"/>
          <w:color w:val="000000"/>
        </w:rPr>
        <w:t xml:space="preserve"> En la </w:t>
      </w:r>
      <w:r w:rsidR="00E6102E">
        <w:rPr>
          <w:rFonts w:ascii="Bookman Old Style" w:hAnsi="Bookman Old Style" w:cs="Arial"/>
          <w:color w:val="000000"/>
        </w:rPr>
        <w:t>s</w:t>
      </w:r>
      <w:r>
        <w:rPr>
          <w:rFonts w:ascii="Bookman Old Style" w:hAnsi="Bookman Old Style" w:cs="Arial"/>
          <w:color w:val="000000"/>
        </w:rPr>
        <w:t xml:space="preserve">ubasta de </w:t>
      </w:r>
      <w:r w:rsidR="00F740AB">
        <w:rPr>
          <w:rFonts w:ascii="Bookman Old Style" w:hAnsi="Bookman Old Style" w:cs="Arial"/>
          <w:color w:val="000000"/>
        </w:rPr>
        <w:t>r</w:t>
      </w:r>
      <w:r>
        <w:rPr>
          <w:rFonts w:ascii="Bookman Old Style" w:hAnsi="Bookman Old Style" w:cs="Arial"/>
          <w:color w:val="000000"/>
        </w:rPr>
        <w:t xml:space="preserve">econfiguración de </w:t>
      </w:r>
      <w:r w:rsidR="00F740AB">
        <w:rPr>
          <w:rFonts w:ascii="Bookman Old Style" w:hAnsi="Bookman Old Style" w:cs="Arial"/>
          <w:color w:val="000000"/>
        </w:rPr>
        <w:t>v</w:t>
      </w:r>
      <w:r>
        <w:rPr>
          <w:rFonts w:ascii="Bookman Old Style" w:hAnsi="Bookman Old Style" w:cs="Arial"/>
          <w:color w:val="000000"/>
        </w:rPr>
        <w:t>enta</w:t>
      </w:r>
      <w:r w:rsidR="00CB6ED7">
        <w:rPr>
          <w:rFonts w:ascii="Bookman Old Style" w:hAnsi="Bookman Old Style" w:cs="Arial"/>
          <w:color w:val="000000"/>
        </w:rPr>
        <w:t>,</w:t>
      </w:r>
      <w:r>
        <w:rPr>
          <w:rFonts w:ascii="Bookman Old Style" w:hAnsi="Bookman Old Style" w:cs="Arial"/>
          <w:color w:val="000000"/>
        </w:rPr>
        <w:t xml:space="preserve"> </w:t>
      </w:r>
      <w:r w:rsidR="00CB6ED7">
        <w:rPr>
          <w:rFonts w:ascii="Bookman Old Style" w:hAnsi="Bookman Old Style" w:cs="Arial"/>
          <w:color w:val="000000"/>
        </w:rPr>
        <w:t xml:space="preserve">SRCFV, </w:t>
      </w:r>
      <w:r>
        <w:rPr>
          <w:rFonts w:ascii="Bookman Old Style" w:hAnsi="Bookman Old Style" w:cs="Arial"/>
          <w:color w:val="000000"/>
        </w:rPr>
        <w:t xml:space="preserve">se asignarán OEF de </w:t>
      </w:r>
      <w:r w:rsidR="00F740AB">
        <w:rPr>
          <w:rFonts w:ascii="Bookman Old Style" w:hAnsi="Bookman Old Style" w:cs="Arial"/>
          <w:color w:val="000000"/>
        </w:rPr>
        <w:t>v</w:t>
      </w:r>
      <w:r>
        <w:rPr>
          <w:rFonts w:ascii="Bookman Old Style" w:hAnsi="Bookman Old Style" w:cs="Arial"/>
          <w:color w:val="000000"/>
        </w:rPr>
        <w:t>enta para el período de vigencia comprendido entre el 1 de diciembre de 2022 y el 30 de noviembre de 2023.</w:t>
      </w:r>
    </w:p>
    <w:p w14:paraId="4BCE12CB" w14:textId="77777777" w:rsidR="00F413B1" w:rsidRPr="00E610AD" w:rsidRDefault="00F413B1" w:rsidP="00F413B1">
      <w:pPr>
        <w:tabs>
          <w:tab w:val="center" w:pos="4512"/>
          <w:tab w:val="left" w:pos="7088"/>
        </w:tabs>
        <w:suppressAutoHyphens/>
        <w:ind w:left="0" w:right="51"/>
        <w:jc w:val="both"/>
        <w:rPr>
          <w:rFonts w:ascii="Bookman Old Style" w:hAnsi="Bookman Old Style" w:cs="Arial"/>
          <w:color w:val="000000"/>
          <w:sz w:val="20"/>
        </w:rPr>
      </w:pPr>
    </w:p>
    <w:p w14:paraId="3BB3D86D" w14:textId="4475E4CA" w:rsidR="00F413B1" w:rsidRDefault="00F413B1" w:rsidP="00F413B1">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Pr>
          <w:rFonts w:ascii="Bookman Old Style" w:hAnsi="Bookman Old Style" w:cs="Arial"/>
          <w:b/>
          <w:color w:val="000000"/>
        </w:rPr>
        <w:t>4</w:t>
      </w:r>
      <w:r w:rsidRPr="00E53D0C">
        <w:rPr>
          <w:rFonts w:ascii="Bookman Old Style" w:hAnsi="Bookman Old Style" w:cs="Arial"/>
          <w:b/>
          <w:color w:val="000000"/>
        </w:rPr>
        <w:t xml:space="preserve">. </w:t>
      </w:r>
      <w:r>
        <w:rPr>
          <w:rFonts w:ascii="Bookman Old Style" w:hAnsi="Bookman Old Style" w:cs="Arial"/>
          <w:b/>
          <w:color w:val="000000"/>
        </w:rPr>
        <w:t xml:space="preserve">Cronograma para el reporte de información por quienes deseen participar en la </w:t>
      </w:r>
      <w:r w:rsidR="00F740AB">
        <w:rPr>
          <w:rFonts w:ascii="Bookman Old Style" w:hAnsi="Bookman Old Style" w:cs="Arial"/>
          <w:b/>
          <w:color w:val="000000"/>
        </w:rPr>
        <w:t>SRCFV</w:t>
      </w:r>
      <w:r w:rsidRPr="00E53D0C">
        <w:rPr>
          <w:rFonts w:ascii="Bookman Old Style" w:hAnsi="Bookman Old Style" w:cs="Arial"/>
          <w:b/>
          <w:color w:val="000000"/>
        </w:rPr>
        <w:t>.</w:t>
      </w:r>
      <w:r>
        <w:rPr>
          <w:rFonts w:ascii="Bookman Old Style" w:hAnsi="Bookman Old Style" w:cs="Arial"/>
          <w:color w:val="000000"/>
        </w:rPr>
        <w:t xml:space="preserve"> Los agentes que deseen participar en la </w:t>
      </w:r>
      <w:r w:rsidR="00F740AB">
        <w:rPr>
          <w:rFonts w:ascii="Bookman Old Style" w:hAnsi="Bookman Old Style" w:cs="Arial"/>
          <w:color w:val="000000"/>
        </w:rPr>
        <w:t>SRCFV</w:t>
      </w:r>
      <w:r>
        <w:rPr>
          <w:rFonts w:ascii="Bookman Old Style" w:hAnsi="Bookman Old Style" w:cs="Arial"/>
          <w:color w:val="000000"/>
        </w:rPr>
        <w:t xml:space="preserve"> para el período de vigencia comprendido entre el 1 de diciembre de 20</w:t>
      </w:r>
      <w:r w:rsidR="00EA4011">
        <w:rPr>
          <w:rFonts w:ascii="Bookman Old Style" w:hAnsi="Bookman Old Style" w:cs="Arial"/>
          <w:color w:val="000000"/>
        </w:rPr>
        <w:t>22</w:t>
      </w:r>
      <w:r>
        <w:rPr>
          <w:rFonts w:ascii="Bookman Old Style" w:hAnsi="Bookman Old Style" w:cs="Arial"/>
          <w:color w:val="000000"/>
        </w:rPr>
        <w:t xml:space="preserve"> y el 30 de noviembre de 20</w:t>
      </w:r>
      <w:r w:rsidR="00EA4011">
        <w:rPr>
          <w:rFonts w:ascii="Bookman Old Style" w:hAnsi="Bookman Old Style" w:cs="Arial"/>
          <w:color w:val="000000"/>
        </w:rPr>
        <w:t>23</w:t>
      </w:r>
      <w:r w:rsidR="00F740AB">
        <w:rPr>
          <w:rFonts w:ascii="Bookman Old Style" w:hAnsi="Bookman Old Style" w:cs="Arial"/>
          <w:color w:val="000000"/>
        </w:rPr>
        <w:t>,</w:t>
      </w:r>
      <w:r>
        <w:rPr>
          <w:rFonts w:ascii="Bookman Old Style" w:hAnsi="Bookman Old Style" w:cs="Arial"/>
          <w:color w:val="000000"/>
        </w:rPr>
        <w:t xml:space="preserve"> deberán remitir la información establecida en el Anexo de esta </w:t>
      </w:r>
      <w:r w:rsidR="00E6102E">
        <w:rPr>
          <w:rFonts w:ascii="Bookman Old Style" w:hAnsi="Bookman Old Style" w:cs="Arial"/>
          <w:color w:val="000000"/>
        </w:rPr>
        <w:t>r</w:t>
      </w:r>
      <w:r>
        <w:rPr>
          <w:rFonts w:ascii="Bookman Old Style" w:hAnsi="Bookman Old Style" w:cs="Arial"/>
          <w:color w:val="000000"/>
        </w:rPr>
        <w:t>esolución en los plazos allí señalados.</w:t>
      </w:r>
    </w:p>
    <w:p w14:paraId="7D82AFE6" w14:textId="77777777" w:rsidR="00F413B1" w:rsidRPr="00E610AD" w:rsidRDefault="00F413B1" w:rsidP="00F413B1">
      <w:pPr>
        <w:tabs>
          <w:tab w:val="center" w:pos="4512"/>
          <w:tab w:val="left" w:pos="7088"/>
        </w:tabs>
        <w:suppressAutoHyphens/>
        <w:ind w:left="0" w:right="51"/>
        <w:jc w:val="both"/>
        <w:rPr>
          <w:rFonts w:ascii="Bookman Old Style" w:hAnsi="Bookman Old Style" w:cs="Arial"/>
          <w:color w:val="000000"/>
          <w:sz w:val="20"/>
        </w:rPr>
      </w:pPr>
    </w:p>
    <w:p w14:paraId="19A316C0" w14:textId="1010BC14" w:rsidR="00F413B1" w:rsidRDefault="00F413B1" w:rsidP="00F413B1">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lastRenderedPageBreak/>
        <w:t>Parágrafo</w:t>
      </w:r>
      <w:r w:rsidR="007D558F">
        <w:rPr>
          <w:rFonts w:ascii="Bookman Old Style" w:hAnsi="Bookman Old Style" w:cs="Arial"/>
          <w:b/>
          <w:color w:val="000000"/>
        </w:rPr>
        <w:t xml:space="preserve"> 1</w:t>
      </w:r>
      <w:r>
        <w:rPr>
          <w:rFonts w:ascii="Bookman Old Style" w:hAnsi="Bookman Old Style" w:cs="Arial"/>
          <w:b/>
          <w:color w:val="000000"/>
        </w:rPr>
        <w:t xml:space="preserve">. </w:t>
      </w:r>
      <w:r>
        <w:rPr>
          <w:rFonts w:ascii="Bookman Old Style" w:hAnsi="Bookman Old Style" w:cs="Arial"/>
          <w:color w:val="000000"/>
        </w:rPr>
        <w:t xml:space="preserve">Los plazos establecidos en el Anexo de la presente </w:t>
      </w:r>
      <w:r w:rsidR="00A57269">
        <w:rPr>
          <w:rFonts w:ascii="Bookman Old Style" w:hAnsi="Bookman Old Style" w:cs="Arial"/>
          <w:color w:val="000000"/>
        </w:rPr>
        <w:t>r</w:t>
      </w:r>
      <w:r>
        <w:rPr>
          <w:rFonts w:ascii="Bookman Old Style" w:hAnsi="Bookman Old Style" w:cs="Arial"/>
          <w:color w:val="000000"/>
        </w:rPr>
        <w:t>esolución vencerán a las 17:00 horas del respectivo día</w:t>
      </w:r>
      <w:r w:rsidR="00724981">
        <w:rPr>
          <w:rFonts w:ascii="Bookman Old Style" w:hAnsi="Bookman Old Style" w:cs="Arial"/>
          <w:color w:val="000000"/>
        </w:rPr>
        <w:t xml:space="preserve"> según la hora legal para Colombia</w:t>
      </w:r>
      <w:r w:rsidR="00AC309A">
        <w:rPr>
          <w:rFonts w:ascii="Bookman Old Style" w:hAnsi="Bookman Old Style" w:cs="Arial"/>
          <w:color w:val="000000"/>
        </w:rPr>
        <w:t>,</w:t>
      </w:r>
      <w:r w:rsidR="00737AC3">
        <w:rPr>
          <w:rFonts w:ascii="Bookman Old Style" w:hAnsi="Bookman Old Style" w:cs="Arial"/>
          <w:color w:val="000000"/>
        </w:rPr>
        <w:t xml:space="preserve"> excepto </w:t>
      </w:r>
      <w:r w:rsidR="00B0218A" w:rsidRPr="00B0218A">
        <w:rPr>
          <w:rFonts w:ascii="Bookman Old Style" w:hAnsi="Bookman Old Style" w:cs="Arial"/>
          <w:color w:val="000000"/>
        </w:rPr>
        <w:t xml:space="preserve">para las </w:t>
      </w:r>
      <w:r w:rsidR="00DE0C3C">
        <w:rPr>
          <w:rFonts w:ascii="Bookman Old Style" w:hAnsi="Bookman Old Style" w:cs="Arial"/>
          <w:color w:val="000000"/>
        </w:rPr>
        <w:t>etapas donde</w:t>
      </w:r>
      <w:r w:rsidR="00B0218A" w:rsidRPr="00B0218A">
        <w:rPr>
          <w:rFonts w:ascii="Bookman Old Style" w:hAnsi="Bookman Old Style" w:cs="Arial"/>
          <w:color w:val="000000"/>
        </w:rPr>
        <w:t xml:space="preserve"> se establece </w:t>
      </w:r>
      <w:r w:rsidR="00CB6ED7">
        <w:rPr>
          <w:rFonts w:ascii="Bookman Old Style" w:hAnsi="Bookman Old Style" w:cs="Arial"/>
          <w:color w:val="000000"/>
        </w:rPr>
        <w:t>otra</w:t>
      </w:r>
      <w:r w:rsidR="00B0218A" w:rsidRPr="00B0218A">
        <w:rPr>
          <w:rFonts w:ascii="Bookman Old Style" w:hAnsi="Bookman Old Style" w:cs="Arial"/>
          <w:color w:val="000000"/>
        </w:rPr>
        <w:t xml:space="preserve"> hora de finalización de forma explícita</w:t>
      </w:r>
      <w:r w:rsidR="00737AC3" w:rsidRPr="00775123">
        <w:rPr>
          <w:rFonts w:ascii="Bookman Old Style" w:hAnsi="Bookman Old Style" w:cs="Arial"/>
          <w:color w:val="000000"/>
        </w:rPr>
        <w:t>.</w:t>
      </w:r>
      <w:r>
        <w:rPr>
          <w:rFonts w:ascii="Bookman Old Style" w:hAnsi="Bookman Old Style" w:cs="Arial"/>
          <w:color w:val="000000"/>
        </w:rPr>
        <w:t xml:space="preserve"> Los agentes que no cumplan los plazos</w:t>
      </w:r>
      <w:r w:rsidR="00497CED">
        <w:rPr>
          <w:rFonts w:ascii="Bookman Old Style" w:hAnsi="Bookman Old Style" w:cs="Arial"/>
          <w:color w:val="000000"/>
        </w:rPr>
        <w:t xml:space="preserve"> y requisitos</w:t>
      </w:r>
      <w:r>
        <w:rPr>
          <w:rFonts w:ascii="Bookman Old Style" w:hAnsi="Bookman Old Style" w:cs="Arial"/>
          <w:color w:val="000000"/>
        </w:rPr>
        <w:t xml:space="preserve"> establecidos en el </w:t>
      </w:r>
      <w:r w:rsidR="00497CED">
        <w:rPr>
          <w:rFonts w:ascii="Bookman Old Style" w:hAnsi="Bookman Old Style" w:cs="Arial"/>
          <w:color w:val="000000"/>
        </w:rPr>
        <w:t>A</w:t>
      </w:r>
      <w:r>
        <w:rPr>
          <w:rFonts w:ascii="Bookman Old Style" w:hAnsi="Bookman Old Style" w:cs="Arial"/>
          <w:color w:val="000000"/>
        </w:rPr>
        <w:t xml:space="preserve">nexo no serán considerados en la </w:t>
      </w:r>
      <w:r w:rsidR="00497CED">
        <w:rPr>
          <w:rFonts w:ascii="Bookman Old Style" w:hAnsi="Bookman Old Style" w:cs="Arial"/>
          <w:color w:val="000000"/>
        </w:rPr>
        <w:t>s</w:t>
      </w:r>
      <w:r>
        <w:rPr>
          <w:rFonts w:ascii="Bookman Old Style" w:hAnsi="Bookman Old Style" w:cs="Arial"/>
          <w:color w:val="000000"/>
        </w:rPr>
        <w:t xml:space="preserve">ubasta de </w:t>
      </w:r>
      <w:r w:rsidR="00497CED">
        <w:rPr>
          <w:rFonts w:ascii="Bookman Old Style" w:hAnsi="Bookman Old Style" w:cs="Arial"/>
          <w:color w:val="000000"/>
        </w:rPr>
        <w:t>r</w:t>
      </w:r>
      <w:r>
        <w:rPr>
          <w:rFonts w:ascii="Bookman Old Style" w:hAnsi="Bookman Old Style" w:cs="Arial"/>
          <w:color w:val="000000"/>
        </w:rPr>
        <w:t xml:space="preserve">econfiguración de </w:t>
      </w:r>
      <w:r w:rsidR="00497CED">
        <w:rPr>
          <w:rFonts w:ascii="Bookman Old Style" w:hAnsi="Bookman Old Style" w:cs="Arial"/>
          <w:color w:val="000000"/>
        </w:rPr>
        <w:t>v</w:t>
      </w:r>
      <w:r>
        <w:rPr>
          <w:rFonts w:ascii="Bookman Old Style" w:hAnsi="Bookman Old Style" w:cs="Arial"/>
          <w:color w:val="000000"/>
        </w:rPr>
        <w:t>enta.</w:t>
      </w:r>
    </w:p>
    <w:p w14:paraId="2E45726E" w14:textId="3943A8DF" w:rsidR="006E30AE" w:rsidRDefault="006E30AE" w:rsidP="00F413B1">
      <w:pPr>
        <w:tabs>
          <w:tab w:val="center" w:pos="709"/>
        </w:tabs>
        <w:suppressAutoHyphens/>
        <w:ind w:left="0" w:right="51"/>
        <w:jc w:val="both"/>
        <w:rPr>
          <w:rFonts w:ascii="Bookman Old Style" w:hAnsi="Bookman Old Style" w:cs="Arial"/>
          <w:color w:val="000000"/>
        </w:rPr>
      </w:pPr>
    </w:p>
    <w:p w14:paraId="73B254B7" w14:textId="35A91D53" w:rsidR="006E30AE" w:rsidRPr="00733703" w:rsidRDefault="006E30AE" w:rsidP="00F413B1">
      <w:pPr>
        <w:tabs>
          <w:tab w:val="center" w:pos="709"/>
        </w:tabs>
        <w:suppressAutoHyphens/>
        <w:ind w:left="0" w:right="51"/>
        <w:jc w:val="both"/>
        <w:rPr>
          <w:rFonts w:ascii="Bookman Old Style" w:hAnsi="Bookman Old Style" w:cs="Arial"/>
          <w:color w:val="000000"/>
        </w:rPr>
      </w:pPr>
      <w:r>
        <w:rPr>
          <w:rFonts w:ascii="Bookman Old Style" w:hAnsi="Bookman Old Style" w:cs="Arial"/>
          <w:b/>
          <w:bCs/>
          <w:color w:val="000000"/>
        </w:rPr>
        <w:t xml:space="preserve">Parágrafo </w:t>
      </w:r>
      <w:r w:rsidR="00733703">
        <w:rPr>
          <w:rFonts w:ascii="Bookman Old Style" w:hAnsi="Bookman Old Style" w:cs="Arial"/>
          <w:b/>
          <w:bCs/>
          <w:color w:val="000000"/>
        </w:rPr>
        <w:t xml:space="preserve">2. </w:t>
      </w:r>
      <w:r w:rsidR="00B01674">
        <w:rPr>
          <w:rFonts w:ascii="Bookman Old Style" w:hAnsi="Bookman Old Style" w:cs="Arial"/>
          <w:color w:val="000000"/>
        </w:rPr>
        <w:t>L</w:t>
      </w:r>
      <w:r w:rsidR="005209F2">
        <w:rPr>
          <w:rFonts w:ascii="Bookman Old Style" w:hAnsi="Bookman Old Style" w:cs="Arial"/>
          <w:color w:val="000000"/>
        </w:rPr>
        <w:t xml:space="preserve">a declaración de interés y toda la información </w:t>
      </w:r>
      <w:r w:rsidR="005149AF">
        <w:rPr>
          <w:rFonts w:ascii="Bookman Old Style" w:hAnsi="Bookman Old Style" w:cs="Arial"/>
          <w:color w:val="000000"/>
        </w:rPr>
        <w:t>que los agentes deben enviar a</w:t>
      </w:r>
      <w:r w:rsidR="009A27AE">
        <w:rPr>
          <w:rFonts w:ascii="Bookman Old Style" w:hAnsi="Bookman Old Style" w:cs="Arial"/>
          <w:color w:val="000000"/>
        </w:rPr>
        <w:t xml:space="preserve">l ASIC </w:t>
      </w:r>
      <w:r w:rsidR="00490DA0">
        <w:rPr>
          <w:rFonts w:ascii="Bookman Old Style" w:hAnsi="Bookman Old Style" w:cs="Arial"/>
          <w:color w:val="000000"/>
        </w:rPr>
        <w:t>durante las etapas descritas en el cronograma</w:t>
      </w:r>
      <w:r w:rsidR="003E629F">
        <w:rPr>
          <w:rFonts w:ascii="Bookman Old Style" w:hAnsi="Bookman Old Style" w:cs="Arial"/>
          <w:color w:val="000000"/>
        </w:rPr>
        <w:t xml:space="preserve"> de la SRCFV</w:t>
      </w:r>
      <w:r w:rsidR="00490DA0">
        <w:rPr>
          <w:rFonts w:ascii="Bookman Old Style" w:hAnsi="Bookman Old Style" w:cs="Arial"/>
          <w:color w:val="000000"/>
        </w:rPr>
        <w:t xml:space="preserve">, </w:t>
      </w:r>
      <w:r w:rsidR="003E629F">
        <w:rPr>
          <w:rFonts w:ascii="Bookman Old Style" w:hAnsi="Bookman Old Style" w:cs="Arial"/>
          <w:color w:val="000000"/>
        </w:rPr>
        <w:t>deberá ser enviada en los formatos que disponga el ASIC.</w:t>
      </w:r>
    </w:p>
    <w:p w14:paraId="3467BD67" w14:textId="0AD9FA47" w:rsidR="00A57269" w:rsidRDefault="00A57269" w:rsidP="00F413B1">
      <w:pPr>
        <w:tabs>
          <w:tab w:val="center" w:pos="709"/>
        </w:tabs>
        <w:suppressAutoHyphens/>
        <w:ind w:left="0" w:right="51"/>
        <w:jc w:val="both"/>
        <w:rPr>
          <w:rFonts w:ascii="Bookman Old Style" w:hAnsi="Bookman Old Style" w:cs="Arial"/>
          <w:color w:val="000000"/>
        </w:rPr>
      </w:pPr>
    </w:p>
    <w:p w14:paraId="128C4793" w14:textId="10D27155" w:rsidR="00F413B1" w:rsidRDefault="00F413B1" w:rsidP="00F413B1">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Pr>
          <w:rFonts w:ascii="Bookman Old Style" w:hAnsi="Bookman Old Style" w:cs="Arial"/>
          <w:b/>
          <w:color w:val="000000"/>
          <w:lang w:val="es-CO"/>
        </w:rPr>
        <w:t>Transición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B7474C">
        <w:rPr>
          <w:rFonts w:ascii="Bookman Old Style" w:hAnsi="Bookman Old Style" w:cs="Arial"/>
          <w:color w:val="000000"/>
          <w:lang w:val="es-CO"/>
        </w:rPr>
        <w:t>Los</w:t>
      </w:r>
      <w:r>
        <w:rPr>
          <w:rFonts w:ascii="Bookman Old Style" w:hAnsi="Bookman Old Style" w:cs="Arial"/>
          <w:color w:val="000000"/>
          <w:lang w:val="es-CO"/>
        </w:rPr>
        <w:t xml:space="preserve"> plazos para el cumplimiento de</w:t>
      </w:r>
      <w:r w:rsidR="00CA5677">
        <w:rPr>
          <w:rFonts w:ascii="Bookman Old Style" w:hAnsi="Bookman Old Style" w:cs="Arial"/>
          <w:color w:val="000000"/>
          <w:lang w:val="es-CO"/>
        </w:rPr>
        <w:t xml:space="preserve"> </w:t>
      </w:r>
      <w:r w:rsidR="008632DA">
        <w:rPr>
          <w:rFonts w:ascii="Bookman Old Style" w:hAnsi="Bookman Old Style" w:cs="Arial"/>
          <w:color w:val="000000"/>
          <w:lang w:val="es-CO"/>
        </w:rPr>
        <w:t xml:space="preserve">las </w:t>
      </w:r>
      <w:r w:rsidR="00CA5677">
        <w:rPr>
          <w:rFonts w:ascii="Bookman Old Style" w:hAnsi="Bookman Old Style" w:cs="Arial"/>
          <w:color w:val="000000"/>
          <w:lang w:val="es-CO"/>
        </w:rPr>
        <w:t xml:space="preserve">obligaciones </w:t>
      </w:r>
      <w:r w:rsidR="008632DA">
        <w:rPr>
          <w:rFonts w:ascii="Bookman Old Style" w:hAnsi="Bookman Old Style" w:cs="Arial"/>
          <w:color w:val="000000"/>
          <w:lang w:val="es-CO"/>
        </w:rPr>
        <w:t>de</w:t>
      </w:r>
      <w:r>
        <w:rPr>
          <w:rFonts w:ascii="Bookman Old Style" w:hAnsi="Bookman Old Style" w:cs="Arial"/>
          <w:color w:val="000000"/>
          <w:lang w:val="es-CO"/>
        </w:rPr>
        <w:t xml:space="preserve"> actualización de garantías y </w:t>
      </w:r>
      <w:r w:rsidR="00005220" w:rsidRPr="00005220">
        <w:rPr>
          <w:rFonts w:ascii="Bookman Old Style" w:hAnsi="Bookman Old Style" w:cs="Arial"/>
          <w:color w:val="000000"/>
          <w:lang w:val="es-CO"/>
        </w:rPr>
        <w:t xml:space="preserve">registro de </w:t>
      </w:r>
      <w:r w:rsidR="00045E23">
        <w:rPr>
          <w:rFonts w:ascii="Bookman Old Style" w:hAnsi="Bookman Old Style" w:cs="Arial"/>
          <w:color w:val="000000"/>
          <w:lang w:val="es-CO"/>
        </w:rPr>
        <w:t>a</w:t>
      </w:r>
      <w:r w:rsidR="00005220" w:rsidRPr="00005220">
        <w:rPr>
          <w:rFonts w:ascii="Bookman Old Style" w:hAnsi="Bookman Old Style" w:cs="Arial"/>
          <w:color w:val="000000"/>
          <w:lang w:val="es-CO"/>
        </w:rPr>
        <w:t xml:space="preserve">nillos de </w:t>
      </w:r>
      <w:r w:rsidR="00045E23">
        <w:rPr>
          <w:rFonts w:ascii="Bookman Old Style" w:hAnsi="Bookman Old Style" w:cs="Arial"/>
          <w:color w:val="000000"/>
          <w:lang w:val="es-CO"/>
        </w:rPr>
        <w:t>s</w:t>
      </w:r>
      <w:r w:rsidR="00005220" w:rsidRPr="00005220">
        <w:rPr>
          <w:rFonts w:ascii="Bookman Old Style" w:hAnsi="Bookman Old Style" w:cs="Arial"/>
          <w:color w:val="000000"/>
          <w:lang w:val="es-CO"/>
        </w:rPr>
        <w:t>eguridad previstos en la Resolución CREG 061 de 2007</w:t>
      </w:r>
      <w:r>
        <w:rPr>
          <w:rFonts w:ascii="Bookman Old Style" w:hAnsi="Bookman Old Style" w:cs="Arial"/>
          <w:color w:val="000000"/>
          <w:lang w:val="es-CO"/>
        </w:rPr>
        <w:t xml:space="preserve">, </w:t>
      </w:r>
      <w:r w:rsidRPr="00342506">
        <w:rPr>
          <w:rFonts w:ascii="Bookman Old Style" w:hAnsi="Bookman Old Style" w:cs="Arial"/>
          <w:color w:val="000000"/>
          <w:lang w:val="es-CO"/>
        </w:rPr>
        <w:t xml:space="preserve">y </w:t>
      </w:r>
      <w:r w:rsidR="008632DA">
        <w:rPr>
          <w:rFonts w:ascii="Bookman Old Style" w:hAnsi="Bookman Old Style" w:cs="Arial"/>
          <w:color w:val="000000"/>
          <w:lang w:val="es-CO"/>
        </w:rPr>
        <w:t xml:space="preserve">de </w:t>
      </w:r>
      <w:r w:rsidRPr="00342506">
        <w:rPr>
          <w:rFonts w:ascii="Bookman Old Style" w:hAnsi="Bookman Old Style" w:cs="Arial"/>
          <w:color w:val="000000"/>
          <w:lang w:val="es-CO"/>
        </w:rPr>
        <w:t xml:space="preserve">las auditorias de plantas </w:t>
      </w:r>
      <w:r w:rsidR="008632DA">
        <w:rPr>
          <w:rFonts w:ascii="Bookman Old Style" w:hAnsi="Bookman Old Style" w:cs="Arial"/>
          <w:color w:val="000000"/>
          <w:lang w:val="es-CO"/>
        </w:rPr>
        <w:t xml:space="preserve">de </w:t>
      </w:r>
      <w:r w:rsidRPr="00342506">
        <w:rPr>
          <w:rFonts w:ascii="Bookman Old Style" w:hAnsi="Bookman Old Style" w:cs="Arial"/>
          <w:color w:val="000000"/>
          <w:lang w:val="es-CO"/>
        </w:rPr>
        <w:t>que trata el artículo 8 de la Resolución CREG 071 de 2006</w:t>
      </w:r>
      <w:r w:rsidR="008632DA">
        <w:rPr>
          <w:rFonts w:ascii="Bookman Old Style" w:hAnsi="Bookman Old Style" w:cs="Arial"/>
          <w:color w:val="000000"/>
          <w:lang w:val="es-CO"/>
        </w:rPr>
        <w:t>,</w:t>
      </w:r>
      <w:r>
        <w:rPr>
          <w:rFonts w:ascii="Bookman Old Style" w:hAnsi="Bookman Old Style" w:cs="Arial"/>
          <w:color w:val="000000"/>
          <w:lang w:val="es-CO"/>
        </w:rPr>
        <w:t xml:space="preserve"> se suspenderán para las plantas en construcción que tengan OEF </w:t>
      </w:r>
      <w:r w:rsidR="00C01A10">
        <w:rPr>
          <w:rFonts w:ascii="Bookman Old Style" w:hAnsi="Bookman Old Style" w:cs="Arial"/>
          <w:color w:val="000000"/>
          <w:lang w:val="es-CO"/>
        </w:rPr>
        <w:t xml:space="preserve">asignadas </w:t>
      </w:r>
      <w:r>
        <w:rPr>
          <w:rFonts w:ascii="Bookman Old Style" w:hAnsi="Bookman Old Style" w:cs="Arial"/>
          <w:color w:val="000000"/>
          <w:lang w:val="es-CO"/>
        </w:rPr>
        <w:t>para el período 20</w:t>
      </w:r>
      <w:r w:rsidR="00EA4011">
        <w:rPr>
          <w:rFonts w:ascii="Bookman Old Style" w:hAnsi="Bookman Old Style" w:cs="Arial"/>
          <w:color w:val="000000"/>
          <w:lang w:val="es-CO"/>
        </w:rPr>
        <w:t>22</w:t>
      </w:r>
      <w:r>
        <w:rPr>
          <w:rFonts w:ascii="Bookman Old Style" w:hAnsi="Bookman Old Style" w:cs="Arial"/>
          <w:color w:val="000000"/>
          <w:lang w:val="es-CO"/>
        </w:rPr>
        <w:t>-20</w:t>
      </w:r>
      <w:r w:rsidR="00EA4011">
        <w:rPr>
          <w:rFonts w:ascii="Bookman Old Style" w:hAnsi="Bookman Old Style" w:cs="Arial"/>
          <w:color w:val="000000"/>
          <w:lang w:val="es-CO"/>
        </w:rPr>
        <w:t>23</w:t>
      </w:r>
      <w:r>
        <w:rPr>
          <w:rFonts w:ascii="Bookman Old Style" w:hAnsi="Bookman Old Style" w:cs="Arial"/>
          <w:color w:val="000000"/>
          <w:lang w:val="es-CO"/>
        </w:rPr>
        <w:t xml:space="preserve"> </w:t>
      </w:r>
      <w:r w:rsidR="00C01A10">
        <w:rPr>
          <w:rFonts w:ascii="Bookman Old Style" w:hAnsi="Bookman Old Style" w:cs="Arial"/>
          <w:color w:val="000000"/>
          <w:lang w:val="es-CO"/>
        </w:rPr>
        <w:t>en la fecha en</w:t>
      </w:r>
      <w:r>
        <w:rPr>
          <w:rFonts w:ascii="Bookman Old Style" w:hAnsi="Bookman Old Style" w:cs="Arial"/>
          <w:color w:val="000000"/>
          <w:lang w:val="es-CO"/>
        </w:rPr>
        <w:t xml:space="preserve"> que declaren interés </w:t>
      </w:r>
      <w:r w:rsidR="00057958">
        <w:rPr>
          <w:rFonts w:ascii="Bookman Old Style" w:hAnsi="Bookman Old Style" w:cs="Arial"/>
          <w:color w:val="000000"/>
          <w:lang w:val="es-CO"/>
        </w:rPr>
        <w:t>de</w:t>
      </w:r>
      <w:r>
        <w:rPr>
          <w:rFonts w:ascii="Bookman Old Style" w:hAnsi="Bookman Old Style" w:cs="Arial"/>
          <w:color w:val="000000"/>
          <w:lang w:val="es-CO"/>
        </w:rPr>
        <w:t xml:space="preserve"> participar en la </w:t>
      </w:r>
      <w:r w:rsidR="00382616">
        <w:rPr>
          <w:rFonts w:ascii="Bookman Old Style" w:hAnsi="Bookman Old Style" w:cs="Arial"/>
          <w:color w:val="000000"/>
          <w:lang w:val="es-CO"/>
        </w:rPr>
        <w:t>SRCFV</w:t>
      </w:r>
      <w:r>
        <w:rPr>
          <w:rFonts w:ascii="Bookman Old Style" w:hAnsi="Bookman Old Style" w:cs="Arial"/>
          <w:color w:val="000000"/>
          <w:lang w:val="es-CO"/>
        </w:rPr>
        <w:t>.</w:t>
      </w:r>
    </w:p>
    <w:p w14:paraId="2AA28BB9"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p>
    <w:p w14:paraId="38D71053" w14:textId="3C5D9060" w:rsidR="00F413B1" w:rsidRDefault="00CB6ED7" w:rsidP="00F413B1">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color w:val="000000"/>
          <w:lang w:val="es-CO"/>
        </w:rPr>
        <w:t>L</w:t>
      </w:r>
      <w:r w:rsidR="00AA44D9">
        <w:rPr>
          <w:rFonts w:ascii="Bookman Old Style" w:hAnsi="Bookman Old Style" w:cs="Arial"/>
          <w:color w:val="000000"/>
          <w:lang w:val="es-CO"/>
        </w:rPr>
        <w:t>os</w:t>
      </w:r>
      <w:r w:rsidR="009009FB">
        <w:rPr>
          <w:rFonts w:ascii="Bookman Old Style" w:hAnsi="Bookman Old Style" w:cs="Arial"/>
          <w:color w:val="000000"/>
          <w:lang w:val="es-CO"/>
        </w:rPr>
        <w:t xml:space="preserve"> </w:t>
      </w:r>
      <w:r w:rsidR="00AA44D9">
        <w:rPr>
          <w:rFonts w:ascii="Bookman Old Style" w:hAnsi="Bookman Old Style" w:cs="Arial"/>
          <w:color w:val="000000"/>
          <w:lang w:val="es-CO"/>
        </w:rPr>
        <w:t xml:space="preserve">plazos para el </w:t>
      </w:r>
      <w:r w:rsidR="009009FB">
        <w:rPr>
          <w:rFonts w:ascii="Bookman Old Style" w:hAnsi="Bookman Old Style" w:cs="Arial"/>
          <w:color w:val="000000"/>
          <w:lang w:val="es-CO"/>
        </w:rPr>
        <w:t>cumplimiento de</w:t>
      </w:r>
      <w:r w:rsidR="00F413B1">
        <w:rPr>
          <w:rFonts w:ascii="Bookman Old Style" w:hAnsi="Bookman Old Style" w:cs="Arial"/>
          <w:color w:val="000000"/>
          <w:lang w:val="es-CO"/>
        </w:rPr>
        <w:t xml:space="preserve"> </w:t>
      </w:r>
      <w:r w:rsidR="00062926">
        <w:rPr>
          <w:rFonts w:ascii="Bookman Old Style" w:hAnsi="Bookman Old Style" w:cs="Arial"/>
          <w:color w:val="000000"/>
          <w:lang w:val="es-CO"/>
        </w:rPr>
        <w:t xml:space="preserve">las obligaciones </w:t>
      </w:r>
      <w:r w:rsidR="00F413B1">
        <w:rPr>
          <w:rFonts w:ascii="Bookman Old Style" w:hAnsi="Bookman Old Style" w:cs="Arial"/>
          <w:color w:val="000000"/>
          <w:lang w:val="es-CO"/>
        </w:rPr>
        <w:t xml:space="preserve">señaladas en </w:t>
      </w:r>
      <w:r w:rsidR="004D513C">
        <w:rPr>
          <w:rFonts w:ascii="Bookman Old Style" w:hAnsi="Bookman Old Style" w:cs="Arial"/>
          <w:color w:val="000000"/>
          <w:lang w:val="es-CO"/>
        </w:rPr>
        <w:t xml:space="preserve">el </w:t>
      </w:r>
      <w:r w:rsidR="00F413B1">
        <w:rPr>
          <w:rFonts w:ascii="Bookman Old Style" w:hAnsi="Bookman Old Style" w:cs="Arial"/>
          <w:color w:val="000000"/>
          <w:lang w:val="es-CO"/>
        </w:rPr>
        <w:t>presente artículo</w:t>
      </w:r>
      <w:r>
        <w:rPr>
          <w:rFonts w:ascii="Bookman Old Style" w:hAnsi="Bookman Old Style" w:cs="Arial"/>
          <w:color w:val="000000"/>
          <w:lang w:val="es-CO"/>
        </w:rPr>
        <w:t xml:space="preserve"> se reanudarán</w:t>
      </w:r>
      <w:r w:rsidR="00062926">
        <w:rPr>
          <w:rFonts w:ascii="Bookman Old Style" w:hAnsi="Bookman Old Style" w:cs="Arial"/>
          <w:color w:val="000000"/>
          <w:lang w:val="es-CO"/>
        </w:rPr>
        <w:t xml:space="preserve"> a</w:t>
      </w:r>
      <w:r w:rsidR="0079173E">
        <w:rPr>
          <w:rFonts w:ascii="Bookman Old Style" w:hAnsi="Bookman Old Style" w:cs="Arial"/>
          <w:color w:val="000000"/>
          <w:lang w:val="es-CO"/>
        </w:rPr>
        <w:t xml:space="preserve"> partir del día hábil siguiente </w:t>
      </w:r>
      <w:r w:rsidR="00C70DB7">
        <w:rPr>
          <w:rFonts w:ascii="Bookman Old Style" w:hAnsi="Bookman Old Style" w:cs="Arial"/>
          <w:color w:val="000000"/>
          <w:lang w:val="es-CO"/>
        </w:rPr>
        <w:t>a</w:t>
      </w:r>
      <w:r w:rsidR="00D80D26">
        <w:rPr>
          <w:rFonts w:ascii="Bookman Old Style" w:hAnsi="Bookman Old Style" w:cs="Arial"/>
          <w:color w:val="000000"/>
          <w:lang w:val="es-CO"/>
        </w:rPr>
        <w:t xml:space="preserve"> la publicación de </w:t>
      </w:r>
      <w:r w:rsidR="008632DA">
        <w:rPr>
          <w:rFonts w:ascii="Bookman Old Style" w:hAnsi="Bookman Old Style" w:cs="Arial"/>
          <w:color w:val="000000"/>
          <w:lang w:val="es-CO"/>
        </w:rPr>
        <w:t xml:space="preserve">los </w:t>
      </w:r>
      <w:r w:rsidR="00D80D26">
        <w:rPr>
          <w:rFonts w:ascii="Bookman Old Style" w:hAnsi="Bookman Old Style" w:cs="Arial"/>
          <w:color w:val="000000"/>
          <w:lang w:val="es-CO"/>
        </w:rPr>
        <w:t xml:space="preserve">resultados </w:t>
      </w:r>
      <w:r w:rsidR="00907E24">
        <w:rPr>
          <w:rFonts w:ascii="Bookman Old Style" w:hAnsi="Bookman Old Style" w:cs="Arial"/>
          <w:color w:val="000000"/>
          <w:lang w:val="es-CO"/>
        </w:rPr>
        <w:t>de la subasta</w:t>
      </w:r>
      <w:r w:rsidR="00BA5DF3">
        <w:rPr>
          <w:rFonts w:ascii="Bookman Old Style" w:hAnsi="Bookman Old Style" w:cs="Arial"/>
          <w:color w:val="000000"/>
          <w:lang w:val="es-CO"/>
        </w:rPr>
        <w:t>,</w:t>
      </w:r>
      <w:r w:rsidR="00907E24">
        <w:rPr>
          <w:rFonts w:ascii="Bookman Old Style" w:hAnsi="Bookman Old Style" w:cs="Arial"/>
          <w:color w:val="000000"/>
          <w:lang w:val="es-CO"/>
        </w:rPr>
        <w:t xml:space="preserve"> o de la </w:t>
      </w:r>
      <w:r w:rsidR="006A25D1">
        <w:rPr>
          <w:rFonts w:ascii="Bookman Old Style" w:hAnsi="Bookman Old Style" w:cs="Arial"/>
          <w:color w:val="000000"/>
          <w:lang w:val="es-CO"/>
        </w:rPr>
        <w:t xml:space="preserve">publicación de la </w:t>
      </w:r>
      <w:r w:rsidR="00907E24">
        <w:rPr>
          <w:rFonts w:ascii="Bookman Old Style" w:hAnsi="Bookman Old Style" w:cs="Arial"/>
          <w:color w:val="000000"/>
          <w:lang w:val="es-CO"/>
        </w:rPr>
        <w:t xml:space="preserve">Circular CREG que cancele la </w:t>
      </w:r>
      <w:r w:rsidR="006A25D1">
        <w:rPr>
          <w:rFonts w:ascii="Bookman Old Style" w:hAnsi="Bookman Old Style" w:cs="Arial"/>
          <w:color w:val="000000"/>
          <w:lang w:val="es-CO"/>
        </w:rPr>
        <w:t>misma, lo que ocurra primero</w:t>
      </w:r>
      <w:r w:rsidR="00893B22">
        <w:rPr>
          <w:rFonts w:ascii="Bookman Old Style" w:hAnsi="Bookman Old Style" w:cs="Arial"/>
          <w:color w:val="000000"/>
          <w:lang w:val="es-CO"/>
        </w:rPr>
        <w:t>;</w:t>
      </w:r>
      <w:r w:rsidR="00F413B1">
        <w:rPr>
          <w:rFonts w:ascii="Bookman Old Style" w:hAnsi="Bookman Old Style" w:cs="Arial"/>
          <w:color w:val="000000"/>
          <w:lang w:val="es-CO"/>
        </w:rPr>
        <w:t xml:space="preserve"> </w:t>
      </w:r>
      <w:r w:rsidR="00893B22">
        <w:rPr>
          <w:rFonts w:ascii="Bookman Old Style" w:hAnsi="Bookman Old Style" w:cs="Arial"/>
          <w:color w:val="000000"/>
          <w:lang w:val="es-CO"/>
        </w:rPr>
        <w:t xml:space="preserve">y </w:t>
      </w:r>
      <w:r w:rsidR="000036C0">
        <w:rPr>
          <w:rFonts w:ascii="Bookman Old Style" w:hAnsi="Bookman Old Style" w:cs="Arial"/>
          <w:color w:val="000000"/>
          <w:lang w:val="es-CO"/>
        </w:rPr>
        <w:t xml:space="preserve">vencerán a los </w:t>
      </w:r>
      <w:r w:rsidR="00893B22">
        <w:rPr>
          <w:rFonts w:ascii="Bookman Old Style" w:hAnsi="Bookman Old Style" w:cs="Arial"/>
          <w:color w:val="000000"/>
          <w:lang w:val="es-CO"/>
        </w:rPr>
        <w:t xml:space="preserve">diez </w:t>
      </w:r>
      <w:r w:rsidR="00F413B1">
        <w:rPr>
          <w:rFonts w:ascii="Bookman Old Style" w:hAnsi="Bookman Old Style" w:cs="Arial"/>
          <w:color w:val="000000"/>
          <w:lang w:val="es-CO"/>
        </w:rPr>
        <w:t>(</w:t>
      </w:r>
      <w:r w:rsidR="00893B22">
        <w:rPr>
          <w:rFonts w:ascii="Bookman Old Style" w:hAnsi="Bookman Old Style" w:cs="Arial"/>
          <w:color w:val="000000"/>
          <w:lang w:val="es-CO"/>
        </w:rPr>
        <w:t>10</w:t>
      </w:r>
      <w:r w:rsidR="00F413B1">
        <w:rPr>
          <w:rFonts w:ascii="Bookman Old Style" w:hAnsi="Bookman Old Style" w:cs="Arial"/>
          <w:color w:val="000000"/>
          <w:lang w:val="es-CO"/>
        </w:rPr>
        <w:t xml:space="preserve">) </w:t>
      </w:r>
      <w:r w:rsidR="00EE0599">
        <w:rPr>
          <w:rFonts w:ascii="Bookman Old Style" w:hAnsi="Bookman Old Style" w:cs="Arial"/>
          <w:color w:val="000000"/>
          <w:lang w:val="es-CO"/>
        </w:rPr>
        <w:t xml:space="preserve">días </w:t>
      </w:r>
      <w:r w:rsidR="00F413B1">
        <w:rPr>
          <w:rFonts w:ascii="Bookman Old Style" w:hAnsi="Bookman Old Style" w:cs="Arial"/>
          <w:color w:val="000000"/>
          <w:lang w:val="es-CO"/>
        </w:rPr>
        <w:t>hábiles</w:t>
      </w:r>
      <w:r w:rsidR="000036C0">
        <w:rPr>
          <w:rFonts w:ascii="Bookman Old Style" w:hAnsi="Bookman Old Style" w:cs="Arial"/>
          <w:color w:val="000000"/>
          <w:lang w:val="es-CO"/>
        </w:rPr>
        <w:t xml:space="preserve"> siguientes</w:t>
      </w:r>
      <w:r w:rsidR="00F413B1">
        <w:rPr>
          <w:rFonts w:ascii="Bookman Old Style" w:hAnsi="Bookman Old Style" w:cs="Arial"/>
          <w:color w:val="000000"/>
          <w:lang w:val="es-CO"/>
        </w:rPr>
        <w:t>.</w:t>
      </w:r>
    </w:p>
    <w:p w14:paraId="2D9A0B02"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p>
    <w:p w14:paraId="09A510D0" w14:textId="77777777" w:rsidR="00F413B1" w:rsidRDefault="00F413B1" w:rsidP="00F413B1">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w:t>
      </w:r>
    </w:p>
    <w:p w14:paraId="7C569D26" w14:textId="7B44DF2D" w:rsidR="00956C7A" w:rsidRDefault="00956C7A" w:rsidP="00D35A92">
      <w:pPr>
        <w:ind w:left="0"/>
        <w:rPr>
          <w:rFonts w:ascii="Bookman Old Style" w:hAnsi="Bookman Old Style"/>
        </w:rPr>
      </w:pPr>
    </w:p>
    <w:p w14:paraId="3996679A" w14:textId="77777777" w:rsidR="00D35A92" w:rsidRPr="00C435C3" w:rsidRDefault="00D35A92" w:rsidP="00B85FC1">
      <w:pPr>
        <w:ind w:left="0"/>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0DBC27CD" w14:textId="214DAF09" w:rsidR="00567D5D" w:rsidRDefault="00567D5D" w:rsidP="00D35A92">
      <w:pPr>
        <w:ind w:left="0"/>
        <w:rPr>
          <w:rFonts w:ascii="Bookman Old Style" w:hAnsi="Bookman Old Style"/>
        </w:rPr>
      </w:pPr>
    </w:p>
    <w:p w14:paraId="3C40B1F4" w14:textId="77777777" w:rsidR="00F31373" w:rsidRDefault="00F31373" w:rsidP="00D35A92">
      <w:pPr>
        <w:ind w:left="0"/>
        <w:rPr>
          <w:rFonts w:ascii="Bookman Old Style" w:hAnsi="Bookman Old Style"/>
        </w:rPr>
      </w:pPr>
    </w:p>
    <w:p w14:paraId="25A66939" w14:textId="151A22B7" w:rsidR="008D4BA7" w:rsidRDefault="00F31373" w:rsidP="00D35A92">
      <w:pPr>
        <w:ind w:left="0"/>
        <w:rPr>
          <w:rFonts w:ascii="Bookman Old Style" w:hAnsi="Bookman Old Style"/>
        </w:rPr>
      </w:pPr>
      <w:r>
        <w:rPr>
          <w:rFonts w:ascii="Bookman Old Style" w:hAnsi="Bookman Old Style"/>
        </w:rPr>
        <w:t>Dada en Bogotá</w:t>
      </w:r>
      <w:r w:rsidR="00B85FC1">
        <w:rPr>
          <w:rFonts w:ascii="Bookman Old Style" w:hAnsi="Bookman Old Style"/>
        </w:rPr>
        <w:t>,</w:t>
      </w:r>
      <w:r>
        <w:rPr>
          <w:rFonts w:ascii="Bookman Old Style" w:hAnsi="Bookman Old Style"/>
        </w:rPr>
        <w:t xml:space="preserve"> D.C., a </w:t>
      </w:r>
      <w:r w:rsidR="008E6963">
        <w:rPr>
          <w:rFonts w:ascii="Bookman Old Style" w:hAnsi="Bookman Old Style"/>
          <w:b/>
          <w:bCs/>
        </w:rPr>
        <w:t>07</w:t>
      </w:r>
      <w:r w:rsidRPr="00F31373">
        <w:rPr>
          <w:rFonts w:ascii="Bookman Old Style" w:hAnsi="Bookman Old Style"/>
          <w:b/>
          <w:bCs/>
        </w:rPr>
        <w:t xml:space="preserve"> OCT 2021</w:t>
      </w:r>
    </w:p>
    <w:p w14:paraId="276251A2" w14:textId="1971DFD0" w:rsidR="00B83B7B" w:rsidRDefault="00B83B7B" w:rsidP="00D35A92">
      <w:pPr>
        <w:ind w:left="0"/>
        <w:rPr>
          <w:rFonts w:ascii="Bookman Old Style" w:hAnsi="Bookman Old Style"/>
        </w:rPr>
      </w:pPr>
    </w:p>
    <w:p w14:paraId="40A3F632" w14:textId="6D28A883" w:rsidR="00233BD6" w:rsidRDefault="00233BD6" w:rsidP="00D35A92">
      <w:pPr>
        <w:ind w:left="0"/>
        <w:rPr>
          <w:rFonts w:ascii="Bookman Old Style" w:hAnsi="Bookman Old Style"/>
        </w:rPr>
      </w:pPr>
    </w:p>
    <w:p w14:paraId="4BD5AD50" w14:textId="77777777" w:rsidR="00233BD6" w:rsidRDefault="00233BD6" w:rsidP="00D35A92">
      <w:pPr>
        <w:ind w:left="0"/>
        <w:rPr>
          <w:rFonts w:ascii="Bookman Old Style" w:hAnsi="Bookman Old Style"/>
        </w:rPr>
      </w:pPr>
    </w:p>
    <w:p w14:paraId="0150C230" w14:textId="1C85FAEA" w:rsidR="00F31373" w:rsidRDefault="00F31373" w:rsidP="00D35A92">
      <w:pPr>
        <w:ind w:left="0"/>
        <w:rPr>
          <w:rFonts w:ascii="Bookman Old Style" w:hAnsi="Bookman Old Style"/>
        </w:rPr>
      </w:pPr>
    </w:p>
    <w:tbl>
      <w:tblPr>
        <w:tblW w:w="9495" w:type="dxa"/>
        <w:tblInd w:w="-147" w:type="dxa"/>
        <w:tblLayout w:type="fixed"/>
        <w:tblCellMar>
          <w:left w:w="0" w:type="dxa"/>
          <w:right w:w="0" w:type="dxa"/>
        </w:tblCellMar>
        <w:tblLook w:val="04A0" w:firstRow="1" w:lastRow="0" w:firstColumn="1" w:lastColumn="0" w:noHBand="0" w:noVBand="1"/>
      </w:tblPr>
      <w:tblGrid>
        <w:gridCol w:w="4823"/>
        <w:gridCol w:w="4672"/>
      </w:tblGrid>
      <w:tr w:rsidR="00233BD6" w14:paraId="2089515D" w14:textId="77777777" w:rsidTr="00A120C9">
        <w:tc>
          <w:tcPr>
            <w:tcW w:w="4825" w:type="dxa"/>
            <w:hideMark/>
          </w:tcPr>
          <w:p w14:paraId="701C89F3" w14:textId="77777777" w:rsidR="00233BD6" w:rsidRPr="00233BD6" w:rsidRDefault="00233BD6" w:rsidP="00A120C9">
            <w:pPr>
              <w:snapToGrid w:val="0"/>
              <w:jc w:val="center"/>
              <w:rPr>
                <w:rFonts w:ascii="Bookman Old Style" w:hAnsi="Bookman Old Style" w:cs="Arial"/>
                <w:b/>
                <w:bCs/>
              </w:rPr>
            </w:pPr>
            <w:r w:rsidRPr="00233BD6">
              <w:rPr>
                <w:rFonts w:ascii="Bookman Old Style" w:hAnsi="Bookman Old Style" w:cs="Arial"/>
                <w:b/>
                <w:bCs/>
              </w:rPr>
              <w:t>MIGUEL LOTERO ROBLEDO</w:t>
            </w:r>
          </w:p>
        </w:tc>
        <w:tc>
          <w:tcPr>
            <w:tcW w:w="4673" w:type="dxa"/>
            <w:hideMark/>
          </w:tcPr>
          <w:p w14:paraId="11E530AF" w14:textId="77777777" w:rsidR="00233BD6" w:rsidRPr="00233BD6" w:rsidRDefault="00233BD6" w:rsidP="00A120C9">
            <w:pPr>
              <w:snapToGrid w:val="0"/>
              <w:ind w:left="141"/>
              <w:jc w:val="center"/>
              <w:rPr>
                <w:rFonts w:ascii="Bookman Old Style" w:hAnsi="Bookman Old Style" w:cs="Arial"/>
                <w:b/>
                <w:bCs/>
              </w:rPr>
            </w:pPr>
            <w:r w:rsidRPr="00233BD6">
              <w:rPr>
                <w:rFonts w:ascii="Bookman Old Style" w:hAnsi="Bookman Old Style" w:cs="Arial"/>
                <w:b/>
                <w:bCs/>
              </w:rPr>
              <w:t>JORGE ALBERTO VALENCIA MARÍN</w:t>
            </w:r>
          </w:p>
        </w:tc>
      </w:tr>
      <w:tr w:rsidR="00233BD6" w14:paraId="4B0643BF" w14:textId="77777777" w:rsidTr="00A120C9">
        <w:tc>
          <w:tcPr>
            <w:tcW w:w="4825" w:type="dxa"/>
            <w:hideMark/>
          </w:tcPr>
          <w:p w14:paraId="4F032192" w14:textId="77777777" w:rsidR="00233BD6" w:rsidRPr="00233BD6" w:rsidRDefault="00233BD6" w:rsidP="00A120C9">
            <w:pPr>
              <w:snapToGrid w:val="0"/>
              <w:jc w:val="center"/>
              <w:rPr>
                <w:rFonts w:ascii="Bookman Old Style" w:hAnsi="Bookman Old Style" w:cs="Arial"/>
              </w:rPr>
            </w:pPr>
            <w:r w:rsidRPr="00233BD6">
              <w:rPr>
                <w:rFonts w:ascii="Bookman Old Style" w:hAnsi="Bookman Old Style" w:cs="Arial"/>
              </w:rPr>
              <w:t xml:space="preserve">Viceministro de Energía, delegado del </w:t>
            </w:r>
            <w:proofErr w:type="gramStart"/>
            <w:r w:rsidRPr="00233BD6">
              <w:rPr>
                <w:rFonts w:ascii="Bookman Old Style" w:hAnsi="Bookman Old Style" w:cs="Arial"/>
              </w:rPr>
              <w:t>Ministro</w:t>
            </w:r>
            <w:proofErr w:type="gramEnd"/>
            <w:r w:rsidRPr="00233BD6">
              <w:rPr>
                <w:rFonts w:ascii="Bookman Old Style" w:hAnsi="Bookman Old Style" w:cs="Arial"/>
              </w:rPr>
              <w:t xml:space="preserve"> de Minas y Energía</w:t>
            </w:r>
          </w:p>
          <w:p w14:paraId="462BAE23" w14:textId="77777777" w:rsidR="00233BD6" w:rsidRPr="00233BD6" w:rsidRDefault="00233BD6" w:rsidP="00A120C9">
            <w:pPr>
              <w:snapToGrid w:val="0"/>
              <w:jc w:val="center"/>
              <w:rPr>
                <w:rFonts w:ascii="Bookman Old Style" w:hAnsi="Bookman Old Style" w:cs="Arial"/>
              </w:rPr>
            </w:pPr>
            <w:r w:rsidRPr="00233BD6">
              <w:rPr>
                <w:rFonts w:ascii="Bookman Old Style" w:hAnsi="Bookman Old Style" w:cs="Arial"/>
              </w:rPr>
              <w:t>Presidente</w:t>
            </w:r>
          </w:p>
        </w:tc>
        <w:tc>
          <w:tcPr>
            <w:tcW w:w="4673" w:type="dxa"/>
            <w:hideMark/>
          </w:tcPr>
          <w:p w14:paraId="14C4553A" w14:textId="77777777" w:rsidR="00233BD6" w:rsidRPr="00233BD6" w:rsidRDefault="00233BD6" w:rsidP="00A120C9">
            <w:pPr>
              <w:snapToGrid w:val="0"/>
              <w:jc w:val="center"/>
              <w:rPr>
                <w:rFonts w:ascii="Bookman Old Style" w:hAnsi="Bookman Old Style" w:cs="Arial"/>
              </w:rPr>
            </w:pPr>
            <w:r w:rsidRPr="00233BD6">
              <w:rPr>
                <w:rFonts w:ascii="Bookman Old Style" w:hAnsi="Bookman Old Style" w:cs="Arial"/>
              </w:rPr>
              <w:t>Director Ejecutivo</w:t>
            </w:r>
          </w:p>
        </w:tc>
      </w:tr>
    </w:tbl>
    <w:p w14:paraId="45558279" w14:textId="7C7B271B" w:rsidR="00465DBA" w:rsidRDefault="00465DBA" w:rsidP="00D35A92">
      <w:pPr>
        <w:ind w:left="0"/>
        <w:rPr>
          <w:rFonts w:ascii="Bookman Old Style" w:hAnsi="Bookman Old Style"/>
        </w:rPr>
      </w:pPr>
    </w:p>
    <w:p w14:paraId="5BC91355" w14:textId="77777777" w:rsidR="00465DBA" w:rsidRDefault="00465DBA" w:rsidP="00D35A92">
      <w:pPr>
        <w:ind w:left="0"/>
        <w:rPr>
          <w:rFonts w:ascii="Bookman Old Style" w:hAnsi="Bookman Old Style"/>
        </w:rPr>
      </w:pPr>
    </w:p>
    <w:p w14:paraId="4A9F0BC9" w14:textId="5293F2BA" w:rsidR="00F31373" w:rsidRDefault="00F31373" w:rsidP="00D35A92">
      <w:pPr>
        <w:ind w:left="0"/>
        <w:rPr>
          <w:rFonts w:ascii="Bookman Old Style" w:hAnsi="Bookman Old Style"/>
        </w:rPr>
      </w:pPr>
    </w:p>
    <w:p w14:paraId="315F9955" w14:textId="5912B91E" w:rsidR="00BD5404" w:rsidRDefault="00BD5404">
      <w:pPr>
        <w:ind w:left="0"/>
        <w:rPr>
          <w:rFonts w:ascii="Bookman Old Style" w:hAnsi="Bookman Old Style"/>
          <w:b/>
        </w:rPr>
      </w:pPr>
      <w:r>
        <w:rPr>
          <w:rFonts w:ascii="Bookman Old Style" w:hAnsi="Bookman Old Style"/>
          <w:b/>
        </w:rPr>
        <w:br w:type="page"/>
      </w:r>
    </w:p>
    <w:p w14:paraId="3E549DEC" w14:textId="77777777" w:rsidR="0037188C" w:rsidRDefault="0037188C" w:rsidP="009868DB">
      <w:pPr>
        <w:ind w:left="0"/>
        <w:rPr>
          <w:rFonts w:ascii="Bookman Old Style" w:hAnsi="Bookman Old Style"/>
          <w:b/>
        </w:rPr>
      </w:pPr>
    </w:p>
    <w:p w14:paraId="47CDE9DD" w14:textId="0A36A520" w:rsidR="00EA4011" w:rsidRDefault="00EA4011" w:rsidP="00EA4011">
      <w:pPr>
        <w:ind w:left="0"/>
        <w:jc w:val="center"/>
        <w:rPr>
          <w:rFonts w:ascii="Bookman Old Style" w:hAnsi="Bookman Old Style"/>
          <w:b/>
          <w:lang w:val="es-CO"/>
        </w:rPr>
      </w:pPr>
      <w:r>
        <w:rPr>
          <w:rFonts w:ascii="Bookman Old Style" w:hAnsi="Bookman Old Style"/>
          <w:b/>
          <w:lang w:val="es-CO"/>
        </w:rPr>
        <w:t>A</w:t>
      </w:r>
      <w:r w:rsidR="00AE3450">
        <w:rPr>
          <w:rFonts w:ascii="Bookman Old Style" w:hAnsi="Bookman Old Style"/>
          <w:b/>
          <w:lang w:val="es-CO"/>
        </w:rPr>
        <w:t>nexo</w:t>
      </w:r>
    </w:p>
    <w:p w14:paraId="715D9EB8" w14:textId="1ACFED3D" w:rsidR="00AE3450" w:rsidRDefault="00AE3450" w:rsidP="00EA4011">
      <w:pPr>
        <w:ind w:left="0"/>
        <w:jc w:val="center"/>
        <w:rPr>
          <w:rFonts w:ascii="Bookman Old Style" w:hAnsi="Bookman Old Style"/>
          <w:b/>
          <w:lang w:val="es-CO"/>
        </w:rPr>
      </w:pPr>
    </w:p>
    <w:p w14:paraId="1523CD44" w14:textId="41D41BBC" w:rsidR="00232E5F" w:rsidRDefault="00232E5F" w:rsidP="00232E5F">
      <w:pPr>
        <w:ind w:left="0"/>
        <w:jc w:val="center"/>
        <w:rPr>
          <w:rFonts w:ascii="Bookman Old Style" w:hAnsi="Bookman Old Style"/>
          <w:b/>
          <w:lang w:val="es-CO"/>
        </w:rPr>
      </w:pPr>
      <w:r w:rsidRPr="004E65F5">
        <w:rPr>
          <w:rFonts w:ascii="Bookman Old Style" w:hAnsi="Bookman Old Style"/>
          <w:b/>
          <w:lang w:val="es-CO"/>
        </w:rPr>
        <w:t>Cronograma para repo</w:t>
      </w:r>
      <w:r>
        <w:rPr>
          <w:rFonts w:ascii="Bookman Old Style" w:hAnsi="Bookman Old Style"/>
          <w:b/>
          <w:lang w:val="es-CO"/>
        </w:rPr>
        <w:t xml:space="preserve">rte de información por </w:t>
      </w:r>
      <w:r w:rsidR="00EF5917">
        <w:rPr>
          <w:rFonts w:ascii="Bookman Old Style" w:hAnsi="Bookman Old Style"/>
          <w:b/>
          <w:lang w:val="es-CO"/>
        </w:rPr>
        <w:br/>
      </w:r>
      <w:r>
        <w:rPr>
          <w:rFonts w:ascii="Bookman Old Style" w:hAnsi="Bookman Old Style"/>
          <w:b/>
          <w:lang w:val="es-CO"/>
        </w:rPr>
        <w:t>parte de</w:t>
      </w:r>
      <w:r w:rsidRPr="004E65F5">
        <w:rPr>
          <w:rFonts w:ascii="Bookman Old Style" w:hAnsi="Bookman Old Style"/>
          <w:b/>
          <w:lang w:val="es-CO"/>
        </w:rPr>
        <w:t xml:space="preserve"> quienes deseen participar en la subasta de </w:t>
      </w:r>
      <w:r w:rsidR="00EF5917">
        <w:rPr>
          <w:rFonts w:ascii="Bookman Old Style" w:hAnsi="Bookman Old Style"/>
          <w:b/>
          <w:lang w:val="es-CO"/>
        </w:rPr>
        <w:br/>
      </w:r>
      <w:r w:rsidRPr="004E65F5">
        <w:rPr>
          <w:rFonts w:ascii="Bookman Old Style" w:hAnsi="Bookman Old Style"/>
          <w:b/>
          <w:lang w:val="es-CO"/>
        </w:rPr>
        <w:t xml:space="preserve">reconfiguración de </w:t>
      </w:r>
      <w:r>
        <w:rPr>
          <w:rFonts w:ascii="Bookman Old Style" w:hAnsi="Bookman Old Style"/>
          <w:b/>
          <w:lang w:val="es-CO"/>
        </w:rPr>
        <w:t>venta</w:t>
      </w:r>
      <w:r w:rsidRPr="004E65F5">
        <w:rPr>
          <w:rFonts w:ascii="Bookman Old Style" w:hAnsi="Bookman Old Style"/>
          <w:b/>
          <w:lang w:val="es-CO"/>
        </w:rPr>
        <w:t xml:space="preserve"> para </w:t>
      </w:r>
      <w:r>
        <w:rPr>
          <w:rFonts w:ascii="Bookman Old Style" w:hAnsi="Bookman Old Style"/>
          <w:b/>
          <w:lang w:val="es-CO"/>
        </w:rPr>
        <w:t>el</w:t>
      </w:r>
      <w:r w:rsidRPr="004E65F5">
        <w:rPr>
          <w:rFonts w:ascii="Bookman Old Style" w:hAnsi="Bookman Old Style"/>
          <w:b/>
          <w:lang w:val="es-CO"/>
        </w:rPr>
        <w:t xml:space="preserve"> periodo </w:t>
      </w:r>
      <w:r>
        <w:rPr>
          <w:rFonts w:ascii="Bookman Old Style" w:hAnsi="Bookman Old Style"/>
          <w:b/>
          <w:lang w:val="es-CO"/>
        </w:rPr>
        <w:t>2022-</w:t>
      </w:r>
      <w:r w:rsidRPr="004E65F5">
        <w:rPr>
          <w:rFonts w:ascii="Bookman Old Style" w:hAnsi="Bookman Old Style"/>
          <w:b/>
          <w:lang w:val="es-CO"/>
        </w:rPr>
        <w:t>202</w:t>
      </w:r>
      <w:r>
        <w:rPr>
          <w:rFonts w:ascii="Bookman Old Style" w:hAnsi="Bookman Old Style"/>
          <w:b/>
          <w:lang w:val="es-CO"/>
        </w:rPr>
        <w:t>3</w:t>
      </w:r>
    </w:p>
    <w:p w14:paraId="35CD041E" w14:textId="77777777" w:rsidR="00232E5F" w:rsidRDefault="00232E5F" w:rsidP="00EA4011">
      <w:pPr>
        <w:ind w:left="0"/>
        <w:jc w:val="center"/>
        <w:rPr>
          <w:rFonts w:ascii="Bookman Old Style" w:hAnsi="Bookman Old Style"/>
          <w:b/>
          <w:lang w:val="es-CO"/>
        </w:rPr>
      </w:pPr>
    </w:p>
    <w:p w14:paraId="1E200DD7" w14:textId="242CE66D" w:rsidR="00B11AF6" w:rsidRDefault="00B11AF6">
      <w:pPr>
        <w:ind w:left="0"/>
        <w:rPr>
          <w:rFonts w:ascii="Bookman Old Style" w:hAnsi="Bookman Old Style"/>
          <w:b/>
          <w:lang w:val="es-CO"/>
        </w:rPr>
      </w:pPr>
    </w:p>
    <w:tbl>
      <w:tblPr>
        <w:tblW w:w="8873" w:type="dxa"/>
        <w:jc w:val="center"/>
        <w:tblCellMar>
          <w:left w:w="70" w:type="dxa"/>
          <w:right w:w="70" w:type="dxa"/>
        </w:tblCellMar>
        <w:tblLook w:val="04A0" w:firstRow="1" w:lastRow="0" w:firstColumn="1" w:lastColumn="0" w:noHBand="0" w:noVBand="1"/>
      </w:tblPr>
      <w:tblGrid>
        <w:gridCol w:w="740"/>
        <w:gridCol w:w="1704"/>
        <w:gridCol w:w="3500"/>
        <w:gridCol w:w="1429"/>
        <w:gridCol w:w="1500"/>
      </w:tblGrid>
      <w:tr w:rsidR="00B11AF6" w:rsidRPr="00536352" w14:paraId="3F0EF8D8" w14:textId="77777777" w:rsidTr="00EA480F">
        <w:trPr>
          <w:trHeight w:val="30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EBFACAC" w14:textId="77777777" w:rsidR="00B11AF6" w:rsidRPr="00536352" w:rsidRDefault="00B11AF6" w:rsidP="00EA480F">
            <w:pPr>
              <w:ind w:left="0"/>
              <w:jc w:val="center"/>
              <w:rPr>
                <w:rFonts w:ascii="Bookman Old Style" w:hAnsi="Bookman Old Style"/>
                <w:b/>
                <w:bCs/>
                <w:color w:val="FFFFFF"/>
                <w:sz w:val="20"/>
                <w:szCs w:val="20"/>
                <w:lang w:val="es-CO" w:eastAsia="es-CO"/>
              </w:rPr>
            </w:pPr>
            <w:r w:rsidRPr="00536352">
              <w:rPr>
                <w:rFonts w:ascii="Bookman Old Style" w:hAnsi="Bookman Old Style"/>
                <w:b/>
                <w:bCs/>
                <w:color w:val="FFFFFF"/>
                <w:sz w:val="20"/>
                <w:szCs w:val="20"/>
                <w:lang w:val="es-CO" w:eastAsia="es-CO"/>
              </w:rPr>
              <w:t>Etapa</w:t>
            </w:r>
          </w:p>
        </w:tc>
        <w:tc>
          <w:tcPr>
            <w:tcW w:w="1704" w:type="dxa"/>
            <w:tcBorders>
              <w:top w:val="single" w:sz="4" w:space="0" w:color="auto"/>
              <w:left w:val="nil"/>
              <w:bottom w:val="single" w:sz="4" w:space="0" w:color="auto"/>
              <w:right w:val="single" w:sz="4" w:space="0" w:color="auto"/>
            </w:tcBorders>
            <w:shd w:val="clear" w:color="000000" w:fill="000000"/>
            <w:noWrap/>
            <w:vAlign w:val="center"/>
            <w:hideMark/>
          </w:tcPr>
          <w:p w14:paraId="2A502BD6" w14:textId="77777777" w:rsidR="00B11AF6" w:rsidRPr="00536352" w:rsidRDefault="00B11AF6" w:rsidP="00EA480F">
            <w:pPr>
              <w:ind w:left="0"/>
              <w:jc w:val="center"/>
              <w:rPr>
                <w:rFonts w:ascii="Bookman Old Style" w:hAnsi="Bookman Old Style"/>
                <w:b/>
                <w:bCs/>
                <w:color w:val="FFFFFF"/>
                <w:sz w:val="20"/>
                <w:szCs w:val="20"/>
                <w:lang w:val="es-CO" w:eastAsia="es-CO"/>
              </w:rPr>
            </w:pPr>
            <w:r w:rsidRPr="00536352">
              <w:rPr>
                <w:rFonts w:ascii="Bookman Old Style" w:hAnsi="Bookman Old Style"/>
                <w:b/>
                <w:bCs/>
                <w:color w:val="FFFFFF"/>
                <w:sz w:val="20"/>
                <w:szCs w:val="20"/>
                <w:lang w:val="es-CO" w:eastAsia="es-CO"/>
              </w:rPr>
              <w:t>Tipo</w:t>
            </w:r>
          </w:p>
        </w:tc>
        <w:tc>
          <w:tcPr>
            <w:tcW w:w="3500" w:type="dxa"/>
            <w:tcBorders>
              <w:top w:val="single" w:sz="4" w:space="0" w:color="auto"/>
              <w:left w:val="nil"/>
              <w:bottom w:val="single" w:sz="4" w:space="0" w:color="auto"/>
              <w:right w:val="single" w:sz="4" w:space="0" w:color="auto"/>
            </w:tcBorders>
            <w:shd w:val="clear" w:color="000000" w:fill="000000"/>
            <w:noWrap/>
            <w:vAlign w:val="center"/>
            <w:hideMark/>
          </w:tcPr>
          <w:p w14:paraId="60AE730D" w14:textId="77777777" w:rsidR="00B11AF6" w:rsidRPr="00536352" w:rsidRDefault="00B11AF6" w:rsidP="00EA480F">
            <w:pPr>
              <w:ind w:left="0"/>
              <w:jc w:val="center"/>
              <w:rPr>
                <w:rFonts w:ascii="Bookman Old Style" w:hAnsi="Bookman Old Style"/>
                <w:b/>
                <w:bCs/>
                <w:color w:val="FFFFFF"/>
                <w:sz w:val="20"/>
                <w:szCs w:val="20"/>
                <w:lang w:val="es-CO" w:eastAsia="es-CO"/>
              </w:rPr>
            </w:pPr>
            <w:r w:rsidRPr="00536352">
              <w:rPr>
                <w:rFonts w:ascii="Bookman Old Style" w:hAnsi="Bookman Old Style"/>
                <w:b/>
                <w:bCs/>
                <w:color w:val="FFFFFF"/>
                <w:sz w:val="20"/>
                <w:szCs w:val="20"/>
                <w:lang w:val="es-CO" w:eastAsia="es-CO"/>
              </w:rPr>
              <w:t>Descripción</w:t>
            </w:r>
          </w:p>
        </w:tc>
        <w:tc>
          <w:tcPr>
            <w:tcW w:w="1429" w:type="dxa"/>
            <w:tcBorders>
              <w:top w:val="single" w:sz="4" w:space="0" w:color="auto"/>
              <w:left w:val="nil"/>
              <w:bottom w:val="single" w:sz="4" w:space="0" w:color="auto"/>
              <w:right w:val="single" w:sz="4" w:space="0" w:color="auto"/>
            </w:tcBorders>
            <w:shd w:val="clear" w:color="000000" w:fill="000000"/>
            <w:noWrap/>
            <w:vAlign w:val="center"/>
            <w:hideMark/>
          </w:tcPr>
          <w:p w14:paraId="1F80B069" w14:textId="77777777" w:rsidR="00B11AF6" w:rsidRPr="00536352" w:rsidRDefault="00B11AF6" w:rsidP="00EA480F">
            <w:pPr>
              <w:ind w:left="0"/>
              <w:jc w:val="center"/>
              <w:rPr>
                <w:rFonts w:ascii="Bookman Old Style" w:hAnsi="Bookman Old Style"/>
                <w:b/>
                <w:bCs/>
                <w:color w:val="FFFFFF"/>
                <w:sz w:val="20"/>
                <w:szCs w:val="20"/>
                <w:lang w:val="es-CO" w:eastAsia="es-CO"/>
              </w:rPr>
            </w:pPr>
            <w:r w:rsidRPr="00536352">
              <w:rPr>
                <w:rFonts w:ascii="Bookman Old Style" w:hAnsi="Bookman Old Style"/>
                <w:b/>
                <w:bCs/>
                <w:color w:val="FFFFFF"/>
                <w:sz w:val="20"/>
                <w:szCs w:val="20"/>
                <w:lang w:val="es-CO" w:eastAsia="es-CO"/>
              </w:rPr>
              <w:t>Responsable</w:t>
            </w:r>
          </w:p>
        </w:tc>
        <w:tc>
          <w:tcPr>
            <w:tcW w:w="1500" w:type="dxa"/>
            <w:tcBorders>
              <w:top w:val="single" w:sz="4" w:space="0" w:color="auto"/>
              <w:left w:val="nil"/>
              <w:bottom w:val="single" w:sz="4" w:space="0" w:color="auto"/>
              <w:right w:val="single" w:sz="4" w:space="0" w:color="auto"/>
            </w:tcBorders>
            <w:shd w:val="clear" w:color="000000" w:fill="000000"/>
            <w:noWrap/>
            <w:vAlign w:val="center"/>
            <w:hideMark/>
          </w:tcPr>
          <w:p w14:paraId="26FC7B32" w14:textId="77777777" w:rsidR="00B11AF6" w:rsidRPr="00536352" w:rsidRDefault="00B11AF6" w:rsidP="00EA480F">
            <w:pPr>
              <w:ind w:left="0"/>
              <w:jc w:val="center"/>
              <w:rPr>
                <w:rFonts w:ascii="Bookman Old Style" w:hAnsi="Bookman Old Style"/>
                <w:b/>
                <w:bCs/>
                <w:color w:val="FFFFFF"/>
                <w:sz w:val="20"/>
                <w:szCs w:val="20"/>
                <w:lang w:val="es-CO" w:eastAsia="es-CO"/>
              </w:rPr>
            </w:pPr>
            <w:r w:rsidRPr="00536352">
              <w:rPr>
                <w:rFonts w:ascii="Bookman Old Style" w:hAnsi="Bookman Old Style"/>
                <w:b/>
                <w:bCs/>
                <w:color w:val="FFFFFF"/>
                <w:sz w:val="20"/>
                <w:szCs w:val="20"/>
                <w:lang w:val="es-CO" w:eastAsia="es-CO"/>
              </w:rPr>
              <w:t>Fecha</w:t>
            </w:r>
          </w:p>
        </w:tc>
      </w:tr>
      <w:tr w:rsidR="00B11AF6" w:rsidRPr="00536352" w14:paraId="063A80CA" w14:textId="77777777" w:rsidTr="00596DF3">
        <w:trPr>
          <w:trHeight w:val="1284"/>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C6D3B7A" w14:textId="77777777"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1</w:t>
            </w:r>
          </w:p>
        </w:tc>
        <w:tc>
          <w:tcPr>
            <w:tcW w:w="1704" w:type="dxa"/>
            <w:tcBorders>
              <w:top w:val="nil"/>
              <w:left w:val="nil"/>
              <w:bottom w:val="single" w:sz="4" w:space="0" w:color="auto"/>
              <w:right w:val="single" w:sz="4" w:space="0" w:color="auto"/>
            </w:tcBorders>
            <w:shd w:val="clear" w:color="auto" w:fill="auto"/>
            <w:vAlign w:val="center"/>
            <w:hideMark/>
          </w:tcPr>
          <w:p w14:paraId="458F9C53" w14:textId="77777777"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Declaración de interés</w:t>
            </w:r>
          </w:p>
        </w:tc>
        <w:tc>
          <w:tcPr>
            <w:tcW w:w="3500" w:type="dxa"/>
            <w:tcBorders>
              <w:top w:val="nil"/>
              <w:left w:val="nil"/>
              <w:bottom w:val="single" w:sz="4" w:space="0" w:color="auto"/>
              <w:right w:val="single" w:sz="4" w:space="0" w:color="auto"/>
            </w:tcBorders>
            <w:shd w:val="clear" w:color="auto" w:fill="auto"/>
            <w:vAlign w:val="center"/>
            <w:hideMark/>
          </w:tcPr>
          <w:p w14:paraId="562A5C43" w14:textId="4F280412"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Comunicación por</w:t>
            </w:r>
            <w:r>
              <w:rPr>
                <w:rFonts w:ascii="Bookman Old Style" w:hAnsi="Bookman Old Style"/>
                <w:color w:val="000000"/>
                <w:sz w:val="20"/>
                <w:szCs w:val="20"/>
                <w:lang w:val="es-CO" w:eastAsia="es-CO"/>
              </w:rPr>
              <w:t xml:space="preserve"> parte d</w:t>
            </w:r>
            <w:r w:rsidRPr="00536352">
              <w:rPr>
                <w:rFonts w:ascii="Bookman Old Style" w:hAnsi="Bookman Old Style"/>
                <w:color w:val="000000"/>
                <w:sz w:val="20"/>
                <w:szCs w:val="20"/>
                <w:lang w:val="es-CO" w:eastAsia="es-CO"/>
              </w:rPr>
              <w:t xml:space="preserve">el representante legal mediante la cual se informa al ASIC el interés de participar en la subasta de reconfiguración de </w:t>
            </w:r>
            <w:r w:rsidR="00232E5F">
              <w:rPr>
                <w:rFonts w:ascii="Bookman Old Style" w:hAnsi="Bookman Old Style"/>
                <w:color w:val="000000"/>
                <w:sz w:val="20"/>
                <w:szCs w:val="20"/>
                <w:lang w:val="es-CO" w:eastAsia="es-CO"/>
              </w:rPr>
              <w:t>venta</w:t>
            </w:r>
            <w:r w:rsidRPr="00536352">
              <w:rPr>
                <w:rFonts w:ascii="Bookman Old Style" w:hAnsi="Bookman Old Style"/>
                <w:color w:val="000000"/>
                <w:sz w:val="20"/>
                <w:szCs w:val="20"/>
                <w:lang w:val="es-CO" w:eastAsia="es-CO"/>
              </w:rPr>
              <w:t xml:space="preserve">. </w:t>
            </w:r>
          </w:p>
        </w:tc>
        <w:tc>
          <w:tcPr>
            <w:tcW w:w="1429" w:type="dxa"/>
            <w:tcBorders>
              <w:top w:val="nil"/>
              <w:left w:val="nil"/>
              <w:bottom w:val="single" w:sz="4" w:space="0" w:color="auto"/>
              <w:right w:val="single" w:sz="4" w:space="0" w:color="auto"/>
            </w:tcBorders>
            <w:shd w:val="clear" w:color="auto" w:fill="auto"/>
            <w:vAlign w:val="center"/>
            <w:hideMark/>
          </w:tcPr>
          <w:p w14:paraId="7ED99087" w14:textId="1ADD446A" w:rsidR="00B11AF6" w:rsidRPr="00536352" w:rsidRDefault="00B11AF6" w:rsidP="00596DF3">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Agente generador</w:t>
            </w:r>
          </w:p>
        </w:tc>
        <w:tc>
          <w:tcPr>
            <w:tcW w:w="1500" w:type="dxa"/>
            <w:tcBorders>
              <w:top w:val="nil"/>
              <w:left w:val="nil"/>
              <w:bottom w:val="single" w:sz="4" w:space="0" w:color="auto"/>
              <w:right w:val="single" w:sz="4" w:space="0" w:color="auto"/>
            </w:tcBorders>
            <w:shd w:val="clear" w:color="auto" w:fill="auto"/>
            <w:vAlign w:val="center"/>
            <w:hideMark/>
          </w:tcPr>
          <w:p w14:paraId="0D68BD80" w14:textId="0B862D48"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Hasta </w:t>
            </w:r>
            <w:r w:rsidR="00EF5917">
              <w:rPr>
                <w:rFonts w:ascii="Bookman Old Style" w:hAnsi="Bookman Old Style"/>
                <w:color w:val="000000"/>
                <w:sz w:val="20"/>
                <w:szCs w:val="20"/>
                <w:lang w:val="es-CO" w:eastAsia="es-CO"/>
              </w:rPr>
              <w:t xml:space="preserve">el </w:t>
            </w:r>
            <w:r w:rsidR="00EF5917">
              <w:rPr>
                <w:rFonts w:ascii="Bookman Old Style" w:hAnsi="Bookman Old Style"/>
                <w:color w:val="000000"/>
                <w:sz w:val="20"/>
                <w:szCs w:val="20"/>
                <w:lang w:val="es-CO" w:eastAsia="es-CO"/>
              </w:rPr>
              <w:br/>
            </w:r>
            <w:r>
              <w:rPr>
                <w:rFonts w:ascii="Bookman Old Style" w:hAnsi="Bookman Old Style"/>
                <w:color w:val="000000"/>
                <w:sz w:val="20"/>
                <w:szCs w:val="20"/>
                <w:lang w:val="es-CO" w:eastAsia="es-CO"/>
              </w:rPr>
              <w:t>1</w:t>
            </w:r>
            <w:r w:rsidR="00393A78">
              <w:rPr>
                <w:rFonts w:ascii="Bookman Old Style" w:hAnsi="Bookman Old Style"/>
                <w:color w:val="000000"/>
                <w:sz w:val="20"/>
                <w:szCs w:val="20"/>
                <w:lang w:val="es-CO" w:eastAsia="es-CO"/>
              </w:rPr>
              <w:t>2</w:t>
            </w:r>
            <w:r>
              <w:rPr>
                <w:rFonts w:ascii="Bookman Old Style" w:hAnsi="Bookman Old Style"/>
                <w:color w:val="000000"/>
                <w:sz w:val="20"/>
                <w:szCs w:val="20"/>
                <w:lang w:val="es-CO" w:eastAsia="es-CO"/>
              </w:rPr>
              <w:t>-</w:t>
            </w:r>
            <w:r w:rsidR="00596DF3">
              <w:rPr>
                <w:rFonts w:ascii="Bookman Old Style" w:hAnsi="Bookman Old Style"/>
                <w:color w:val="000000"/>
                <w:sz w:val="20"/>
                <w:szCs w:val="20"/>
                <w:lang w:val="es-CO" w:eastAsia="es-CO"/>
              </w:rPr>
              <w:t>11</w:t>
            </w:r>
            <w:r>
              <w:rPr>
                <w:rFonts w:ascii="Bookman Old Style" w:hAnsi="Bookman Old Style"/>
                <w:color w:val="000000"/>
                <w:sz w:val="20"/>
                <w:szCs w:val="20"/>
                <w:lang w:val="es-CO" w:eastAsia="es-CO"/>
              </w:rPr>
              <w:t>-202</w:t>
            </w:r>
            <w:r w:rsidR="00596DF3">
              <w:rPr>
                <w:rFonts w:ascii="Bookman Old Style" w:hAnsi="Bookman Old Style"/>
                <w:color w:val="000000"/>
                <w:sz w:val="20"/>
                <w:szCs w:val="20"/>
                <w:lang w:val="es-CO" w:eastAsia="es-CO"/>
              </w:rPr>
              <w:t>1</w:t>
            </w:r>
          </w:p>
        </w:tc>
      </w:tr>
      <w:tr w:rsidR="00B11AF6" w:rsidRPr="00536352" w14:paraId="144CDC60" w14:textId="77777777" w:rsidTr="00EA480F">
        <w:trPr>
          <w:trHeight w:val="965"/>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D6B7C15" w14:textId="77777777"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2</w:t>
            </w:r>
          </w:p>
        </w:tc>
        <w:tc>
          <w:tcPr>
            <w:tcW w:w="1704" w:type="dxa"/>
            <w:tcBorders>
              <w:top w:val="nil"/>
              <w:left w:val="nil"/>
              <w:bottom w:val="single" w:sz="4" w:space="0" w:color="auto"/>
              <w:right w:val="single" w:sz="4" w:space="0" w:color="auto"/>
            </w:tcBorders>
            <w:shd w:val="clear" w:color="auto" w:fill="auto"/>
            <w:vAlign w:val="center"/>
            <w:hideMark/>
          </w:tcPr>
          <w:p w14:paraId="6F83FC08" w14:textId="77777777"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Representación de los participantes</w:t>
            </w:r>
          </w:p>
        </w:tc>
        <w:tc>
          <w:tcPr>
            <w:tcW w:w="3500" w:type="dxa"/>
            <w:tcBorders>
              <w:top w:val="nil"/>
              <w:left w:val="nil"/>
              <w:bottom w:val="single" w:sz="4" w:space="0" w:color="auto"/>
              <w:right w:val="single" w:sz="4" w:space="0" w:color="auto"/>
            </w:tcBorders>
            <w:shd w:val="clear" w:color="auto" w:fill="auto"/>
            <w:vAlign w:val="center"/>
            <w:hideMark/>
          </w:tcPr>
          <w:p w14:paraId="3568A6E8" w14:textId="77777777"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Documentación original a la que se refiere el numeral 2.7 del Anexo 2 de la Resolución CREG 051 de 2012</w:t>
            </w:r>
          </w:p>
        </w:tc>
        <w:tc>
          <w:tcPr>
            <w:tcW w:w="1429" w:type="dxa"/>
            <w:tcBorders>
              <w:top w:val="nil"/>
              <w:left w:val="nil"/>
              <w:bottom w:val="single" w:sz="4" w:space="0" w:color="auto"/>
              <w:right w:val="single" w:sz="4" w:space="0" w:color="auto"/>
            </w:tcBorders>
            <w:shd w:val="clear" w:color="auto" w:fill="auto"/>
            <w:vAlign w:val="center"/>
            <w:hideMark/>
          </w:tcPr>
          <w:p w14:paraId="0AD7F09F" w14:textId="77777777"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Agente generador y ASIC</w:t>
            </w:r>
          </w:p>
        </w:tc>
        <w:tc>
          <w:tcPr>
            <w:tcW w:w="1500" w:type="dxa"/>
            <w:tcBorders>
              <w:top w:val="nil"/>
              <w:left w:val="nil"/>
              <w:bottom w:val="single" w:sz="4" w:space="0" w:color="auto"/>
              <w:right w:val="single" w:sz="4" w:space="0" w:color="auto"/>
            </w:tcBorders>
            <w:shd w:val="clear" w:color="auto" w:fill="auto"/>
            <w:vAlign w:val="center"/>
            <w:hideMark/>
          </w:tcPr>
          <w:p w14:paraId="6151A5A7" w14:textId="3C768B53"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Hasta </w:t>
            </w:r>
            <w:r w:rsidR="00EF5917">
              <w:rPr>
                <w:rFonts w:ascii="Bookman Old Style" w:hAnsi="Bookman Old Style"/>
                <w:color w:val="000000"/>
                <w:sz w:val="20"/>
                <w:szCs w:val="20"/>
                <w:lang w:val="es-CO" w:eastAsia="es-CO"/>
              </w:rPr>
              <w:t xml:space="preserve">el </w:t>
            </w:r>
            <w:r w:rsidR="00EF5917">
              <w:rPr>
                <w:rFonts w:ascii="Bookman Old Style" w:hAnsi="Bookman Old Style"/>
                <w:color w:val="000000"/>
                <w:sz w:val="20"/>
                <w:szCs w:val="20"/>
                <w:lang w:val="es-CO" w:eastAsia="es-CO"/>
              </w:rPr>
              <w:br/>
            </w:r>
            <w:r w:rsidR="00892FFA" w:rsidRPr="001B6E1B">
              <w:rPr>
                <w:rFonts w:ascii="Bookman Old Style" w:hAnsi="Bookman Old Style"/>
                <w:color w:val="000000"/>
                <w:sz w:val="20"/>
                <w:szCs w:val="20"/>
                <w:lang w:val="es-CO" w:eastAsia="es-CO"/>
              </w:rPr>
              <w:t>18</w:t>
            </w:r>
            <w:r w:rsidRPr="001B6E1B">
              <w:rPr>
                <w:rFonts w:ascii="Bookman Old Style" w:hAnsi="Bookman Old Style"/>
                <w:color w:val="000000"/>
                <w:sz w:val="20"/>
                <w:szCs w:val="20"/>
                <w:lang w:val="es-CO" w:eastAsia="es-CO"/>
              </w:rPr>
              <w:t>-</w:t>
            </w:r>
            <w:r w:rsidR="00892FFA" w:rsidRPr="001B6E1B">
              <w:rPr>
                <w:rFonts w:ascii="Bookman Old Style" w:hAnsi="Bookman Old Style"/>
                <w:color w:val="000000"/>
                <w:sz w:val="20"/>
                <w:szCs w:val="20"/>
                <w:lang w:val="es-CO" w:eastAsia="es-CO"/>
              </w:rPr>
              <w:t>11</w:t>
            </w:r>
            <w:r w:rsidRPr="001B6E1B">
              <w:rPr>
                <w:rFonts w:ascii="Bookman Old Style" w:hAnsi="Bookman Old Style"/>
                <w:color w:val="000000"/>
                <w:sz w:val="20"/>
                <w:szCs w:val="20"/>
                <w:lang w:val="es-CO" w:eastAsia="es-CO"/>
              </w:rPr>
              <w:t>-202</w:t>
            </w:r>
            <w:r w:rsidR="00892FFA" w:rsidRPr="001B6E1B">
              <w:rPr>
                <w:rFonts w:ascii="Bookman Old Style" w:hAnsi="Bookman Old Style"/>
                <w:color w:val="000000"/>
                <w:sz w:val="20"/>
                <w:szCs w:val="20"/>
                <w:lang w:val="es-CO" w:eastAsia="es-CO"/>
              </w:rPr>
              <w:t>1</w:t>
            </w:r>
          </w:p>
        </w:tc>
      </w:tr>
      <w:tr w:rsidR="00B11AF6" w:rsidRPr="00536352" w14:paraId="6CCFE8E6" w14:textId="77777777" w:rsidTr="00CC6E65">
        <w:trPr>
          <w:trHeight w:val="707"/>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2B8E4177" w14:textId="7CEC0809" w:rsidR="00B11AF6" w:rsidRPr="00536352" w:rsidRDefault="002B60D0"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3</w:t>
            </w:r>
          </w:p>
        </w:tc>
        <w:tc>
          <w:tcPr>
            <w:tcW w:w="1704" w:type="dxa"/>
            <w:tcBorders>
              <w:top w:val="nil"/>
              <w:left w:val="nil"/>
              <w:bottom w:val="single" w:sz="4" w:space="0" w:color="auto"/>
              <w:right w:val="single" w:sz="4" w:space="0" w:color="auto"/>
            </w:tcBorders>
            <w:shd w:val="clear" w:color="auto" w:fill="auto"/>
            <w:vAlign w:val="center"/>
            <w:hideMark/>
          </w:tcPr>
          <w:p w14:paraId="0B7238AB" w14:textId="6B2316E6"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Publicación precio máximo car</w:t>
            </w:r>
            <w:r>
              <w:rPr>
                <w:rFonts w:ascii="Bookman Old Style" w:hAnsi="Bookman Old Style"/>
                <w:color w:val="000000"/>
                <w:sz w:val="20"/>
                <w:szCs w:val="20"/>
                <w:lang w:val="es-CO" w:eastAsia="es-CO"/>
              </w:rPr>
              <w:t>g</w:t>
            </w:r>
            <w:r w:rsidRPr="00536352">
              <w:rPr>
                <w:rFonts w:ascii="Bookman Old Style" w:hAnsi="Bookman Old Style"/>
                <w:color w:val="000000"/>
                <w:sz w:val="20"/>
                <w:szCs w:val="20"/>
                <w:lang w:val="es-CO" w:eastAsia="es-CO"/>
              </w:rPr>
              <w:t>o por confiabilidad</w:t>
            </w:r>
          </w:p>
        </w:tc>
        <w:tc>
          <w:tcPr>
            <w:tcW w:w="3500" w:type="dxa"/>
            <w:tcBorders>
              <w:top w:val="nil"/>
              <w:left w:val="nil"/>
              <w:bottom w:val="single" w:sz="4" w:space="0" w:color="auto"/>
              <w:right w:val="single" w:sz="4" w:space="0" w:color="auto"/>
            </w:tcBorders>
            <w:shd w:val="clear" w:color="auto" w:fill="auto"/>
            <w:vAlign w:val="center"/>
            <w:hideMark/>
          </w:tcPr>
          <w:p w14:paraId="37F4A1B5" w14:textId="30F94DB3"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Publicación del precio máximo del cargo por confiabilidad </w:t>
            </w:r>
            <w:r w:rsidR="00AA4B4C">
              <w:rPr>
                <w:rFonts w:ascii="Bookman Old Style" w:hAnsi="Bookman Old Style"/>
                <w:color w:val="000000"/>
                <w:sz w:val="20"/>
                <w:szCs w:val="20"/>
                <w:lang w:val="es-CO" w:eastAsia="es-CO"/>
              </w:rPr>
              <w:t xml:space="preserve">que aplica </w:t>
            </w:r>
            <w:r w:rsidRPr="00536352">
              <w:rPr>
                <w:rFonts w:ascii="Bookman Old Style" w:hAnsi="Bookman Old Style"/>
                <w:color w:val="000000"/>
                <w:sz w:val="20"/>
                <w:szCs w:val="20"/>
                <w:lang w:val="es-CO" w:eastAsia="es-CO"/>
              </w:rPr>
              <w:t xml:space="preserve">para </w:t>
            </w:r>
            <w:r w:rsidR="002B60D0">
              <w:rPr>
                <w:rFonts w:ascii="Bookman Old Style" w:hAnsi="Bookman Old Style"/>
                <w:color w:val="000000"/>
                <w:sz w:val="20"/>
                <w:szCs w:val="20"/>
                <w:lang w:val="es-CO" w:eastAsia="es-CO"/>
              </w:rPr>
              <w:t>el</w:t>
            </w:r>
            <w:r>
              <w:rPr>
                <w:rFonts w:ascii="Bookman Old Style" w:hAnsi="Bookman Old Style"/>
                <w:color w:val="000000"/>
                <w:sz w:val="20"/>
                <w:szCs w:val="20"/>
                <w:lang w:val="es-CO" w:eastAsia="es-CO"/>
              </w:rPr>
              <w:t xml:space="preserve"> </w:t>
            </w:r>
            <w:r w:rsidRPr="00536352">
              <w:rPr>
                <w:rFonts w:ascii="Bookman Old Style" w:hAnsi="Bookman Old Style"/>
                <w:color w:val="000000"/>
                <w:sz w:val="20"/>
                <w:szCs w:val="20"/>
                <w:lang w:val="es-CO" w:eastAsia="es-CO"/>
              </w:rPr>
              <w:t xml:space="preserve">período </w:t>
            </w:r>
            <w:r w:rsidR="00AA4B4C">
              <w:rPr>
                <w:rFonts w:ascii="Bookman Old Style" w:hAnsi="Bookman Old Style"/>
                <w:color w:val="000000"/>
                <w:sz w:val="20"/>
                <w:szCs w:val="20"/>
                <w:lang w:val="es-CO" w:eastAsia="es-CO"/>
              </w:rPr>
              <w:t xml:space="preserve">de </w:t>
            </w:r>
            <w:r w:rsidRPr="00536352">
              <w:rPr>
                <w:rFonts w:ascii="Bookman Old Style" w:hAnsi="Bookman Old Style"/>
                <w:color w:val="000000"/>
                <w:sz w:val="20"/>
                <w:szCs w:val="20"/>
                <w:lang w:val="es-CO" w:eastAsia="es-CO"/>
              </w:rPr>
              <w:t>diciembre 20</w:t>
            </w:r>
            <w:r>
              <w:rPr>
                <w:rFonts w:ascii="Bookman Old Style" w:hAnsi="Bookman Old Style"/>
                <w:color w:val="000000"/>
                <w:sz w:val="20"/>
                <w:szCs w:val="20"/>
                <w:lang w:val="es-CO" w:eastAsia="es-CO"/>
              </w:rPr>
              <w:t>2</w:t>
            </w:r>
            <w:r w:rsidR="00AA4B4C">
              <w:rPr>
                <w:rFonts w:ascii="Bookman Old Style" w:hAnsi="Bookman Old Style"/>
                <w:color w:val="000000"/>
                <w:sz w:val="20"/>
                <w:szCs w:val="20"/>
                <w:lang w:val="es-CO" w:eastAsia="es-CO"/>
              </w:rPr>
              <w:t>2</w:t>
            </w:r>
            <w:r w:rsidRPr="00536352">
              <w:rPr>
                <w:rFonts w:ascii="Bookman Old Style" w:hAnsi="Bookman Old Style"/>
                <w:color w:val="000000"/>
                <w:sz w:val="20"/>
                <w:szCs w:val="20"/>
                <w:lang w:val="es-CO" w:eastAsia="es-CO"/>
              </w:rPr>
              <w:t xml:space="preserve"> a noviembre </w:t>
            </w:r>
            <w:r>
              <w:rPr>
                <w:rFonts w:ascii="Bookman Old Style" w:hAnsi="Bookman Old Style"/>
                <w:color w:val="000000"/>
                <w:sz w:val="20"/>
                <w:szCs w:val="20"/>
                <w:lang w:val="es-CO" w:eastAsia="es-CO"/>
              </w:rPr>
              <w:t>202</w:t>
            </w:r>
            <w:r w:rsidR="00AA4B4C">
              <w:rPr>
                <w:rFonts w:ascii="Bookman Old Style" w:hAnsi="Bookman Old Style"/>
                <w:color w:val="000000"/>
                <w:sz w:val="20"/>
                <w:szCs w:val="20"/>
                <w:lang w:val="es-CO" w:eastAsia="es-CO"/>
              </w:rPr>
              <w:t>3</w:t>
            </w:r>
            <w:r w:rsidRPr="00536352">
              <w:rPr>
                <w:rFonts w:ascii="Bookman Old Style" w:hAnsi="Bookman Old Style"/>
                <w:color w:val="000000"/>
                <w:sz w:val="20"/>
                <w:szCs w:val="20"/>
                <w:lang w:val="es-CO" w:eastAsia="es-CO"/>
              </w:rPr>
              <w:t>.</w:t>
            </w:r>
          </w:p>
        </w:tc>
        <w:tc>
          <w:tcPr>
            <w:tcW w:w="1429" w:type="dxa"/>
            <w:tcBorders>
              <w:top w:val="nil"/>
              <w:left w:val="nil"/>
              <w:bottom w:val="single" w:sz="4" w:space="0" w:color="auto"/>
              <w:right w:val="single" w:sz="4" w:space="0" w:color="auto"/>
            </w:tcBorders>
            <w:shd w:val="clear" w:color="auto" w:fill="auto"/>
            <w:vAlign w:val="center"/>
            <w:hideMark/>
          </w:tcPr>
          <w:p w14:paraId="3EEC6F53" w14:textId="77777777"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s="Arial"/>
                <w:color w:val="000000"/>
                <w:sz w:val="20"/>
                <w:szCs w:val="20"/>
                <w:lang w:eastAsia="es-CO"/>
              </w:rPr>
              <w:t>ASIC</w:t>
            </w:r>
          </w:p>
        </w:tc>
        <w:tc>
          <w:tcPr>
            <w:tcW w:w="1500" w:type="dxa"/>
            <w:tcBorders>
              <w:top w:val="nil"/>
              <w:left w:val="nil"/>
              <w:bottom w:val="single" w:sz="4" w:space="0" w:color="auto"/>
              <w:right w:val="single" w:sz="4" w:space="0" w:color="auto"/>
            </w:tcBorders>
            <w:shd w:val="clear" w:color="auto" w:fill="auto"/>
            <w:vAlign w:val="center"/>
            <w:hideMark/>
          </w:tcPr>
          <w:p w14:paraId="7BC5C2D2" w14:textId="74ED9329"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Hasta </w:t>
            </w:r>
            <w:r w:rsidR="00EF5917">
              <w:rPr>
                <w:rFonts w:ascii="Bookman Old Style" w:hAnsi="Bookman Old Style"/>
                <w:color w:val="000000"/>
                <w:sz w:val="20"/>
                <w:szCs w:val="20"/>
                <w:lang w:val="es-CO" w:eastAsia="es-CO"/>
              </w:rPr>
              <w:t xml:space="preserve">el </w:t>
            </w:r>
            <w:r w:rsidR="00EF5917">
              <w:rPr>
                <w:rFonts w:ascii="Bookman Old Style" w:hAnsi="Bookman Old Style"/>
                <w:color w:val="000000"/>
                <w:sz w:val="20"/>
                <w:szCs w:val="20"/>
                <w:lang w:val="es-CO" w:eastAsia="es-CO"/>
              </w:rPr>
              <w:br/>
            </w:r>
            <w:r w:rsidRPr="001B6E1B">
              <w:rPr>
                <w:rFonts w:ascii="Bookman Old Style" w:hAnsi="Bookman Old Style"/>
                <w:color w:val="000000"/>
                <w:sz w:val="20"/>
                <w:szCs w:val="20"/>
                <w:lang w:val="es-CO" w:eastAsia="es-CO"/>
              </w:rPr>
              <w:t>2</w:t>
            </w:r>
            <w:r w:rsidR="00892FFA" w:rsidRPr="001B6E1B">
              <w:rPr>
                <w:rFonts w:ascii="Bookman Old Style" w:hAnsi="Bookman Old Style"/>
                <w:color w:val="000000"/>
                <w:sz w:val="20"/>
                <w:szCs w:val="20"/>
                <w:lang w:val="es-CO" w:eastAsia="es-CO"/>
              </w:rPr>
              <w:t>2</w:t>
            </w:r>
            <w:r w:rsidRPr="001B6E1B">
              <w:rPr>
                <w:rFonts w:ascii="Bookman Old Style" w:hAnsi="Bookman Old Style"/>
                <w:color w:val="000000"/>
                <w:sz w:val="20"/>
                <w:szCs w:val="20"/>
                <w:lang w:val="es-CO" w:eastAsia="es-CO"/>
              </w:rPr>
              <w:t>-</w:t>
            </w:r>
            <w:r w:rsidR="00892FFA" w:rsidRPr="001B6E1B">
              <w:rPr>
                <w:rFonts w:ascii="Bookman Old Style" w:hAnsi="Bookman Old Style"/>
                <w:color w:val="000000"/>
                <w:sz w:val="20"/>
                <w:szCs w:val="20"/>
                <w:lang w:val="es-CO" w:eastAsia="es-CO"/>
              </w:rPr>
              <w:t>11</w:t>
            </w:r>
            <w:r w:rsidRPr="001B6E1B">
              <w:rPr>
                <w:rFonts w:ascii="Bookman Old Style" w:hAnsi="Bookman Old Style"/>
                <w:color w:val="000000"/>
                <w:sz w:val="20"/>
                <w:szCs w:val="20"/>
                <w:lang w:val="es-CO" w:eastAsia="es-CO"/>
              </w:rPr>
              <w:t>-202</w:t>
            </w:r>
            <w:r w:rsidR="00892FFA" w:rsidRPr="001B6E1B">
              <w:rPr>
                <w:rFonts w:ascii="Bookman Old Style" w:hAnsi="Bookman Old Style"/>
                <w:color w:val="000000"/>
                <w:sz w:val="20"/>
                <w:szCs w:val="20"/>
                <w:lang w:val="es-CO" w:eastAsia="es-CO"/>
              </w:rPr>
              <w:t>1</w:t>
            </w:r>
          </w:p>
        </w:tc>
      </w:tr>
      <w:tr w:rsidR="00892FFA" w:rsidRPr="00536352" w14:paraId="3C1AAE88" w14:textId="77777777" w:rsidTr="00CC6E65">
        <w:trPr>
          <w:trHeight w:val="707"/>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48B1CFEE" w14:textId="66A67A89" w:rsidR="00892FFA" w:rsidRDefault="00892FFA"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4</w:t>
            </w:r>
          </w:p>
        </w:tc>
        <w:tc>
          <w:tcPr>
            <w:tcW w:w="1704" w:type="dxa"/>
            <w:tcBorders>
              <w:top w:val="nil"/>
              <w:left w:val="nil"/>
              <w:bottom w:val="single" w:sz="4" w:space="0" w:color="auto"/>
              <w:right w:val="single" w:sz="4" w:space="0" w:color="auto"/>
            </w:tcBorders>
            <w:shd w:val="clear" w:color="auto" w:fill="auto"/>
            <w:vAlign w:val="center"/>
          </w:tcPr>
          <w:p w14:paraId="6882AFCE" w14:textId="7A81DEF1" w:rsidR="00892FFA" w:rsidRPr="00536352" w:rsidRDefault="00892FFA" w:rsidP="00EF5917">
            <w:pPr>
              <w:ind w:left="0"/>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Circular CREG</w:t>
            </w:r>
          </w:p>
        </w:tc>
        <w:tc>
          <w:tcPr>
            <w:tcW w:w="3500" w:type="dxa"/>
            <w:tcBorders>
              <w:top w:val="nil"/>
              <w:left w:val="nil"/>
              <w:bottom w:val="single" w:sz="4" w:space="0" w:color="auto"/>
              <w:right w:val="single" w:sz="4" w:space="0" w:color="auto"/>
            </w:tcBorders>
            <w:shd w:val="clear" w:color="auto" w:fill="auto"/>
            <w:vAlign w:val="center"/>
          </w:tcPr>
          <w:p w14:paraId="789F6393" w14:textId="089799AF" w:rsidR="00892FFA" w:rsidRPr="00536352" w:rsidRDefault="0025687F" w:rsidP="00EF5917">
            <w:pPr>
              <w:ind w:left="0"/>
              <w:jc w:val="both"/>
              <w:rPr>
                <w:rFonts w:ascii="Bookman Old Style" w:hAnsi="Bookman Old Style"/>
                <w:color w:val="000000"/>
                <w:sz w:val="20"/>
                <w:szCs w:val="20"/>
                <w:lang w:val="es-CO" w:eastAsia="es-CO"/>
              </w:rPr>
            </w:pPr>
            <w:r w:rsidRPr="0025687F">
              <w:rPr>
                <w:rFonts w:ascii="Bookman Old Style" w:hAnsi="Bookman Old Style"/>
                <w:color w:val="000000"/>
                <w:sz w:val="20"/>
                <w:szCs w:val="20"/>
                <w:lang w:val="es-CO" w:eastAsia="es-CO"/>
              </w:rPr>
              <w:t>En caso de identificarse que no se tienen excesos de OEF, se informa</w:t>
            </w:r>
            <w:r>
              <w:rPr>
                <w:rFonts w:ascii="Bookman Old Style" w:hAnsi="Bookman Old Style"/>
                <w:color w:val="000000"/>
                <w:sz w:val="20"/>
                <w:szCs w:val="20"/>
                <w:lang w:val="es-CO" w:eastAsia="es-CO"/>
              </w:rPr>
              <w:t>rá</w:t>
            </w:r>
            <w:r w:rsidRPr="0025687F">
              <w:rPr>
                <w:rFonts w:ascii="Bookman Old Style" w:hAnsi="Bookman Old Style"/>
                <w:color w:val="000000"/>
                <w:sz w:val="20"/>
                <w:szCs w:val="20"/>
                <w:lang w:val="es-CO" w:eastAsia="es-CO"/>
              </w:rPr>
              <w:t xml:space="preserve"> a través de </w:t>
            </w:r>
            <w:r>
              <w:rPr>
                <w:rFonts w:ascii="Bookman Old Style" w:hAnsi="Bookman Old Style"/>
                <w:color w:val="000000"/>
                <w:sz w:val="20"/>
                <w:szCs w:val="20"/>
                <w:lang w:val="es-CO" w:eastAsia="es-CO"/>
              </w:rPr>
              <w:t>C</w:t>
            </w:r>
            <w:r w:rsidRPr="0025687F">
              <w:rPr>
                <w:rFonts w:ascii="Bookman Old Style" w:hAnsi="Bookman Old Style"/>
                <w:color w:val="000000"/>
                <w:sz w:val="20"/>
                <w:szCs w:val="20"/>
                <w:lang w:val="es-CO" w:eastAsia="es-CO"/>
              </w:rPr>
              <w:t>ircular</w:t>
            </w:r>
            <w:r>
              <w:rPr>
                <w:rFonts w:ascii="Bookman Old Style" w:hAnsi="Bookman Old Style"/>
                <w:color w:val="000000"/>
                <w:sz w:val="20"/>
                <w:szCs w:val="20"/>
                <w:lang w:val="es-CO" w:eastAsia="es-CO"/>
              </w:rPr>
              <w:t xml:space="preserve"> CREG</w:t>
            </w:r>
            <w:r w:rsidRPr="0025687F">
              <w:rPr>
                <w:rFonts w:ascii="Bookman Old Style" w:hAnsi="Bookman Old Style"/>
                <w:color w:val="000000"/>
                <w:sz w:val="20"/>
                <w:szCs w:val="20"/>
                <w:lang w:val="es-CO" w:eastAsia="es-CO"/>
              </w:rPr>
              <w:t>, la cancelación de la subasta</w:t>
            </w:r>
          </w:p>
        </w:tc>
        <w:tc>
          <w:tcPr>
            <w:tcW w:w="1429" w:type="dxa"/>
            <w:tcBorders>
              <w:top w:val="nil"/>
              <w:left w:val="nil"/>
              <w:bottom w:val="single" w:sz="4" w:space="0" w:color="auto"/>
              <w:right w:val="single" w:sz="4" w:space="0" w:color="auto"/>
            </w:tcBorders>
            <w:shd w:val="clear" w:color="auto" w:fill="auto"/>
            <w:vAlign w:val="center"/>
          </w:tcPr>
          <w:p w14:paraId="15BBF444" w14:textId="7A2A5E7F" w:rsidR="00892FFA" w:rsidRPr="00536352" w:rsidRDefault="0025687F" w:rsidP="00EA480F">
            <w:pPr>
              <w:ind w:left="0"/>
              <w:jc w:val="center"/>
              <w:rPr>
                <w:rFonts w:ascii="Bookman Old Style" w:hAnsi="Bookman Old Style" w:cs="Arial"/>
                <w:color w:val="000000"/>
                <w:sz w:val="20"/>
                <w:szCs w:val="20"/>
                <w:lang w:eastAsia="es-CO"/>
              </w:rPr>
            </w:pPr>
            <w:r>
              <w:rPr>
                <w:rFonts w:ascii="Bookman Old Style" w:hAnsi="Bookman Old Style" w:cs="Arial"/>
                <w:color w:val="000000"/>
                <w:sz w:val="20"/>
                <w:szCs w:val="20"/>
                <w:lang w:eastAsia="es-CO"/>
              </w:rPr>
              <w:t>CREG</w:t>
            </w:r>
          </w:p>
        </w:tc>
        <w:tc>
          <w:tcPr>
            <w:tcW w:w="1500" w:type="dxa"/>
            <w:tcBorders>
              <w:top w:val="nil"/>
              <w:left w:val="nil"/>
              <w:bottom w:val="single" w:sz="4" w:space="0" w:color="auto"/>
              <w:right w:val="single" w:sz="4" w:space="0" w:color="auto"/>
            </w:tcBorders>
            <w:shd w:val="clear" w:color="auto" w:fill="auto"/>
            <w:vAlign w:val="center"/>
          </w:tcPr>
          <w:p w14:paraId="6696A3E6" w14:textId="5F31AD03" w:rsidR="00BC7D7D" w:rsidRPr="00536352" w:rsidRDefault="0025687F" w:rsidP="00EF5917">
            <w:pPr>
              <w:ind w:left="0"/>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Hasta</w:t>
            </w:r>
            <w:r w:rsidR="00EF5917">
              <w:rPr>
                <w:rFonts w:ascii="Bookman Old Style" w:hAnsi="Bookman Old Style"/>
                <w:color w:val="000000"/>
                <w:sz w:val="20"/>
                <w:szCs w:val="20"/>
                <w:lang w:val="es-CO" w:eastAsia="es-CO"/>
              </w:rPr>
              <w:t xml:space="preserve"> el </w:t>
            </w:r>
            <w:r w:rsidR="00EF5917">
              <w:rPr>
                <w:rFonts w:ascii="Bookman Old Style" w:hAnsi="Bookman Old Style"/>
                <w:color w:val="000000"/>
                <w:sz w:val="20"/>
                <w:szCs w:val="20"/>
                <w:lang w:val="es-CO" w:eastAsia="es-CO"/>
              </w:rPr>
              <w:br/>
            </w:r>
            <w:r w:rsidR="00BC7D7D">
              <w:rPr>
                <w:rFonts w:ascii="Bookman Old Style" w:hAnsi="Bookman Old Style"/>
                <w:color w:val="000000"/>
                <w:sz w:val="20"/>
                <w:szCs w:val="20"/>
                <w:lang w:val="es-CO" w:eastAsia="es-CO"/>
              </w:rPr>
              <w:t>6-12-2021</w:t>
            </w:r>
          </w:p>
        </w:tc>
      </w:tr>
      <w:tr w:rsidR="00B11AF6" w:rsidRPr="00536352" w14:paraId="26CEE948" w14:textId="77777777" w:rsidTr="00CC6E65">
        <w:trPr>
          <w:trHeight w:val="498"/>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1D0F9E3" w14:textId="733B44C7" w:rsidR="00B11AF6" w:rsidRPr="0098305A" w:rsidRDefault="00892FFA"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5</w:t>
            </w:r>
          </w:p>
        </w:tc>
        <w:tc>
          <w:tcPr>
            <w:tcW w:w="1704" w:type="dxa"/>
            <w:tcBorders>
              <w:top w:val="nil"/>
              <w:left w:val="nil"/>
              <w:bottom w:val="single" w:sz="4" w:space="0" w:color="auto"/>
              <w:right w:val="single" w:sz="4" w:space="0" w:color="auto"/>
            </w:tcBorders>
            <w:shd w:val="clear" w:color="auto" w:fill="auto"/>
            <w:vAlign w:val="center"/>
          </w:tcPr>
          <w:p w14:paraId="790F5F37" w14:textId="63791471" w:rsidR="00B11AF6" w:rsidRPr="0098305A" w:rsidRDefault="00D20114" w:rsidP="00EF5917">
            <w:pPr>
              <w:ind w:left="0"/>
              <w:rPr>
                <w:rFonts w:ascii="Bookman Old Style" w:hAnsi="Bookman Old Style"/>
                <w:color w:val="000000"/>
                <w:sz w:val="20"/>
                <w:szCs w:val="20"/>
                <w:lang w:val="es-CO" w:eastAsia="es-CO"/>
              </w:rPr>
            </w:pPr>
            <w:r w:rsidRPr="0098305A">
              <w:rPr>
                <w:rFonts w:ascii="Bookman Old Style" w:hAnsi="Bookman Old Style"/>
                <w:color w:val="000000"/>
                <w:sz w:val="20"/>
                <w:szCs w:val="20"/>
                <w:lang w:val="es-CO" w:eastAsia="es-CO"/>
              </w:rPr>
              <w:t>Cantidad para subastar</w:t>
            </w:r>
          </w:p>
        </w:tc>
        <w:tc>
          <w:tcPr>
            <w:tcW w:w="3500" w:type="dxa"/>
            <w:tcBorders>
              <w:top w:val="nil"/>
              <w:left w:val="nil"/>
              <w:bottom w:val="single" w:sz="4" w:space="0" w:color="auto"/>
              <w:right w:val="single" w:sz="4" w:space="0" w:color="auto"/>
            </w:tcBorders>
            <w:shd w:val="clear" w:color="auto" w:fill="auto"/>
            <w:vAlign w:val="center"/>
          </w:tcPr>
          <w:p w14:paraId="5DC4B498" w14:textId="7ED8B669" w:rsidR="00B11AF6" w:rsidRPr="0098305A" w:rsidRDefault="00DC07E5" w:rsidP="00EF5917">
            <w:pPr>
              <w:ind w:left="0"/>
              <w:jc w:val="both"/>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La CREG i</w:t>
            </w:r>
            <w:r w:rsidR="00B11AF6" w:rsidRPr="0098305A">
              <w:rPr>
                <w:rFonts w:ascii="Bookman Old Style" w:hAnsi="Bookman Old Style"/>
                <w:color w:val="000000"/>
                <w:sz w:val="20"/>
                <w:szCs w:val="20"/>
                <w:lang w:val="es-CO" w:eastAsia="es-CO"/>
              </w:rPr>
              <w:t xml:space="preserve">nforma al ASIC la cantidad </w:t>
            </w:r>
            <w:r w:rsidR="00D20114">
              <w:rPr>
                <w:rFonts w:ascii="Bookman Old Style" w:hAnsi="Bookman Old Style"/>
                <w:color w:val="000000"/>
                <w:sz w:val="20"/>
                <w:szCs w:val="20"/>
                <w:lang w:val="es-CO" w:eastAsia="es-CO"/>
              </w:rPr>
              <w:t>que se</w:t>
            </w:r>
            <w:r w:rsidR="00B11AF6" w:rsidRPr="0098305A">
              <w:rPr>
                <w:rFonts w:ascii="Bookman Old Style" w:hAnsi="Bookman Old Style"/>
                <w:color w:val="000000"/>
                <w:sz w:val="20"/>
                <w:szCs w:val="20"/>
                <w:lang w:val="es-CO" w:eastAsia="es-CO"/>
              </w:rPr>
              <w:t xml:space="preserve"> subastar</w:t>
            </w:r>
            <w:r w:rsidR="00D20114">
              <w:rPr>
                <w:rFonts w:ascii="Bookman Old Style" w:hAnsi="Bookman Old Style"/>
                <w:color w:val="000000"/>
                <w:sz w:val="20"/>
                <w:szCs w:val="20"/>
                <w:lang w:val="es-CO" w:eastAsia="es-CO"/>
              </w:rPr>
              <w:t>á</w:t>
            </w:r>
            <w:r w:rsidR="00306149">
              <w:rPr>
                <w:rFonts w:ascii="Bookman Old Style" w:hAnsi="Bookman Old Style"/>
                <w:color w:val="000000"/>
                <w:sz w:val="20"/>
                <w:szCs w:val="20"/>
                <w:lang w:val="es-CO" w:eastAsia="es-CO"/>
              </w:rPr>
              <w:t xml:space="preserve"> para el periodo </w:t>
            </w:r>
            <w:r w:rsidR="00D20114">
              <w:rPr>
                <w:rFonts w:ascii="Bookman Old Style" w:hAnsi="Bookman Old Style"/>
                <w:color w:val="000000"/>
                <w:sz w:val="20"/>
                <w:szCs w:val="20"/>
                <w:lang w:val="es-CO" w:eastAsia="es-CO"/>
              </w:rPr>
              <w:t>2022-2023</w:t>
            </w:r>
            <w:r w:rsidR="00B11AF6" w:rsidRPr="0098305A">
              <w:rPr>
                <w:rFonts w:ascii="Bookman Old Style" w:hAnsi="Bookman Old Style"/>
                <w:color w:val="000000"/>
                <w:sz w:val="20"/>
                <w:szCs w:val="20"/>
                <w:lang w:val="es-CO" w:eastAsia="es-CO"/>
              </w:rPr>
              <w:t>.</w:t>
            </w:r>
          </w:p>
        </w:tc>
        <w:tc>
          <w:tcPr>
            <w:tcW w:w="1429" w:type="dxa"/>
            <w:tcBorders>
              <w:top w:val="nil"/>
              <w:left w:val="nil"/>
              <w:bottom w:val="single" w:sz="4" w:space="0" w:color="auto"/>
              <w:right w:val="single" w:sz="4" w:space="0" w:color="auto"/>
            </w:tcBorders>
            <w:shd w:val="clear" w:color="auto" w:fill="auto"/>
            <w:vAlign w:val="center"/>
          </w:tcPr>
          <w:p w14:paraId="5E510F8C" w14:textId="77777777" w:rsidR="00B11AF6" w:rsidRPr="0098305A" w:rsidRDefault="00B11AF6" w:rsidP="00EA480F">
            <w:pPr>
              <w:ind w:left="0"/>
              <w:jc w:val="center"/>
              <w:rPr>
                <w:rFonts w:ascii="Bookman Old Style" w:hAnsi="Bookman Old Style"/>
                <w:color w:val="000000"/>
                <w:sz w:val="20"/>
                <w:szCs w:val="20"/>
                <w:lang w:val="es-CO" w:eastAsia="es-CO"/>
              </w:rPr>
            </w:pPr>
            <w:r w:rsidRPr="0098305A">
              <w:rPr>
                <w:rFonts w:ascii="Bookman Old Style" w:hAnsi="Bookman Old Style"/>
                <w:color w:val="000000"/>
                <w:sz w:val="20"/>
                <w:szCs w:val="20"/>
                <w:lang w:val="es-CO" w:eastAsia="es-CO"/>
              </w:rPr>
              <w:t>CREG</w:t>
            </w:r>
          </w:p>
        </w:tc>
        <w:tc>
          <w:tcPr>
            <w:tcW w:w="1500" w:type="dxa"/>
            <w:tcBorders>
              <w:top w:val="nil"/>
              <w:left w:val="nil"/>
              <w:bottom w:val="single" w:sz="4" w:space="0" w:color="auto"/>
              <w:right w:val="single" w:sz="4" w:space="0" w:color="auto"/>
            </w:tcBorders>
            <w:shd w:val="clear" w:color="auto" w:fill="auto"/>
            <w:vAlign w:val="center"/>
          </w:tcPr>
          <w:p w14:paraId="13E08159" w14:textId="6B0053D7" w:rsidR="00B11AF6" w:rsidRPr="0098305A" w:rsidRDefault="00B11AF6" w:rsidP="00EF5917">
            <w:pPr>
              <w:ind w:left="0"/>
              <w:rPr>
                <w:rFonts w:ascii="Bookman Old Style" w:hAnsi="Bookman Old Style"/>
                <w:color w:val="000000"/>
                <w:sz w:val="20"/>
                <w:szCs w:val="20"/>
                <w:lang w:val="es-CO" w:eastAsia="es-CO"/>
              </w:rPr>
            </w:pPr>
            <w:r w:rsidRPr="0098305A">
              <w:rPr>
                <w:rFonts w:ascii="Bookman Old Style" w:hAnsi="Bookman Old Style"/>
                <w:color w:val="000000"/>
                <w:sz w:val="20"/>
                <w:szCs w:val="20"/>
                <w:lang w:val="es-CO" w:eastAsia="es-CO"/>
              </w:rPr>
              <w:t>Hasta las 1</w:t>
            </w:r>
            <w:r>
              <w:rPr>
                <w:rFonts w:ascii="Bookman Old Style" w:hAnsi="Bookman Old Style"/>
                <w:color w:val="000000"/>
                <w:sz w:val="20"/>
                <w:szCs w:val="20"/>
                <w:lang w:val="es-CO" w:eastAsia="es-CO"/>
              </w:rPr>
              <w:t>4</w:t>
            </w:r>
            <w:r w:rsidRPr="0098305A">
              <w:rPr>
                <w:rFonts w:ascii="Bookman Old Style" w:hAnsi="Bookman Old Style"/>
                <w:color w:val="000000"/>
                <w:sz w:val="20"/>
                <w:szCs w:val="20"/>
                <w:lang w:val="es-CO" w:eastAsia="es-CO"/>
              </w:rPr>
              <w:t xml:space="preserve">:00 del </w:t>
            </w:r>
            <w:r w:rsidR="00EF5917">
              <w:rPr>
                <w:rFonts w:ascii="Bookman Old Style" w:hAnsi="Bookman Old Style"/>
                <w:color w:val="000000"/>
                <w:sz w:val="20"/>
                <w:szCs w:val="20"/>
                <w:lang w:val="es-CO" w:eastAsia="es-CO"/>
              </w:rPr>
              <w:br/>
            </w:r>
            <w:r w:rsidRPr="001B6E1B">
              <w:rPr>
                <w:rFonts w:ascii="Bookman Old Style" w:hAnsi="Bookman Old Style"/>
                <w:color w:val="000000"/>
                <w:sz w:val="20"/>
                <w:szCs w:val="20"/>
                <w:lang w:val="es-CO" w:eastAsia="es-CO"/>
              </w:rPr>
              <w:t>1</w:t>
            </w:r>
            <w:r w:rsidR="00BC7D7D" w:rsidRPr="001B6E1B">
              <w:rPr>
                <w:rFonts w:ascii="Bookman Old Style" w:hAnsi="Bookman Old Style"/>
                <w:color w:val="000000"/>
                <w:sz w:val="20"/>
                <w:szCs w:val="20"/>
                <w:lang w:val="es-CO" w:eastAsia="es-CO"/>
              </w:rPr>
              <w:t>5</w:t>
            </w:r>
            <w:r w:rsidRPr="001B6E1B">
              <w:rPr>
                <w:rFonts w:ascii="Bookman Old Style" w:hAnsi="Bookman Old Style"/>
                <w:color w:val="000000"/>
                <w:sz w:val="20"/>
                <w:szCs w:val="20"/>
                <w:lang w:val="es-CO" w:eastAsia="es-CO"/>
              </w:rPr>
              <w:t>-</w:t>
            </w:r>
            <w:r w:rsidR="00BC7D7D" w:rsidRPr="001B6E1B">
              <w:rPr>
                <w:rFonts w:ascii="Bookman Old Style" w:hAnsi="Bookman Old Style"/>
                <w:color w:val="000000"/>
                <w:sz w:val="20"/>
                <w:szCs w:val="20"/>
                <w:lang w:val="es-CO" w:eastAsia="es-CO"/>
              </w:rPr>
              <w:t>12</w:t>
            </w:r>
            <w:r w:rsidRPr="001B6E1B">
              <w:rPr>
                <w:rFonts w:ascii="Bookman Old Style" w:hAnsi="Bookman Old Style"/>
                <w:color w:val="000000"/>
                <w:sz w:val="20"/>
                <w:szCs w:val="20"/>
                <w:lang w:val="es-CO" w:eastAsia="es-CO"/>
              </w:rPr>
              <w:t>-202</w:t>
            </w:r>
            <w:r w:rsidR="00BC7D7D" w:rsidRPr="001B6E1B">
              <w:rPr>
                <w:rFonts w:ascii="Bookman Old Style" w:hAnsi="Bookman Old Style"/>
                <w:color w:val="000000"/>
                <w:sz w:val="20"/>
                <w:szCs w:val="20"/>
                <w:lang w:val="es-CO" w:eastAsia="es-CO"/>
              </w:rPr>
              <w:t>1</w:t>
            </w:r>
          </w:p>
        </w:tc>
      </w:tr>
      <w:tr w:rsidR="00B11AF6" w:rsidRPr="00536352" w14:paraId="2AE9F697" w14:textId="77777777" w:rsidTr="00CC6E65">
        <w:trPr>
          <w:trHeight w:val="494"/>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AD8409A" w14:textId="7879AEE8" w:rsidR="00B11AF6" w:rsidRPr="00536352" w:rsidRDefault="00E21B1E"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6</w:t>
            </w:r>
          </w:p>
        </w:tc>
        <w:tc>
          <w:tcPr>
            <w:tcW w:w="1704" w:type="dxa"/>
            <w:tcBorders>
              <w:top w:val="nil"/>
              <w:left w:val="nil"/>
              <w:bottom w:val="single" w:sz="4" w:space="0" w:color="auto"/>
              <w:right w:val="single" w:sz="4" w:space="0" w:color="auto"/>
            </w:tcBorders>
            <w:shd w:val="clear" w:color="auto" w:fill="auto"/>
            <w:vAlign w:val="center"/>
            <w:hideMark/>
          </w:tcPr>
          <w:p w14:paraId="05333ECC" w14:textId="77777777"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Entrega de sobres cerrados</w:t>
            </w:r>
          </w:p>
        </w:tc>
        <w:tc>
          <w:tcPr>
            <w:tcW w:w="3500" w:type="dxa"/>
            <w:tcBorders>
              <w:top w:val="nil"/>
              <w:left w:val="nil"/>
              <w:bottom w:val="single" w:sz="4" w:space="0" w:color="auto"/>
              <w:right w:val="single" w:sz="4" w:space="0" w:color="auto"/>
            </w:tcBorders>
            <w:shd w:val="clear" w:color="auto" w:fill="auto"/>
            <w:vAlign w:val="center"/>
            <w:hideMark/>
          </w:tcPr>
          <w:p w14:paraId="19FCCC7D" w14:textId="77777777"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Entrega de sobres cerrados</w:t>
            </w:r>
          </w:p>
        </w:tc>
        <w:tc>
          <w:tcPr>
            <w:tcW w:w="1429" w:type="dxa"/>
            <w:tcBorders>
              <w:top w:val="nil"/>
              <w:left w:val="nil"/>
              <w:bottom w:val="single" w:sz="4" w:space="0" w:color="auto"/>
              <w:right w:val="single" w:sz="4" w:space="0" w:color="auto"/>
            </w:tcBorders>
            <w:shd w:val="clear" w:color="auto" w:fill="auto"/>
            <w:vAlign w:val="center"/>
            <w:hideMark/>
          </w:tcPr>
          <w:p w14:paraId="123D899E" w14:textId="74134351"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Agente generador </w:t>
            </w:r>
          </w:p>
        </w:tc>
        <w:tc>
          <w:tcPr>
            <w:tcW w:w="1500" w:type="dxa"/>
            <w:tcBorders>
              <w:top w:val="nil"/>
              <w:left w:val="nil"/>
              <w:bottom w:val="single" w:sz="4" w:space="0" w:color="auto"/>
              <w:right w:val="single" w:sz="4" w:space="0" w:color="auto"/>
            </w:tcBorders>
            <w:shd w:val="clear" w:color="auto" w:fill="auto"/>
            <w:vAlign w:val="center"/>
            <w:hideMark/>
          </w:tcPr>
          <w:p w14:paraId="536027F6" w14:textId="1F41B878"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Hasta las </w:t>
            </w:r>
            <w:r w:rsidRPr="001D33A1">
              <w:rPr>
                <w:rFonts w:ascii="Bookman Old Style" w:hAnsi="Bookman Old Style"/>
                <w:color w:val="000000"/>
                <w:sz w:val="20"/>
                <w:szCs w:val="20"/>
                <w:lang w:val="es-CO" w:eastAsia="es-CO"/>
              </w:rPr>
              <w:t>14:00</w:t>
            </w:r>
            <w:r w:rsidRPr="00536352">
              <w:rPr>
                <w:rFonts w:ascii="Bookman Old Style" w:hAnsi="Bookman Old Style"/>
                <w:color w:val="000000"/>
                <w:sz w:val="20"/>
                <w:szCs w:val="20"/>
                <w:lang w:val="es-CO" w:eastAsia="es-CO"/>
              </w:rPr>
              <w:t xml:space="preserve"> </w:t>
            </w:r>
            <w:r>
              <w:rPr>
                <w:rFonts w:ascii="Bookman Old Style" w:hAnsi="Bookman Old Style"/>
                <w:color w:val="000000"/>
                <w:sz w:val="20"/>
                <w:szCs w:val="20"/>
                <w:lang w:val="es-CO" w:eastAsia="es-CO"/>
              </w:rPr>
              <w:t>del</w:t>
            </w:r>
            <w:r w:rsidR="00EF5917">
              <w:rPr>
                <w:rFonts w:ascii="Bookman Old Style" w:hAnsi="Bookman Old Style"/>
                <w:color w:val="000000"/>
                <w:sz w:val="20"/>
                <w:szCs w:val="20"/>
                <w:lang w:val="es-CO" w:eastAsia="es-CO"/>
              </w:rPr>
              <w:t xml:space="preserve"> </w:t>
            </w:r>
            <w:r w:rsidR="00EF5917">
              <w:rPr>
                <w:rFonts w:ascii="Bookman Old Style" w:hAnsi="Bookman Old Style"/>
                <w:color w:val="000000"/>
                <w:sz w:val="20"/>
                <w:szCs w:val="20"/>
                <w:lang w:val="es-CO" w:eastAsia="es-CO"/>
              </w:rPr>
              <w:br/>
            </w:r>
            <w:r w:rsidRPr="001B6E1B">
              <w:rPr>
                <w:rFonts w:ascii="Bookman Old Style" w:hAnsi="Bookman Old Style"/>
                <w:color w:val="000000"/>
                <w:sz w:val="20"/>
                <w:szCs w:val="20"/>
                <w:lang w:val="es-CO" w:eastAsia="es-CO"/>
              </w:rPr>
              <w:t>1</w:t>
            </w:r>
            <w:r w:rsidR="002C76C6" w:rsidRPr="001B6E1B">
              <w:rPr>
                <w:rFonts w:ascii="Bookman Old Style" w:hAnsi="Bookman Old Style"/>
                <w:color w:val="000000"/>
                <w:sz w:val="20"/>
                <w:szCs w:val="20"/>
                <w:lang w:val="es-CO" w:eastAsia="es-CO"/>
              </w:rPr>
              <w:t>5</w:t>
            </w:r>
            <w:r w:rsidRPr="001B6E1B">
              <w:rPr>
                <w:rFonts w:ascii="Bookman Old Style" w:hAnsi="Bookman Old Style"/>
                <w:color w:val="000000"/>
                <w:sz w:val="20"/>
                <w:szCs w:val="20"/>
                <w:lang w:val="es-CO" w:eastAsia="es-CO"/>
              </w:rPr>
              <w:t>-</w:t>
            </w:r>
            <w:r w:rsidR="002C76C6" w:rsidRPr="001B6E1B">
              <w:rPr>
                <w:rFonts w:ascii="Bookman Old Style" w:hAnsi="Bookman Old Style"/>
                <w:color w:val="000000"/>
                <w:sz w:val="20"/>
                <w:szCs w:val="20"/>
                <w:lang w:val="es-CO" w:eastAsia="es-CO"/>
              </w:rPr>
              <w:t>12</w:t>
            </w:r>
            <w:r w:rsidRPr="001B6E1B">
              <w:rPr>
                <w:rFonts w:ascii="Bookman Old Style" w:hAnsi="Bookman Old Style"/>
                <w:color w:val="000000"/>
                <w:sz w:val="20"/>
                <w:szCs w:val="20"/>
                <w:lang w:val="es-CO" w:eastAsia="es-CO"/>
              </w:rPr>
              <w:t>-202</w:t>
            </w:r>
            <w:r w:rsidR="002C76C6" w:rsidRPr="001B6E1B">
              <w:rPr>
                <w:rFonts w:ascii="Bookman Old Style" w:hAnsi="Bookman Old Style"/>
                <w:color w:val="000000"/>
                <w:sz w:val="20"/>
                <w:szCs w:val="20"/>
                <w:lang w:val="es-CO" w:eastAsia="es-CO"/>
              </w:rPr>
              <w:t>1</w:t>
            </w:r>
          </w:p>
        </w:tc>
      </w:tr>
      <w:tr w:rsidR="00B11AF6" w:rsidRPr="00536352" w14:paraId="6AB6A934" w14:textId="77777777" w:rsidTr="00EA480F">
        <w:trPr>
          <w:trHeight w:val="722"/>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CA5B9BF" w14:textId="4F3E4A91" w:rsidR="00B11AF6" w:rsidRPr="00536352" w:rsidRDefault="00E21B1E"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7</w:t>
            </w:r>
          </w:p>
        </w:tc>
        <w:tc>
          <w:tcPr>
            <w:tcW w:w="1704" w:type="dxa"/>
            <w:tcBorders>
              <w:top w:val="nil"/>
              <w:left w:val="nil"/>
              <w:bottom w:val="single" w:sz="4" w:space="0" w:color="auto"/>
              <w:right w:val="single" w:sz="4" w:space="0" w:color="auto"/>
            </w:tcBorders>
            <w:shd w:val="clear" w:color="auto" w:fill="auto"/>
            <w:vAlign w:val="center"/>
            <w:hideMark/>
          </w:tcPr>
          <w:p w14:paraId="2CD3CBC0" w14:textId="77777777"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Apertura y asignación</w:t>
            </w:r>
          </w:p>
        </w:tc>
        <w:tc>
          <w:tcPr>
            <w:tcW w:w="3500" w:type="dxa"/>
            <w:tcBorders>
              <w:top w:val="nil"/>
              <w:left w:val="nil"/>
              <w:bottom w:val="single" w:sz="4" w:space="0" w:color="auto"/>
              <w:right w:val="single" w:sz="4" w:space="0" w:color="auto"/>
            </w:tcBorders>
            <w:shd w:val="clear" w:color="auto" w:fill="auto"/>
            <w:vAlign w:val="center"/>
            <w:hideMark/>
          </w:tcPr>
          <w:p w14:paraId="543C45DD" w14:textId="515C6A91"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Apertura de sobres y asignación de las OEF de </w:t>
            </w:r>
            <w:r w:rsidR="0055519B">
              <w:rPr>
                <w:rFonts w:ascii="Bookman Old Style" w:hAnsi="Bookman Old Style"/>
                <w:color w:val="000000"/>
                <w:sz w:val="20"/>
                <w:szCs w:val="20"/>
                <w:lang w:val="es-CO" w:eastAsia="es-CO"/>
              </w:rPr>
              <w:t>venta</w:t>
            </w:r>
            <w:r w:rsidRPr="00536352">
              <w:rPr>
                <w:rFonts w:ascii="Bookman Old Style" w:hAnsi="Bookman Old Style"/>
                <w:color w:val="000000"/>
                <w:sz w:val="20"/>
                <w:szCs w:val="20"/>
                <w:lang w:val="es-CO" w:eastAsia="es-CO"/>
              </w:rPr>
              <w:t xml:space="preserve"> a agentes generadores.</w:t>
            </w:r>
          </w:p>
        </w:tc>
        <w:tc>
          <w:tcPr>
            <w:tcW w:w="1429" w:type="dxa"/>
            <w:tcBorders>
              <w:top w:val="nil"/>
              <w:left w:val="nil"/>
              <w:bottom w:val="single" w:sz="4" w:space="0" w:color="auto"/>
              <w:right w:val="single" w:sz="4" w:space="0" w:color="auto"/>
            </w:tcBorders>
            <w:shd w:val="clear" w:color="auto" w:fill="auto"/>
            <w:vAlign w:val="center"/>
            <w:hideMark/>
          </w:tcPr>
          <w:p w14:paraId="27510335" w14:textId="77777777" w:rsidR="00B11AF6" w:rsidRPr="00536352" w:rsidRDefault="00B11AF6" w:rsidP="00EA480F">
            <w:pPr>
              <w:ind w:left="0"/>
              <w:jc w:val="center"/>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ASIC</w:t>
            </w:r>
          </w:p>
        </w:tc>
        <w:tc>
          <w:tcPr>
            <w:tcW w:w="1500" w:type="dxa"/>
            <w:tcBorders>
              <w:top w:val="nil"/>
              <w:left w:val="nil"/>
              <w:bottom w:val="single" w:sz="4" w:space="0" w:color="auto"/>
              <w:right w:val="single" w:sz="4" w:space="0" w:color="auto"/>
            </w:tcBorders>
            <w:shd w:val="clear" w:color="auto" w:fill="auto"/>
            <w:vAlign w:val="center"/>
            <w:hideMark/>
          </w:tcPr>
          <w:p w14:paraId="6F56A9A2" w14:textId="5EA5A0E9"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A partir de las 14:30 </w:t>
            </w:r>
            <w:r>
              <w:rPr>
                <w:rFonts w:ascii="Bookman Old Style" w:hAnsi="Bookman Old Style"/>
                <w:color w:val="000000"/>
                <w:sz w:val="20"/>
                <w:szCs w:val="20"/>
                <w:lang w:val="es-CO" w:eastAsia="es-CO"/>
              </w:rPr>
              <w:t>del</w:t>
            </w:r>
            <w:r w:rsidR="00EF5917">
              <w:rPr>
                <w:rFonts w:ascii="Bookman Old Style" w:hAnsi="Bookman Old Style"/>
                <w:color w:val="000000"/>
                <w:sz w:val="20"/>
                <w:szCs w:val="20"/>
                <w:lang w:val="es-CO" w:eastAsia="es-CO"/>
              </w:rPr>
              <w:t xml:space="preserve"> </w:t>
            </w:r>
            <w:r w:rsidRPr="001B6E1B">
              <w:rPr>
                <w:rFonts w:ascii="Bookman Old Style" w:hAnsi="Bookman Old Style"/>
                <w:color w:val="000000"/>
                <w:sz w:val="20"/>
                <w:szCs w:val="20"/>
                <w:lang w:val="es-CO" w:eastAsia="es-CO"/>
              </w:rPr>
              <w:t>1</w:t>
            </w:r>
            <w:r w:rsidR="002C76C6" w:rsidRPr="001B6E1B">
              <w:rPr>
                <w:rFonts w:ascii="Bookman Old Style" w:hAnsi="Bookman Old Style"/>
                <w:color w:val="000000"/>
                <w:sz w:val="20"/>
                <w:szCs w:val="20"/>
                <w:lang w:val="es-CO" w:eastAsia="es-CO"/>
              </w:rPr>
              <w:t>5</w:t>
            </w:r>
            <w:r w:rsidRPr="001B6E1B">
              <w:rPr>
                <w:rFonts w:ascii="Bookman Old Style" w:hAnsi="Bookman Old Style"/>
                <w:color w:val="000000"/>
                <w:sz w:val="20"/>
                <w:szCs w:val="20"/>
                <w:lang w:val="es-CO" w:eastAsia="es-CO"/>
              </w:rPr>
              <w:t>-</w:t>
            </w:r>
            <w:r w:rsidR="002C76C6" w:rsidRPr="001B6E1B">
              <w:rPr>
                <w:rFonts w:ascii="Bookman Old Style" w:hAnsi="Bookman Old Style"/>
                <w:color w:val="000000"/>
                <w:sz w:val="20"/>
                <w:szCs w:val="20"/>
                <w:lang w:val="es-CO" w:eastAsia="es-CO"/>
              </w:rPr>
              <w:t>12</w:t>
            </w:r>
            <w:r w:rsidRPr="001B6E1B">
              <w:rPr>
                <w:rFonts w:ascii="Bookman Old Style" w:hAnsi="Bookman Old Style"/>
                <w:color w:val="000000"/>
                <w:sz w:val="20"/>
                <w:szCs w:val="20"/>
                <w:lang w:val="es-CO" w:eastAsia="es-CO"/>
              </w:rPr>
              <w:t>-202</w:t>
            </w:r>
            <w:r w:rsidR="002C76C6" w:rsidRPr="001B6E1B">
              <w:rPr>
                <w:rFonts w:ascii="Bookman Old Style" w:hAnsi="Bookman Old Style"/>
                <w:color w:val="000000"/>
                <w:sz w:val="20"/>
                <w:szCs w:val="20"/>
                <w:lang w:val="es-CO" w:eastAsia="es-CO"/>
              </w:rPr>
              <w:t>1</w:t>
            </w:r>
          </w:p>
        </w:tc>
      </w:tr>
      <w:tr w:rsidR="00B11AF6" w:rsidRPr="00536352" w14:paraId="15C5B1A2" w14:textId="77777777" w:rsidTr="00CC6E65">
        <w:trPr>
          <w:trHeight w:val="33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C862BBE" w14:textId="042F6C40" w:rsidR="00B11AF6" w:rsidRPr="00536352" w:rsidRDefault="00E21B1E" w:rsidP="00EA480F">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8</w:t>
            </w:r>
          </w:p>
        </w:tc>
        <w:tc>
          <w:tcPr>
            <w:tcW w:w="1704" w:type="dxa"/>
            <w:tcBorders>
              <w:top w:val="nil"/>
              <w:left w:val="nil"/>
              <w:bottom w:val="single" w:sz="4" w:space="0" w:color="auto"/>
              <w:right w:val="single" w:sz="4" w:space="0" w:color="auto"/>
            </w:tcBorders>
            <w:shd w:val="clear" w:color="auto" w:fill="auto"/>
            <w:vAlign w:val="center"/>
            <w:hideMark/>
          </w:tcPr>
          <w:p w14:paraId="424921E4" w14:textId="77777777" w:rsidR="00B11AF6" w:rsidRPr="00536352" w:rsidRDefault="00B11AF6" w:rsidP="00EF5917">
            <w:pPr>
              <w:ind w:left="0"/>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Publicación </w:t>
            </w:r>
          </w:p>
        </w:tc>
        <w:tc>
          <w:tcPr>
            <w:tcW w:w="3500" w:type="dxa"/>
            <w:tcBorders>
              <w:top w:val="nil"/>
              <w:left w:val="nil"/>
              <w:bottom w:val="single" w:sz="4" w:space="0" w:color="auto"/>
              <w:right w:val="single" w:sz="4" w:space="0" w:color="auto"/>
            </w:tcBorders>
            <w:shd w:val="clear" w:color="auto" w:fill="auto"/>
            <w:vAlign w:val="center"/>
            <w:hideMark/>
          </w:tcPr>
          <w:p w14:paraId="0AA60A10" w14:textId="1CC3AAEA" w:rsidR="00B11AF6" w:rsidRPr="00536352" w:rsidRDefault="00B11AF6" w:rsidP="00EF5917">
            <w:pPr>
              <w:ind w:left="0"/>
              <w:jc w:val="both"/>
              <w:rPr>
                <w:rFonts w:ascii="Bookman Old Style" w:hAnsi="Bookman Old Style"/>
                <w:color w:val="000000"/>
                <w:sz w:val="20"/>
                <w:szCs w:val="20"/>
                <w:lang w:val="es-CO" w:eastAsia="es-CO"/>
              </w:rPr>
            </w:pPr>
            <w:r w:rsidRPr="00536352">
              <w:rPr>
                <w:rFonts w:ascii="Bookman Old Style" w:hAnsi="Bookman Old Style"/>
                <w:color w:val="000000"/>
                <w:sz w:val="20"/>
                <w:szCs w:val="20"/>
                <w:lang w:val="es-CO" w:eastAsia="es-CO"/>
              </w:rPr>
              <w:t xml:space="preserve">Publicación de resultados de la </w:t>
            </w:r>
            <w:r w:rsidR="00965C75">
              <w:rPr>
                <w:rFonts w:ascii="Bookman Old Style" w:hAnsi="Bookman Old Style"/>
                <w:color w:val="000000"/>
                <w:sz w:val="20"/>
                <w:szCs w:val="20"/>
                <w:lang w:val="es-CO" w:eastAsia="es-CO"/>
              </w:rPr>
              <w:t>SRCFV</w:t>
            </w:r>
          </w:p>
        </w:tc>
        <w:tc>
          <w:tcPr>
            <w:tcW w:w="1429" w:type="dxa"/>
            <w:tcBorders>
              <w:top w:val="nil"/>
              <w:left w:val="nil"/>
              <w:bottom w:val="single" w:sz="4" w:space="0" w:color="auto"/>
              <w:right w:val="single" w:sz="4" w:space="0" w:color="auto"/>
            </w:tcBorders>
            <w:shd w:val="clear" w:color="auto" w:fill="auto"/>
            <w:vAlign w:val="center"/>
            <w:hideMark/>
          </w:tcPr>
          <w:p w14:paraId="1EDCC050" w14:textId="77777777" w:rsidR="00B11AF6" w:rsidRPr="001B6E1B" w:rsidRDefault="00B11AF6" w:rsidP="00EA480F">
            <w:pPr>
              <w:ind w:left="0"/>
              <w:jc w:val="center"/>
              <w:rPr>
                <w:rFonts w:ascii="Bookman Old Style" w:hAnsi="Bookman Old Style"/>
                <w:color w:val="000000"/>
                <w:sz w:val="20"/>
                <w:szCs w:val="20"/>
                <w:lang w:val="es-CO" w:eastAsia="es-CO"/>
              </w:rPr>
            </w:pPr>
            <w:r w:rsidRPr="001B6E1B">
              <w:rPr>
                <w:rFonts w:ascii="Bookman Old Style" w:hAnsi="Bookman Old Style"/>
                <w:color w:val="000000"/>
                <w:sz w:val="20"/>
                <w:szCs w:val="20"/>
                <w:lang w:val="es-CO" w:eastAsia="es-CO"/>
              </w:rPr>
              <w:t>ASIC</w:t>
            </w:r>
          </w:p>
        </w:tc>
        <w:tc>
          <w:tcPr>
            <w:tcW w:w="1500" w:type="dxa"/>
            <w:tcBorders>
              <w:top w:val="nil"/>
              <w:left w:val="nil"/>
              <w:bottom w:val="single" w:sz="4" w:space="0" w:color="auto"/>
              <w:right w:val="single" w:sz="4" w:space="0" w:color="auto"/>
            </w:tcBorders>
            <w:shd w:val="clear" w:color="auto" w:fill="auto"/>
            <w:vAlign w:val="center"/>
            <w:hideMark/>
          </w:tcPr>
          <w:p w14:paraId="120CF2A7" w14:textId="64150A6C" w:rsidR="00B11AF6" w:rsidRPr="001B6E1B" w:rsidRDefault="00B11AF6" w:rsidP="00EF5917">
            <w:pPr>
              <w:ind w:left="0"/>
              <w:rPr>
                <w:rFonts w:ascii="Bookman Old Style" w:hAnsi="Bookman Old Style"/>
                <w:color w:val="000000"/>
                <w:sz w:val="20"/>
                <w:szCs w:val="20"/>
                <w:lang w:val="es-CO" w:eastAsia="es-CO"/>
              </w:rPr>
            </w:pPr>
            <w:r w:rsidRPr="001B6E1B">
              <w:rPr>
                <w:rFonts w:ascii="Bookman Old Style" w:hAnsi="Bookman Old Style"/>
                <w:color w:val="000000"/>
                <w:sz w:val="20"/>
                <w:szCs w:val="20"/>
                <w:lang w:val="es-CO" w:eastAsia="es-CO"/>
              </w:rPr>
              <w:t xml:space="preserve">Hasta </w:t>
            </w:r>
            <w:r w:rsidR="002E79C2">
              <w:rPr>
                <w:rFonts w:ascii="Bookman Old Style" w:hAnsi="Bookman Old Style"/>
                <w:color w:val="000000"/>
                <w:sz w:val="20"/>
                <w:szCs w:val="20"/>
                <w:lang w:val="es-CO" w:eastAsia="es-CO"/>
              </w:rPr>
              <w:t xml:space="preserve">el </w:t>
            </w:r>
            <w:r w:rsidRPr="001B6E1B">
              <w:rPr>
                <w:rFonts w:ascii="Bookman Old Style" w:hAnsi="Bookman Old Style"/>
                <w:color w:val="000000"/>
                <w:sz w:val="20"/>
                <w:szCs w:val="20"/>
                <w:lang w:val="es-CO" w:eastAsia="es-CO"/>
              </w:rPr>
              <w:t>1</w:t>
            </w:r>
            <w:r w:rsidR="002C76C6" w:rsidRPr="001B6E1B">
              <w:rPr>
                <w:rFonts w:ascii="Bookman Old Style" w:hAnsi="Bookman Old Style"/>
                <w:color w:val="000000"/>
                <w:sz w:val="20"/>
                <w:szCs w:val="20"/>
                <w:lang w:val="es-CO" w:eastAsia="es-CO"/>
              </w:rPr>
              <w:t>6</w:t>
            </w:r>
            <w:r w:rsidRPr="001B6E1B">
              <w:rPr>
                <w:rFonts w:ascii="Bookman Old Style" w:hAnsi="Bookman Old Style"/>
                <w:color w:val="000000"/>
                <w:sz w:val="20"/>
                <w:szCs w:val="20"/>
                <w:lang w:val="es-CO" w:eastAsia="es-CO"/>
              </w:rPr>
              <w:t>-</w:t>
            </w:r>
            <w:r w:rsidR="002C76C6" w:rsidRPr="001B6E1B">
              <w:rPr>
                <w:rFonts w:ascii="Bookman Old Style" w:hAnsi="Bookman Old Style"/>
                <w:color w:val="000000"/>
                <w:sz w:val="20"/>
                <w:szCs w:val="20"/>
                <w:lang w:val="es-CO" w:eastAsia="es-CO"/>
              </w:rPr>
              <w:t>12</w:t>
            </w:r>
            <w:r w:rsidRPr="001B6E1B">
              <w:rPr>
                <w:rFonts w:ascii="Bookman Old Style" w:hAnsi="Bookman Old Style"/>
                <w:color w:val="000000"/>
                <w:sz w:val="20"/>
                <w:szCs w:val="20"/>
                <w:lang w:val="es-CO" w:eastAsia="es-CO"/>
              </w:rPr>
              <w:t>-202</w:t>
            </w:r>
            <w:r w:rsidR="002C76C6" w:rsidRPr="001B6E1B">
              <w:rPr>
                <w:rFonts w:ascii="Bookman Old Style" w:hAnsi="Bookman Old Style"/>
                <w:color w:val="000000"/>
                <w:sz w:val="20"/>
                <w:szCs w:val="20"/>
                <w:lang w:val="es-CO" w:eastAsia="es-CO"/>
              </w:rPr>
              <w:t>1</w:t>
            </w:r>
          </w:p>
        </w:tc>
      </w:tr>
    </w:tbl>
    <w:p w14:paraId="014F0CE7" w14:textId="7FCA95CC" w:rsidR="00B11AF6" w:rsidRDefault="00B11AF6">
      <w:pPr>
        <w:ind w:left="0"/>
        <w:rPr>
          <w:rFonts w:ascii="Bookman Old Style" w:hAnsi="Bookman Old Style"/>
          <w:b/>
          <w:lang w:val="es-CO"/>
        </w:rPr>
      </w:pPr>
    </w:p>
    <w:p w14:paraId="19E1B21E" w14:textId="027AD7E2" w:rsidR="00FE7C4D" w:rsidRDefault="00FE7C4D">
      <w:pPr>
        <w:ind w:left="0"/>
        <w:rPr>
          <w:rFonts w:ascii="Bookman Old Style" w:hAnsi="Bookman Old Style"/>
          <w:b/>
          <w:lang w:val="es-CO"/>
        </w:rPr>
      </w:pPr>
    </w:p>
    <w:p w14:paraId="3DB8A84F" w14:textId="40A76C7C" w:rsidR="00FE7C4D" w:rsidRDefault="00FE7C4D">
      <w:pPr>
        <w:ind w:left="0"/>
        <w:rPr>
          <w:rFonts w:ascii="Bookman Old Style" w:hAnsi="Bookman Old Style"/>
          <w:b/>
          <w:lang w:val="es-CO"/>
        </w:rPr>
      </w:pPr>
    </w:p>
    <w:p w14:paraId="2180E63D" w14:textId="77777777" w:rsidR="00FE7C4D" w:rsidRDefault="00FE7C4D">
      <w:pPr>
        <w:ind w:left="0"/>
        <w:rPr>
          <w:rFonts w:ascii="Bookman Old Style" w:hAnsi="Bookman Old Style"/>
          <w:b/>
          <w:lang w:val="es-CO"/>
        </w:rPr>
      </w:pPr>
    </w:p>
    <w:p w14:paraId="3BFBD450" w14:textId="470CD74E" w:rsidR="00FE7C4D" w:rsidRDefault="00FE7C4D">
      <w:pPr>
        <w:ind w:left="0"/>
        <w:rPr>
          <w:rFonts w:ascii="Bookman Old Style" w:hAnsi="Bookman Old Style"/>
          <w:b/>
          <w:lang w:val="es-CO"/>
        </w:rPr>
      </w:pPr>
    </w:p>
    <w:tbl>
      <w:tblPr>
        <w:tblW w:w="9635" w:type="dxa"/>
        <w:tblCellSpacing w:w="0" w:type="dxa"/>
        <w:tblInd w:w="-142" w:type="dxa"/>
        <w:shd w:val="clear" w:color="auto" w:fill="FFFFFF"/>
        <w:tblCellMar>
          <w:left w:w="0" w:type="dxa"/>
          <w:right w:w="0" w:type="dxa"/>
        </w:tblCellMar>
        <w:tblLook w:val="04A0" w:firstRow="1" w:lastRow="0" w:firstColumn="1" w:lastColumn="0" w:noHBand="0" w:noVBand="1"/>
      </w:tblPr>
      <w:tblGrid>
        <w:gridCol w:w="4957"/>
        <w:gridCol w:w="4678"/>
      </w:tblGrid>
      <w:tr w:rsidR="00FE7C4D" w:rsidRPr="00B64D62" w14:paraId="081D9494" w14:textId="77777777" w:rsidTr="008E6963">
        <w:trPr>
          <w:tblCellSpacing w:w="0" w:type="dxa"/>
        </w:trPr>
        <w:tc>
          <w:tcPr>
            <w:tcW w:w="4957" w:type="dxa"/>
            <w:shd w:val="clear" w:color="auto" w:fill="FFFFFF" w:themeFill="background1"/>
            <w:hideMark/>
          </w:tcPr>
          <w:p w14:paraId="44AE1C7E" w14:textId="2F1E9057" w:rsidR="00FE7C4D" w:rsidRPr="00FE7C4D" w:rsidRDefault="001B6E1B" w:rsidP="00EA480F">
            <w:pPr>
              <w:ind w:left="0"/>
              <w:jc w:val="center"/>
              <w:rPr>
                <w:rFonts w:ascii="Bookman Old Style" w:hAnsi="Bookman Old Style"/>
                <w:b/>
              </w:rPr>
            </w:pPr>
            <w:r>
              <w:rPr>
                <w:rFonts w:ascii="Bookman Old Style" w:hAnsi="Bookman Old Style"/>
                <w:b/>
              </w:rPr>
              <w:t>MIGUEL LOTERO</w:t>
            </w:r>
            <w:r w:rsidR="00233BD6">
              <w:rPr>
                <w:rFonts w:ascii="Bookman Old Style" w:hAnsi="Bookman Old Style"/>
                <w:b/>
              </w:rPr>
              <w:t xml:space="preserve"> ROBLEDO</w:t>
            </w:r>
          </w:p>
        </w:tc>
        <w:tc>
          <w:tcPr>
            <w:tcW w:w="4678" w:type="dxa"/>
            <w:shd w:val="clear" w:color="auto" w:fill="FFFFFF" w:themeFill="background1"/>
            <w:hideMark/>
          </w:tcPr>
          <w:p w14:paraId="6687F061" w14:textId="77777777" w:rsidR="00FE7C4D" w:rsidRPr="00B64D62" w:rsidRDefault="00FE7C4D" w:rsidP="00EA480F">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465DBA" w:rsidRPr="00B64D62" w14:paraId="24430C60" w14:textId="77777777" w:rsidTr="008E6963">
        <w:trPr>
          <w:tblCellSpacing w:w="0" w:type="dxa"/>
        </w:trPr>
        <w:tc>
          <w:tcPr>
            <w:tcW w:w="4957" w:type="dxa"/>
            <w:shd w:val="clear" w:color="auto" w:fill="FFFFFF" w:themeFill="background1"/>
          </w:tcPr>
          <w:p w14:paraId="11618357" w14:textId="54193906" w:rsidR="00465DBA" w:rsidRDefault="00465DBA" w:rsidP="00EA480F">
            <w:pPr>
              <w:ind w:left="0"/>
              <w:jc w:val="center"/>
              <w:rPr>
                <w:rFonts w:ascii="Bookman Old Style" w:hAnsi="Bookman Old Style"/>
              </w:rPr>
            </w:pPr>
            <w:r>
              <w:rPr>
                <w:rFonts w:ascii="Bookman Old Style" w:hAnsi="Bookman Old Style"/>
              </w:rPr>
              <w:t>Viceministro de Energía</w:t>
            </w:r>
          </w:p>
        </w:tc>
        <w:tc>
          <w:tcPr>
            <w:tcW w:w="4678" w:type="dxa"/>
            <w:shd w:val="clear" w:color="auto" w:fill="FFFFFF" w:themeFill="background1"/>
          </w:tcPr>
          <w:p w14:paraId="64F84A30" w14:textId="626B768F" w:rsidR="00465DBA" w:rsidRPr="00B64D62" w:rsidRDefault="00465DBA" w:rsidP="00EA480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FE7C4D" w:rsidRPr="00B64D62" w14:paraId="051AFF20" w14:textId="77777777" w:rsidTr="008E6963">
        <w:trPr>
          <w:tblCellSpacing w:w="0" w:type="dxa"/>
        </w:trPr>
        <w:tc>
          <w:tcPr>
            <w:tcW w:w="4957" w:type="dxa"/>
            <w:shd w:val="clear" w:color="auto" w:fill="FFFFFF" w:themeFill="background1"/>
            <w:hideMark/>
          </w:tcPr>
          <w:p w14:paraId="71D9B559" w14:textId="429C9312" w:rsidR="00FE7C4D" w:rsidRPr="00B64D62" w:rsidRDefault="00465DBA" w:rsidP="00EA480F">
            <w:pPr>
              <w:ind w:left="0"/>
              <w:jc w:val="center"/>
              <w:rPr>
                <w:rFonts w:ascii="Bookman Old Style" w:hAnsi="Bookman Old Style" w:cs="Arial"/>
                <w:lang w:val="es-CO" w:eastAsia="es-CO"/>
              </w:rPr>
            </w:pPr>
            <w:r>
              <w:rPr>
                <w:rFonts w:ascii="Bookman Old Style" w:hAnsi="Bookman Old Style"/>
              </w:rPr>
              <w:t xml:space="preserve">Delegado del </w:t>
            </w:r>
            <w:proofErr w:type="gramStart"/>
            <w:r w:rsidR="00FE7C4D" w:rsidRPr="00B64D62">
              <w:rPr>
                <w:rFonts w:ascii="Bookman Old Style" w:hAnsi="Bookman Old Style"/>
              </w:rPr>
              <w:t>Ministr</w:t>
            </w:r>
            <w:r w:rsidR="00FE7C4D">
              <w:rPr>
                <w:rFonts w:ascii="Bookman Old Style" w:hAnsi="Bookman Old Style"/>
              </w:rPr>
              <w:t>o</w:t>
            </w:r>
            <w:proofErr w:type="gramEnd"/>
            <w:r w:rsidR="00FE7C4D" w:rsidRPr="00B64D62">
              <w:rPr>
                <w:rFonts w:ascii="Bookman Old Style" w:hAnsi="Bookman Old Style"/>
              </w:rPr>
              <w:t xml:space="preserve"> de Minas y Energía</w:t>
            </w:r>
          </w:p>
        </w:tc>
        <w:tc>
          <w:tcPr>
            <w:tcW w:w="4678" w:type="dxa"/>
            <w:shd w:val="clear" w:color="auto" w:fill="FFFFFF" w:themeFill="background1"/>
            <w:hideMark/>
          </w:tcPr>
          <w:p w14:paraId="480F1164" w14:textId="0924C378" w:rsidR="00FE7C4D" w:rsidRPr="00B64D62" w:rsidRDefault="00FE7C4D" w:rsidP="00EA480F">
            <w:pPr>
              <w:ind w:left="142"/>
              <w:jc w:val="center"/>
              <w:rPr>
                <w:rFonts w:ascii="Bookman Old Style" w:hAnsi="Bookman Old Style" w:cs="Arial"/>
                <w:lang w:val="es-CO" w:eastAsia="es-CO"/>
              </w:rPr>
            </w:pPr>
          </w:p>
        </w:tc>
      </w:tr>
      <w:tr w:rsidR="00FE7C4D" w:rsidRPr="00B64D62" w14:paraId="7885F890" w14:textId="77777777" w:rsidTr="008E6963">
        <w:trPr>
          <w:tblCellSpacing w:w="0" w:type="dxa"/>
        </w:trPr>
        <w:tc>
          <w:tcPr>
            <w:tcW w:w="4957" w:type="dxa"/>
            <w:shd w:val="clear" w:color="auto" w:fill="FFFFFF" w:themeFill="background1"/>
            <w:hideMark/>
          </w:tcPr>
          <w:p w14:paraId="77BA2146" w14:textId="77777777" w:rsidR="00FE7C4D" w:rsidRPr="00B64D62" w:rsidRDefault="00FE7C4D" w:rsidP="00EA480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A9B728A" w14:textId="77777777" w:rsidR="00FE7C4D" w:rsidRPr="00B64D62" w:rsidRDefault="00FE7C4D" w:rsidP="00EA480F">
            <w:pPr>
              <w:ind w:left="142"/>
              <w:rPr>
                <w:rFonts w:ascii="Bookman Old Style" w:hAnsi="Bookman Old Style" w:cs="Arial"/>
                <w:lang w:val="es-CO" w:eastAsia="es-CO"/>
              </w:rPr>
            </w:pPr>
            <w:r>
              <w:rPr>
                <w:noProof/>
              </w:rPr>
              <w:drawing>
                <wp:inline distT="0" distB="0" distL="0" distR="0" wp14:anchorId="469DA3C0" wp14:editId="289FC4E8">
                  <wp:extent cx="9525" cy="9525"/>
                  <wp:effectExtent l="0" t="0" r="0" b="0"/>
                  <wp:docPr id="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52ACA7CC" w14:textId="77777777" w:rsidR="00FE7C4D" w:rsidRDefault="00FE7C4D">
      <w:pPr>
        <w:ind w:left="0"/>
        <w:rPr>
          <w:rFonts w:ascii="Bookman Old Style" w:hAnsi="Bookman Old Style"/>
          <w:b/>
          <w:lang w:val="es-CO"/>
        </w:rPr>
      </w:pPr>
    </w:p>
    <w:p w14:paraId="27D510BE" w14:textId="77777777" w:rsidR="00AE3450" w:rsidRDefault="00AE3450" w:rsidP="00EA4011">
      <w:pPr>
        <w:ind w:left="0"/>
        <w:jc w:val="center"/>
        <w:rPr>
          <w:rFonts w:ascii="Bookman Old Style" w:hAnsi="Bookman Old Style"/>
          <w:b/>
          <w:lang w:val="es-CO"/>
        </w:rPr>
      </w:pPr>
    </w:p>
    <w:p w14:paraId="228E765E" w14:textId="010D1E14" w:rsidR="00B11AF6" w:rsidRDefault="00B11AF6">
      <w:pPr>
        <w:ind w:left="0"/>
        <w:rPr>
          <w:rFonts w:ascii="Bookman Old Style" w:hAnsi="Bookman Old Style"/>
          <w:b/>
        </w:rPr>
      </w:pPr>
    </w:p>
    <w:sectPr w:rsidR="00B11AF6" w:rsidSect="008A254E">
      <w:headerReference w:type="default" r:id="rId14"/>
      <w:headerReference w:type="first" r:id="rId15"/>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496E" w14:textId="77777777" w:rsidR="00690E21" w:rsidRDefault="00690E21">
      <w:r>
        <w:separator/>
      </w:r>
    </w:p>
  </w:endnote>
  <w:endnote w:type="continuationSeparator" w:id="0">
    <w:p w14:paraId="45A895C0" w14:textId="77777777" w:rsidR="00690E21" w:rsidRDefault="0069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933B" w14:textId="77777777" w:rsidR="00690E21" w:rsidRDefault="00690E21">
      <w:r>
        <w:separator/>
      </w:r>
    </w:p>
  </w:footnote>
  <w:footnote w:type="continuationSeparator" w:id="0">
    <w:p w14:paraId="0CE44443" w14:textId="77777777" w:rsidR="00690E21" w:rsidRDefault="0069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9C9" w14:textId="538169C5" w:rsidR="00CC51D4" w:rsidRDefault="00CC51D4" w:rsidP="00951F79">
    <w:pPr>
      <w:pStyle w:val="Ttulo1"/>
      <w:ind w:right="6"/>
      <w:jc w:val="left"/>
      <w:rPr>
        <w:rFonts w:ascii="Bookman Old Style" w:hAnsi="Bookman Old Style" w:cs="Arial"/>
        <w:b w:val="0"/>
        <w:sz w:val="22"/>
        <w:szCs w:val="22"/>
      </w:rPr>
    </w:pPr>
  </w:p>
  <w:p w14:paraId="0D8D6D0A" w14:textId="4A212DC5"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951F79">
      <w:rPr>
        <w:rFonts w:ascii="Bookman Old Style" w:hAnsi="Bookman Old Style" w:cs="Arial"/>
        <w:b w:val="0"/>
        <w:sz w:val="22"/>
        <w:szCs w:val="22"/>
      </w:rPr>
      <w:t xml:space="preserve"> </w:t>
    </w:r>
    <w:r w:rsidR="00951F79" w:rsidRPr="00B85FC1">
      <w:rPr>
        <w:rFonts w:ascii="Bookman Old Style" w:hAnsi="Bookman Old Style" w:cs="Arial"/>
        <w:bCs/>
        <w:szCs w:val="24"/>
        <w:u w:val="single"/>
      </w:rPr>
      <w:t xml:space="preserve"> </w:t>
    </w:r>
    <w:r w:rsidR="00233BD6">
      <w:rPr>
        <w:rFonts w:ascii="Bookman Old Style" w:hAnsi="Bookman Old Style" w:cs="Arial"/>
        <w:bCs/>
        <w:szCs w:val="24"/>
        <w:u w:val="single"/>
      </w:rPr>
      <w:t>170</w:t>
    </w:r>
    <w:proofErr w:type="gramEnd"/>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233BD6">
      <w:rPr>
        <w:rFonts w:ascii="Bookman Old Style" w:hAnsi="Bookman Old Style" w:cs="Arial"/>
        <w:b w:val="0"/>
        <w:sz w:val="22"/>
        <w:szCs w:val="22"/>
      </w:rPr>
      <w:t xml:space="preserve"> </w:t>
    </w:r>
    <w:r w:rsidR="008E6963">
      <w:rPr>
        <w:rFonts w:ascii="Bookman Old Style" w:hAnsi="Bookman Old Style" w:cs="Arial"/>
        <w:bCs/>
        <w:szCs w:val="24"/>
        <w:u w:val="single"/>
      </w:rPr>
      <w:t>07</w:t>
    </w:r>
    <w:r w:rsidR="00B85FC1" w:rsidRPr="00B85FC1">
      <w:rPr>
        <w:rFonts w:ascii="Bookman Old Style" w:hAnsi="Bookman Old Style" w:cs="Arial"/>
        <w:bCs/>
        <w:szCs w:val="24"/>
        <w:u w:val="single"/>
      </w:rPr>
      <w:t xml:space="preserve"> </w:t>
    </w:r>
    <w:r w:rsidR="00180F1D">
      <w:rPr>
        <w:rFonts w:ascii="Bookman Old Style" w:hAnsi="Bookman Old Style" w:cs="Arial"/>
        <w:bCs/>
        <w:szCs w:val="24"/>
        <w:u w:val="single"/>
      </w:rPr>
      <w:t>OCT</w:t>
    </w:r>
    <w:r w:rsidR="00B85FC1" w:rsidRPr="00B85FC1">
      <w:rPr>
        <w:rFonts w:ascii="Bookman Old Style" w:hAnsi="Bookman Old Style" w:cs="Arial"/>
        <w:bCs/>
        <w:szCs w:val="24"/>
        <w:u w:val="single"/>
      </w:rPr>
      <w:t>. 2021</w:t>
    </w:r>
    <w:r w:rsidR="00B85FC1">
      <w:rPr>
        <w:rFonts w:ascii="Bookman Old Style" w:hAnsi="Bookman Old Style" w:cs="Arial"/>
        <w:b w:val="0"/>
        <w:sz w:val="22"/>
        <w:szCs w:val="22"/>
      </w:rPr>
      <w:t xml:space="preserve">  </w:t>
    </w:r>
    <w:r w:rsidR="00233BD6">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E77BB">
      <w:fldChar w:fldCharType="begin"/>
    </w:r>
    <w:r w:rsidR="008E77BB">
      <w:instrText>NUMPAGES  \* MERGEFORMAT</w:instrText>
    </w:r>
    <w:r w:rsidR="008E77BB">
      <w:fldChar w:fldCharType="separate"/>
    </w:r>
    <w:r w:rsidR="00F651F7" w:rsidRPr="00F651F7">
      <w:rPr>
        <w:rFonts w:ascii="Bookman Old Style" w:hAnsi="Bookman Old Style" w:cs="Arial"/>
        <w:b w:val="0"/>
        <w:noProof/>
        <w:sz w:val="22"/>
        <w:szCs w:val="22"/>
      </w:rPr>
      <w:t>11</w:t>
    </w:r>
    <w:r w:rsidR="008E77BB">
      <w:rPr>
        <w:rFonts w:ascii="Bookman Old Style" w:hAnsi="Bookman Old Style" w:cs="Arial"/>
        <w:b w:val="0"/>
        <w:noProof/>
        <w:sz w:val="22"/>
        <w:szCs w:val="22"/>
      </w:rPr>
      <w:fldChar w:fldCharType="end"/>
    </w:r>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02E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709F0D39" w14:textId="75B5C858" w:rsidR="00782E22" w:rsidRPr="00180F1D" w:rsidRDefault="00FC3ADE" w:rsidP="00233BD6">
    <w:pPr>
      <w:spacing w:before="120"/>
      <w:ind w:left="0"/>
      <w:jc w:val="both"/>
      <w:rPr>
        <w:rFonts w:ascii="Bookman Old Style" w:hAnsi="Bookman Old Style"/>
        <w:iCs/>
        <w:sz w:val="20"/>
        <w:szCs w:val="20"/>
      </w:rPr>
    </w:pPr>
    <w:r w:rsidRPr="00180F1D">
      <w:rPr>
        <w:rFonts w:ascii="Bookman Old Style" w:hAnsi="Bookman Old Style"/>
        <w:iCs/>
        <w:sz w:val="22"/>
        <w:szCs w:val="22"/>
      </w:rPr>
      <w:t xml:space="preserve">Por la cual se convoca a una </w:t>
    </w:r>
    <w:r w:rsidR="00001012">
      <w:rPr>
        <w:rFonts w:ascii="Bookman Old Style" w:hAnsi="Bookman Old Style"/>
        <w:iCs/>
        <w:sz w:val="22"/>
        <w:szCs w:val="22"/>
      </w:rPr>
      <w:t>s</w:t>
    </w:r>
    <w:r w:rsidRPr="00180F1D">
      <w:rPr>
        <w:rFonts w:ascii="Bookman Old Style" w:hAnsi="Bookman Old Style"/>
        <w:iCs/>
        <w:sz w:val="22"/>
        <w:szCs w:val="22"/>
      </w:rPr>
      <w:t xml:space="preserve">ubasta de </w:t>
    </w:r>
    <w:r w:rsidR="00001012">
      <w:rPr>
        <w:rFonts w:ascii="Bookman Old Style" w:hAnsi="Bookman Old Style"/>
        <w:iCs/>
        <w:sz w:val="22"/>
        <w:szCs w:val="22"/>
      </w:rPr>
      <w:t>r</w:t>
    </w:r>
    <w:r w:rsidRPr="00180F1D">
      <w:rPr>
        <w:rFonts w:ascii="Bookman Old Style" w:hAnsi="Bookman Old Style"/>
        <w:iCs/>
        <w:sz w:val="22"/>
        <w:szCs w:val="22"/>
      </w:rPr>
      <w:t xml:space="preserve">econfiguración de </w:t>
    </w:r>
    <w:r w:rsidR="00FC12EB">
      <w:rPr>
        <w:rFonts w:ascii="Bookman Old Style" w:hAnsi="Bookman Old Style"/>
        <w:iCs/>
        <w:sz w:val="22"/>
        <w:szCs w:val="22"/>
      </w:rPr>
      <w:br/>
    </w:r>
    <w:r w:rsidR="00001012">
      <w:rPr>
        <w:rFonts w:ascii="Bookman Old Style" w:hAnsi="Bookman Old Style"/>
        <w:iCs/>
        <w:sz w:val="22"/>
        <w:szCs w:val="22"/>
      </w:rPr>
      <w:t>v</w:t>
    </w:r>
    <w:r w:rsidRPr="00180F1D">
      <w:rPr>
        <w:rFonts w:ascii="Bookman Old Style" w:hAnsi="Bookman Old Style"/>
        <w:iCs/>
        <w:sz w:val="22"/>
        <w:szCs w:val="22"/>
      </w:rPr>
      <w:t xml:space="preserve">enta de </w:t>
    </w:r>
    <w:r w:rsidR="00001012">
      <w:rPr>
        <w:rFonts w:ascii="Bookman Old Style" w:hAnsi="Bookman Old Style"/>
        <w:iCs/>
        <w:sz w:val="22"/>
        <w:szCs w:val="22"/>
      </w:rPr>
      <w:t>o</w:t>
    </w:r>
    <w:r w:rsidR="00B9542F" w:rsidRPr="00180F1D">
      <w:rPr>
        <w:rFonts w:ascii="Bookman Old Style" w:hAnsi="Bookman Old Style"/>
        <w:iCs/>
        <w:sz w:val="22"/>
        <w:szCs w:val="22"/>
      </w:rPr>
      <w:t xml:space="preserve">bligaciones de </w:t>
    </w:r>
    <w:r w:rsidR="00001012">
      <w:rPr>
        <w:rFonts w:ascii="Bookman Old Style" w:hAnsi="Bookman Old Style"/>
        <w:iCs/>
        <w:sz w:val="22"/>
        <w:szCs w:val="22"/>
      </w:rPr>
      <w:t>e</w:t>
    </w:r>
    <w:r w:rsidR="00B9542F" w:rsidRPr="00180F1D">
      <w:rPr>
        <w:rFonts w:ascii="Bookman Old Style" w:hAnsi="Bookman Old Style"/>
        <w:iCs/>
        <w:sz w:val="22"/>
        <w:szCs w:val="22"/>
      </w:rPr>
      <w:t xml:space="preserve">nergía </w:t>
    </w:r>
    <w:r w:rsidR="00001012">
      <w:rPr>
        <w:rFonts w:ascii="Bookman Old Style" w:hAnsi="Bookman Old Style"/>
        <w:iCs/>
        <w:sz w:val="22"/>
        <w:szCs w:val="22"/>
      </w:rPr>
      <w:t>f</w:t>
    </w:r>
    <w:r w:rsidR="00B9542F" w:rsidRPr="00180F1D">
      <w:rPr>
        <w:rFonts w:ascii="Bookman Old Style" w:hAnsi="Bookman Old Style"/>
        <w:iCs/>
        <w:sz w:val="22"/>
        <w:szCs w:val="22"/>
      </w:rPr>
      <w:t xml:space="preserve">irme </w:t>
    </w:r>
    <w:r w:rsidRPr="00180F1D">
      <w:rPr>
        <w:rFonts w:ascii="Bookman Old Style" w:hAnsi="Bookman Old Style"/>
        <w:iCs/>
        <w:sz w:val="22"/>
        <w:szCs w:val="22"/>
      </w:rPr>
      <w:t>para el período 2022-2023</w:t>
    </w:r>
  </w:p>
  <w:p w14:paraId="0AABD324" w14:textId="77777777" w:rsidR="0092193C" w:rsidRDefault="0092193C" w:rsidP="00B85FC1">
    <w:pPr>
      <w:pBdr>
        <w:bottom w:val="single" w:sz="4" w:space="1" w:color="auto"/>
      </w:pBdr>
      <w:spacing w:after="120"/>
      <w:ind w:left="0" w:right="14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44E99"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12EB7F30"/>
    <w:multiLevelType w:val="hybridMultilevel"/>
    <w:tmpl w:val="759430F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483085D"/>
    <w:multiLevelType w:val="hybridMultilevel"/>
    <w:tmpl w:val="2834B636"/>
    <w:lvl w:ilvl="0" w:tplc="94FAC69E">
      <w:start w:val="1"/>
      <w:numFmt w:val="lowerRoman"/>
      <w:lvlText w:val="%1."/>
      <w:lvlJc w:val="righ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7E4553"/>
    <w:multiLevelType w:val="hybridMultilevel"/>
    <w:tmpl w:val="7526A54E"/>
    <w:lvl w:ilvl="0" w:tplc="BEE02D6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7"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6F2162B"/>
    <w:multiLevelType w:val="hybridMultilevel"/>
    <w:tmpl w:val="2F5EB3E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2"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90052E6"/>
    <w:multiLevelType w:val="hybridMultilevel"/>
    <w:tmpl w:val="256C1FC2"/>
    <w:lvl w:ilvl="0" w:tplc="240A0019">
      <w:start w:val="1"/>
      <w:numFmt w:val="lowerLetter"/>
      <w:lvlText w:val="%1."/>
      <w:lvlJc w:val="left"/>
      <w:pPr>
        <w:ind w:left="360" w:hanging="360"/>
      </w:pPr>
    </w:lvl>
    <w:lvl w:ilvl="1" w:tplc="240A001B">
      <w:start w:val="1"/>
      <w:numFmt w:val="lowerRoman"/>
      <w:lvlText w:val="%2."/>
      <w:lvlJc w:val="right"/>
      <w:pPr>
        <w:ind w:left="1080" w:hanging="360"/>
      </w:pPr>
    </w:lvl>
    <w:lvl w:ilvl="2" w:tplc="240A000F">
      <w:start w:val="1"/>
      <w:numFmt w:val="decimal"/>
      <w:lvlText w:val="%3."/>
      <w:lvlJc w:val="lef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46"/>
  </w:num>
  <w:num w:numId="4">
    <w:abstractNumId w:val="13"/>
  </w:num>
  <w:num w:numId="5">
    <w:abstractNumId w:val="34"/>
  </w:num>
  <w:num w:numId="6">
    <w:abstractNumId w:val="5"/>
  </w:num>
  <w:num w:numId="7">
    <w:abstractNumId w:val="4"/>
  </w:num>
  <w:num w:numId="8">
    <w:abstractNumId w:val="37"/>
  </w:num>
  <w:num w:numId="9">
    <w:abstractNumId w:val="35"/>
  </w:num>
  <w:num w:numId="10">
    <w:abstractNumId w:val="25"/>
  </w:num>
  <w:num w:numId="11">
    <w:abstractNumId w:val="48"/>
  </w:num>
  <w:num w:numId="12">
    <w:abstractNumId w:val="40"/>
  </w:num>
  <w:num w:numId="13">
    <w:abstractNumId w:val="19"/>
  </w:num>
  <w:num w:numId="14">
    <w:abstractNumId w:val="2"/>
  </w:num>
  <w:num w:numId="15">
    <w:abstractNumId w:val="26"/>
  </w:num>
  <w:num w:numId="16">
    <w:abstractNumId w:val="1"/>
  </w:num>
  <w:num w:numId="17">
    <w:abstractNumId w:val="18"/>
  </w:num>
  <w:num w:numId="18">
    <w:abstractNumId w:val="0"/>
  </w:num>
  <w:num w:numId="19">
    <w:abstractNumId w:val="39"/>
  </w:num>
  <w:num w:numId="20">
    <w:abstractNumId w:val="30"/>
  </w:num>
  <w:num w:numId="21">
    <w:abstractNumId w:val="14"/>
  </w:num>
  <w:num w:numId="22">
    <w:abstractNumId w:val="17"/>
  </w:num>
  <w:num w:numId="23">
    <w:abstractNumId w:val="21"/>
  </w:num>
  <w:num w:numId="24">
    <w:abstractNumId w:val="15"/>
  </w:num>
  <w:num w:numId="25">
    <w:abstractNumId w:val="20"/>
  </w:num>
  <w:num w:numId="26">
    <w:abstractNumId w:val="36"/>
  </w:num>
  <w:num w:numId="27">
    <w:abstractNumId w:val="31"/>
  </w:num>
  <w:num w:numId="28">
    <w:abstractNumId w:val="33"/>
  </w:num>
  <w:num w:numId="29">
    <w:abstractNumId w:val="29"/>
  </w:num>
  <w:num w:numId="30">
    <w:abstractNumId w:val="11"/>
  </w:num>
  <w:num w:numId="31">
    <w:abstractNumId w:val="28"/>
  </w:num>
  <w:num w:numId="32">
    <w:abstractNumId w:val="42"/>
  </w:num>
  <w:num w:numId="33">
    <w:abstractNumId w:val="22"/>
  </w:num>
  <w:num w:numId="34">
    <w:abstractNumId w:val="45"/>
  </w:num>
  <w:num w:numId="35">
    <w:abstractNumId w:val="10"/>
  </w:num>
  <w:num w:numId="36">
    <w:abstractNumId w:val="23"/>
  </w:num>
  <w:num w:numId="37">
    <w:abstractNumId w:val="3"/>
  </w:num>
  <w:num w:numId="38">
    <w:abstractNumId w:val="47"/>
  </w:num>
  <w:num w:numId="39">
    <w:abstractNumId w:val="7"/>
  </w:num>
  <w:num w:numId="40">
    <w:abstractNumId w:val="41"/>
  </w:num>
  <w:num w:numId="41">
    <w:abstractNumId w:val="43"/>
  </w:num>
  <w:num w:numId="42">
    <w:abstractNumId w:val="16"/>
  </w:num>
  <w:num w:numId="43">
    <w:abstractNumId w:val="27"/>
  </w:num>
  <w:num w:numId="44">
    <w:abstractNumId w:val="32"/>
  </w:num>
  <w:num w:numId="45">
    <w:abstractNumId w:val="44"/>
  </w:num>
  <w:num w:numId="46">
    <w:abstractNumId w:val="8"/>
  </w:num>
  <w:num w:numId="47">
    <w:abstractNumId w:val="38"/>
  </w:num>
  <w:num w:numId="48">
    <w:abstractNumId w:val="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86"/>
    <w:rsid w:val="00001012"/>
    <w:rsid w:val="0000172A"/>
    <w:rsid w:val="00002C80"/>
    <w:rsid w:val="000036C0"/>
    <w:rsid w:val="000044C4"/>
    <w:rsid w:val="00005220"/>
    <w:rsid w:val="00006AE2"/>
    <w:rsid w:val="000076A1"/>
    <w:rsid w:val="000115B7"/>
    <w:rsid w:val="00011FEC"/>
    <w:rsid w:val="000121F8"/>
    <w:rsid w:val="00012259"/>
    <w:rsid w:val="00012456"/>
    <w:rsid w:val="0001431B"/>
    <w:rsid w:val="00016A41"/>
    <w:rsid w:val="00022439"/>
    <w:rsid w:val="00022857"/>
    <w:rsid w:val="00022E88"/>
    <w:rsid w:val="0002448D"/>
    <w:rsid w:val="000247DB"/>
    <w:rsid w:val="00024B09"/>
    <w:rsid w:val="00025383"/>
    <w:rsid w:val="000319C0"/>
    <w:rsid w:val="00031FBB"/>
    <w:rsid w:val="00034876"/>
    <w:rsid w:val="00034EF2"/>
    <w:rsid w:val="0004274D"/>
    <w:rsid w:val="00045633"/>
    <w:rsid w:val="00045D3D"/>
    <w:rsid w:val="00045E23"/>
    <w:rsid w:val="0005470D"/>
    <w:rsid w:val="00055E67"/>
    <w:rsid w:val="0005675C"/>
    <w:rsid w:val="00057958"/>
    <w:rsid w:val="00060BD0"/>
    <w:rsid w:val="00062926"/>
    <w:rsid w:val="00063657"/>
    <w:rsid w:val="0006683F"/>
    <w:rsid w:val="000674A0"/>
    <w:rsid w:val="0006770B"/>
    <w:rsid w:val="00067F34"/>
    <w:rsid w:val="00075212"/>
    <w:rsid w:val="000752A4"/>
    <w:rsid w:val="00076680"/>
    <w:rsid w:val="00076A1D"/>
    <w:rsid w:val="00077A35"/>
    <w:rsid w:val="0008073E"/>
    <w:rsid w:val="00085126"/>
    <w:rsid w:val="00087362"/>
    <w:rsid w:val="00091CDB"/>
    <w:rsid w:val="00091F1F"/>
    <w:rsid w:val="00093247"/>
    <w:rsid w:val="000934D2"/>
    <w:rsid w:val="000953E3"/>
    <w:rsid w:val="000A09DD"/>
    <w:rsid w:val="000A156F"/>
    <w:rsid w:val="000A19AC"/>
    <w:rsid w:val="000A403F"/>
    <w:rsid w:val="000B1B7A"/>
    <w:rsid w:val="000B2EC9"/>
    <w:rsid w:val="000B3969"/>
    <w:rsid w:val="000B501D"/>
    <w:rsid w:val="000B77D0"/>
    <w:rsid w:val="000B7A3C"/>
    <w:rsid w:val="000C1911"/>
    <w:rsid w:val="000C28FB"/>
    <w:rsid w:val="000C687E"/>
    <w:rsid w:val="000D0F0F"/>
    <w:rsid w:val="000D113F"/>
    <w:rsid w:val="000D26F8"/>
    <w:rsid w:val="000D3E20"/>
    <w:rsid w:val="000D5294"/>
    <w:rsid w:val="000D52EF"/>
    <w:rsid w:val="000D6838"/>
    <w:rsid w:val="000D7EAE"/>
    <w:rsid w:val="000E24BB"/>
    <w:rsid w:val="000E2D07"/>
    <w:rsid w:val="000E4B55"/>
    <w:rsid w:val="000E7111"/>
    <w:rsid w:val="000F020D"/>
    <w:rsid w:val="0010022B"/>
    <w:rsid w:val="00104657"/>
    <w:rsid w:val="00105A5F"/>
    <w:rsid w:val="00106654"/>
    <w:rsid w:val="0011048E"/>
    <w:rsid w:val="00110C12"/>
    <w:rsid w:val="00111333"/>
    <w:rsid w:val="001144A0"/>
    <w:rsid w:val="001153AB"/>
    <w:rsid w:val="001164E3"/>
    <w:rsid w:val="00123AD6"/>
    <w:rsid w:val="00124331"/>
    <w:rsid w:val="00124336"/>
    <w:rsid w:val="001258BB"/>
    <w:rsid w:val="00125978"/>
    <w:rsid w:val="0012717F"/>
    <w:rsid w:val="001273A6"/>
    <w:rsid w:val="00132F8E"/>
    <w:rsid w:val="00133BDF"/>
    <w:rsid w:val="0013526C"/>
    <w:rsid w:val="00136B9E"/>
    <w:rsid w:val="001405C6"/>
    <w:rsid w:val="00141013"/>
    <w:rsid w:val="00141770"/>
    <w:rsid w:val="001420DC"/>
    <w:rsid w:val="00143F78"/>
    <w:rsid w:val="00144D4B"/>
    <w:rsid w:val="00146C73"/>
    <w:rsid w:val="00147F08"/>
    <w:rsid w:val="001503FE"/>
    <w:rsid w:val="00150A24"/>
    <w:rsid w:val="00153D37"/>
    <w:rsid w:val="001678F4"/>
    <w:rsid w:val="0017352D"/>
    <w:rsid w:val="00174CD4"/>
    <w:rsid w:val="00176803"/>
    <w:rsid w:val="00177CF6"/>
    <w:rsid w:val="00180F1D"/>
    <w:rsid w:val="00192CBF"/>
    <w:rsid w:val="00192FF1"/>
    <w:rsid w:val="001961AD"/>
    <w:rsid w:val="00196296"/>
    <w:rsid w:val="001A5F1B"/>
    <w:rsid w:val="001A6184"/>
    <w:rsid w:val="001B009D"/>
    <w:rsid w:val="001B0B64"/>
    <w:rsid w:val="001B1C22"/>
    <w:rsid w:val="001B34C6"/>
    <w:rsid w:val="001B3E43"/>
    <w:rsid w:val="001B40D1"/>
    <w:rsid w:val="001B480F"/>
    <w:rsid w:val="001B6E1B"/>
    <w:rsid w:val="001B7B5D"/>
    <w:rsid w:val="001D14B6"/>
    <w:rsid w:val="001D4007"/>
    <w:rsid w:val="001D57D4"/>
    <w:rsid w:val="001D5EF1"/>
    <w:rsid w:val="001D6F9E"/>
    <w:rsid w:val="001D7275"/>
    <w:rsid w:val="001D7832"/>
    <w:rsid w:val="001E144B"/>
    <w:rsid w:val="001E37EA"/>
    <w:rsid w:val="001E39E7"/>
    <w:rsid w:val="001E739B"/>
    <w:rsid w:val="001F4D7B"/>
    <w:rsid w:val="001F6573"/>
    <w:rsid w:val="001F6A2F"/>
    <w:rsid w:val="001F7653"/>
    <w:rsid w:val="001F793B"/>
    <w:rsid w:val="002000C0"/>
    <w:rsid w:val="002020E7"/>
    <w:rsid w:val="002024C0"/>
    <w:rsid w:val="00204A7D"/>
    <w:rsid w:val="00206E63"/>
    <w:rsid w:val="00207001"/>
    <w:rsid w:val="0021028D"/>
    <w:rsid w:val="00210DC1"/>
    <w:rsid w:val="00211D34"/>
    <w:rsid w:val="00214F04"/>
    <w:rsid w:val="00222FA7"/>
    <w:rsid w:val="0022650F"/>
    <w:rsid w:val="00226BDB"/>
    <w:rsid w:val="00226C08"/>
    <w:rsid w:val="002302E1"/>
    <w:rsid w:val="002324EF"/>
    <w:rsid w:val="00232E5F"/>
    <w:rsid w:val="002331D5"/>
    <w:rsid w:val="00233299"/>
    <w:rsid w:val="00233BD6"/>
    <w:rsid w:val="002352B9"/>
    <w:rsid w:val="00237DF1"/>
    <w:rsid w:val="0024018F"/>
    <w:rsid w:val="00244689"/>
    <w:rsid w:val="00244C93"/>
    <w:rsid w:val="00245A62"/>
    <w:rsid w:val="002475BA"/>
    <w:rsid w:val="00251F98"/>
    <w:rsid w:val="00253D8E"/>
    <w:rsid w:val="00256229"/>
    <w:rsid w:val="0025687F"/>
    <w:rsid w:val="00257699"/>
    <w:rsid w:val="00260D99"/>
    <w:rsid w:val="00262216"/>
    <w:rsid w:val="0026363F"/>
    <w:rsid w:val="00263FE7"/>
    <w:rsid w:val="00266CD6"/>
    <w:rsid w:val="002673AC"/>
    <w:rsid w:val="00267FB0"/>
    <w:rsid w:val="002722F3"/>
    <w:rsid w:val="00275DAB"/>
    <w:rsid w:val="0028035B"/>
    <w:rsid w:val="002810E5"/>
    <w:rsid w:val="00283E29"/>
    <w:rsid w:val="002845D2"/>
    <w:rsid w:val="00287048"/>
    <w:rsid w:val="0028757D"/>
    <w:rsid w:val="00287D25"/>
    <w:rsid w:val="002903C0"/>
    <w:rsid w:val="00293289"/>
    <w:rsid w:val="002951CF"/>
    <w:rsid w:val="002975C5"/>
    <w:rsid w:val="002A2999"/>
    <w:rsid w:val="002A3539"/>
    <w:rsid w:val="002A4999"/>
    <w:rsid w:val="002A782A"/>
    <w:rsid w:val="002B11E2"/>
    <w:rsid w:val="002B24B8"/>
    <w:rsid w:val="002B3197"/>
    <w:rsid w:val="002B60D0"/>
    <w:rsid w:val="002B6148"/>
    <w:rsid w:val="002B66AE"/>
    <w:rsid w:val="002C05C1"/>
    <w:rsid w:val="002C133D"/>
    <w:rsid w:val="002C2293"/>
    <w:rsid w:val="002C76C6"/>
    <w:rsid w:val="002D1C38"/>
    <w:rsid w:val="002D3AE9"/>
    <w:rsid w:val="002D441B"/>
    <w:rsid w:val="002D4510"/>
    <w:rsid w:val="002D64CE"/>
    <w:rsid w:val="002E24A5"/>
    <w:rsid w:val="002E2D9E"/>
    <w:rsid w:val="002E3A4C"/>
    <w:rsid w:val="002E6509"/>
    <w:rsid w:val="002E70FB"/>
    <w:rsid w:val="002E73EA"/>
    <w:rsid w:val="002E79C2"/>
    <w:rsid w:val="002F0734"/>
    <w:rsid w:val="002F4127"/>
    <w:rsid w:val="002F46E7"/>
    <w:rsid w:val="002F56A8"/>
    <w:rsid w:val="002F5772"/>
    <w:rsid w:val="002F7DF6"/>
    <w:rsid w:val="003007AC"/>
    <w:rsid w:val="003011BC"/>
    <w:rsid w:val="003018CE"/>
    <w:rsid w:val="00305310"/>
    <w:rsid w:val="00306149"/>
    <w:rsid w:val="003067F4"/>
    <w:rsid w:val="003101DA"/>
    <w:rsid w:val="003106D8"/>
    <w:rsid w:val="003111C3"/>
    <w:rsid w:val="00311F98"/>
    <w:rsid w:val="003120FB"/>
    <w:rsid w:val="0031324A"/>
    <w:rsid w:val="00314638"/>
    <w:rsid w:val="00314757"/>
    <w:rsid w:val="003163BC"/>
    <w:rsid w:val="00316A7A"/>
    <w:rsid w:val="00320422"/>
    <w:rsid w:val="003211CE"/>
    <w:rsid w:val="003224DA"/>
    <w:rsid w:val="0032360E"/>
    <w:rsid w:val="003267B9"/>
    <w:rsid w:val="00330E41"/>
    <w:rsid w:val="003367AC"/>
    <w:rsid w:val="00340D16"/>
    <w:rsid w:val="0034122F"/>
    <w:rsid w:val="00341287"/>
    <w:rsid w:val="00350029"/>
    <w:rsid w:val="00351490"/>
    <w:rsid w:val="00353DB1"/>
    <w:rsid w:val="0035403A"/>
    <w:rsid w:val="0035568E"/>
    <w:rsid w:val="00356469"/>
    <w:rsid w:val="00361FD9"/>
    <w:rsid w:val="0036394B"/>
    <w:rsid w:val="00364278"/>
    <w:rsid w:val="003661A3"/>
    <w:rsid w:val="00366DB6"/>
    <w:rsid w:val="00367599"/>
    <w:rsid w:val="003709B5"/>
    <w:rsid w:val="00370A41"/>
    <w:rsid w:val="0037188C"/>
    <w:rsid w:val="003759C2"/>
    <w:rsid w:val="00375C86"/>
    <w:rsid w:val="0037788D"/>
    <w:rsid w:val="003805BA"/>
    <w:rsid w:val="003809AB"/>
    <w:rsid w:val="00381302"/>
    <w:rsid w:val="00382616"/>
    <w:rsid w:val="00382D2B"/>
    <w:rsid w:val="00386051"/>
    <w:rsid w:val="00386E3F"/>
    <w:rsid w:val="003879A0"/>
    <w:rsid w:val="00392029"/>
    <w:rsid w:val="00393A78"/>
    <w:rsid w:val="00396FD7"/>
    <w:rsid w:val="00397365"/>
    <w:rsid w:val="003A31F6"/>
    <w:rsid w:val="003A62FA"/>
    <w:rsid w:val="003B2D68"/>
    <w:rsid w:val="003B4968"/>
    <w:rsid w:val="003B69B5"/>
    <w:rsid w:val="003B6EEC"/>
    <w:rsid w:val="003C19CA"/>
    <w:rsid w:val="003C3282"/>
    <w:rsid w:val="003C3447"/>
    <w:rsid w:val="003D076C"/>
    <w:rsid w:val="003D1212"/>
    <w:rsid w:val="003D3580"/>
    <w:rsid w:val="003D582C"/>
    <w:rsid w:val="003D630F"/>
    <w:rsid w:val="003E1663"/>
    <w:rsid w:val="003E2034"/>
    <w:rsid w:val="003E4017"/>
    <w:rsid w:val="003E56A1"/>
    <w:rsid w:val="003E629F"/>
    <w:rsid w:val="003E78B5"/>
    <w:rsid w:val="003E7E8C"/>
    <w:rsid w:val="003F2BD5"/>
    <w:rsid w:val="003F2FCE"/>
    <w:rsid w:val="003F373E"/>
    <w:rsid w:val="0040163C"/>
    <w:rsid w:val="00404982"/>
    <w:rsid w:val="00414F51"/>
    <w:rsid w:val="00415BAB"/>
    <w:rsid w:val="00415ED2"/>
    <w:rsid w:val="0042068C"/>
    <w:rsid w:val="0042202C"/>
    <w:rsid w:val="004235AF"/>
    <w:rsid w:val="004237FD"/>
    <w:rsid w:val="00423968"/>
    <w:rsid w:val="00434056"/>
    <w:rsid w:val="00436B32"/>
    <w:rsid w:val="0043744F"/>
    <w:rsid w:val="00441D45"/>
    <w:rsid w:val="00442BCF"/>
    <w:rsid w:val="00442BF8"/>
    <w:rsid w:val="0044318E"/>
    <w:rsid w:val="004437B0"/>
    <w:rsid w:val="00443AE9"/>
    <w:rsid w:val="00443B35"/>
    <w:rsid w:val="00444649"/>
    <w:rsid w:val="00445558"/>
    <w:rsid w:val="004478DE"/>
    <w:rsid w:val="004522CC"/>
    <w:rsid w:val="004549C1"/>
    <w:rsid w:val="00461757"/>
    <w:rsid w:val="00462DA8"/>
    <w:rsid w:val="00464630"/>
    <w:rsid w:val="00464D1F"/>
    <w:rsid w:val="00465DBA"/>
    <w:rsid w:val="00466B37"/>
    <w:rsid w:val="00466C07"/>
    <w:rsid w:val="0047122B"/>
    <w:rsid w:val="0047127F"/>
    <w:rsid w:val="004736F4"/>
    <w:rsid w:val="00473B7A"/>
    <w:rsid w:val="00473E47"/>
    <w:rsid w:val="00474309"/>
    <w:rsid w:val="0047772F"/>
    <w:rsid w:val="00480848"/>
    <w:rsid w:val="004811A7"/>
    <w:rsid w:val="00482861"/>
    <w:rsid w:val="004851C6"/>
    <w:rsid w:val="00487FB8"/>
    <w:rsid w:val="00490DA0"/>
    <w:rsid w:val="0049165F"/>
    <w:rsid w:val="004960E9"/>
    <w:rsid w:val="0049670D"/>
    <w:rsid w:val="00497CED"/>
    <w:rsid w:val="004A1517"/>
    <w:rsid w:val="004A16FA"/>
    <w:rsid w:val="004A2377"/>
    <w:rsid w:val="004A2E88"/>
    <w:rsid w:val="004A32CA"/>
    <w:rsid w:val="004A5305"/>
    <w:rsid w:val="004B3331"/>
    <w:rsid w:val="004B35F1"/>
    <w:rsid w:val="004B724B"/>
    <w:rsid w:val="004C42DB"/>
    <w:rsid w:val="004C770B"/>
    <w:rsid w:val="004C7E5C"/>
    <w:rsid w:val="004D0880"/>
    <w:rsid w:val="004D471F"/>
    <w:rsid w:val="004D513C"/>
    <w:rsid w:val="004D51E3"/>
    <w:rsid w:val="004D7634"/>
    <w:rsid w:val="004E0731"/>
    <w:rsid w:val="004E18E1"/>
    <w:rsid w:val="004E4FF4"/>
    <w:rsid w:val="004E511B"/>
    <w:rsid w:val="004E58D5"/>
    <w:rsid w:val="004E611A"/>
    <w:rsid w:val="004F018B"/>
    <w:rsid w:val="004F1374"/>
    <w:rsid w:val="004F1A06"/>
    <w:rsid w:val="004F32E5"/>
    <w:rsid w:val="004F6460"/>
    <w:rsid w:val="004F64E6"/>
    <w:rsid w:val="0050199B"/>
    <w:rsid w:val="00503A68"/>
    <w:rsid w:val="00504627"/>
    <w:rsid w:val="005054C8"/>
    <w:rsid w:val="00506775"/>
    <w:rsid w:val="00510A5A"/>
    <w:rsid w:val="00511813"/>
    <w:rsid w:val="005149AF"/>
    <w:rsid w:val="0051757E"/>
    <w:rsid w:val="005209F2"/>
    <w:rsid w:val="0052183B"/>
    <w:rsid w:val="00525F79"/>
    <w:rsid w:val="00526415"/>
    <w:rsid w:val="005300D3"/>
    <w:rsid w:val="00532BE8"/>
    <w:rsid w:val="00533034"/>
    <w:rsid w:val="0054144C"/>
    <w:rsid w:val="00542A10"/>
    <w:rsid w:val="00543861"/>
    <w:rsid w:val="00544F82"/>
    <w:rsid w:val="005462C0"/>
    <w:rsid w:val="00546406"/>
    <w:rsid w:val="005509D2"/>
    <w:rsid w:val="00551597"/>
    <w:rsid w:val="00551F44"/>
    <w:rsid w:val="0055519B"/>
    <w:rsid w:val="00557412"/>
    <w:rsid w:val="00561138"/>
    <w:rsid w:val="00565190"/>
    <w:rsid w:val="00567D5D"/>
    <w:rsid w:val="005742C4"/>
    <w:rsid w:val="00574A05"/>
    <w:rsid w:val="0058205F"/>
    <w:rsid w:val="005824E2"/>
    <w:rsid w:val="00584945"/>
    <w:rsid w:val="00584AE2"/>
    <w:rsid w:val="00590190"/>
    <w:rsid w:val="005932B2"/>
    <w:rsid w:val="00593C4F"/>
    <w:rsid w:val="005946A8"/>
    <w:rsid w:val="00596C59"/>
    <w:rsid w:val="00596DF3"/>
    <w:rsid w:val="005A067A"/>
    <w:rsid w:val="005A3761"/>
    <w:rsid w:val="005A418A"/>
    <w:rsid w:val="005A4407"/>
    <w:rsid w:val="005A59EF"/>
    <w:rsid w:val="005B17FB"/>
    <w:rsid w:val="005B1C7E"/>
    <w:rsid w:val="005B26C0"/>
    <w:rsid w:val="005B470D"/>
    <w:rsid w:val="005C20B3"/>
    <w:rsid w:val="005C31F7"/>
    <w:rsid w:val="005C4C4B"/>
    <w:rsid w:val="005C570E"/>
    <w:rsid w:val="005C6976"/>
    <w:rsid w:val="005C6A0C"/>
    <w:rsid w:val="005E0A23"/>
    <w:rsid w:val="005E49B4"/>
    <w:rsid w:val="005E594E"/>
    <w:rsid w:val="005E6CA3"/>
    <w:rsid w:val="005E7740"/>
    <w:rsid w:val="005F2591"/>
    <w:rsid w:val="005F6F41"/>
    <w:rsid w:val="005F777E"/>
    <w:rsid w:val="00602147"/>
    <w:rsid w:val="00606C48"/>
    <w:rsid w:val="0061545E"/>
    <w:rsid w:val="00624061"/>
    <w:rsid w:val="00625D1A"/>
    <w:rsid w:val="00625DC6"/>
    <w:rsid w:val="0063551D"/>
    <w:rsid w:val="0063674D"/>
    <w:rsid w:val="006368B3"/>
    <w:rsid w:val="006368FD"/>
    <w:rsid w:val="00636BD7"/>
    <w:rsid w:val="00640689"/>
    <w:rsid w:val="00640BBC"/>
    <w:rsid w:val="00641863"/>
    <w:rsid w:val="00641C96"/>
    <w:rsid w:val="00641CF1"/>
    <w:rsid w:val="00641E46"/>
    <w:rsid w:val="00642ECC"/>
    <w:rsid w:val="0064391D"/>
    <w:rsid w:val="00644E7E"/>
    <w:rsid w:val="00645C7B"/>
    <w:rsid w:val="00650521"/>
    <w:rsid w:val="0065142A"/>
    <w:rsid w:val="00651821"/>
    <w:rsid w:val="00654384"/>
    <w:rsid w:val="0065645C"/>
    <w:rsid w:val="00657A23"/>
    <w:rsid w:val="006675CD"/>
    <w:rsid w:val="00676752"/>
    <w:rsid w:val="00677327"/>
    <w:rsid w:val="00681C5A"/>
    <w:rsid w:val="00682862"/>
    <w:rsid w:val="00684D9B"/>
    <w:rsid w:val="0068510A"/>
    <w:rsid w:val="006864B4"/>
    <w:rsid w:val="00687C78"/>
    <w:rsid w:val="00690E21"/>
    <w:rsid w:val="006913F3"/>
    <w:rsid w:val="00691658"/>
    <w:rsid w:val="00695E81"/>
    <w:rsid w:val="006973B4"/>
    <w:rsid w:val="00697556"/>
    <w:rsid w:val="006A0B2C"/>
    <w:rsid w:val="006A25D1"/>
    <w:rsid w:val="006A5C63"/>
    <w:rsid w:val="006A76E1"/>
    <w:rsid w:val="006A7D96"/>
    <w:rsid w:val="006B0958"/>
    <w:rsid w:val="006B0E2F"/>
    <w:rsid w:val="006B13D9"/>
    <w:rsid w:val="006B26E5"/>
    <w:rsid w:val="006B45BA"/>
    <w:rsid w:val="006B4647"/>
    <w:rsid w:val="006B4C2B"/>
    <w:rsid w:val="006B5B0A"/>
    <w:rsid w:val="006B6194"/>
    <w:rsid w:val="006B6D47"/>
    <w:rsid w:val="006B6D4E"/>
    <w:rsid w:val="006B6F87"/>
    <w:rsid w:val="006C3FDE"/>
    <w:rsid w:val="006C5AFE"/>
    <w:rsid w:val="006D1304"/>
    <w:rsid w:val="006D16F6"/>
    <w:rsid w:val="006D30BC"/>
    <w:rsid w:val="006D5348"/>
    <w:rsid w:val="006D562E"/>
    <w:rsid w:val="006E30AE"/>
    <w:rsid w:val="006E6492"/>
    <w:rsid w:val="006F0F67"/>
    <w:rsid w:val="006F27AC"/>
    <w:rsid w:val="006F2EC8"/>
    <w:rsid w:val="006F396C"/>
    <w:rsid w:val="006F68C2"/>
    <w:rsid w:val="006F6D95"/>
    <w:rsid w:val="006F7D82"/>
    <w:rsid w:val="0070197A"/>
    <w:rsid w:val="00701E1C"/>
    <w:rsid w:val="00706EA3"/>
    <w:rsid w:val="00706F13"/>
    <w:rsid w:val="0070721D"/>
    <w:rsid w:val="007072E8"/>
    <w:rsid w:val="00710EF9"/>
    <w:rsid w:val="00711886"/>
    <w:rsid w:val="0071618D"/>
    <w:rsid w:val="00720931"/>
    <w:rsid w:val="00724981"/>
    <w:rsid w:val="00725FA4"/>
    <w:rsid w:val="00726540"/>
    <w:rsid w:val="007268C4"/>
    <w:rsid w:val="00726C7B"/>
    <w:rsid w:val="00733703"/>
    <w:rsid w:val="00733DEF"/>
    <w:rsid w:val="00735F98"/>
    <w:rsid w:val="00736C9D"/>
    <w:rsid w:val="00737AC3"/>
    <w:rsid w:val="00740446"/>
    <w:rsid w:val="007438A9"/>
    <w:rsid w:val="00744505"/>
    <w:rsid w:val="0074491E"/>
    <w:rsid w:val="00750328"/>
    <w:rsid w:val="0075068F"/>
    <w:rsid w:val="0075162D"/>
    <w:rsid w:val="0075261C"/>
    <w:rsid w:val="007535E5"/>
    <w:rsid w:val="00754623"/>
    <w:rsid w:val="00754A3A"/>
    <w:rsid w:val="007554BB"/>
    <w:rsid w:val="007577BA"/>
    <w:rsid w:val="00760595"/>
    <w:rsid w:val="0076247A"/>
    <w:rsid w:val="00762B4E"/>
    <w:rsid w:val="00763970"/>
    <w:rsid w:val="007649B6"/>
    <w:rsid w:val="00765A05"/>
    <w:rsid w:val="00771A6B"/>
    <w:rsid w:val="00771C02"/>
    <w:rsid w:val="00771D4E"/>
    <w:rsid w:val="00771DB0"/>
    <w:rsid w:val="007728E7"/>
    <w:rsid w:val="00775964"/>
    <w:rsid w:val="007765FE"/>
    <w:rsid w:val="00776EA6"/>
    <w:rsid w:val="0078081D"/>
    <w:rsid w:val="00782E22"/>
    <w:rsid w:val="0078307F"/>
    <w:rsid w:val="0078457B"/>
    <w:rsid w:val="007853C9"/>
    <w:rsid w:val="00787EDB"/>
    <w:rsid w:val="0079173E"/>
    <w:rsid w:val="007942FD"/>
    <w:rsid w:val="00794E2E"/>
    <w:rsid w:val="00795BFB"/>
    <w:rsid w:val="007A0C21"/>
    <w:rsid w:val="007A1231"/>
    <w:rsid w:val="007A440E"/>
    <w:rsid w:val="007A4F22"/>
    <w:rsid w:val="007A6B3C"/>
    <w:rsid w:val="007B13CA"/>
    <w:rsid w:val="007B2760"/>
    <w:rsid w:val="007C1069"/>
    <w:rsid w:val="007C6291"/>
    <w:rsid w:val="007C7759"/>
    <w:rsid w:val="007D3F94"/>
    <w:rsid w:val="007D558F"/>
    <w:rsid w:val="007D5994"/>
    <w:rsid w:val="007D6B11"/>
    <w:rsid w:val="007E4D9F"/>
    <w:rsid w:val="007E60FF"/>
    <w:rsid w:val="007E6428"/>
    <w:rsid w:val="007E7E38"/>
    <w:rsid w:val="007F1427"/>
    <w:rsid w:val="007F14A0"/>
    <w:rsid w:val="007F2952"/>
    <w:rsid w:val="007F64D1"/>
    <w:rsid w:val="007F6F61"/>
    <w:rsid w:val="007F74D0"/>
    <w:rsid w:val="007F74ED"/>
    <w:rsid w:val="00804D08"/>
    <w:rsid w:val="008051D4"/>
    <w:rsid w:val="008056E6"/>
    <w:rsid w:val="00806C01"/>
    <w:rsid w:val="00806D26"/>
    <w:rsid w:val="00806D59"/>
    <w:rsid w:val="008074D3"/>
    <w:rsid w:val="00811769"/>
    <w:rsid w:val="00812CDF"/>
    <w:rsid w:val="008148CC"/>
    <w:rsid w:val="00820DCD"/>
    <w:rsid w:val="008211A4"/>
    <w:rsid w:val="0082634F"/>
    <w:rsid w:val="008334A4"/>
    <w:rsid w:val="0083787A"/>
    <w:rsid w:val="00840558"/>
    <w:rsid w:val="00840F76"/>
    <w:rsid w:val="00842ABB"/>
    <w:rsid w:val="00843BE2"/>
    <w:rsid w:val="00846498"/>
    <w:rsid w:val="008465FF"/>
    <w:rsid w:val="0084693A"/>
    <w:rsid w:val="008477F7"/>
    <w:rsid w:val="008512C7"/>
    <w:rsid w:val="008521F3"/>
    <w:rsid w:val="00860AC7"/>
    <w:rsid w:val="008632DA"/>
    <w:rsid w:val="008658C6"/>
    <w:rsid w:val="008718F7"/>
    <w:rsid w:val="00873150"/>
    <w:rsid w:val="00875166"/>
    <w:rsid w:val="0087657D"/>
    <w:rsid w:val="008807D5"/>
    <w:rsid w:val="00880832"/>
    <w:rsid w:val="0088101D"/>
    <w:rsid w:val="00881B58"/>
    <w:rsid w:val="00882273"/>
    <w:rsid w:val="008828AF"/>
    <w:rsid w:val="00886EE1"/>
    <w:rsid w:val="0088727D"/>
    <w:rsid w:val="00892629"/>
    <w:rsid w:val="00892FFA"/>
    <w:rsid w:val="00893B22"/>
    <w:rsid w:val="00897C75"/>
    <w:rsid w:val="008A06A4"/>
    <w:rsid w:val="008A08EB"/>
    <w:rsid w:val="008A1FE7"/>
    <w:rsid w:val="008A21E1"/>
    <w:rsid w:val="008A254E"/>
    <w:rsid w:val="008A448B"/>
    <w:rsid w:val="008A4EFB"/>
    <w:rsid w:val="008A5B3B"/>
    <w:rsid w:val="008A667F"/>
    <w:rsid w:val="008A6C33"/>
    <w:rsid w:val="008A7880"/>
    <w:rsid w:val="008B42C6"/>
    <w:rsid w:val="008C1130"/>
    <w:rsid w:val="008D079D"/>
    <w:rsid w:val="008D18E6"/>
    <w:rsid w:val="008D1DA7"/>
    <w:rsid w:val="008D2774"/>
    <w:rsid w:val="008D28B1"/>
    <w:rsid w:val="008D2A19"/>
    <w:rsid w:val="008D30D1"/>
    <w:rsid w:val="008D3690"/>
    <w:rsid w:val="008D4BA7"/>
    <w:rsid w:val="008D6D5A"/>
    <w:rsid w:val="008D7A9B"/>
    <w:rsid w:val="008E0060"/>
    <w:rsid w:val="008E3DCE"/>
    <w:rsid w:val="008E5758"/>
    <w:rsid w:val="008E6170"/>
    <w:rsid w:val="008E61E5"/>
    <w:rsid w:val="008E6963"/>
    <w:rsid w:val="008E7091"/>
    <w:rsid w:val="008E76AC"/>
    <w:rsid w:val="008E77BB"/>
    <w:rsid w:val="008F0CD4"/>
    <w:rsid w:val="008F21F6"/>
    <w:rsid w:val="008F27C1"/>
    <w:rsid w:val="008F2E10"/>
    <w:rsid w:val="008F45AC"/>
    <w:rsid w:val="009009FB"/>
    <w:rsid w:val="00902467"/>
    <w:rsid w:val="00907E24"/>
    <w:rsid w:val="009153DC"/>
    <w:rsid w:val="0091549D"/>
    <w:rsid w:val="00920787"/>
    <w:rsid w:val="0092193C"/>
    <w:rsid w:val="0093028B"/>
    <w:rsid w:val="00932165"/>
    <w:rsid w:val="009331B2"/>
    <w:rsid w:val="0093366E"/>
    <w:rsid w:val="00937097"/>
    <w:rsid w:val="00942CC9"/>
    <w:rsid w:val="00946243"/>
    <w:rsid w:val="00950994"/>
    <w:rsid w:val="00950C05"/>
    <w:rsid w:val="00951F79"/>
    <w:rsid w:val="00953BD0"/>
    <w:rsid w:val="0095620A"/>
    <w:rsid w:val="00956C7A"/>
    <w:rsid w:val="0095705D"/>
    <w:rsid w:val="009574A3"/>
    <w:rsid w:val="00957E53"/>
    <w:rsid w:val="00960027"/>
    <w:rsid w:val="00964D49"/>
    <w:rsid w:val="00965C75"/>
    <w:rsid w:val="00965EAE"/>
    <w:rsid w:val="0097112D"/>
    <w:rsid w:val="00971750"/>
    <w:rsid w:val="00974AB5"/>
    <w:rsid w:val="009868DB"/>
    <w:rsid w:val="0098706D"/>
    <w:rsid w:val="00987AC1"/>
    <w:rsid w:val="00990A80"/>
    <w:rsid w:val="009935FB"/>
    <w:rsid w:val="00993E7F"/>
    <w:rsid w:val="00996CD7"/>
    <w:rsid w:val="00997B26"/>
    <w:rsid w:val="00997BD5"/>
    <w:rsid w:val="009A1ADB"/>
    <w:rsid w:val="009A25E2"/>
    <w:rsid w:val="009A27AE"/>
    <w:rsid w:val="009A5E1E"/>
    <w:rsid w:val="009A7B77"/>
    <w:rsid w:val="009B26AA"/>
    <w:rsid w:val="009B3AC5"/>
    <w:rsid w:val="009B649C"/>
    <w:rsid w:val="009B72C4"/>
    <w:rsid w:val="009C2630"/>
    <w:rsid w:val="009C42B5"/>
    <w:rsid w:val="009C5924"/>
    <w:rsid w:val="009C7678"/>
    <w:rsid w:val="009D0261"/>
    <w:rsid w:val="009D294D"/>
    <w:rsid w:val="009E0FAC"/>
    <w:rsid w:val="009E3844"/>
    <w:rsid w:val="009E4124"/>
    <w:rsid w:val="009E42C7"/>
    <w:rsid w:val="009E42E3"/>
    <w:rsid w:val="009F1351"/>
    <w:rsid w:val="009F1A0D"/>
    <w:rsid w:val="009F3785"/>
    <w:rsid w:val="009F3BA3"/>
    <w:rsid w:val="009F4A54"/>
    <w:rsid w:val="009F4BEC"/>
    <w:rsid w:val="009F5874"/>
    <w:rsid w:val="009F768E"/>
    <w:rsid w:val="00A01E6D"/>
    <w:rsid w:val="00A021EC"/>
    <w:rsid w:val="00A03496"/>
    <w:rsid w:val="00A05235"/>
    <w:rsid w:val="00A06108"/>
    <w:rsid w:val="00A100AD"/>
    <w:rsid w:val="00A213E3"/>
    <w:rsid w:val="00A22446"/>
    <w:rsid w:val="00A22C0A"/>
    <w:rsid w:val="00A25C85"/>
    <w:rsid w:val="00A25F71"/>
    <w:rsid w:val="00A25FD7"/>
    <w:rsid w:val="00A330BB"/>
    <w:rsid w:val="00A34C39"/>
    <w:rsid w:val="00A43AFF"/>
    <w:rsid w:val="00A43C62"/>
    <w:rsid w:val="00A54F82"/>
    <w:rsid w:val="00A5574E"/>
    <w:rsid w:val="00A57269"/>
    <w:rsid w:val="00A5778C"/>
    <w:rsid w:val="00A60B09"/>
    <w:rsid w:val="00A634A8"/>
    <w:rsid w:val="00A70632"/>
    <w:rsid w:val="00A71939"/>
    <w:rsid w:val="00A739C1"/>
    <w:rsid w:val="00A73FFC"/>
    <w:rsid w:val="00A76152"/>
    <w:rsid w:val="00A7793A"/>
    <w:rsid w:val="00A9133C"/>
    <w:rsid w:val="00A93322"/>
    <w:rsid w:val="00A947DA"/>
    <w:rsid w:val="00A95482"/>
    <w:rsid w:val="00A97099"/>
    <w:rsid w:val="00A97B83"/>
    <w:rsid w:val="00AA306B"/>
    <w:rsid w:val="00AA44D9"/>
    <w:rsid w:val="00AA4B4C"/>
    <w:rsid w:val="00AA4CC7"/>
    <w:rsid w:val="00AA5E8E"/>
    <w:rsid w:val="00AA647B"/>
    <w:rsid w:val="00AB049D"/>
    <w:rsid w:val="00AB2BAD"/>
    <w:rsid w:val="00AB3304"/>
    <w:rsid w:val="00AB6CA7"/>
    <w:rsid w:val="00AC309A"/>
    <w:rsid w:val="00AC40B8"/>
    <w:rsid w:val="00AD01E4"/>
    <w:rsid w:val="00AD0858"/>
    <w:rsid w:val="00AD482A"/>
    <w:rsid w:val="00AD4CA0"/>
    <w:rsid w:val="00AE02E3"/>
    <w:rsid w:val="00AE0497"/>
    <w:rsid w:val="00AE04DB"/>
    <w:rsid w:val="00AE3450"/>
    <w:rsid w:val="00AE34F1"/>
    <w:rsid w:val="00AE35FF"/>
    <w:rsid w:val="00AE56D6"/>
    <w:rsid w:val="00AE68F2"/>
    <w:rsid w:val="00AE6964"/>
    <w:rsid w:val="00AE7340"/>
    <w:rsid w:val="00AE77D8"/>
    <w:rsid w:val="00AF1BBD"/>
    <w:rsid w:val="00AF4CEA"/>
    <w:rsid w:val="00AF7C21"/>
    <w:rsid w:val="00B00410"/>
    <w:rsid w:val="00B01674"/>
    <w:rsid w:val="00B0218A"/>
    <w:rsid w:val="00B05C07"/>
    <w:rsid w:val="00B10207"/>
    <w:rsid w:val="00B1113C"/>
    <w:rsid w:val="00B11AF6"/>
    <w:rsid w:val="00B11EEE"/>
    <w:rsid w:val="00B12600"/>
    <w:rsid w:val="00B130B0"/>
    <w:rsid w:val="00B13E97"/>
    <w:rsid w:val="00B141E7"/>
    <w:rsid w:val="00B150F3"/>
    <w:rsid w:val="00B27555"/>
    <w:rsid w:val="00B31275"/>
    <w:rsid w:val="00B3352A"/>
    <w:rsid w:val="00B351B4"/>
    <w:rsid w:val="00B35D62"/>
    <w:rsid w:val="00B379AE"/>
    <w:rsid w:val="00B42004"/>
    <w:rsid w:val="00B44B8C"/>
    <w:rsid w:val="00B44C9F"/>
    <w:rsid w:val="00B46047"/>
    <w:rsid w:val="00B46BCA"/>
    <w:rsid w:val="00B470D6"/>
    <w:rsid w:val="00B478AA"/>
    <w:rsid w:val="00B52915"/>
    <w:rsid w:val="00B548D2"/>
    <w:rsid w:val="00B57390"/>
    <w:rsid w:val="00B61FDA"/>
    <w:rsid w:val="00B73F74"/>
    <w:rsid w:val="00B7474C"/>
    <w:rsid w:val="00B77E41"/>
    <w:rsid w:val="00B82A85"/>
    <w:rsid w:val="00B83B7B"/>
    <w:rsid w:val="00B844ED"/>
    <w:rsid w:val="00B85FC1"/>
    <w:rsid w:val="00B87806"/>
    <w:rsid w:val="00B87EC9"/>
    <w:rsid w:val="00B9542F"/>
    <w:rsid w:val="00B97048"/>
    <w:rsid w:val="00BA2637"/>
    <w:rsid w:val="00BA31B8"/>
    <w:rsid w:val="00BA36B0"/>
    <w:rsid w:val="00BA5DF3"/>
    <w:rsid w:val="00BB0655"/>
    <w:rsid w:val="00BB09CE"/>
    <w:rsid w:val="00BB6FD1"/>
    <w:rsid w:val="00BC38FD"/>
    <w:rsid w:val="00BC3CBF"/>
    <w:rsid w:val="00BC4387"/>
    <w:rsid w:val="00BC6313"/>
    <w:rsid w:val="00BC6C44"/>
    <w:rsid w:val="00BC6F62"/>
    <w:rsid w:val="00BC6FE6"/>
    <w:rsid w:val="00BC7D7D"/>
    <w:rsid w:val="00BD5404"/>
    <w:rsid w:val="00BE24DF"/>
    <w:rsid w:val="00BE2558"/>
    <w:rsid w:val="00BE34DF"/>
    <w:rsid w:val="00BF32E3"/>
    <w:rsid w:val="00BF7036"/>
    <w:rsid w:val="00C01A10"/>
    <w:rsid w:val="00C02CB9"/>
    <w:rsid w:val="00C02D52"/>
    <w:rsid w:val="00C034CB"/>
    <w:rsid w:val="00C04EFB"/>
    <w:rsid w:val="00C04FB7"/>
    <w:rsid w:val="00C051A8"/>
    <w:rsid w:val="00C054BC"/>
    <w:rsid w:val="00C06058"/>
    <w:rsid w:val="00C15AEA"/>
    <w:rsid w:val="00C161E4"/>
    <w:rsid w:val="00C17897"/>
    <w:rsid w:val="00C17990"/>
    <w:rsid w:val="00C20D63"/>
    <w:rsid w:val="00C21ACA"/>
    <w:rsid w:val="00C240CA"/>
    <w:rsid w:val="00C31C0A"/>
    <w:rsid w:val="00C32245"/>
    <w:rsid w:val="00C3362F"/>
    <w:rsid w:val="00C34C00"/>
    <w:rsid w:val="00C409D5"/>
    <w:rsid w:val="00C430D4"/>
    <w:rsid w:val="00C435C3"/>
    <w:rsid w:val="00C4493F"/>
    <w:rsid w:val="00C44E5F"/>
    <w:rsid w:val="00C45A00"/>
    <w:rsid w:val="00C471D7"/>
    <w:rsid w:val="00C50EC6"/>
    <w:rsid w:val="00C51B7C"/>
    <w:rsid w:val="00C5271E"/>
    <w:rsid w:val="00C5431C"/>
    <w:rsid w:val="00C567E4"/>
    <w:rsid w:val="00C5797A"/>
    <w:rsid w:val="00C609E5"/>
    <w:rsid w:val="00C60FF0"/>
    <w:rsid w:val="00C6159A"/>
    <w:rsid w:val="00C6234B"/>
    <w:rsid w:val="00C62653"/>
    <w:rsid w:val="00C639F9"/>
    <w:rsid w:val="00C63EAE"/>
    <w:rsid w:val="00C70DB7"/>
    <w:rsid w:val="00C717D4"/>
    <w:rsid w:val="00C73260"/>
    <w:rsid w:val="00C7629F"/>
    <w:rsid w:val="00C80926"/>
    <w:rsid w:val="00C84C34"/>
    <w:rsid w:val="00C85717"/>
    <w:rsid w:val="00C8661B"/>
    <w:rsid w:val="00C86A59"/>
    <w:rsid w:val="00C871E0"/>
    <w:rsid w:val="00C94BC8"/>
    <w:rsid w:val="00C9618D"/>
    <w:rsid w:val="00C96428"/>
    <w:rsid w:val="00CA03C8"/>
    <w:rsid w:val="00CA139A"/>
    <w:rsid w:val="00CA2899"/>
    <w:rsid w:val="00CA3A3D"/>
    <w:rsid w:val="00CA3AA6"/>
    <w:rsid w:val="00CA5344"/>
    <w:rsid w:val="00CA5677"/>
    <w:rsid w:val="00CA698A"/>
    <w:rsid w:val="00CA77FB"/>
    <w:rsid w:val="00CB379B"/>
    <w:rsid w:val="00CB5DD0"/>
    <w:rsid w:val="00CB6ED7"/>
    <w:rsid w:val="00CC282C"/>
    <w:rsid w:val="00CC4E54"/>
    <w:rsid w:val="00CC51D4"/>
    <w:rsid w:val="00CC532E"/>
    <w:rsid w:val="00CC65DA"/>
    <w:rsid w:val="00CC6E3B"/>
    <w:rsid w:val="00CC6E65"/>
    <w:rsid w:val="00CC6FB9"/>
    <w:rsid w:val="00CD004A"/>
    <w:rsid w:val="00CD0626"/>
    <w:rsid w:val="00CD1B6D"/>
    <w:rsid w:val="00CD399D"/>
    <w:rsid w:val="00CD4D0A"/>
    <w:rsid w:val="00CD737B"/>
    <w:rsid w:val="00CD74F7"/>
    <w:rsid w:val="00CE65AC"/>
    <w:rsid w:val="00CE6954"/>
    <w:rsid w:val="00CF0C6E"/>
    <w:rsid w:val="00CF1346"/>
    <w:rsid w:val="00CF21B9"/>
    <w:rsid w:val="00CF3D66"/>
    <w:rsid w:val="00CF4232"/>
    <w:rsid w:val="00CF6BF9"/>
    <w:rsid w:val="00CF7735"/>
    <w:rsid w:val="00D0243B"/>
    <w:rsid w:val="00D03800"/>
    <w:rsid w:val="00D04E1E"/>
    <w:rsid w:val="00D065D1"/>
    <w:rsid w:val="00D065D3"/>
    <w:rsid w:val="00D06B3B"/>
    <w:rsid w:val="00D06C02"/>
    <w:rsid w:val="00D06D4B"/>
    <w:rsid w:val="00D14C94"/>
    <w:rsid w:val="00D167AF"/>
    <w:rsid w:val="00D178D4"/>
    <w:rsid w:val="00D20114"/>
    <w:rsid w:val="00D20BD0"/>
    <w:rsid w:val="00D31F9A"/>
    <w:rsid w:val="00D342A6"/>
    <w:rsid w:val="00D3596D"/>
    <w:rsid w:val="00D35A92"/>
    <w:rsid w:val="00D35ED4"/>
    <w:rsid w:val="00D36443"/>
    <w:rsid w:val="00D37D6C"/>
    <w:rsid w:val="00D37DEC"/>
    <w:rsid w:val="00D41492"/>
    <w:rsid w:val="00D41AD8"/>
    <w:rsid w:val="00D45CA6"/>
    <w:rsid w:val="00D464BF"/>
    <w:rsid w:val="00D46A14"/>
    <w:rsid w:val="00D52369"/>
    <w:rsid w:val="00D539A1"/>
    <w:rsid w:val="00D53E26"/>
    <w:rsid w:val="00D55B13"/>
    <w:rsid w:val="00D57237"/>
    <w:rsid w:val="00D608BF"/>
    <w:rsid w:val="00D70A48"/>
    <w:rsid w:val="00D74DCF"/>
    <w:rsid w:val="00D80D26"/>
    <w:rsid w:val="00D80E57"/>
    <w:rsid w:val="00D80F4B"/>
    <w:rsid w:val="00D833D8"/>
    <w:rsid w:val="00D84372"/>
    <w:rsid w:val="00D867DB"/>
    <w:rsid w:val="00D876E2"/>
    <w:rsid w:val="00D924C6"/>
    <w:rsid w:val="00D95D73"/>
    <w:rsid w:val="00DA1B97"/>
    <w:rsid w:val="00DA55FF"/>
    <w:rsid w:val="00DB03E3"/>
    <w:rsid w:val="00DB177D"/>
    <w:rsid w:val="00DB182C"/>
    <w:rsid w:val="00DB2DDD"/>
    <w:rsid w:val="00DB4DF2"/>
    <w:rsid w:val="00DC07E5"/>
    <w:rsid w:val="00DC1ADD"/>
    <w:rsid w:val="00DC2D65"/>
    <w:rsid w:val="00DC5899"/>
    <w:rsid w:val="00DC64AA"/>
    <w:rsid w:val="00DC7155"/>
    <w:rsid w:val="00DD2504"/>
    <w:rsid w:val="00DD2E80"/>
    <w:rsid w:val="00DD4F0E"/>
    <w:rsid w:val="00DD58E1"/>
    <w:rsid w:val="00DE0C3C"/>
    <w:rsid w:val="00DE2D79"/>
    <w:rsid w:val="00DE59CC"/>
    <w:rsid w:val="00DE6730"/>
    <w:rsid w:val="00DE7087"/>
    <w:rsid w:val="00DE7E37"/>
    <w:rsid w:val="00DF0BF0"/>
    <w:rsid w:val="00DF3CA2"/>
    <w:rsid w:val="00DF5C0B"/>
    <w:rsid w:val="00DF7954"/>
    <w:rsid w:val="00E01463"/>
    <w:rsid w:val="00E01799"/>
    <w:rsid w:val="00E02FC2"/>
    <w:rsid w:val="00E05C99"/>
    <w:rsid w:val="00E05E0A"/>
    <w:rsid w:val="00E060BE"/>
    <w:rsid w:val="00E06196"/>
    <w:rsid w:val="00E07F95"/>
    <w:rsid w:val="00E169A9"/>
    <w:rsid w:val="00E17134"/>
    <w:rsid w:val="00E20584"/>
    <w:rsid w:val="00E21B1E"/>
    <w:rsid w:val="00E33D65"/>
    <w:rsid w:val="00E3748D"/>
    <w:rsid w:val="00E403CB"/>
    <w:rsid w:val="00E41E23"/>
    <w:rsid w:val="00E42188"/>
    <w:rsid w:val="00E50B3D"/>
    <w:rsid w:val="00E518D6"/>
    <w:rsid w:val="00E534CF"/>
    <w:rsid w:val="00E545B8"/>
    <w:rsid w:val="00E6083C"/>
    <w:rsid w:val="00E6102E"/>
    <w:rsid w:val="00E610F6"/>
    <w:rsid w:val="00E615CA"/>
    <w:rsid w:val="00E61C3D"/>
    <w:rsid w:val="00E62D87"/>
    <w:rsid w:val="00E6735F"/>
    <w:rsid w:val="00E727DE"/>
    <w:rsid w:val="00E75F40"/>
    <w:rsid w:val="00E77A2A"/>
    <w:rsid w:val="00E80EE7"/>
    <w:rsid w:val="00E81CB4"/>
    <w:rsid w:val="00E8544C"/>
    <w:rsid w:val="00E85503"/>
    <w:rsid w:val="00E8585B"/>
    <w:rsid w:val="00E85954"/>
    <w:rsid w:val="00E85F7E"/>
    <w:rsid w:val="00E87F41"/>
    <w:rsid w:val="00E9286C"/>
    <w:rsid w:val="00E92DF5"/>
    <w:rsid w:val="00E936A5"/>
    <w:rsid w:val="00E93CC4"/>
    <w:rsid w:val="00EA1502"/>
    <w:rsid w:val="00EA3F15"/>
    <w:rsid w:val="00EA4011"/>
    <w:rsid w:val="00EA45CE"/>
    <w:rsid w:val="00EA67EA"/>
    <w:rsid w:val="00EA6BF8"/>
    <w:rsid w:val="00EA7847"/>
    <w:rsid w:val="00EB4B0F"/>
    <w:rsid w:val="00EB4C2F"/>
    <w:rsid w:val="00EB7215"/>
    <w:rsid w:val="00EC6015"/>
    <w:rsid w:val="00ED1568"/>
    <w:rsid w:val="00EE0599"/>
    <w:rsid w:val="00EE1187"/>
    <w:rsid w:val="00EE1BB2"/>
    <w:rsid w:val="00EE2E6E"/>
    <w:rsid w:val="00EE315E"/>
    <w:rsid w:val="00EE343E"/>
    <w:rsid w:val="00EE3E67"/>
    <w:rsid w:val="00EE46B2"/>
    <w:rsid w:val="00EE60FB"/>
    <w:rsid w:val="00EF25A4"/>
    <w:rsid w:val="00EF5917"/>
    <w:rsid w:val="00F01759"/>
    <w:rsid w:val="00F02A72"/>
    <w:rsid w:val="00F045C6"/>
    <w:rsid w:val="00F0759E"/>
    <w:rsid w:val="00F10412"/>
    <w:rsid w:val="00F14FB2"/>
    <w:rsid w:val="00F16A43"/>
    <w:rsid w:val="00F23026"/>
    <w:rsid w:val="00F25787"/>
    <w:rsid w:val="00F31373"/>
    <w:rsid w:val="00F4104B"/>
    <w:rsid w:val="00F41122"/>
    <w:rsid w:val="00F413B1"/>
    <w:rsid w:val="00F44458"/>
    <w:rsid w:val="00F44ED7"/>
    <w:rsid w:val="00F46780"/>
    <w:rsid w:val="00F4782A"/>
    <w:rsid w:val="00F5031C"/>
    <w:rsid w:val="00F52897"/>
    <w:rsid w:val="00F53435"/>
    <w:rsid w:val="00F56374"/>
    <w:rsid w:val="00F64407"/>
    <w:rsid w:val="00F651E9"/>
    <w:rsid w:val="00F651F7"/>
    <w:rsid w:val="00F701F0"/>
    <w:rsid w:val="00F740AB"/>
    <w:rsid w:val="00F762DB"/>
    <w:rsid w:val="00F77D2D"/>
    <w:rsid w:val="00F77D4E"/>
    <w:rsid w:val="00F80689"/>
    <w:rsid w:val="00F80B58"/>
    <w:rsid w:val="00F821A3"/>
    <w:rsid w:val="00F8384B"/>
    <w:rsid w:val="00F9314A"/>
    <w:rsid w:val="00F940B2"/>
    <w:rsid w:val="00F948C1"/>
    <w:rsid w:val="00F9687C"/>
    <w:rsid w:val="00FA0477"/>
    <w:rsid w:val="00FA66D4"/>
    <w:rsid w:val="00FB2444"/>
    <w:rsid w:val="00FB31F6"/>
    <w:rsid w:val="00FB5E98"/>
    <w:rsid w:val="00FB7743"/>
    <w:rsid w:val="00FC0EBF"/>
    <w:rsid w:val="00FC12EB"/>
    <w:rsid w:val="00FC3864"/>
    <w:rsid w:val="00FC3ADE"/>
    <w:rsid w:val="00FC3C88"/>
    <w:rsid w:val="00FC58EF"/>
    <w:rsid w:val="00FC5999"/>
    <w:rsid w:val="00FC734D"/>
    <w:rsid w:val="00FD252B"/>
    <w:rsid w:val="00FD2BFE"/>
    <w:rsid w:val="00FD33DF"/>
    <w:rsid w:val="00FD3765"/>
    <w:rsid w:val="00FD666D"/>
    <w:rsid w:val="00FD7259"/>
    <w:rsid w:val="00FE055D"/>
    <w:rsid w:val="00FE2AD8"/>
    <w:rsid w:val="00FE39D7"/>
    <w:rsid w:val="00FE3DD5"/>
    <w:rsid w:val="00FE5555"/>
    <w:rsid w:val="00FE6273"/>
    <w:rsid w:val="00FE7C4D"/>
    <w:rsid w:val="00FF214F"/>
    <w:rsid w:val="02EACB5C"/>
    <w:rsid w:val="0425F03B"/>
    <w:rsid w:val="05D438F1"/>
    <w:rsid w:val="0A345B15"/>
    <w:rsid w:val="0A704445"/>
    <w:rsid w:val="0C50B4C7"/>
    <w:rsid w:val="0DB39563"/>
    <w:rsid w:val="0E2F8DD4"/>
    <w:rsid w:val="0E85493E"/>
    <w:rsid w:val="0F24F547"/>
    <w:rsid w:val="0F476764"/>
    <w:rsid w:val="126E44D8"/>
    <w:rsid w:val="12FC3428"/>
    <w:rsid w:val="1398B2D5"/>
    <w:rsid w:val="14111E4A"/>
    <w:rsid w:val="157444FD"/>
    <w:rsid w:val="16E265EF"/>
    <w:rsid w:val="1725A9F3"/>
    <w:rsid w:val="18C314E3"/>
    <w:rsid w:val="19327F39"/>
    <w:rsid w:val="1B690CD1"/>
    <w:rsid w:val="1D67D2D8"/>
    <w:rsid w:val="20F08B36"/>
    <w:rsid w:val="21714E99"/>
    <w:rsid w:val="239EC362"/>
    <w:rsid w:val="25016F37"/>
    <w:rsid w:val="29657FEF"/>
    <w:rsid w:val="2A9DD67F"/>
    <w:rsid w:val="2B66332C"/>
    <w:rsid w:val="2C9F0CDB"/>
    <w:rsid w:val="2D454984"/>
    <w:rsid w:val="2DDB713A"/>
    <w:rsid w:val="2E1CF911"/>
    <w:rsid w:val="2EE7A357"/>
    <w:rsid w:val="30751FFC"/>
    <w:rsid w:val="31176F32"/>
    <w:rsid w:val="31773516"/>
    <w:rsid w:val="32ACB3CE"/>
    <w:rsid w:val="34BD3EA7"/>
    <w:rsid w:val="351519D3"/>
    <w:rsid w:val="3745D89D"/>
    <w:rsid w:val="37C03300"/>
    <w:rsid w:val="39A35ED1"/>
    <w:rsid w:val="3AFCD8E8"/>
    <w:rsid w:val="3F26EBBD"/>
    <w:rsid w:val="3F7B6E8B"/>
    <w:rsid w:val="3F992738"/>
    <w:rsid w:val="3FCCA3C5"/>
    <w:rsid w:val="400FC257"/>
    <w:rsid w:val="405F8A51"/>
    <w:rsid w:val="4253BFFC"/>
    <w:rsid w:val="44C15B49"/>
    <w:rsid w:val="45567D4D"/>
    <w:rsid w:val="472E6A98"/>
    <w:rsid w:val="494150BC"/>
    <w:rsid w:val="4BFCB1D1"/>
    <w:rsid w:val="4CADB4AE"/>
    <w:rsid w:val="4D1388B7"/>
    <w:rsid w:val="4F008A99"/>
    <w:rsid w:val="4F631458"/>
    <w:rsid w:val="5153E78F"/>
    <w:rsid w:val="561579DD"/>
    <w:rsid w:val="582898FC"/>
    <w:rsid w:val="58B8EEF8"/>
    <w:rsid w:val="5B07FCC9"/>
    <w:rsid w:val="5C962D69"/>
    <w:rsid w:val="5E28C457"/>
    <w:rsid w:val="5E96ED0F"/>
    <w:rsid w:val="61F1F8ED"/>
    <w:rsid w:val="64B3584C"/>
    <w:rsid w:val="660AE599"/>
    <w:rsid w:val="6670ACAA"/>
    <w:rsid w:val="6B465682"/>
    <w:rsid w:val="6C194495"/>
    <w:rsid w:val="6C290AB1"/>
    <w:rsid w:val="6D65E069"/>
    <w:rsid w:val="6EA3530F"/>
    <w:rsid w:val="7198912A"/>
    <w:rsid w:val="724E8A64"/>
    <w:rsid w:val="738E1D91"/>
    <w:rsid w:val="74888CC9"/>
    <w:rsid w:val="74963B4A"/>
    <w:rsid w:val="7BA243F1"/>
    <w:rsid w:val="7D9453C0"/>
    <w:rsid w:val="7F0EB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4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 w:id="19155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4" ma:contentTypeDescription="Crear nuevo documento." ma:contentTypeScope="" ma:versionID="1685e5b21b379e7546a9d40aa974ae90">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60abbc5b55a6ff46217fa93181a3a83f"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86BF-6730-46B4-BA77-506B7703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42630-7DFF-4534-927E-31D703BD135C}">
  <ds:schemaRefs>
    <ds:schemaRef ds:uri="http://schemas.microsoft.com/sharepoint/v3/contenttype/forms"/>
  </ds:schemaRefs>
</ds:datastoreItem>
</file>

<file path=customXml/itemProps3.xml><?xml version="1.0" encoding="utf-8"?>
<ds:datastoreItem xmlns:ds="http://schemas.openxmlformats.org/officeDocument/2006/customXml" ds:itemID="{EFFD07E5-16A9-40C2-B975-21C902DF92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BB248-E4C9-4F4F-A4DA-F02B807B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1856</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2021-10-07T19:37:00Z</cp:lastPrinted>
  <dcterms:created xsi:type="dcterms:W3CDTF">2021-10-12T14:04:00Z</dcterms:created>
  <dcterms:modified xsi:type="dcterms:W3CDTF">2021-10-12T14:04:00Z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