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CC6BCC" w14:textId="77777777" w:rsidR="00CF5EFC" w:rsidRPr="00F23AE8" w:rsidRDefault="00B560EE" w:rsidP="00CF5EFC">
      <w:pPr>
        <w:pStyle w:val="Encabezado"/>
        <w:tabs>
          <w:tab w:val="clear" w:pos="8504"/>
          <w:tab w:val="left" w:pos="0"/>
          <w:tab w:val="right" w:pos="9356"/>
        </w:tabs>
        <w:ind w:left="0"/>
        <w:jc w:val="both"/>
        <w:rPr>
          <w:rFonts w:ascii="Bookman Old Style" w:hAnsi="Bookman Old Style"/>
          <w:szCs w:val="24"/>
        </w:rPr>
      </w:pPr>
      <w:r>
        <w:rPr>
          <w:rFonts w:ascii="Bookman Old Style" w:hAnsi="Bookman Old Style"/>
          <w:noProof/>
          <w:szCs w:val="24"/>
        </w:rPr>
        <w:object w:dxaOrig="1440" w:dyaOrig="1440" w14:anchorId="4296AA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7.15pt;margin-top:-53.35pt;width:52.5pt;height:48.75pt;z-index:251658240" fillcolor="#0c9">
            <v:imagedata r:id="rId11" o:title=""/>
          </v:shape>
          <o:OLEObject Type="Embed" ProgID="PBrush" ShapeID="_x0000_s1026" DrawAspect="Content" ObjectID="_1716185253" r:id="rId12"/>
        </w:object>
      </w:r>
      <w:r w:rsidR="00CF5EFC" w:rsidRPr="00F23AE8">
        <w:rPr>
          <w:rFonts w:ascii="Bookman Old Style" w:hAnsi="Bookman Old Style"/>
          <w:szCs w:val="24"/>
        </w:rPr>
        <w:t xml:space="preserve">                                                </w:t>
      </w:r>
    </w:p>
    <w:p w14:paraId="51502DE0" w14:textId="77777777" w:rsidR="00CF5EFC" w:rsidRPr="00F23AE8" w:rsidRDefault="00CF5EFC" w:rsidP="00CF5EFC">
      <w:pPr>
        <w:pStyle w:val="Encabezado"/>
        <w:tabs>
          <w:tab w:val="clear" w:pos="8504"/>
          <w:tab w:val="left" w:pos="0"/>
          <w:tab w:val="right" w:pos="9356"/>
        </w:tabs>
        <w:ind w:left="0"/>
        <w:jc w:val="both"/>
        <w:rPr>
          <w:rFonts w:ascii="Bookman Old Style" w:hAnsi="Bookman Old Style"/>
          <w:szCs w:val="24"/>
        </w:rPr>
      </w:pPr>
    </w:p>
    <w:p w14:paraId="0BFCD022" w14:textId="77777777" w:rsidR="00CF5EFC" w:rsidRPr="00F23AE8" w:rsidRDefault="00CF5EFC" w:rsidP="00CF5EFC">
      <w:pPr>
        <w:pStyle w:val="Ttulo4"/>
        <w:tabs>
          <w:tab w:val="left" w:pos="0"/>
          <w:tab w:val="right" w:pos="9356"/>
        </w:tabs>
        <w:ind w:left="0"/>
        <w:rPr>
          <w:rFonts w:ascii="Bookman Old Style" w:hAnsi="Bookman Old Style"/>
          <w:b w:val="0"/>
          <w:bCs/>
          <w:noProof/>
          <w:sz w:val="24"/>
          <w:szCs w:val="24"/>
          <w:lang w:val="es-ES"/>
        </w:rPr>
      </w:pPr>
      <w:r w:rsidRPr="00F23AE8">
        <w:rPr>
          <w:rFonts w:ascii="Bookman Old Style" w:hAnsi="Bookman Old Style"/>
          <w:b w:val="0"/>
          <w:bCs/>
          <w:sz w:val="24"/>
          <w:szCs w:val="24"/>
        </w:rPr>
        <w:t>Ministerio de Minas y Energía</w:t>
      </w:r>
    </w:p>
    <w:p w14:paraId="7CC94F16" w14:textId="77777777" w:rsidR="00CF5EFC" w:rsidRPr="00F23AE8" w:rsidRDefault="00CF5EFC" w:rsidP="00CF5EFC">
      <w:pPr>
        <w:pStyle w:val="Ttulo4"/>
        <w:tabs>
          <w:tab w:val="left" w:pos="0"/>
          <w:tab w:val="right" w:pos="9356"/>
        </w:tabs>
        <w:ind w:left="0"/>
        <w:rPr>
          <w:rFonts w:ascii="Bookman Old Style" w:hAnsi="Bookman Old Style"/>
          <w:b w:val="0"/>
          <w:bCs/>
          <w:sz w:val="24"/>
          <w:szCs w:val="24"/>
        </w:rPr>
      </w:pPr>
    </w:p>
    <w:p w14:paraId="51EBFBAC" w14:textId="77777777" w:rsidR="00CF5EFC" w:rsidRPr="00F23AE8" w:rsidRDefault="00CF5EFC" w:rsidP="00CF5EFC">
      <w:pPr>
        <w:pStyle w:val="Ttulo3"/>
        <w:tabs>
          <w:tab w:val="left" w:pos="0"/>
          <w:tab w:val="right" w:pos="9356"/>
        </w:tabs>
        <w:ind w:left="0"/>
        <w:rPr>
          <w:rFonts w:ascii="Bookman Old Style" w:hAnsi="Bookman Old Style" w:cs="Arial"/>
          <w:spacing w:val="20"/>
          <w:szCs w:val="24"/>
        </w:rPr>
      </w:pPr>
      <w:r w:rsidRPr="00F23AE8">
        <w:rPr>
          <w:rFonts w:ascii="Bookman Old Style" w:hAnsi="Bookman Old Style" w:cs="Arial"/>
          <w:spacing w:val="20"/>
          <w:szCs w:val="24"/>
        </w:rPr>
        <w:t>COMISIÓN DE REGULACIÓN DE ENERGÍA Y GAS</w:t>
      </w:r>
    </w:p>
    <w:p w14:paraId="6522D8EA" w14:textId="77777777" w:rsidR="00CF5EFC" w:rsidRPr="00F23AE8" w:rsidRDefault="00CF5EFC" w:rsidP="00CF5EFC">
      <w:pPr>
        <w:pStyle w:val="Ttulo5"/>
        <w:tabs>
          <w:tab w:val="left" w:pos="0"/>
          <w:tab w:val="right" w:pos="9356"/>
        </w:tabs>
        <w:ind w:left="0"/>
        <w:rPr>
          <w:rFonts w:ascii="Bookman Old Style" w:hAnsi="Bookman Old Style"/>
          <w:sz w:val="24"/>
          <w:szCs w:val="24"/>
        </w:rPr>
      </w:pPr>
    </w:p>
    <w:p w14:paraId="04E86446" w14:textId="77777777" w:rsidR="00CF5EFC" w:rsidRPr="00F23AE8" w:rsidRDefault="00CF5EFC" w:rsidP="00CF5EFC">
      <w:pPr>
        <w:pStyle w:val="Ttulo5"/>
        <w:tabs>
          <w:tab w:val="left" w:pos="0"/>
          <w:tab w:val="right" w:pos="9356"/>
        </w:tabs>
        <w:ind w:left="0"/>
        <w:rPr>
          <w:rFonts w:ascii="Bookman Old Style" w:hAnsi="Bookman Old Style"/>
          <w:sz w:val="24"/>
          <w:szCs w:val="24"/>
        </w:rPr>
      </w:pPr>
    </w:p>
    <w:p w14:paraId="78CF1D3B" w14:textId="754D253E" w:rsidR="00146AFA" w:rsidRPr="005263BE" w:rsidRDefault="004B5EDD" w:rsidP="00146AFA">
      <w:pPr>
        <w:pStyle w:val="Ttulo5"/>
        <w:tabs>
          <w:tab w:val="left" w:pos="0"/>
          <w:tab w:val="right" w:pos="9356"/>
        </w:tabs>
        <w:ind w:left="0"/>
        <w:rPr>
          <w:rFonts w:ascii="Bookman Old Style" w:hAnsi="Bookman Old Style"/>
          <w:sz w:val="24"/>
          <w:szCs w:val="24"/>
        </w:rPr>
      </w:pPr>
      <w:r>
        <w:rPr>
          <w:rFonts w:ascii="Bookman Old Style" w:hAnsi="Bookman Old Style"/>
          <w:sz w:val="24"/>
          <w:szCs w:val="24"/>
        </w:rPr>
        <w:t xml:space="preserve">PROYECTO DE </w:t>
      </w:r>
      <w:r w:rsidR="00146AFA" w:rsidRPr="005263BE">
        <w:rPr>
          <w:rFonts w:ascii="Bookman Old Style" w:hAnsi="Bookman Old Style"/>
          <w:sz w:val="24"/>
          <w:szCs w:val="24"/>
        </w:rPr>
        <w:t xml:space="preserve">RESOLUCIÓN No. </w:t>
      </w:r>
      <w:r w:rsidR="00146AFA">
        <w:rPr>
          <w:rFonts w:ascii="Bookman Old Style" w:hAnsi="Bookman Old Style"/>
          <w:sz w:val="32"/>
          <w:szCs w:val="32"/>
        </w:rPr>
        <w:t>702 00</w:t>
      </w:r>
      <w:r w:rsidR="006708E7">
        <w:rPr>
          <w:rFonts w:ascii="Bookman Old Style" w:hAnsi="Bookman Old Style"/>
          <w:sz w:val="32"/>
          <w:szCs w:val="32"/>
        </w:rPr>
        <w:t>5</w:t>
      </w:r>
      <w:r w:rsidR="00146AFA" w:rsidRPr="00825F63">
        <w:rPr>
          <w:rFonts w:ascii="Bookman Old Style" w:hAnsi="Bookman Old Style"/>
          <w:sz w:val="32"/>
          <w:szCs w:val="32"/>
        </w:rPr>
        <w:t xml:space="preserve"> </w:t>
      </w:r>
      <w:r w:rsidR="00146AFA" w:rsidRPr="005263BE">
        <w:rPr>
          <w:rFonts w:ascii="Bookman Old Style" w:hAnsi="Bookman Old Style"/>
          <w:sz w:val="24"/>
          <w:szCs w:val="24"/>
        </w:rPr>
        <w:t xml:space="preserve">  </w:t>
      </w:r>
    </w:p>
    <w:p w14:paraId="3CA1607D" w14:textId="77777777" w:rsidR="00146AFA" w:rsidRPr="005263BE" w:rsidRDefault="00146AFA" w:rsidP="00146AFA">
      <w:pPr>
        <w:tabs>
          <w:tab w:val="left" w:pos="0"/>
          <w:tab w:val="right" w:pos="9356"/>
        </w:tabs>
        <w:jc w:val="center"/>
        <w:rPr>
          <w:rFonts w:ascii="Bookman Old Style" w:hAnsi="Bookman Old Style" w:cs="Arial"/>
          <w:b/>
          <w:snapToGrid w:val="0"/>
          <w:color w:val="000000"/>
          <w:lang w:val="es-ES_tradnl"/>
        </w:rPr>
      </w:pPr>
    </w:p>
    <w:p w14:paraId="15FF5F39" w14:textId="19753D7D" w:rsidR="00146AFA" w:rsidRPr="005263BE" w:rsidRDefault="00146AFA" w:rsidP="00146AFA">
      <w:pPr>
        <w:pStyle w:val="Ttulo3"/>
        <w:tabs>
          <w:tab w:val="left" w:pos="0"/>
          <w:tab w:val="right" w:pos="9356"/>
        </w:tabs>
        <w:ind w:left="0"/>
        <w:rPr>
          <w:rFonts w:ascii="Bookman Old Style" w:hAnsi="Bookman Old Style"/>
          <w:b w:val="0"/>
          <w:szCs w:val="24"/>
        </w:rPr>
      </w:pPr>
      <w:r w:rsidRPr="005263BE">
        <w:rPr>
          <w:rFonts w:ascii="Bookman Old Style" w:hAnsi="Bookman Old Style"/>
          <w:b w:val="0"/>
          <w:szCs w:val="24"/>
        </w:rPr>
        <w:t xml:space="preserve">(   </w:t>
      </w:r>
      <w:r w:rsidR="006708E7">
        <w:rPr>
          <w:rFonts w:ascii="Bookman Old Style" w:hAnsi="Bookman Old Style"/>
          <w:bCs/>
          <w:sz w:val="32"/>
          <w:szCs w:val="32"/>
        </w:rPr>
        <w:t>31 MAY.</w:t>
      </w:r>
      <w:r>
        <w:rPr>
          <w:rFonts w:ascii="Bookman Old Style" w:hAnsi="Bookman Old Style"/>
          <w:bCs/>
          <w:sz w:val="32"/>
          <w:szCs w:val="32"/>
        </w:rPr>
        <w:t xml:space="preserve"> 2022</w:t>
      </w:r>
      <w:r w:rsidRPr="005263BE">
        <w:rPr>
          <w:rFonts w:ascii="Bookman Old Style" w:hAnsi="Bookman Old Style"/>
          <w:b w:val="0"/>
          <w:szCs w:val="24"/>
        </w:rPr>
        <w:t xml:space="preserve"> </w:t>
      </w:r>
      <w:r w:rsidR="006708E7">
        <w:rPr>
          <w:rFonts w:ascii="Bookman Old Style" w:hAnsi="Bookman Old Style"/>
          <w:b w:val="0"/>
          <w:szCs w:val="24"/>
        </w:rPr>
        <w:t xml:space="preserve"> </w:t>
      </w:r>
      <w:r w:rsidRPr="005263BE">
        <w:rPr>
          <w:rFonts w:ascii="Bookman Old Style" w:hAnsi="Bookman Old Style"/>
          <w:b w:val="0"/>
          <w:szCs w:val="24"/>
        </w:rPr>
        <w:t xml:space="preserve"> )</w:t>
      </w:r>
    </w:p>
    <w:p w14:paraId="3F624CF2" w14:textId="77777777" w:rsidR="00CF5EFC" w:rsidRPr="00F23AE8" w:rsidRDefault="00CF5EFC" w:rsidP="00146AFA">
      <w:pPr>
        <w:tabs>
          <w:tab w:val="left" w:pos="0"/>
          <w:tab w:val="right" w:pos="9356"/>
        </w:tabs>
        <w:jc w:val="center"/>
        <w:rPr>
          <w:rFonts w:ascii="Bookman Old Style" w:hAnsi="Bookman Old Style"/>
          <w:lang w:val="es-ES_tradnl"/>
        </w:rPr>
      </w:pPr>
    </w:p>
    <w:p w14:paraId="3A7765F3" w14:textId="77777777" w:rsidR="00CF5EFC" w:rsidRPr="00F23AE8" w:rsidRDefault="00CF5EFC" w:rsidP="00CF5EFC">
      <w:pPr>
        <w:rPr>
          <w:rFonts w:ascii="Bookman Old Style" w:hAnsi="Bookman Old Style"/>
          <w:bCs/>
        </w:rPr>
      </w:pPr>
    </w:p>
    <w:p w14:paraId="44261AD2" w14:textId="705A3E19" w:rsidR="007B4A6A" w:rsidRPr="000F4D2C" w:rsidRDefault="007B4A6A" w:rsidP="007B4A6A">
      <w:pPr>
        <w:ind w:right="51"/>
        <w:jc w:val="both"/>
        <w:rPr>
          <w:rFonts w:ascii="Bookman Old Style" w:hAnsi="Bookman Old Style"/>
          <w:bCs/>
          <w:sz w:val="24"/>
          <w:szCs w:val="24"/>
        </w:rPr>
      </w:pPr>
      <w:r w:rsidRPr="000F4D2C">
        <w:rPr>
          <w:rFonts w:ascii="Bookman Old Style" w:hAnsi="Bookman Old Style"/>
          <w:bCs/>
          <w:sz w:val="24"/>
          <w:szCs w:val="24"/>
        </w:rPr>
        <w:t xml:space="preserve">La Comisión de Regulación de Energía y Gas, en su sesión </w:t>
      </w:r>
      <w:r w:rsidR="006708E7">
        <w:rPr>
          <w:rFonts w:ascii="Bookman Old Style" w:hAnsi="Bookman Old Style"/>
          <w:bCs/>
          <w:sz w:val="24"/>
          <w:szCs w:val="24"/>
        </w:rPr>
        <w:t>1173</w:t>
      </w:r>
      <w:r w:rsidRPr="000F4D2C">
        <w:rPr>
          <w:rFonts w:ascii="Bookman Old Style" w:hAnsi="Bookman Old Style"/>
          <w:bCs/>
          <w:sz w:val="24"/>
          <w:szCs w:val="24"/>
        </w:rPr>
        <w:t xml:space="preserve"> del </w:t>
      </w:r>
      <w:r w:rsidR="006708E7">
        <w:rPr>
          <w:rFonts w:ascii="Bookman Old Style" w:hAnsi="Bookman Old Style"/>
          <w:bCs/>
          <w:sz w:val="24"/>
          <w:szCs w:val="24"/>
        </w:rPr>
        <w:t>31</w:t>
      </w:r>
      <w:r w:rsidRPr="000F4D2C">
        <w:rPr>
          <w:rFonts w:ascii="Bookman Old Style" w:hAnsi="Bookman Old Style"/>
          <w:bCs/>
          <w:sz w:val="24"/>
          <w:szCs w:val="24"/>
        </w:rPr>
        <w:t xml:space="preserve"> de mayo de 2022, aprobó someter a consulta pública el proyecto de resolución “</w:t>
      </w:r>
      <w:r w:rsidRPr="000F4D2C">
        <w:rPr>
          <w:rFonts w:ascii="Bookman Old Style" w:hAnsi="Bookman Old Style" w:cs="Arial"/>
          <w:i/>
          <w:iCs/>
          <w:sz w:val="24"/>
          <w:szCs w:val="24"/>
        </w:rPr>
        <w:t xml:space="preserve">Por la cual se </w:t>
      </w:r>
      <w:r w:rsidR="002F166B" w:rsidRPr="000F4D2C">
        <w:rPr>
          <w:rFonts w:ascii="Bookman Old Style" w:hAnsi="Bookman Old Style" w:cs="Arial"/>
          <w:i/>
          <w:iCs/>
          <w:sz w:val="24"/>
          <w:szCs w:val="24"/>
        </w:rPr>
        <w:t>hacen unos ajustes y se compila la Resolución CREG 107 de 2017</w:t>
      </w:r>
      <w:r w:rsidRPr="000F4D2C">
        <w:rPr>
          <w:rFonts w:ascii="Bookman Old Style" w:hAnsi="Bookman Old Style" w:cs="Arial"/>
          <w:sz w:val="24"/>
          <w:szCs w:val="24"/>
        </w:rPr>
        <w:t xml:space="preserve">”, </w:t>
      </w:r>
      <w:r w:rsidRPr="000F4D2C">
        <w:rPr>
          <w:rFonts w:ascii="Bookman Old Style" w:hAnsi="Bookman Old Style"/>
          <w:bCs/>
          <w:sz w:val="24"/>
          <w:szCs w:val="24"/>
        </w:rPr>
        <w:t xml:space="preserve">por un término de </w:t>
      </w:r>
      <w:r w:rsidR="00B856C8">
        <w:rPr>
          <w:rFonts w:ascii="Bookman Old Style" w:hAnsi="Bookman Old Style"/>
          <w:bCs/>
          <w:sz w:val="24"/>
          <w:szCs w:val="24"/>
        </w:rPr>
        <w:t>diez</w:t>
      </w:r>
      <w:r w:rsidR="002F166B" w:rsidRPr="000F4D2C">
        <w:rPr>
          <w:rFonts w:ascii="Bookman Old Style" w:hAnsi="Bookman Old Style"/>
          <w:bCs/>
          <w:sz w:val="24"/>
          <w:szCs w:val="24"/>
        </w:rPr>
        <w:t xml:space="preserve"> </w:t>
      </w:r>
      <w:r w:rsidRPr="000F4D2C">
        <w:rPr>
          <w:rFonts w:ascii="Bookman Old Style" w:hAnsi="Bookman Old Style"/>
          <w:bCs/>
          <w:sz w:val="24"/>
          <w:szCs w:val="24"/>
        </w:rPr>
        <w:t>(</w:t>
      </w:r>
      <w:r w:rsidR="002F166B" w:rsidRPr="000F4D2C">
        <w:rPr>
          <w:rFonts w:ascii="Bookman Old Style" w:hAnsi="Bookman Old Style"/>
          <w:bCs/>
          <w:sz w:val="24"/>
          <w:szCs w:val="24"/>
        </w:rPr>
        <w:t>1</w:t>
      </w:r>
      <w:r w:rsidR="00B856C8">
        <w:rPr>
          <w:rFonts w:ascii="Bookman Old Style" w:hAnsi="Bookman Old Style"/>
          <w:bCs/>
          <w:sz w:val="24"/>
          <w:szCs w:val="24"/>
        </w:rPr>
        <w:t>0</w:t>
      </w:r>
      <w:r w:rsidRPr="000F4D2C">
        <w:rPr>
          <w:rFonts w:ascii="Bookman Old Style" w:hAnsi="Bookman Old Style"/>
          <w:bCs/>
          <w:sz w:val="24"/>
          <w:szCs w:val="24"/>
        </w:rPr>
        <w:t>) días hábiles, contados a partir del día siguiente a su publicación en el portal web de la CREG.</w:t>
      </w:r>
    </w:p>
    <w:p w14:paraId="1690E1E1" w14:textId="2D5FF01B" w:rsidR="007B4A6A" w:rsidRPr="000F4D2C" w:rsidRDefault="007B4A6A" w:rsidP="007B4A6A">
      <w:pPr>
        <w:tabs>
          <w:tab w:val="left" w:pos="3418"/>
        </w:tabs>
        <w:jc w:val="both"/>
        <w:rPr>
          <w:rFonts w:ascii="Bookman Old Style" w:hAnsi="Bookman Old Style"/>
          <w:bCs/>
          <w:sz w:val="24"/>
          <w:szCs w:val="24"/>
        </w:rPr>
      </w:pPr>
      <w:r w:rsidRPr="000F4D2C">
        <w:rPr>
          <w:rFonts w:ascii="Bookman Old Style" w:hAnsi="Bookman Old Style"/>
          <w:bCs/>
          <w:sz w:val="24"/>
          <w:szCs w:val="24"/>
        </w:rPr>
        <w:t>En consecuencia, se invita a los agentes regulados, usuarios, autoridades competentes y demás interesados a presentar</w:t>
      </w:r>
      <w:r w:rsidR="005B1AF0" w:rsidRPr="000F4D2C">
        <w:rPr>
          <w:rFonts w:ascii="Bookman Old Style" w:hAnsi="Bookman Old Style"/>
          <w:bCs/>
          <w:sz w:val="24"/>
          <w:szCs w:val="24"/>
        </w:rPr>
        <w:t xml:space="preserve"> </w:t>
      </w:r>
      <w:r w:rsidRPr="000F4D2C">
        <w:rPr>
          <w:rFonts w:ascii="Bookman Old Style" w:hAnsi="Bookman Old Style"/>
          <w:bCs/>
          <w:sz w:val="24"/>
          <w:szCs w:val="24"/>
        </w:rPr>
        <w:t>sus observaciones o sugerencias sobre la propuesta dentro del término estipulado</w:t>
      </w:r>
      <w:r w:rsidR="005B1AF0" w:rsidRPr="000F4D2C">
        <w:rPr>
          <w:rFonts w:ascii="Bookman Old Style" w:hAnsi="Bookman Old Style"/>
          <w:bCs/>
          <w:sz w:val="24"/>
          <w:szCs w:val="24"/>
        </w:rPr>
        <w:t xml:space="preserve"> ante la Dirección Ejecutiva de la CREG, al correo electrónico www.creg.gov.co</w:t>
      </w:r>
      <w:r w:rsidRPr="000F4D2C">
        <w:rPr>
          <w:rFonts w:ascii="Bookman Old Style" w:hAnsi="Bookman Old Style"/>
          <w:bCs/>
          <w:sz w:val="24"/>
          <w:szCs w:val="24"/>
        </w:rPr>
        <w:t xml:space="preserve">.  </w:t>
      </w:r>
    </w:p>
    <w:p w14:paraId="4D20154D" w14:textId="77777777" w:rsidR="00F516D8" w:rsidRDefault="00F516D8" w:rsidP="00F516D8">
      <w:pPr>
        <w:widowControl w:val="0"/>
        <w:tabs>
          <w:tab w:val="left" w:pos="0"/>
        </w:tabs>
        <w:contextualSpacing/>
        <w:jc w:val="both"/>
        <w:rPr>
          <w:rFonts w:ascii="Bookman Old Style" w:hAnsi="Bookman Old Style"/>
          <w:sz w:val="24"/>
          <w:szCs w:val="24"/>
        </w:rPr>
      </w:pPr>
      <w:r>
        <w:rPr>
          <w:rFonts w:ascii="Bookman Old Style" w:hAnsi="Bookman Old Style"/>
          <w:sz w:val="24"/>
          <w:szCs w:val="24"/>
        </w:rPr>
        <w:t xml:space="preserve">Al </w:t>
      </w:r>
      <w:r w:rsidRPr="00404AF8">
        <w:rPr>
          <w:rFonts w:ascii="Bookman Old Style" w:hAnsi="Bookman Old Style"/>
          <w:sz w:val="24"/>
          <w:szCs w:val="24"/>
        </w:rPr>
        <w:t xml:space="preserve">presentar completa la Resolución CREG </w:t>
      </w:r>
      <w:r>
        <w:rPr>
          <w:rFonts w:ascii="Bookman Old Style" w:hAnsi="Bookman Old Style"/>
          <w:sz w:val="24"/>
          <w:szCs w:val="24"/>
        </w:rPr>
        <w:t>107 de 2017</w:t>
      </w:r>
      <w:r w:rsidRPr="00404AF8">
        <w:rPr>
          <w:rFonts w:ascii="Bookman Old Style" w:hAnsi="Bookman Old Style"/>
          <w:sz w:val="24"/>
          <w:szCs w:val="24"/>
        </w:rPr>
        <w:t xml:space="preserve"> se introducen los ajustes propuestos en un formato particular, así: </w:t>
      </w:r>
      <w:r w:rsidRPr="00404AF8">
        <w:rPr>
          <w:rFonts w:ascii="Bookman Old Style" w:hAnsi="Bookman Old Style"/>
          <w:b/>
          <w:bCs/>
          <w:sz w:val="24"/>
          <w:szCs w:val="24"/>
          <w:u w:val="single"/>
        </w:rPr>
        <w:t>propuesta</w:t>
      </w:r>
      <w:r w:rsidRPr="00404AF8">
        <w:rPr>
          <w:rFonts w:ascii="Bookman Old Style" w:hAnsi="Bookman Old Style"/>
          <w:sz w:val="24"/>
          <w:szCs w:val="24"/>
        </w:rPr>
        <w:t xml:space="preserve">, advirtiendo que solo se somete a comentarios </w:t>
      </w:r>
      <w:r>
        <w:rPr>
          <w:rFonts w:ascii="Bookman Old Style" w:hAnsi="Bookman Old Style"/>
          <w:sz w:val="24"/>
          <w:szCs w:val="24"/>
        </w:rPr>
        <w:t>lo que se encuentra dispuesto a lo largo de la resolución de esa forma</w:t>
      </w:r>
      <w:r w:rsidRPr="00404AF8">
        <w:rPr>
          <w:rFonts w:ascii="Bookman Old Style" w:hAnsi="Bookman Old Style"/>
          <w:sz w:val="24"/>
          <w:szCs w:val="24"/>
        </w:rPr>
        <w:t xml:space="preserve">. </w:t>
      </w:r>
    </w:p>
    <w:p w14:paraId="62DE0D5A" w14:textId="77777777" w:rsidR="00F516D8" w:rsidRDefault="00F516D8" w:rsidP="00F516D8">
      <w:pPr>
        <w:widowControl w:val="0"/>
        <w:tabs>
          <w:tab w:val="left" w:pos="0"/>
        </w:tabs>
        <w:contextualSpacing/>
        <w:jc w:val="both"/>
        <w:rPr>
          <w:rFonts w:ascii="Bookman Old Style" w:hAnsi="Bookman Old Style"/>
          <w:bCs/>
          <w:sz w:val="24"/>
          <w:szCs w:val="24"/>
        </w:rPr>
      </w:pPr>
    </w:p>
    <w:p w14:paraId="7BB3227D" w14:textId="77777777" w:rsidR="00F516D8" w:rsidRDefault="00F516D8" w:rsidP="00F516D8">
      <w:pPr>
        <w:widowControl w:val="0"/>
        <w:tabs>
          <w:tab w:val="left" w:pos="0"/>
        </w:tabs>
        <w:contextualSpacing/>
        <w:jc w:val="both"/>
        <w:rPr>
          <w:rFonts w:ascii="Bookman Old Style" w:hAnsi="Bookman Old Style"/>
          <w:bCs/>
          <w:sz w:val="24"/>
          <w:szCs w:val="24"/>
        </w:rPr>
      </w:pPr>
      <w:r w:rsidRPr="000F4D2C">
        <w:rPr>
          <w:rFonts w:ascii="Bookman Old Style" w:hAnsi="Bookman Old Style"/>
          <w:bCs/>
          <w:sz w:val="24"/>
          <w:szCs w:val="24"/>
        </w:rPr>
        <w:t xml:space="preserve">En el documento soporte de la presente resolución se exponen los análisis y la justificación de la propuesta regulatoria que se somete al proceso </w:t>
      </w:r>
      <w:r>
        <w:rPr>
          <w:rFonts w:ascii="Bookman Old Style" w:hAnsi="Bookman Old Style"/>
          <w:bCs/>
          <w:sz w:val="24"/>
          <w:szCs w:val="24"/>
        </w:rPr>
        <w:t xml:space="preserve">de </w:t>
      </w:r>
      <w:r w:rsidRPr="000F4D2C">
        <w:rPr>
          <w:rFonts w:ascii="Bookman Old Style" w:hAnsi="Bookman Old Style"/>
          <w:bCs/>
          <w:sz w:val="24"/>
          <w:szCs w:val="24"/>
        </w:rPr>
        <w:t>consulta pública.</w:t>
      </w:r>
    </w:p>
    <w:p w14:paraId="223F0BB9" w14:textId="77777777" w:rsidR="00F516D8" w:rsidRDefault="00F516D8" w:rsidP="00F516D8">
      <w:pPr>
        <w:widowControl w:val="0"/>
        <w:tabs>
          <w:tab w:val="left" w:pos="0"/>
        </w:tabs>
        <w:contextualSpacing/>
        <w:jc w:val="both"/>
        <w:rPr>
          <w:rFonts w:ascii="Bookman Old Style" w:hAnsi="Bookman Old Style"/>
          <w:bCs/>
          <w:sz w:val="24"/>
          <w:szCs w:val="24"/>
        </w:rPr>
      </w:pPr>
    </w:p>
    <w:p w14:paraId="0C6C1DF3" w14:textId="304B36E3" w:rsidR="007B4A6A" w:rsidRPr="000F4D2C" w:rsidRDefault="005245E2" w:rsidP="007B4A6A">
      <w:pPr>
        <w:ind w:right="51"/>
        <w:jc w:val="center"/>
        <w:rPr>
          <w:rFonts w:ascii="Bookman Old Style" w:hAnsi="Bookman Old Style"/>
          <w:b/>
          <w:i/>
          <w:iCs/>
          <w:sz w:val="24"/>
          <w:szCs w:val="24"/>
        </w:rPr>
      </w:pPr>
      <w:r w:rsidRPr="000F4D2C">
        <w:rPr>
          <w:rFonts w:ascii="Bookman Old Style" w:hAnsi="Bookman Old Style" w:cs="Arial"/>
          <w:i/>
          <w:iCs/>
          <w:sz w:val="24"/>
          <w:szCs w:val="24"/>
        </w:rPr>
        <w:t>Por la cual se hacen unos ajustes y se compila la Resolución CREG 107 de 2017</w:t>
      </w:r>
    </w:p>
    <w:p w14:paraId="29842C1D" w14:textId="77777777" w:rsidR="00CF5EFC" w:rsidRPr="000F4D2C" w:rsidRDefault="00CF5EFC" w:rsidP="00CF5EFC">
      <w:pPr>
        <w:jc w:val="center"/>
        <w:rPr>
          <w:rFonts w:ascii="Bookman Old Style" w:hAnsi="Bookman Old Style" w:cs="Arial"/>
          <w:color w:val="000000"/>
          <w:sz w:val="24"/>
          <w:szCs w:val="24"/>
        </w:rPr>
      </w:pPr>
    </w:p>
    <w:p w14:paraId="4E9D1DAA" w14:textId="77777777" w:rsidR="00CF5EFC" w:rsidRPr="000F4D2C" w:rsidRDefault="00CF5EFC" w:rsidP="00CF5EFC">
      <w:pPr>
        <w:jc w:val="center"/>
        <w:rPr>
          <w:rFonts w:ascii="Bookman Old Style" w:hAnsi="Bookman Old Style" w:cs="Arial"/>
          <w:color w:val="000000" w:themeColor="text1"/>
          <w:sz w:val="24"/>
          <w:szCs w:val="24"/>
          <w:lang w:eastAsia="es-CO"/>
        </w:rPr>
      </w:pPr>
      <w:r w:rsidRPr="000F4D2C">
        <w:rPr>
          <w:rFonts w:ascii="Bookman Old Style" w:hAnsi="Bookman Old Style" w:cs="Arial"/>
          <w:b/>
          <w:bCs/>
          <w:color w:val="000000" w:themeColor="text1"/>
          <w:sz w:val="24"/>
          <w:szCs w:val="24"/>
          <w:lang w:eastAsia="es-CO"/>
        </w:rPr>
        <w:t>LA COMISIÓN DE REGULACIÓN DE ENERGÍA Y GAS</w:t>
      </w:r>
    </w:p>
    <w:p w14:paraId="04C498A3" w14:textId="77777777" w:rsidR="00CF5EFC" w:rsidRPr="000F4D2C" w:rsidRDefault="00CF5EFC" w:rsidP="00CF5EFC">
      <w:pPr>
        <w:jc w:val="center"/>
        <w:rPr>
          <w:rFonts w:ascii="Bookman Old Style" w:hAnsi="Bookman Old Style" w:cs="Arial"/>
          <w:color w:val="000000"/>
          <w:sz w:val="24"/>
          <w:szCs w:val="24"/>
        </w:rPr>
      </w:pPr>
    </w:p>
    <w:p w14:paraId="05204669" w14:textId="0DBBF89F" w:rsidR="00CF5EFC" w:rsidRPr="000F4D2C" w:rsidRDefault="00CF5EFC" w:rsidP="00CF5EFC">
      <w:pPr>
        <w:jc w:val="center"/>
        <w:rPr>
          <w:rFonts w:ascii="Bookman Old Style" w:hAnsi="Bookman Old Style" w:cs="Arial"/>
          <w:color w:val="000000"/>
          <w:sz w:val="24"/>
          <w:szCs w:val="24"/>
        </w:rPr>
      </w:pPr>
      <w:r w:rsidRPr="000F4D2C">
        <w:rPr>
          <w:rFonts w:ascii="Bookman Old Style" w:hAnsi="Bookman Old Style" w:cs="Arial"/>
          <w:color w:val="000000"/>
          <w:sz w:val="24"/>
          <w:szCs w:val="24"/>
        </w:rPr>
        <w:t>En ejercicio de las atribuciones constitucionales y legales, en especial las conferidas por la Ley 142 de 1994 y los decretos 1523 y 2253 de 1994</w:t>
      </w:r>
      <w:r w:rsidR="00F7104A">
        <w:rPr>
          <w:rFonts w:ascii="Bookman Old Style" w:hAnsi="Bookman Old Style" w:cs="Arial"/>
          <w:color w:val="000000"/>
          <w:sz w:val="24"/>
          <w:szCs w:val="24"/>
        </w:rPr>
        <w:t>,</w:t>
      </w:r>
      <w:r w:rsidRPr="000F4D2C">
        <w:rPr>
          <w:rFonts w:ascii="Bookman Old Style" w:hAnsi="Bookman Old Style" w:cs="Arial"/>
          <w:color w:val="000000"/>
          <w:sz w:val="24"/>
          <w:szCs w:val="24"/>
        </w:rPr>
        <w:t xml:space="preserve"> y 1260 de 2013, y</w:t>
      </w:r>
    </w:p>
    <w:p w14:paraId="43A6EF86" w14:textId="77777777" w:rsidR="00CF5EFC" w:rsidRPr="000F4D2C" w:rsidRDefault="00CF5EFC" w:rsidP="00CF5EFC">
      <w:pPr>
        <w:rPr>
          <w:rFonts w:ascii="Bookman Old Style" w:hAnsi="Bookman Old Style" w:cs="Arial"/>
          <w:color w:val="000000"/>
          <w:sz w:val="24"/>
          <w:szCs w:val="24"/>
        </w:rPr>
      </w:pPr>
    </w:p>
    <w:p w14:paraId="08BEA82C" w14:textId="69FA4359" w:rsidR="00CF5EFC" w:rsidRPr="000F4D2C" w:rsidRDefault="00CF5EFC" w:rsidP="00CC6F4B">
      <w:pPr>
        <w:jc w:val="center"/>
        <w:rPr>
          <w:rFonts w:ascii="Bookman Old Style" w:hAnsi="Bookman Old Style" w:cs="Arial"/>
          <w:b/>
          <w:color w:val="000000"/>
          <w:sz w:val="24"/>
          <w:szCs w:val="24"/>
        </w:rPr>
      </w:pPr>
      <w:r w:rsidRPr="000F4D2C">
        <w:rPr>
          <w:rFonts w:ascii="Bookman Old Style" w:hAnsi="Bookman Old Style" w:cs="Arial"/>
          <w:b/>
          <w:color w:val="000000"/>
          <w:sz w:val="24"/>
          <w:szCs w:val="24"/>
        </w:rPr>
        <w:t>C O N S I D E R A N D O  Q U E:</w:t>
      </w:r>
    </w:p>
    <w:p w14:paraId="154647C6" w14:textId="77777777" w:rsidR="00CF5EFC" w:rsidRPr="000F4D2C" w:rsidRDefault="00CF5EFC" w:rsidP="00CF5EFC">
      <w:pPr>
        <w:rPr>
          <w:rFonts w:ascii="Bookman Old Style" w:hAnsi="Bookman Old Style" w:cs="Arial"/>
          <w:color w:val="000000"/>
          <w:sz w:val="24"/>
          <w:szCs w:val="24"/>
        </w:rPr>
      </w:pPr>
    </w:p>
    <w:p w14:paraId="7A0FAE78" w14:textId="47D4B784" w:rsidR="00CF5EFC" w:rsidRPr="000F4D2C" w:rsidRDefault="00CF5EFC" w:rsidP="00CF5EFC">
      <w:pPr>
        <w:jc w:val="both"/>
        <w:rPr>
          <w:rFonts w:ascii="Bookman Old Style" w:hAnsi="Bookman Old Style" w:cs="Arial"/>
          <w:sz w:val="24"/>
          <w:szCs w:val="24"/>
          <w:lang w:eastAsia="es-CO"/>
        </w:rPr>
      </w:pPr>
      <w:r w:rsidRPr="000F4D2C">
        <w:rPr>
          <w:rFonts w:ascii="Bookman Old Style" w:hAnsi="Bookman Old Style" w:cs="Arial"/>
          <w:sz w:val="24"/>
          <w:szCs w:val="24"/>
          <w:lang w:eastAsia="es-CO"/>
        </w:rPr>
        <w:lastRenderedPageBreak/>
        <w:t xml:space="preserve">Uno de los fines de la intervención en los servicios públicos es la prestación continua e ininterrumpida de éstos. Conforme al artículo 11 de la Ley 142 de 1994, es obligación de quienes prestan servicios públicos, asegurar que los mismos se prestan de forma continua y eficiente. </w:t>
      </w:r>
    </w:p>
    <w:p w14:paraId="46A51BD8" w14:textId="46910DF5"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sz w:val="24"/>
          <w:szCs w:val="24"/>
          <w:lang w:eastAsia="es-CO"/>
        </w:rPr>
        <w:t>De acuerdo con el numeral 14.28 del artículo 14 de la Ley 142 de 1994, el servicio público domiciliario de gas combustible es el conjunto de actividades ordenadas a la distribución de gas combustible, por tubería u otro medio, desde un sitio de acopio de grandes volúmenes o desde un gasoducto central hasta la instalación de un consumidor final, incluyendo su conexión y medición. También se aplicará esta ley a las actividades complementarias de comercialización desde la producción y transporte de gas por un gasoducto principal, o por otros medios, desde el sitio de generación hasta aquel en donde se conecte a una red secundaria.</w:t>
      </w:r>
    </w:p>
    <w:p w14:paraId="31A3BC2B" w14:textId="77777777" w:rsidR="00CF5EFC" w:rsidRPr="000F4D2C" w:rsidRDefault="00CF5EFC" w:rsidP="00CF5EFC">
      <w:pPr>
        <w:jc w:val="both"/>
        <w:rPr>
          <w:rFonts w:ascii="Bookman Old Style" w:hAnsi="Bookman Old Style"/>
          <w:color w:val="000000"/>
          <w:sz w:val="24"/>
          <w:szCs w:val="24"/>
        </w:rPr>
      </w:pPr>
      <w:r w:rsidRPr="000F4D2C">
        <w:rPr>
          <w:rFonts w:ascii="Bookman Old Style" w:hAnsi="Bookman Old Style" w:cs="Arial"/>
          <w:color w:val="000000"/>
          <w:sz w:val="24"/>
          <w:szCs w:val="24"/>
        </w:rPr>
        <w:t>Es derecho de todas las empresas, construir, operar y modificar sus redes e instalaciones para prestar los servicios públicos, para lo cual cumplirán con los mismos requisitos exigidos por la ley a todos los prestadores, como lo garantiza el artículo 28 de la Ley 142 de 1994.</w:t>
      </w:r>
    </w:p>
    <w:p w14:paraId="593BDA1A" w14:textId="77777777" w:rsidR="00CF5EFC" w:rsidRPr="000F4D2C" w:rsidRDefault="00CF5EFC" w:rsidP="00CF5EFC">
      <w:pPr>
        <w:jc w:val="both"/>
        <w:rPr>
          <w:rFonts w:ascii="Bookman Old Style" w:hAnsi="Bookman Old Style"/>
          <w:color w:val="000000"/>
          <w:sz w:val="24"/>
          <w:szCs w:val="24"/>
        </w:rPr>
      </w:pPr>
      <w:r w:rsidRPr="000F4D2C">
        <w:rPr>
          <w:rFonts w:ascii="Bookman Old Style" w:hAnsi="Bookman Old Style" w:cs="Arial"/>
          <w:color w:val="000000"/>
          <w:sz w:val="24"/>
          <w:szCs w:val="24"/>
        </w:rPr>
        <w:t>Las personas jurídicas que produzcan para ellas mismas, o como consecuencia o complemento de su actividad principal, los bienes y servicios propios del objeto de las empresas de servicios públicos, pueden prestar las actividades que integran el servicio público, para lo cual deben sujetarse a la Ley 142 de 1994 en sus actos o contratos que celebren para suministrar los bienes o servicios cuya prestación sea parte del objeto de las empresas de servicios públicos, a otras personas en forma masiva, o a cambio de cualquier clase de remuneración, y están obligadas a constituirse en empresas de servicios públicos cuando la comisión así lo exija, como está previsto en dicha Ley, como lo prevén los artículos 15 y 16 de la Ley 142 de 1994.</w:t>
      </w:r>
    </w:p>
    <w:p w14:paraId="5365E475" w14:textId="630A6E0E" w:rsidR="00CF5EFC" w:rsidRPr="000F4D2C" w:rsidRDefault="00CF5EFC" w:rsidP="00CF5EFC">
      <w:pPr>
        <w:jc w:val="both"/>
        <w:rPr>
          <w:rFonts w:ascii="Bookman Old Style" w:hAnsi="Bookman Old Style"/>
          <w:color w:val="000000"/>
          <w:sz w:val="24"/>
          <w:szCs w:val="24"/>
        </w:rPr>
      </w:pPr>
      <w:r w:rsidRPr="000F4D2C">
        <w:rPr>
          <w:rFonts w:ascii="Bookman Old Style" w:hAnsi="Bookman Old Style" w:cs="Arial"/>
          <w:color w:val="000000"/>
          <w:sz w:val="24"/>
          <w:szCs w:val="24"/>
        </w:rPr>
        <w:t>La CREG de acuerdo con lo establecido en la Ley 142 de 1994, puede obligar que las empresas de servicios públicos tengan objeto exclusivo, siempre y cuando se establezca que la multiplicidad del objeto limita la competencia y no produce economías de escala o de aglomeración en beneficio del usuario.</w:t>
      </w:r>
    </w:p>
    <w:p w14:paraId="486DFADB" w14:textId="77777777" w:rsidR="00CF5EFC" w:rsidRPr="000F4D2C" w:rsidRDefault="00CF5EFC" w:rsidP="00CF5EFC">
      <w:pPr>
        <w:jc w:val="both"/>
        <w:rPr>
          <w:rFonts w:ascii="Bookman Old Style" w:hAnsi="Bookman Old Style"/>
          <w:color w:val="000000"/>
          <w:sz w:val="24"/>
          <w:szCs w:val="24"/>
          <w:lang w:val="es-ES_tradnl"/>
        </w:rPr>
      </w:pPr>
      <w:r w:rsidRPr="000F4D2C">
        <w:rPr>
          <w:rFonts w:ascii="Bookman Old Style" w:hAnsi="Bookman Old Style"/>
          <w:color w:val="000000"/>
          <w:sz w:val="24"/>
          <w:szCs w:val="24"/>
          <w:lang w:val="es-ES_tradnl"/>
        </w:rPr>
        <w:t xml:space="preserve">La Ley 142 de 1994 obliga a todos los prestadores del servicio, a facilitar el acceso e interconexión de otras empresas o entidades que prestan servicios públicos, o que sean grandes usuarios de ellos, a los bienes empleados para la organización y prestación de los servicios; los faculta para celebrar contratos que regulan el acceso compartido o de interconexión de bienes indispensables para la prestación de servicios públicos; y en su defecto, los somete a la </w:t>
      </w:r>
      <w:r w:rsidRPr="000F4D2C">
        <w:rPr>
          <w:rFonts w:ascii="Bookman Old Style" w:hAnsi="Bookman Old Style" w:cs="Arial"/>
          <w:color w:val="000000"/>
          <w:sz w:val="24"/>
          <w:szCs w:val="24"/>
        </w:rPr>
        <w:t>servidumbre</w:t>
      </w:r>
      <w:r w:rsidRPr="000F4D2C">
        <w:rPr>
          <w:rFonts w:ascii="Bookman Old Style" w:hAnsi="Bookman Old Style"/>
          <w:color w:val="000000"/>
          <w:sz w:val="24"/>
          <w:szCs w:val="24"/>
          <w:lang w:val="es-ES_tradnl"/>
        </w:rPr>
        <w:t xml:space="preserve"> que puede imponer la CREG para tales efectos. </w:t>
      </w:r>
    </w:p>
    <w:p w14:paraId="5814A2D2" w14:textId="77777777" w:rsidR="00CF5EFC" w:rsidRPr="000F4D2C" w:rsidRDefault="00CF5EFC" w:rsidP="00CF5EFC">
      <w:pPr>
        <w:jc w:val="both"/>
        <w:rPr>
          <w:rFonts w:ascii="Bookman Old Style" w:hAnsi="Bookman Old Style"/>
          <w:color w:val="000000"/>
          <w:sz w:val="24"/>
          <w:szCs w:val="24"/>
        </w:rPr>
      </w:pPr>
      <w:r w:rsidRPr="000F4D2C">
        <w:rPr>
          <w:rFonts w:ascii="Bookman Old Style" w:hAnsi="Bookman Old Style"/>
          <w:color w:val="000000"/>
          <w:sz w:val="24"/>
          <w:szCs w:val="24"/>
        </w:rPr>
        <w:t xml:space="preserve">Según el numeral 74.1 del artículo 74 de la Ley 142 de 1994, corresponde a la Comisión de Regulación de Energía y Gas regular el ejercicio de las actividades de los sectores de energía y gas combustible para asegurar la disponibilidad de una oferta energética eficiente. </w:t>
      </w:r>
    </w:p>
    <w:p w14:paraId="51809003" w14:textId="77777777"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spacing w:val="-3"/>
          <w:sz w:val="24"/>
          <w:szCs w:val="24"/>
        </w:rPr>
        <w:lastRenderedPageBreak/>
        <w:t>La Comisión de Regulación de Energía y Gas tiene, conforme al artículo 73 de la Ley 142 de 1994, la función de regular los monopolios en la prestación del servicio público domiciliario de gas, cuando la competencia no sea, de hecho, posible; y, en los demás casos, la de promover la competencia entre quienes presten servicios públicos, para que las operaciones de los monopolistas o de los competidores sean económicamente eficientes, no impliquen abuso de la posición dominante, y produzcan servicios de calidad.</w:t>
      </w:r>
    </w:p>
    <w:p w14:paraId="407FC8C8" w14:textId="77777777" w:rsidR="00CF5EFC" w:rsidRPr="00D36390" w:rsidRDefault="00CF5EFC" w:rsidP="00CF5EFC">
      <w:pPr>
        <w:pStyle w:val="Textoindependiente2"/>
        <w:spacing w:line="240" w:lineRule="auto"/>
        <w:ind w:left="0"/>
        <w:jc w:val="both"/>
        <w:rPr>
          <w:rFonts w:ascii="Bookman Old Style" w:hAnsi="Bookman Old Style"/>
          <w:color w:val="000000"/>
          <w:lang w:val="es-ES_tradnl"/>
        </w:rPr>
      </w:pPr>
      <w:r w:rsidRPr="00D36390">
        <w:rPr>
          <w:rFonts w:ascii="Bookman Old Style" w:hAnsi="Bookman Old Style"/>
          <w:color w:val="000000"/>
          <w:lang w:val="es-ES_tradnl"/>
        </w:rPr>
        <w:t>La Comisión debe adoptar las fórmulas tarifarias para cobrar por el transporte e interconexión a las redes, con sujeción a los criterios que según dicha ley deben orientar el régimen tarifario. En estas fórmulas se pueden establecer topes máximos y mínimos de tarifas, conforme a los numerales 73.11 y 73.22 del Artículo 73 y el artículo 88, todos de la Ley 142 de 1994.</w:t>
      </w:r>
    </w:p>
    <w:p w14:paraId="051BAB3D" w14:textId="77777777" w:rsidR="00CF5EFC" w:rsidRPr="00F23AE8" w:rsidRDefault="00CF5EFC" w:rsidP="00800F34">
      <w:pPr>
        <w:pStyle w:val="Textoindependiente2"/>
        <w:spacing w:line="240" w:lineRule="auto"/>
        <w:ind w:left="0"/>
        <w:jc w:val="both"/>
        <w:rPr>
          <w:rFonts w:ascii="Bookman Old Style" w:hAnsi="Bookman Old Style"/>
          <w:color w:val="000000"/>
          <w:lang w:val="es-ES_tradnl"/>
        </w:rPr>
      </w:pPr>
      <w:r w:rsidRPr="00F23AE8">
        <w:rPr>
          <w:rFonts w:ascii="Bookman Old Style" w:hAnsi="Bookman Old Style"/>
          <w:color w:val="000000"/>
          <w:lang w:val="es-ES_tradnl"/>
        </w:rPr>
        <w:t xml:space="preserve">Las fórmulas tarifarias que defina la Comisión deben garantizar a los usuarios, a lo largo del tiempo, los beneficios de la reducción promedio de costos en las empresas que prestan el servicio, según exigencia del Artículo 92 de la Ley 142 de 1994. Toda tarifa debe tener un carácter integral, en el sentido de que supondrá una calidad y grado de cobertura del servicio, cuyas características definirán las comisiones reguladoras, como lo exige el </w:t>
      </w:r>
      <w:r>
        <w:rPr>
          <w:rFonts w:ascii="Bookman Old Style" w:hAnsi="Bookman Old Style"/>
          <w:color w:val="000000"/>
          <w:lang w:val="es-ES_tradnl"/>
        </w:rPr>
        <w:t>n</w:t>
      </w:r>
      <w:r w:rsidRPr="00F23AE8">
        <w:rPr>
          <w:rFonts w:ascii="Bookman Old Style" w:hAnsi="Bookman Old Style"/>
          <w:color w:val="000000"/>
          <w:lang w:val="es-ES_tradnl"/>
        </w:rPr>
        <w:t xml:space="preserve">umeral 87.8, del </w:t>
      </w:r>
      <w:r>
        <w:rPr>
          <w:rFonts w:ascii="Bookman Old Style" w:hAnsi="Bookman Old Style"/>
          <w:color w:val="000000"/>
          <w:lang w:val="es-ES_tradnl"/>
        </w:rPr>
        <w:t>a</w:t>
      </w:r>
      <w:r w:rsidRPr="00F23AE8">
        <w:rPr>
          <w:rFonts w:ascii="Bookman Old Style" w:hAnsi="Bookman Old Style"/>
          <w:color w:val="000000"/>
          <w:lang w:val="es-ES_tradnl"/>
        </w:rPr>
        <w:t>rtículo 87 de la Ley 142 de 1994.</w:t>
      </w:r>
    </w:p>
    <w:p w14:paraId="357DC24E" w14:textId="77777777" w:rsidR="00CF5EFC" w:rsidRPr="00F23AE8" w:rsidRDefault="00CF5EFC" w:rsidP="00800F34">
      <w:pPr>
        <w:pStyle w:val="Textoindependiente2"/>
        <w:spacing w:line="240" w:lineRule="auto"/>
        <w:ind w:left="0"/>
        <w:jc w:val="both"/>
        <w:rPr>
          <w:rFonts w:ascii="Bookman Old Style" w:hAnsi="Bookman Old Style"/>
          <w:color w:val="000000"/>
          <w:lang w:val="es-ES_tradnl"/>
        </w:rPr>
      </w:pPr>
      <w:r w:rsidRPr="00F23AE8">
        <w:rPr>
          <w:rFonts w:ascii="Bookman Old Style" w:hAnsi="Bookman Old Style"/>
          <w:color w:val="000000"/>
          <w:lang w:val="es-ES_tradnl"/>
        </w:rPr>
        <w:t xml:space="preserve">Mediante la Resolución CREG 071 de 1999, y otras que la han modificado y complementado, la </w:t>
      </w:r>
      <w:r>
        <w:rPr>
          <w:rFonts w:ascii="Bookman Old Style" w:hAnsi="Bookman Old Style"/>
          <w:color w:val="000000"/>
          <w:lang w:val="es-ES_tradnl"/>
        </w:rPr>
        <w:t>c</w:t>
      </w:r>
      <w:r w:rsidRPr="00F23AE8">
        <w:rPr>
          <w:rFonts w:ascii="Bookman Old Style" w:hAnsi="Bookman Old Style"/>
          <w:color w:val="000000"/>
          <w:lang w:val="es-ES_tradnl"/>
        </w:rPr>
        <w:t xml:space="preserve">omisión estableció el reglamento único de transporte de gas natural, RUT. </w:t>
      </w:r>
    </w:p>
    <w:p w14:paraId="2E2563ED" w14:textId="77777777" w:rsidR="00CF5EFC" w:rsidRPr="00800F34" w:rsidRDefault="00CF5EFC" w:rsidP="00800F34">
      <w:pPr>
        <w:pStyle w:val="Textoindependiente2"/>
        <w:spacing w:line="240" w:lineRule="auto"/>
        <w:ind w:left="0"/>
        <w:jc w:val="both"/>
        <w:rPr>
          <w:rFonts w:ascii="Bookman Old Style" w:hAnsi="Bookman Old Style"/>
          <w:color w:val="000000"/>
          <w:lang w:val="es-ES_tradnl"/>
        </w:rPr>
      </w:pPr>
      <w:r w:rsidRPr="00800F34">
        <w:rPr>
          <w:rFonts w:ascii="Bookman Old Style" w:hAnsi="Bookman Old Style"/>
          <w:color w:val="000000"/>
          <w:lang w:val="es-ES_tradnl"/>
        </w:rPr>
        <w:t>Mediante la Resolución CREG 089 de 2013 la CREG expidió disposiciones</w:t>
      </w:r>
      <w:r w:rsidRPr="00F23AE8">
        <w:rPr>
          <w:rFonts w:ascii="Bookman Old Style" w:hAnsi="Bookman Old Style" w:cs="Arial"/>
          <w:color w:val="000000"/>
        </w:rPr>
        <w:t xml:space="preserve"> relacionadas con los aspectos comerciales del mercado mayorista de gas natural, que hacen parte del reglamento de operación de gas natural. La resolución mencionada contiene el conjunto de disposiciones aplicables a las negociaciones del suministro y del transporte del gas natural utilizado efectivamente como </w:t>
      </w:r>
      <w:r w:rsidRPr="00800F34">
        <w:rPr>
          <w:rFonts w:ascii="Bookman Old Style" w:hAnsi="Bookman Old Style"/>
          <w:color w:val="000000"/>
          <w:lang w:val="es-ES_tradnl"/>
        </w:rPr>
        <w:t>combustible que se realicen en el mercado primario y en el mercado secundario.</w:t>
      </w:r>
    </w:p>
    <w:p w14:paraId="57F1BBAD" w14:textId="77777777" w:rsidR="00CF5EFC" w:rsidRPr="00F23AE8" w:rsidRDefault="00CF5EFC" w:rsidP="00800F34">
      <w:pPr>
        <w:pStyle w:val="Textoindependiente2"/>
        <w:spacing w:line="240" w:lineRule="auto"/>
        <w:ind w:left="0"/>
        <w:jc w:val="both"/>
        <w:rPr>
          <w:rFonts w:ascii="Bookman Old Style" w:hAnsi="Bookman Old Style"/>
          <w:color w:val="000000"/>
          <w:lang w:val="es-ES_tradnl"/>
        </w:rPr>
      </w:pPr>
      <w:r w:rsidRPr="00F23AE8">
        <w:rPr>
          <w:rFonts w:ascii="Bookman Old Style" w:hAnsi="Bookman Old Style"/>
          <w:color w:val="000000"/>
          <w:lang w:val="es-ES_tradnl"/>
        </w:rPr>
        <w:t xml:space="preserve">En el Anexo 2 de la Resolución CREG 089 de 2013 se establece la información que debe recopilar, procesar y publicar el gestor del mercado. </w:t>
      </w:r>
    </w:p>
    <w:p w14:paraId="41C3FAE3" w14:textId="6E5B39B1" w:rsidR="00CF5EFC" w:rsidRPr="00F23AE8" w:rsidRDefault="00CF5EFC" w:rsidP="00800F34">
      <w:pPr>
        <w:pStyle w:val="Textoindependiente2"/>
        <w:spacing w:line="240" w:lineRule="auto"/>
        <w:ind w:left="0"/>
        <w:jc w:val="both"/>
        <w:rPr>
          <w:rFonts w:ascii="Bookman Old Style" w:hAnsi="Bookman Old Style"/>
          <w:color w:val="000000"/>
          <w:lang w:val="es-ES_tradnl"/>
        </w:rPr>
      </w:pPr>
      <w:r w:rsidRPr="00800F34">
        <w:rPr>
          <w:rFonts w:ascii="Bookman Old Style" w:hAnsi="Bookman Old Style"/>
          <w:color w:val="000000"/>
          <w:lang w:val="es-ES_tradnl"/>
        </w:rPr>
        <w:t>Mediante la Resolución CREG 0</w:t>
      </w:r>
      <w:r w:rsidR="00951EED">
        <w:rPr>
          <w:rFonts w:ascii="Bookman Old Style" w:hAnsi="Bookman Old Style"/>
          <w:color w:val="000000"/>
          <w:lang w:val="es-ES_tradnl"/>
        </w:rPr>
        <w:t>04 de 2021</w:t>
      </w:r>
      <w:r w:rsidRPr="00800F34">
        <w:rPr>
          <w:rFonts w:ascii="Bookman Old Style" w:hAnsi="Bookman Old Style"/>
          <w:color w:val="000000"/>
          <w:lang w:val="es-ES_tradnl"/>
        </w:rPr>
        <w:t xml:space="preserve"> la </w:t>
      </w:r>
      <w:r w:rsidR="001502BC">
        <w:rPr>
          <w:rFonts w:ascii="Bookman Old Style" w:hAnsi="Bookman Old Style"/>
          <w:color w:val="000000"/>
          <w:lang w:val="es-ES_tradnl"/>
        </w:rPr>
        <w:t>C</w:t>
      </w:r>
      <w:r w:rsidRPr="00800F34">
        <w:rPr>
          <w:rFonts w:ascii="Bookman Old Style" w:hAnsi="Bookman Old Style"/>
          <w:color w:val="000000"/>
          <w:lang w:val="es-ES_tradnl"/>
        </w:rPr>
        <w:t>omisión definió la metodología para el cálculo de la tasa de descuento que se aplicará en las actividades de transporte de gas natural, distribución de gas combustible, transporte de GLP por ductos, transmisión y distribución de energía eléctrica en el sistema interconectado nacional, y generación y distribución de energía eléctrica en zonas no interconectadas.</w:t>
      </w:r>
    </w:p>
    <w:p w14:paraId="47C0FACD" w14:textId="77777777" w:rsidR="00CF5EFC" w:rsidRPr="00F23AE8" w:rsidRDefault="00CF5EFC" w:rsidP="00CF5EFC">
      <w:pPr>
        <w:pStyle w:val="Textoindependiente2"/>
        <w:spacing w:after="0" w:line="240" w:lineRule="auto"/>
        <w:ind w:left="0"/>
        <w:jc w:val="both"/>
        <w:rPr>
          <w:rFonts w:ascii="Bookman Old Style" w:hAnsi="Bookman Old Style"/>
          <w:color w:val="000000"/>
          <w:lang w:val="es-ES_tradnl"/>
        </w:rPr>
      </w:pPr>
      <w:r w:rsidRPr="00F23AE8">
        <w:rPr>
          <w:rFonts w:ascii="Bookman Old Style" w:hAnsi="Bookman Old Style"/>
          <w:color w:val="000000"/>
          <w:lang w:val="es-ES_tradnl"/>
        </w:rPr>
        <w:t xml:space="preserve">A través del Decreto 2345 de 2015 se adicionó el Decreto Único Reglamentario del Sector Administrativo de Minas y Energía, 1073 de 2015, con lineamientos orientados a aumentar la confiabilidad y seguridad de abastecimiento de gas natural así: </w:t>
      </w:r>
    </w:p>
    <w:p w14:paraId="51626F8D" w14:textId="77777777" w:rsidR="00CF5EFC" w:rsidRPr="00F23AE8" w:rsidRDefault="00CF5EFC" w:rsidP="00CF5EFC">
      <w:pPr>
        <w:pStyle w:val="Textoindependiente2"/>
        <w:spacing w:after="0" w:line="240" w:lineRule="auto"/>
        <w:ind w:left="0"/>
        <w:jc w:val="both"/>
        <w:rPr>
          <w:rFonts w:ascii="Bookman Old Style" w:hAnsi="Bookman Old Style"/>
          <w:color w:val="000000"/>
          <w:lang w:val="es-ES_tradnl"/>
        </w:rPr>
      </w:pPr>
    </w:p>
    <w:p w14:paraId="485E4F56" w14:textId="7F3A7755" w:rsidR="00CF5EFC" w:rsidRDefault="00CF5EFC" w:rsidP="00CF5EFC">
      <w:pPr>
        <w:pStyle w:val="Textoindependiente2"/>
        <w:numPr>
          <w:ilvl w:val="0"/>
          <w:numId w:val="29"/>
        </w:numPr>
        <w:spacing w:after="0" w:line="240" w:lineRule="auto"/>
        <w:ind w:left="284" w:hanging="284"/>
        <w:jc w:val="both"/>
        <w:rPr>
          <w:rFonts w:ascii="Bookman Old Style" w:hAnsi="Bookman Old Style"/>
          <w:color w:val="000000"/>
          <w:lang w:val="es-ES_tradnl"/>
        </w:rPr>
      </w:pPr>
      <w:r w:rsidRPr="00F23AE8">
        <w:rPr>
          <w:rFonts w:ascii="Bookman Old Style" w:hAnsi="Bookman Old Style"/>
          <w:color w:val="000000"/>
          <w:lang w:val="es-ES_tradnl"/>
        </w:rPr>
        <w:t xml:space="preserve">El Artículo 2.2.2.1.4 define la confiabilidad como “la capacidad del sistema de producción, transporte, almacenamiento y distribución de gas natural de prestar el servicio sin interrupciones de corta duración ante fallas en la infraestructura” y adicionalmente define la seguridad de abastecimiento como “la capacidad del sistema de producción, transporte, almacenamiento y </w:t>
      </w:r>
      <w:r w:rsidRPr="00F23AE8">
        <w:rPr>
          <w:rFonts w:ascii="Bookman Old Style" w:hAnsi="Bookman Old Style"/>
          <w:color w:val="000000"/>
          <w:lang w:val="es-ES_tradnl"/>
        </w:rPr>
        <w:lastRenderedPageBreak/>
        <w:t>distribución de gas natural, bajo condiciones normales de operación, para atender la demanda en el mediano y largo plazo”.</w:t>
      </w:r>
    </w:p>
    <w:p w14:paraId="0100E4AE" w14:textId="77777777" w:rsidR="00DA3FA9" w:rsidRPr="00F23AE8" w:rsidRDefault="00DA3FA9" w:rsidP="00DA3FA9">
      <w:pPr>
        <w:pStyle w:val="Textoindependiente2"/>
        <w:spacing w:after="0" w:line="240" w:lineRule="auto"/>
        <w:ind w:left="284"/>
        <w:jc w:val="both"/>
        <w:rPr>
          <w:rFonts w:ascii="Bookman Old Style" w:hAnsi="Bookman Old Style"/>
          <w:color w:val="000000"/>
          <w:lang w:val="es-ES_tradnl"/>
        </w:rPr>
      </w:pPr>
    </w:p>
    <w:p w14:paraId="462CB4AE" w14:textId="77777777" w:rsidR="00DA3FA9" w:rsidRDefault="00CF5EFC" w:rsidP="00CF5EFC">
      <w:pPr>
        <w:pStyle w:val="Textoindependiente2"/>
        <w:numPr>
          <w:ilvl w:val="0"/>
          <w:numId w:val="29"/>
        </w:numPr>
        <w:spacing w:after="0" w:line="240" w:lineRule="auto"/>
        <w:ind w:left="284" w:hanging="284"/>
        <w:jc w:val="both"/>
        <w:rPr>
          <w:rFonts w:ascii="Bookman Old Style" w:hAnsi="Bookman Old Style"/>
          <w:color w:val="000000"/>
          <w:lang w:val="es-ES_tradnl"/>
        </w:rPr>
      </w:pPr>
      <w:r w:rsidRPr="00F23AE8">
        <w:rPr>
          <w:rFonts w:ascii="Bookman Old Style" w:hAnsi="Bookman Old Style"/>
          <w:color w:val="000000"/>
          <w:lang w:val="es-ES_tradnl"/>
        </w:rPr>
        <w:t>El Artículo 2.2.2.2.28 establece que “Con el objeto de identificar los proyectos necesarios para garantizar la seguridad de abastecimiento y la confiabilidad del servicio de gas natural, el Ministerio de Minas y Energía adoptará un Plan de Abastecimiento de Gas Natural para un período de diez (10) años”.</w:t>
      </w:r>
      <w:r>
        <w:rPr>
          <w:rFonts w:ascii="Bookman Old Style" w:hAnsi="Bookman Old Style"/>
          <w:color w:val="000000"/>
          <w:lang w:val="es-ES_tradnl"/>
        </w:rPr>
        <w:t xml:space="preserve"> En este Artículo también se establece que “En el lapso comprendido entre la expedición del presente decreto y la expedición del Plan de Abastecimiento de Gas Natural, el Ministerio de Minas y Energía podrá adoptar un Plan Transitorio de Abastecimiento, en el cual se incluyan los proyectos necesarios para garantizar la seguridad de abastecimiento y la confiabilidad del servicio de gas natural en el corto plazo”.  </w:t>
      </w:r>
    </w:p>
    <w:p w14:paraId="281EAF94" w14:textId="547B49D4" w:rsidR="00CF5EFC" w:rsidRPr="00F23AE8" w:rsidRDefault="00CF5EFC" w:rsidP="00DA3FA9">
      <w:pPr>
        <w:pStyle w:val="Textoindependiente2"/>
        <w:spacing w:after="0" w:line="240" w:lineRule="auto"/>
        <w:ind w:left="284"/>
        <w:jc w:val="both"/>
        <w:rPr>
          <w:rFonts w:ascii="Bookman Old Style" w:hAnsi="Bookman Old Style"/>
          <w:color w:val="000000"/>
          <w:lang w:val="es-ES_tradnl"/>
        </w:rPr>
      </w:pPr>
    </w:p>
    <w:p w14:paraId="6168C708" w14:textId="71EA8DD0" w:rsidR="00CF5EFC" w:rsidRDefault="00CF5EFC" w:rsidP="00CF5EFC">
      <w:pPr>
        <w:pStyle w:val="Textoindependiente2"/>
        <w:numPr>
          <w:ilvl w:val="0"/>
          <w:numId w:val="29"/>
        </w:numPr>
        <w:spacing w:after="0" w:line="240" w:lineRule="auto"/>
        <w:ind w:left="284" w:hanging="284"/>
        <w:jc w:val="both"/>
        <w:rPr>
          <w:rFonts w:ascii="Bookman Old Style" w:hAnsi="Bookman Old Style"/>
          <w:color w:val="000000"/>
          <w:lang w:val="es-ES_tradnl"/>
        </w:rPr>
      </w:pPr>
      <w:r w:rsidRPr="00F23AE8">
        <w:rPr>
          <w:rFonts w:ascii="Bookman Old Style" w:hAnsi="Bookman Old Style"/>
          <w:color w:val="000000"/>
          <w:lang w:val="es-ES_tradnl"/>
        </w:rPr>
        <w:t>El Artículo 2.2.2.2.29 establece que la CREG deberá expedir regulación aplicable a los proyectos incluidos en el plan de abastecimiento de gas natural.</w:t>
      </w:r>
      <w:r>
        <w:rPr>
          <w:rFonts w:ascii="Bookman Old Style" w:hAnsi="Bookman Old Style"/>
          <w:color w:val="000000"/>
          <w:lang w:val="es-ES_tradnl"/>
        </w:rPr>
        <w:t xml:space="preserve"> En particular en el numeral 1 de este Artículo se establece que la CREG debe adoptar los “Criterios para definir cuáles proyectos del Plan de Abastecimiento de Gas Natural podrán ser desarrollados, en primera instancia, por un agente como complemento de su infraestructura existente y cuáles se realizarán exclusivamente mediante mecanismos abiertos y competitivos”. </w:t>
      </w:r>
    </w:p>
    <w:p w14:paraId="577A7DB5" w14:textId="77777777" w:rsidR="00DA3FA9" w:rsidRDefault="00DA3FA9" w:rsidP="00DA3FA9">
      <w:pPr>
        <w:pStyle w:val="Prrafodelista"/>
        <w:rPr>
          <w:rFonts w:ascii="Bookman Old Style" w:hAnsi="Bookman Old Style"/>
          <w:color w:val="000000"/>
          <w:lang w:val="es-ES_tradnl"/>
        </w:rPr>
      </w:pPr>
    </w:p>
    <w:p w14:paraId="57266A6F" w14:textId="51ABDB94" w:rsidR="00CF5EFC" w:rsidRDefault="00CF5EFC" w:rsidP="00CF5EFC">
      <w:pPr>
        <w:pStyle w:val="Textoindependiente2"/>
        <w:numPr>
          <w:ilvl w:val="0"/>
          <w:numId w:val="29"/>
        </w:numPr>
        <w:spacing w:after="0" w:line="240" w:lineRule="auto"/>
        <w:ind w:left="284" w:hanging="284"/>
        <w:jc w:val="both"/>
        <w:rPr>
          <w:rFonts w:ascii="Bookman Old Style" w:hAnsi="Bookman Old Style"/>
          <w:color w:val="000000"/>
          <w:lang w:val="es-ES_tradnl"/>
        </w:rPr>
      </w:pPr>
      <w:r w:rsidRPr="00F23AE8">
        <w:rPr>
          <w:rFonts w:ascii="Bookman Old Style" w:hAnsi="Bookman Old Style"/>
          <w:color w:val="000000"/>
          <w:lang w:val="es-ES_tradnl"/>
        </w:rPr>
        <w:t xml:space="preserve">El Artículo 2.2.2.2.29 también establece la posibilidad de realizar proyectos del plan de abastecimiento de gas natural a través de mecanismos abiertos y competitivos. </w:t>
      </w:r>
    </w:p>
    <w:p w14:paraId="12376AF2" w14:textId="77777777" w:rsidR="00DA3FA9" w:rsidRDefault="00DA3FA9" w:rsidP="00DA3FA9">
      <w:pPr>
        <w:pStyle w:val="Prrafodelista"/>
        <w:rPr>
          <w:rFonts w:ascii="Bookman Old Style" w:hAnsi="Bookman Old Style"/>
          <w:color w:val="000000"/>
          <w:lang w:val="es-ES_tradnl"/>
        </w:rPr>
      </w:pPr>
    </w:p>
    <w:p w14:paraId="34F29F0D" w14:textId="77777777" w:rsidR="00CF5EFC" w:rsidRPr="00F23AE8" w:rsidRDefault="00CF5EFC" w:rsidP="00CF5EFC">
      <w:pPr>
        <w:pStyle w:val="Textoindependiente2"/>
        <w:numPr>
          <w:ilvl w:val="0"/>
          <w:numId w:val="29"/>
        </w:numPr>
        <w:spacing w:after="0" w:line="240" w:lineRule="auto"/>
        <w:ind w:left="284" w:hanging="284"/>
        <w:jc w:val="both"/>
        <w:rPr>
          <w:rFonts w:ascii="Bookman Old Style" w:hAnsi="Bookman Old Style"/>
          <w:color w:val="000000"/>
          <w:lang w:val="es-ES_tradnl"/>
        </w:rPr>
      </w:pPr>
      <w:r w:rsidRPr="00F23AE8">
        <w:rPr>
          <w:rFonts w:ascii="Bookman Old Style" w:hAnsi="Bookman Old Style"/>
          <w:color w:val="000000"/>
          <w:lang w:val="es-ES_tradnl"/>
        </w:rPr>
        <w:t xml:space="preserve">El parágrafo del Artículo 2.2.2.2.29 establece que “La UPME será responsable de la aplicación de los mecanismos abiertos y competitivos a los que se refiere este artículo”. </w:t>
      </w:r>
    </w:p>
    <w:p w14:paraId="5ACC8692" w14:textId="77777777" w:rsidR="00CF5EFC" w:rsidRPr="00F23AE8" w:rsidRDefault="00CF5EFC" w:rsidP="00CF5EFC">
      <w:pPr>
        <w:pStyle w:val="Textoindependiente2"/>
        <w:spacing w:after="0" w:line="240" w:lineRule="auto"/>
        <w:ind w:left="0"/>
        <w:jc w:val="both"/>
        <w:rPr>
          <w:rFonts w:ascii="Bookman Old Style" w:hAnsi="Bookman Old Style"/>
          <w:color w:val="000000"/>
          <w:lang w:val="es-ES_tradnl"/>
        </w:rPr>
      </w:pPr>
    </w:p>
    <w:p w14:paraId="73536880" w14:textId="77777777" w:rsidR="00CF5EFC" w:rsidRPr="00F23AE8" w:rsidRDefault="00CF5EFC" w:rsidP="00CF5EFC">
      <w:pPr>
        <w:pStyle w:val="Textoindependiente2"/>
        <w:spacing w:after="0" w:line="240" w:lineRule="auto"/>
        <w:ind w:left="0"/>
        <w:jc w:val="both"/>
        <w:rPr>
          <w:rFonts w:ascii="Bookman Old Style" w:hAnsi="Bookman Old Style"/>
          <w:color w:val="000000"/>
          <w:lang w:val="es-ES_tradnl"/>
        </w:rPr>
      </w:pPr>
      <w:r w:rsidRPr="00F23AE8">
        <w:rPr>
          <w:rFonts w:ascii="Bookman Old Style" w:hAnsi="Bookman Old Style"/>
          <w:color w:val="000000"/>
          <w:lang w:val="es-ES_tradnl"/>
        </w:rPr>
        <w:t xml:space="preserve">Con posterioridad mediante la expedición de la Resolución 40052 de 2016 por parte del Ministerio de Minas y Energía se desarrolló el Artículo 2.2.2.2.28 del Decreto 1073 de 2015, modificado por el Artículo 4 del Decreto 2345 de 2015, y dictó otras disposiciones. </w:t>
      </w:r>
    </w:p>
    <w:p w14:paraId="61DCF20E" w14:textId="77777777" w:rsidR="00CF5EFC" w:rsidRPr="00F23AE8" w:rsidRDefault="00CF5EFC" w:rsidP="00CF5EFC">
      <w:pPr>
        <w:pStyle w:val="Textoindependiente2"/>
        <w:spacing w:after="0" w:line="240" w:lineRule="auto"/>
        <w:ind w:left="0"/>
        <w:jc w:val="both"/>
        <w:rPr>
          <w:rFonts w:ascii="Bookman Old Style" w:hAnsi="Bookman Old Style"/>
          <w:color w:val="000000"/>
          <w:lang w:val="es-ES_tradnl"/>
        </w:rPr>
      </w:pPr>
    </w:p>
    <w:p w14:paraId="743EF127" w14:textId="77777777" w:rsidR="00CF5EFC" w:rsidRPr="00F23AE8" w:rsidRDefault="00CF5EFC" w:rsidP="00CF5EFC">
      <w:pPr>
        <w:pStyle w:val="Textoindependiente2"/>
        <w:spacing w:after="0" w:line="240" w:lineRule="auto"/>
        <w:ind w:left="0"/>
        <w:jc w:val="both"/>
        <w:rPr>
          <w:rFonts w:ascii="Bookman Old Style" w:hAnsi="Bookman Old Style"/>
          <w:color w:val="000000"/>
          <w:lang w:val="es-ES_tradnl"/>
        </w:rPr>
      </w:pPr>
      <w:r w:rsidRPr="00F23AE8">
        <w:rPr>
          <w:rFonts w:ascii="Bookman Old Style" w:hAnsi="Bookman Old Style"/>
          <w:color w:val="000000"/>
          <w:lang w:val="es-ES_tradnl"/>
        </w:rPr>
        <w:t xml:space="preserve">En el Artículo 1 de la Resolución 40052 de 2016 se establece, entre otros aspectos, que: </w:t>
      </w:r>
    </w:p>
    <w:p w14:paraId="2DB65EDA" w14:textId="77777777" w:rsidR="00CF5EFC" w:rsidRPr="00F23AE8" w:rsidRDefault="00CF5EFC" w:rsidP="00CF5EFC">
      <w:pPr>
        <w:pStyle w:val="Textoindependiente2"/>
        <w:spacing w:after="0" w:line="240" w:lineRule="auto"/>
        <w:ind w:left="0"/>
        <w:jc w:val="both"/>
        <w:rPr>
          <w:rFonts w:ascii="Bookman Old Style" w:hAnsi="Bookman Old Style"/>
          <w:color w:val="000000"/>
          <w:lang w:val="es-ES_tradnl"/>
        </w:rPr>
      </w:pPr>
    </w:p>
    <w:p w14:paraId="4861AA6F" w14:textId="77777777" w:rsidR="00CF5EFC" w:rsidRPr="00F23AE8" w:rsidRDefault="00CF5EFC" w:rsidP="00CF5EFC">
      <w:pPr>
        <w:pStyle w:val="Textoindependiente2"/>
        <w:numPr>
          <w:ilvl w:val="0"/>
          <w:numId w:val="24"/>
        </w:numPr>
        <w:spacing w:after="0" w:line="240" w:lineRule="auto"/>
        <w:ind w:left="426" w:hanging="426"/>
        <w:jc w:val="both"/>
        <w:rPr>
          <w:rFonts w:ascii="Bookman Old Style" w:hAnsi="Bookman Old Style"/>
          <w:color w:val="000000"/>
          <w:lang w:val="es-ES_tradnl"/>
        </w:rPr>
      </w:pPr>
      <w:r w:rsidRPr="00F23AE8">
        <w:rPr>
          <w:rFonts w:ascii="Bookman Old Style" w:hAnsi="Bookman Old Style"/>
          <w:color w:val="000000"/>
          <w:lang w:val="es-ES_tradnl"/>
        </w:rPr>
        <w:t>“Para la adopción del Plan de Abastecimiento de Gas Natural el Ministerio de Minas y Energía tendrá en cuenta el estudio técnico que deberá elaborar la Unidad de Planeación Minero Energética (UPME)”</w:t>
      </w:r>
    </w:p>
    <w:p w14:paraId="65D44AF9" w14:textId="77777777" w:rsidR="00CF5EFC" w:rsidRPr="00F23AE8" w:rsidRDefault="00CF5EFC" w:rsidP="00CF5EFC">
      <w:pPr>
        <w:pStyle w:val="Textoindependiente2"/>
        <w:spacing w:after="0" w:line="240" w:lineRule="auto"/>
        <w:ind w:left="426"/>
        <w:jc w:val="both"/>
        <w:rPr>
          <w:rFonts w:ascii="Bookman Old Style" w:hAnsi="Bookman Old Style"/>
          <w:color w:val="000000"/>
          <w:lang w:val="es-ES_tradnl"/>
        </w:rPr>
      </w:pPr>
    </w:p>
    <w:p w14:paraId="1C4D2CD1" w14:textId="77777777" w:rsidR="00CF5EFC" w:rsidRPr="00F23AE8" w:rsidRDefault="00CF5EFC" w:rsidP="00CF5EFC">
      <w:pPr>
        <w:pStyle w:val="Textoindependiente2"/>
        <w:numPr>
          <w:ilvl w:val="0"/>
          <w:numId w:val="24"/>
        </w:numPr>
        <w:spacing w:after="0" w:line="240" w:lineRule="auto"/>
        <w:ind w:left="426" w:hanging="426"/>
        <w:jc w:val="both"/>
        <w:rPr>
          <w:rFonts w:ascii="Bookman Old Style" w:hAnsi="Bookman Old Style"/>
          <w:color w:val="000000"/>
          <w:lang w:val="es-ES_tradnl"/>
        </w:rPr>
      </w:pPr>
      <w:r w:rsidRPr="00F23AE8">
        <w:rPr>
          <w:rFonts w:ascii="Bookman Old Style" w:hAnsi="Bookman Old Style"/>
          <w:color w:val="000000"/>
          <w:lang w:val="es-ES_tradnl"/>
        </w:rPr>
        <w:t>“En el estudio técnico se deberán considerar proyectos asociados a infraestructura para importación, almacenamiento, aumento de la capacidad de transporte, extensión de los sistemas de transporte, redundancias en gasoductos, redundancias en sistemas de compresión, conexiones entre sistemas de transporte, entre otros”.</w:t>
      </w:r>
    </w:p>
    <w:p w14:paraId="57BD1927" w14:textId="77777777" w:rsidR="00CF5EFC" w:rsidRPr="00F23AE8" w:rsidRDefault="00CF5EFC" w:rsidP="00CF5EFC">
      <w:pPr>
        <w:pStyle w:val="Textoindependiente2"/>
        <w:spacing w:after="0" w:line="240" w:lineRule="auto"/>
        <w:ind w:left="426"/>
        <w:jc w:val="both"/>
        <w:rPr>
          <w:rFonts w:ascii="Bookman Old Style" w:hAnsi="Bookman Old Style"/>
          <w:color w:val="000000"/>
          <w:lang w:val="es-ES_tradnl"/>
        </w:rPr>
      </w:pPr>
    </w:p>
    <w:p w14:paraId="0C7AD519" w14:textId="77777777" w:rsidR="00CF5EFC" w:rsidRPr="00F23AE8" w:rsidRDefault="00CF5EFC" w:rsidP="00CF5EFC">
      <w:pPr>
        <w:pStyle w:val="Textoindependiente2"/>
        <w:numPr>
          <w:ilvl w:val="0"/>
          <w:numId w:val="24"/>
        </w:numPr>
        <w:spacing w:after="0" w:line="240" w:lineRule="auto"/>
        <w:ind w:left="426" w:hanging="426"/>
        <w:jc w:val="both"/>
        <w:rPr>
          <w:rFonts w:ascii="Bookman Old Style" w:hAnsi="Bookman Old Style"/>
          <w:color w:val="000000"/>
          <w:lang w:val="es-ES_tradnl"/>
        </w:rPr>
      </w:pPr>
      <w:r w:rsidRPr="00F23AE8">
        <w:rPr>
          <w:rFonts w:ascii="Bookman Old Style" w:hAnsi="Bookman Old Style"/>
          <w:color w:val="000000"/>
          <w:lang w:val="es-ES_tradnl"/>
        </w:rPr>
        <w:t>El estudio técnico que elabore la UPME contendrá la “identificación de los beneficiarios de cada proyecto”.</w:t>
      </w:r>
    </w:p>
    <w:p w14:paraId="5F4DD115" w14:textId="77777777" w:rsidR="00CF5EFC" w:rsidRDefault="00CF5EFC" w:rsidP="00CF5EFC">
      <w:pPr>
        <w:pStyle w:val="Textoindependiente2"/>
        <w:spacing w:after="0" w:line="240" w:lineRule="auto"/>
        <w:ind w:left="0"/>
        <w:jc w:val="both"/>
        <w:rPr>
          <w:rFonts w:ascii="Bookman Old Style" w:hAnsi="Bookman Old Style"/>
          <w:color w:val="000000"/>
          <w:lang w:val="es-ES_tradnl"/>
        </w:rPr>
      </w:pPr>
    </w:p>
    <w:p w14:paraId="475B0AE4" w14:textId="378886FC" w:rsidR="00CF5EFC" w:rsidRDefault="00CF5EFC" w:rsidP="00800F34">
      <w:pPr>
        <w:pStyle w:val="Textoindependiente2"/>
        <w:spacing w:line="240" w:lineRule="auto"/>
        <w:ind w:left="0"/>
        <w:jc w:val="both"/>
        <w:rPr>
          <w:rFonts w:ascii="Bookman Old Style" w:hAnsi="Bookman Old Style"/>
          <w:color w:val="000000"/>
          <w:lang w:val="es-ES_tradnl"/>
        </w:rPr>
      </w:pPr>
      <w:r>
        <w:rPr>
          <w:rFonts w:ascii="Bookman Old Style" w:hAnsi="Bookman Old Style"/>
          <w:color w:val="000000"/>
          <w:lang w:val="es-ES_tradnl"/>
        </w:rPr>
        <w:t>Mediante la Resolución CREG</w:t>
      </w:r>
      <w:r w:rsidR="00FF6FD0">
        <w:rPr>
          <w:rFonts w:ascii="Bookman Old Style" w:hAnsi="Bookman Old Style"/>
          <w:color w:val="000000"/>
          <w:lang w:val="es-ES_tradnl"/>
        </w:rPr>
        <w:t xml:space="preserve"> 107 </w:t>
      </w:r>
      <w:r w:rsidR="000D4FE1">
        <w:rPr>
          <w:rFonts w:ascii="Bookman Old Style" w:hAnsi="Bookman Old Style"/>
          <w:color w:val="000000"/>
          <w:lang w:val="es-ES_tradnl"/>
        </w:rPr>
        <w:t>de 2017</w:t>
      </w:r>
      <w:r w:rsidRPr="004B3B4B">
        <w:rPr>
          <w:rFonts w:ascii="Bookman Old Style" w:hAnsi="Bookman Old Style"/>
        </w:rPr>
        <w:t xml:space="preserve">, </w:t>
      </w:r>
      <w:r w:rsidRPr="0031321A">
        <w:rPr>
          <w:rFonts w:ascii="Bookman Old Style" w:hAnsi="Bookman Old Style"/>
        </w:rPr>
        <w:t xml:space="preserve">“Por la cual se establecen los procedimientos que se deben seguir para </w:t>
      </w:r>
      <w:r>
        <w:rPr>
          <w:rFonts w:ascii="Bookman Old Style" w:hAnsi="Bookman Old Style"/>
        </w:rPr>
        <w:t xml:space="preserve">ejecutar proyectos del plan de </w:t>
      </w:r>
      <w:r w:rsidRPr="00800F34">
        <w:rPr>
          <w:rFonts w:ascii="Bookman Old Style" w:hAnsi="Bookman Old Style"/>
          <w:color w:val="000000"/>
          <w:lang w:val="es-ES_tradnl"/>
        </w:rPr>
        <w:t>abastecimiento de gas natural mediante procesos de selección”</w:t>
      </w:r>
      <w:r w:rsidR="006333D4">
        <w:rPr>
          <w:rFonts w:ascii="Bookman Old Style" w:hAnsi="Bookman Old Style"/>
          <w:color w:val="000000"/>
          <w:lang w:val="es-ES_tradnl"/>
        </w:rPr>
        <w:t xml:space="preserve">, </w:t>
      </w:r>
      <w:r w:rsidR="007B2C38">
        <w:rPr>
          <w:rFonts w:ascii="Bookman Old Style" w:hAnsi="Bookman Old Style"/>
          <w:color w:val="000000"/>
          <w:lang w:val="es-ES_tradnl"/>
        </w:rPr>
        <w:t xml:space="preserve">se establecieron </w:t>
      </w:r>
      <w:r w:rsidR="007B2C38" w:rsidRPr="007B2C38">
        <w:rPr>
          <w:rFonts w:ascii="Bookman Old Style" w:hAnsi="Bookman Old Style"/>
          <w:color w:val="000000"/>
          <w:lang w:val="es-ES_tradnl"/>
        </w:rPr>
        <w:t xml:space="preserve">los mecanismos centralizados dentro de los cuales se debe adelantar la ejecución de proyectos prioritarios del </w:t>
      </w:r>
      <w:r w:rsidR="002E4077">
        <w:rPr>
          <w:rFonts w:ascii="Bookman Old Style" w:hAnsi="Bookman Old Style"/>
          <w:color w:val="000000"/>
          <w:lang w:val="es-ES_tradnl"/>
        </w:rPr>
        <w:t>P</w:t>
      </w:r>
      <w:r w:rsidR="007B2C38" w:rsidRPr="007B2C38">
        <w:rPr>
          <w:rFonts w:ascii="Bookman Old Style" w:hAnsi="Bookman Old Style"/>
          <w:color w:val="000000"/>
          <w:lang w:val="es-ES_tradnl"/>
        </w:rPr>
        <w:t xml:space="preserve">lan de </w:t>
      </w:r>
      <w:r w:rsidR="002E4077">
        <w:rPr>
          <w:rFonts w:ascii="Bookman Old Style" w:hAnsi="Bookman Old Style"/>
          <w:color w:val="000000"/>
          <w:lang w:val="es-ES_tradnl"/>
        </w:rPr>
        <w:t>A</w:t>
      </w:r>
      <w:r w:rsidR="007B2C38" w:rsidRPr="007B2C38">
        <w:rPr>
          <w:rFonts w:ascii="Bookman Old Style" w:hAnsi="Bookman Old Style"/>
          <w:color w:val="000000"/>
          <w:lang w:val="es-ES_tradnl"/>
        </w:rPr>
        <w:t xml:space="preserve">bastecimiento de </w:t>
      </w:r>
      <w:r w:rsidR="002E4077">
        <w:rPr>
          <w:rFonts w:ascii="Bookman Old Style" w:hAnsi="Bookman Old Style"/>
          <w:color w:val="000000"/>
          <w:lang w:val="es-ES_tradnl"/>
        </w:rPr>
        <w:t>G</w:t>
      </w:r>
      <w:r w:rsidR="007B2C38" w:rsidRPr="007B2C38">
        <w:rPr>
          <w:rFonts w:ascii="Bookman Old Style" w:hAnsi="Bookman Old Style"/>
          <w:color w:val="000000"/>
          <w:lang w:val="es-ES_tradnl"/>
        </w:rPr>
        <w:t xml:space="preserve">as </w:t>
      </w:r>
      <w:r w:rsidR="002E4077">
        <w:rPr>
          <w:rFonts w:ascii="Bookman Old Style" w:hAnsi="Bookman Old Style"/>
          <w:color w:val="000000"/>
          <w:lang w:val="es-ES_tradnl"/>
        </w:rPr>
        <w:t>N</w:t>
      </w:r>
      <w:r w:rsidR="007B2C38" w:rsidRPr="007B2C38">
        <w:rPr>
          <w:rFonts w:ascii="Bookman Old Style" w:hAnsi="Bookman Old Style"/>
          <w:color w:val="000000"/>
          <w:lang w:val="es-ES_tradnl"/>
        </w:rPr>
        <w:t>atural</w:t>
      </w:r>
      <w:r w:rsidR="002E4077">
        <w:rPr>
          <w:rFonts w:ascii="Bookman Old Style" w:hAnsi="Bookman Old Style"/>
          <w:color w:val="000000"/>
          <w:lang w:val="es-ES_tradnl"/>
        </w:rPr>
        <w:t xml:space="preserve"> -PAGN</w:t>
      </w:r>
      <w:r w:rsidR="007B2C38" w:rsidRPr="007B2C38">
        <w:rPr>
          <w:rFonts w:ascii="Bookman Old Style" w:hAnsi="Bookman Old Style"/>
          <w:color w:val="000000"/>
          <w:lang w:val="es-ES_tradnl"/>
        </w:rPr>
        <w:t>, o del plan transitorio de abastecimiento de gas natural, adoptado por el Ministerio de Minas y Energía. Se aplicará a todos los participantes del mercado de gas natural, a los interesados en participar en los procesos de selección y a los demás agentes y usuarios beneficiarios del servicio de gas natural</w:t>
      </w:r>
      <w:r w:rsidRPr="00800F34">
        <w:rPr>
          <w:rFonts w:ascii="Bookman Old Style" w:hAnsi="Bookman Old Style"/>
          <w:color w:val="000000"/>
          <w:lang w:val="es-ES_tradnl"/>
        </w:rPr>
        <w:t>.</w:t>
      </w:r>
    </w:p>
    <w:p w14:paraId="2E827A17" w14:textId="6E4CC01F" w:rsidR="00C81A69" w:rsidRDefault="00C81A69" w:rsidP="00C81A69">
      <w:pPr>
        <w:pStyle w:val="Textoindependiente2"/>
        <w:spacing w:after="0" w:line="240" w:lineRule="auto"/>
        <w:ind w:left="0"/>
        <w:jc w:val="both"/>
        <w:rPr>
          <w:rFonts w:ascii="Bookman Old Style" w:hAnsi="Bookman Old Style" w:cs="Arial"/>
          <w:color w:val="000000"/>
        </w:rPr>
      </w:pPr>
      <w:r w:rsidRPr="00BB17D5">
        <w:rPr>
          <w:rFonts w:ascii="Bookman Old Style" w:hAnsi="Bookman Old Style" w:cs="Arial"/>
          <w:color w:val="000000"/>
        </w:rPr>
        <w:t>Mediante la Resolución CREG 1</w:t>
      </w:r>
      <w:r w:rsidR="00607541">
        <w:rPr>
          <w:rFonts w:ascii="Bookman Old Style" w:hAnsi="Bookman Old Style" w:cs="Arial"/>
          <w:color w:val="000000"/>
        </w:rPr>
        <w:t>86 de 2020</w:t>
      </w:r>
      <w:r w:rsidRPr="00BB17D5">
        <w:rPr>
          <w:rFonts w:ascii="Bookman Old Style" w:hAnsi="Bookman Old Style" w:cs="Arial"/>
          <w:color w:val="000000"/>
        </w:rPr>
        <w:t xml:space="preserve"> y aquellas que la modifiquen o sustituyan, </w:t>
      </w:r>
      <w:r w:rsidR="00880009">
        <w:rPr>
          <w:rFonts w:ascii="Bookman Old Style" w:hAnsi="Bookman Old Style" w:cs="Arial"/>
          <w:color w:val="000000"/>
        </w:rPr>
        <w:t>esta Comisión</w:t>
      </w:r>
      <w:r w:rsidRPr="00BB17D5">
        <w:rPr>
          <w:rFonts w:ascii="Bookman Old Style" w:hAnsi="Bookman Old Style" w:cs="Arial"/>
          <w:color w:val="000000"/>
        </w:rPr>
        <w:t xml:space="preserve"> expidió disposiciones relacionadas con los aspectos comerciales del mercado mayorista de gas natural, que hacen parte del reglamento de operación de gas natural. La resolución mencionada contiene el conjunto de disposiciones aplicables a las negociaciones del suministro y del transporte del gas natural utilizado efectivamente como combustible que se realicen en el mercado primario y en el mercado secundario.</w:t>
      </w:r>
    </w:p>
    <w:p w14:paraId="11735C8D" w14:textId="77777777" w:rsidR="00F53BA2" w:rsidRPr="00BB17D5" w:rsidRDefault="00F53BA2" w:rsidP="00C81A69">
      <w:pPr>
        <w:pStyle w:val="Textoindependiente2"/>
        <w:spacing w:after="0" w:line="240" w:lineRule="auto"/>
        <w:ind w:left="0"/>
        <w:jc w:val="both"/>
        <w:rPr>
          <w:rFonts w:ascii="Bookman Old Style" w:hAnsi="Bookman Old Style" w:cs="Arial"/>
          <w:color w:val="000000"/>
        </w:rPr>
      </w:pPr>
    </w:p>
    <w:p w14:paraId="5D9AE43C" w14:textId="77777777" w:rsidR="0045649F" w:rsidRPr="0005244A" w:rsidRDefault="0045649F" w:rsidP="0045649F">
      <w:pPr>
        <w:pStyle w:val="Textoindependiente2"/>
        <w:spacing w:after="0" w:line="240" w:lineRule="auto"/>
        <w:ind w:left="0"/>
        <w:jc w:val="both"/>
        <w:rPr>
          <w:rFonts w:ascii="Bookman Old Style" w:hAnsi="Bookman Old Style"/>
          <w:color w:val="000000"/>
          <w:lang w:val="es-CO"/>
        </w:rPr>
      </w:pPr>
      <w:r w:rsidRPr="0005244A">
        <w:rPr>
          <w:rFonts w:ascii="Bookman Old Style" w:hAnsi="Bookman Old Style"/>
          <w:color w:val="000000"/>
          <w:lang w:val="es-419"/>
        </w:rPr>
        <w:t>E</w:t>
      </w:r>
      <w:r w:rsidRPr="0005244A">
        <w:rPr>
          <w:rFonts w:ascii="Bookman Old Style" w:hAnsi="Bookman Old Style"/>
          <w:color w:val="000000"/>
          <w:lang w:val="es-CO"/>
        </w:rPr>
        <w:t xml:space="preserve">n el numeral 1.1 del </w:t>
      </w:r>
      <w:r w:rsidRPr="0005244A">
        <w:rPr>
          <w:rFonts w:ascii="Bookman Old Style" w:hAnsi="Bookman Old Style"/>
          <w:color w:val="000000"/>
          <w:lang w:val="es-419"/>
        </w:rPr>
        <w:t xml:space="preserve">artículo 1 de la </w:t>
      </w:r>
      <w:r>
        <w:rPr>
          <w:rFonts w:ascii="Bookman Old Style" w:hAnsi="Bookman Old Style"/>
          <w:color w:val="000000"/>
          <w:lang w:val="es-419"/>
        </w:rPr>
        <w:t>R</w:t>
      </w:r>
      <w:r w:rsidRPr="0005244A">
        <w:rPr>
          <w:rFonts w:ascii="Bookman Old Style" w:hAnsi="Bookman Old Style"/>
          <w:color w:val="000000"/>
          <w:lang w:val="es-419"/>
        </w:rPr>
        <w:t>esolución</w:t>
      </w:r>
      <w:r w:rsidRPr="0005244A">
        <w:rPr>
          <w:rFonts w:ascii="Bookman Old Style" w:hAnsi="Bookman Old Style"/>
          <w:color w:val="000000"/>
          <w:lang w:val="es-CO"/>
        </w:rPr>
        <w:t xml:space="preserve"> </w:t>
      </w:r>
      <w:r w:rsidRPr="0005244A">
        <w:rPr>
          <w:rFonts w:ascii="Bookman Old Style" w:hAnsi="Bookman Old Style"/>
          <w:color w:val="000000"/>
          <w:lang w:val="es-419"/>
        </w:rPr>
        <w:t>40304 de 2020</w:t>
      </w:r>
      <w:r w:rsidRPr="0005244A">
        <w:rPr>
          <w:rFonts w:ascii="Bookman Old Style" w:hAnsi="Bookman Old Style"/>
          <w:color w:val="000000"/>
          <w:lang w:val="es-CO"/>
        </w:rPr>
        <w:t xml:space="preserve"> se incluyen los proyectos embebidos en la infraestructura de un sistema de transporte existente, y las fechas en las que cada proyecto debe entrar en operación:</w:t>
      </w:r>
    </w:p>
    <w:p w14:paraId="1A32AC50" w14:textId="77777777" w:rsidR="0045649F" w:rsidRPr="0005244A" w:rsidRDefault="0045649F" w:rsidP="0045649F">
      <w:pPr>
        <w:pStyle w:val="Textoindependiente2"/>
        <w:spacing w:after="0" w:line="240" w:lineRule="auto"/>
        <w:ind w:left="0"/>
        <w:jc w:val="both"/>
        <w:rPr>
          <w:rFonts w:ascii="Bookman Old Style" w:hAnsi="Bookman Old Style"/>
          <w:color w:val="000000"/>
          <w:lang w:val="es-C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4962"/>
        <w:gridCol w:w="2460"/>
      </w:tblGrid>
      <w:tr w:rsidR="0045649F" w:rsidRPr="0005244A" w14:paraId="3048962B" w14:textId="77777777" w:rsidTr="001A39BF">
        <w:trPr>
          <w:jc w:val="center"/>
        </w:trPr>
        <w:tc>
          <w:tcPr>
            <w:tcW w:w="1220" w:type="dxa"/>
            <w:shd w:val="clear" w:color="auto" w:fill="auto"/>
            <w:vAlign w:val="center"/>
          </w:tcPr>
          <w:p w14:paraId="25093CBA" w14:textId="77777777" w:rsidR="0045649F" w:rsidRPr="000808EB" w:rsidRDefault="0045649F" w:rsidP="001A39BF">
            <w:pPr>
              <w:ind w:left="29"/>
              <w:jc w:val="center"/>
              <w:rPr>
                <w:rFonts w:ascii="Bookman Old Style" w:hAnsi="Bookman Old Style"/>
                <w:b/>
              </w:rPr>
            </w:pPr>
            <w:r w:rsidRPr="000808EB">
              <w:rPr>
                <w:rFonts w:ascii="Bookman Old Style" w:hAnsi="Bookman Old Style"/>
                <w:b/>
              </w:rPr>
              <w:t>Número</w:t>
            </w:r>
          </w:p>
        </w:tc>
        <w:tc>
          <w:tcPr>
            <w:tcW w:w="4962" w:type="dxa"/>
            <w:shd w:val="clear" w:color="auto" w:fill="auto"/>
            <w:vAlign w:val="center"/>
          </w:tcPr>
          <w:p w14:paraId="6E6B5FDE" w14:textId="77777777" w:rsidR="0045649F" w:rsidRPr="000808EB" w:rsidRDefault="0045649F" w:rsidP="001A39BF">
            <w:pPr>
              <w:ind w:left="134"/>
              <w:jc w:val="center"/>
              <w:rPr>
                <w:rFonts w:ascii="Bookman Old Style" w:hAnsi="Bookman Old Style"/>
                <w:b/>
              </w:rPr>
            </w:pPr>
            <w:r w:rsidRPr="000808EB">
              <w:rPr>
                <w:rFonts w:ascii="Bookman Old Style" w:hAnsi="Bookman Old Style"/>
                <w:b/>
              </w:rPr>
              <w:t>Proyecto</w:t>
            </w:r>
          </w:p>
        </w:tc>
        <w:tc>
          <w:tcPr>
            <w:tcW w:w="2460" w:type="dxa"/>
            <w:shd w:val="clear" w:color="auto" w:fill="auto"/>
            <w:vAlign w:val="center"/>
          </w:tcPr>
          <w:p w14:paraId="2849BF9C" w14:textId="77777777" w:rsidR="0045649F" w:rsidRPr="000808EB" w:rsidRDefault="0045649F" w:rsidP="001A39BF">
            <w:pPr>
              <w:ind w:left="104"/>
              <w:jc w:val="center"/>
              <w:rPr>
                <w:rFonts w:ascii="Bookman Old Style" w:hAnsi="Bookman Old Style"/>
                <w:b/>
              </w:rPr>
            </w:pPr>
            <w:r w:rsidRPr="000808EB">
              <w:rPr>
                <w:rFonts w:ascii="Bookman Old Style" w:hAnsi="Bookman Old Style"/>
                <w:b/>
              </w:rPr>
              <w:t>Año y mes de entrada en operación</w:t>
            </w:r>
          </w:p>
        </w:tc>
      </w:tr>
      <w:tr w:rsidR="0045649F" w:rsidRPr="0005244A" w14:paraId="734D095A" w14:textId="77777777" w:rsidTr="001A39BF">
        <w:trPr>
          <w:jc w:val="center"/>
        </w:trPr>
        <w:tc>
          <w:tcPr>
            <w:tcW w:w="1220" w:type="dxa"/>
            <w:shd w:val="clear" w:color="auto" w:fill="auto"/>
            <w:vAlign w:val="center"/>
          </w:tcPr>
          <w:p w14:paraId="6BB5C8EF" w14:textId="77777777" w:rsidR="0045649F" w:rsidRPr="00A836F7" w:rsidRDefault="0045649F" w:rsidP="001A39BF">
            <w:pPr>
              <w:ind w:left="29"/>
              <w:jc w:val="center"/>
              <w:rPr>
                <w:rFonts w:ascii="Bookman Old Style" w:hAnsi="Bookman Old Style"/>
              </w:rPr>
            </w:pPr>
            <w:r w:rsidRPr="00A836F7">
              <w:rPr>
                <w:rFonts w:ascii="Bookman Old Style" w:hAnsi="Bookman Old Style"/>
              </w:rPr>
              <w:t xml:space="preserve"> i</w:t>
            </w:r>
          </w:p>
        </w:tc>
        <w:tc>
          <w:tcPr>
            <w:tcW w:w="4962" w:type="dxa"/>
            <w:shd w:val="clear" w:color="auto" w:fill="auto"/>
          </w:tcPr>
          <w:p w14:paraId="37EA6672" w14:textId="77777777" w:rsidR="0045649F" w:rsidRPr="00A836F7" w:rsidRDefault="0045649F" w:rsidP="001A39BF">
            <w:pPr>
              <w:ind w:left="134"/>
              <w:rPr>
                <w:rFonts w:ascii="Bookman Old Style" w:hAnsi="Bookman Old Style"/>
              </w:rPr>
            </w:pPr>
            <w:r w:rsidRPr="00A836F7">
              <w:rPr>
                <w:rFonts w:ascii="Bookman Old Style" w:hAnsi="Bookman Old Style"/>
              </w:rPr>
              <w:t>Capacidad de transporte en el tramo Mariquita – Gualanday</w:t>
            </w:r>
          </w:p>
        </w:tc>
        <w:tc>
          <w:tcPr>
            <w:tcW w:w="2460" w:type="dxa"/>
            <w:shd w:val="clear" w:color="auto" w:fill="auto"/>
            <w:vAlign w:val="center"/>
          </w:tcPr>
          <w:p w14:paraId="3668F35D" w14:textId="77777777" w:rsidR="0045649F" w:rsidRPr="00A836F7" w:rsidRDefault="0045649F" w:rsidP="001A39BF">
            <w:pPr>
              <w:ind w:left="104"/>
              <w:jc w:val="center"/>
              <w:rPr>
                <w:rFonts w:ascii="Bookman Old Style" w:hAnsi="Bookman Old Style"/>
              </w:rPr>
            </w:pPr>
            <w:r w:rsidRPr="00A836F7">
              <w:rPr>
                <w:rFonts w:ascii="Bookman Old Style" w:hAnsi="Bookman Old Style"/>
              </w:rPr>
              <w:t>Diciembre 2022</w:t>
            </w:r>
          </w:p>
        </w:tc>
      </w:tr>
      <w:tr w:rsidR="0045649F" w:rsidRPr="0005244A" w14:paraId="1346F04C" w14:textId="77777777" w:rsidTr="001A39BF">
        <w:trPr>
          <w:jc w:val="center"/>
        </w:trPr>
        <w:tc>
          <w:tcPr>
            <w:tcW w:w="1220" w:type="dxa"/>
            <w:shd w:val="clear" w:color="auto" w:fill="auto"/>
            <w:vAlign w:val="center"/>
          </w:tcPr>
          <w:p w14:paraId="6D6CC857" w14:textId="77777777" w:rsidR="0045649F" w:rsidRPr="00A836F7" w:rsidRDefault="0045649F" w:rsidP="001A39BF">
            <w:pPr>
              <w:ind w:left="29"/>
              <w:jc w:val="center"/>
              <w:rPr>
                <w:rFonts w:ascii="Bookman Old Style" w:hAnsi="Bookman Old Style"/>
              </w:rPr>
            </w:pPr>
            <w:r w:rsidRPr="00A836F7">
              <w:rPr>
                <w:rFonts w:ascii="Bookman Old Style" w:hAnsi="Bookman Old Style"/>
              </w:rPr>
              <w:t>ii</w:t>
            </w:r>
          </w:p>
        </w:tc>
        <w:tc>
          <w:tcPr>
            <w:tcW w:w="4962" w:type="dxa"/>
            <w:shd w:val="clear" w:color="auto" w:fill="auto"/>
          </w:tcPr>
          <w:p w14:paraId="014E9B2F" w14:textId="77777777" w:rsidR="0045649F" w:rsidRPr="00A836F7" w:rsidRDefault="0045649F" w:rsidP="001A39BF">
            <w:pPr>
              <w:ind w:left="134"/>
              <w:rPr>
                <w:rFonts w:ascii="Bookman Old Style" w:hAnsi="Bookman Old Style"/>
              </w:rPr>
            </w:pPr>
            <w:r w:rsidRPr="00A836F7">
              <w:rPr>
                <w:rFonts w:ascii="Bookman Old Style" w:hAnsi="Bookman Old Style"/>
              </w:rPr>
              <w:t>Bidireccionalidad Barrancabermeja – Ballena</w:t>
            </w:r>
          </w:p>
        </w:tc>
        <w:tc>
          <w:tcPr>
            <w:tcW w:w="2460" w:type="dxa"/>
            <w:shd w:val="clear" w:color="auto" w:fill="auto"/>
            <w:vAlign w:val="center"/>
          </w:tcPr>
          <w:p w14:paraId="3FA40B01" w14:textId="77777777" w:rsidR="0045649F" w:rsidRPr="00A836F7" w:rsidRDefault="0045649F" w:rsidP="001A39BF">
            <w:pPr>
              <w:ind w:left="104"/>
              <w:jc w:val="center"/>
              <w:rPr>
                <w:rFonts w:ascii="Bookman Old Style" w:hAnsi="Bookman Old Style"/>
              </w:rPr>
            </w:pPr>
            <w:r w:rsidRPr="00A836F7">
              <w:rPr>
                <w:rFonts w:ascii="Bookman Old Style" w:hAnsi="Bookman Old Style"/>
              </w:rPr>
              <w:t>Diciembre 2022</w:t>
            </w:r>
          </w:p>
        </w:tc>
      </w:tr>
      <w:tr w:rsidR="0045649F" w:rsidRPr="0005244A" w14:paraId="200D18BF" w14:textId="77777777" w:rsidTr="001A39BF">
        <w:trPr>
          <w:jc w:val="center"/>
        </w:trPr>
        <w:tc>
          <w:tcPr>
            <w:tcW w:w="1220" w:type="dxa"/>
            <w:shd w:val="clear" w:color="auto" w:fill="auto"/>
            <w:vAlign w:val="center"/>
          </w:tcPr>
          <w:p w14:paraId="237D44C4" w14:textId="77777777" w:rsidR="0045649F" w:rsidRPr="00A836F7" w:rsidRDefault="0045649F" w:rsidP="001A39BF">
            <w:pPr>
              <w:ind w:left="29"/>
              <w:jc w:val="center"/>
              <w:rPr>
                <w:rFonts w:ascii="Bookman Old Style" w:hAnsi="Bookman Old Style"/>
              </w:rPr>
            </w:pPr>
            <w:r w:rsidRPr="00A836F7">
              <w:rPr>
                <w:rFonts w:ascii="Bookman Old Style" w:hAnsi="Bookman Old Style"/>
              </w:rPr>
              <w:t>iii</w:t>
            </w:r>
          </w:p>
        </w:tc>
        <w:tc>
          <w:tcPr>
            <w:tcW w:w="4962" w:type="dxa"/>
            <w:shd w:val="clear" w:color="auto" w:fill="auto"/>
          </w:tcPr>
          <w:p w14:paraId="17C3CCAD" w14:textId="77777777" w:rsidR="0045649F" w:rsidRPr="00A836F7" w:rsidRDefault="0045649F" w:rsidP="001A39BF">
            <w:pPr>
              <w:ind w:left="134"/>
              <w:rPr>
                <w:rFonts w:ascii="Bookman Old Style" w:hAnsi="Bookman Old Style"/>
              </w:rPr>
            </w:pPr>
            <w:r w:rsidRPr="00A836F7">
              <w:rPr>
                <w:rFonts w:ascii="Bookman Old Style" w:hAnsi="Bookman Old Style"/>
              </w:rPr>
              <w:t>Bidireccionalidad Barranquilla – Ballena</w:t>
            </w:r>
          </w:p>
        </w:tc>
        <w:tc>
          <w:tcPr>
            <w:tcW w:w="2460" w:type="dxa"/>
            <w:shd w:val="clear" w:color="auto" w:fill="auto"/>
            <w:vAlign w:val="center"/>
          </w:tcPr>
          <w:p w14:paraId="4D8FC889" w14:textId="77777777" w:rsidR="0045649F" w:rsidRPr="00A836F7" w:rsidRDefault="0045649F" w:rsidP="001A39BF">
            <w:pPr>
              <w:ind w:left="104"/>
              <w:jc w:val="center"/>
              <w:rPr>
                <w:rFonts w:ascii="Bookman Old Style" w:hAnsi="Bookman Old Style"/>
              </w:rPr>
            </w:pPr>
            <w:r w:rsidRPr="00A836F7">
              <w:rPr>
                <w:rFonts w:ascii="Bookman Old Style" w:hAnsi="Bookman Old Style"/>
              </w:rPr>
              <w:t>Diciembre 2022</w:t>
            </w:r>
          </w:p>
        </w:tc>
      </w:tr>
      <w:tr w:rsidR="0045649F" w:rsidRPr="0005244A" w14:paraId="6640DB98" w14:textId="77777777" w:rsidTr="001A39BF">
        <w:trPr>
          <w:jc w:val="center"/>
        </w:trPr>
        <w:tc>
          <w:tcPr>
            <w:tcW w:w="1220" w:type="dxa"/>
            <w:shd w:val="clear" w:color="auto" w:fill="auto"/>
            <w:vAlign w:val="center"/>
          </w:tcPr>
          <w:p w14:paraId="317B1D39" w14:textId="77777777" w:rsidR="0045649F" w:rsidRPr="00A836F7" w:rsidRDefault="0045649F" w:rsidP="001A39BF">
            <w:pPr>
              <w:ind w:left="29"/>
              <w:jc w:val="center"/>
              <w:rPr>
                <w:rFonts w:ascii="Bookman Old Style" w:hAnsi="Bookman Old Style"/>
              </w:rPr>
            </w:pPr>
            <w:r w:rsidRPr="00A836F7">
              <w:rPr>
                <w:rFonts w:ascii="Bookman Old Style" w:hAnsi="Bookman Old Style"/>
              </w:rPr>
              <w:t>iv</w:t>
            </w:r>
          </w:p>
        </w:tc>
        <w:tc>
          <w:tcPr>
            <w:tcW w:w="4962" w:type="dxa"/>
            <w:shd w:val="clear" w:color="auto" w:fill="auto"/>
          </w:tcPr>
          <w:p w14:paraId="5B1CD245" w14:textId="77777777" w:rsidR="0045649F" w:rsidRPr="00A836F7" w:rsidRDefault="0045649F" w:rsidP="001A39BF">
            <w:pPr>
              <w:ind w:left="134"/>
              <w:rPr>
                <w:rFonts w:ascii="Bookman Old Style" w:hAnsi="Bookman Old Style"/>
              </w:rPr>
            </w:pPr>
            <w:r w:rsidRPr="00A836F7">
              <w:rPr>
                <w:rFonts w:ascii="Bookman Old Style" w:hAnsi="Bookman Old Style"/>
              </w:rPr>
              <w:t>Interconexión Barranquilla – Ballena con Ballena – Barrancabermeja</w:t>
            </w:r>
          </w:p>
        </w:tc>
        <w:tc>
          <w:tcPr>
            <w:tcW w:w="2460" w:type="dxa"/>
            <w:shd w:val="clear" w:color="auto" w:fill="auto"/>
            <w:vAlign w:val="center"/>
          </w:tcPr>
          <w:p w14:paraId="7BBB949A" w14:textId="77777777" w:rsidR="0045649F" w:rsidRPr="00A836F7" w:rsidRDefault="0045649F" w:rsidP="001A39BF">
            <w:pPr>
              <w:ind w:left="104"/>
              <w:jc w:val="center"/>
              <w:rPr>
                <w:rFonts w:ascii="Bookman Old Style" w:hAnsi="Bookman Old Style"/>
              </w:rPr>
            </w:pPr>
            <w:r w:rsidRPr="00A836F7">
              <w:rPr>
                <w:rFonts w:ascii="Bookman Old Style" w:hAnsi="Bookman Old Style"/>
              </w:rPr>
              <w:t>Diciembre 2022</w:t>
            </w:r>
          </w:p>
        </w:tc>
      </w:tr>
      <w:tr w:rsidR="0045649F" w:rsidRPr="0005244A" w14:paraId="0E2F12E7" w14:textId="77777777" w:rsidTr="001A39BF">
        <w:trPr>
          <w:jc w:val="center"/>
        </w:trPr>
        <w:tc>
          <w:tcPr>
            <w:tcW w:w="1220" w:type="dxa"/>
            <w:shd w:val="clear" w:color="auto" w:fill="auto"/>
            <w:vAlign w:val="center"/>
          </w:tcPr>
          <w:p w14:paraId="6135359A" w14:textId="77777777" w:rsidR="0045649F" w:rsidRPr="00A836F7" w:rsidRDefault="0045649F" w:rsidP="001A39BF">
            <w:pPr>
              <w:ind w:left="29"/>
              <w:jc w:val="center"/>
              <w:rPr>
                <w:rFonts w:ascii="Bookman Old Style" w:hAnsi="Bookman Old Style"/>
              </w:rPr>
            </w:pPr>
            <w:r w:rsidRPr="00A836F7">
              <w:rPr>
                <w:rFonts w:ascii="Bookman Old Style" w:hAnsi="Bookman Old Style"/>
              </w:rPr>
              <w:t>v</w:t>
            </w:r>
          </w:p>
        </w:tc>
        <w:tc>
          <w:tcPr>
            <w:tcW w:w="4962" w:type="dxa"/>
            <w:shd w:val="clear" w:color="auto" w:fill="auto"/>
          </w:tcPr>
          <w:p w14:paraId="5156378D" w14:textId="77777777" w:rsidR="0045649F" w:rsidRPr="00A836F7" w:rsidRDefault="0045649F" w:rsidP="001A39BF">
            <w:pPr>
              <w:ind w:left="134"/>
              <w:rPr>
                <w:rFonts w:ascii="Bookman Old Style" w:hAnsi="Bookman Old Style"/>
              </w:rPr>
            </w:pPr>
            <w:r w:rsidRPr="00A836F7">
              <w:rPr>
                <w:rFonts w:ascii="Bookman Old Style" w:hAnsi="Bookman Old Style"/>
              </w:rPr>
              <w:t>Ampliación capacidad de transporte ramal Jamundí – Valle del Cauca</w:t>
            </w:r>
          </w:p>
        </w:tc>
        <w:tc>
          <w:tcPr>
            <w:tcW w:w="2460" w:type="dxa"/>
            <w:shd w:val="clear" w:color="auto" w:fill="auto"/>
            <w:vAlign w:val="center"/>
          </w:tcPr>
          <w:p w14:paraId="739DF78F" w14:textId="77777777" w:rsidR="0045649F" w:rsidRPr="00A836F7" w:rsidRDefault="0045649F" w:rsidP="001A39BF">
            <w:pPr>
              <w:ind w:left="104"/>
              <w:jc w:val="center"/>
              <w:rPr>
                <w:rFonts w:ascii="Bookman Old Style" w:hAnsi="Bookman Old Style"/>
              </w:rPr>
            </w:pPr>
            <w:r w:rsidRPr="00A836F7">
              <w:rPr>
                <w:rFonts w:ascii="Bookman Old Style" w:hAnsi="Bookman Old Style"/>
              </w:rPr>
              <w:t>Diciembre 2022</w:t>
            </w:r>
          </w:p>
        </w:tc>
      </w:tr>
      <w:tr w:rsidR="0045649F" w:rsidRPr="0005244A" w14:paraId="64C25C59" w14:textId="77777777" w:rsidTr="001A39BF">
        <w:trPr>
          <w:jc w:val="center"/>
        </w:trPr>
        <w:tc>
          <w:tcPr>
            <w:tcW w:w="1220" w:type="dxa"/>
            <w:shd w:val="clear" w:color="auto" w:fill="auto"/>
            <w:vAlign w:val="center"/>
          </w:tcPr>
          <w:p w14:paraId="3EF4D566" w14:textId="77777777" w:rsidR="0045649F" w:rsidRPr="00A836F7" w:rsidRDefault="0045649F" w:rsidP="001A39BF">
            <w:pPr>
              <w:ind w:left="29"/>
              <w:jc w:val="center"/>
              <w:rPr>
                <w:rFonts w:ascii="Bookman Old Style" w:hAnsi="Bookman Old Style"/>
              </w:rPr>
            </w:pPr>
            <w:r w:rsidRPr="00A836F7">
              <w:rPr>
                <w:rFonts w:ascii="Bookman Old Style" w:hAnsi="Bookman Old Style"/>
              </w:rPr>
              <w:t>vi</w:t>
            </w:r>
          </w:p>
        </w:tc>
        <w:tc>
          <w:tcPr>
            <w:tcW w:w="4962" w:type="dxa"/>
            <w:shd w:val="clear" w:color="auto" w:fill="auto"/>
            <w:vAlign w:val="center"/>
          </w:tcPr>
          <w:p w14:paraId="51AB8DB5" w14:textId="77777777" w:rsidR="0045649F" w:rsidRPr="00A836F7" w:rsidRDefault="0045649F" w:rsidP="001A39BF">
            <w:pPr>
              <w:ind w:left="134"/>
              <w:jc w:val="center"/>
              <w:rPr>
                <w:rFonts w:ascii="Bookman Old Style" w:hAnsi="Bookman Old Style"/>
              </w:rPr>
            </w:pPr>
            <w:r w:rsidRPr="00A836F7">
              <w:rPr>
                <w:rFonts w:ascii="Bookman Old Style" w:hAnsi="Bookman Old Style"/>
              </w:rPr>
              <w:t>Bidireccionalidad Yumbo - Mariquita</w:t>
            </w:r>
          </w:p>
        </w:tc>
        <w:tc>
          <w:tcPr>
            <w:tcW w:w="2460" w:type="dxa"/>
            <w:shd w:val="clear" w:color="auto" w:fill="auto"/>
            <w:vAlign w:val="center"/>
          </w:tcPr>
          <w:p w14:paraId="3D6848EC" w14:textId="77777777" w:rsidR="0045649F" w:rsidRPr="00A836F7" w:rsidRDefault="0045649F" w:rsidP="001A39BF">
            <w:pPr>
              <w:ind w:left="104"/>
              <w:jc w:val="center"/>
              <w:rPr>
                <w:rFonts w:ascii="Bookman Old Style" w:hAnsi="Bookman Old Style"/>
              </w:rPr>
            </w:pPr>
            <w:r w:rsidRPr="00A836F7">
              <w:rPr>
                <w:rFonts w:ascii="Bookman Old Style" w:hAnsi="Bookman Old Style"/>
              </w:rPr>
              <w:t>58 meses contados a partir de la selección del inversionista del proyecto al que se refiere el numeral vii siguiente</w:t>
            </w:r>
          </w:p>
        </w:tc>
      </w:tr>
    </w:tbl>
    <w:p w14:paraId="0F5DC1A3" w14:textId="77777777" w:rsidR="0045649F" w:rsidRPr="0005244A" w:rsidRDefault="0045649F" w:rsidP="0045649F">
      <w:pPr>
        <w:pStyle w:val="Textoindependiente2"/>
        <w:spacing w:after="0" w:line="240" w:lineRule="auto"/>
        <w:ind w:left="0"/>
        <w:jc w:val="both"/>
        <w:rPr>
          <w:rFonts w:ascii="Bookman Old Style" w:hAnsi="Bookman Old Style"/>
          <w:color w:val="000000"/>
          <w:lang w:val="es-CO"/>
        </w:rPr>
      </w:pPr>
    </w:p>
    <w:p w14:paraId="1ADA54FF" w14:textId="77777777" w:rsidR="0045649F" w:rsidRPr="0005244A" w:rsidRDefault="0045649F" w:rsidP="0045649F">
      <w:pPr>
        <w:pStyle w:val="Textoindependiente2"/>
        <w:spacing w:after="0" w:line="240" w:lineRule="auto"/>
        <w:ind w:left="0"/>
        <w:jc w:val="both"/>
        <w:rPr>
          <w:rFonts w:ascii="Bookman Old Style" w:hAnsi="Bookman Old Style"/>
          <w:color w:val="000000"/>
          <w:lang w:val="es-CO"/>
        </w:rPr>
      </w:pPr>
      <w:r>
        <w:rPr>
          <w:rFonts w:ascii="Bookman Old Style" w:hAnsi="Bookman Old Style"/>
          <w:color w:val="000000"/>
          <w:lang w:val="es-CO"/>
        </w:rPr>
        <w:t xml:space="preserve">Así </w:t>
      </w:r>
      <w:r w:rsidRPr="0005244A">
        <w:rPr>
          <w:rFonts w:ascii="Bookman Old Style" w:hAnsi="Bookman Old Style"/>
          <w:color w:val="000000"/>
          <w:lang w:val="es-CO"/>
        </w:rPr>
        <w:t>mismo, en el numeral 1.2 del artículo 1 de la resolución en mención</w:t>
      </w:r>
      <w:r>
        <w:rPr>
          <w:rFonts w:ascii="Bookman Old Style" w:hAnsi="Bookman Old Style"/>
          <w:color w:val="000000"/>
          <w:lang w:val="es-CO"/>
        </w:rPr>
        <w:t>,</w:t>
      </w:r>
      <w:r w:rsidRPr="0005244A">
        <w:rPr>
          <w:rFonts w:ascii="Bookman Old Style" w:hAnsi="Bookman Old Style"/>
          <w:color w:val="000000"/>
          <w:lang w:val="es-CO"/>
        </w:rPr>
        <w:t xml:space="preserve"> se incluyen los proyectos que no se encuentran embebidos en la infraestructura de </w:t>
      </w:r>
      <w:r w:rsidRPr="0005244A">
        <w:rPr>
          <w:rFonts w:ascii="Bookman Old Style" w:hAnsi="Bookman Old Style"/>
          <w:color w:val="000000"/>
          <w:lang w:val="es-CO"/>
        </w:rPr>
        <w:lastRenderedPageBreak/>
        <w:t>un sistema de transporte existente</w:t>
      </w:r>
      <w:r>
        <w:rPr>
          <w:rFonts w:ascii="Bookman Old Style" w:hAnsi="Bookman Old Style"/>
          <w:color w:val="000000"/>
          <w:lang w:val="es-CO"/>
        </w:rPr>
        <w:t>,</w:t>
      </w:r>
      <w:r w:rsidRPr="0005244A">
        <w:rPr>
          <w:rFonts w:ascii="Bookman Old Style" w:hAnsi="Bookman Old Style"/>
          <w:color w:val="000000"/>
          <w:lang w:val="es-CO"/>
        </w:rPr>
        <w:t xml:space="preserve"> y las fechas en las que cada proyecto debe entrar en operación:</w:t>
      </w:r>
    </w:p>
    <w:p w14:paraId="44FB78C1" w14:textId="77777777" w:rsidR="0045649F" w:rsidRPr="0005244A" w:rsidRDefault="0045649F" w:rsidP="0045649F">
      <w:pPr>
        <w:pStyle w:val="Textoindependiente2"/>
        <w:spacing w:after="0" w:line="240" w:lineRule="auto"/>
        <w:ind w:left="0"/>
        <w:jc w:val="both"/>
        <w:rPr>
          <w:rFonts w:ascii="Bookman Old Style" w:hAnsi="Bookman Old Style"/>
          <w:color w:val="000000"/>
          <w:lang w:val="es-C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3595"/>
        <w:gridCol w:w="3685"/>
      </w:tblGrid>
      <w:tr w:rsidR="0045649F" w:rsidRPr="0005244A" w14:paraId="524135A5" w14:textId="77777777" w:rsidTr="001A39BF">
        <w:trPr>
          <w:jc w:val="center"/>
        </w:trPr>
        <w:tc>
          <w:tcPr>
            <w:tcW w:w="1220" w:type="dxa"/>
            <w:shd w:val="clear" w:color="auto" w:fill="auto"/>
            <w:vAlign w:val="center"/>
          </w:tcPr>
          <w:p w14:paraId="7E544DD7" w14:textId="77777777" w:rsidR="0045649F" w:rsidRPr="000808EB" w:rsidRDefault="0045649F" w:rsidP="001A39BF">
            <w:pPr>
              <w:ind w:left="29"/>
              <w:jc w:val="center"/>
              <w:rPr>
                <w:rFonts w:ascii="Bookman Old Style" w:hAnsi="Bookman Old Style"/>
                <w:b/>
              </w:rPr>
            </w:pPr>
            <w:r w:rsidRPr="000808EB">
              <w:rPr>
                <w:rFonts w:ascii="Bookman Old Style" w:hAnsi="Bookman Old Style"/>
                <w:b/>
              </w:rPr>
              <w:t>Número</w:t>
            </w:r>
          </w:p>
        </w:tc>
        <w:tc>
          <w:tcPr>
            <w:tcW w:w="3595" w:type="dxa"/>
            <w:shd w:val="clear" w:color="auto" w:fill="auto"/>
            <w:vAlign w:val="center"/>
          </w:tcPr>
          <w:p w14:paraId="033B271F" w14:textId="77777777" w:rsidR="0045649F" w:rsidRPr="000808EB" w:rsidRDefault="0045649F" w:rsidP="001A39BF">
            <w:pPr>
              <w:ind w:left="134"/>
              <w:jc w:val="center"/>
              <w:rPr>
                <w:rFonts w:ascii="Bookman Old Style" w:hAnsi="Bookman Old Style"/>
                <w:b/>
              </w:rPr>
            </w:pPr>
            <w:r w:rsidRPr="000808EB">
              <w:rPr>
                <w:rFonts w:ascii="Bookman Old Style" w:hAnsi="Bookman Old Style"/>
                <w:b/>
              </w:rPr>
              <w:t>Proyecto</w:t>
            </w:r>
          </w:p>
        </w:tc>
        <w:tc>
          <w:tcPr>
            <w:tcW w:w="3685" w:type="dxa"/>
            <w:shd w:val="clear" w:color="auto" w:fill="auto"/>
            <w:vAlign w:val="center"/>
          </w:tcPr>
          <w:p w14:paraId="0F58870A" w14:textId="77777777" w:rsidR="0045649F" w:rsidRPr="000808EB" w:rsidRDefault="0045649F" w:rsidP="001A39BF">
            <w:pPr>
              <w:ind w:left="104"/>
              <w:jc w:val="center"/>
              <w:rPr>
                <w:rFonts w:ascii="Bookman Old Style" w:hAnsi="Bookman Old Style"/>
                <w:b/>
              </w:rPr>
            </w:pPr>
            <w:r w:rsidRPr="000808EB">
              <w:rPr>
                <w:rFonts w:ascii="Bookman Old Style" w:hAnsi="Bookman Old Style"/>
                <w:b/>
              </w:rPr>
              <w:t>Año y mes de entrada en operación</w:t>
            </w:r>
          </w:p>
        </w:tc>
      </w:tr>
      <w:tr w:rsidR="0045649F" w:rsidRPr="0005244A" w14:paraId="009A651D" w14:textId="77777777" w:rsidTr="001A39BF">
        <w:trPr>
          <w:jc w:val="center"/>
        </w:trPr>
        <w:tc>
          <w:tcPr>
            <w:tcW w:w="1220" w:type="dxa"/>
            <w:shd w:val="clear" w:color="auto" w:fill="auto"/>
            <w:vAlign w:val="center"/>
          </w:tcPr>
          <w:p w14:paraId="2AB3CF76" w14:textId="77777777" w:rsidR="0045649F" w:rsidRPr="00A836F7" w:rsidRDefault="0045649F" w:rsidP="001A39BF">
            <w:pPr>
              <w:ind w:left="29"/>
              <w:jc w:val="center"/>
              <w:rPr>
                <w:rFonts w:ascii="Bookman Old Style" w:hAnsi="Bookman Old Style"/>
              </w:rPr>
            </w:pPr>
            <w:r w:rsidRPr="00A836F7">
              <w:rPr>
                <w:rFonts w:ascii="Bookman Old Style" w:hAnsi="Bookman Old Style"/>
              </w:rPr>
              <w:t>Vii</w:t>
            </w:r>
          </w:p>
        </w:tc>
        <w:tc>
          <w:tcPr>
            <w:tcW w:w="3595" w:type="dxa"/>
            <w:shd w:val="clear" w:color="auto" w:fill="auto"/>
            <w:vAlign w:val="center"/>
          </w:tcPr>
          <w:p w14:paraId="4F2AB782" w14:textId="77777777" w:rsidR="0045649F" w:rsidRPr="00A836F7" w:rsidRDefault="0045649F" w:rsidP="001A39BF">
            <w:pPr>
              <w:ind w:left="134"/>
              <w:jc w:val="center"/>
              <w:rPr>
                <w:rFonts w:ascii="Bookman Old Style" w:hAnsi="Bookman Old Style"/>
              </w:rPr>
            </w:pPr>
            <w:r w:rsidRPr="00A836F7">
              <w:rPr>
                <w:rFonts w:ascii="Bookman Old Style" w:hAnsi="Bookman Old Style"/>
              </w:rPr>
              <w:t>Infraestructura de Importación de Gas del Pacífico</w:t>
            </w:r>
          </w:p>
        </w:tc>
        <w:tc>
          <w:tcPr>
            <w:tcW w:w="3685" w:type="dxa"/>
            <w:shd w:val="clear" w:color="auto" w:fill="auto"/>
            <w:vAlign w:val="center"/>
          </w:tcPr>
          <w:p w14:paraId="34CEE7AB" w14:textId="77777777" w:rsidR="0045649F" w:rsidRPr="00A836F7" w:rsidRDefault="0045649F" w:rsidP="001A39BF">
            <w:pPr>
              <w:ind w:left="104"/>
              <w:jc w:val="center"/>
              <w:rPr>
                <w:rFonts w:ascii="Bookman Old Style" w:hAnsi="Bookman Old Style"/>
              </w:rPr>
            </w:pPr>
            <w:r w:rsidRPr="00A836F7">
              <w:rPr>
                <w:rFonts w:ascii="Bookman Old Style" w:hAnsi="Bookman Old Style"/>
              </w:rPr>
              <w:t>58 meses contados a partir de la selección del inversionista de este proyecto.</w:t>
            </w:r>
          </w:p>
        </w:tc>
      </w:tr>
    </w:tbl>
    <w:p w14:paraId="3E25C2C8" w14:textId="77777777" w:rsidR="0045649F" w:rsidRPr="0005244A" w:rsidRDefault="0045649F" w:rsidP="0045649F">
      <w:pPr>
        <w:pStyle w:val="Textoindependiente2"/>
        <w:spacing w:after="0" w:line="240" w:lineRule="auto"/>
        <w:ind w:left="0"/>
        <w:jc w:val="both"/>
        <w:rPr>
          <w:rFonts w:ascii="Bookman Old Style" w:hAnsi="Bookman Old Style"/>
          <w:color w:val="000000"/>
          <w:lang w:val="es-CO"/>
        </w:rPr>
      </w:pPr>
    </w:p>
    <w:p w14:paraId="49AE43CE" w14:textId="5C458528" w:rsidR="0045649F" w:rsidRDefault="0045649F" w:rsidP="0045649F">
      <w:pPr>
        <w:pStyle w:val="Textoindependiente2"/>
        <w:spacing w:after="0" w:line="240" w:lineRule="auto"/>
        <w:ind w:left="0"/>
        <w:jc w:val="both"/>
        <w:rPr>
          <w:rFonts w:ascii="Bookman Old Style" w:hAnsi="Bookman Old Style"/>
          <w:color w:val="000000"/>
          <w:lang w:val="es-CO"/>
        </w:rPr>
      </w:pPr>
      <w:r w:rsidRPr="004A2008">
        <w:rPr>
          <w:rFonts w:ascii="Bookman Old Style" w:hAnsi="Bookman Old Style"/>
          <w:color w:val="000000"/>
          <w:lang w:val="es-CO"/>
        </w:rPr>
        <w:t xml:space="preserve">El </w:t>
      </w:r>
      <w:r w:rsidR="00283CE6">
        <w:rPr>
          <w:rFonts w:ascii="Bookman Old Style" w:hAnsi="Bookman Old Style"/>
          <w:color w:val="000000"/>
          <w:lang w:val="es-CO"/>
        </w:rPr>
        <w:t>a</w:t>
      </w:r>
      <w:r w:rsidRPr="004A2008">
        <w:rPr>
          <w:rFonts w:ascii="Bookman Old Style" w:hAnsi="Bookman Old Style"/>
          <w:color w:val="000000"/>
          <w:lang w:val="es-CO"/>
        </w:rPr>
        <w:t>rtículo 2 de la resolución en mención establece que la CREG incluirá</w:t>
      </w:r>
      <w:r>
        <w:rPr>
          <w:rFonts w:ascii="Bookman Old Style" w:hAnsi="Bookman Old Style"/>
          <w:color w:val="000000"/>
          <w:lang w:val="es-CO"/>
        </w:rPr>
        <w:t>,</w:t>
      </w:r>
      <w:r w:rsidRPr="004A2008">
        <w:rPr>
          <w:rFonts w:ascii="Bookman Old Style" w:hAnsi="Bookman Old Style"/>
          <w:color w:val="000000"/>
          <w:lang w:val="es-CO"/>
        </w:rPr>
        <w:t xml:space="preserve"> en la regulación a la que se refiere el artículo 2.2.2.2.29 y siguientes del Decreto 1073 de 2015, mecanismos para incentivar el cumplimiento de fechas anticipadas de entrada en operación de todos los proyectos del Plan de Abastecimiento de Gas Natural.</w:t>
      </w:r>
    </w:p>
    <w:p w14:paraId="0C70C28B" w14:textId="77777777" w:rsidR="0045649F" w:rsidRDefault="0045649F" w:rsidP="0045649F">
      <w:pPr>
        <w:pStyle w:val="Textoindependiente2"/>
        <w:spacing w:after="0" w:line="240" w:lineRule="auto"/>
        <w:ind w:left="0"/>
        <w:jc w:val="both"/>
        <w:rPr>
          <w:rFonts w:ascii="Bookman Old Style" w:hAnsi="Bookman Old Style"/>
          <w:color w:val="000000"/>
          <w:lang w:val="es-CO"/>
        </w:rPr>
      </w:pPr>
    </w:p>
    <w:p w14:paraId="3D6C1046" w14:textId="77777777" w:rsidR="0045649F" w:rsidRDefault="0045649F" w:rsidP="0045649F">
      <w:pPr>
        <w:pStyle w:val="Textoindependiente2"/>
        <w:spacing w:after="0" w:line="240" w:lineRule="auto"/>
        <w:ind w:left="0"/>
        <w:jc w:val="both"/>
        <w:rPr>
          <w:rFonts w:ascii="Bookman Old Style" w:hAnsi="Bookman Old Style"/>
          <w:color w:val="000000"/>
          <w:lang w:val="es-CO"/>
        </w:rPr>
      </w:pPr>
      <w:r>
        <w:rPr>
          <w:rFonts w:ascii="Bookman Old Style" w:hAnsi="Bookman Old Style"/>
          <w:color w:val="000000"/>
          <w:lang w:val="es-CO"/>
        </w:rPr>
        <w:t>Así mismo, de acuerdo con lo dispuesto en el inciso final del artículo 2.2.2.2.29 se estableció que “</w:t>
      </w:r>
      <w:r w:rsidRPr="007C1A23">
        <w:rPr>
          <w:rFonts w:ascii="Bookman Old Style" w:hAnsi="Bookman Old Style"/>
          <w:i/>
          <w:iCs/>
          <w:color w:val="000000"/>
          <w:lang w:val="es-CO"/>
        </w:rPr>
        <w:t>…todos los usuarios, incluyendo los de la demanda esencial, deberán ser sujetos de cobro para remunerar los proyectos de confiabilidad y seguridad de abastecimiento de los que son beneficiarios. Ningún usuario deberá pagar un costo superior a su costo de racionamiento</w:t>
      </w:r>
      <w:r>
        <w:rPr>
          <w:rFonts w:ascii="Bookman Old Style" w:hAnsi="Bookman Old Style"/>
          <w:color w:val="000000"/>
          <w:lang w:val="es-CO"/>
        </w:rPr>
        <w:t>”</w:t>
      </w:r>
      <w:r w:rsidRPr="00B911B7">
        <w:rPr>
          <w:rFonts w:ascii="Bookman Old Style" w:hAnsi="Bookman Old Style"/>
          <w:color w:val="000000"/>
          <w:lang w:val="es-CO"/>
        </w:rPr>
        <w:t>.</w:t>
      </w:r>
    </w:p>
    <w:p w14:paraId="75B9307B" w14:textId="77777777" w:rsidR="0045649F" w:rsidRPr="0005244A" w:rsidRDefault="0045649F" w:rsidP="0045649F">
      <w:pPr>
        <w:pStyle w:val="Textoindependiente2"/>
        <w:spacing w:after="0" w:line="240" w:lineRule="auto"/>
        <w:ind w:left="0"/>
        <w:jc w:val="both"/>
        <w:rPr>
          <w:rFonts w:ascii="Bookman Old Style" w:hAnsi="Bookman Old Style"/>
          <w:color w:val="000000"/>
          <w:lang w:val="es-CO"/>
        </w:rPr>
      </w:pPr>
    </w:p>
    <w:p w14:paraId="5C85E3D4" w14:textId="114088CE" w:rsidR="0045649F" w:rsidRPr="0005244A" w:rsidRDefault="0045649F" w:rsidP="0045649F">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De acuerdo con las características de los proyectos incluidos por el Ministerio de Minas y Energía en el Plan de Abastecimiento de Gas Natural, se h</w:t>
      </w:r>
      <w:r w:rsidR="006A7BFE">
        <w:rPr>
          <w:rFonts w:ascii="Bookman Old Style" w:hAnsi="Bookman Old Style"/>
          <w:color w:val="000000"/>
          <w:lang w:val="es-ES_tradnl"/>
        </w:rPr>
        <w:t>izo</w:t>
      </w:r>
      <w:r w:rsidRPr="0005244A">
        <w:rPr>
          <w:rFonts w:ascii="Bookman Old Style" w:hAnsi="Bookman Old Style"/>
          <w:color w:val="000000"/>
          <w:lang w:val="es-ES_tradnl"/>
        </w:rPr>
        <w:t xml:space="preserve"> necesario realizar ajustes a algunos de los aspectos contenidos en la Resolución CREG 107 de 2017</w:t>
      </w:r>
      <w:r w:rsidRPr="008B30C5">
        <w:rPr>
          <w:rFonts w:ascii="Bookman Old Style" w:hAnsi="Bookman Old Style"/>
          <w:color w:val="000000"/>
          <w:lang w:val="es-ES_tradnl"/>
        </w:rPr>
        <w:t xml:space="preserve">, la cual: </w:t>
      </w:r>
    </w:p>
    <w:p w14:paraId="178233AE" w14:textId="77777777" w:rsidR="0045649F" w:rsidRPr="0005244A" w:rsidRDefault="0045649F" w:rsidP="0045649F">
      <w:pPr>
        <w:pStyle w:val="Textoindependiente2"/>
        <w:spacing w:after="0" w:line="240" w:lineRule="auto"/>
        <w:ind w:left="0"/>
        <w:jc w:val="both"/>
        <w:rPr>
          <w:rFonts w:ascii="Bookman Old Style" w:hAnsi="Bookman Old Style"/>
          <w:color w:val="000000"/>
          <w:lang w:val="es-ES_tradnl"/>
        </w:rPr>
      </w:pPr>
    </w:p>
    <w:p w14:paraId="790550C1" w14:textId="77777777" w:rsidR="0045649F" w:rsidRPr="000808EB" w:rsidRDefault="0045649F" w:rsidP="00DA3FA9">
      <w:pPr>
        <w:pStyle w:val="Textoindependiente2"/>
        <w:numPr>
          <w:ilvl w:val="0"/>
          <w:numId w:val="41"/>
        </w:numPr>
        <w:spacing w:after="0" w:line="240" w:lineRule="auto"/>
        <w:ind w:left="284" w:hanging="284"/>
        <w:jc w:val="both"/>
        <w:rPr>
          <w:rFonts w:ascii="Bookman Old Style" w:hAnsi="Bookman Old Style"/>
          <w:color w:val="000000"/>
          <w:lang w:val="es-ES_tradnl"/>
        </w:rPr>
      </w:pPr>
      <w:r w:rsidRPr="0005244A">
        <w:rPr>
          <w:rFonts w:ascii="Bookman Old Style" w:hAnsi="Bookman Old Style"/>
        </w:rPr>
        <w:t xml:space="preserve">Tiene por objeto establecer los mecanismos centralizados dentro de los cuales se debe adelantar la ejecución de proyectos prioritarios del plan de abastecimiento de gas natural, o del plan transitorio de abastecimiento de gas natural, adoptado por el Ministerio de Minas y Energía. </w:t>
      </w:r>
    </w:p>
    <w:p w14:paraId="5BF8054E" w14:textId="77777777" w:rsidR="0045649F" w:rsidRPr="000808EB" w:rsidRDefault="0045649F" w:rsidP="00DA3FA9">
      <w:pPr>
        <w:pStyle w:val="Textoindependiente2"/>
        <w:spacing w:after="0" w:line="240" w:lineRule="auto"/>
        <w:ind w:left="284" w:hanging="284"/>
        <w:jc w:val="both"/>
        <w:rPr>
          <w:rFonts w:ascii="Bookman Old Style" w:hAnsi="Bookman Old Style"/>
          <w:color w:val="000000"/>
          <w:lang w:val="es-ES_tradnl"/>
        </w:rPr>
      </w:pPr>
    </w:p>
    <w:p w14:paraId="54F071A7" w14:textId="77777777" w:rsidR="0045649F" w:rsidRPr="0005244A" w:rsidRDefault="0045649F" w:rsidP="00DA3FA9">
      <w:pPr>
        <w:pStyle w:val="Textoindependiente2"/>
        <w:numPr>
          <w:ilvl w:val="0"/>
          <w:numId w:val="41"/>
        </w:numPr>
        <w:spacing w:after="0" w:line="240" w:lineRule="auto"/>
        <w:ind w:left="284" w:hanging="284"/>
        <w:jc w:val="both"/>
        <w:rPr>
          <w:rFonts w:ascii="Bookman Old Style" w:hAnsi="Bookman Old Style"/>
          <w:color w:val="000000"/>
          <w:lang w:val="es-ES_tradnl"/>
        </w:rPr>
      </w:pPr>
      <w:r w:rsidRPr="008B30C5">
        <w:rPr>
          <w:rFonts w:ascii="Bookman Old Style" w:hAnsi="Bookman Old Style"/>
        </w:rPr>
        <w:t>Se aplicará a todos los participantes del mercado de gas natural, a los interesados en participar en los procesos de selección</w:t>
      </w:r>
      <w:r>
        <w:rPr>
          <w:rFonts w:ascii="Bookman Old Style" w:hAnsi="Bookman Old Style"/>
        </w:rPr>
        <w:t>,</w:t>
      </w:r>
      <w:r w:rsidRPr="008B30C5">
        <w:rPr>
          <w:rFonts w:ascii="Bookman Old Style" w:hAnsi="Bookman Old Style"/>
        </w:rPr>
        <w:t xml:space="preserve"> y a los demás agentes y us</w:t>
      </w:r>
      <w:r w:rsidRPr="00020F46">
        <w:rPr>
          <w:rFonts w:ascii="Bookman Old Style" w:hAnsi="Bookman Old Style"/>
        </w:rPr>
        <w:t xml:space="preserve">uarios beneficiarios del servicio de gas natural. </w:t>
      </w:r>
      <w:r w:rsidRPr="0005244A">
        <w:rPr>
          <w:rFonts w:ascii="Bookman Old Style" w:hAnsi="Bookman Old Style"/>
        </w:rPr>
        <w:t xml:space="preserve"> </w:t>
      </w:r>
    </w:p>
    <w:p w14:paraId="2744F839" w14:textId="77777777" w:rsidR="0045649F" w:rsidRPr="0005244A" w:rsidRDefault="0045649F" w:rsidP="0045649F">
      <w:pPr>
        <w:pStyle w:val="Textoindependiente2"/>
        <w:spacing w:after="0" w:line="240" w:lineRule="auto"/>
        <w:ind w:left="0"/>
        <w:jc w:val="both"/>
        <w:rPr>
          <w:rFonts w:ascii="Bookman Old Style" w:hAnsi="Bookman Old Style"/>
          <w:color w:val="000000"/>
          <w:lang w:val="es-ES_tradnl"/>
        </w:rPr>
      </w:pPr>
    </w:p>
    <w:p w14:paraId="1BF37368" w14:textId="0C05C5BE" w:rsidR="0045649F" w:rsidRPr="0005244A" w:rsidRDefault="0045649F" w:rsidP="0045649F">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Por su parte, la Comisión adelantó un estudio que le permit</w:t>
      </w:r>
      <w:r w:rsidR="004C3B3B">
        <w:rPr>
          <w:rFonts w:ascii="Bookman Old Style" w:hAnsi="Bookman Old Style"/>
          <w:color w:val="000000"/>
          <w:lang w:val="es-ES_tradnl"/>
        </w:rPr>
        <w:t>ió</w:t>
      </w:r>
      <w:r w:rsidRPr="0005244A">
        <w:rPr>
          <w:rFonts w:ascii="Bookman Old Style" w:hAnsi="Bookman Old Style"/>
          <w:color w:val="000000"/>
          <w:lang w:val="es-ES_tradnl"/>
        </w:rPr>
        <w:t xml:space="preserve"> determinar la remuneración que reconozca los costos en que incurren los transportadores responsables de los sistemas de transporte, en los que se encuentran beneficiarios de proyectos adjudicados del </w:t>
      </w:r>
      <w:r w:rsidR="0032503A">
        <w:rPr>
          <w:rFonts w:ascii="Bookman Old Style" w:hAnsi="Bookman Old Style"/>
          <w:color w:val="000000"/>
          <w:lang w:val="es-ES_tradnl"/>
        </w:rPr>
        <w:t>P</w:t>
      </w:r>
      <w:r w:rsidRPr="0005244A">
        <w:rPr>
          <w:rFonts w:ascii="Bookman Old Style" w:hAnsi="Bookman Old Style"/>
          <w:color w:val="000000"/>
          <w:lang w:val="es-ES_tradnl"/>
        </w:rPr>
        <w:t xml:space="preserve">lan de </w:t>
      </w:r>
      <w:r w:rsidR="0032503A">
        <w:rPr>
          <w:rFonts w:ascii="Bookman Old Style" w:hAnsi="Bookman Old Style"/>
          <w:color w:val="000000"/>
          <w:lang w:val="es-ES_tradnl"/>
        </w:rPr>
        <w:t>A</w:t>
      </w:r>
      <w:r w:rsidRPr="0005244A">
        <w:rPr>
          <w:rFonts w:ascii="Bookman Old Style" w:hAnsi="Bookman Old Style"/>
          <w:color w:val="000000"/>
          <w:lang w:val="es-ES_tradnl"/>
        </w:rPr>
        <w:t xml:space="preserve">bastecimiento de </w:t>
      </w:r>
      <w:r w:rsidR="0032503A">
        <w:rPr>
          <w:rFonts w:ascii="Bookman Old Style" w:hAnsi="Bookman Old Style"/>
          <w:color w:val="000000"/>
          <w:lang w:val="es-ES_tradnl"/>
        </w:rPr>
        <w:t>G</w:t>
      </w:r>
      <w:r w:rsidRPr="0005244A">
        <w:rPr>
          <w:rFonts w:ascii="Bookman Old Style" w:hAnsi="Bookman Old Style"/>
          <w:color w:val="000000"/>
          <w:lang w:val="es-ES_tradnl"/>
        </w:rPr>
        <w:t xml:space="preserve">as </w:t>
      </w:r>
      <w:r w:rsidR="0032503A">
        <w:rPr>
          <w:rFonts w:ascii="Bookman Old Style" w:hAnsi="Bookman Old Style"/>
          <w:color w:val="000000"/>
          <w:lang w:val="es-ES_tradnl"/>
        </w:rPr>
        <w:t>N</w:t>
      </w:r>
      <w:r w:rsidRPr="0005244A">
        <w:rPr>
          <w:rFonts w:ascii="Bookman Old Style" w:hAnsi="Bookman Old Style"/>
          <w:color w:val="000000"/>
          <w:lang w:val="es-ES_tradnl"/>
        </w:rPr>
        <w:t>atural, por realizar actividades de liquidación, actualización, facturación y recaudo de los pagos que hacen los remitentes beneficiarios al transportador</w:t>
      </w:r>
      <w:r>
        <w:rPr>
          <w:rFonts w:ascii="Bookman Old Style" w:hAnsi="Bookman Old Style"/>
          <w:color w:val="000000"/>
          <w:lang w:val="es-ES_tradnl"/>
        </w:rPr>
        <w:t>,</w:t>
      </w:r>
      <w:r w:rsidRPr="0005244A">
        <w:rPr>
          <w:rFonts w:ascii="Bookman Old Style" w:hAnsi="Bookman Old Style"/>
          <w:color w:val="000000"/>
          <w:lang w:val="es-ES_tradnl"/>
        </w:rPr>
        <w:t xml:space="preserve"> y la transferencia de estos pagos al adjudicatario del proyecto. </w:t>
      </w:r>
    </w:p>
    <w:p w14:paraId="659F284F" w14:textId="77777777" w:rsidR="0045649F" w:rsidRPr="0005244A" w:rsidRDefault="0045649F" w:rsidP="0045649F">
      <w:pPr>
        <w:pStyle w:val="Textoindependiente2"/>
        <w:spacing w:after="0" w:line="240" w:lineRule="auto"/>
        <w:ind w:left="0"/>
        <w:jc w:val="both"/>
        <w:rPr>
          <w:rFonts w:ascii="Bookman Old Style" w:hAnsi="Bookman Old Style"/>
          <w:color w:val="000000"/>
          <w:lang w:val="es-ES_tradnl"/>
        </w:rPr>
      </w:pPr>
    </w:p>
    <w:p w14:paraId="25DA3C23" w14:textId="7BA1F468" w:rsidR="0045649F" w:rsidRDefault="0045649F" w:rsidP="0045649F">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Con base en lo anterior</w:t>
      </w:r>
      <w:r>
        <w:rPr>
          <w:rFonts w:ascii="Bookman Old Style" w:hAnsi="Bookman Old Style"/>
          <w:color w:val="000000"/>
          <w:lang w:val="es-ES_tradnl"/>
        </w:rPr>
        <w:t>,</w:t>
      </w:r>
      <w:r w:rsidRPr="0005244A">
        <w:rPr>
          <w:rFonts w:ascii="Bookman Old Style" w:hAnsi="Bookman Old Style"/>
          <w:color w:val="000000"/>
          <w:lang w:val="es-ES_tradnl"/>
        </w:rPr>
        <w:t xml:space="preserve"> se prop</w:t>
      </w:r>
      <w:r w:rsidR="00431F4E">
        <w:rPr>
          <w:rFonts w:ascii="Bookman Old Style" w:hAnsi="Bookman Old Style"/>
          <w:color w:val="000000"/>
          <w:lang w:val="es-ES_tradnl"/>
        </w:rPr>
        <w:t>uso</w:t>
      </w:r>
      <w:r w:rsidRPr="0005244A">
        <w:rPr>
          <w:rFonts w:ascii="Bookman Old Style" w:hAnsi="Bookman Old Style"/>
          <w:color w:val="000000"/>
          <w:lang w:val="es-ES_tradnl"/>
        </w:rPr>
        <w:t xml:space="preserve"> incorporar la remuneración planteada como parte del esquema de la remuneración de los proyectos ejecutados mediante procesos de selección</w:t>
      </w:r>
      <w:r w:rsidRPr="008B30C5">
        <w:rPr>
          <w:rFonts w:ascii="Bookman Old Style" w:hAnsi="Bookman Old Style"/>
          <w:color w:val="000000"/>
          <w:lang w:val="es-ES_tradnl"/>
        </w:rPr>
        <w:t xml:space="preserve"> a los que se refiere la Re</w:t>
      </w:r>
      <w:r w:rsidRPr="002E46BD">
        <w:rPr>
          <w:rFonts w:ascii="Bookman Old Style" w:hAnsi="Bookman Old Style"/>
          <w:color w:val="000000"/>
          <w:lang w:val="es-ES_tradnl"/>
        </w:rPr>
        <w:t>solución CREG 10</w:t>
      </w:r>
      <w:r w:rsidRPr="002B48F0">
        <w:rPr>
          <w:rFonts w:ascii="Bookman Old Style" w:hAnsi="Bookman Old Style"/>
          <w:color w:val="000000"/>
          <w:lang w:val="es-ES_tradnl"/>
        </w:rPr>
        <w:t>7 de 2017</w:t>
      </w:r>
      <w:r w:rsidRPr="00020F46">
        <w:rPr>
          <w:rFonts w:ascii="Bookman Old Style" w:hAnsi="Bookman Old Style"/>
          <w:color w:val="000000"/>
          <w:lang w:val="es-ES_tradnl"/>
        </w:rPr>
        <w:t>.</w:t>
      </w:r>
    </w:p>
    <w:p w14:paraId="4041D199" w14:textId="77777777" w:rsidR="0045649F" w:rsidRDefault="0045649F" w:rsidP="0045649F">
      <w:pPr>
        <w:pStyle w:val="Textoindependiente2"/>
        <w:spacing w:after="0" w:line="240" w:lineRule="auto"/>
        <w:ind w:left="0"/>
        <w:jc w:val="both"/>
        <w:rPr>
          <w:rFonts w:ascii="Bookman Old Style" w:hAnsi="Bookman Old Style"/>
          <w:color w:val="000000"/>
          <w:lang w:val="es-ES_tradnl"/>
        </w:rPr>
      </w:pPr>
    </w:p>
    <w:p w14:paraId="3812ADFA" w14:textId="602C2F76" w:rsidR="0045649F" w:rsidRDefault="0045649F" w:rsidP="009C2F11">
      <w:pPr>
        <w:spacing w:after="0" w:line="240" w:lineRule="auto"/>
        <w:jc w:val="both"/>
        <w:rPr>
          <w:rFonts w:ascii="Bookman Old Style" w:eastAsia="Times New Roman" w:hAnsi="Bookman Old Style" w:cs="Times New Roman"/>
          <w:color w:val="000000"/>
          <w:sz w:val="24"/>
          <w:szCs w:val="24"/>
          <w:lang w:val="es-ES_tradnl" w:eastAsia="es-ES"/>
        </w:rPr>
      </w:pPr>
      <w:r w:rsidRPr="000F4D2C">
        <w:rPr>
          <w:rFonts w:ascii="Bookman Old Style" w:eastAsia="Times New Roman" w:hAnsi="Bookman Old Style" w:cs="Times New Roman"/>
          <w:color w:val="000000"/>
          <w:sz w:val="24"/>
          <w:szCs w:val="24"/>
          <w:lang w:val="es-ES_tradnl" w:eastAsia="es-ES"/>
        </w:rPr>
        <w:lastRenderedPageBreak/>
        <w:t>Adicionalmente, se consider</w:t>
      </w:r>
      <w:r w:rsidR="00AB6896">
        <w:rPr>
          <w:rFonts w:ascii="Bookman Old Style" w:eastAsia="Times New Roman" w:hAnsi="Bookman Old Style" w:cs="Times New Roman"/>
          <w:color w:val="000000"/>
          <w:sz w:val="24"/>
          <w:szCs w:val="24"/>
          <w:lang w:val="es-ES_tradnl" w:eastAsia="es-ES"/>
        </w:rPr>
        <w:t>ó</w:t>
      </w:r>
      <w:r w:rsidRPr="000F4D2C">
        <w:rPr>
          <w:rFonts w:ascii="Bookman Old Style" w:eastAsia="Times New Roman" w:hAnsi="Bookman Old Style" w:cs="Times New Roman"/>
          <w:color w:val="000000"/>
          <w:sz w:val="24"/>
          <w:szCs w:val="24"/>
          <w:lang w:val="es-ES_tradnl" w:eastAsia="es-ES"/>
        </w:rPr>
        <w:t xml:space="preserve"> que la remuneración de los proyectos IPAT del PAGN debe ser únicamente en pesos colombianos, considerando que, quien cuenta con mejores herramientas para manejar el riesgo cambiario es el transportador y no los usuarios, especialmente los que son demanda regulada. También, esto permite ser coherentes con la forma cómo se remuneran las inversiones en otras actividades de red, como transporte de electricidad, distribución de electricidad y distribución de gas combustible, las cuales se efectúan en pesos. </w:t>
      </w:r>
    </w:p>
    <w:p w14:paraId="1A25ACA5" w14:textId="77777777" w:rsidR="009C2F11" w:rsidRPr="000F4D2C" w:rsidRDefault="009C2F11" w:rsidP="009C2F11">
      <w:pPr>
        <w:spacing w:after="0" w:line="240" w:lineRule="auto"/>
        <w:jc w:val="both"/>
        <w:rPr>
          <w:rFonts w:ascii="Bookman Old Style" w:eastAsia="Times New Roman" w:hAnsi="Bookman Old Style" w:cs="Times New Roman"/>
          <w:color w:val="000000"/>
          <w:sz w:val="24"/>
          <w:szCs w:val="24"/>
          <w:lang w:val="es-ES_tradnl" w:eastAsia="es-ES"/>
        </w:rPr>
      </w:pPr>
    </w:p>
    <w:p w14:paraId="58A45F13" w14:textId="17D9DD0E" w:rsidR="0045649F" w:rsidRDefault="0045649F" w:rsidP="009C2F11">
      <w:pPr>
        <w:pStyle w:val="Textoindependiente2"/>
        <w:spacing w:after="0" w:line="240" w:lineRule="auto"/>
        <w:ind w:left="0"/>
        <w:jc w:val="both"/>
        <w:rPr>
          <w:rFonts w:ascii="Bookman Old Style" w:hAnsi="Bookman Old Style"/>
          <w:color w:val="000000"/>
          <w:lang w:val="es-ES_tradnl"/>
        </w:rPr>
      </w:pPr>
      <w:r w:rsidRPr="002C0EC3">
        <w:rPr>
          <w:rFonts w:ascii="Bookman Old Style" w:hAnsi="Bookman Old Style"/>
          <w:color w:val="000000"/>
          <w:lang w:val="es-ES_tradnl"/>
        </w:rPr>
        <w:t xml:space="preserve">En el caso de los proyectos del PAGN que no son </w:t>
      </w:r>
      <w:r w:rsidRPr="002C0EC3">
        <w:rPr>
          <w:rFonts w:ascii="Bookman Old Style" w:hAnsi="Bookman Old Style"/>
          <w:b/>
          <w:i/>
          <w:color w:val="000000"/>
          <w:lang w:val="es-ES_tradnl"/>
        </w:rPr>
        <w:t>IPAT</w:t>
      </w:r>
      <w:r w:rsidRPr="002C0EC3">
        <w:rPr>
          <w:rFonts w:ascii="Bookman Old Style" w:hAnsi="Bookman Old Style"/>
          <w:color w:val="000000"/>
          <w:lang w:val="es-ES_tradnl"/>
        </w:rPr>
        <w:t>, para incentivar la mayor participación en sus procesos de selección, la Comisión consider</w:t>
      </w:r>
      <w:r w:rsidR="00D443C0">
        <w:rPr>
          <w:rFonts w:ascii="Bookman Old Style" w:hAnsi="Bookman Old Style"/>
          <w:color w:val="000000"/>
          <w:lang w:val="es-ES_tradnl"/>
        </w:rPr>
        <w:t>ó</w:t>
      </w:r>
      <w:r w:rsidRPr="002C0EC3">
        <w:rPr>
          <w:rFonts w:ascii="Bookman Old Style" w:hAnsi="Bookman Old Style"/>
          <w:color w:val="000000"/>
          <w:lang w:val="es-ES_tradnl"/>
        </w:rPr>
        <w:t xml:space="preserve"> que una parte del ingreso anual esperado, </w:t>
      </w:r>
      <w:r w:rsidRPr="002C0EC3">
        <w:rPr>
          <w:rFonts w:ascii="Bookman Old Style" w:hAnsi="Bookman Old Style"/>
          <w:b/>
          <w:color w:val="000000"/>
          <w:lang w:val="es-ES_tradnl"/>
        </w:rPr>
        <w:t>IAE</w:t>
      </w:r>
      <w:r w:rsidRPr="002C0EC3">
        <w:rPr>
          <w:rFonts w:ascii="Bookman Old Style" w:hAnsi="Bookman Old Style"/>
          <w:color w:val="000000"/>
          <w:lang w:val="es-ES_tradnl"/>
        </w:rPr>
        <w:t>, es conveniente que se remunere en dólares americanos.</w:t>
      </w:r>
    </w:p>
    <w:p w14:paraId="13EBCA76" w14:textId="77777777" w:rsidR="009C2F11" w:rsidRDefault="009C2F11" w:rsidP="009C2F11">
      <w:pPr>
        <w:spacing w:after="0" w:line="240" w:lineRule="auto"/>
        <w:jc w:val="both"/>
        <w:rPr>
          <w:rFonts w:ascii="Bookman Old Style" w:eastAsia="Times New Roman" w:hAnsi="Bookman Old Style" w:cs="Times New Roman"/>
          <w:color w:val="000000"/>
          <w:sz w:val="24"/>
          <w:szCs w:val="24"/>
          <w:lang w:val="es-ES_tradnl" w:eastAsia="es-ES"/>
        </w:rPr>
      </w:pPr>
    </w:p>
    <w:p w14:paraId="17A8B524" w14:textId="11931B6C" w:rsidR="0045649F" w:rsidRDefault="0045649F" w:rsidP="009C2F11">
      <w:pPr>
        <w:spacing w:after="0" w:line="240" w:lineRule="auto"/>
        <w:jc w:val="both"/>
        <w:rPr>
          <w:rFonts w:ascii="Bookman Old Style" w:eastAsia="Times New Roman" w:hAnsi="Bookman Old Style" w:cs="Times New Roman"/>
          <w:color w:val="000000"/>
          <w:sz w:val="24"/>
          <w:szCs w:val="24"/>
          <w:lang w:val="es-ES_tradnl" w:eastAsia="es-ES"/>
        </w:rPr>
      </w:pPr>
      <w:r w:rsidRPr="000F4D2C">
        <w:rPr>
          <w:rFonts w:ascii="Bookman Old Style" w:eastAsia="Times New Roman" w:hAnsi="Bookman Old Style" w:cs="Times New Roman"/>
          <w:color w:val="000000"/>
          <w:sz w:val="24"/>
          <w:szCs w:val="24"/>
          <w:lang w:val="es-ES_tradnl" w:eastAsia="es-ES"/>
        </w:rPr>
        <w:t>La Resolución CREG 080 de 2019 establece reglas generales de comportamiento de mercado para los agentes que desarrollen las actividades de los servicios públicos domiciliarios de energía eléctrica y gas combustible.</w:t>
      </w:r>
    </w:p>
    <w:p w14:paraId="538FAE1D" w14:textId="77777777" w:rsidR="0033552B" w:rsidRPr="000F4D2C" w:rsidRDefault="0033552B" w:rsidP="009C2F11">
      <w:pPr>
        <w:spacing w:after="0" w:line="240" w:lineRule="auto"/>
        <w:jc w:val="both"/>
        <w:rPr>
          <w:rFonts w:ascii="Bookman Old Style" w:eastAsia="Times New Roman" w:hAnsi="Bookman Old Style" w:cs="Times New Roman"/>
          <w:color w:val="000000"/>
          <w:sz w:val="24"/>
          <w:szCs w:val="24"/>
          <w:lang w:val="es-ES_tradnl" w:eastAsia="es-ES"/>
        </w:rPr>
      </w:pPr>
    </w:p>
    <w:p w14:paraId="4B35DE10" w14:textId="3D987C96" w:rsidR="00E07B36" w:rsidRDefault="00E07B36" w:rsidP="009C2F11">
      <w:pPr>
        <w:pStyle w:val="Textoindependiente2"/>
        <w:spacing w:after="0" w:line="240" w:lineRule="auto"/>
        <w:ind w:left="0"/>
        <w:jc w:val="both"/>
        <w:rPr>
          <w:rFonts w:ascii="Bookman Old Style" w:hAnsi="Bookman Old Style"/>
          <w:i/>
          <w:iCs/>
        </w:rPr>
      </w:pPr>
      <w:r>
        <w:rPr>
          <w:rFonts w:ascii="Bookman Old Style" w:hAnsi="Bookman Old Style"/>
          <w:color w:val="000000"/>
          <w:lang w:val="es-ES_tradnl"/>
        </w:rPr>
        <w:t xml:space="preserve">Mediante la Resolución CREG 127 de 2021, la Comisión profirió la </w:t>
      </w:r>
      <w:r w:rsidRPr="004B3B4B">
        <w:rPr>
          <w:rFonts w:ascii="Bookman Old Style" w:hAnsi="Bookman Old Style"/>
        </w:rPr>
        <w:t>resolución de carácter general</w:t>
      </w:r>
      <w:r w:rsidRPr="003420CF">
        <w:t xml:space="preserve"> </w:t>
      </w:r>
      <w:r w:rsidRPr="00F14180">
        <w:rPr>
          <w:i/>
          <w:iCs/>
        </w:rPr>
        <w:t>“</w:t>
      </w:r>
      <w:r w:rsidRPr="00F14180">
        <w:rPr>
          <w:rFonts w:ascii="Bookman Old Style" w:hAnsi="Bookman Old Style"/>
          <w:i/>
          <w:iCs/>
        </w:rPr>
        <w:t>Por la cual se hacen unos ajustes a la Resolución CREG 107 de 2017””</w:t>
      </w:r>
      <w:r>
        <w:rPr>
          <w:rFonts w:ascii="Bookman Old Style" w:hAnsi="Bookman Old Style"/>
          <w:i/>
          <w:iCs/>
        </w:rPr>
        <w:t>.</w:t>
      </w:r>
    </w:p>
    <w:p w14:paraId="3A036333" w14:textId="77777777" w:rsidR="00062089" w:rsidRDefault="00062089" w:rsidP="00E07B36">
      <w:pPr>
        <w:pStyle w:val="Textoindependiente2"/>
        <w:spacing w:after="0" w:line="240" w:lineRule="auto"/>
        <w:ind w:left="0"/>
        <w:jc w:val="both"/>
        <w:rPr>
          <w:rFonts w:ascii="Bookman Old Style" w:hAnsi="Bookman Old Style"/>
          <w:i/>
          <w:iCs/>
        </w:rPr>
      </w:pPr>
    </w:p>
    <w:p w14:paraId="74CE5DBC" w14:textId="1EDD48CB" w:rsidR="00EB0658" w:rsidRDefault="00034173" w:rsidP="00E07B36">
      <w:pPr>
        <w:pStyle w:val="Textoindependiente2"/>
        <w:spacing w:after="0" w:line="240" w:lineRule="auto"/>
        <w:ind w:left="0"/>
        <w:jc w:val="both"/>
        <w:rPr>
          <w:rFonts w:ascii="Bookman Old Style" w:hAnsi="Bookman Old Style"/>
        </w:rPr>
      </w:pPr>
      <w:r>
        <w:rPr>
          <w:rFonts w:ascii="Bookman Old Style" w:hAnsi="Bookman Old Style"/>
        </w:rPr>
        <w:t>La UPME, a</w:t>
      </w:r>
      <w:r w:rsidR="0015575F">
        <w:rPr>
          <w:rFonts w:ascii="Bookman Old Style" w:hAnsi="Bookman Old Style"/>
        </w:rPr>
        <w:t xml:space="preserve"> través</w:t>
      </w:r>
      <w:r w:rsidR="002A331F">
        <w:rPr>
          <w:rFonts w:ascii="Bookman Old Style" w:hAnsi="Bookman Old Style"/>
        </w:rPr>
        <w:t xml:space="preserve"> de la Circular </w:t>
      </w:r>
      <w:r w:rsidR="001D2E3D">
        <w:rPr>
          <w:rFonts w:ascii="Bookman Old Style" w:hAnsi="Bookman Old Style"/>
        </w:rPr>
        <w:t xml:space="preserve">Externa UPME No. 059 de 2021, </w:t>
      </w:r>
      <w:r w:rsidR="00536A78">
        <w:rPr>
          <w:rFonts w:ascii="Bookman Old Style" w:hAnsi="Bookman Old Style"/>
        </w:rPr>
        <w:t>declaró</w:t>
      </w:r>
      <w:r w:rsidR="001D2E3D">
        <w:rPr>
          <w:rFonts w:ascii="Bookman Old Style" w:hAnsi="Bookman Old Style"/>
        </w:rPr>
        <w:t xml:space="preserve"> desierta la Convocatoria Pública </w:t>
      </w:r>
      <w:r w:rsidR="0015575F">
        <w:rPr>
          <w:rFonts w:ascii="Bookman Old Style" w:hAnsi="Bookman Old Style"/>
        </w:rPr>
        <w:t>GN-001 de 2020, por la no presentación de ofertas</w:t>
      </w:r>
      <w:r w:rsidR="00536A78">
        <w:rPr>
          <w:rFonts w:ascii="Bookman Old Style" w:hAnsi="Bookman Old Style"/>
        </w:rPr>
        <w:t>. Mediante c</w:t>
      </w:r>
      <w:r w:rsidR="00371A68">
        <w:rPr>
          <w:rFonts w:ascii="Bookman Old Style" w:hAnsi="Bookman Old Style"/>
        </w:rPr>
        <w:t>omunicación con radicado CREG E-2022-</w:t>
      </w:r>
      <w:r w:rsidR="00AD2F9B">
        <w:rPr>
          <w:rFonts w:ascii="Bookman Old Style" w:hAnsi="Bookman Old Style"/>
        </w:rPr>
        <w:t xml:space="preserve">005571 de mayo 19 de 2022, </w:t>
      </w:r>
      <w:r w:rsidR="00536A78">
        <w:rPr>
          <w:rFonts w:ascii="Bookman Old Style" w:hAnsi="Bookman Old Style"/>
        </w:rPr>
        <w:t xml:space="preserve">la UPME </w:t>
      </w:r>
      <w:r w:rsidR="00515F4C">
        <w:rPr>
          <w:rFonts w:ascii="Bookman Old Style" w:hAnsi="Bookman Old Style"/>
        </w:rPr>
        <w:t>envió a la CREG la</w:t>
      </w:r>
      <w:r w:rsidR="00970CAB">
        <w:rPr>
          <w:rFonts w:ascii="Bookman Old Style" w:hAnsi="Bookman Old Style"/>
        </w:rPr>
        <w:t xml:space="preserve"> </w:t>
      </w:r>
      <w:r w:rsidR="00EB0658" w:rsidRPr="000F4D2C">
        <w:rPr>
          <w:rFonts w:ascii="Bookman Old Style" w:hAnsi="Bookman Old Style"/>
        </w:rPr>
        <w:t>identifica</w:t>
      </w:r>
      <w:r w:rsidR="00515F4C">
        <w:rPr>
          <w:rFonts w:ascii="Bookman Old Style" w:hAnsi="Bookman Old Style"/>
        </w:rPr>
        <w:t>ción de</w:t>
      </w:r>
      <w:r w:rsidR="00EB0658" w:rsidRPr="000F4D2C">
        <w:rPr>
          <w:rFonts w:ascii="Bookman Old Style" w:hAnsi="Bookman Old Style"/>
        </w:rPr>
        <w:t xml:space="preserve"> aspectos regulatorios </w:t>
      </w:r>
      <w:r w:rsidR="00970CAB">
        <w:rPr>
          <w:rFonts w:ascii="Bookman Old Style" w:hAnsi="Bookman Old Style"/>
        </w:rPr>
        <w:t>re</w:t>
      </w:r>
      <w:r w:rsidR="00EB0658" w:rsidRPr="000F4D2C">
        <w:rPr>
          <w:rFonts w:ascii="Bookman Old Style" w:hAnsi="Bookman Old Style"/>
        </w:rPr>
        <w:t xml:space="preserve">levantes para que </w:t>
      </w:r>
      <w:r w:rsidR="00515F4C">
        <w:rPr>
          <w:rFonts w:ascii="Bookman Old Style" w:hAnsi="Bookman Old Style"/>
        </w:rPr>
        <w:t>en el desarrollo de una</w:t>
      </w:r>
      <w:r w:rsidR="00EB0658" w:rsidRPr="000F4D2C">
        <w:rPr>
          <w:rFonts w:ascii="Bookman Old Style" w:hAnsi="Bookman Old Style"/>
        </w:rPr>
        <w:t xml:space="preserve"> nueva convocatoria </w:t>
      </w:r>
      <w:r w:rsidR="00515F4C">
        <w:rPr>
          <w:rFonts w:ascii="Bookman Old Style" w:hAnsi="Bookman Old Style"/>
        </w:rPr>
        <w:t xml:space="preserve">se </w:t>
      </w:r>
      <w:r w:rsidR="00EB0658" w:rsidRPr="000F4D2C">
        <w:rPr>
          <w:rFonts w:ascii="Bookman Old Style" w:hAnsi="Bookman Old Style"/>
        </w:rPr>
        <w:t>culmine de manera exitosa con la adjudicación del proyecto de la IIGP</w:t>
      </w:r>
      <w:r w:rsidR="00615BB6">
        <w:rPr>
          <w:rFonts w:ascii="Bookman Old Style" w:hAnsi="Bookman Old Style"/>
        </w:rPr>
        <w:t>, anexando</w:t>
      </w:r>
      <w:r w:rsidR="00F62975">
        <w:rPr>
          <w:rFonts w:ascii="Bookman Old Style" w:hAnsi="Bookman Old Style"/>
        </w:rPr>
        <w:t xml:space="preserve"> los d</w:t>
      </w:r>
      <w:r w:rsidR="00EB0658" w:rsidRPr="000F4D2C">
        <w:rPr>
          <w:rFonts w:ascii="Bookman Old Style" w:hAnsi="Bookman Old Style"/>
        </w:rPr>
        <w:t>ocumento</w:t>
      </w:r>
      <w:r w:rsidR="00F62975">
        <w:rPr>
          <w:rFonts w:ascii="Bookman Old Style" w:hAnsi="Bookman Old Style"/>
        </w:rPr>
        <w:t>s</w:t>
      </w:r>
      <w:r w:rsidR="00EB0658" w:rsidRPr="000F4D2C">
        <w:rPr>
          <w:rFonts w:ascii="Bookman Old Style" w:hAnsi="Bookman Old Style"/>
        </w:rPr>
        <w:t xml:space="preserve"> con las observaciones a los conceptos regulatorios que considera que se deben aclarar, complementar o ajustar</w:t>
      </w:r>
      <w:r w:rsidR="00F62975">
        <w:rPr>
          <w:rFonts w:ascii="Bookman Old Style" w:hAnsi="Bookman Old Style"/>
        </w:rPr>
        <w:t>, incluidas sus propuestas</w:t>
      </w:r>
      <w:r w:rsidR="00515F4C">
        <w:rPr>
          <w:rFonts w:ascii="Bookman Old Style" w:hAnsi="Bookman Old Style"/>
        </w:rPr>
        <w:t>.</w:t>
      </w:r>
      <w:r w:rsidR="00F62975">
        <w:rPr>
          <w:rFonts w:ascii="Bookman Old Style" w:hAnsi="Bookman Old Style"/>
        </w:rPr>
        <w:t xml:space="preserve"> </w:t>
      </w:r>
    </w:p>
    <w:p w14:paraId="5A7C98CB" w14:textId="77777777" w:rsidR="00062089" w:rsidRPr="000F4D2C" w:rsidRDefault="00062089" w:rsidP="00E07B36">
      <w:pPr>
        <w:pStyle w:val="Textoindependiente2"/>
        <w:spacing w:after="0" w:line="240" w:lineRule="auto"/>
        <w:ind w:left="0"/>
        <w:jc w:val="both"/>
        <w:rPr>
          <w:rFonts w:ascii="Bookman Old Style" w:hAnsi="Bookman Old Style"/>
        </w:rPr>
      </w:pPr>
    </w:p>
    <w:p w14:paraId="442FC2A8" w14:textId="46998056" w:rsidR="00CF5EFC" w:rsidRPr="000F4D2C" w:rsidRDefault="00CF5EFC" w:rsidP="00800F34">
      <w:pPr>
        <w:jc w:val="both"/>
        <w:rPr>
          <w:rFonts w:ascii="Bookman Old Style" w:hAnsi="Bookman Old Style" w:cs="Arial"/>
          <w:color w:val="000000" w:themeColor="text1"/>
          <w:sz w:val="24"/>
          <w:szCs w:val="24"/>
          <w:shd w:val="clear" w:color="auto" w:fill="FFFFFF"/>
        </w:rPr>
      </w:pPr>
      <w:r w:rsidRPr="00FD7906">
        <w:rPr>
          <w:rFonts w:ascii="Bookman Old Style" w:hAnsi="Bookman Old Style" w:cs="Arial"/>
          <w:color w:val="000000" w:themeColor="text1"/>
          <w:sz w:val="24"/>
          <w:szCs w:val="24"/>
          <w:shd w:val="clear" w:color="auto" w:fill="FFFFFF"/>
        </w:rPr>
        <w:t>La Comisión de Regulación de Energía y Gas aprobó el presente acto administrativo</w:t>
      </w:r>
      <w:r w:rsidRPr="000F4D2C">
        <w:rPr>
          <w:rFonts w:ascii="Bookman Old Style" w:hAnsi="Bookman Old Style" w:cs="Arial"/>
          <w:color w:val="000000" w:themeColor="text1"/>
          <w:sz w:val="24"/>
          <w:szCs w:val="24"/>
        </w:rPr>
        <w:t xml:space="preserve"> en la sesión </w:t>
      </w:r>
      <w:r w:rsidR="00C36302">
        <w:rPr>
          <w:rFonts w:ascii="Bookman Old Style" w:hAnsi="Bookman Old Style" w:cs="Arial"/>
          <w:color w:val="000000" w:themeColor="text1"/>
          <w:sz w:val="24"/>
          <w:szCs w:val="24"/>
        </w:rPr>
        <w:t>1172</w:t>
      </w:r>
      <w:r w:rsidR="00E53B73" w:rsidRPr="000F4D2C">
        <w:rPr>
          <w:rFonts w:ascii="Bookman Old Style" w:hAnsi="Bookman Old Style" w:cs="Arial"/>
          <w:color w:val="000000" w:themeColor="text1"/>
          <w:sz w:val="24"/>
          <w:szCs w:val="24"/>
        </w:rPr>
        <w:t xml:space="preserve"> </w:t>
      </w:r>
      <w:r w:rsidRPr="000F4D2C">
        <w:rPr>
          <w:rFonts w:ascii="Bookman Old Style" w:hAnsi="Bookman Old Style" w:cs="Arial"/>
          <w:color w:val="000000" w:themeColor="text1"/>
          <w:sz w:val="24"/>
          <w:szCs w:val="24"/>
        </w:rPr>
        <w:t xml:space="preserve">del </w:t>
      </w:r>
      <w:r w:rsidR="00615BB6">
        <w:rPr>
          <w:rFonts w:ascii="Bookman Old Style" w:hAnsi="Bookman Old Style" w:cs="Arial"/>
          <w:color w:val="000000" w:themeColor="text1"/>
          <w:sz w:val="24"/>
          <w:szCs w:val="24"/>
        </w:rPr>
        <w:t>31 de mayo de 2022</w:t>
      </w:r>
      <w:r w:rsidRPr="000F4D2C">
        <w:rPr>
          <w:rFonts w:ascii="Bookman Old Style" w:hAnsi="Bookman Old Style" w:cs="Arial"/>
          <w:color w:val="000000" w:themeColor="text1"/>
          <w:sz w:val="24"/>
          <w:szCs w:val="24"/>
        </w:rPr>
        <w:t>.</w:t>
      </w:r>
    </w:p>
    <w:p w14:paraId="7B31A86C" w14:textId="77777777" w:rsidR="00F10A2A" w:rsidRPr="00F23AE8" w:rsidRDefault="00F10A2A" w:rsidP="000F4D2C">
      <w:pPr>
        <w:rPr>
          <w:rFonts w:ascii="Bookman Old Style" w:hAnsi="Bookman Old Style" w:cs="Arial"/>
          <w:b/>
          <w:color w:val="000000"/>
        </w:rPr>
      </w:pPr>
    </w:p>
    <w:p w14:paraId="0482B64F" w14:textId="77777777" w:rsidR="00CF5EFC" w:rsidRPr="00F23AE8" w:rsidRDefault="00CF5EFC" w:rsidP="00CF5EFC">
      <w:pPr>
        <w:jc w:val="center"/>
        <w:rPr>
          <w:rFonts w:ascii="Bookman Old Style" w:hAnsi="Bookman Old Style" w:cs="Arial"/>
          <w:b/>
          <w:color w:val="000000"/>
        </w:rPr>
      </w:pPr>
      <w:r w:rsidRPr="00F23AE8">
        <w:rPr>
          <w:rFonts w:ascii="Bookman Old Style" w:hAnsi="Bookman Old Style" w:cs="Arial"/>
          <w:b/>
          <w:color w:val="000000"/>
        </w:rPr>
        <w:t>R E S U E L V E:</w:t>
      </w:r>
    </w:p>
    <w:p w14:paraId="6D2DAFDF" w14:textId="77777777" w:rsidR="00CF5EFC" w:rsidRPr="00F23AE8" w:rsidRDefault="00CF5EFC" w:rsidP="00CF5EFC">
      <w:pPr>
        <w:rPr>
          <w:rFonts w:ascii="Bookman Old Style" w:hAnsi="Bookman Old Style" w:cs="Arial"/>
          <w:b/>
          <w:color w:val="000000"/>
        </w:rPr>
      </w:pPr>
    </w:p>
    <w:p w14:paraId="0CC0E052" w14:textId="77777777" w:rsidR="00CF5EFC" w:rsidRPr="00F23AE8" w:rsidRDefault="00CF5EFC" w:rsidP="00CF5EFC">
      <w:pPr>
        <w:pStyle w:val="Estilo3"/>
        <w:jc w:val="center"/>
        <w:rPr>
          <w:rFonts w:ascii="Bookman Old Style" w:hAnsi="Bookman Old Style"/>
          <w:b/>
          <w:sz w:val="24"/>
          <w:szCs w:val="24"/>
        </w:rPr>
      </w:pPr>
      <w:r w:rsidRPr="00F23AE8">
        <w:rPr>
          <w:rFonts w:ascii="Bookman Old Style" w:hAnsi="Bookman Old Style"/>
          <w:b/>
          <w:sz w:val="24"/>
          <w:szCs w:val="24"/>
        </w:rPr>
        <w:t>Capítulo I</w:t>
      </w:r>
    </w:p>
    <w:p w14:paraId="5E6A6940" w14:textId="77777777" w:rsidR="00CF5EFC" w:rsidRPr="00F23AE8" w:rsidRDefault="00CF5EFC" w:rsidP="00CF5EFC">
      <w:pPr>
        <w:pStyle w:val="Estilo3"/>
        <w:jc w:val="center"/>
        <w:rPr>
          <w:rFonts w:ascii="Bookman Old Style" w:hAnsi="Bookman Old Style"/>
          <w:b/>
          <w:sz w:val="24"/>
          <w:szCs w:val="24"/>
        </w:rPr>
      </w:pPr>
      <w:r w:rsidRPr="00F23AE8">
        <w:rPr>
          <w:rFonts w:ascii="Bookman Old Style" w:hAnsi="Bookman Old Style"/>
          <w:b/>
          <w:sz w:val="24"/>
          <w:szCs w:val="24"/>
        </w:rPr>
        <w:t>Disposiciones generales</w:t>
      </w:r>
    </w:p>
    <w:p w14:paraId="3354B6AF" w14:textId="77777777" w:rsidR="00CF5EFC" w:rsidRPr="00571EE2" w:rsidRDefault="00CF5EFC" w:rsidP="00CF5EFC">
      <w:pPr>
        <w:pStyle w:val="Estilo3"/>
        <w:rPr>
          <w:rFonts w:ascii="Bookman Old Style" w:hAnsi="Bookman Old Style"/>
          <w:b/>
        </w:rPr>
      </w:pPr>
    </w:p>
    <w:p w14:paraId="53F129C5" w14:textId="77777777" w:rsidR="00CF5EFC" w:rsidRPr="00571EE2" w:rsidRDefault="00CF5EFC" w:rsidP="00CF5EFC">
      <w:pPr>
        <w:pStyle w:val="Estilo3"/>
        <w:rPr>
          <w:rFonts w:ascii="Bookman Old Style" w:hAnsi="Bookman Old Style"/>
          <w:b/>
        </w:rPr>
      </w:pPr>
    </w:p>
    <w:p w14:paraId="65DC4E5E" w14:textId="3B173A36" w:rsidR="00CF5EFC" w:rsidRPr="00F23AE8" w:rsidRDefault="00CF5EFC" w:rsidP="00CF5EFC">
      <w:pPr>
        <w:pStyle w:val="Estilo3"/>
        <w:jc w:val="both"/>
        <w:outlineLvl w:val="0"/>
        <w:rPr>
          <w:rFonts w:ascii="Bookman Old Style" w:hAnsi="Bookman Old Style"/>
          <w:sz w:val="24"/>
          <w:szCs w:val="24"/>
        </w:rPr>
      </w:pPr>
      <w:bookmarkStart w:id="0" w:name="_Ref253670052"/>
      <w:r w:rsidRPr="00F23AE8">
        <w:rPr>
          <w:rFonts w:ascii="Bookman Old Style" w:hAnsi="Bookman Old Style"/>
          <w:b/>
          <w:sz w:val="24"/>
          <w:szCs w:val="24"/>
        </w:rPr>
        <w:t>Artículo 1.</w:t>
      </w:r>
      <w:r w:rsidRPr="00F23AE8">
        <w:rPr>
          <w:rFonts w:ascii="Bookman Old Style" w:hAnsi="Bookman Old Style"/>
          <w:sz w:val="24"/>
          <w:szCs w:val="24"/>
        </w:rPr>
        <w:t xml:space="preserve"> </w:t>
      </w:r>
      <w:r w:rsidRPr="00F23AE8">
        <w:rPr>
          <w:rFonts w:ascii="Bookman Old Style" w:hAnsi="Bookman Old Style"/>
          <w:b/>
          <w:sz w:val="24"/>
          <w:szCs w:val="24"/>
        </w:rPr>
        <w:t>Objeto y ámbito de aplicación</w:t>
      </w:r>
      <w:r w:rsidRPr="00F23AE8">
        <w:rPr>
          <w:rFonts w:ascii="Bookman Old Style" w:hAnsi="Bookman Old Style"/>
          <w:sz w:val="24"/>
          <w:szCs w:val="24"/>
        </w:rPr>
        <w:t xml:space="preserve">. </w:t>
      </w:r>
      <w:bookmarkEnd w:id="0"/>
      <w:r w:rsidRPr="00F23AE8">
        <w:rPr>
          <w:rFonts w:ascii="Bookman Old Style" w:hAnsi="Bookman Old Style"/>
          <w:sz w:val="24"/>
          <w:szCs w:val="24"/>
        </w:rPr>
        <w:t xml:space="preserve">Esta Resolución tiene por objeto establecer los </w:t>
      </w:r>
      <w:r>
        <w:rPr>
          <w:rFonts w:ascii="Bookman Old Style" w:hAnsi="Bookman Old Style"/>
          <w:sz w:val="24"/>
          <w:szCs w:val="24"/>
        </w:rPr>
        <w:t xml:space="preserve">mecanismos centralizados </w:t>
      </w:r>
      <w:r w:rsidRPr="00F23AE8">
        <w:rPr>
          <w:rFonts w:ascii="Bookman Old Style" w:hAnsi="Bookman Old Style"/>
          <w:sz w:val="24"/>
          <w:szCs w:val="24"/>
        </w:rPr>
        <w:t xml:space="preserve">dentro de los cuales se debe adelantar la ejecución de proyectos </w:t>
      </w:r>
      <w:r>
        <w:rPr>
          <w:rFonts w:ascii="Bookman Old Style" w:hAnsi="Bookman Old Style"/>
          <w:sz w:val="24"/>
          <w:szCs w:val="24"/>
        </w:rPr>
        <w:t xml:space="preserve">prioritarios del </w:t>
      </w:r>
      <w:r w:rsidRPr="00F23AE8">
        <w:rPr>
          <w:rFonts w:ascii="Bookman Old Style" w:hAnsi="Bookman Old Style"/>
          <w:sz w:val="24"/>
          <w:szCs w:val="24"/>
        </w:rPr>
        <w:t>plan de abastecimiento de gas natural</w:t>
      </w:r>
      <w:r>
        <w:rPr>
          <w:rFonts w:ascii="Bookman Old Style" w:hAnsi="Bookman Old Style"/>
          <w:sz w:val="24"/>
          <w:szCs w:val="24"/>
        </w:rPr>
        <w:t>, o del plan transitorio de abastecimiento de gas natural, adoptado por el Ministerio de Minas y Energía</w:t>
      </w:r>
      <w:r w:rsidRPr="00F23AE8">
        <w:rPr>
          <w:rFonts w:ascii="Bookman Old Style" w:hAnsi="Bookman Old Style"/>
          <w:sz w:val="24"/>
          <w:szCs w:val="24"/>
        </w:rPr>
        <w:t xml:space="preserve">. Se aplicará a todos los </w:t>
      </w:r>
      <w:r>
        <w:rPr>
          <w:rFonts w:ascii="Bookman Old Style" w:hAnsi="Bookman Old Style"/>
          <w:sz w:val="24"/>
          <w:szCs w:val="24"/>
        </w:rPr>
        <w:t>participantes del mercado de gas natural</w:t>
      </w:r>
      <w:r w:rsidRPr="00F23AE8">
        <w:rPr>
          <w:rFonts w:ascii="Bookman Old Style" w:hAnsi="Bookman Old Style"/>
          <w:sz w:val="24"/>
          <w:szCs w:val="24"/>
        </w:rPr>
        <w:t>, a los interesados en participar en los procesos de selección y a los demás agentes y usuarios beneficiarios del servicio de gas natural.</w:t>
      </w:r>
      <w:r>
        <w:rPr>
          <w:rFonts w:ascii="Bookman Old Style" w:hAnsi="Bookman Old Style"/>
          <w:sz w:val="24"/>
          <w:szCs w:val="24"/>
        </w:rPr>
        <w:t xml:space="preserve"> </w:t>
      </w:r>
      <w:r w:rsidRPr="00F23AE8">
        <w:rPr>
          <w:rFonts w:ascii="Bookman Old Style" w:hAnsi="Bookman Old Style"/>
          <w:sz w:val="24"/>
          <w:szCs w:val="24"/>
        </w:rPr>
        <w:t xml:space="preserve"> </w:t>
      </w:r>
    </w:p>
    <w:p w14:paraId="4FB76A41" w14:textId="77777777" w:rsidR="00CF5EFC" w:rsidRPr="00571EE2" w:rsidRDefault="00CF5EFC" w:rsidP="00CF5EFC">
      <w:pPr>
        <w:pStyle w:val="Estilo3"/>
        <w:rPr>
          <w:rFonts w:ascii="Bookman Old Style" w:hAnsi="Bookman Old Style"/>
        </w:rPr>
      </w:pPr>
    </w:p>
    <w:p w14:paraId="4A740DFD" w14:textId="5E0B36D0" w:rsidR="00CF5EFC" w:rsidRPr="00F23AE8" w:rsidRDefault="00CF5EFC" w:rsidP="00CF5EFC">
      <w:pPr>
        <w:pStyle w:val="Estilo3"/>
        <w:widowControl w:val="0"/>
        <w:numPr>
          <w:ilvl w:val="0"/>
          <w:numId w:val="10"/>
        </w:numPr>
        <w:jc w:val="both"/>
        <w:outlineLvl w:val="0"/>
        <w:rPr>
          <w:rFonts w:ascii="Bookman Old Style" w:hAnsi="Bookman Old Style"/>
          <w:color w:val="000000"/>
          <w:sz w:val="24"/>
          <w:szCs w:val="24"/>
        </w:rPr>
      </w:pPr>
      <w:bookmarkStart w:id="1" w:name="_Ref224661154"/>
      <w:r w:rsidRPr="00F23AE8">
        <w:rPr>
          <w:rFonts w:ascii="Bookman Old Style" w:hAnsi="Bookman Old Style"/>
          <w:b/>
          <w:color w:val="000000"/>
          <w:sz w:val="24"/>
          <w:szCs w:val="24"/>
        </w:rPr>
        <w:t>Definiciones.</w:t>
      </w:r>
      <w:r w:rsidRPr="00F23AE8">
        <w:rPr>
          <w:rFonts w:ascii="Bookman Old Style" w:hAnsi="Bookman Old Style"/>
          <w:color w:val="000000"/>
          <w:sz w:val="24"/>
          <w:szCs w:val="24"/>
        </w:rPr>
        <w:t xml:space="preserve"> Para la interpretación y aplicación de esta Resolución se tendrán en cuenta, además de las definiciones establecidas en la Ley 142 de 1994 y en las resoluciones vigentes de la CREG, las siguientes:</w:t>
      </w:r>
      <w:bookmarkEnd w:id="1"/>
      <w:r w:rsidRPr="00F23AE8">
        <w:rPr>
          <w:rFonts w:ascii="Bookman Old Style" w:hAnsi="Bookman Old Style"/>
          <w:color w:val="000000"/>
          <w:sz w:val="24"/>
          <w:szCs w:val="24"/>
        </w:rPr>
        <w:t xml:space="preserve"> </w:t>
      </w:r>
    </w:p>
    <w:p w14:paraId="61497C99" w14:textId="77777777" w:rsidR="00CF5EFC" w:rsidRPr="00FC6BCB" w:rsidRDefault="00CF5EFC" w:rsidP="00CF5EFC">
      <w:pPr>
        <w:pStyle w:val="Estilo8"/>
        <w:widowControl w:val="0"/>
        <w:jc w:val="both"/>
        <w:rPr>
          <w:rFonts w:ascii="Bookman Old Style" w:hAnsi="Bookman Old Style"/>
          <w:b/>
          <w:color w:val="000000"/>
          <w:sz w:val="24"/>
          <w:szCs w:val="24"/>
        </w:rPr>
      </w:pPr>
    </w:p>
    <w:p w14:paraId="5B3DE3AE" w14:textId="62F60C44" w:rsidR="00CF5EFC" w:rsidRDefault="00CF5EFC" w:rsidP="00CF5EFC">
      <w:pPr>
        <w:pStyle w:val="Estilo8"/>
        <w:widowControl w:val="0"/>
        <w:jc w:val="both"/>
        <w:rPr>
          <w:rFonts w:ascii="Bookman Old Style" w:hAnsi="Bookman Old Style"/>
          <w:color w:val="000000"/>
          <w:sz w:val="24"/>
          <w:szCs w:val="24"/>
        </w:rPr>
      </w:pPr>
      <w:r w:rsidRPr="00571EE2">
        <w:rPr>
          <w:rFonts w:ascii="Bookman Old Style" w:hAnsi="Bookman Old Style"/>
          <w:b/>
          <w:color w:val="000000"/>
          <w:sz w:val="24"/>
          <w:szCs w:val="24"/>
        </w:rPr>
        <w:t xml:space="preserve">Adjudicatario: </w:t>
      </w:r>
      <w:r w:rsidR="00172961">
        <w:rPr>
          <w:rFonts w:ascii="Bookman Old Style" w:hAnsi="Bookman Old Style"/>
          <w:color w:val="000000"/>
          <w:sz w:val="24"/>
          <w:szCs w:val="24"/>
        </w:rPr>
        <w:t>P</w:t>
      </w:r>
      <w:r w:rsidR="00810200" w:rsidRPr="000F4D2C">
        <w:rPr>
          <w:rFonts w:ascii="Bookman Old Style" w:hAnsi="Bookman Old Style"/>
          <w:color w:val="000000"/>
          <w:sz w:val="24"/>
          <w:szCs w:val="24"/>
        </w:rPr>
        <w:t xml:space="preserve">ersona </w:t>
      </w:r>
      <w:r w:rsidRPr="000F4D2C">
        <w:rPr>
          <w:rFonts w:ascii="Bookman Old Style" w:hAnsi="Bookman Old Style"/>
          <w:color w:val="000000"/>
          <w:sz w:val="24"/>
          <w:szCs w:val="24"/>
        </w:rPr>
        <w:t>jurídica, sucursal de sociedad extranjera con domicilio en Colombia o consorcio que, como resultado de un proceso de selección, ha sido escogido para ejecutar el proyecto objeto de dicho proceso y, por tanto, es el responsable de construir, operar y mantener el proyecto en los términos establecidos en la presente Resolución y en los respectivos documentos que acompañan el proceso de selección.</w:t>
      </w:r>
    </w:p>
    <w:p w14:paraId="70546BD7" w14:textId="77777777" w:rsidR="00CF5EFC" w:rsidRDefault="00CF5EFC" w:rsidP="00CF5EFC">
      <w:pPr>
        <w:pStyle w:val="Estilo8"/>
        <w:widowControl w:val="0"/>
        <w:jc w:val="both"/>
        <w:rPr>
          <w:rFonts w:ascii="Bookman Old Style" w:hAnsi="Bookman Old Style"/>
          <w:color w:val="000000"/>
          <w:sz w:val="24"/>
          <w:szCs w:val="24"/>
        </w:rPr>
      </w:pPr>
    </w:p>
    <w:p w14:paraId="71BA0AF1" w14:textId="14418424" w:rsidR="00CF5EFC" w:rsidRPr="000F4D2C" w:rsidRDefault="00CF5EFC" w:rsidP="00CF5EFC">
      <w:pPr>
        <w:pStyle w:val="Estilo8"/>
        <w:widowControl w:val="0"/>
        <w:jc w:val="both"/>
        <w:rPr>
          <w:rFonts w:ascii="Bookman Old Style" w:hAnsi="Bookman Old Style"/>
          <w:bCs/>
          <w:color w:val="000000"/>
          <w:sz w:val="24"/>
          <w:szCs w:val="24"/>
        </w:rPr>
      </w:pPr>
      <w:r>
        <w:rPr>
          <w:rFonts w:ascii="Bookman Old Style" w:hAnsi="Bookman Old Style"/>
          <w:b/>
          <w:bCs/>
          <w:color w:val="000000"/>
          <w:sz w:val="24"/>
          <w:szCs w:val="24"/>
        </w:rPr>
        <w:t>Beneficiario</w:t>
      </w:r>
      <w:r w:rsidR="00120CE8">
        <w:rPr>
          <w:rFonts w:ascii="Bookman Old Style" w:hAnsi="Bookman Old Style"/>
          <w:b/>
          <w:bCs/>
          <w:color w:val="000000"/>
          <w:sz w:val="24"/>
          <w:szCs w:val="24"/>
        </w:rPr>
        <w:t>s</w:t>
      </w:r>
      <w:r>
        <w:rPr>
          <w:rFonts w:ascii="Bookman Old Style" w:hAnsi="Bookman Old Style"/>
          <w:b/>
          <w:bCs/>
          <w:color w:val="000000"/>
          <w:sz w:val="24"/>
          <w:szCs w:val="24"/>
        </w:rPr>
        <w:t>:</w:t>
      </w:r>
      <w:r w:rsidRPr="00571EE2">
        <w:rPr>
          <w:rFonts w:ascii="Bookman Old Style" w:hAnsi="Bookman Old Style"/>
          <w:color w:val="000000"/>
          <w:sz w:val="24"/>
          <w:szCs w:val="24"/>
        </w:rPr>
        <w:t xml:space="preserve"> </w:t>
      </w:r>
      <w:r w:rsidR="00172961">
        <w:rPr>
          <w:rFonts w:ascii="Bookman Old Style" w:hAnsi="Bookman Old Style"/>
          <w:bCs/>
          <w:color w:val="000000"/>
          <w:sz w:val="24"/>
          <w:szCs w:val="24"/>
        </w:rPr>
        <w:t>C</w:t>
      </w:r>
      <w:r w:rsidRPr="000F4D2C">
        <w:rPr>
          <w:rFonts w:ascii="Bookman Old Style" w:hAnsi="Bookman Old Style"/>
          <w:bCs/>
          <w:color w:val="000000"/>
          <w:sz w:val="24"/>
          <w:szCs w:val="24"/>
        </w:rPr>
        <w:t>orresponden a los usuarios identificados por la UPME, de conformidad con lo establecido en la Resolución 40052 de 2016 del Ministerio de Minas y Energía, o aquellas que la modifiquen o sustituyan. Para efectos de la presente resolución se considerarán como beneficiarios a los usuarios finales o comercializadores que atienden a los usuarios finales identificados por la UPME, que tienen suscritos contratos de capacidad de transporte en el mercado primario.</w:t>
      </w:r>
    </w:p>
    <w:p w14:paraId="0942B8DD" w14:textId="77777777" w:rsidR="00CF5EFC" w:rsidRPr="000F4D2C" w:rsidRDefault="00CF5EFC" w:rsidP="00CF5EFC">
      <w:pPr>
        <w:pStyle w:val="Estilo8"/>
        <w:widowControl w:val="0"/>
        <w:jc w:val="both"/>
        <w:rPr>
          <w:rFonts w:ascii="Bookman Old Style" w:hAnsi="Bookman Old Style"/>
          <w:b/>
          <w:color w:val="000000"/>
          <w:sz w:val="24"/>
          <w:szCs w:val="24"/>
        </w:rPr>
      </w:pPr>
    </w:p>
    <w:p w14:paraId="5FBAACC2" w14:textId="653D11D2" w:rsidR="00CF5EFC" w:rsidRPr="00945D06" w:rsidRDefault="00CF5EFC" w:rsidP="00CF5EFC">
      <w:pPr>
        <w:pStyle w:val="Estilo8"/>
        <w:widowControl w:val="0"/>
        <w:jc w:val="both"/>
        <w:rPr>
          <w:rFonts w:ascii="Bookman Old Style" w:hAnsi="Bookman Old Style"/>
          <w:bCs/>
          <w:i/>
          <w:iCs/>
          <w:color w:val="000000"/>
          <w:sz w:val="24"/>
          <w:szCs w:val="24"/>
        </w:rPr>
      </w:pPr>
      <w:r w:rsidRPr="000F4D2C">
        <w:rPr>
          <w:rFonts w:ascii="Bookman Old Style" w:hAnsi="Bookman Old Style"/>
          <w:b/>
          <w:color w:val="000000" w:themeColor="text1"/>
          <w:sz w:val="24"/>
          <w:szCs w:val="24"/>
        </w:rPr>
        <w:t xml:space="preserve">Consumer Price Index, CPI: </w:t>
      </w:r>
      <w:r w:rsidR="00172961">
        <w:rPr>
          <w:rFonts w:ascii="Bookman Old Style" w:hAnsi="Bookman Old Style"/>
          <w:color w:val="000000" w:themeColor="text1"/>
          <w:sz w:val="24"/>
          <w:szCs w:val="24"/>
        </w:rPr>
        <w:t>Í</w:t>
      </w:r>
      <w:r w:rsidRPr="000F4D2C">
        <w:rPr>
          <w:rFonts w:ascii="Bookman Old Style" w:hAnsi="Bookman Old Style"/>
          <w:color w:val="000000" w:themeColor="text1"/>
          <w:sz w:val="24"/>
          <w:szCs w:val="24"/>
        </w:rPr>
        <w:t>ndice de precios al consumidor de los Estados Unidos de América, correspondiente a todos los ítems, publicado por la oficina de estadísticas laborales del Departamento de Trabajo de los Estados Unidos de América (Series ID: CUUR0000SA0 o la que la remplace)</w:t>
      </w:r>
      <w:r w:rsidR="00645095" w:rsidRPr="261CDD06">
        <w:rPr>
          <w:rFonts w:ascii="Bookman Old Style" w:hAnsi="Bookman Old Style"/>
          <w:color w:val="000000" w:themeColor="text1"/>
          <w:sz w:val="24"/>
          <w:szCs w:val="24"/>
        </w:rPr>
        <w:t>.</w:t>
      </w:r>
    </w:p>
    <w:p w14:paraId="23A83B70" w14:textId="15CD4274" w:rsidR="261CDD06" w:rsidRPr="000F4D2C" w:rsidRDefault="261CDD06" w:rsidP="261CDD06">
      <w:pPr>
        <w:pStyle w:val="Estilo8"/>
        <w:widowControl w:val="0"/>
        <w:jc w:val="both"/>
      </w:pPr>
    </w:p>
    <w:p w14:paraId="7D33C6FA" w14:textId="587933E2" w:rsidR="261CDD06" w:rsidRPr="000F4D2C" w:rsidRDefault="261CDD06" w:rsidP="261CDD06">
      <w:pPr>
        <w:spacing w:line="257" w:lineRule="auto"/>
        <w:jc w:val="both"/>
        <w:rPr>
          <w:rFonts w:ascii="Arial Narrow" w:eastAsia="Arial Narrow" w:hAnsi="Arial Narrow" w:cs="Arial Narrow"/>
          <w:b/>
          <w:bCs/>
          <w:u w:val="single"/>
          <w:lang w:val="es"/>
        </w:rPr>
      </w:pPr>
      <w:r w:rsidRPr="000F4D2C">
        <w:rPr>
          <w:rFonts w:ascii="Bookman Old Style" w:eastAsia="Times New Roman" w:hAnsi="Bookman Old Style" w:cs="Arial"/>
          <w:b/>
          <w:bCs/>
          <w:sz w:val="24"/>
          <w:szCs w:val="24"/>
          <w:u w:val="single"/>
          <w:lang w:val="es" w:eastAsia="es-CO"/>
        </w:rPr>
        <w:t xml:space="preserve">Cronograma: Es un calendario de trabajo, que permite prever para </w:t>
      </w:r>
      <w:r w:rsidR="00120CE8" w:rsidRPr="000F4D2C">
        <w:rPr>
          <w:rFonts w:ascii="Bookman Old Style" w:eastAsia="Times New Roman" w:hAnsi="Bookman Old Style" w:cs="Arial"/>
          <w:b/>
          <w:bCs/>
          <w:sz w:val="24"/>
          <w:szCs w:val="24"/>
          <w:u w:val="single"/>
          <w:lang w:val="es" w:eastAsia="es-CO"/>
        </w:rPr>
        <w:t>cada una de</w:t>
      </w:r>
      <w:r w:rsidRPr="000F4D2C">
        <w:rPr>
          <w:rFonts w:ascii="Bookman Old Style" w:eastAsia="Times New Roman" w:hAnsi="Bookman Old Style" w:cs="Arial"/>
          <w:b/>
          <w:bCs/>
          <w:sz w:val="24"/>
          <w:szCs w:val="24"/>
          <w:u w:val="single"/>
          <w:lang w:val="es" w:eastAsia="es-CO"/>
        </w:rPr>
        <w:t xml:space="preserve"> las fases necesarias en detalle para completar </w:t>
      </w:r>
      <w:r w:rsidR="00120CE8" w:rsidRPr="000F4D2C">
        <w:rPr>
          <w:rFonts w:ascii="Bookman Old Style" w:eastAsia="Times New Roman" w:hAnsi="Bookman Old Style" w:cs="Arial"/>
          <w:b/>
          <w:bCs/>
          <w:sz w:val="24"/>
          <w:szCs w:val="24"/>
          <w:u w:val="single"/>
          <w:lang w:val="es" w:eastAsia="es-CO"/>
        </w:rPr>
        <w:t>la etapa de construcción d</w:t>
      </w:r>
      <w:r w:rsidRPr="000F4D2C">
        <w:rPr>
          <w:rFonts w:ascii="Bookman Old Style" w:eastAsia="Times New Roman" w:hAnsi="Bookman Old Style" w:cs="Arial"/>
          <w:b/>
          <w:bCs/>
          <w:sz w:val="24"/>
          <w:szCs w:val="24"/>
          <w:u w:val="single"/>
          <w:lang w:val="es" w:eastAsia="es-CO"/>
        </w:rPr>
        <w:t xml:space="preserve">el proyecto, unas fechas de comienzo y final. El cronograma debe </w:t>
      </w:r>
      <w:r w:rsidR="00120CE8" w:rsidRPr="000F4D2C">
        <w:rPr>
          <w:rFonts w:ascii="Bookman Old Style" w:eastAsia="Times New Roman" w:hAnsi="Bookman Old Style" w:cs="Arial"/>
          <w:b/>
          <w:bCs/>
          <w:sz w:val="24"/>
          <w:szCs w:val="24"/>
          <w:u w:val="single"/>
          <w:lang w:val="es" w:eastAsia="es-CO"/>
        </w:rPr>
        <w:t xml:space="preserve">tener como ayuda gráfica </w:t>
      </w:r>
      <w:r w:rsidRPr="000F4D2C">
        <w:rPr>
          <w:rFonts w:ascii="Bookman Old Style" w:eastAsia="Times New Roman" w:hAnsi="Bookman Old Style" w:cs="Arial"/>
          <w:b/>
          <w:bCs/>
          <w:sz w:val="24"/>
          <w:szCs w:val="24"/>
          <w:u w:val="single"/>
          <w:lang w:val="es" w:eastAsia="es-CO"/>
        </w:rPr>
        <w:t xml:space="preserve">la Curva S y contener </w:t>
      </w:r>
      <w:r w:rsidR="00120CE8" w:rsidRPr="000F4D2C">
        <w:rPr>
          <w:rFonts w:ascii="Bookman Old Style" w:eastAsia="Times New Roman" w:hAnsi="Bookman Old Style" w:cs="Arial"/>
          <w:b/>
          <w:bCs/>
          <w:sz w:val="24"/>
          <w:szCs w:val="24"/>
          <w:u w:val="single"/>
          <w:lang w:val="es" w:eastAsia="es-CO"/>
        </w:rPr>
        <w:t xml:space="preserve">como mínimo </w:t>
      </w:r>
      <w:r w:rsidRPr="000F4D2C">
        <w:rPr>
          <w:rFonts w:ascii="Bookman Old Style" w:eastAsia="Times New Roman" w:hAnsi="Bookman Old Style" w:cs="Arial"/>
          <w:b/>
          <w:bCs/>
          <w:sz w:val="24"/>
          <w:szCs w:val="24"/>
          <w:u w:val="single"/>
          <w:lang w:val="es" w:eastAsia="es-CO"/>
        </w:rPr>
        <w:t>los Hitos de la Curva S del proyecto.</w:t>
      </w:r>
    </w:p>
    <w:p w14:paraId="17826A57" w14:textId="77777777" w:rsidR="00CF5EFC" w:rsidRPr="00945D06" w:rsidRDefault="00CF5EFC" w:rsidP="00CF5EFC">
      <w:pPr>
        <w:pStyle w:val="Estilo8"/>
        <w:widowControl w:val="0"/>
        <w:jc w:val="both"/>
        <w:rPr>
          <w:rFonts w:ascii="Bookman Old Style" w:hAnsi="Bookman Old Style"/>
          <w:bCs/>
          <w:i/>
          <w:iCs/>
          <w:color w:val="000000"/>
          <w:sz w:val="24"/>
          <w:szCs w:val="24"/>
        </w:rPr>
      </w:pPr>
    </w:p>
    <w:p w14:paraId="31EB587F" w14:textId="30C91541" w:rsidR="261CDD06" w:rsidRPr="000F4D2C" w:rsidRDefault="261CDD06" w:rsidP="707D70D2">
      <w:pPr>
        <w:pStyle w:val="Estilo8"/>
        <w:widowControl w:val="0"/>
        <w:jc w:val="both"/>
        <w:rPr>
          <w:rFonts w:ascii="Bookman Old Style" w:hAnsi="Bookman Old Style"/>
          <w:b/>
          <w:bCs/>
          <w:color w:val="000000" w:themeColor="text1"/>
          <w:sz w:val="24"/>
          <w:szCs w:val="24"/>
          <w:lang w:val="es"/>
        </w:rPr>
      </w:pPr>
      <w:r w:rsidRPr="000F4D2C">
        <w:rPr>
          <w:rFonts w:ascii="Bookman Old Style" w:hAnsi="Bookman Old Style"/>
          <w:b/>
          <w:bCs/>
          <w:color w:val="000000" w:themeColor="text1"/>
          <w:sz w:val="24"/>
          <w:szCs w:val="24"/>
          <w:lang w:val="es"/>
        </w:rPr>
        <w:t xml:space="preserve">Curva S: </w:t>
      </w:r>
      <w:r w:rsidRPr="000F4D2C">
        <w:rPr>
          <w:rFonts w:ascii="Bookman Old Style" w:hAnsi="Bookman Old Style"/>
          <w:b/>
          <w:bCs/>
          <w:color w:val="000000" w:themeColor="text1"/>
          <w:sz w:val="24"/>
          <w:szCs w:val="24"/>
          <w:u w:val="single"/>
          <w:lang w:val="es"/>
        </w:rPr>
        <w:t>Representación gráfica del cronograma</w:t>
      </w:r>
      <w:r w:rsidRPr="000F4D2C">
        <w:rPr>
          <w:rFonts w:ascii="Bookman Old Style" w:hAnsi="Bookman Old Style"/>
          <w:color w:val="000000" w:themeColor="text1"/>
          <w:sz w:val="24"/>
          <w:szCs w:val="24"/>
          <w:lang w:val="es"/>
        </w:rPr>
        <w:t xml:space="preserve"> que muestra en la ordenada el porcentaje estimado de avance de un proyecto durante el tiempo de ejecución y en la abscisa el tiempo transcurrido en meses. Este grafico debe mostrar </w:t>
      </w:r>
      <w:r w:rsidRPr="000F4D2C">
        <w:rPr>
          <w:rFonts w:ascii="Bookman Old Style" w:hAnsi="Bookman Old Style"/>
          <w:b/>
          <w:bCs/>
          <w:color w:val="000000" w:themeColor="text1"/>
          <w:sz w:val="24"/>
          <w:szCs w:val="24"/>
          <w:u w:val="single"/>
          <w:lang w:val="es"/>
        </w:rPr>
        <w:t>los Hitos de la Curva S</w:t>
      </w:r>
      <w:r w:rsidR="007E346C">
        <w:rPr>
          <w:rFonts w:ascii="Bookman Old Style" w:hAnsi="Bookman Old Style"/>
          <w:b/>
          <w:bCs/>
          <w:color w:val="000000" w:themeColor="text1"/>
          <w:sz w:val="24"/>
          <w:szCs w:val="24"/>
          <w:u w:val="single"/>
          <w:lang w:val="es"/>
        </w:rPr>
        <w:t xml:space="preserve">, </w:t>
      </w:r>
      <w:r w:rsidRPr="000F4D2C">
        <w:rPr>
          <w:rFonts w:ascii="Bookman Old Style" w:hAnsi="Bookman Old Style"/>
          <w:color w:val="000000" w:themeColor="text1"/>
          <w:sz w:val="24"/>
          <w:szCs w:val="24"/>
          <w:lang w:val="es"/>
        </w:rPr>
        <w:t xml:space="preserve">la curva de avance programado y la curva de avance ejecutado. </w:t>
      </w:r>
      <w:r w:rsidR="00172961" w:rsidRPr="00526152">
        <w:rPr>
          <w:rFonts w:ascii="Bookman Old Style" w:hAnsi="Bookman Old Style"/>
          <w:bCs/>
          <w:color w:val="000000"/>
          <w:sz w:val="24"/>
          <w:szCs w:val="24"/>
        </w:rPr>
        <w:t xml:space="preserve">Dicho gráfico es requerido para participar en el desarrollo de proyectos de </w:t>
      </w:r>
      <m:oMath>
        <m:r>
          <w:rPr>
            <w:rFonts w:ascii="Cambria Math" w:hAnsi="Cambria Math"/>
            <w:sz w:val="24"/>
            <w:szCs w:val="24"/>
          </w:rPr>
          <m:t>IPAT</m:t>
        </m:r>
      </m:oMath>
      <w:r w:rsidR="00172961" w:rsidRPr="00C506A0">
        <w:rPr>
          <w:rFonts w:ascii="Bookman Old Style" w:hAnsi="Bookman Old Style"/>
          <w:bCs/>
          <w:color w:val="000000"/>
          <w:sz w:val="24"/>
          <w:szCs w:val="24"/>
        </w:rPr>
        <w:t xml:space="preserve"> </w:t>
      </w:r>
      <w:r w:rsidR="00172961" w:rsidRPr="00526152">
        <w:rPr>
          <w:rFonts w:ascii="Bookman Old Style" w:hAnsi="Bookman Old Style"/>
          <w:bCs/>
          <w:color w:val="000000"/>
          <w:sz w:val="24"/>
          <w:szCs w:val="24"/>
        </w:rPr>
        <w:t xml:space="preserve">y </w:t>
      </w:r>
      <w:r w:rsidR="00172961">
        <w:rPr>
          <w:rFonts w:ascii="Bookman Old Style" w:hAnsi="Bookman Old Style"/>
          <w:bCs/>
          <w:color w:val="000000"/>
          <w:sz w:val="24"/>
          <w:szCs w:val="24"/>
        </w:rPr>
        <w:t>de proyectos a través de procesos de selección</w:t>
      </w:r>
      <w:r w:rsidR="00172961" w:rsidRPr="00172961">
        <w:rPr>
          <w:rFonts w:ascii="Bookman Old Style" w:hAnsi="Bookman Old Style"/>
          <w:color w:val="000000" w:themeColor="text1"/>
          <w:sz w:val="24"/>
          <w:szCs w:val="24"/>
          <w:lang w:val="es"/>
        </w:rPr>
        <w:t xml:space="preserve"> </w:t>
      </w:r>
      <w:r w:rsidR="00172961" w:rsidRPr="000F4D2C">
        <w:rPr>
          <w:rFonts w:ascii="Bookman Old Style" w:hAnsi="Bookman Old Style"/>
          <w:b/>
          <w:bCs/>
          <w:color w:val="000000" w:themeColor="text1"/>
          <w:sz w:val="24"/>
          <w:szCs w:val="24"/>
          <w:u w:val="single"/>
          <w:lang w:val="es"/>
        </w:rPr>
        <w:t xml:space="preserve">y se </w:t>
      </w:r>
      <w:r w:rsidRPr="000F4D2C">
        <w:rPr>
          <w:rFonts w:ascii="Bookman Old Style" w:hAnsi="Bookman Old Style"/>
          <w:b/>
          <w:bCs/>
          <w:color w:val="000000" w:themeColor="text1"/>
          <w:sz w:val="24"/>
          <w:szCs w:val="24"/>
          <w:u w:val="single"/>
          <w:lang w:val="es"/>
        </w:rPr>
        <w:t xml:space="preserve">utiliza </w:t>
      </w:r>
      <w:r w:rsidR="00172961">
        <w:rPr>
          <w:rFonts w:ascii="Bookman Old Style" w:hAnsi="Bookman Old Style"/>
          <w:b/>
          <w:bCs/>
          <w:color w:val="000000" w:themeColor="text1"/>
          <w:sz w:val="24"/>
          <w:szCs w:val="24"/>
          <w:u w:val="single"/>
          <w:lang w:val="es"/>
        </w:rPr>
        <w:t xml:space="preserve">junto con el cronograma </w:t>
      </w:r>
      <w:r w:rsidRPr="000F4D2C">
        <w:rPr>
          <w:rFonts w:ascii="Bookman Old Style" w:hAnsi="Bookman Old Style"/>
          <w:b/>
          <w:bCs/>
          <w:color w:val="000000" w:themeColor="text1"/>
          <w:sz w:val="24"/>
          <w:szCs w:val="24"/>
          <w:u w:val="single"/>
          <w:lang w:val="es"/>
        </w:rPr>
        <w:t>para efecto</w:t>
      </w:r>
      <w:r w:rsidR="00172961">
        <w:rPr>
          <w:rFonts w:ascii="Bookman Old Style" w:hAnsi="Bookman Old Style"/>
          <w:b/>
          <w:bCs/>
          <w:color w:val="000000" w:themeColor="text1"/>
          <w:sz w:val="24"/>
          <w:szCs w:val="24"/>
          <w:u w:val="single"/>
          <w:lang w:val="es"/>
        </w:rPr>
        <w:t>s</w:t>
      </w:r>
      <w:r w:rsidRPr="000F4D2C">
        <w:rPr>
          <w:rFonts w:ascii="Bookman Old Style" w:hAnsi="Bookman Old Style"/>
          <w:b/>
          <w:bCs/>
          <w:color w:val="000000" w:themeColor="text1"/>
          <w:sz w:val="24"/>
          <w:szCs w:val="24"/>
          <w:u w:val="single"/>
          <w:lang w:val="es"/>
        </w:rPr>
        <w:t xml:space="preserve"> de seguimiento y cumplimiento en la ejecución real del proyecto</w:t>
      </w:r>
      <w:r w:rsidRPr="000F4D2C">
        <w:rPr>
          <w:rFonts w:ascii="Bookman Old Style" w:hAnsi="Bookman Old Style"/>
          <w:color w:val="000000" w:themeColor="text1"/>
          <w:sz w:val="24"/>
          <w:szCs w:val="24"/>
          <w:lang w:val="es"/>
        </w:rPr>
        <w:t>.</w:t>
      </w:r>
    </w:p>
    <w:p w14:paraId="2357D0BB" w14:textId="0A4FD379" w:rsidR="261CDD06" w:rsidRDefault="261CDD06" w:rsidP="261CDD06">
      <w:pPr>
        <w:pStyle w:val="Estilo8"/>
        <w:widowControl w:val="0"/>
        <w:jc w:val="both"/>
        <w:rPr>
          <w:color w:val="000000" w:themeColor="text1"/>
        </w:rPr>
      </w:pPr>
    </w:p>
    <w:p w14:paraId="1D186C86" w14:textId="77777777" w:rsidR="00CF5EFC" w:rsidRDefault="00CF5EFC" w:rsidP="00CF5EFC">
      <w:pPr>
        <w:pStyle w:val="Estilo8"/>
        <w:widowControl w:val="0"/>
        <w:jc w:val="both"/>
        <w:rPr>
          <w:rFonts w:ascii="Bookman Old Style" w:hAnsi="Bookman Old Style"/>
          <w:b/>
          <w:color w:val="000000"/>
          <w:sz w:val="24"/>
          <w:szCs w:val="24"/>
        </w:rPr>
      </w:pPr>
    </w:p>
    <w:p w14:paraId="4D0802A8" w14:textId="0B8F1D13" w:rsidR="00CF5EFC" w:rsidRPr="000F4D2C" w:rsidRDefault="00CF5EFC" w:rsidP="00CF5EFC">
      <w:pPr>
        <w:pStyle w:val="Estilo8"/>
        <w:widowControl w:val="0"/>
        <w:jc w:val="both"/>
        <w:rPr>
          <w:rFonts w:ascii="Bookman Old Style" w:hAnsi="Bookman Old Style"/>
          <w:bCs/>
          <w:color w:val="000000"/>
          <w:sz w:val="24"/>
          <w:szCs w:val="24"/>
        </w:rPr>
      </w:pPr>
      <w:r w:rsidRPr="000F4D2C">
        <w:rPr>
          <w:rFonts w:ascii="Bookman Old Style" w:hAnsi="Bookman Old Style"/>
          <w:b/>
          <w:color w:val="000000"/>
          <w:sz w:val="24"/>
          <w:szCs w:val="24"/>
        </w:rPr>
        <w:t xml:space="preserve">Fecha anticipada de entrada en operación: </w:t>
      </w:r>
      <w:r w:rsidR="00172961">
        <w:rPr>
          <w:rFonts w:ascii="Bookman Old Style" w:hAnsi="Bookman Old Style"/>
          <w:bCs/>
          <w:color w:val="000000"/>
          <w:sz w:val="24"/>
          <w:szCs w:val="24"/>
        </w:rPr>
        <w:t>E</w:t>
      </w:r>
      <w:r w:rsidRPr="000F4D2C">
        <w:rPr>
          <w:rFonts w:ascii="Bookman Old Style" w:hAnsi="Bookman Old Style"/>
          <w:bCs/>
          <w:color w:val="000000"/>
          <w:sz w:val="24"/>
          <w:szCs w:val="24"/>
        </w:rPr>
        <w:t>s la fecha en la cual se prevé la entrada en operación de un proyecto del Plan de Abastecimiento de Gas Natural, de manera anticipada a la fecha de puesta en operación establecida en el Plan de Abastecimiento de Gas Natural, aprobada o ajustada por el Ministerio de Minas y Energía o por quien este delegue. Esta fecha solamente se puede dar a más tardar en la fecha anticipada de entrada en operación establecida en el Plan de Abastecimiento de Gas Natural.</w:t>
      </w:r>
    </w:p>
    <w:p w14:paraId="475AD24A" w14:textId="77777777" w:rsidR="00CF5EFC" w:rsidRPr="00945D06" w:rsidRDefault="00CF5EFC" w:rsidP="00CF5EFC">
      <w:pPr>
        <w:pStyle w:val="Estilo8"/>
        <w:widowControl w:val="0"/>
        <w:jc w:val="both"/>
        <w:rPr>
          <w:rFonts w:ascii="Bookman Old Style" w:hAnsi="Bookman Old Style"/>
          <w:bCs/>
          <w:i/>
          <w:iCs/>
          <w:color w:val="000000"/>
          <w:sz w:val="24"/>
          <w:szCs w:val="24"/>
        </w:rPr>
      </w:pPr>
    </w:p>
    <w:p w14:paraId="02424E95" w14:textId="0C5B262A" w:rsidR="00CF5EFC" w:rsidRPr="000F4D2C" w:rsidRDefault="00CF5EFC" w:rsidP="00CF5EFC">
      <w:pPr>
        <w:pStyle w:val="Estilo8"/>
        <w:widowControl w:val="0"/>
        <w:jc w:val="both"/>
        <w:rPr>
          <w:rFonts w:ascii="Bookman Old Style" w:hAnsi="Bookman Old Style"/>
          <w:bCs/>
          <w:color w:val="000000"/>
          <w:sz w:val="24"/>
          <w:szCs w:val="24"/>
        </w:rPr>
      </w:pPr>
      <w:r w:rsidRPr="000F4D2C">
        <w:rPr>
          <w:rFonts w:ascii="Bookman Old Style" w:hAnsi="Bookman Old Style"/>
          <w:b/>
          <w:color w:val="000000"/>
          <w:sz w:val="24"/>
          <w:szCs w:val="24"/>
        </w:rPr>
        <w:lastRenderedPageBreak/>
        <w:t>Fecha anticipada de entrada en operación parcial:</w:t>
      </w:r>
      <w:r w:rsidRPr="000F4D2C">
        <w:rPr>
          <w:rFonts w:ascii="Bookman Old Style" w:hAnsi="Bookman Old Style"/>
          <w:bCs/>
          <w:color w:val="000000"/>
          <w:sz w:val="24"/>
          <w:szCs w:val="24"/>
        </w:rPr>
        <w:t xml:space="preserve"> </w:t>
      </w:r>
      <w:r w:rsidR="00172961">
        <w:rPr>
          <w:rFonts w:ascii="Bookman Old Style" w:hAnsi="Bookman Old Style"/>
          <w:bCs/>
          <w:color w:val="000000"/>
          <w:sz w:val="24"/>
          <w:szCs w:val="24"/>
        </w:rPr>
        <w:t>E</w:t>
      </w:r>
      <w:r w:rsidRPr="000F4D2C">
        <w:rPr>
          <w:rFonts w:ascii="Bookman Old Style" w:hAnsi="Bookman Old Style"/>
          <w:bCs/>
          <w:color w:val="000000"/>
          <w:sz w:val="24"/>
          <w:szCs w:val="24"/>
        </w:rPr>
        <w:t>s la fecha anticipada de entrada en operación con operación parcial.</w:t>
      </w:r>
    </w:p>
    <w:p w14:paraId="44CD5A9C" w14:textId="77777777" w:rsidR="00CF5EFC" w:rsidRPr="00FC6BCB" w:rsidRDefault="00CF5EFC" w:rsidP="00CF5EFC">
      <w:pPr>
        <w:pStyle w:val="Estilo8"/>
        <w:widowControl w:val="0"/>
        <w:jc w:val="both"/>
        <w:rPr>
          <w:rFonts w:ascii="Bookman Old Style" w:hAnsi="Bookman Old Style"/>
          <w:b/>
          <w:color w:val="000000"/>
          <w:sz w:val="24"/>
          <w:szCs w:val="24"/>
        </w:rPr>
      </w:pPr>
    </w:p>
    <w:p w14:paraId="1519DA29" w14:textId="75D0B26C" w:rsidR="00CF5EFC" w:rsidRDefault="00CF5EFC" w:rsidP="00CF5EFC">
      <w:pPr>
        <w:pStyle w:val="Estilo8"/>
        <w:widowControl w:val="0"/>
        <w:jc w:val="both"/>
        <w:rPr>
          <w:rFonts w:ascii="Bookman Old Style" w:hAnsi="Bookman Old Style"/>
          <w:color w:val="000000" w:themeColor="text1"/>
          <w:sz w:val="24"/>
          <w:szCs w:val="24"/>
        </w:rPr>
      </w:pPr>
      <w:r w:rsidRPr="261CDD06">
        <w:rPr>
          <w:rFonts w:ascii="Bookman Old Style" w:hAnsi="Bookman Old Style"/>
          <w:b/>
          <w:color w:val="000000" w:themeColor="text1"/>
          <w:sz w:val="24"/>
          <w:szCs w:val="24"/>
        </w:rPr>
        <w:t>Fecha de puesta en operación comercial, FPO</w:t>
      </w:r>
      <w:r w:rsidRPr="261CDD06">
        <w:rPr>
          <w:rFonts w:ascii="Bookman Old Style" w:hAnsi="Bookman Old Style"/>
          <w:color w:val="000000" w:themeColor="text1"/>
          <w:sz w:val="24"/>
          <w:szCs w:val="24"/>
        </w:rPr>
        <w:t xml:space="preserve">. Fecha en la cual se prevé la puesta en operación de un proyecto prioritario. Esta fecha debe coincidir con la fecha establecida en el plan de abastecimiento de gas natural, o en el plan transitorio de abastecimiento de gas natural, aprobada o ajustada por el Ministerio de Minas y Energía o por quien este delegue. </w:t>
      </w:r>
    </w:p>
    <w:p w14:paraId="6259C128" w14:textId="096C79F1" w:rsidR="00111780" w:rsidRDefault="00111780" w:rsidP="00CF5EFC">
      <w:pPr>
        <w:pStyle w:val="Estilo8"/>
        <w:widowControl w:val="0"/>
        <w:jc w:val="both"/>
        <w:rPr>
          <w:rFonts w:ascii="Bookman Old Style" w:hAnsi="Bookman Old Style"/>
          <w:color w:val="000000" w:themeColor="text1"/>
          <w:sz w:val="24"/>
          <w:szCs w:val="24"/>
        </w:rPr>
      </w:pPr>
    </w:p>
    <w:p w14:paraId="207A9DF9" w14:textId="0BA87EEC" w:rsidR="00111780" w:rsidRPr="000F4D2C" w:rsidRDefault="00111780" w:rsidP="00111780">
      <w:pPr>
        <w:pStyle w:val="Estilo8"/>
        <w:widowControl w:val="0"/>
        <w:jc w:val="both"/>
        <w:rPr>
          <w:rFonts w:ascii="Bookman Old Style" w:hAnsi="Bookman Old Style"/>
          <w:b/>
          <w:color w:val="000000"/>
          <w:sz w:val="24"/>
          <w:szCs w:val="24"/>
          <w:u w:val="single"/>
        </w:rPr>
      </w:pPr>
      <w:r w:rsidRPr="000F4D2C">
        <w:rPr>
          <w:rFonts w:ascii="Bookman Old Style" w:hAnsi="Bookman Old Style"/>
          <w:b/>
          <w:color w:val="000000"/>
          <w:sz w:val="24"/>
          <w:szCs w:val="24"/>
          <w:u w:val="single"/>
        </w:rPr>
        <w:t xml:space="preserve">Gas de talón: Es la cantidad de gas natural licuado necesaria para alcanzar el nivel mínimo operativo de llenado de los tanques de gas licuado (GNL), que es requerido para garantizar la seguridad operativa de la infraestructura de regasificación. Esta </w:t>
      </w:r>
      <w:r>
        <w:rPr>
          <w:rFonts w:ascii="Bookman Old Style" w:hAnsi="Bookman Old Style"/>
          <w:b/>
          <w:color w:val="000000"/>
          <w:sz w:val="24"/>
          <w:szCs w:val="24"/>
          <w:u w:val="single"/>
        </w:rPr>
        <w:t>expresi</w:t>
      </w:r>
      <w:r w:rsidRPr="000F4D2C">
        <w:rPr>
          <w:rFonts w:ascii="Bookman Old Style" w:hAnsi="Bookman Old Style"/>
          <w:b/>
          <w:color w:val="000000"/>
          <w:sz w:val="24"/>
          <w:szCs w:val="24"/>
          <w:u w:val="single"/>
        </w:rPr>
        <w:t>ón se conoce en inglés como “heel gas”.</w:t>
      </w:r>
    </w:p>
    <w:p w14:paraId="1B0B224A" w14:textId="77777777" w:rsidR="00111780" w:rsidRPr="000F4D2C" w:rsidRDefault="00111780" w:rsidP="00111780">
      <w:pPr>
        <w:pStyle w:val="Estilo8"/>
        <w:widowControl w:val="0"/>
        <w:jc w:val="both"/>
        <w:rPr>
          <w:rFonts w:ascii="Bookman Old Style" w:hAnsi="Bookman Old Style"/>
          <w:b/>
          <w:color w:val="000000"/>
          <w:sz w:val="24"/>
          <w:szCs w:val="24"/>
          <w:u w:val="single"/>
        </w:rPr>
      </w:pPr>
    </w:p>
    <w:p w14:paraId="218ECF65" w14:textId="7A0E25B0" w:rsidR="00111780" w:rsidRPr="00FC6BCB" w:rsidRDefault="00111780" w:rsidP="00111780">
      <w:pPr>
        <w:pStyle w:val="Estilo8"/>
        <w:widowControl w:val="0"/>
        <w:jc w:val="both"/>
        <w:rPr>
          <w:rFonts w:ascii="Bookman Old Style" w:hAnsi="Bookman Old Style"/>
          <w:b/>
          <w:color w:val="000000"/>
          <w:sz w:val="24"/>
          <w:szCs w:val="24"/>
        </w:rPr>
      </w:pPr>
      <w:r w:rsidRPr="000F4D2C">
        <w:rPr>
          <w:rFonts w:ascii="Bookman Old Style" w:hAnsi="Bookman Old Style"/>
          <w:b/>
          <w:color w:val="000000"/>
          <w:sz w:val="24"/>
          <w:szCs w:val="24"/>
          <w:u w:val="single"/>
        </w:rPr>
        <w:t xml:space="preserve">Gas de operación: Es la cantidad de gas natural necesaria para la operación de la infraestructura de regasificación, tal como la requerida para autogeneración de energía </w:t>
      </w:r>
      <w:r>
        <w:rPr>
          <w:rFonts w:ascii="Bookman Old Style" w:hAnsi="Bookman Old Style"/>
          <w:b/>
          <w:color w:val="000000"/>
          <w:sz w:val="24"/>
          <w:szCs w:val="24"/>
          <w:u w:val="single"/>
        </w:rPr>
        <w:t xml:space="preserve">eléctrica </w:t>
      </w:r>
      <w:r w:rsidRPr="000F4D2C">
        <w:rPr>
          <w:rFonts w:ascii="Bookman Old Style" w:hAnsi="Bookman Old Style"/>
          <w:b/>
          <w:color w:val="000000"/>
          <w:sz w:val="24"/>
          <w:szCs w:val="24"/>
          <w:u w:val="single"/>
        </w:rPr>
        <w:t>y operación general de equipos</w:t>
      </w:r>
      <w:r w:rsidRPr="00111780">
        <w:rPr>
          <w:rFonts w:ascii="Bookman Old Style" w:hAnsi="Bookman Old Style"/>
          <w:b/>
          <w:color w:val="000000"/>
          <w:sz w:val="24"/>
          <w:szCs w:val="24"/>
        </w:rPr>
        <w:t>.</w:t>
      </w:r>
    </w:p>
    <w:p w14:paraId="611046A9" w14:textId="5ACE0107" w:rsidR="261CDD06" w:rsidRDefault="261CDD06" w:rsidP="261CDD06">
      <w:pPr>
        <w:pStyle w:val="Estilo8"/>
        <w:widowControl w:val="0"/>
        <w:jc w:val="both"/>
        <w:rPr>
          <w:color w:val="000000" w:themeColor="text1"/>
        </w:rPr>
      </w:pPr>
    </w:p>
    <w:p w14:paraId="1BD305F4" w14:textId="0C5F2125" w:rsidR="00CF5EFC" w:rsidRPr="00F23AE8" w:rsidRDefault="261CDD06" w:rsidP="000F4D2C">
      <w:pPr>
        <w:jc w:val="both"/>
      </w:pPr>
      <w:r w:rsidRPr="000F4D2C">
        <w:rPr>
          <w:rFonts w:ascii="Bookman Old Style" w:hAnsi="Bookman Old Style" w:cs="Arial"/>
          <w:b/>
          <w:bCs/>
          <w:color w:val="000000" w:themeColor="text1"/>
          <w:sz w:val="24"/>
          <w:szCs w:val="24"/>
          <w:u w:val="single"/>
          <w:lang w:val="es-ES"/>
        </w:rPr>
        <w:t>Hito de la curva S:</w:t>
      </w:r>
      <w:r w:rsidRPr="000F4D2C">
        <w:rPr>
          <w:rFonts w:ascii="Bookman Old Style" w:hAnsi="Bookman Old Style" w:cs="Arial"/>
          <w:b/>
          <w:bCs/>
          <w:color w:val="000000" w:themeColor="text1"/>
          <w:sz w:val="24"/>
          <w:szCs w:val="24"/>
          <w:lang w:val="es-ES"/>
        </w:rPr>
        <w:t xml:space="preserve"> </w:t>
      </w:r>
      <w:r w:rsidRPr="000F4D2C">
        <w:rPr>
          <w:rFonts w:ascii="Bookman Old Style" w:hAnsi="Bookman Old Style" w:cs="Arial"/>
          <w:b/>
          <w:bCs/>
          <w:color w:val="000000" w:themeColor="text1"/>
          <w:sz w:val="24"/>
          <w:szCs w:val="24"/>
          <w:u w:val="single"/>
          <w:lang w:val="es-ES"/>
        </w:rPr>
        <w:t>Es aquel tipo de evento identificado por la UPME en los documentos que hacen parte del proceso de selección del mecanismo abierto y competitivo, que debe cumplirse en una fecha máxima determinada por la UPME previa a la FPO. Podrán ser Hitos de la curva S a ser identificados por la UPME, entre otros los siguientes: Obtención del derecho al uso de los terrenos para el proyecto, Consultas previas, Permisos y licencia ambiental del proyecto (aprobación DAA y EIA), Orden de compra de los equipos del proyecto, Permisos y licencias para conexiones del proyecto a infraestructura existente.</w:t>
      </w:r>
    </w:p>
    <w:p w14:paraId="099817D1" w14:textId="77777777"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 xml:space="preserve">Ingresos de corto plazo: </w:t>
      </w:r>
      <w:r w:rsidRPr="000F4D2C">
        <w:rPr>
          <w:rFonts w:ascii="Bookman Old Style" w:hAnsi="Bookman Old Style" w:cs="Arial"/>
          <w:color w:val="000000"/>
          <w:sz w:val="24"/>
          <w:szCs w:val="24"/>
        </w:rPr>
        <w:t>I</w:t>
      </w:r>
      <w:r w:rsidRPr="000F4D2C">
        <w:rPr>
          <w:rFonts w:ascii="Bookman Old Style" w:hAnsi="Bookman Old Style"/>
          <w:sz w:val="24"/>
          <w:szCs w:val="24"/>
        </w:rPr>
        <w:t xml:space="preserve">ngresos obtenidos por la prestación de los servicios derivados de </w:t>
      </w:r>
      <w:r w:rsidRPr="000F4D2C">
        <w:rPr>
          <w:rFonts w:ascii="Bookman Old Style" w:hAnsi="Bookman Old Style" w:cs="Arial"/>
          <w:color w:val="000000"/>
          <w:sz w:val="24"/>
          <w:szCs w:val="24"/>
        </w:rPr>
        <w:t xml:space="preserve">proyectos prioritarios del </w:t>
      </w:r>
      <w:r w:rsidRPr="000F4D2C">
        <w:rPr>
          <w:rFonts w:ascii="Bookman Old Style" w:hAnsi="Bookman Old Style" w:cs="Arial"/>
          <w:iCs/>
          <w:color w:val="000000"/>
          <w:sz w:val="24"/>
          <w:szCs w:val="24"/>
        </w:rPr>
        <w:t>plan de abastecimiento de gas natural, o del plan transitorio de abastecimiento de gas natural,</w:t>
      </w:r>
      <w:r w:rsidRPr="000F4D2C">
        <w:rPr>
          <w:rFonts w:ascii="Bookman Old Style" w:hAnsi="Bookman Old Style" w:cs="Arial"/>
          <w:color w:val="000000"/>
          <w:sz w:val="24"/>
          <w:szCs w:val="24"/>
        </w:rPr>
        <w:t xml:space="preserve"> ejecutados mediante mecanismos centralizados. </w:t>
      </w:r>
    </w:p>
    <w:p w14:paraId="7F1D2B7D" w14:textId="38874788"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 xml:space="preserve">Índice de precios al consumidor, </w:t>
      </w:r>
      <m:oMath>
        <m:r>
          <m:rPr>
            <m:sty m:val="bi"/>
          </m:rPr>
          <w:rPr>
            <w:rFonts w:ascii="Cambria Math" w:hAnsi="Cambria Math" w:cs="Arial"/>
            <w:color w:val="000000"/>
            <w:sz w:val="24"/>
            <w:szCs w:val="24"/>
          </w:rPr>
          <m:t>IPC</m:t>
        </m:r>
      </m:oMath>
      <w:r w:rsidRPr="000F4D2C">
        <w:rPr>
          <w:rFonts w:ascii="Bookman Old Style" w:hAnsi="Bookman Old Style" w:cs="Arial"/>
          <w:color w:val="000000"/>
          <w:sz w:val="24"/>
          <w:szCs w:val="24"/>
        </w:rPr>
        <w:t xml:space="preserve">: </w:t>
      </w:r>
      <w:r w:rsidR="0056667F">
        <w:rPr>
          <w:rFonts w:ascii="Bookman Old Style" w:hAnsi="Bookman Old Style" w:cs="Arial"/>
          <w:color w:val="000000"/>
          <w:sz w:val="24"/>
          <w:szCs w:val="24"/>
        </w:rPr>
        <w:t>e</w:t>
      </w:r>
      <w:r w:rsidR="0056667F" w:rsidRPr="000F4D2C">
        <w:rPr>
          <w:rFonts w:ascii="Bookman Old Style" w:hAnsi="Bookman Old Style" w:cs="Arial"/>
          <w:color w:val="000000"/>
          <w:sz w:val="24"/>
          <w:szCs w:val="24"/>
        </w:rPr>
        <w:t xml:space="preserve">s </w:t>
      </w:r>
      <w:r w:rsidRPr="000F4D2C">
        <w:rPr>
          <w:rFonts w:ascii="Bookman Old Style" w:hAnsi="Bookman Old Style" w:cs="Arial"/>
          <w:color w:val="000000"/>
          <w:sz w:val="24"/>
          <w:szCs w:val="24"/>
        </w:rPr>
        <w:t xml:space="preserve">el índice de precios al consumidor, total nacional, publicada por el DANE. </w:t>
      </w:r>
    </w:p>
    <w:p w14:paraId="175AE77A" w14:textId="77777777"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 xml:space="preserve">Inversiones en proyectos prioritarios del plan de abastecimiento en un sistema de transporte, </w:t>
      </w:r>
      <m:oMath>
        <m:r>
          <m:rPr>
            <m:sty m:val="bi"/>
          </m:rPr>
          <w:rPr>
            <w:rFonts w:ascii="Cambria Math" w:hAnsi="Cambria Math" w:cs="Arial"/>
            <w:color w:val="000000"/>
            <w:sz w:val="24"/>
            <w:szCs w:val="24"/>
          </w:rPr>
          <m:t>IPAT</m:t>
        </m:r>
      </m:oMath>
      <w:r w:rsidRPr="000F4D2C">
        <w:rPr>
          <w:rFonts w:ascii="Bookman Old Style" w:hAnsi="Bookman Old Style" w:cs="Arial"/>
          <w:b/>
          <w:color w:val="000000"/>
          <w:sz w:val="24"/>
          <w:szCs w:val="24"/>
        </w:rPr>
        <w:t>:</w:t>
      </w:r>
      <w:r w:rsidRPr="000F4D2C">
        <w:rPr>
          <w:rFonts w:ascii="Bookman Old Style" w:hAnsi="Bookman Old Style" w:cs="Arial"/>
          <w:color w:val="000000"/>
          <w:sz w:val="24"/>
          <w:szCs w:val="24"/>
        </w:rPr>
        <w:t xml:space="preserve"> Son los valores eficientes de proyectos prioritarios del plan de abastecimiento de gas natural que están embebidos en la infraestructura de un sistema de transporte existente. Para efectos regulatorios estos proyectos corresponderán únicamente a gasoductos </w:t>
      </w:r>
      <w:r w:rsidRPr="000F4D2C">
        <w:rPr>
          <w:rFonts w:ascii="Bookman Old Style" w:hAnsi="Bookman Old Style" w:cs="Arial"/>
          <w:i/>
          <w:color w:val="000000"/>
          <w:sz w:val="24"/>
          <w:szCs w:val="24"/>
        </w:rPr>
        <w:t>loops,</w:t>
      </w:r>
      <w:r w:rsidRPr="000F4D2C">
        <w:rPr>
          <w:rFonts w:ascii="Bookman Old Style" w:hAnsi="Bookman Old Style" w:cs="Arial"/>
          <w:color w:val="000000"/>
          <w:sz w:val="24"/>
          <w:szCs w:val="24"/>
        </w:rPr>
        <w:t xml:space="preserve"> estaciones de compresión y adecuaciones de la infraestructura de transporte de gas que contribuyan a garantizar la seguridad de abastecimiento y la confiabilidad del servicio de gas natural.</w:t>
      </w:r>
    </w:p>
    <w:p w14:paraId="5C567DBC" w14:textId="38D00400" w:rsidR="00CF5EFC" w:rsidRPr="000F4D2C" w:rsidRDefault="00CF5EFC" w:rsidP="00CF5EFC">
      <w:pPr>
        <w:jc w:val="both"/>
        <w:rPr>
          <w:rFonts w:ascii="Bookman Old Style" w:hAnsi="Bookman Old Style" w:cs="Arial"/>
          <w:b/>
          <w:color w:val="000000"/>
          <w:sz w:val="24"/>
          <w:szCs w:val="24"/>
        </w:rPr>
      </w:pPr>
      <w:r w:rsidRPr="000F4D2C">
        <w:rPr>
          <w:rFonts w:ascii="Bookman Old Style" w:hAnsi="Bookman Old Style" w:cs="Arial"/>
          <w:b/>
          <w:color w:val="000000"/>
          <w:sz w:val="24"/>
          <w:szCs w:val="24"/>
        </w:rPr>
        <w:t xml:space="preserve">Operación parcial: </w:t>
      </w:r>
      <w:r w:rsidR="00172961" w:rsidRPr="00111780">
        <w:rPr>
          <w:rFonts w:ascii="Bookman Old Style" w:hAnsi="Bookman Old Style" w:cs="Arial"/>
          <w:bCs/>
          <w:color w:val="000000"/>
          <w:sz w:val="24"/>
          <w:szCs w:val="24"/>
        </w:rPr>
        <w:t>E</w:t>
      </w:r>
      <w:r w:rsidRPr="000F4D2C">
        <w:rPr>
          <w:rFonts w:ascii="Bookman Old Style" w:hAnsi="Bookman Old Style" w:cs="Arial"/>
          <w:bCs/>
          <w:color w:val="000000"/>
          <w:sz w:val="24"/>
          <w:szCs w:val="24"/>
        </w:rPr>
        <w:t>s la prestación del servicio de un proyecto incluido en el Plan de Abastecimiento de Gas Natural, con una capacidad inferior a la determinada para ese proyecto en dicho Plan, que entra en fecha anticipada de entrada en operación parcial.</w:t>
      </w:r>
    </w:p>
    <w:p w14:paraId="2EFFAD04" w14:textId="77777777"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lastRenderedPageBreak/>
        <w:t>Período estándar de pagos, PEP:</w:t>
      </w:r>
      <w:r w:rsidRPr="000F4D2C">
        <w:rPr>
          <w:rFonts w:ascii="Bookman Old Style" w:hAnsi="Bookman Old Style" w:cs="Arial"/>
          <w:color w:val="000000"/>
          <w:sz w:val="24"/>
          <w:szCs w:val="24"/>
        </w:rPr>
        <w:t xml:space="preserve"> Período durante el cual un adjudicatario espera recibir el ingreso anual esperado para remunerar un proyecto ejecutado mediante proceso de selección, el cual deberá ser considerado para efectos de la propuesta económica. El período estándar de pagos será definido para cada proyecto en los respectivos documentos de selección del inversionista. </w:t>
      </w:r>
    </w:p>
    <w:p w14:paraId="271AD23C" w14:textId="2E1A2CC0"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 xml:space="preserve">Plan de </w:t>
      </w:r>
      <w:r w:rsidR="0056667F" w:rsidRPr="000F4D2C">
        <w:rPr>
          <w:rFonts w:ascii="Bookman Old Style" w:hAnsi="Bookman Old Style" w:cs="Arial"/>
          <w:b/>
          <w:color w:val="000000"/>
          <w:sz w:val="24"/>
          <w:szCs w:val="24"/>
        </w:rPr>
        <w:t xml:space="preserve">Abastecimiento </w:t>
      </w:r>
      <w:r w:rsidRPr="000F4D2C">
        <w:rPr>
          <w:rFonts w:ascii="Bookman Old Style" w:hAnsi="Bookman Old Style" w:cs="Arial"/>
          <w:b/>
          <w:color w:val="000000"/>
          <w:sz w:val="24"/>
          <w:szCs w:val="24"/>
        </w:rPr>
        <w:t xml:space="preserve">de </w:t>
      </w:r>
      <w:r w:rsidR="0056667F" w:rsidRPr="000F4D2C">
        <w:rPr>
          <w:rFonts w:ascii="Bookman Old Style" w:hAnsi="Bookman Old Style" w:cs="Arial"/>
          <w:b/>
          <w:color w:val="000000"/>
          <w:sz w:val="24"/>
          <w:szCs w:val="24"/>
        </w:rPr>
        <w:t>Gas Natural, PAGN</w:t>
      </w:r>
      <w:r w:rsidRPr="000F4D2C">
        <w:rPr>
          <w:rFonts w:ascii="Bookman Old Style" w:hAnsi="Bookman Old Style" w:cs="Arial"/>
          <w:b/>
          <w:color w:val="000000"/>
          <w:sz w:val="24"/>
          <w:szCs w:val="24"/>
        </w:rPr>
        <w:t xml:space="preserve">: </w:t>
      </w:r>
      <w:r w:rsidRPr="000F4D2C">
        <w:rPr>
          <w:rFonts w:ascii="Bookman Old Style" w:hAnsi="Bookman Old Style" w:cs="Arial"/>
          <w:color w:val="000000"/>
          <w:sz w:val="24"/>
          <w:szCs w:val="24"/>
        </w:rPr>
        <w:t xml:space="preserve">Es el conjunto de proyectos escogidos para un período de 10 años por el Ministerio de Minas y Energía de acuerdo con lo establecido en el Artículo 2.2.2.2.28 del Decreto 1073 de 2015, </w:t>
      </w:r>
      <w:r w:rsidRPr="000F4D2C">
        <w:rPr>
          <w:rFonts w:ascii="Bookman Old Style" w:hAnsi="Bookman Old Style"/>
          <w:color w:val="000000"/>
          <w:sz w:val="24"/>
          <w:szCs w:val="24"/>
          <w:lang w:val="es-ES_tradnl"/>
        </w:rPr>
        <w:t xml:space="preserve">adicionado por el Decreto 2345 de 2015, </w:t>
      </w:r>
      <w:r w:rsidRPr="000F4D2C">
        <w:rPr>
          <w:rFonts w:ascii="Bookman Old Style" w:hAnsi="Bookman Old Style" w:cs="Arial"/>
          <w:color w:val="000000"/>
          <w:sz w:val="24"/>
          <w:szCs w:val="24"/>
        </w:rPr>
        <w:t xml:space="preserve">o aquellos que lo modifiquen o sustituyan.    </w:t>
      </w:r>
    </w:p>
    <w:p w14:paraId="5D0C136C" w14:textId="77777777"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 xml:space="preserve">Plan transitorio de abastecimiento de gas natural: </w:t>
      </w:r>
      <w:r w:rsidRPr="000F4D2C">
        <w:rPr>
          <w:rFonts w:ascii="Bookman Old Style" w:hAnsi="Bookman Old Style" w:cs="Arial"/>
          <w:color w:val="000000"/>
          <w:sz w:val="24"/>
          <w:szCs w:val="24"/>
        </w:rPr>
        <w:t xml:space="preserve">Es el conjunto de obras especificadas en el Artículo 1 de la Resolución 40006 de 2017, adoptada por el Ministerio de Minas y Energía, o aquellas que la modifiquen o sustituyan.  </w:t>
      </w:r>
    </w:p>
    <w:p w14:paraId="6C8D36E1" w14:textId="77777777" w:rsidR="00CF5EFC" w:rsidRPr="000F4D2C" w:rsidDel="003E0B73" w:rsidRDefault="00CF5EFC" w:rsidP="00CF5EFC">
      <w:pPr>
        <w:tabs>
          <w:tab w:val="left" w:pos="0"/>
        </w:tabs>
        <w:jc w:val="both"/>
        <w:rPr>
          <w:rFonts w:ascii="Bookman Old Style" w:hAnsi="Bookman Old Style" w:cs="Arial"/>
          <w:color w:val="000000"/>
          <w:sz w:val="24"/>
          <w:szCs w:val="24"/>
          <w:lang w:val="es-ES_tradnl"/>
        </w:rPr>
      </w:pPr>
      <w:r w:rsidRPr="000F4D2C">
        <w:rPr>
          <w:rFonts w:ascii="Bookman Old Style" w:hAnsi="Bookman Old Style" w:cs="Arial"/>
          <w:b/>
          <w:color w:val="000000"/>
          <w:sz w:val="24"/>
          <w:szCs w:val="24"/>
          <w:lang w:val="es-ES_tradnl"/>
        </w:rPr>
        <w:t>Proceso de selección:</w:t>
      </w:r>
      <w:r w:rsidRPr="000F4D2C">
        <w:rPr>
          <w:rFonts w:ascii="Bookman Old Style" w:hAnsi="Bookman Old Style" w:cs="Arial"/>
          <w:color w:val="000000"/>
          <w:sz w:val="24"/>
          <w:szCs w:val="24"/>
          <w:lang w:val="es-ES_tradnl"/>
        </w:rPr>
        <w:t xml:space="preserve"> Procedimiento mediante el cual la UPME hace una convocatoria abierta del orden nacional, internacional o ambas para que, en condiciones de libre concurrencia y con base en lo establecido en la regulación y en los documentos de selección, los proponentes presenten ofertas para la ejecución y operación de un proyecto prioritario del plan de abastecimiento de gas natural y se seleccione al adjudicatario. Con esta definición también se hace referencia a los mecanismos abiertos y competitivos de que trata el parágrafo </w:t>
      </w:r>
      <w:r w:rsidRPr="000F4D2C">
        <w:rPr>
          <w:rFonts w:ascii="Bookman Old Style" w:hAnsi="Bookman Old Style"/>
          <w:color w:val="000000"/>
          <w:sz w:val="24"/>
          <w:szCs w:val="24"/>
          <w:lang w:val="es-ES_tradnl"/>
        </w:rPr>
        <w:t xml:space="preserve">del Artículo 2.2.2.2.29 del Decreto 1073 de 2015, adicionado por el Decreto 2345 de 2015, o aquellos que lo modifiquen o sustituyan. </w:t>
      </w:r>
    </w:p>
    <w:p w14:paraId="007F3C9E" w14:textId="45B436B7" w:rsidR="00CF5EFC" w:rsidRPr="000F4D2C" w:rsidRDefault="00CF5EFC" w:rsidP="00CF5EFC">
      <w:pPr>
        <w:tabs>
          <w:tab w:val="left" w:pos="0"/>
        </w:tabs>
        <w:jc w:val="both"/>
        <w:rPr>
          <w:rFonts w:ascii="Bookman Old Style" w:hAnsi="Bookman Old Style" w:cs="Arial"/>
          <w:color w:val="000000"/>
          <w:sz w:val="24"/>
          <w:szCs w:val="24"/>
          <w:lang w:val="es-ES_tradnl"/>
        </w:rPr>
      </w:pPr>
      <w:r w:rsidRPr="000F4D2C">
        <w:rPr>
          <w:rFonts w:ascii="Bookman Old Style" w:hAnsi="Bookman Old Style" w:cs="Arial"/>
          <w:b/>
          <w:color w:val="000000"/>
          <w:sz w:val="24"/>
          <w:szCs w:val="24"/>
          <w:lang w:val="es-ES_tradnl"/>
        </w:rPr>
        <w:t>Proponente:</w:t>
      </w:r>
      <w:r w:rsidRPr="000F4D2C">
        <w:rPr>
          <w:rFonts w:ascii="Bookman Old Style" w:hAnsi="Bookman Old Style" w:cs="Arial"/>
          <w:color w:val="000000"/>
          <w:sz w:val="24"/>
          <w:szCs w:val="24"/>
          <w:lang w:val="es-ES_tradnl"/>
        </w:rPr>
        <w:t xml:space="preserve"> Persona jurídica, consorcio o sucursal de sociedad extranjera que presenta una oferta dentro de un proceso de selección previo cumplimiento de lo previsto en la presente Resolución y en los respectivos documentos de selección.</w:t>
      </w:r>
    </w:p>
    <w:p w14:paraId="771C04EC" w14:textId="77777777"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Proyectos prioritarios del plan de abastecimiento de gas natural</w:t>
      </w:r>
      <w:r w:rsidRPr="000F4D2C">
        <w:rPr>
          <w:rFonts w:ascii="Bookman Old Style" w:hAnsi="Bookman Old Style" w:cs="Arial"/>
          <w:color w:val="000000"/>
          <w:sz w:val="24"/>
          <w:szCs w:val="24"/>
        </w:rPr>
        <w:t xml:space="preserve">: Proyectos incluidos en el plan de abastecimiento de gas, o en el plan transitorio de abastecimiento de gas natural, adoptado por el Ministerio de Minas y Energía, que la UPME considera necesario ejecutar mediante mecanismos centralizados con el fin de asegurar su entrada en operación oportuna. Estos mecanismos centralizados serán el proceso de selección y el procedimiento para que el transportador incumbente ejecute en primera instancia proyectos de </w:t>
      </w:r>
      <m:oMath>
        <m:r>
          <w:rPr>
            <w:rFonts w:ascii="Cambria Math" w:hAnsi="Cambria Math"/>
            <w:sz w:val="24"/>
            <w:szCs w:val="24"/>
          </w:rPr>
          <m:t>IPAT</m:t>
        </m:r>
      </m:oMath>
      <w:r w:rsidRPr="000F4D2C">
        <w:rPr>
          <w:rFonts w:ascii="Bookman Old Style" w:hAnsi="Bookman Old Style" w:cs="Arial"/>
          <w:sz w:val="24"/>
          <w:szCs w:val="24"/>
        </w:rPr>
        <w:t>.</w:t>
      </w:r>
    </w:p>
    <w:p w14:paraId="5726A132" w14:textId="77777777" w:rsidR="00CF5EFC" w:rsidRPr="000F4D2C" w:rsidRDefault="00CF5EFC" w:rsidP="00CF5EFC">
      <w:pPr>
        <w:jc w:val="both"/>
        <w:rPr>
          <w:rFonts w:ascii="Bookman Old Style" w:hAnsi="Bookman Old Style" w:cs="Arial"/>
          <w:b/>
          <w:color w:val="000000"/>
          <w:sz w:val="24"/>
          <w:szCs w:val="24"/>
          <w:lang w:val="es-ES_tradnl"/>
        </w:rPr>
      </w:pPr>
      <w:r w:rsidRPr="000F4D2C">
        <w:rPr>
          <w:rFonts w:ascii="Bookman Old Style" w:hAnsi="Bookman Old Style" w:cs="Arial"/>
          <w:b/>
          <w:color w:val="000000"/>
          <w:sz w:val="24"/>
          <w:szCs w:val="24"/>
        </w:rPr>
        <w:t>Proyectos generales del plan de abastecimiento de gas natural</w:t>
      </w:r>
      <w:r w:rsidRPr="000F4D2C">
        <w:rPr>
          <w:rFonts w:ascii="Bookman Old Style" w:hAnsi="Bookman Old Style" w:cs="Arial"/>
          <w:color w:val="000000"/>
          <w:sz w:val="24"/>
          <w:szCs w:val="24"/>
        </w:rPr>
        <w:t xml:space="preserve">: Proyectos incluidos en el plan de abastecimiento de gas, o en el plan transitorio de abastecimiento de gas natural, adoptado por el Ministerio de Minas y Energía, que no se ejecutan mediante mecanismos centralizados. </w:t>
      </w:r>
    </w:p>
    <w:p w14:paraId="06F78172" w14:textId="3D338436" w:rsidR="00CF5EFC" w:rsidRPr="000F4D2C" w:rsidRDefault="00CF5EFC" w:rsidP="00CF5EFC">
      <w:pPr>
        <w:jc w:val="both"/>
        <w:rPr>
          <w:rFonts w:ascii="Bookman Old Style" w:hAnsi="Bookman Old Style" w:cs="Arial"/>
          <w:b/>
          <w:color w:val="000000"/>
          <w:sz w:val="24"/>
          <w:szCs w:val="24"/>
          <w:lang w:val="es-ES_tradnl"/>
        </w:rPr>
      </w:pPr>
      <w:r w:rsidRPr="000F4D2C">
        <w:rPr>
          <w:rFonts w:ascii="Bookman Old Style" w:hAnsi="Bookman Old Style" w:cs="Arial"/>
          <w:b/>
          <w:color w:val="000000"/>
          <w:sz w:val="24"/>
          <w:szCs w:val="24"/>
          <w:lang w:val="es-ES_tradnl"/>
        </w:rPr>
        <w:t xml:space="preserve">Servicios adicionales: </w:t>
      </w:r>
      <w:r w:rsidR="00172961" w:rsidRPr="000F4D2C">
        <w:rPr>
          <w:rFonts w:ascii="Bookman Old Style" w:hAnsi="Bookman Old Style" w:cs="Arial"/>
          <w:bCs/>
          <w:color w:val="000000"/>
          <w:sz w:val="24"/>
          <w:szCs w:val="24"/>
          <w:lang w:val="es-ES_tradnl"/>
        </w:rPr>
        <w:t>S</w:t>
      </w:r>
      <w:r w:rsidRPr="000F4D2C">
        <w:rPr>
          <w:rFonts w:ascii="Bookman Old Style" w:hAnsi="Bookman Old Style" w:cs="Arial"/>
          <w:bCs/>
          <w:color w:val="000000"/>
          <w:sz w:val="24"/>
          <w:szCs w:val="24"/>
          <w:lang w:val="es-ES_tradnl"/>
        </w:rPr>
        <w:t>on los servicios, que corresponden a una capacidad adicional a la adjudicada a un proyecto del Plan de Abastecimiento de Gas Natural y que son desarrollados a riesgo por el adjudicatario del mismo.</w:t>
      </w:r>
    </w:p>
    <w:p w14:paraId="5216DD46" w14:textId="77777777"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lang w:val="es-ES_tradnl"/>
        </w:rPr>
        <w:lastRenderedPageBreak/>
        <w:t xml:space="preserve">Tasa representativa del mercado, </w:t>
      </w:r>
      <m:oMath>
        <m:r>
          <m:rPr>
            <m:sty m:val="bi"/>
          </m:rPr>
          <w:rPr>
            <w:rFonts w:ascii="Cambria Math" w:hAnsi="Cambria Math" w:cs="Arial"/>
            <w:color w:val="000000"/>
            <w:sz w:val="24"/>
            <w:szCs w:val="24"/>
            <w:lang w:val="es-ES_tradnl"/>
          </w:rPr>
          <m:t>TRM</m:t>
        </m:r>
      </m:oMath>
      <w:r w:rsidRPr="000F4D2C">
        <w:rPr>
          <w:rFonts w:ascii="Bookman Old Style" w:hAnsi="Bookman Old Style" w:cs="Arial"/>
          <w:b/>
          <w:color w:val="000000"/>
          <w:sz w:val="24"/>
          <w:szCs w:val="24"/>
          <w:lang w:val="es-ES_tradnl"/>
        </w:rPr>
        <w:t>:</w:t>
      </w:r>
      <w:r w:rsidRPr="000F4D2C">
        <w:rPr>
          <w:rFonts w:ascii="Bookman Old Style" w:hAnsi="Bookman Old Style" w:cs="Arial"/>
          <w:color w:val="000000"/>
          <w:sz w:val="24"/>
          <w:szCs w:val="24"/>
          <w:lang w:val="es-ES_tradnl"/>
        </w:rPr>
        <w:t xml:space="preserve"> Tasa de cambio certificada por la Superintendencia Financiera, expresada en pesos colombianos por dólar de los Estados Unidos de América.</w:t>
      </w:r>
    </w:p>
    <w:p w14:paraId="21A6A818" w14:textId="77777777" w:rsidR="00CF5EFC" w:rsidRPr="00111780" w:rsidRDefault="00CF5EFC" w:rsidP="00CF5EFC">
      <w:pPr>
        <w:pStyle w:val="Estilo8"/>
        <w:widowControl w:val="0"/>
        <w:jc w:val="both"/>
        <w:rPr>
          <w:rFonts w:ascii="Bookman Old Style" w:hAnsi="Bookman Old Style"/>
          <w:color w:val="000000"/>
          <w:sz w:val="24"/>
          <w:szCs w:val="24"/>
        </w:rPr>
      </w:pPr>
      <w:r w:rsidRPr="00111780">
        <w:rPr>
          <w:rFonts w:ascii="Bookman Old Style" w:hAnsi="Bookman Old Style"/>
          <w:b/>
          <w:color w:val="000000"/>
          <w:sz w:val="24"/>
          <w:szCs w:val="24"/>
        </w:rPr>
        <w:t xml:space="preserve">Transportador incumbente: </w:t>
      </w:r>
      <w:r w:rsidRPr="00111780">
        <w:rPr>
          <w:rFonts w:ascii="Bookman Old Style" w:hAnsi="Bookman Old Style"/>
          <w:color w:val="000000"/>
          <w:sz w:val="24"/>
          <w:szCs w:val="24"/>
        </w:rPr>
        <w:t xml:space="preserve">Transportador que opera y administra la infraestructura del sistema de transporte en la cual está embebido un proyecto que cumple las condiciones de </w:t>
      </w:r>
      <m:oMath>
        <m:r>
          <w:rPr>
            <w:rFonts w:ascii="Cambria Math" w:hAnsi="Cambria Math"/>
            <w:sz w:val="24"/>
            <w:szCs w:val="24"/>
          </w:rPr>
          <m:t>IPAT</m:t>
        </m:r>
      </m:oMath>
      <w:r w:rsidRPr="000F4D2C">
        <w:rPr>
          <w:rFonts w:ascii="Bookman Old Style" w:hAnsi="Bookman Old Style"/>
          <w:sz w:val="24"/>
          <w:szCs w:val="24"/>
        </w:rPr>
        <w:t>.</w:t>
      </w:r>
      <w:r w:rsidRPr="00111780">
        <w:rPr>
          <w:rFonts w:ascii="Bookman Old Style" w:hAnsi="Bookman Old Style"/>
          <w:color w:val="000000"/>
          <w:sz w:val="24"/>
          <w:szCs w:val="24"/>
        </w:rPr>
        <w:t xml:space="preserve"> </w:t>
      </w:r>
    </w:p>
    <w:p w14:paraId="118B6582" w14:textId="77777777" w:rsidR="00CF5EFC" w:rsidRPr="00111780" w:rsidRDefault="00CF5EFC" w:rsidP="00CF5EFC">
      <w:pPr>
        <w:pStyle w:val="Estilo8"/>
        <w:widowControl w:val="0"/>
        <w:jc w:val="both"/>
        <w:rPr>
          <w:rFonts w:ascii="Bookman Old Style" w:hAnsi="Bookman Old Style"/>
          <w:color w:val="000000"/>
          <w:sz w:val="24"/>
          <w:szCs w:val="24"/>
        </w:rPr>
      </w:pPr>
    </w:p>
    <w:p w14:paraId="2BC1D5F7" w14:textId="1FD91C0F" w:rsidR="00CF5EFC" w:rsidRPr="00111780" w:rsidRDefault="00CF5EFC" w:rsidP="00CF5EFC">
      <w:pPr>
        <w:pStyle w:val="Estilo8"/>
        <w:widowControl w:val="0"/>
        <w:jc w:val="both"/>
        <w:rPr>
          <w:rFonts w:ascii="Bookman Old Style" w:hAnsi="Bookman Old Style"/>
          <w:b/>
          <w:color w:val="000000"/>
          <w:sz w:val="24"/>
          <w:szCs w:val="24"/>
        </w:rPr>
      </w:pPr>
      <w:r w:rsidRPr="00111780">
        <w:rPr>
          <w:rFonts w:ascii="Bookman Old Style" w:hAnsi="Bookman Old Style"/>
          <w:b/>
          <w:sz w:val="24"/>
          <w:szCs w:val="24"/>
        </w:rPr>
        <w:t>Valor de la oferta:</w:t>
      </w:r>
      <w:r w:rsidRPr="00111780">
        <w:rPr>
          <w:rFonts w:ascii="Bookman Old Style" w:hAnsi="Bookman Old Style"/>
          <w:sz w:val="24"/>
          <w:szCs w:val="24"/>
        </w:rPr>
        <w:t xml:space="preserve"> Es el valor calculado por la UPME como el valor presente de la serie de valores anuales del ingreso anual esperado, IAE, incluida en la propuesta, para lo cual se utilizará la tasa de descuento de que trata la presente Resolución.</w:t>
      </w:r>
    </w:p>
    <w:p w14:paraId="463A1EE0" w14:textId="77777777" w:rsidR="00CF5EFC" w:rsidRPr="00111780" w:rsidRDefault="00CF5EFC" w:rsidP="00CF5EFC">
      <w:pPr>
        <w:pStyle w:val="Estilo8"/>
        <w:widowControl w:val="0"/>
        <w:jc w:val="both"/>
        <w:rPr>
          <w:rFonts w:ascii="Bookman Old Style" w:hAnsi="Bookman Old Style"/>
          <w:b/>
          <w:color w:val="000000"/>
          <w:sz w:val="24"/>
          <w:szCs w:val="24"/>
        </w:rPr>
      </w:pPr>
    </w:p>
    <w:p w14:paraId="3EBF4F6B" w14:textId="77777777" w:rsidR="00CF5EFC" w:rsidRPr="00F23AE8" w:rsidRDefault="00CF5EFC" w:rsidP="00CF5EFC">
      <w:pPr>
        <w:pStyle w:val="Prrafodelista"/>
        <w:tabs>
          <w:tab w:val="left" w:pos="9356"/>
        </w:tabs>
        <w:ind w:left="0"/>
        <w:jc w:val="both"/>
        <w:rPr>
          <w:rFonts w:ascii="Bookman Old Style" w:hAnsi="Bookman Old Style"/>
          <w:b/>
          <w:color w:val="000000"/>
          <w:sz w:val="24"/>
          <w:szCs w:val="24"/>
        </w:rPr>
      </w:pPr>
      <w:r w:rsidRPr="00111780">
        <w:rPr>
          <w:rFonts w:ascii="Bookman Old Style" w:hAnsi="Bookman Old Style"/>
          <w:b/>
          <w:sz w:val="24"/>
          <w:szCs w:val="24"/>
        </w:rPr>
        <w:t>Valor estimado del proyecto:</w:t>
      </w:r>
      <w:r w:rsidRPr="00111780">
        <w:rPr>
          <w:rFonts w:ascii="Bookman Old Style" w:hAnsi="Bookman Old Style"/>
          <w:sz w:val="24"/>
          <w:szCs w:val="24"/>
        </w:rPr>
        <w:t xml:space="preserve"> Es el valor calculado por la UPME, estimado con base en información disponible tal como valores de referencia utilizados por la CREG para valorar infraestructura de transporte, información de estudios de preinversión, licenciamientos</w:t>
      </w:r>
      <w:r w:rsidRPr="00F23AE8">
        <w:rPr>
          <w:rFonts w:ascii="Bookman Old Style" w:hAnsi="Bookman Old Style"/>
          <w:sz w:val="24"/>
        </w:rPr>
        <w:t xml:space="preserve"> ambientales, servidumbres, adecuaciones de infraestructura, entre otros</w:t>
      </w:r>
      <w:r>
        <w:rPr>
          <w:rFonts w:ascii="Bookman Old Style" w:hAnsi="Bookman Old Style"/>
          <w:sz w:val="24"/>
        </w:rPr>
        <w:t>, y que es incluido en los documentos de selección.</w:t>
      </w:r>
    </w:p>
    <w:p w14:paraId="4C567FC1" w14:textId="77777777" w:rsidR="00CF5EFC" w:rsidRPr="00F23AE8" w:rsidRDefault="00CF5EFC" w:rsidP="00CF5EFC">
      <w:pPr>
        <w:pStyle w:val="Estilo8"/>
        <w:widowControl w:val="0"/>
        <w:jc w:val="both"/>
        <w:rPr>
          <w:rFonts w:ascii="Bookman Old Style" w:hAnsi="Bookman Old Style"/>
          <w:b/>
          <w:color w:val="000000"/>
          <w:sz w:val="24"/>
          <w:szCs w:val="24"/>
        </w:rPr>
      </w:pPr>
    </w:p>
    <w:p w14:paraId="2D6FFEAF" w14:textId="7C63E9E0" w:rsidR="00CF5EFC" w:rsidRPr="00F23AE8" w:rsidRDefault="00CF5EFC" w:rsidP="00CF5EFC">
      <w:pPr>
        <w:pStyle w:val="Estilo3"/>
        <w:widowControl w:val="0"/>
        <w:numPr>
          <w:ilvl w:val="0"/>
          <w:numId w:val="10"/>
        </w:numPr>
        <w:jc w:val="both"/>
        <w:outlineLvl w:val="0"/>
        <w:rPr>
          <w:rFonts w:ascii="Bookman Old Style" w:hAnsi="Bookman Old Style"/>
          <w:color w:val="000000"/>
          <w:sz w:val="24"/>
          <w:szCs w:val="24"/>
        </w:rPr>
      </w:pPr>
      <w:r w:rsidRPr="00F23AE8">
        <w:rPr>
          <w:rFonts w:ascii="Bookman Old Style" w:hAnsi="Bookman Old Style"/>
          <w:b/>
          <w:color w:val="000000"/>
          <w:sz w:val="24"/>
          <w:szCs w:val="24"/>
        </w:rPr>
        <w:t>Siglas.</w:t>
      </w:r>
      <w:r w:rsidRPr="00F23AE8">
        <w:rPr>
          <w:rFonts w:ascii="Bookman Old Style" w:hAnsi="Bookman Old Style"/>
          <w:color w:val="000000"/>
          <w:sz w:val="24"/>
          <w:szCs w:val="24"/>
        </w:rPr>
        <w:t xml:space="preserve"> </w:t>
      </w:r>
      <w:r w:rsidRPr="00DD7054">
        <w:rPr>
          <w:rFonts w:ascii="Bookman Old Style" w:hAnsi="Bookman Old Style" w:cs="Arial"/>
          <w:color w:val="000000" w:themeColor="text1"/>
          <w:sz w:val="24"/>
          <w:szCs w:val="24"/>
          <w:lang w:val="es-ES"/>
        </w:rPr>
        <w:t>Para</w:t>
      </w:r>
      <w:r w:rsidRPr="00F23AE8">
        <w:rPr>
          <w:rFonts w:ascii="Bookman Old Style" w:hAnsi="Bookman Old Style" w:cs="Arial"/>
          <w:color w:val="000000" w:themeColor="text1"/>
          <w:sz w:val="24"/>
          <w:szCs w:val="24"/>
          <w:lang w:val="es-ES"/>
        </w:rPr>
        <w:t xml:space="preserve"> efectos de la presente Resolución se tendrán en cuenta las siguientes siglas</w:t>
      </w:r>
      <w:r w:rsidRPr="00F23AE8">
        <w:rPr>
          <w:rFonts w:ascii="Bookman Old Style" w:hAnsi="Bookman Old Style"/>
          <w:color w:val="000000"/>
          <w:sz w:val="24"/>
          <w:szCs w:val="24"/>
        </w:rPr>
        <w:t xml:space="preserve">: </w:t>
      </w:r>
    </w:p>
    <w:p w14:paraId="3C8A44CF" w14:textId="77777777" w:rsidR="00CF5EFC" w:rsidRPr="00F23AE8" w:rsidRDefault="00CF5EFC" w:rsidP="00CF5EFC">
      <w:pPr>
        <w:pStyle w:val="ARTICULOS"/>
        <w:numPr>
          <w:ilvl w:val="0"/>
          <w:numId w:val="0"/>
        </w:numPr>
        <w:tabs>
          <w:tab w:val="left" w:pos="0"/>
        </w:tabs>
        <w:rPr>
          <w:rFonts w:cs="Arial"/>
          <w:color w:val="000000" w:themeColor="text1"/>
          <w:lang w:val="es-ES"/>
        </w:rPr>
      </w:pPr>
    </w:p>
    <w:p w14:paraId="1F7E8CBF" w14:textId="77777777" w:rsidR="00CF5EFC" w:rsidRPr="00F23AE8" w:rsidRDefault="00CF5EFC" w:rsidP="00CF5EFC">
      <w:pPr>
        <w:pStyle w:val="ARTICULOS"/>
        <w:numPr>
          <w:ilvl w:val="0"/>
          <w:numId w:val="0"/>
        </w:numPr>
        <w:tabs>
          <w:tab w:val="left" w:pos="0"/>
        </w:tabs>
        <w:rPr>
          <w:b/>
          <w:color w:val="000000" w:themeColor="text1"/>
          <w:lang w:val="es-ES"/>
        </w:rPr>
      </w:pPr>
      <w:r w:rsidRPr="00F23AE8">
        <w:rPr>
          <w:b/>
          <w:color w:val="000000" w:themeColor="text1"/>
          <w:lang w:val="es-ES"/>
        </w:rPr>
        <w:t>AOM:</w:t>
      </w:r>
      <w:r w:rsidRPr="00F23AE8">
        <w:rPr>
          <w:color w:val="000000" w:themeColor="text1"/>
          <w:lang w:val="es-ES"/>
        </w:rPr>
        <w:t xml:space="preserve"> </w:t>
      </w:r>
      <w:r w:rsidRPr="00F23AE8">
        <w:rPr>
          <w:color w:val="000000" w:themeColor="text1"/>
          <w:lang w:val="es-ES"/>
        </w:rPr>
        <w:tab/>
        <w:t>Administración, operación y mantenimiento</w:t>
      </w:r>
    </w:p>
    <w:p w14:paraId="54EA432B" w14:textId="77777777" w:rsidR="00CF5EFC" w:rsidRPr="00F23AE8" w:rsidRDefault="00CF5EFC" w:rsidP="00CF5EFC">
      <w:pPr>
        <w:pStyle w:val="ARTICULOS"/>
        <w:numPr>
          <w:ilvl w:val="0"/>
          <w:numId w:val="0"/>
        </w:numPr>
        <w:tabs>
          <w:tab w:val="left" w:pos="0"/>
        </w:tabs>
        <w:rPr>
          <w:b/>
          <w:color w:val="000000" w:themeColor="text1"/>
          <w:lang w:val="es-CO"/>
        </w:rPr>
      </w:pPr>
      <w:r w:rsidRPr="00F23AE8">
        <w:rPr>
          <w:b/>
          <w:color w:val="000000" w:themeColor="text1"/>
          <w:lang w:val="es-ES"/>
        </w:rPr>
        <w:t>CNOG:</w:t>
      </w:r>
      <w:r w:rsidRPr="00F23AE8">
        <w:rPr>
          <w:b/>
          <w:color w:val="000000" w:themeColor="text1"/>
          <w:lang w:val="es-ES"/>
        </w:rPr>
        <w:tab/>
      </w:r>
      <w:r w:rsidRPr="00F23AE8">
        <w:rPr>
          <w:color w:val="000000" w:themeColor="text1"/>
        </w:rPr>
        <w:t>Consejo Nacional de Operación de Gas Natural</w:t>
      </w:r>
    </w:p>
    <w:p w14:paraId="3A1FA2E9" w14:textId="77777777" w:rsidR="00CF5EFC" w:rsidRPr="00172961" w:rsidRDefault="00CF5EFC" w:rsidP="00CF5EFC">
      <w:pPr>
        <w:pStyle w:val="ARTICULOS"/>
        <w:numPr>
          <w:ilvl w:val="0"/>
          <w:numId w:val="0"/>
        </w:numPr>
        <w:tabs>
          <w:tab w:val="left" w:pos="0"/>
        </w:tabs>
        <w:rPr>
          <w:b/>
          <w:color w:val="000000" w:themeColor="text1"/>
          <w:lang w:val="es-ES"/>
        </w:rPr>
      </w:pPr>
      <w:r w:rsidRPr="00172961">
        <w:rPr>
          <w:b/>
          <w:color w:val="000000" w:themeColor="text1"/>
          <w:lang w:val="es-ES"/>
        </w:rPr>
        <w:t>CREG:</w:t>
      </w:r>
      <w:r w:rsidRPr="00172961">
        <w:rPr>
          <w:color w:val="000000" w:themeColor="text1"/>
          <w:lang w:val="es-ES"/>
        </w:rPr>
        <w:t xml:space="preserve"> </w:t>
      </w:r>
      <w:r w:rsidRPr="00172961">
        <w:rPr>
          <w:color w:val="000000" w:themeColor="text1"/>
          <w:lang w:val="es-ES"/>
        </w:rPr>
        <w:tab/>
        <w:t>Comisión de Regulación de Energía y Gas</w:t>
      </w:r>
    </w:p>
    <w:p w14:paraId="6AB999C3" w14:textId="77777777" w:rsidR="00CF5EFC" w:rsidRPr="00172961" w:rsidRDefault="00CF5EFC" w:rsidP="00CF5EFC">
      <w:pPr>
        <w:pStyle w:val="ARTICULOS"/>
        <w:numPr>
          <w:ilvl w:val="0"/>
          <w:numId w:val="0"/>
        </w:numPr>
        <w:tabs>
          <w:tab w:val="left" w:pos="0"/>
        </w:tabs>
        <w:ind w:left="1410" w:hanging="1410"/>
        <w:rPr>
          <w:b/>
          <w:color w:val="000000" w:themeColor="text1"/>
          <w:lang w:val="es-ES"/>
        </w:rPr>
      </w:pPr>
      <w:r w:rsidRPr="00172961">
        <w:rPr>
          <w:b/>
          <w:color w:val="000000" w:themeColor="text1"/>
          <w:lang w:val="es-ES"/>
        </w:rPr>
        <w:t xml:space="preserve">DANE: </w:t>
      </w:r>
      <w:r w:rsidRPr="00172961">
        <w:rPr>
          <w:b/>
          <w:color w:val="000000" w:themeColor="text1"/>
          <w:lang w:val="es-ES"/>
        </w:rPr>
        <w:tab/>
      </w:r>
      <w:r w:rsidRPr="00172961">
        <w:rPr>
          <w:color w:val="000000" w:themeColor="text1"/>
          <w:lang w:val="es-ES"/>
        </w:rPr>
        <w:t xml:space="preserve">Departamento Administrativo Nacional de Estadística </w:t>
      </w:r>
    </w:p>
    <w:p w14:paraId="6D4CB4DD" w14:textId="77777777" w:rsidR="00CF5EFC" w:rsidRPr="000F4D2C" w:rsidRDefault="00CF5EFC" w:rsidP="00CF5EFC">
      <w:pPr>
        <w:pStyle w:val="ARTICULOS"/>
        <w:numPr>
          <w:ilvl w:val="0"/>
          <w:numId w:val="0"/>
        </w:numPr>
        <w:tabs>
          <w:tab w:val="left" w:pos="0"/>
        </w:tabs>
        <w:ind w:left="1410" w:hanging="1410"/>
        <w:rPr>
          <w:color w:val="000000" w:themeColor="text1"/>
          <w:lang w:val="es-ES"/>
        </w:rPr>
      </w:pPr>
      <w:r w:rsidRPr="000F4D2C">
        <w:rPr>
          <w:b/>
          <w:color w:val="000000" w:themeColor="text1"/>
          <w:lang w:val="es-ES"/>
        </w:rPr>
        <w:t>FPO:</w:t>
      </w:r>
      <w:r w:rsidRPr="000F4D2C">
        <w:rPr>
          <w:b/>
          <w:color w:val="000000" w:themeColor="text1"/>
          <w:lang w:val="es-ES"/>
        </w:rPr>
        <w:tab/>
      </w:r>
      <w:r w:rsidRPr="000F4D2C">
        <w:rPr>
          <w:color w:val="000000" w:themeColor="text1"/>
          <w:lang w:val="es-ES"/>
        </w:rPr>
        <w:t xml:space="preserve">Fecha de puesta en operación </w:t>
      </w:r>
    </w:p>
    <w:p w14:paraId="32C3791F" w14:textId="77777777" w:rsidR="00CF5EFC" w:rsidRPr="00172961" w:rsidRDefault="00CF5EFC" w:rsidP="00CF5EFC">
      <w:pPr>
        <w:pStyle w:val="ARTICULOS"/>
        <w:numPr>
          <w:ilvl w:val="0"/>
          <w:numId w:val="0"/>
        </w:numPr>
        <w:tabs>
          <w:tab w:val="left" w:pos="0"/>
        </w:tabs>
        <w:ind w:left="1410" w:hanging="1410"/>
        <w:rPr>
          <w:color w:val="000000" w:themeColor="text1"/>
          <w:lang w:val="es-ES"/>
        </w:rPr>
      </w:pPr>
      <w:r w:rsidRPr="00172961">
        <w:rPr>
          <w:b/>
          <w:color w:val="000000" w:themeColor="text1"/>
          <w:lang w:val="es-ES"/>
        </w:rPr>
        <w:t>IAE:</w:t>
      </w:r>
      <w:r w:rsidRPr="00172961">
        <w:rPr>
          <w:b/>
          <w:color w:val="000000" w:themeColor="text1"/>
          <w:lang w:val="es-ES"/>
        </w:rPr>
        <w:tab/>
      </w:r>
      <w:r w:rsidRPr="00172961">
        <w:rPr>
          <w:color w:val="000000" w:themeColor="text1"/>
          <w:lang w:val="es-ES"/>
        </w:rPr>
        <w:tab/>
        <w:t>Ingreso anual esperado</w:t>
      </w:r>
    </w:p>
    <w:p w14:paraId="100A7767" w14:textId="77777777" w:rsidR="00CF5EFC" w:rsidRPr="00172961" w:rsidRDefault="00CF5EFC" w:rsidP="00CF5EFC">
      <w:pPr>
        <w:pStyle w:val="ARTICULOS"/>
        <w:numPr>
          <w:ilvl w:val="0"/>
          <w:numId w:val="0"/>
        </w:numPr>
        <w:tabs>
          <w:tab w:val="left" w:pos="0"/>
        </w:tabs>
        <w:ind w:left="1410" w:hanging="1410"/>
        <w:rPr>
          <w:b/>
          <w:color w:val="000000" w:themeColor="text1"/>
          <w:lang w:val="es-ES"/>
        </w:rPr>
      </w:pPr>
      <w:r w:rsidRPr="00172961">
        <w:rPr>
          <w:b/>
          <w:color w:val="000000" w:themeColor="text1"/>
          <w:lang w:val="es-ES"/>
        </w:rPr>
        <w:t>IPAT:</w:t>
      </w:r>
      <w:r w:rsidRPr="00172961">
        <w:rPr>
          <w:b/>
          <w:color w:val="000000" w:themeColor="text1"/>
          <w:lang w:val="es-ES"/>
        </w:rPr>
        <w:tab/>
      </w:r>
      <w:r w:rsidRPr="00172961">
        <w:rPr>
          <w:color w:val="000000" w:themeColor="text1"/>
          <w:lang w:val="es-ES"/>
        </w:rPr>
        <w:tab/>
      </w:r>
      <w:r w:rsidRPr="00172961">
        <w:rPr>
          <w:rFonts w:cs="Arial"/>
          <w:color w:val="000000"/>
        </w:rPr>
        <w:t xml:space="preserve">Inversiones </w:t>
      </w:r>
      <w:r w:rsidRPr="00172961">
        <w:rPr>
          <w:rFonts w:cs="Arial"/>
          <w:color w:val="000000"/>
          <w:lang w:val="es-CO"/>
        </w:rPr>
        <w:t xml:space="preserve">en proyectos prioritarios </w:t>
      </w:r>
      <w:r w:rsidRPr="00172961">
        <w:rPr>
          <w:rFonts w:cs="Arial"/>
          <w:color w:val="000000"/>
        </w:rPr>
        <w:t xml:space="preserve">del </w:t>
      </w:r>
      <w:r w:rsidRPr="00172961">
        <w:rPr>
          <w:rFonts w:cs="Arial"/>
          <w:color w:val="000000"/>
          <w:lang w:val="es-CO"/>
        </w:rPr>
        <w:t>p</w:t>
      </w:r>
      <w:r w:rsidRPr="00172961">
        <w:rPr>
          <w:rFonts w:cs="Arial"/>
          <w:color w:val="000000"/>
        </w:rPr>
        <w:t xml:space="preserve">lan de </w:t>
      </w:r>
      <w:r w:rsidRPr="00172961">
        <w:rPr>
          <w:rFonts w:cs="Arial"/>
          <w:color w:val="000000"/>
          <w:lang w:val="es-CO"/>
        </w:rPr>
        <w:t>a</w:t>
      </w:r>
      <w:r w:rsidRPr="00172961">
        <w:rPr>
          <w:rFonts w:cs="Arial"/>
          <w:color w:val="000000"/>
        </w:rPr>
        <w:t xml:space="preserve">bastecimiento </w:t>
      </w:r>
      <w:r w:rsidRPr="00172961">
        <w:rPr>
          <w:rFonts w:cs="Arial"/>
          <w:color w:val="000000"/>
          <w:lang w:val="es-CO"/>
        </w:rPr>
        <w:t xml:space="preserve">de gas natural </w:t>
      </w:r>
      <w:r w:rsidRPr="00172961">
        <w:rPr>
          <w:rFonts w:cs="Arial"/>
          <w:color w:val="000000"/>
        </w:rPr>
        <w:t xml:space="preserve">en un </w:t>
      </w:r>
      <w:r w:rsidRPr="00172961">
        <w:rPr>
          <w:rFonts w:cs="Arial"/>
          <w:color w:val="000000"/>
          <w:lang w:val="es-CO"/>
        </w:rPr>
        <w:t>s</w:t>
      </w:r>
      <w:r w:rsidRPr="00172961">
        <w:rPr>
          <w:rFonts w:cs="Arial"/>
          <w:color w:val="000000"/>
        </w:rPr>
        <w:t xml:space="preserve">istema de </w:t>
      </w:r>
      <w:r w:rsidRPr="00172961">
        <w:rPr>
          <w:rFonts w:cs="Arial"/>
          <w:color w:val="000000"/>
          <w:lang w:val="es-CO"/>
        </w:rPr>
        <w:t>t</w:t>
      </w:r>
      <w:r w:rsidRPr="00172961">
        <w:rPr>
          <w:rFonts w:cs="Arial"/>
          <w:color w:val="000000"/>
        </w:rPr>
        <w:t>ransporte</w:t>
      </w:r>
      <w:r w:rsidRPr="00172961">
        <w:rPr>
          <w:b/>
          <w:color w:val="000000" w:themeColor="text1"/>
          <w:lang w:val="es-ES"/>
        </w:rPr>
        <w:t xml:space="preserve"> </w:t>
      </w:r>
    </w:p>
    <w:p w14:paraId="7C93556C" w14:textId="5F853A46" w:rsidR="00CF5EFC" w:rsidRDefault="00CF5EFC" w:rsidP="00CF5EFC">
      <w:pPr>
        <w:pStyle w:val="ARTICULOS"/>
        <w:numPr>
          <w:ilvl w:val="0"/>
          <w:numId w:val="0"/>
        </w:numPr>
        <w:tabs>
          <w:tab w:val="left" w:pos="0"/>
        </w:tabs>
        <w:rPr>
          <w:color w:val="000000" w:themeColor="text1"/>
          <w:lang w:val="es-ES"/>
        </w:rPr>
      </w:pPr>
      <w:r w:rsidRPr="00172961">
        <w:rPr>
          <w:b/>
          <w:color w:val="000000" w:themeColor="text1"/>
          <w:lang w:val="es-ES"/>
        </w:rPr>
        <w:t>MME:</w:t>
      </w:r>
      <w:r w:rsidRPr="00172961">
        <w:rPr>
          <w:b/>
          <w:color w:val="000000" w:themeColor="text1"/>
          <w:lang w:val="es-ES"/>
        </w:rPr>
        <w:tab/>
      </w:r>
      <w:r w:rsidRPr="00172961">
        <w:rPr>
          <w:b/>
          <w:color w:val="000000" w:themeColor="text1"/>
          <w:lang w:val="es-ES"/>
        </w:rPr>
        <w:tab/>
      </w:r>
      <w:r w:rsidRPr="00172961">
        <w:rPr>
          <w:color w:val="000000" w:themeColor="text1"/>
          <w:lang w:val="es-ES"/>
        </w:rPr>
        <w:t>Ministerio de Minas y Energía</w:t>
      </w:r>
    </w:p>
    <w:p w14:paraId="15198166" w14:textId="415E18DC" w:rsidR="00825428" w:rsidRPr="000F4D2C" w:rsidRDefault="00825428" w:rsidP="00CF5EFC">
      <w:pPr>
        <w:pStyle w:val="ARTICULOS"/>
        <w:numPr>
          <w:ilvl w:val="0"/>
          <w:numId w:val="0"/>
        </w:numPr>
        <w:tabs>
          <w:tab w:val="left" w:pos="0"/>
        </w:tabs>
        <w:rPr>
          <w:b/>
          <w:bCs w:val="0"/>
          <w:color w:val="000000" w:themeColor="text1"/>
          <w:u w:val="single"/>
          <w:lang w:val="es-ES"/>
        </w:rPr>
      </w:pPr>
      <w:r w:rsidRPr="000F4D2C">
        <w:rPr>
          <w:b/>
          <w:bCs w:val="0"/>
          <w:color w:val="000000" w:themeColor="text1"/>
          <w:u w:val="single"/>
          <w:lang w:val="es-ES"/>
        </w:rPr>
        <w:t>MPC:</w:t>
      </w:r>
      <w:r>
        <w:rPr>
          <w:color w:val="000000" w:themeColor="text1"/>
          <w:lang w:val="es-ES"/>
        </w:rPr>
        <w:t xml:space="preserve">          </w:t>
      </w:r>
      <w:r w:rsidRPr="000F4D2C">
        <w:rPr>
          <w:b/>
          <w:bCs w:val="0"/>
          <w:color w:val="000000" w:themeColor="text1"/>
          <w:u w:val="single"/>
          <w:lang w:val="es-ES"/>
        </w:rPr>
        <w:t>Millón de pies cúbicos</w:t>
      </w:r>
    </w:p>
    <w:p w14:paraId="3B411A7A" w14:textId="77777777" w:rsidR="00CF5EFC" w:rsidRPr="000F4D2C" w:rsidRDefault="00CF5EFC" w:rsidP="00CF5EFC">
      <w:pPr>
        <w:pStyle w:val="ARTICULOS"/>
        <w:numPr>
          <w:ilvl w:val="0"/>
          <w:numId w:val="0"/>
        </w:numPr>
        <w:tabs>
          <w:tab w:val="left" w:pos="0"/>
        </w:tabs>
        <w:rPr>
          <w:color w:val="000000" w:themeColor="text1"/>
          <w:lang w:val="es-ES"/>
        </w:rPr>
      </w:pPr>
      <w:r w:rsidRPr="000F4D2C">
        <w:rPr>
          <w:b/>
          <w:bCs w:val="0"/>
          <w:color w:val="000000" w:themeColor="text1"/>
          <w:lang w:val="es-ES"/>
        </w:rPr>
        <w:t>PAGN:</w:t>
      </w:r>
      <w:r w:rsidRPr="000F4D2C">
        <w:rPr>
          <w:b/>
          <w:bCs w:val="0"/>
          <w:color w:val="000000" w:themeColor="text1"/>
          <w:lang w:val="es-ES"/>
        </w:rPr>
        <w:tab/>
      </w:r>
      <w:r w:rsidRPr="000F4D2C">
        <w:rPr>
          <w:color w:val="000000" w:themeColor="text1"/>
          <w:lang w:val="es-ES"/>
        </w:rPr>
        <w:t>Plan de Abastecimiento de Gas Natural</w:t>
      </w:r>
    </w:p>
    <w:p w14:paraId="4BA1991B" w14:textId="77777777" w:rsidR="00CF5EFC" w:rsidRPr="00172961" w:rsidRDefault="00CF5EFC" w:rsidP="00CF5EFC">
      <w:pPr>
        <w:pStyle w:val="ARTICULOS"/>
        <w:numPr>
          <w:ilvl w:val="0"/>
          <w:numId w:val="0"/>
        </w:numPr>
        <w:tabs>
          <w:tab w:val="left" w:pos="0"/>
        </w:tabs>
        <w:rPr>
          <w:b/>
          <w:color w:val="000000" w:themeColor="text1"/>
          <w:lang w:val="es-ES"/>
        </w:rPr>
      </w:pPr>
      <w:r w:rsidRPr="00172961">
        <w:rPr>
          <w:b/>
          <w:color w:val="000000" w:themeColor="text1"/>
          <w:lang w:val="es-ES"/>
        </w:rPr>
        <w:t>PEP:</w:t>
      </w:r>
      <w:r w:rsidRPr="00172961">
        <w:rPr>
          <w:b/>
          <w:color w:val="000000" w:themeColor="text1"/>
          <w:lang w:val="es-ES"/>
        </w:rPr>
        <w:tab/>
      </w:r>
      <w:r w:rsidRPr="00172961">
        <w:rPr>
          <w:b/>
          <w:color w:val="000000" w:themeColor="text1"/>
          <w:lang w:val="es-ES"/>
        </w:rPr>
        <w:tab/>
      </w:r>
      <w:r w:rsidRPr="00172961">
        <w:rPr>
          <w:color w:val="000000" w:themeColor="text1"/>
          <w:lang w:val="es-ES"/>
        </w:rPr>
        <w:t>Período estándar de pagos</w:t>
      </w:r>
    </w:p>
    <w:p w14:paraId="117B7209" w14:textId="77777777" w:rsidR="00CF5EFC" w:rsidRPr="00F23AE8" w:rsidRDefault="00CF5EFC" w:rsidP="00CF5EFC">
      <w:pPr>
        <w:pStyle w:val="ARTICULOS"/>
        <w:numPr>
          <w:ilvl w:val="0"/>
          <w:numId w:val="0"/>
        </w:numPr>
        <w:tabs>
          <w:tab w:val="left" w:pos="0"/>
        </w:tabs>
        <w:rPr>
          <w:color w:val="000000" w:themeColor="text1"/>
          <w:lang w:val="es-ES"/>
        </w:rPr>
      </w:pPr>
      <w:r w:rsidRPr="00F23AE8">
        <w:rPr>
          <w:b/>
          <w:color w:val="000000" w:themeColor="text1"/>
          <w:lang w:val="es-ES"/>
        </w:rPr>
        <w:t>RUT:</w:t>
      </w:r>
      <w:r w:rsidRPr="00F23AE8">
        <w:rPr>
          <w:color w:val="000000" w:themeColor="text1"/>
          <w:lang w:val="es-ES"/>
        </w:rPr>
        <w:t xml:space="preserve"> </w:t>
      </w:r>
      <w:r w:rsidRPr="00F23AE8">
        <w:rPr>
          <w:color w:val="000000" w:themeColor="text1"/>
          <w:lang w:val="es-ES"/>
        </w:rPr>
        <w:tab/>
      </w:r>
      <w:r w:rsidRPr="00F23AE8">
        <w:rPr>
          <w:color w:val="000000" w:themeColor="text1"/>
          <w:lang w:val="es-ES"/>
        </w:rPr>
        <w:tab/>
        <w:t>Reglamento único de transporte de gas natural</w:t>
      </w:r>
    </w:p>
    <w:p w14:paraId="47D272D9" w14:textId="77777777" w:rsidR="00CF5EFC" w:rsidRPr="00F23AE8" w:rsidRDefault="00CF5EFC" w:rsidP="00CF5EFC">
      <w:pPr>
        <w:pStyle w:val="ARTICULOS"/>
        <w:numPr>
          <w:ilvl w:val="0"/>
          <w:numId w:val="0"/>
        </w:numPr>
        <w:rPr>
          <w:color w:val="000000" w:themeColor="text1"/>
          <w:lang w:val="es-ES"/>
        </w:rPr>
      </w:pPr>
      <w:r w:rsidRPr="00F23AE8">
        <w:rPr>
          <w:b/>
          <w:color w:val="000000" w:themeColor="text1"/>
          <w:lang w:val="es-ES"/>
        </w:rPr>
        <w:t>SNT:</w:t>
      </w:r>
      <w:r w:rsidRPr="00F23AE8">
        <w:rPr>
          <w:color w:val="000000" w:themeColor="text1"/>
          <w:lang w:val="es-ES"/>
        </w:rPr>
        <w:t xml:space="preserve"> </w:t>
      </w:r>
      <w:r w:rsidRPr="00F23AE8">
        <w:rPr>
          <w:color w:val="000000" w:themeColor="text1"/>
          <w:lang w:val="es-ES"/>
        </w:rPr>
        <w:tab/>
      </w:r>
      <w:r w:rsidRPr="00F23AE8">
        <w:rPr>
          <w:color w:val="000000" w:themeColor="text1"/>
          <w:lang w:val="es-ES"/>
        </w:rPr>
        <w:tab/>
        <w:t>Sistema nacional de transporte de gas natural</w:t>
      </w:r>
    </w:p>
    <w:p w14:paraId="6F8CD5C8" w14:textId="77777777" w:rsidR="00CF5EFC" w:rsidRPr="00FB300B" w:rsidRDefault="00CF5EFC" w:rsidP="00CF5EFC">
      <w:pPr>
        <w:pStyle w:val="ARTICULOS"/>
        <w:numPr>
          <w:ilvl w:val="0"/>
          <w:numId w:val="0"/>
        </w:numPr>
        <w:tabs>
          <w:tab w:val="left" w:pos="0"/>
        </w:tabs>
        <w:rPr>
          <w:color w:val="000000" w:themeColor="text1"/>
          <w:lang w:val="es-ES"/>
        </w:rPr>
      </w:pPr>
      <w:r>
        <w:rPr>
          <w:b/>
          <w:color w:val="000000" w:themeColor="text1"/>
          <w:lang w:val="es-ES"/>
        </w:rPr>
        <w:t>SSPD:</w:t>
      </w:r>
      <w:r>
        <w:rPr>
          <w:b/>
          <w:color w:val="000000" w:themeColor="text1"/>
          <w:lang w:val="es-ES"/>
        </w:rPr>
        <w:tab/>
      </w:r>
      <w:r w:rsidRPr="00FB300B">
        <w:rPr>
          <w:color w:val="000000" w:themeColor="text1"/>
          <w:lang w:val="es-ES"/>
        </w:rPr>
        <w:t>Superintendencia de Servicios Públicos Domiciliar</w:t>
      </w:r>
      <w:r>
        <w:rPr>
          <w:color w:val="000000" w:themeColor="text1"/>
          <w:lang w:val="es-ES"/>
        </w:rPr>
        <w:t>i</w:t>
      </w:r>
      <w:r w:rsidRPr="00FB300B">
        <w:rPr>
          <w:color w:val="000000" w:themeColor="text1"/>
          <w:lang w:val="es-ES"/>
        </w:rPr>
        <w:t xml:space="preserve">os </w:t>
      </w:r>
    </w:p>
    <w:p w14:paraId="08F24987" w14:textId="77777777" w:rsidR="00CF5EFC" w:rsidRPr="00F23AE8" w:rsidRDefault="00CF5EFC" w:rsidP="00CF5EFC">
      <w:pPr>
        <w:pStyle w:val="ARTICULOS"/>
        <w:numPr>
          <w:ilvl w:val="0"/>
          <w:numId w:val="0"/>
        </w:numPr>
        <w:rPr>
          <w:color w:val="000000" w:themeColor="text1"/>
          <w:lang w:val="es-ES"/>
        </w:rPr>
      </w:pPr>
      <w:r w:rsidRPr="00F23AE8">
        <w:rPr>
          <w:b/>
          <w:color w:val="000000" w:themeColor="text1"/>
          <w:lang w:val="es-ES"/>
        </w:rPr>
        <w:t>UPME:</w:t>
      </w:r>
      <w:r w:rsidRPr="00F23AE8">
        <w:rPr>
          <w:color w:val="000000" w:themeColor="text1"/>
          <w:lang w:val="es-ES"/>
        </w:rPr>
        <w:t xml:space="preserve"> </w:t>
      </w:r>
      <w:r w:rsidRPr="00F23AE8">
        <w:rPr>
          <w:color w:val="000000" w:themeColor="text1"/>
          <w:lang w:val="es-ES"/>
        </w:rPr>
        <w:tab/>
        <w:t>Unidad de Planeación Minero Energética</w:t>
      </w:r>
    </w:p>
    <w:p w14:paraId="51FB7ADC" w14:textId="77777777" w:rsidR="00CF5EFC" w:rsidRDefault="00CF5EFC" w:rsidP="00CF5EFC">
      <w:pPr>
        <w:jc w:val="both"/>
        <w:rPr>
          <w:rFonts w:ascii="Bookman Old Style" w:hAnsi="Bookman Old Style" w:cs="Arial"/>
          <w:color w:val="000000"/>
        </w:rPr>
      </w:pPr>
    </w:p>
    <w:p w14:paraId="37A53A51" w14:textId="77777777" w:rsidR="00CF5EFC" w:rsidRPr="00F23AE8" w:rsidRDefault="00CF5EFC" w:rsidP="00CF5EFC">
      <w:pPr>
        <w:pStyle w:val="Estilo4"/>
        <w:keepNext w:val="0"/>
        <w:widowControl w:val="0"/>
        <w:outlineLvl w:val="9"/>
        <w:rPr>
          <w:rFonts w:ascii="Bookman Old Style" w:hAnsi="Bookman Old Style"/>
          <w:color w:val="000000"/>
          <w:sz w:val="24"/>
          <w:szCs w:val="24"/>
        </w:rPr>
      </w:pPr>
      <w:r w:rsidRPr="00F23AE8">
        <w:rPr>
          <w:rFonts w:ascii="Bookman Old Style" w:hAnsi="Bookman Old Style"/>
          <w:color w:val="000000"/>
          <w:sz w:val="24"/>
          <w:szCs w:val="24"/>
        </w:rPr>
        <w:t>Capítulo II</w:t>
      </w:r>
    </w:p>
    <w:p w14:paraId="58BAFA95" w14:textId="77777777" w:rsidR="00CF5EFC" w:rsidRDefault="00CF5EFC" w:rsidP="00CF5EFC">
      <w:pPr>
        <w:pStyle w:val="Estilo4"/>
        <w:keepNext w:val="0"/>
        <w:widowControl w:val="0"/>
        <w:outlineLvl w:val="9"/>
        <w:rPr>
          <w:rFonts w:ascii="Bookman Old Style" w:hAnsi="Bookman Old Style"/>
          <w:color w:val="000000"/>
          <w:sz w:val="24"/>
          <w:szCs w:val="24"/>
        </w:rPr>
      </w:pPr>
      <w:r>
        <w:rPr>
          <w:rFonts w:ascii="Bookman Old Style" w:hAnsi="Bookman Old Style"/>
          <w:color w:val="000000"/>
          <w:sz w:val="24"/>
          <w:szCs w:val="24"/>
        </w:rPr>
        <w:t>Ejecución de p</w:t>
      </w:r>
      <w:r w:rsidRPr="00F23AE8">
        <w:rPr>
          <w:rFonts w:ascii="Bookman Old Style" w:hAnsi="Bookman Old Style"/>
          <w:color w:val="000000"/>
          <w:sz w:val="24"/>
          <w:szCs w:val="24"/>
        </w:rPr>
        <w:t>ro</w:t>
      </w:r>
      <w:r>
        <w:rPr>
          <w:rFonts w:ascii="Bookman Old Style" w:hAnsi="Bookman Old Style"/>
          <w:color w:val="000000"/>
          <w:sz w:val="24"/>
          <w:szCs w:val="24"/>
        </w:rPr>
        <w:t xml:space="preserve">yectos de IPAT por parte del </w:t>
      </w:r>
    </w:p>
    <w:p w14:paraId="182C1912" w14:textId="77777777" w:rsidR="00CF5EFC" w:rsidRPr="00F23AE8" w:rsidRDefault="00CF5EFC" w:rsidP="00CF5EFC">
      <w:pPr>
        <w:pStyle w:val="Estilo4"/>
        <w:keepNext w:val="0"/>
        <w:widowControl w:val="0"/>
        <w:outlineLvl w:val="9"/>
        <w:rPr>
          <w:rFonts w:ascii="Bookman Old Style" w:hAnsi="Bookman Old Style"/>
          <w:color w:val="000000"/>
          <w:sz w:val="24"/>
          <w:szCs w:val="24"/>
        </w:rPr>
      </w:pPr>
      <w:r>
        <w:rPr>
          <w:rFonts w:ascii="Bookman Old Style" w:hAnsi="Bookman Old Style"/>
          <w:color w:val="000000"/>
          <w:sz w:val="24"/>
          <w:szCs w:val="24"/>
        </w:rPr>
        <w:t>transportador incumbente</w:t>
      </w:r>
      <w:r w:rsidRPr="00F23AE8">
        <w:rPr>
          <w:rFonts w:ascii="Bookman Old Style" w:hAnsi="Bookman Old Style"/>
          <w:color w:val="000000"/>
          <w:sz w:val="24"/>
          <w:szCs w:val="24"/>
        </w:rPr>
        <w:t xml:space="preserve"> </w:t>
      </w:r>
    </w:p>
    <w:p w14:paraId="6ECA9370" w14:textId="77777777" w:rsidR="00CF5EFC" w:rsidRPr="00945D06" w:rsidRDefault="00CF5EFC" w:rsidP="00CF5EFC">
      <w:pPr>
        <w:rPr>
          <w:rFonts w:ascii="Bookman Old Style" w:hAnsi="Bookman Old Style" w:cs="Arial"/>
          <w:i/>
          <w:iCs/>
          <w:color w:val="000000"/>
          <w:lang w:val="es-ES_tradnl"/>
        </w:rPr>
      </w:pPr>
    </w:p>
    <w:p w14:paraId="6C872FF6" w14:textId="35ACC2E1" w:rsidR="00CF5EFC" w:rsidRPr="000F4D2C" w:rsidRDefault="00CF5EFC" w:rsidP="00CF5EFC">
      <w:pPr>
        <w:pStyle w:val="Estilo3"/>
        <w:widowControl w:val="0"/>
        <w:numPr>
          <w:ilvl w:val="0"/>
          <w:numId w:val="10"/>
        </w:numPr>
        <w:tabs>
          <w:tab w:val="left" w:pos="1560"/>
        </w:tabs>
        <w:jc w:val="both"/>
        <w:outlineLvl w:val="0"/>
        <w:rPr>
          <w:rFonts w:ascii="Bookman Old Style" w:hAnsi="Bookman Old Style"/>
          <w:color w:val="000000"/>
          <w:sz w:val="24"/>
          <w:szCs w:val="24"/>
        </w:rPr>
      </w:pPr>
      <w:bookmarkStart w:id="2" w:name="_Ref473021898"/>
      <w:r w:rsidRPr="000F4D2C">
        <w:rPr>
          <w:rFonts w:ascii="Bookman Old Style" w:hAnsi="Bookman Old Style"/>
          <w:b/>
          <w:color w:val="000000"/>
          <w:sz w:val="24"/>
          <w:szCs w:val="24"/>
        </w:rPr>
        <w:t>Procedimiento para que el transportador incumbente ejecute en primera instancia proyectos de</w:t>
      </w:r>
      <m:oMath>
        <m:r>
          <w:rPr>
            <w:rFonts w:ascii="Cambria Math" w:hAnsi="Cambria Math"/>
            <w:color w:val="000000"/>
            <w:sz w:val="24"/>
            <w:szCs w:val="24"/>
          </w:rPr>
          <m:t xml:space="preserve"> </m:t>
        </m:r>
        <m:r>
          <m:rPr>
            <m:sty m:val="b"/>
          </m:rPr>
          <w:rPr>
            <w:rFonts w:ascii="Cambria Math" w:hAnsi="Cambria Math"/>
            <w:color w:val="000000"/>
            <w:sz w:val="24"/>
            <w:szCs w:val="24"/>
          </w:rPr>
          <m:t>IPAT</m:t>
        </m:r>
      </m:oMath>
      <w:r w:rsidRPr="000F4D2C">
        <w:rPr>
          <w:rFonts w:ascii="Bookman Old Style" w:hAnsi="Bookman Old Style"/>
          <w:b/>
          <w:color w:val="000000"/>
          <w:sz w:val="24"/>
          <w:szCs w:val="24"/>
        </w:rPr>
        <w:t>.</w:t>
      </w:r>
      <w:r w:rsidRPr="000F4D2C">
        <w:rPr>
          <w:rFonts w:ascii="Bookman Old Style" w:hAnsi="Bookman Old Style"/>
          <w:color w:val="000000"/>
          <w:sz w:val="24"/>
          <w:szCs w:val="24"/>
        </w:rPr>
        <w:t xml:space="preserve"> Durante el período tarifario t el transportador podrá ejecutar proyectos IPAT que se encuentren embebidos dentro de su respectivo sistema de transporte, para lo cual se aplicará el siguiente procedimiento:</w:t>
      </w:r>
    </w:p>
    <w:p w14:paraId="1947EF60"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77B6E4DA" w14:textId="34FE1225"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Dentro de los tres meses siguientes a la fecha en que la UPME defina los proyectos prioritarios del Plan de Abastecimiento de Gas Natural, el transportador podrá declarar ante la UPME y ante la CREG el nombre de los proyectos IPAT que prevé realizar. En la declaración ante la CREG, el transportador incluirá (i) el valor de la inversión de cada proyecto, expresado en pesos constantes del 31 de diciembre del año anterior a la fecha de la declaración; (ii) la fecha de entrada en operación, la cual deberá corresponder con la fecha establecida en el plan de abastecimiento de gas natural; (iii) la información para determinar el valor eficiente de estas inversiones y los gastos de AOM para el período estándar de pagos, y la demás información que permita verificar que el proyecto presentado por el transportador cumple las condiciones de servicio solicitadas en el Plan de Abastecimiento de Gas Natural. Los parámetros y requerimientos de este literal estarán determinados en la resolución CREG 1</w:t>
      </w:r>
      <w:r w:rsidR="00EF5F16">
        <w:rPr>
          <w:rFonts w:ascii="Bookman Old Style" w:hAnsi="Bookman Old Style"/>
          <w:color w:val="000000"/>
          <w:sz w:val="24"/>
          <w:szCs w:val="24"/>
        </w:rPr>
        <w:t>75 de 2021 o aquellas que la modifiquen o sustituyan</w:t>
      </w:r>
      <w:r w:rsidRPr="000F4D2C">
        <w:rPr>
          <w:rFonts w:ascii="Bookman Old Style" w:hAnsi="Bookman Old Style"/>
          <w:color w:val="000000"/>
          <w:sz w:val="24"/>
          <w:szCs w:val="24"/>
        </w:rPr>
        <w:t xml:space="preserve">. </w:t>
      </w:r>
    </w:p>
    <w:p w14:paraId="3E767B21"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625E653F" w14:textId="77777777" w:rsidR="00CF5EFC" w:rsidRPr="000F4D2C" w:rsidRDefault="00CF5EFC" w:rsidP="00CF5EFC">
      <w:pPr>
        <w:pStyle w:val="Estilo3"/>
        <w:widowControl w:val="0"/>
        <w:ind w:left="567"/>
        <w:jc w:val="both"/>
        <w:rPr>
          <w:rFonts w:ascii="Bookman Old Style" w:hAnsi="Bookman Old Style"/>
          <w:color w:val="000000"/>
          <w:sz w:val="24"/>
          <w:szCs w:val="24"/>
        </w:rPr>
      </w:pPr>
      <w:r w:rsidRPr="000F4D2C">
        <w:rPr>
          <w:rFonts w:ascii="Bookman Old Style" w:hAnsi="Bookman Old Style"/>
          <w:color w:val="000000"/>
          <w:sz w:val="24"/>
          <w:szCs w:val="24"/>
        </w:rPr>
        <w:t>En el valor de la inversión, el transportador incluirá de manera desagregada, y expresado en pesos, el costo estimado de contratar la fiducia que contratará al auditor de que trata el Artículo 23 de la presente Resolución, el costo estimado por los servicios que prestará el auditor, y el costo estimado de constituir el patrimonio autónomo de que trata el Artículo 27 de la presente Resolución.</w:t>
      </w:r>
    </w:p>
    <w:p w14:paraId="5A5F0DEF"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0BA660D2" w14:textId="77777777" w:rsidR="00CF5EFC" w:rsidRPr="000F4D2C" w:rsidRDefault="00CF5EFC" w:rsidP="00CF5EFC">
      <w:pPr>
        <w:pStyle w:val="Estilo3"/>
        <w:widowControl w:val="0"/>
        <w:ind w:left="567"/>
        <w:jc w:val="both"/>
        <w:rPr>
          <w:rFonts w:ascii="Bookman Old Style" w:hAnsi="Bookman Old Style"/>
          <w:color w:val="000000"/>
          <w:sz w:val="24"/>
          <w:szCs w:val="24"/>
        </w:rPr>
      </w:pPr>
      <w:r w:rsidRPr="000F4D2C">
        <w:rPr>
          <w:rFonts w:ascii="Bookman Old Style" w:hAnsi="Bookman Old Style"/>
          <w:color w:val="000000"/>
          <w:sz w:val="24"/>
          <w:szCs w:val="24"/>
        </w:rPr>
        <w:t>En el caso de proyectos embebidos en dos o más sistemas de transporte de diferentes agentes, deberá existir un acuerdo entre dichos transportadores con respecto a quien va a ser el único declarante del proyecto IPAT que prevén realizar. En caso de no existir dicho acuerdo, y de presentarse dos solicitudes diferentes, el proyecto IPAT será desarrollado por aquel que tenga y justifique a la CREG la mayor relación beneficio/costo.</w:t>
      </w:r>
    </w:p>
    <w:p w14:paraId="08DD0759"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226F9782" w14:textId="77777777"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La CREG verificará que la información recibida en cumplimiento del literal a) del presente artículo esté completa y cumpla con lo previsto para el respectivo proyecto IPAT. Si no se cumple con lo dispuesto en el numeral (ii) del literal a) del presente artículo y/o con el contenido de alguno de los numerales restantes de que trata el inciso primero del literal antes citado, se le solicitará al transportador que la complete o corrija en un término de hasta de tres días hábiles contados a partir del día siguiente al recibo de la solicitud. Si pasado el plazo antes mencionado no se atiende la solicitud enviada por la CREG, se rechazará la misma, se le devolverá, y el proyecto IPAT se asignará en un proceso competitivo.</w:t>
      </w:r>
    </w:p>
    <w:p w14:paraId="2E141637"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53A51A77" w14:textId="7FA1F69C"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 xml:space="preserve">Utilizando el mecanismo de valoración de inversiones y evaluación de AOM previsto en la resolución que reemplace la metodología de remuneración de la actividad de transporte de gas natural contenida en la Resolución CREG </w:t>
      </w:r>
      <w:r w:rsidR="00EF5F16">
        <w:rPr>
          <w:rFonts w:ascii="Bookman Old Style" w:hAnsi="Bookman Old Style"/>
          <w:color w:val="000000"/>
          <w:sz w:val="24"/>
          <w:szCs w:val="24"/>
        </w:rPr>
        <w:t>175 de 2021 o aquellas que la modifiquen o sustituyan</w:t>
      </w:r>
      <w:r w:rsidRPr="000F4D2C">
        <w:rPr>
          <w:rFonts w:ascii="Bookman Old Style" w:hAnsi="Bookman Old Style"/>
          <w:color w:val="000000"/>
          <w:sz w:val="24"/>
          <w:szCs w:val="24"/>
        </w:rPr>
        <w:t>, la CREG determinará el valor eficiente de la inversión y de los gastos de AOM correspondientes a cada proyecto declarado por el transportador incumbente.</w:t>
      </w:r>
    </w:p>
    <w:p w14:paraId="7FF522F0" w14:textId="77777777" w:rsidR="00CF5EFC" w:rsidRPr="000F4D2C" w:rsidRDefault="00CF5EFC" w:rsidP="00CF5EFC">
      <w:pPr>
        <w:pStyle w:val="Prrafodelista"/>
        <w:rPr>
          <w:rFonts w:ascii="Bookman Old Style" w:hAnsi="Bookman Old Style"/>
          <w:color w:val="000000"/>
          <w:sz w:val="24"/>
          <w:szCs w:val="24"/>
        </w:rPr>
      </w:pPr>
    </w:p>
    <w:p w14:paraId="7A4A5DF9" w14:textId="77777777"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Con base en el literal c), la CREG oficializará, mediante resolución, los flujos de ingresos anuales para remunerar la inversión y los gastos de AOM del proyecto IPAT declarado por el transportador incumbente. Se identificarán, entre otros aspectos: (i) el nombre del proyecto y el nombre del transportador incumbente; y, (ii) el ingreso en pesos colombianos que recibirá el transportador incumbente en cada uno de los años del PEP.</w:t>
      </w:r>
    </w:p>
    <w:p w14:paraId="1204255A" w14:textId="77777777" w:rsidR="00CF5EFC" w:rsidRPr="000F4D2C" w:rsidRDefault="00CF5EFC" w:rsidP="00CF5EFC">
      <w:pPr>
        <w:pStyle w:val="Prrafodelista"/>
        <w:rPr>
          <w:rFonts w:ascii="Bookman Old Style" w:hAnsi="Bookman Old Style"/>
          <w:color w:val="000000"/>
          <w:sz w:val="24"/>
          <w:szCs w:val="24"/>
        </w:rPr>
      </w:pPr>
    </w:p>
    <w:p w14:paraId="4419A5F7" w14:textId="50DB4159" w:rsidR="00CF5EFC" w:rsidRPr="000F4D2C" w:rsidRDefault="00CF5EFC" w:rsidP="00CF5EFC">
      <w:pPr>
        <w:pStyle w:val="Estilo3"/>
        <w:widowControl w:val="0"/>
        <w:ind w:left="567"/>
        <w:jc w:val="both"/>
        <w:rPr>
          <w:rFonts w:ascii="Bookman Old Style" w:hAnsi="Bookman Old Style"/>
          <w:color w:val="000000"/>
          <w:sz w:val="24"/>
          <w:szCs w:val="24"/>
        </w:rPr>
      </w:pPr>
      <w:r w:rsidRPr="000F4D2C">
        <w:rPr>
          <w:rFonts w:ascii="Bookman Old Style" w:hAnsi="Bookman Old Style"/>
          <w:color w:val="000000"/>
          <w:sz w:val="24"/>
          <w:szCs w:val="24"/>
        </w:rPr>
        <w:t xml:space="preserve">La remuneración para cada proyecto se adoptará con base en lo establecido en la resolución que reemplace la metodología de remuneración de la actividad de transporte de gas natural contenida en la Resolución CREG </w:t>
      </w:r>
      <w:r w:rsidR="00EF5F16">
        <w:rPr>
          <w:rFonts w:ascii="Bookman Old Style" w:hAnsi="Bookman Old Style"/>
          <w:color w:val="000000"/>
          <w:sz w:val="24"/>
          <w:szCs w:val="24"/>
        </w:rPr>
        <w:t>175 de 2021 o aquellas que la modifiquen o sustituyan</w:t>
      </w:r>
      <w:r w:rsidRPr="000F4D2C">
        <w:rPr>
          <w:rFonts w:ascii="Bookman Old Style" w:hAnsi="Bookman Old Style"/>
          <w:color w:val="000000"/>
          <w:sz w:val="24"/>
          <w:szCs w:val="24"/>
        </w:rPr>
        <w:t>. La remuneración será asumida por: (i) los compradores de capacidad de transporte de los proyectos de los planes de abastecimiento, conforme a las disposiciones de la Resolución CREG 185 de 2020, o aquellas que la modifiquen o sustituyan; y, (ii) los beneficiarios del proyecto, identificados por la UPME según lo establecido en la Resolución 40052 de 2016 del MME, o en aquella que la modifique o sustituya.</w:t>
      </w:r>
    </w:p>
    <w:p w14:paraId="2700DE62" w14:textId="77777777" w:rsidR="00CF5EFC" w:rsidRPr="000F4D2C" w:rsidRDefault="00CF5EFC" w:rsidP="00CF5EFC">
      <w:pPr>
        <w:pStyle w:val="Prrafodelista"/>
        <w:rPr>
          <w:rFonts w:ascii="Bookman Old Style" w:hAnsi="Bookman Old Style"/>
          <w:color w:val="000000"/>
          <w:sz w:val="24"/>
          <w:szCs w:val="24"/>
        </w:rPr>
      </w:pPr>
    </w:p>
    <w:p w14:paraId="67600D6C" w14:textId="77777777"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Una vez en firme la resolución que oficializa los flujos de ingresos anuales para remunerar la inversión y los gastos de AOM del proyecto IPAT, el transportador incumbente dispondrá de cinco (5) días hábiles, contados a partir de la fecha de ejecutoria de la resolución en mención, para que el representante legal de la empresa manifieste por escrito a la CREG la voluntad irrevocable de ejecutar el proyecto, en el formato que se defina por parte de la Dirección Ejecutiva de la CREG a través de Circular.</w:t>
      </w:r>
    </w:p>
    <w:p w14:paraId="6AEFCE6F"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0CCF6F3D" w14:textId="77777777"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A partir del momento en que el transportador incumbente manifieste su voluntad irrevocable de ejecutar el proyecto, este contará con sesenta (60) días calendario para radicar la siguiente información en la CREG:</w:t>
      </w:r>
    </w:p>
    <w:p w14:paraId="0CEB34D4" w14:textId="77777777" w:rsidR="00CF5EFC" w:rsidRPr="000F4D2C" w:rsidRDefault="00CF5EFC" w:rsidP="00CF5EFC">
      <w:pPr>
        <w:pStyle w:val="Estilo3"/>
        <w:widowControl w:val="0"/>
        <w:jc w:val="both"/>
        <w:rPr>
          <w:rFonts w:ascii="Bookman Old Style" w:hAnsi="Bookman Old Style"/>
          <w:color w:val="000000"/>
          <w:sz w:val="24"/>
          <w:szCs w:val="24"/>
        </w:rPr>
      </w:pPr>
    </w:p>
    <w:p w14:paraId="0E3C07DA" w14:textId="25E67F18" w:rsidR="00CF5EFC" w:rsidRPr="000F4D2C" w:rsidRDefault="261CDD06" w:rsidP="707D70D2">
      <w:pPr>
        <w:pStyle w:val="Prrafodelista"/>
        <w:numPr>
          <w:ilvl w:val="0"/>
          <w:numId w:val="34"/>
        </w:numPr>
        <w:jc w:val="both"/>
        <w:rPr>
          <w:rFonts w:asciiTheme="minorHAnsi" w:eastAsiaTheme="minorEastAsia" w:hAnsiTheme="minorHAnsi" w:cstheme="minorBidi"/>
          <w:color w:val="000000" w:themeColor="text1"/>
          <w:sz w:val="24"/>
          <w:szCs w:val="24"/>
        </w:rPr>
      </w:pPr>
      <w:r w:rsidRPr="000F4D2C">
        <w:rPr>
          <w:rFonts w:ascii="Bookman Old Style" w:hAnsi="Bookman Old Style"/>
          <w:color w:val="000000" w:themeColor="text1"/>
          <w:sz w:val="24"/>
          <w:szCs w:val="24"/>
        </w:rPr>
        <w:t xml:space="preserve">El cronograma y la curva S de desarrollo de la etapa de construcción del proyecto. </w:t>
      </w:r>
      <w:r w:rsidRPr="000F4D2C">
        <w:rPr>
          <w:rFonts w:ascii="Bookman Old Style" w:hAnsi="Bookman Old Style"/>
          <w:b/>
          <w:bCs/>
          <w:color w:val="000000" w:themeColor="text1"/>
          <w:sz w:val="24"/>
          <w:szCs w:val="24"/>
          <w:u w:val="single"/>
        </w:rPr>
        <w:t>Tanto e</w:t>
      </w:r>
      <w:r w:rsidRPr="000F4D2C">
        <w:rPr>
          <w:rFonts w:ascii="Bookman Old Style" w:hAnsi="Bookman Old Style"/>
          <w:b/>
          <w:bCs/>
          <w:color w:val="000000" w:themeColor="text1"/>
          <w:sz w:val="24"/>
          <w:szCs w:val="24"/>
          <w:u w:val="single"/>
          <w:lang w:val="es"/>
        </w:rPr>
        <w:t>n el cronograma como en la curva S, el interesado debe</w:t>
      </w:r>
      <w:r w:rsidR="00DD2EA0" w:rsidRPr="000F4D2C">
        <w:rPr>
          <w:rFonts w:ascii="Bookman Old Style" w:hAnsi="Bookman Old Style"/>
          <w:b/>
          <w:bCs/>
          <w:color w:val="000000" w:themeColor="text1"/>
          <w:sz w:val="24"/>
          <w:szCs w:val="24"/>
          <w:u w:val="single"/>
          <w:lang w:val="es"/>
        </w:rPr>
        <w:t>rá</w:t>
      </w:r>
      <w:r w:rsidRPr="000F4D2C">
        <w:rPr>
          <w:rFonts w:ascii="Bookman Old Style" w:hAnsi="Bookman Old Style"/>
          <w:b/>
          <w:bCs/>
          <w:color w:val="000000" w:themeColor="text1"/>
          <w:sz w:val="24"/>
          <w:szCs w:val="24"/>
          <w:u w:val="single"/>
          <w:lang w:val="es"/>
        </w:rPr>
        <w:t xml:space="preserve"> identificar </w:t>
      </w:r>
      <w:r w:rsidR="00096B85">
        <w:rPr>
          <w:rFonts w:ascii="Bookman Old Style" w:hAnsi="Bookman Old Style"/>
          <w:b/>
          <w:bCs/>
          <w:color w:val="000000" w:themeColor="text1"/>
          <w:sz w:val="24"/>
          <w:szCs w:val="24"/>
          <w:u w:val="single"/>
          <w:lang w:val="es"/>
        </w:rPr>
        <w:t xml:space="preserve">los Hitos de la curva S y establecer </w:t>
      </w:r>
      <w:r w:rsidRPr="000F4D2C">
        <w:rPr>
          <w:rFonts w:ascii="Bookman Old Style" w:hAnsi="Bookman Old Style"/>
          <w:b/>
          <w:bCs/>
          <w:color w:val="000000" w:themeColor="text1"/>
          <w:sz w:val="24"/>
          <w:szCs w:val="24"/>
          <w:u w:val="single"/>
          <w:lang w:val="es"/>
        </w:rPr>
        <w:t xml:space="preserve">las fechas en las que se van a cumplir </w:t>
      </w:r>
      <w:r w:rsidR="00096B85">
        <w:rPr>
          <w:rFonts w:ascii="Bookman Old Style" w:hAnsi="Bookman Old Style"/>
          <w:b/>
          <w:bCs/>
          <w:color w:val="000000" w:themeColor="text1"/>
          <w:sz w:val="24"/>
          <w:szCs w:val="24"/>
          <w:u w:val="single"/>
          <w:lang w:val="es"/>
        </w:rPr>
        <w:t>dichos hitos</w:t>
      </w:r>
      <w:r w:rsidR="00096B85">
        <w:rPr>
          <w:rFonts w:ascii="Bookman Old Style" w:hAnsi="Bookman Old Style"/>
          <w:b/>
          <w:bCs/>
          <w:color w:val="000000" w:themeColor="text1"/>
          <w:sz w:val="24"/>
          <w:szCs w:val="24"/>
          <w:u w:val="single"/>
        </w:rPr>
        <w:t>. Entr</w:t>
      </w:r>
      <w:r w:rsidRPr="000F4D2C">
        <w:rPr>
          <w:rFonts w:ascii="Bookman Old Style" w:hAnsi="Bookman Old Style"/>
          <w:b/>
          <w:bCs/>
          <w:color w:val="000000" w:themeColor="text1"/>
          <w:sz w:val="24"/>
          <w:szCs w:val="24"/>
          <w:u w:val="single"/>
        </w:rPr>
        <w:t>e otros</w:t>
      </w:r>
      <w:r w:rsidR="00DD2EA0" w:rsidRPr="000F4D2C">
        <w:rPr>
          <w:rFonts w:ascii="Bookman Old Style" w:hAnsi="Bookman Old Style"/>
          <w:b/>
          <w:bCs/>
          <w:color w:val="000000" w:themeColor="text1"/>
          <w:sz w:val="24"/>
          <w:szCs w:val="24"/>
          <w:u w:val="single"/>
        </w:rPr>
        <w:t>,</w:t>
      </w:r>
      <w:r w:rsidRPr="000F4D2C">
        <w:rPr>
          <w:rFonts w:ascii="Bookman Old Style" w:hAnsi="Bookman Old Style"/>
          <w:b/>
          <w:bCs/>
          <w:color w:val="000000" w:themeColor="text1"/>
          <w:sz w:val="24"/>
          <w:szCs w:val="24"/>
          <w:u w:val="single"/>
        </w:rPr>
        <w:t xml:space="preserve"> </w:t>
      </w:r>
      <w:r w:rsidR="00CF64AC">
        <w:rPr>
          <w:rFonts w:ascii="Bookman Old Style" w:hAnsi="Bookman Old Style"/>
          <w:b/>
          <w:bCs/>
          <w:color w:val="000000" w:themeColor="text1"/>
          <w:sz w:val="24"/>
          <w:szCs w:val="24"/>
          <w:u w:val="single"/>
        </w:rPr>
        <w:t>podrán ser</w:t>
      </w:r>
      <w:r w:rsidRPr="000F4D2C">
        <w:rPr>
          <w:rFonts w:ascii="Bookman Old Style" w:hAnsi="Bookman Old Style"/>
          <w:b/>
          <w:bCs/>
          <w:color w:val="000000" w:themeColor="text1"/>
          <w:sz w:val="24"/>
          <w:szCs w:val="24"/>
          <w:u w:val="single"/>
        </w:rPr>
        <w:t xml:space="preserve"> los siguientes: Obtención del derecho al uso de los terrenos para el proyecto, Consultas previas, Permisos y licencia ambiental del proyecto (aprobación DAA y EIA), Orden de compra de los equipos del proyecto, Permisos y licencias para conexiones del proyecto a infraestructura existente. Si por el estado de avance del proyecto, o por el tipo de proyecto, no se requiere uno o varios de los hitos señalados, se deberá entregar la respectiva justificación</w:t>
      </w:r>
      <w:r w:rsidRPr="000F4D2C">
        <w:rPr>
          <w:rFonts w:ascii="Bookman Old Style" w:hAnsi="Bookman Old Style"/>
          <w:color w:val="000000" w:themeColor="text1"/>
          <w:sz w:val="24"/>
          <w:szCs w:val="24"/>
        </w:rPr>
        <w:t>.</w:t>
      </w:r>
    </w:p>
    <w:p w14:paraId="2CF89EFC" w14:textId="06A9683C" w:rsidR="00CF5EFC" w:rsidRPr="00597110" w:rsidRDefault="00CF5EFC" w:rsidP="707D70D2">
      <w:pPr>
        <w:pStyle w:val="Prrafodelista"/>
        <w:ind w:left="348"/>
      </w:pPr>
    </w:p>
    <w:p w14:paraId="58F8045C" w14:textId="25D67488" w:rsidR="00CF5EFC" w:rsidRPr="000F4D2C" w:rsidRDefault="00CF5EFC" w:rsidP="00CF5EFC">
      <w:pPr>
        <w:pStyle w:val="Prrafodelista"/>
        <w:numPr>
          <w:ilvl w:val="0"/>
          <w:numId w:val="34"/>
        </w:numPr>
        <w:rPr>
          <w:rFonts w:ascii="Bookman Old Style" w:hAnsi="Bookman Old Style"/>
          <w:color w:val="000000"/>
          <w:sz w:val="24"/>
          <w:szCs w:val="24"/>
        </w:rPr>
      </w:pPr>
      <w:r w:rsidRPr="000F4D2C">
        <w:rPr>
          <w:rFonts w:ascii="Bookman Old Style" w:hAnsi="Bookman Old Style"/>
          <w:color w:val="000000" w:themeColor="text1"/>
          <w:sz w:val="24"/>
          <w:szCs w:val="24"/>
        </w:rPr>
        <w:t>Información de la firma auditora, incluido el costo reportado por la UPME, asignada de conformidad con lo establecido en el Artículo 23 de la presente Resolución.</w:t>
      </w:r>
    </w:p>
    <w:p w14:paraId="3DCC1CF5" w14:textId="77777777" w:rsidR="00CF5EFC" w:rsidRPr="000F4D2C" w:rsidRDefault="00CF5EFC" w:rsidP="00CF5EFC">
      <w:pPr>
        <w:pStyle w:val="Prrafodelista"/>
        <w:rPr>
          <w:rFonts w:ascii="Bookman Old Style" w:hAnsi="Bookman Old Style"/>
          <w:color w:val="000000"/>
          <w:sz w:val="24"/>
          <w:szCs w:val="24"/>
        </w:rPr>
      </w:pPr>
    </w:p>
    <w:p w14:paraId="5A7FAD2E" w14:textId="77777777" w:rsidR="00CF5EFC" w:rsidRPr="000F4D2C" w:rsidRDefault="00CF5EFC" w:rsidP="00CF5EFC">
      <w:pPr>
        <w:pStyle w:val="Prrafodelista"/>
        <w:numPr>
          <w:ilvl w:val="0"/>
          <w:numId w:val="34"/>
        </w:numPr>
        <w:rPr>
          <w:rFonts w:ascii="Bookman Old Style" w:hAnsi="Bookman Old Style"/>
          <w:color w:val="000000"/>
          <w:sz w:val="24"/>
          <w:szCs w:val="24"/>
        </w:rPr>
      </w:pPr>
      <w:r w:rsidRPr="000F4D2C">
        <w:rPr>
          <w:rFonts w:ascii="Bookman Old Style" w:hAnsi="Bookman Old Style"/>
          <w:color w:val="000000" w:themeColor="text1"/>
          <w:sz w:val="24"/>
          <w:szCs w:val="24"/>
        </w:rPr>
        <w:lastRenderedPageBreak/>
        <w:t>Copia del acta de entrega del cronograma y de la curva S de desarrollo de la etapa de construcción del proyecto al auditor seleccionado.</w:t>
      </w:r>
    </w:p>
    <w:p w14:paraId="6F23B72B" w14:textId="77777777" w:rsidR="00CF5EFC" w:rsidRPr="000F4D2C" w:rsidRDefault="00CF5EFC" w:rsidP="00CF5EFC">
      <w:pPr>
        <w:pStyle w:val="Prrafodelista"/>
        <w:rPr>
          <w:rFonts w:ascii="Bookman Old Style" w:hAnsi="Bookman Old Style"/>
          <w:color w:val="000000"/>
          <w:sz w:val="24"/>
          <w:szCs w:val="24"/>
        </w:rPr>
      </w:pPr>
    </w:p>
    <w:p w14:paraId="4836D752" w14:textId="77777777" w:rsidR="00CF5EFC" w:rsidRPr="000F4D2C" w:rsidRDefault="00CF5EFC" w:rsidP="00CF5EFC">
      <w:pPr>
        <w:pStyle w:val="Prrafodelista"/>
        <w:numPr>
          <w:ilvl w:val="0"/>
          <w:numId w:val="34"/>
        </w:numPr>
        <w:rPr>
          <w:rFonts w:ascii="Bookman Old Style" w:hAnsi="Bookman Old Style"/>
          <w:color w:val="000000"/>
          <w:sz w:val="24"/>
          <w:szCs w:val="24"/>
        </w:rPr>
      </w:pPr>
      <w:r w:rsidRPr="000F4D2C">
        <w:rPr>
          <w:rFonts w:ascii="Bookman Old Style" w:hAnsi="Bookman Old Style"/>
          <w:color w:val="000000" w:themeColor="text1"/>
          <w:sz w:val="24"/>
          <w:szCs w:val="24"/>
        </w:rPr>
        <w:t>Copia de la aprobación de la garantía de cumplimiento por parte del patrimonio autónomo, de acuerdo con lo establecido en el Artículo 30 de la presente Resolución.</w:t>
      </w:r>
    </w:p>
    <w:p w14:paraId="7AEF3170" w14:textId="77777777" w:rsidR="00CF5EFC" w:rsidRPr="000F4D2C" w:rsidRDefault="00CF5EFC" w:rsidP="00CF5EFC">
      <w:pPr>
        <w:pStyle w:val="Prrafodelista"/>
        <w:rPr>
          <w:rFonts w:ascii="Bookman Old Style" w:hAnsi="Bookman Old Style"/>
          <w:color w:val="000000"/>
          <w:sz w:val="24"/>
          <w:szCs w:val="24"/>
        </w:rPr>
      </w:pPr>
    </w:p>
    <w:p w14:paraId="45488EEC" w14:textId="77777777" w:rsidR="00CF5EFC" w:rsidRPr="000F4D2C" w:rsidRDefault="00CF5EFC" w:rsidP="00CF5EFC">
      <w:pPr>
        <w:pStyle w:val="Prrafodelista"/>
        <w:numPr>
          <w:ilvl w:val="0"/>
          <w:numId w:val="34"/>
        </w:numPr>
        <w:rPr>
          <w:rFonts w:ascii="Bookman Old Style" w:hAnsi="Bookman Old Style"/>
          <w:color w:val="000000"/>
          <w:sz w:val="24"/>
          <w:szCs w:val="24"/>
        </w:rPr>
      </w:pPr>
      <w:r w:rsidRPr="000F4D2C">
        <w:rPr>
          <w:rFonts w:ascii="Bookman Old Style" w:hAnsi="Bookman Old Style"/>
          <w:color w:val="000000" w:themeColor="text1"/>
          <w:sz w:val="24"/>
          <w:szCs w:val="24"/>
        </w:rPr>
        <w:t>Costo por los servicios del patrimonio autónomo seleccionado de acuerdo con lo establecido en el Artículo 27 de la presente Resolución. Este deberá estar expresado en pesos constantes del 31 de diciembre del año anterior a la fecha de la declaración.</w:t>
      </w:r>
    </w:p>
    <w:p w14:paraId="0B9FC9AE" w14:textId="77777777" w:rsidR="00CF5EFC" w:rsidRPr="000F4D2C" w:rsidRDefault="00CF5EFC" w:rsidP="00CF5EFC">
      <w:pPr>
        <w:pStyle w:val="Prrafodelista"/>
        <w:rPr>
          <w:rFonts w:ascii="Bookman Old Style" w:hAnsi="Bookman Old Style"/>
          <w:color w:val="000000"/>
          <w:sz w:val="24"/>
          <w:szCs w:val="24"/>
        </w:rPr>
      </w:pPr>
    </w:p>
    <w:p w14:paraId="0C08D8CD" w14:textId="77777777" w:rsidR="00CF5EFC" w:rsidRPr="000F4D2C" w:rsidRDefault="00CF5EFC" w:rsidP="00CF5EFC">
      <w:pPr>
        <w:pStyle w:val="Prrafodelista"/>
        <w:numPr>
          <w:ilvl w:val="0"/>
          <w:numId w:val="34"/>
        </w:numPr>
        <w:rPr>
          <w:rFonts w:ascii="Bookman Old Style" w:hAnsi="Bookman Old Style"/>
          <w:color w:val="000000"/>
          <w:sz w:val="24"/>
          <w:szCs w:val="24"/>
        </w:rPr>
      </w:pPr>
      <w:r w:rsidRPr="000F4D2C">
        <w:rPr>
          <w:rFonts w:ascii="Bookman Old Style" w:hAnsi="Bookman Old Style"/>
          <w:color w:val="000000" w:themeColor="text1"/>
          <w:sz w:val="24"/>
          <w:szCs w:val="24"/>
        </w:rPr>
        <w:t>La fecha prevista de entrada en operación del proyecto, establecida en el plan de abastecimiento de gas natural.</w:t>
      </w:r>
    </w:p>
    <w:p w14:paraId="4A71F9FA" w14:textId="77777777" w:rsidR="00CF5EFC" w:rsidRPr="000F4D2C" w:rsidRDefault="00CF5EFC" w:rsidP="00CF5EFC">
      <w:pPr>
        <w:rPr>
          <w:rFonts w:ascii="Bookman Old Style" w:hAnsi="Bookman Old Style"/>
          <w:color w:val="000000"/>
        </w:rPr>
      </w:pPr>
    </w:p>
    <w:p w14:paraId="118FCCEE" w14:textId="77777777"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Para efectos regulatorios, el transportador desiste de la ejecución del proyecto cuando: (i) no manifieste de manera afirmativa, dentro del período establecido en el literal e) del presente artículo, el compromiso de ejecutar el proyecto; (ii) no dé cumplimiento a las obligaciones previstas en el literal f) del presente artículo. En cualquiera de estos dos eventos, la CREG informará a la UPME para que inicie un proceso de selección tendiente a ejecutar el proyecto IPAT para el que el transportador desistió.</w:t>
      </w:r>
    </w:p>
    <w:p w14:paraId="54B58985"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5369A2F5" w14:textId="77FEE623"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 xml:space="preserve">La CREG ajustará la resolución mediante la que se oficializaron los flujos de ingresos anuales para remunerar la inversión y los gastos de AOM del proyecto IPAT, a partir de la información de costos de los servicios del auditor y del patrimonio autónomo, reportados según el literal a) del presente artículo, y cuando sea necesario incluir un valor ajustado de inversiones, </w:t>
      </w:r>
      <m:oMath>
        <m:r>
          <m:rPr>
            <m:sty m:val="p"/>
          </m:rPr>
          <w:rPr>
            <w:rFonts w:ascii="Cambria Math" w:hAnsi="Cambria Math"/>
            <w:color w:val="000000"/>
            <w:sz w:val="24"/>
            <w:szCs w:val="24"/>
          </w:rPr>
          <m:t>I</m:t>
        </m:r>
        <m:sSub>
          <m:sSubPr>
            <m:ctrlPr>
              <w:rPr>
                <w:rFonts w:ascii="Cambria Math" w:hAnsi="Cambria Math"/>
                <w:color w:val="000000"/>
                <w:sz w:val="24"/>
                <w:szCs w:val="24"/>
              </w:rPr>
            </m:ctrlPr>
          </m:sSubPr>
          <m:e>
            <m:r>
              <m:rPr>
                <m:sty m:val="p"/>
              </m:rPr>
              <w:rPr>
                <w:rFonts w:ascii="Cambria Math" w:hAnsi="Cambria Math"/>
                <w:color w:val="000000"/>
                <w:sz w:val="24"/>
                <w:szCs w:val="24"/>
              </w:rPr>
              <m:t>A</m:t>
            </m:r>
          </m:e>
          <m:sub>
            <m:r>
              <m:rPr>
                <m:sty m:val="p"/>
              </m:rPr>
              <w:rPr>
                <w:rFonts w:ascii="Cambria Math" w:hAnsi="Cambria Math"/>
                <w:color w:val="000000"/>
                <w:sz w:val="24"/>
                <w:szCs w:val="24"/>
              </w:rPr>
              <m:t>IPAT</m:t>
            </m:r>
          </m:sub>
        </m:sSub>
      </m:oMath>
      <w:r w:rsidRPr="000F4D2C">
        <w:rPr>
          <w:rFonts w:ascii="Bookman Old Style" w:hAnsi="Bookman Old Style"/>
          <w:color w:val="000000"/>
          <w:sz w:val="24"/>
          <w:szCs w:val="24"/>
        </w:rPr>
        <w:t>, de acuerdo con la resolución que reemplace la metodología de remuneración de la actividad de transporte de gas natural contenida en la Resolución CREG 1</w:t>
      </w:r>
      <w:r w:rsidR="00EA214F">
        <w:rPr>
          <w:rFonts w:ascii="Bookman Old Style" w:hAnsi="Bookman Old Style"/>
          <w:color w:val="000000"/>
          <w:sz w:val="24"/>
          <w:szCs w:val="24"/>
        </w:rPr>
        <w:t>7</w:t>
      </w:r>
      <w:r w:rsidR="00ED270A">
        <w:rPr>
          <w:rFonts w:ascii="Bookman Old Style" w:hAnsi="Bookman Old Style"/>
          <w:color w:val="000000"/>
          <w:sz w:val="24"/>
          <w:szCs w:val="24"/>
        </w:rPr>
        <w:t>5 de 2021 y aquellas que la modifiquen o sustituyan</w:t>
      </w:r>
      <w:r w:rsidRPr="000F4D2C">
        <w:rPr>
          <w:rFonts w:ascii="Bookman Old Style" w:hAnsi="Bookman Old Style"/>
          <w:color w:val="000000"/>
          <w:sz w:val="24"/>
          <w:szCs w:val="24"/>
        </w:rPr>
        <w:t>.</w:t>
      </w:r>
    </w:p>
    <w:p w14:paraId="169D8392"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33CD4777" w14:textId="6E74385F" w:rsidR="00CF5EFC" w:rsidRPr="000F4D2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F60C74" w:rsidDel="00F60C74">
        <w:rPr>
          <w:rFonts w:ascii="Bookman Old Style" w:hAnsi="Bookman Old Style"/>
          <w:b/>
          <w:color w:val="000000"/>
          <w:sz w:val="24"/>
          <w:szCs w:val="24"/>
        </w:rPr>
        <w:t xml:space="preserve"> </w:t>
      </w:r>
      <w:r w:rsidR="00CF5EFC" w:rsidRPr="000F4D2C">
        <w:rPr>
          <w:rFonts w:ascii="Bookman Old Style" w:hAnsi="Bookman Old Style"/>
          <w:b/>
          <w:color w:val="000000"/>
          <w:sz w:val="24"/>
          <w:szCs w:val="24"/>
        </w:rPr>
        <w:t xml:space="preserve">1. </w:t>
      </w:r>
      <w:r w:rsidR="00CF5EFC" w:rsidRPr="000F4D2C">
        <w:rPr>
          <w:rFonts w:ascii="Bookman Old Style" w:hAnsi="Bookman Old Style"/>
          <w:color w:val="000000"/>
          <w:sz w:val="24"/>
          <w:szCs w:val="24"/>
        </w:rPr>
        <w:t>El incremento de capacidad de transporte que se pueda presentar en un tramo o en un grupo de gasoductos de un sistema de transporte debido a la ejecución de un proyecto IPAT, lo comercializará el transportador incumbente de acuerdo con las reglas de comercialización de capacidad de transporte dispuestas en la Resolución CREG 185 de 2020, o aquella que la modifique o sustituya.</w:t>
      </w:r>
    </w:p>
    <w:p w14:paraId="653B6862"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332074BC" w14:textId="7BA3813B" w:rsidR="00CF5EFC" w:rsidRPr="000F4D2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F60C74" w:rsidDel="00F60C74">
        <w:rPr>
          <w:rFonts w:ascii="Bookman Old Style" w:hAnsi="Bookman Old Style"/>
          <w:b/>
          <w:color w:val="000000"/>
          <w:sz w:val="24"/>
          <w:szCs w:val="24"/>
        </w:rPr>
        <w:t xml:space="preserve"> </w:t>
      </w:r>
      <w:r w:rsidR="00CF5EFC" w:rsidRPr="000F4D2C">
        <w:rPr>
          <w:rFonts w:ascii="Bookman Old Style" w:hAnsi="Bookman Old Style"/>
          <w:b/>
          <w:color w:val="000000"/>
          <w:sz w:val="24"/>
          <w:szCs w:val="24"/>
        </w:rPr>
        <w:t>2.</w:t>
      </w:r>
      <w:r w:rsidR="00CF5EFC" w:rsidRPr="000F4D2C">
        <w:rPr>
          <w:rFonts w:ascii="Bookman Old Style" w:hAnsi="Bookman Old Style"/>
          <w:color w:val="000000"/>
          <w:sz w:val="24"/>
          <w:szCs w:val="24"/>
        </w:rPr>
        <w:t xml:space="preserve"> Una vez se radique en la CREG la información del literal f) del presente artículo, el transportador remitirá copia del cronograma y la curva S de desarrollo de la etapa de construcción del proyecto a la SSPD, a la UPME y al MME.</w:t>
      </w:r>
    </w:p>
    <w:p w14:paraId="7F2B10CE"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3230BE1A" w14:textId="3617BFEE" w:rsidR="00CF5EFC" w:rsidRPr="000F4D2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F60C74" w:rsidDel="00F60C74">
        <w:rPr>
          <w:rFonts w:ascii="Bookman Old Style" w:hAnsi="Bookman Old Style"/>
          <w:b/>
          <w:color w:val="000000"/>
          <w:sz w:val="24"/>
          <w:szCs w:val="24"/>
        </w:rPr>
        <w:t xml:space="preserve"> </w:t>
      </w:r>
      <w:r w:rsidR="00CF5EFC" w:rsidRPr="000F4D2C">
        <w:rPr>
          <w:rFonts w:ascii="Bookman Old Style" w:hAnsi="Bookman Old Style"/>
          <w:b/>
          <w:color w:val="000000"/>
          <w:sz w:val="24"/>
          <w:szCs w:val="24"/>
        </w:rPr>
        <w:t>3.</w:t>
      </w:r>
      <w:r w:rsidR="00CF5EFC" w:rsidRPr="000F4D2C">
        <w:rPr>
          <w:rFonts w:ascii="Bookman Old Style" w:hAnsi="Bookman Old Style"/>
          <w:color w:val="000000"/>
          <w:sz w:val="24"/>
          <w:szCs w:val="24"/>
        </w:rPr>
        <w:t xml:space="preserve"> El transportador incumbente no podrá participar en procesos de selección tendientes a ejecutar proyectos IPAT. Estos proyectos incluyen, tanto aquellos en los que el transportador incumbente declaró a la UPME y a la CREG su interés en ejecutarlos, en los términos del literal a) presente artículo, como </w:t>
      </w:r>
      <w:r w:rsidR="00CF5EFC" w:rsidRPr="000F4D2C">
        <w:rPr>
          <w:rFonts w:ascii="Bookman Old Style" w:hAnsi="Bookman Old Style"/>
          <w:color w:val="000000"/>
          <w:sz w:val="24"/>
          <w:szCs w:val="24"/>
        </w:rPr>
        <w:lastRenderedPageBreak/>
        <w:t>aquellos en los que no declaró su interés a la UPME y a la CREG.</w:t>
      </w:r>
    </w:p>
    <w:p w14:paraId="12F9AA50"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0F0781C1" w14:textId="482AF037" w:rsidR="00CF5EFC" w:rsidRPr="000F4D2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F60C74" w:rsidDel="00F60C74">
        <w:rPr>
          <w:rFonts w:ascii="Bookman Old Style" w:hAnsi="Bookman Old Style"/>
          <w:b/>
          <w:color w:val="000000"/>
          <w:sz w:val="24"/>
          <w:szCs w:val="24"/>
        </w:rPr>
        <w:t xml:space="preserve"> </w:t>
      </w:r>
      <w:r w:rsidR="00CF5EFC" w:rsidRPr="000F4D2C">
        <w:rPr>
          <w:rFonts w:ascii="Bookman Old Style" w:hAnsi="Bookman Old Style"/>
          <w:b/>
          <w:color w:val="000000"/>
          <w:sz w:val="24"/>
          <w:szCs w:val="24"/>
        </w:rPr>
        <w:t>4.</w:t>
      </w:r>
      <w:r w:rsidR="00CF5EFC" w:rsidRPr="000F4D2C">
        <w:rPr>
          <w:rFonts w:ascii="Bookman Old Style" w:hAnsi="Bookman Old Style"/>
          <w:color w:val="000000"/>
          <w:sz w:val="24"/>
          <w:szCs w:val="24"/>
        </w:rPr>
        <w:t xml:space="preserve"> Para los períodos de pago se tendrá en cuenta lo contemplado en el artículo 12 de la presente resolución, así como en las compensaciones por indisponibilidad contempladas en el artículo 18.</w:t>
      </w:r>
    </w:p>
    <w:p w14:paraId="2E096F8E"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3B095508" w14:textId="65E451B6" w:rsidR="00CF5EFC" w:rsidRPr="000F4D2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F60C74" w:rsidDel="00F60C74">
        <w:rPr>
          <w:rFonts w:ascii="Bookman Old Style" w:hAnsi="Bookman Old Style"/>
          <w:b/>
          <w:color w:val="000000"/>
          <w:sz w:val="24"/>
          <w:szCs w:val="24"/>
        </w:rPr>
        <w:t xml:space="preserve"> </w:t>
      </w:r>
      <w:r w:rsidR="00CF5EFC" w:rsidRPr="000F4D2C">
        <w:rPr>
          <w:rFonts w:ascii="Bookman Old Style" w:hAnsi="Bookman Old Style"/>
          <w:b/>
          <w:color w:val="000000"/>
          <w:sz w:val="24"/>
          <w:szCs w:val="24"/>
        </w:rPr>
        <w:t>5.</w:t>
      </w:r>
      <w:r w:rsidR="00CF5EFC" w:rsidRPr="000F4D2C">
        <w:rPr>
          <w:rFonts w:ascii="Bookman Old Style" w:hAnsi="Bookman Old Style"/>
          <w:color w:val="000000"/>
          <w:sz w:val="24"/>
          <w:szCs w:val="24"/>
        </w:rPr>
        <w:t xml:space="preserve"> Lo dispuesto en el presente artículo aplicará una vez quede en firme la resolución que reemplace la metodología de remuneración de la actividad de transporte de gas natural contenida en la Resolución CREG </w:t>
      </w:r>
      <w:r w:rsidR="00ED270A">
        <w:rPr>
          <w:rFonts w:ascii="Bookman Old Style" w:hAnsi="Bookman Old Style"/>
          <w:color w:val="000000"/>
          <w:sz w:val="24"/>
          <w:szCs w:val="24"/>
        </w:rPr>
        <w:t>175 de 2021 y aquellas que la modifiquen o sustituyan</w:t>
      </w:r>
      <w:r w:rsidR="00CF5EFC" w:rsidRPr="000F4D2C">
        <w:rPr>
          <w:rFonts w:ascii="Bookman Old Style" w:hAnsi="Bookman Old Style"/>
          <w:color w:val="000000"/>
          <w:sz w:val="24"/>
          <w:szCs w:val="24"/>
        </w:rPr>
        <w:t>.</w:t>
      </w:r>
    </w:p>
    <w:bookmarkEnd w:id="2"/>
    <w:p w14:paraId="700FE174" w14:textId="77777777" w:rsidR="00CF5EFC" w:rsidRPr="00F23AE8" w:rsidRDefault="00CF5EFC" w:rsidP="00CF5EFC">
      <w:pPr>
        <w:jc w:val="both"/>
        <w:rPr>
          <w:rFonts w:ascii="Bookman Old Style" w:hAnsi="Bookman Old Style" w:cs="Arial"/>
          <w:color w:val="000000"/>
        </w:rPr>
      </w:pPr>
    </w:p>
    <w:p w14:paraId="2C491F45" w14:textId="77777777" w:rsidR="00CF5EFC" w:rsidRPr="00F23AE8" w:rsidRDefault="00CF5EFC" w:rsidP="00CF5EFC">
      <w:pPr>
        <w:pStyle w:val="Estilo4"/>
        <w:keepNext w:val="0"/>
        <w:widowControl w:val="0"/>
        <w:rPr>
          <w:rFonts w:ascii="Bookman Old Style" w:hAnsi="Bookman Old Style"/>
          <w:color w:val="000000"/>
          <w:sz w:val="24"/>
          <w:szCs w:val="24"/>
        </w:rPr>
      </w:pPr>
      <w:bookmarkStart w:id="3" w:name="SRT"/>
      <w:bookmarkEnd w:id="3"/>
      <w:r w:rsidRPr="00F23AE8">
        <w:rPr>
          <w:rFonts w:ascii="Bookman Old Style" w:hAnsi="Bookman Old Style"/>
          <w:color w:val="000000"/>
          <w:sz w:val="24"/>
          <w:szCs w:val="24"/>
        </w:rPr>
        <w:t>Capítulo I</w:t>
      </w:r>
      <w:r>
        <w:rPr>
          <w:rFonts w:ascii="Bookman Old Style" w:hAnsi="Bookman Old Style"/>
          <w:color w:val="000000"/>
          <w:sz w:val="24"/>
          <w:szCs w:val="24"/>
        </w:rPr>
        <w:t>I</w:t>
      </w:r>
      <w:r w:rsidRPr="00F23AE8">
        <w:rPr>
          <w:rFonts w:ascii="Bookman Old Style" w:hAnsi="Bookman Old Style"/>
          <w:color w:val="000000"/>
          <w:sz w:val="24"/>
          <w:szCs w:val="24"/>
        </w:rPr>
        <w:t>I</w:t>
      </w:r>
    </w:p>
    <w:p w14:paraId="0C4164EC" w14:textId="77777777" w:rsidR="00CF5EFC" w:rsidRPr="00F23AE8" w:rsidRDefault="00CF5EFC" w:rsidP="00CF5EFC">
      <w:pPr>
        <w:pStyle w:val="Estilo4"/>
        <w:keepNext w:val="0"/>
        <w:widowControl w:val="0"/>
        <w:rPr>
          <w:rFonts w:ascii="Bookman Old Style" w:hAnsi="Bookman Old Style"/>
          <w:color w:val="000000"/>
          <w:sz w:val="24"/>
          <w:szCs w:val="24"/>
        </w:rPr>
      </w:pPr>
      <w:r w:rsidRPr="00F23AE8">
        <w:rPr>
          <w:rFonts w:ascii="Bookman Old Style" w:hAnsi="Bookman Old Style"/>
          <w:color w:val="000000"/>
          <w:sz w:val="24"/>
          <w:szCs w:val="24"/>
        </w:rPr>
        <w:t xml:space="preserve">Procesos de selección </w:t>
      </w:r>
    </w:p>
    <w:p w14:paraId="43C976D1" w14:textId="77777777" w:rsidR="00CF5EFC" w:rsidRPr="00F23AE8" w:rsidRDefault="00CF5EFC" w:rsidP="00CF5EFC">
      <w:pPr>
        <w:rPr>
          <w:rFonts w:ascii="Bookman Old Style" w:hAnsi="Bookman Old Style" w:cs="Arial"/>
          <w:color w:val="000000"/>
          <w:lang w:val="es-ES_tradnl"/>
        </w:rPr>
      </w:pPr>
    </w:p>
    <w:p w14:paraId="22E01BE6" w14:textId="77777777" w:rsidR="00CF5EFC" w:rsidRDefault="00CF5EFC" w:rsidP="00CF5EFC">
      <w:pPr>
        <w:pStyle w:val="Estilo3"/>
        <w:widowControl w:val="0"/>
        <w:numPr>
          <w:ilvl w:val="0"/>
          <w:numId w:val="10"/>
        </w:numPr>
        <w:tabs>
          <w:tab w:val="left" w:pos="1560"/>
        </w:tabs>
        <w:jc w:val="both"/>
        <w:outlineLvl w:val="0"/>
        <w:rPr>
          <w:rFonts w:ascii="Bookman Old Style" w:hAnsi="Bookman Old Style"/>
          <w:color w:val="000000"/>
          <w:sz w:val="24"/>
          <w:szCs w:val="24"/>
        </w:rPr>
      </w:pPr>
      <w:r w:rsidRPr="00F23AE8">
        <w:rPr>
          <w:rFonts w:ascii="Bookman Old Style" w:hAnsi="Bookman Old Style"/>
          <w:b/>
          <w:color w:val="000000"/>
          <w:sz w:val="24"/>
          <w:szCs w:val="24"/>
        </w:rPr>
        <w:t>Proyectos a desarrollar mediante procesos de selección.</w:t>
      </w:r>
      <w:r w:rsidRPr="00F23AE8">
        <w:rPr>
          <w:rFonts w:ascii="Bookman Old Style" w:hAnsi="Bookman Old Style"/>
          <w:color w:val="000000"/>
          <w:sz w:val="24"/>
          <w:szCs w:val="24"/>
        </w:rPr>
        <w:t xml:space="preserve"> </w:t>
      </w:r>
      <w:r w:rsidRPr="00031713">
        <w:rPr>
          <w:rFonts w:ascii="Bookman Old Style" w:hAnsi="Bookman Old Style"/>
          <w:color w:val="000000"/>
          <w:sz w:val="24"/>
          <w:szCs w:val="24"/>
        </w:rPr>
        <w:t>Los procesos de selección se adelantarán con el objeto de ejecutar proyectos prioritarios del plan de abastecimiento de gas natural, excepto aquellos proyectos de IPAT ejecutados en primera instancia por el transportador de acuerdo con lo establecido en el artículo 4o de la presente resolución</w:t>
      </w:r>
      <w:r>
        <w:rPr>
          <w:rFonts w:ascii="Bookman Old Style" w:hAnsi="Bookman Old Style"/>
          <w:color w:val="000000"/>
          <w:sz w:val="24"/>
          <w:szCs w:val="24"/>
        </w:rPr>
        <w:t>.</w:t>
      </w:r>
    </w:p>
    <w:p w14:paraId="0A9B1695" w14:textId="77777777" w:rsidR="00CF5EFC" w:rsidRDefault="00CF5EFC" w:rsidP="00CF5EFC">
      <w:pPr>
        <w:pStyle w:val="Estilo3"/>
        <w:widowControl w:val="0"/>
        <w:tabs>
          <w:tab w:val="left" w:pos="1560"/>
        </w:tabs>
        <w:jc w:val="both"/>
        <w:outlineLvl w:val="0"/>
        <w:rPr>
          <w:rFonts w:ascii="Bookman Old Style" w:hAnsi="Bookman Old Style"/>
          <w:b/>
          <w:color w:val="000000"/>
          <w:sz w:val="24"/>
          <w:szCs w:val="24"/>
        </w:rPr>
      </w:pPr>
    </w:p>
    <w:p w14:paraId="7ABE054D" w14:textId="77777777" w:rsidR="00CF5EFC" w:rsidRPr="00465A79" w:rsidRDefault="00CF5EFC" w:rsidP="00CF5EFC">
      <w:pPr>
        <w:pStyle w:val="Estilo3"/>
        <w:widowControl w:val="0"/>
        <w:tabs>
          <w:tab w:val="left" w:pos="1560"/>
        </w:tabs>
        <w:jc w:val="both"/>
        <w:outlineLvl w:val="0"/>
        <w:rPr>
          <w:rFonts w:ascii="Bookman Old Style" w:hAnsi="Bookman Old Style"/>
          <w:color w:val="000000"/>
          <w:sz w:val="24"/>
          <w:szCs w:val="24"/>
        </w:rPr>
      </w:pPr>
      <w:r w:rsidRPr="00465A79">
        <w:rPr>
          <w:rFonts w:ascii="Bookman Old Style" w:hAnsi="Bookman Old Style"/>
          <w:color w:val="000000"/>
          <w:sz w:val="24"/>
          <w:szCs w:val="24"/>
        </w:rPr>
        <w:t>A partir de la fecha en que se definan los proyectos prioritarios del plan de abastecimiento de gas natural, la UPME iniciará las acciones tendientes a realizar los procesos de selección para seleccionar los adjudicatarios de los proyectos de que trata este artículo. Para realizar los procesos de selección la UPME tendrá en cuenta el tiempo estimado de ejecución de cada proyecto, el plazo previsto para su entrada en operación y los criterios generales de selección establecidos en el Anexo 1 de la presente resolución. Así mismo, la UPME verificará que a la fecha de realización de un proceso de selección, el proyecto objeto del proceso no esté siendo ejecutado por algún agente participante del mercado bajo los mecanismos establecidos por la regulación para tal efecto.</w:t>
      </w:r>
    </w:p>
    <w:p w14:paraId="66DE5D7F" w14:textId="77777777" w:rsidR="00CF5EFC" w:rsidRDefault="00CF5EFC" w:rsidP="00CF5EFC">
      <w:pPr>
        <w:pStyle w:val="Estilo3"/>
        <w:widowControl w:val="0"/>
        <w:tabs>
          <w:tab w:val="left" w:pos="1560"/>
        </w:tabs>
        <w:jc w:val="both"/>
        <w:rPr>
          <w:rFonts w:ascii="Bookman Old Style" w:hAnsi="Bookman Old Style"/>
          <w:b/>
          <w:bCs/>
          <w:color w:val="000000"/>
          <w:sz w:val="24"/>
          <w:szCs w:val="24"/>
        </w:rPr>
      </w:pPr>
    </w:p>
    <w:p w14:paraId="7BB5BB28" w14:textId="550A9D78" w:rsidR="00CF5EF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A22A5F" w:rsidDel="00F60C74">
        <w:rPr>
          <w:rFonts w:ascii="Bookman Old Style" w:hAnsi="Bookman Old Style"/>
          <w:b/>
          <w:bCs/>
          <w:color w:val="000000"/>
          <w:sz w:val="24"/>
          <w:szCs w:val="24"/>
        </w:rPr>
        <w:t xml:space="preserve"> </w:t>
      </w:r>
      <w:r w:rsidR="00CF5EFC" w:rsidRPr="00A22A5F">
        <w:rPr>
          <w:rFonts w:ascii="Bookman Old Style" w:hAnsi="Bookman Old Style"/>
          <w:b/>
          <w:bCs/>
          <w:color w:val="000000"/>
          <w:sz w:val="24"/>
          <w:szCs w:val="24"/>
        </w:rPr>
        <w:t xml:space="preserve">1. </w:t>
      </w:r>
      <w:r w:rsidR="00CF5EFC" w:rsidRPr="00031713">
        <w:rPr>
          <w:rFonts w:ascii="Bookman Old Style" w:hAnsi="Bookman Old Style"/>
          <w:color w:val="000000"/>
          <w:sz w:val="24"/>
          <w:szCs w:val="24"/>
        </w:rPr>
        <w:t>La capacidad de transporte asociada a infraestructura de transporte de gas, resultante de la ejecución de proyectos a través de procesos de selección se comercializará según los mecanismos que establezca la Comisión en resolución aparte. La capacidad asociada a infraestructura de transporte de gas se calculará de acuerdo con lo establecido en la metodología vigente de remuneración de la actividad de transporte de gas natural.</w:t>
      </w:r>
    </w:p>
    <w:p w14:paraId="05D9EE90" w14:textId="77777777" w:rsidR="00CF5EFC" w:rsidRPr="00031713" w:rsidRDefault="00CF5EFC" w:rsidP="00CF5EFC">
      <w:pPr>
        <w:pStyle w:val="Estilo3"/>
        <w:widowControl w:val="0"/>
        <w:tabs>
          <w:tab w:val="left" w:pos="1560"/>
        </w:tabs>
        <w:jc w:val="both"/>
        <w:rPr>
          <w:rFonts w:ascii="Bookman Old Style" w:hAnsi="Bookman Old Style"/>
          <w:color w:val="000000"/>
          <w:sz w:val="24"/>
          <w:szCs w:val="24"/>
        </w:rPr>
      </w:pPr>
    </w:p>
    <w:p w14:paraId="14A1B5B3" w14:textId="4606774A" w:rsidR="00CF5EF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A22A5F" w:rsidDel="00F60C74">
        <w:rPr>
          <w:rFonts w:ascii="Bookman Old Style" w:hAnsi="Bookman Old Style"/>
          <w:b/>
          <w:bCs/>
          <w:color w:val="000000"/>
          <w:sz w:val="24"/>
          <w:szCs w:val="24"/>
        </w:rPr>
        <w:t xml:space="preserve"> </w:t>
      </w:r>
      <w:r w:rsidR="00CF5EFC" w:rsidRPr="00A22A5F">
        <w:rPr>
          <w:rFonts w:ascii="Bookman Old Style" w:hAnsi="Bookman Old Style"/>
          <w:b/>
          <w:bCs/>
          <w:color w:val="000000"/>
          <w:sz w:val="24"/>
          <w:szCs w:val="24"/>
        </w:rPr>
        <w:t>2.</w:t>
      </w:r>
      <w:r w:rsidR="00CF5EFC" w:rsidRPr="00031713">
        <w:rPr>
          <w:rFonts w:ascii="Bookman Old Style" w:hAnsi="Bookman Old Style"/>
          <w:color w:val="000000"/>
          <w:sz w:val="24"/>
          <w:szCs w:val="24"/>
        </w:rPr>
        <w:t xml:space="preserve"> Los ingresos de corto plazo asociados a proyectos ejecutados mediante procesos de selección se utilizarán para disminuir el valor del pago que deben asumir los remitentes beneficiarios de los proyectos.</w:t>
      </w:r>
    </w:p>
    <w:p w14:paraId="1AC44E06" w14:textId="77777777" w:rsidR="00CF5EFC" w:rsidRDefault="00CF5EFC" w:rsidP="00CF5EFC">
      <w:pPr>
        <w:pStyle w:val="Estilo3"/>
        <w:widowControl w:val="0"/>
        <w:tabs>
          <w:tab w:val="left" w:pos="1560"/>
        </w:tabs>
        <w:jc w:val="both"/>
        <w:rPr>
          <w:rFonts w:ascii="Bookman Old Style" w:hAnsi="Bookman Old Style"/>
          <w:b/>
          <w:bCs/>
          <w:color w:val="000000"/>
          <w:sz w:val="24"/>
          <w:szCs w:val="24"/>
        </w:rPr>
      </w:pPr>
    </w:p>
    <w:p w14:paraId="77F20648" w14:textId="0AED63EF" w:rsidR="00CF5EFC" w:rsidRDefault="00F60C74" w:rsidP="00CF5EFC">
      <w:pPr>
        <w:pStyle w:val="Estilo3"/>
        <w:widowControl w:val="0"/>
        <w:tabs>
          <w:tab w:val="left" w:pos="1560"/>
        </w:tabs>
        <w:jc w:val="both"/>
        <w:rPr>
          <w:rFonts w:ascii="Bookman Old Style" w:hAnsi="Bookman Old Style"/>
          <w:b/>
          <w:bCs/>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 xml:space="preserve">arágrafo </w:t>
      </w:r>
      <w:r w:rsidR="00CF5EFC" w:rsidRPr="00A22A5F">
        <w:rPr>
          <w:rFonts w:ascii="Bookman Old Style" w:hAnsi="Bookman Old Style"/>
          <w:b/>
          <w:bCs/>
          <w:color w:val="000000"/>
          <w:sz w:val="24"/>
          <w:szCs w:val="24"/>
        </w:rPr>
        <w:t>3.</w:t>
      </w:r>
      <w:r w:rsidR="00CF5EFC" w:rsidRPr="00031713">
        <w:rPr>
          <w:rFonts w:ascii="Bookman Old Style" w:hAnsi="Bookman Old Style"/>
          <w:color w:val="000000"/>
          <w:sz w:val="24"/>
          <w:szCs w:val="24"/>
        </w:rPr>
        <w:t xml:space="preserve"> En resolución aparte la CREG podrá adoptar regulación complementaria para ejecutar proyectos prioritarios del plan de abastecimiento de gas natural, o del plan transitorio de abastecimiento de gas natural, que por sus características requieran desarrollo regulatorio adicional al establecido en la presente resolución.</w:t>
      </w:r>
      <w:r w:rsidR="00CF5EFC" w:rsidRPr="00031713">
        <w:rPr>
          <w:rFonts w:ascii="Bookman Old Style" w:hAnsi="Bookman Old Style"/>
          <w:b/>
          <w:bCs/>
          <w:color w:val="000000"/>
          <w:sz w:val="24"/>
          <w:szCs w:val="24"/>
        </w:rPr>
        <w:t xml:space="preserve"> </w:t>
      </w:r>
    </w:p>
    <w:p w14:paraId="1AE7EAA6" w14:textId="77777777" w:rsidR="00CF5EFC" w:rsidRDefault="00CF5EFC" w:rsidP="00CF5EFC">
      <w:pPr>
        <w:pStyle w:val="Estilo3"/>
        <w:widowControl w:val="0"/>
        <w:tabs>
          <w:tab w:val="left" w:pos="1560"/>
        </w:tabs>
        <w:jc w:val="both"/>
        <w:rPr>
          <w:rFonts w:ascii="Bookman Old Style" w:hAnsi="Bookman Old Style"/>
          <w:b/>
          <w:bCs/>
          <w:color w:val="000000"/>
          <w:sz w:val="24"/>
          <w:szCs w:val="24"/>
        </w:rPr>
      </w:pPr>
    </w:p>
    <w:p w14:paraId="4E21AAC3" w14:textId="6E0858EC" w:rsidR="00CF5EFC" w:rsidRPr="000F4D2C" w:rsidRDefault="00CF5EFC" w:rsidP="00CF5EFC">
      <w:pPr>
        <w:pStyle w:val="Estilo3"/>
        <w:widowControl w:val="0"/>
        <w:numPr>
          <w:ilvl w:val="0"/>
          <w:numId w:val="10"/>
        </w:numPr>
        <w:tabs>
          <w:tab w:val="left" w:pos="1560"/>
        </w:tabs>
        <w:jc w:val="both"/>
        <w:outlineLvl w:val="0"/>
        <w:rPr>
          <w:rFonts w:ascii="Bookman Old Style" w:hAnsi="Bookman Old Style"/>
          <w:sz w:val="24"/>
          <w:szCs w:val="24"/>
        </w:rPr>
      </w:pPr>
      <w:r w:rsidRPr="00F23AE8">
        <w:rPr>
          <w:rFonts w:ascii="Bookman Old Style" w:hAnsi="Bookman Old Style"/>
          <w:b/>
          <w:color w:val="000000"/>
          <w:sz w:val="24"/>
          <w:szCs w:val="24"/>
        </w:rPr>
        <w:lastRenderedPageBreak/>
        <w:t>Participantes en los procesos de selección.</w:t>
      </w:r>
      <w:r>
        <w:rPr>
          <w:rFonts w:ascii="Bookman Old Style" w:hAnsi="Bookman Old Style"/>
          <w:b/>
          <w:color w:val="000000"/>
          <w:sz w:val="24"/>
          <w:szCs w:val="24"/>
        </w:rPr>
        <w:t xml:space="preserve"> </w:t>
      </w:r>
      <w:r w:rsidRPr="000F4D2C">
        <w:rPr>
          <w:rFonts w:ascii="Bookman Old Style" w:hAnsi="Bookman Old Style"/>
          <w:sz w:val="24"/>
          <w:szCs w:val="24"/>
        </w:rPr>
        <w:t>En los procesos de selección podrán participar</w:t>
      </w:r>
      <w:r w:rsidR="006D04E8">
        <w:rPr>
          <w:rFonts w:ascii="Bookman Old Style" w:hAnsi="Bookman Old Style"/>
          <w:sz w:val="24"/>
          <w:szCs w:val="24"/>
        </w:rPr>
        <w:t xml:space="preserve">: </w:t>
      </w:r>
      <w:r w:rsidR="006D04E8" w:rsidRPr="000F4D2C">
        <w:rPr>
          <w:rFonts w:ascii="Bookman Old Style" w:hAnsi="Bookman Old Style"/>
          <w:b/>
          <w:bCs/>
          <w:sz w:val="24"/>
          <w:szCs w:val="24"/>
          <w:u w:val="single"/>
        </w:rPr>
        <w:t>i.)</w:t>
      </w:r>
      <w:r w:rsidR="006D04E8">
        <w:rPr>
          <w:rFonts w:ascii="Bookman Old Style" w:hAnsi="Bookman Old Style"/>
          <w:sz w:val="24"/>
          <w:szCs w:val="24"/>
        </w:rPr>
        <w:t xml:space="preserve"> P</w:t>
      </w:r>
      <w:r w:rsidRPr="000F4D2C">
        <w:rPr>
          <w:rFonts w:ascii="Bookman Old Style" w:hAnsi="Bookman Old Style"/>
          <w:sz w:val="24"/>
          <w:szCs w:val="24"/>
        </w:rPr>
        <w:t>ersonas jurídicas</w:t>
      </w:r>
      <w:r w:rsidR="006D04E8">
        <w:rPr>
          <w:rFonts w:ascii="Bookman Old Style" w:hAnsi="Bookman Old Style"/>
          <w:sz w:val="24"/>
          <w:szCs w:val="24"/>
        </w:rPr>
        <w:t>;</w:t>
      </w:r>
      <w:r w:rsidRPr="000F4D2C">
        <w:rPr>
          <w:rFonts w:ascii="Bookman Old Style" w:hAnsi="Bookman Old Style"/>
          <w:sz w:val="24"/>
          <w:szCs w:val="24"/>
        </w:rPr>
        <w:t xml:space="preserve"> </w:t>
      </w:r>
      <w:r w:rsidR="006D04E8" w:rsidRPr="000F4D2C">
        <w:rPr>
          <w:rFonts w:ascii="Bookman Old Style" w:hAnsi="Bookman Old Style"/>
          <w:b/>
          <w:bCs/>
          <w:sz w:val="24"/>
          <w:szCs w:val="24"/>
          <w:u w:val="single"/>
        </w:rPr>
        <w:t>ii.)</w:t>
      </w:r>
      <w:r w:rsidR="006D04E8">
        <w:rPr>
          <w:rFonts w:ascii="Bookman Old Style" w:hAnsi="Bookman Old Style"/>
          <w:sz w:val="24"/>
          <w:szCs w:val="24"/>
        </w:rPr>
        <w:t xml:space="preserve"> C</w:t>
      </w:r>
      <w:r w:rsidRPr="000F4D2C">
        <w:rPr>
          <w:rFonts w:ascii="Bookman Old Style" w:hAnsi="Bookman Old Style"/>
          <w:sz w:val="24"/>
          <w:szCs w:val="24"/>
        </w:rPr>
        <w:t>onsorcios</w:t>
      </w:r>
      <w:r w:rsidR="006D04E8">
        <w:rPr>
          <w:rFonts w:ascii="Bookman Old Style" w:hAnsi="Bookman Old Style"/>
          <w:sz w:val="24"/>
          <w:szCs w:val="24"/>
        </w:rPr>
        <w:t>;</w:t>
      </w:r>
      <w:r w:rsidRPr="000F4D2C">
        <w:rPr>
          <w:rFonts w:ascii="Bookman Old Style" w:hAnsi="Bookman Old Style"/>
          <w:sz w:val="24"/>
          <w:szCs w:val="24"/>
        </w:rPr>
        <w:t xml:space="preserve"> y</w:t>
      </w:r>
      <w:r w:rsidR="006D04E8">
        <w:rPr>
          <w:rFonts w:ascii="Bookman Old Style" w:hAnsi="Bookman Old Style"/>
          <w:sz w:val="24"/>
          <w:szCs w:val="24"/>
        </w:rPr>
        <w:t xml:space="preserve">, </w:t>
      </w:r>
      <w:r w:rsidR="006D04E8" w:rsidRPr="000F4D2C">
        <w:rPr>
          <w:rFonts w:ascii="Bookman Old Style" w:hAnsi="Bookman Old Style"/>
          <w:b/>
          <w:bCs/>
          <w:sz w:val="24"/>
          <w:szCs w:val="24"/>
          <w:u w:val="single"/>
        </w:rPr>
        <w:t>iii.)</w:t>
      </w:r>
      <w:r w:rsidR="006D04E8">
        <w:rPr>
          <w:rFonts w:ascii="Bookman Old Style" w:hAnsi="Bookman Old Style"/>
          <w:sz w:val="24"/>
          <w:szCs w:val="24"/>
        </w:rPr>
        <w:t xml:space="preserve"> S</w:t>
      </w:r>
      <w:r w:rsidRPr="000F4D2C">
        <w:rPr>
          <w:rFonts w:ascii="Bookman Old Style" w:hAnsi="Bookman Old Style"/>
          <w:sz w:val="24"/>
          <w:szCs w:val="24"/>
        </w:rPr>
        <w:t>ociedades extranjeras con sucursal en Colombia,</w:t>
      </w:r>
      <w:r w:rsidR="006D04E8">
        <w:rPr>
          <w:rFonts w:ascii="Bookman Old Style" w:hAnsi="Bookman Old Style"/>
          <w:sz w:val="24"/>
          <w:szCs w:val="24"/>
        </w:rPr>
        <w:t xml:space="preserve"> </w:t>
      </w:r>
      <w:r w:rsidR="006D04E8" w:rsidRPr="000F4D2C">
        <w:rPr>
          <w:rFonts w:ascii="Bookman Old Style" w:hAnsi="Bookman Old Style"/>
          <w:b/>
          <w:bCs/>
          <w:sz w:val="24"/>
          <w:szCs w:val="24"/>
          <w:u w:val="single"/>
        </w:rPr>
        <w:t>todos los anteriores</w:t>
      </w:r>
      <w:r w:rsidR="006D04E8">
        <w:rPr>
          <w:rFonts w:ascii="Bookman Old Style" w:hAnsi="Bookman Old Style"/>
          <w:sz w:val="24"/>
          <w:szCs w:val="24"/>
        </w:rPr>
        <w:t xml:space="preserve"> </w:t>
      </w:r>
      <w:r w:rsidRPr="000F4D2C">
        <w:rPr>
          <w:rFonts w:ascii="Bookman Old Style" w:hAnsi="Bookman Old Style"/>
          <w:sz w:val="24"/>
          <w:szCs w:val="24"/>
        </w:rPr>
        <w:t>siempre y cuando cumplan con las siguientes condiciones:</w:t>
      </w:r>
    </w:p>
    <w:p w14:paraId="7CA0C71D"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3F03A04B" w14:textId="77777777"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El proponente deberá demostrar experiencia relacionada con la construcción de proyectos de infraestructura de valor similar al valor estimado del proyecto objeto del proceso de selección. Para esto, los proponentes podrán acreditar su experiencia con dos proyectos ejecutados cuyos valores sumados resulten en un valor igual o superior al valor estimado del proyecto objeto del respectivo proceso de selección. La experiencia puede ser acreditada por la persona jurídica que se presenta, por sus filiales o sociedades matrices y/o por cualquier otra sociedad que sea parte de un mismo grupo económico. Lo anterior también aplica para los miembros del Consorcio.</w:t>
      </w:r>
    </w:p>
    <w:p w14:paraId="0929215C" w14:textId="77777777" w:rsidR="00CF5EFC" w:rsidRPr="000F4D2C" w:rsidRDefault="00CF5EFC" w:rsidP="00CF5EFC">
      <w:pPr>
        <w:pStyle w:val="Estilo3"/>
        <w:widowControl w:val="0"/>
        <w:tabs>
          <w:tab w:val="left" w:pos="1560"/>
        </w:tabs>
        <w:ind w:left="709"/>
        <w:jc w:val="both"/>
        <w:rPr>
          <w:rFonts w:ascii="Bookman Old Style" w:hAnsi="Bookman Old Style"/>
          <w:sz w:val="24"/>
          <w:szCs w:val="24"/>
        </w:rPr>
      </w:pPr>
    </w:p>
    <w:p w14:paraId="09F17E2C" w14:textId="77777777"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No tener participación alguna, ya sea en calidad de matriz, filial, subsidiaria o subordinada, de acuerdo con lo previsto en la legislación, con ninguno de los demás proponentes que participen en el mismo proceso de selección.</w:t>
      </w:r>
    </w:p>
    <w:p w14:paraId="108216DC" w14:textId="77777777" w:rsidR="00CF5EFC" w:rsidRPr="000F4D2C" w:rsidRDefault="00CF5EFC" w:rsidP="00CF5EFC">
      <w:pPr>
        <w:pStyle w:val="Prrafodelista"/>
        <w:rPr>
          <w:rFonts w:ascii="Bookman Old Style" w:hAnsi="Bookman Old Style"/>
          <w:sz w:val="24"/>
          <w:szCs w:val="24"/>
        </w:rPr>
      </w:pPr>
    </w:p>
    <w:p w14:paraId="69B3A43A" w14:textId="77777777"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No haber sido objeto de declaración de un incumplimiento grave e insalvable de que trata el Artículo 25 de la presente Resolución durante los 24 meses anteriores a la fecha límite de presentación de propuestas establecida en los documentos de selección del inversionista.</w:t>
      </w:r>
    </w:p>
    <w:p w14:paraId="2BB028A7" w14:textId="77777777" w:rsidR="00CF5EFC" w:rsidRPr="000F4D2C" w:rsidRDefault="00CF5EFC" w:rsidP="00CF5EFC">
      <w:pPr>
        <w:pStyle w:val="Prrafodelista"/>
        <w:rPr>
          <w:rFonts w:ascii="Bookman Old Style" w:hAnsi="Bookman Old Style"/>
          <w:sz w:val="24"/>
          <w:szCs w:val="24"/>
        </w:rPr>
      </w:pPr>
    </w:p>
    <w:p w14:paraId="20145182" w14:textId="77777777"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Cuando se trate de un proyecto IPAT, el transportador incumbente no podrá participar en el proceso de selección que se adelante para ejecutar el proyecto.</w:t>
      </w:r>
    </w:p>
    <w:p w14:paraId="46879C9A" w14:textId="77777777" w:rsidR="00CF5EFC" w:rsidRPr="000F4D2C" w:rsidRDefault="00CF5EFC" w:rsidP="00CF5EFC">
      <w:pPr>
        <w:pStyle w:val="Prrafodelista"/>
        <w:rPr>
          <w:rFonts w:ascii="Bookman Old Style" w:hAnsi="Bookman Old Style"/>
          <w:sz w:val="24"/>
          <w:szCs w:val="24"/>
        </w:rPr>
      </w:pPr>
    </w:p>
    <w:p w14:paraId="5B8F9882" w14:textId="77777777"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Observar las disposiciones vigentes sobre separación de actividades e interés económico aplicables según el objeto del proyecto a ser adjudicado en el proceso de selección.</w:t>
      </w:r>
    </w:p>
    <w:p w14:paraId="2EDAA7E4" w14:textId="77777777" w:rsidR="00CF5EFC" w:rsidRPr="000F4D2C" w:rsidRDefault="00CF5EFC" w:rsidP="00CF5EFC">
      <w:pPr>
        <w:pStyle w:val="Prrafodelista"/>
        <w:rPr>
          <w:rFonts w:ascii="Bookman Old Style" w:hAnsi="Bookman Old Style"/>
          <w:sz w:val="24"/>
          <w:szCs w:val="24"/>
        </w:rPr>
      </w:pPr>
    </w:p>
    <w:p w14:paraId="1567A88D" w14:textId="77777777"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No estar incurso dentro de las causales de inhabilidad e incompatibilidad contempladas en la legislación vigente.</w:t>
      </w:r>
    </w:p>
    <w:p w14:paraId="44B9F114" w14:textId="77777777" w:rsidR="00CF5EFC" w:rsidRPr="000F4D2C" w:rsidRDefault="00CF5EFC" w:rsidP="00CF5EFC">
      <w:pPr>
        <w:pStyle w:val="Prrafodelista"/>
        <w:rPr>
          <w:rFonts w:ascii="Bookman Old Style" w:hAnsi="Bookman Old Style"/>
          <w:sz w:val="24"/>
          <w:szCs w:val="24"/>
        </w:rPr>
      </w:pPr>
    </w:p>
    <w:p w14:paraId="2C626D86" w14:textId="77777777" w:rsidR="00CF5EFC" w:rsidRPr="000F4D2C" w:rsidRDefault="00CF5EFC" w:rsidP="00CF5EFC">
      <w:pPr>
        <w:pStyle w:val="Estilo3"/>
        <w:widowControl w:val="0"/>
        <w:tabs>
          <w:tab w:val="left" w:pos="1560"/>
        </w:tabs>
        <w:jc w:val="both"/>
        <w:rPr>
          <w:rFonts w:ascii="Bookman Old Style" w:hAnsi="Bookman Old Style"/>
          <w:sz w:val="24"/>
          <w:szCs w:val="24"/>
        </w:rPr>
      </w:pPr>
      <w:r w:rsidRPr="000F4D2C">
        <w:rPr>
          <w:rFonts w:ascii="Bookman Old Style" w:hAnsi="Bookman Old Style"/>
          <w:sz w:val="24"/>
          <w:szCs w:val="24"/>
        </w:rPr>
        <w:t>Al participar en los procesos de selección de que trata esta Resolución, se entiende que los proponentes se acogen a lo que se establezca en los documentos de selección del inversionista y todos sus anexos, los cuales son parte integrante del proceso de selección, y a las consecuencias de la ejecución de la garantía de cumplimiento, establecidas en el Artículo 32 de la presente Resolución.</w:t>
      </w:r>
    </w:p>
    <w:p w14:paraId="57107EAD"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2ED89A40" w14:textId="77777777" w:rsidR="00CF5EFC" w:rsidRPr="000F4D2C" w:rsidRDefault="00CF5EFC" w:rsidP="00CF5EFC">
      <w:pPr>
        <w:pStyle w:val="Estilo3"/>
        <w:widowControl w:val="0"/>
        <w:tabs>
          <w:tab w:val="left" w:pos="1560"/>
        </w:tabs>
        <w:jc w:val="both"/>
        <w:rPr>
          <w:rFonts w:ascii="Bookman Old Style" w:hAnsi="Bookman Old Style"/>
          <w:sz w:val="24"/>
          <w:szCs w:val="24"/>
        </w:rPr>
      </w:pPr>
      <w:r w:rsidRPr="000F4D2C">
        <w:rPr>
          <w:rFonts w:ascii="Bookman Old Style" w:hAnsi="Bookman Old Style"/>
          <w:b/>
          <w:sz w:val="24"/>
          <w:szCs w:val="24"/>
        </w:rPr>
        <w:t xml:space="preserve">PARÁGRAFO. </w:t>
      </w:r>
      <w:r w:rsidRPr="000F4D2C">
        <w:rPr>
          <w:rFonts w:ascii="Bookman Old Style" w:hAnsi="Bookman Old Style"/>
          <w:sz w:val="24"/>
          <w:szCs w:val="24"/>
        </w:rPr>
        <w:t>Los transportadores incumbentes no deberán entorpecer la ejecución de proyectos del plan de abastecimiento de gas natural, que estén embebidos o se conecten a sus sistemas de transporte, y que estén a cargo de adjudicatarios de procesos de selección, so pena de las acciones legales y económicas que pueda adelantar el adjudicatario afectado.</w:t>
      </w:r>
    </w:p>
    <w:p w14:paraId="46A25634" w14:textId="77777777" w:rsidR="00CF5EFC" w:rsidRPr="00E53773" w:rsidRDefault="00CF5EFC" w:rsidP="00CF5EFC">
      <w:pPr>
        <w:pStyle w:val="Estilo3"/>
        <w:widowControl w:val="0"/>
        <w:tabs>
          <w:tab w:val="left" w:pos="1560"/>
        </w:tabs>
        <w:jc w:val="both"/>
        <w:rPr>
          <w:rFonts w:ascii="Bookman Old Style" w:hAnsi="Bookman Old Style"/>
          <w:sz w:val="24"/>
          <w:szCs w:val="24"/>
        </w:rPr>
      </w:pPr>
    </w:p>
    <w:p w14:paraId="5CD1D145" w14:textId="77777777" w:rsidR="00CF5EFC" w:rsidRPr="001C1A89" w:rsidRDefault="00CF5EFC" w:rsidP="000F4D2C">
      <w:pPr>
        <w:pStyle w:val="Estilo3"/>
        <w:widowControl w:val="0"/>
        <w:numPr>
          <w:ilvl w:val="0"/>
          <w:numId w:val="10"/>
        </w:numPr>
        <w:tabs>
          <w:tab w:val="left" w:pos="1560"/>
        </w:tabs>
        <w:spacing w:after="240"/>
        <w:jc w:val="both"/>
        <w:rPr>
          <w:rFonts w:ascii="Bookman Old Style" w:hAnsi="Bookman Old Style"/>
          <w:color w:val="000000"/>
          <w:sz w:val="24"/>
          <w:szCs w:val="24"/>
        </w:rPr>
      </w:pPr>
      <w:r w:rsidRPr="00F23AE8">
        <w:rPr>
          <w:rFonts w:ascii="Bookman Old Style" w:hAnsi="Bookman Old Style"/>
          <w:b/>
          <w:color w:val="000000"/>
          <w:sz w:val="24"/>
          <w:szCs w:val="24"/>
        </w:rPr>
        <w:lastRenderedPageBreak/>
        <w:t xml:space="preserve">Obligaciones del adjudicatario. </w:t>
      </w:r>
      <w:r w:rsidRPr="00F23AE8">
        <w:rPr>
          <w:rFonts w:ascii="Bookman Old Style" w:hAnsi="Bookman Old Style"/>
          <w:color w:val="000000"/>
          <w:sz w:val="24"/>
          <w:szCs w:val="24"/>
        </w:rPr>
        <w:t xml:space="preserve">El </w:t>
      </w:r>
      <w:r>
        <w:rPr>
          <w:rFonts w:ascii="Bookman Old Style" w:hAnsi="Bookman Old Style"/>
          <w:color w:val="000000"/>
          <w:sz w:val="24"/>
          <w:szCs w:val="24"/>
        </w:rPr>
        <w:t>adjudicatario</w:t>
      </w:r>
      <w:r w:rsidRPr="00F23AE8">
        <w:rPr>
          <w:rFonts w:ascii="Bookman Old Style" w:hAnsi="Bookman Old Style"/>
          <w:sz w:val="24"/>
          <w:szCs w:val="24"/>
        </w:rPr>
        <w:t xml:space="preserve"> deberá responder, además de los compromisos adquiridos en </w:t>
      </w:r>
      <w:r>
        <w:rPr>
          <w:rFonts w:ascii="Bookman Old Style" w:hAnsi="Bookman Old Style"/>
          <w:sz w:val="24"/>
          <w:szCs w:val="24"/>
        </w:rPr>
        <w:t>los documentos de selección</w:t>
      </w:r>
      <w:r w:rsidRPr="00F23AE8">
        <w:rPr>
          <w:rFonts w:ascii="Bookman Old Style" w:hAnsi="Bookman Old Style"/>
          <w:sz w:val="24"/>
          <w:szCs w:val="24"/>
        </w:rPr>
        <w:t xml:space="preserve">, por las actividades que se deriven en el desarrollo de su participación </w:t>
      </w:r>
      <w:r w:rsidRPr="001C1A89">
        <w:rPr>
          <w:rFonts w:ascii="Bookman Old Style" w:hAnsi="Bookman Old Style"/>
          <w:sz w:val="24"/>
          <w:szCs w:val="24"/>
        </w:rPr>
        <w:t xml:space="preserve">en el mercado de gas natural. </w:t>
      </w:r>
    </w:p>
    <w:p w14:paraId="1D72402D" w14:textId="36C66C89" w:rsidR="00CF5EFC" w:rsidRPr="000F4D2C" w:rsidRDefault="00CF5EFC" w:rsidP="00CF5EFC">
      <w:pPr>
        <w:jc w:val="both"/>
        <w:rPr>
          <w:rFonts w:ascii="Bookman Old Style" w:hAnsi="Bookman Old Style"/>
          <w:sz w:val="24"/>
          <w:szCs w:val="24"/>
        </w:rPr>
      </w:pPr>
      <w:r w:rsidRPr="000F4D2C">
        <w:rPr>
          <w:rFonts w:ascii="Bookman Old Style" w:hAnsi="Bookman Old Style"/>
          <w:sz w:val="24"/>
          <w:szCs w:val="24"/>
        </w:rPr>
        <w:t xml:space="preserve">Durante </w:t>
      </w:r>
      <w:r w:rsidR="00B06BC9">
        <w:rPr>
          <w:rFonts w:ascii="Bookman Old Style" w:hAnsi="Bookman Old Style"/>
          <w:sz w:val="24"/>
          <w:szCs w:val="24"/>
        </w:rPr>
        <w:t xml:space="preserve">el PEP </w:t>
      </w:r>
      <w:r w:rsidR="00B06BC9" w:rsidRPr="000F4D2C">
        <w:rPr>
          <w:rFonts w:ascii="Bookman Old Style" w:hAnsi="Bookman Old Style"/>
          <w:b/>
          <w:bCs/>
          <w:sz w:val="24"/>
          <w:szCs w:val="24"/>
          <w:u w:val="single"/>
        </w:rPr>
        <w:t xml:space="preserve">contado a partir de la </w:t>
      </w:r>
      <w:r w:rsidR="00016326">
        <w:rPr>
          <w:rFonts w:ascii="Bookman Old Style" w:hAnsi="Bookman Old Style"/>
          <w:b/>
          <w:bCs/>
          <w:sz w:val="24"/>
          <w:szCs w:val="24"/>
          <w:u w:val="single"/>
        </w:rPr>
        <w:t xml:space="preserve">fecha de </w:t>
      </w:r>
      <w:r w:rsidR="00B06BC9" w:rsidRPr="000F4D2C">
        <w:rPr>
          <w:rFonts w:ascii="Bookman Old Style" w:hAnsi="Bookman Old Style"/>
          <w:b/>
          <w:bCs/>
          <w:sz w:val="24"/>
          <w:szCs w:val="24"/>
          <w:u w:val="single"/>
        </w:rPr>
        <w:t xml:space="preserve">puesta en operación del Proyecto e incluyendo el período adicional que surja </w:t>
      </w:r>
      <w:r w:rsidR="009D175F">
        <w:rPr>
          <w:rFonts w:ascii="Bookman Old Style" w:hAnsi="Bookman Old Style"/>
          <w:b/>
          <w:bCs/>
          <w:sz w:val="24"/>
          <w:szCs w:val="24"/>
          <w:u w:val="single"/>
        </w:rPr>
        <w:t xml:space="preserve">como consecuencia </w:t>
      </w:r>
      <w:r w:rsidR="001F1901">
        <w:rPr>
          <w:rFonts w:ascii="Bookman Old Style" w:hAnsi="Bookman Old Style"/>
          <w:b/>
          <w:bCs/>
          <w:sz w:val="24"/>
          <w:szCs w:val="24"/>
          <w:u w:val="single"/>
        </w:rPr>
        <w:t>de</w:t>
      </w:r>
      <w:r w:rsidR="00B06BC9" w:rsidRPr="000F4D2C">
        <w:rPr>
          <w:rFonts w:ascii="Bookman Old Style" w:hAnsi="Bookman Old Style"/>
          <w:b/>
          <w:bCs/>
          <w:sz w:val="24"/>
          <w:szCs w:val="24"/>
          <w:u w:val="single"/>
        </w:rPr>
        <w:t xml:space="preserve"> la duración del total de las indisponibilidades </w:t>
      </w:r>
      <w:r w:rsidR="00795685">
        <w:rPr>
          <w:rFonts w:ascii="Bookman Old Style" w:hAnsi="Bookman Old Style"/>
          <w:b/>
          <w:bCs/>
          <w:sz w:val="24"/>
          <w:szCs w:val="24"/>
          <w:u w:val="single"/>
        </w:rPr>
        <w:t xml:space="preserve">acumuladas </w:t>
      </w:r>
      <w:r w:rsidR="00B06BC9" w:rsidRPr="000F4D2C">
        <w:rPr>
          <w:rFonts w:ascii="Bookman Old Style" w:hAnsi="Bookman Old Style"/>
          <w:b/>
          <w:bCs/>
          <w:sz w:val="24"/>
          <w:szCs w:val="24"/>
          <w:u w:val="single"/>
        </w:rPr>
        <w:t xml:space="preserve">del Proyecto en virtud de lo señalado en el </w:t>
      </w:r>
      <w:r w:rsidR="00795685">
        <w:rPr>
          <w:rFonts w:ascii="Bookman Old Style" w:hAnsi="Bookman Old Style"/>
          <w:b/>
          <w:bCs/>
          <w:sz w:val="24"/>
          <w:szCs w:val="24"/>
          <w:u w:val="single"/>
        </w:rPr>
        <w:t xml:space="preserve">literal </w:t>
      </w:r>
      <w:r w:rsidR="00B06BC9" w:rsidRPr="000F4D2C">
        <w:rPr>
          <w:rFonts w:ascii="Bookman Old Style" w:hAnsi="Bookman Old Style"/>
          <w:b/>
          <w:bCs/>
          <w:sz w:val="24"/>
          <w:szCs w:val="24"/>
          <w:u w:val="single"/>
        </w:rPr>
        <w:t>c) del Artículo 18 de la presente resolución</w:t>
      </w:r>
      <w:r w:rsidR="00795685">
        <w:rPr>
          <w:rFonts w:ascii="Bookman Old Style" w:hAnsi="Bookman Old Style"/>
          <w:b/>
          <w:bCs/>
          <w:sz w:val="24"/>
          <w:szCs w:val="24"/>
          <w:u w:val="single"/>
        </w:rPr>
        <w:t>,</w:t>
      </w:r>
      <w:r w:rsidRPr="000F4D2C">
        <w:rPr>
          <w:rFonts w:ascii="Bookman Old Style" w:hAnsi="Bookman Old Style"/>
          <w:sz w:val="24"/>
          <w:szCs w:val="24"/>
        </w:rPr>
        <w:t xml:space="preserve"> el adjudicatario tendrá, entre otras, las siguientes responsabilidades</w:t>
      </w:r>
      <w:r w:rsidR="008A074A">
        <w:rPr>
          <w:rFonts w:ascii="Bookman Old Style" w:hAnsi="Bookman Old Style"/>
          <w:sz w:val="24"/>
          <w:szCs w:val="24"/>
        </w:rPr>
        <w:t xml:space="preserve"> </w:t>
      </w:r>
      <w:r w:rsidR="00886A63" w:rsidRPr="00886A63">
        <w:rPr>
          <w:rFonts w:ascii="Bookman Old Style" w:hAnsi="Bookman Old Style"/>
          <w:b/>
          <w:bCs/>
          <w:sz w:val="24"/>
          <w:szCs w:val="24"/>
          <w:u w:val="single"/>
        </w:rPr>
        <w:t>co</w:t>
      </w:r>
      <w:r w:rsidR="008A074A" w:rsidRPr="000F4D2C">
        <w:rPr>
          <w:rFonts w:ascii="Bookman Old Style" w:hAnsi="Bookman Old Style"/>
          <w:b/>
          <w:bCs/>
          <w:sz w:val="24"/>
          <w:szCs w:val="24"/>
          <w:u w:val="single"/>
        </w:rPr>
        <w:t>n la prestación del servicio del proyecto</w:t>
      </w:r>
      <w:r w:rsidRPr="000F4D2C">
        <w:rPr>
          <w:rFonts w:ascii="Bookman Old Style" w:hAnsi="Bookman Old Style"/>
          <w:sz w:val="24"/>
          <w:szCs w:val="24"/>
        </w:rPr>
        <w:t>:</w:t>
      </w:r>
    </w:p>
    <w:p w14:paraId="4314C202" w14:textId="77777777" w:rsidR="00CF5EFC" w:rsidRPr="00F23AE8" w:rsidRDefault="00CF5EFC" w:rsidP="00CF5EFC">
      <w:pPr>
        <w:pStyle w:val="Prrafodelista"/>
        <w:numPr>
          <w:ilvl w:val="0"/>
          <w:numId w:val="20"/>
        </w:numPr>
        <w:spacing w:before="120"/>
        <w:ind w:left="426" w:hanging="426"/>
        <w:jc w:val="both"/>
        <w:rPr>
          <w:rFonts w:ascii="Bookman Old Style" w:hAnsi="Bookman Old Style"/>
          <w:sz w:val="24"/>
          <w:szCs w:val="24"/>
        </w:rPr>
      </w:pPr>
      <w:r w:rsidRPr="001C1A89">
        <w:rPr>
          <w:rFonts w:ascii="Bookman Old Style" w:hAnsi="Bookman Old Style"/>
          <w:sz w:val="24"/>
          <w:szCs w:val="24"/>
        </w:rPr>
        <w:t>Administrar, operar y mantener los activos objeto de los procesos de selección de los cuales</w:t>
      </w:r>
      <w:r w:rsidRPr="00F23AE8">
        <w:rPr>
          <w:rFonts w:ascii="Bookman Old Style" w:hAnsi="Bookman Old Style"/>
          <w:sz w:val="24"/>
          <w:szCs w:val="24"/>
        </w:rPr>
        <w:t xml:space="preserve"> haya sido adjudicatario. </w:t>
      </w:r>
    </w:p>
    <w:p w14:paraId="0E63A165" w14:textId="77777777" w:rsidR="00CF5EFC" w:rsidRPr="00F23AE8" w:rsidRDefault="00CF5EFC" w:rsidP="00CF5EFC">
      <w:pPr>
        <w:pStyle w:val="Prrafodelista"/>
        <w:numPr>
          <w:ilvl w:val="0"/>
          <w:numId w:val="20"/>
        </w:numPr>
        <w:spacing w:before="120"/>
        <w:ind w:left="426" w:hanging="426"/>
        <w:jc w:val="both"/>
        <w:rPr>
          <w:rFonts w:ascii="Bookman Old Style" w:hAnsi="Bookman Old Style"/>
          <w:sz w:val="24"/>
          <w:szCs w:val="24"/>
        </w:rPr>
      </w:pPr>
      <w:r>
        <w:rPr>
          <w:rFonts w:ascii="Bookman Old Style" w:hAnsi="Bookman Old Style"/>
          <w:sz w:val="24"/>
          <w:szCs w:val="24"/>
        </w:rPr>
        <w:t xml:space="preserve">Coordinar la operación y el mantenimiento de los activos del proyecto con los participantes del mercado de gas que sea necesario. Para los proyectos de </w:t>
      </w:r>
      <m:oMath>
        <m:r>
          <w:rPr>
            <w:rFonts w:ascii="Cambria Math" w:hAnsi="Cambria Math"/>
            <w:sz w:val="24"/>
            <w:szCs w:val="24"/>
          </w:rPr>
          <m:t xml:space="preserve"> IPAT</m:t>
        </m:r>
      </m:oMath>
      <w:r>
        <w:rPr>
          <w:rFonts w:ascii="Bookman Old Style" w:hAnsi="Bookman Old Style"/>
          <w:sz w:val="24"/>
          <w:szCs w:val="24"/>
        </w:rPr>
        <w:t xml:space="preserve"> deberá atender los requerimientos del transportador incumbente para cumplir los despachos diarios.</w:t>
      </w:r>
    </w:p>
    <w:p w14:paraId="1F334AED" w14:textId="6D1E8E8D" w:rsidR="00CF5EFC" w:rsidRPr="00F23AE8" w:rsidRDefault="00CF5EFC" w:rsidP="00CF5EFC">
      <w:pPr>
        <w:pStyle w:val="Prrafodelista"/>
        <w:numPr>
          <w:ilvl w:val="0"/>
          <w:numId w:val="20"/>
        </w:numPr>
        <w:spacing w:before="120"/>
        <w:ind w:left="426" w:hanging="426"/>
        <w:jc w:val="both"/>
        <w:rPr>
          <w:rFonts w:ascii="Bookman Old Style" w:hAnsi="Bookman Old Style"/>
          <w:sz w:val="24"/>
          <w:szCs w:val="24"/>
        </w:rPr>
      </w:pPr>
      <w:r w:rsidRPr="00F23AE8">
        <w:rPr>
          <w:rFonts w:ascii="Bookman Old Style" w:hAnsi="Bookman Old Style"/>
          <w:sz w:val="24"/>
          <w:szCs w:val="24"/>
        </w:rPr>
        <w:t>Cumplir con el reglamento único de transporte de gas natural</w:t>
      </w:r>
      <w:r w:rsidR="001F1901">
        <w:rPr>
          <w:rFonts w:ascii="Bookman Old Style" w:hAnsi="Bookman Old Style"/>
          <w:sz w:val="24"/>
          <w:szCs w:val="24"/>
        </w:rPr>
        <w:t xml:space="preserve"> – RUT,</w:t>
      </w:r>
      <w:r>
        <w:rPr>
          <w:rFonts w:ascii="Bookman Old Style" w:hAnsi="Bookman Old Style"/>
          <w:sz w:val="24"/>
          <w:szCs w:val="24"/>
        </w:rPr>
        <w:t xml:space="preserve"> cuando se trate de infraestructura del SNT,</w:t>
      </w:r>
      <w:r w:rsidRPr="00F23AE8">
        <w:rPr>
          <w:rFonts w:ascii="Bookman Old Style" w:hAnsi="Bookman Old Style"/>
          <w:sz w:val="24"/>
          <w:szCs w:val="24"/>
        </w:rPr>
        <w:t xml:space="preserve"> las reglas aplicables al mercado mayorista de gas natural establecidas en la</w:t>
      </w:r>
      <w:r w:rsidR="00AA6EF4">
        <w:rPr>
          <w:rFonts w:ascii="Bookman Old Style" w:hAnsi="Bookman Old Style"/>
          <w:sz w:val="24"/>
          <w:szCs w:val="24"/>
        </w:rPr>
        <w:t xml:space="preserve">s resoluciones CREG 185 de 2020 y 186 de 2020 </w:t>
      </w:r>
      <w:r w:rsidRPr="00F23AE8">
        <w:rPr>
          <w:rFonts w:ascii="Bookman Old Style" w:hAnsi="Bookman Old Style"/>
          <w:sz w:val="24"/>
          <w:szCs w:val="24"/>
        </w:rPr>
        <w:t>y aquellas que la</w:t>
      </w:r>
      <w:r w:rsidR="00AA6EF4">
        <w:rPr>
          <w:rFonts w:ascii="Bookman Old Style" w:hAnsi="Bookman Old Style"/>
          <w:sz w:val="24"/>
          <w:szCs w:val="24"/>
        </w:rPr>
        <w:t>s</w:t>
      </w:r>
      <w:r w:rsidRPr="00F23AE8">
        <w:rPr>
          <w:rFonts w:ascii="Bookman Old Style" w:hAnsi="Bookman Old Style"/>
          <w:sz w:val="24"/>
          <w:szCs w:val="24"/>
        </w:rPr>
        <w:t xml:space="preserve"> modifiquen o sustituyan, </w:t>
      </w:r>
      <w:r>
        <w:rPr>
          <w:rFonts w:ascii="Bookman Old Style" w:hAnsi="Bookman Old Style"/>
          <w:sz w:val="24"/>
          <w:szCs w:val="24"/>
        </w:rPr>
        <w:t xml:space="preserve">y demás regulación aplicable según </w:t>
      </w:r>
      <w:r w:rsidRPr="00F23AE8">
        <w:rPr>
          <w:rFonts w:ascii="Bookman Old Style" w:hAnsi="Bookman Old Style"/>
          <w:sz w:val="24"/>
          <w:szCs w:val="24"/>
        </w:rPr>
        <w:t>el tipo de proyecto desarrollado a través de procesos de selección.</w:t>
      </w:r>
    </w:p>
    <w:p w14:paraId="0DCE3886" w14:textId="77777777" w:rsidR="00CF5EFC" w:rsidRDefault="00CF5EFC" w:rsidP="00CF5EFC">
      <w:pPr>
        <w:pStyle w:val="Prrafodelista"/>
        <w:numPr>
          <w:ilvl w:val="0"/>
          <w:numId w:val="20"/>
        </w:numPr>
        <w:spacing w:before="120"/>
        <w:ind w:left="426" w:hanging="426"/>
        <w:jc w:val="both"/>
        <w:rPr>
          <w:rFonts w:ascii="Bookman Old Style" w:hAnsi="Bookman Old Style"/>
          <w:sz w:val="24"/>
          <w:szCs w:val="24"/>
        </w:rPr>
      </w:pPr>
      <w:r w:rsidRPr="00F23AE8">
        <w:rPr>
          <w:rFonts w:ascii="Bookman Old Style" w:hAnsi="Bookman Old Style"/>
          <w:sz w:val="24"/>
          <w:szCs w:val="24"/>
        </w:rPr>
        <w:t xml:space="preserve">Suscribir los contratos </w:t>
      </w:r>
      <w:r>
        <w:rPr>
          <w:rFonts w:ascii="Bookman Old Style" w:hAnsi="Bookman Old Style"/>
          <w:sz w:val="24"/>
          <w:szCs w:val="24"/>
        </w:rPr>
        <w:t xml:space="preserve">que sean requeridos en el desarrollo de su actividad, incluyendo el </w:t>
      </w:r>
      <w:r w:rsidRPr="00F23AE8">
        <w:rPr>
          <w:rFonts w:ascii="Bookman Old Style" w:hAnsi="Bookman Old Style"/>
          <w:sz w:val="24"/>
          <w:szCs w:val="24"/>
        </w:rPr>
        <w:t xml:space="preserve">de conexión con </w:t>
      </w:r>
      <w:r>
        <w:rPr>
          <w:rFonts w:ascii="Bookman Old Style" w:hAnsi="Bookman Old Style"/>
          <w:sz w:val="24"/>
          <w:szCs w:val="24"/>
        </w:rPr>
        <w:t>el transportador</w:t>
      </w:r>
      <w:r w:rsidRPr="00F23AE8">
        <w:rPr>
          <w:rFonts w:ascii="Bookman Old Style" w:hAnsi="Bookman Old Style"/>
          <w:sz w:val="24"/>
          <w:szCs w:val="24"/>
        </w:rPr>
        <w:t xml:space="preserve"> a</w:t>
      </w:r>
      <w:r>
        <w:rPr>
          <w:rFonts w:ascii="Bookman Old Style" w:hAnsi="Bookman Old Style"/>
          <w:sz w:val="24"/>
          <w:szCs w:val="24"/>
        </w:rPr>
        <w:t xml:space="preserve">l </w:t>
      </w:r>
      <w:r w:rsidRPr="00F23AE8">
        <w:rPr>
          <w:rFonts w:ascii="Bookman Old Style" w:hAnsi="Bookman Old Style"/>
          <w:sz w:val="24"/>
          <w:szCs w:val="24"/>
        </w:rPr>
        <w:t xml:space="preserve">cual se conectará el proyecto </w:t>
      </w:r>
      <w:r>
        <w:rPr>
          <w:rFonts w:ascii="Bookman Old Style" w:hAnsi="Bookman Old Style"/>
          <w:sz w:val="24"/>
          <w:szCs w:val="24"/>
        </w:rPr>
        <w:t>objeto del proceso de selección, y entregar al transportador la información que se requiera para coordinar la operación y el mantenimiento de los activos del adjudicatario y los del transportador.</w:t>
      </w:r>
    </w:p>
    <w:p w14:paraId="3B5B18AA" w14:textId="77777777" w:rsidR="00CF5EFC" w:rsidRDefault="00CF5EFC" w:rsidP="00CF5EFC">
      <w:pPr>
        <w:pStyle w:val="Prrafodelista"/>
        <w:numPr>
          <w:ilvl w:val="0"/>
          <w:numId w:val="20"/>
        </w:numPr>
        <w:spacing w:before="120"/>
        <w:ind w:left="426" w:hanging="426"/>
        <w:jc w:val="both"/>
        <w:rPr>
          <w:rFonts w:ascii="Bookman Old Style" w:hAnsi="Bookman Old Style"/>
          <w:sz w:val="24"/>
          <w:szCs w:val="24"/>
        </w:rPr>
      </w:pPr>
      <w:r>
        <w:rPr>
          <w:rFonts w:ascii="Bookman Old Style" w:hAnsi="Bookman Old Style"/>
          <w:sz w:val="24"/>
          <w:szCs w:val="24"/>
        </w:rPr>
        <w:t>Informar y coordinar oportunamente con el transportador</w:t>
      </w:r>
      <w:r w:rsidRPr="0070538E">
        <w:rPr>
          <w:rFonts w:ascii="Bookman Old Style" w:hAnsi="Bookman Old Style"/>
          <w:sz w:val="24"/>
          <w:szCs w:val="24"/>
        </w:rPr>
        <w:t xml:space="preserve"> al cual se conectará el proyecto </w:t>
      </w:r>
      <w:r>
        <w:rPr>
          <w:rFonts w:ascii="Bookman Old Style" w:hAnsi="Bookman Old Style"/>
          <w:sz w:val="24"/>
          <w:szCs w:val="24"/>
        </w:rPr>
        <w:t xml:space="preserve">objeto del proceso de selección </w:t>
      </w:r>
      <w:r w:rsidRPr="0070538E">
        <w:rPr>
          <w:rFonts w:ascii="Bookman Old Style" w:hAnsi="Bookman Old Style"/>
          <w:sz w:val="24"/>
          <w:szCs w:val="24"/>
        </w:rPr>
        <w:t xml:space="preserve">la puesta en </w:t>
      </w:r>
      <w:r>
        <w:rPr>
          <w:rFonts w:ascii="Bookman Old Style" w:hAnsi="Bookman Old Style"/>
          <w:sz w:val="24"/>
          <w:szCs w:val="24"/>
        </w:rPr>
        <w:t>operación</w:t>
      </w:r>
      <w:r w:rsidRPr="0070538E">
        <w:rPr>
          <w:rFonts w:ascii="Bookman Old Style" w:hAnsi="Bookman Old Style"/>
          <w:sz w:val="24"/>
          <w:szCs w:val="24"/>
        </w:rPr>
        <w:t xml:space="preserve"> del proyecto</w:t>
      </w:r>
      <w:r w:rsidRPr="00F23AE8">
        <w:rPr>
          <w:rFonts w:ascii="Bookman Old Style" w:hAnsi="Bookman Old Style"/>
          <w:sz w:val="24"/>
          <w:szCs w:val="24"/>
        </w:rPr>
        <w:t>.</w:t>
      </w:r>
    </w:p>
    <w:p w14:paraId="2955B07B" w14:textId="77777777" w:rsidR="00F42C2B" w:rsidRDefault="00F42C2B" w:rsidP="000F4D2C">
      <w:pPr>
        <w:pStyle w:val="Prrafodelista"/>
        <w:ind w:left="425"/>
        <w:jc w:val="both"/>
        <w:rPr>
          <w:rFonts w:ascii="Bookman Old Style" w:hAnsi="Bookman Old Style"/>
          <w:sz w:val="24"/>
          <w:szCs w:val="24"/>
        </w:rPr>
      </w:pPr>
    </w:p>
    <w:p w14:paraId="30CDFD23" w14:textId="4E6C3C64" w:rsidR="00CF5EFC" w:rsidRPr="00F23AE8" w:rsidRDefault="00CF5EFC" w:rsidP="000F4D2C">
      <w:pPr>
        <w:pStyle w:val="Prrafodelista"/>
        <w:numPr>
          <w:ilvl w:val="0"/>
          <w:numId w:val="20"/>
        </w:numPr>
        <w:ind w:left="425" w:hanging="426"/>
        <w:jc w:val="both"/>
        <w:rPr>
          <w:rFonts w:ascii="Bookman Old Style" w:hAnsi="Bookman Old Style"/>
          <w:sz w:val="24"/>
          <w:szCs w:val="24"/>
        </w:rPr>
      </w:pPr>
      <w:r w:rsidRPr="00F23AE8">
        <w:rPr>
          <w:rFonts w:ascii="Bookman Old Style" w:hAnsi="Bookman Old Style"/>
          <w:sz w:val="24"/>
          <w:szCs w:val="24"/>
        </w:rPr>
        <w:t xml:space="preserve">Suministrar de manera oportuna la información que requiera el gestor del mercado. </w:t>
      </w:r>
    </w:p>
    <w:p w14:paraId="0D784A4E" w14:textId="77777777" w:rsidR="00F42C2B" w:rsidRPr="000F4D2C" w:rsidRDefault="00F42C2B" w:rsidP="000F4D2C">
      <w:pPr>
        <w:pStyle w:val="Prrafodelista"/>
        <w:ind w:left="425"/>
        <w:jc w:val="both"/>
        <w:rPr>
          <w:rFonts w:ascii="Bookman Old Style" w:hAnsi="Bookman Old Style"/>
          <w:color w:val="000000"/>
        </w:rPr>
      </w:pPr>
    </w:p>
    <w:p w14:paraId="6974F736" w14:textId="2EDDC917" w:rsidR="00CF5EFC" w:rsidRPr="004C1CEC" w:rsidRDefault="00CF5EFC" w:rsidP="000F4D2C">
      <w:pPr>
        <w:pStyle w:val="Prrafodelista"/>
        <w:numPr>
          <w:ilvl w:val="0"/>
          <w:numId w:val="20"/>
        </w:numPr>
        <w:ind w:left="425" w:hanging="426"/>
        <w:jc w:val="both"/>
        <w:rPr>
          <w:rFonts w:ascii="Bookman Old Style" w:hAnsi="Bookman Old Style"/>
          <w:color w:val="000000"/>
        </w:rPr>
      </w:pPr>
      <w:r w:rsidRPr="00F23AE8">
        <w:rPr>
          <w:rFonts w:ascii="Bookman Old Style" w:hAnsi="Bookman Old Style"/>
          <w:sz w:val="24"/>
          <w:szCs w:val="24"/>
        </w:rPr>
        <w:t xml:space="preserve">Suministrar la </w:t>
      </w:r>
      <w:r w:rsidRPr="00F23AE8">
        <w:rPr>
          <w:rFonts w:ascii="Bookman Old Style" w:hAnsi="Bookman Old Style"/>
          <w:sz w:val="24"/>
          <w:szCs w:val="24"/>
          <w:lang w:val="es-ES"/>
        </w:rPr>
        <w:t xml:space="preserve">información </w:t>
      </w:r>
      <w:r w:rsidRPr="00F23AE8">
        <w:rPr>
          <w:rFonts w:ascii="Bookman Old Style" w:hAnsi="Bookman Old Style"/>
          <w:sz w:val="24"/>
          <w:szCs w:val="24"/>
        </w:rPr>
        <w:t>requerida para la operación del SNT y para el seguimiento del sector, así como la información que requieran las entidades encargadas de elaborar el plan de abastecimiento de gas natural</w:t>
      </w:r>
      <w:r>
        <w:rPr>
          <w:rFonts w:ascii="Bookman Old Style" w:hAnsi="Bookman Old Style"/>
          <w:sz w:val="24"/>
          <w:szCs w:val="24"/>
        </w:rPr>
        <w:t xml:space="preserve"> y demás autoridades en el cumplimiento de sus funciones</w:t>
      </w:r>
      <w:r w:rsidRPr="00F23AE8">
        <w:rPr>
          <w:rFonts w:ascii="Bookman Old Style" w:hAnsi="Bookman Old Style"/>
          <w:sz w:val="24"/>
          <w:szCs w:val="24"/>
        </w:rPr>
        <w:t xml:space="preserve">. </w:t>
      </w:r>
    </w:p>
    <w:p w14:paraId="52579994" w14:textId="77777777" w:rsidR="00F42C2B" w:rsidRPr="000F4D2C" w:rsidRDefault="00F42C2B" w:rsidP="000F4D2C">
      <w:pPr>
        <w:pStyle w:val="Prrafodelista"/>
        <w:ind w:left="425"/>
        <w:jc w:val="both"/>
        <w:rPr>
          <w:rFonts w:ascii="Bookman Old Style" w:hAnsi="Bookman Old Style"/>
          <w:color w:val="000000"/>
        </w:rPr>
      </w:pPr>
    </w:p>
    <w:p w14:paraId="473CC81B" w14:textId="5A322F90" w:rsidR="00CF5EFC" w:rsidRPr="000F4D2C" w:rsidRDefault="00CF5EFC" w:rsidP="000F4D2C">
      <w:pPr>
        <w:pStyle w:val="Prrafodelista"/>
        <w:numPr>
          <w:ilvl w:val="0"/>
          <w:numId w:val="20"/>
        </w:numPr>
        <w:ind w:left="425" w:hanging="426"/>
        <w:jc w:val="both"/>
        <w:rPr>
          <w:rFonts w:ascii="Bookman Old Style" w:hAnsi="Bookman Old Style"/>
          <w:color w:val="000000"/>
        </w:rPr>
      </w:pPr>
      <w:r>
        <w:rPr>
          <w:rFonts w:ascii="Bookman Old Style" w:hAnsi="Bookman Old Style"/>
          <w:sz w:val="24"/>
          <w:szCs w:val="24"/>
        </w:rPr>
        <w:t xml:space="preserve">Estar sujeto a </w:t>
      </w:r>
      <w:r w:rsidRPr="00571EE2">
        <w:rPr>
          <w:rFonts w:ascii="Bookman Old Style" w:hAnsi="Bookman Old Style"/>
          <w:sz w:val="24"/>
          <w:szCs w:val="24"/>
        </w:rPr>
        <w:t>las disposiciones vigentes sobre separación de actividades e interés económico aplicables según el objeto del proyecto adjudicado en el proceso de selección</w:t>
      </w:r>
      <w:r>
        <w:rPr>
          <w:rFonts w:ascii="Bookman Old Style" w:hAnsi="Bookman Old Style"/>
          <w:sz w:val="24"/>
          <w:szCs w:val="24"/>
        </w:rPr>
        <w:t>.</w:t>
      </w:r>
    </w:p>
    <w:p w14:paraId="69943BF7" w14:textId="77777777" w:rsidR="00F42C2B" w:rsidRPr="000F4D2C" w:rsidRDefault="00F42C2B" w:rsidP="000F4D2C">
      <w:pPr>
        <w:pStyle w:val="Prrafodelista"/>
        <w:ind w:left="425"/>
        <w:jc w:val="both"/>
        <w:rPr>
          <w:rFonts w:ascii="Bookman Old Style" w:hAnsi="Bookman Old Style"/>
          <w:color w:val="000000"/>
        </w:rPr>
      </w:pPr>
    </w:p>
    <w:p w14:paraId="01D58675" w14:textId="3E6AD757" w:rsidR="00CF5EFC" w:rsidRPr="000F4D2C" w:rsidRDefault="00CF5EFC" w:rsidP="000F4D2C">
      <w:pPr>
        <w:pStyle w:val="Prrafodelista"/>
        <w:numPr>
          <w:ilvl w:val="0"/>
          <w:numId w:val="20"/>
        </w:numPr>
        <w:ind w:left="425" w:hanging="426"/>
        <w:jc w:val="both"/>
        <w:rPr>
          <w:rFonts w:ascii="Bookman Old Style" w:hAnsi="Bookman Old Style"/>
          <w:color w:val="000000"/>
        </w:rPr>
      </w:pPr>
      <w:r w:rsidRPr="00F23AE8">
        <w:rPr>
          <w:rFonts w:ascii="Bookman Old Style" w:hAnsi="Bookman Old Style"/>
          <w:sz w:val="24"/>
          <w:szCs w:val="24"/>
        </w:rPr>
        <w:t>Los demás requerimientos establecidos en la regulación, de acuerdo con el tipo de proyecto desarrollado a través de procesos de selección</w:t>
      </w:r>
      <w:r>
        <w:rPr>
          <w:rFonts w:ascii="Bookman Old Style" w:hAnsi="Bookman Old Style"/>
          <w:sz w:val="24"/>
          <w:szCs w:val="24"/>
        </w:rPr>
        <w:t>.</w:t>
      </w:r>
    </w:p>
    <w:p w14:paraId="23D3F2FC" w14:textId="77777777" w:rsidR="003351B4" w:rsidRPr="00916A99" w:rsidRDefault="003351B4" w:rsidP="000F4D2C">
      <w:pPr>
        <w:pStyle w:val="Prrafodelista"/>
        <w:ind w:left="426"/>
        <w:jc w:val="both"/>
        <w:rPr>
          <w:rFonts w:ascii="Bookman Old Style" w:hAnsi="Bookman Old Style"/>
          <w:color w:val="000000"/>
        </w:rPr>
      </w:pPr>
    </w:p>
    <w:p w14:paraId="437AD7B2" w14:textId="2E240B33" w:rsidR="005E382B" w:rsidRDefault="00714020" w:rsidP="003351B4">
      <w:pPr>
        <w:pStyle w:val="Textoindependiente2"/>
        <w:spacing w:after="0" w:line="240" w:lineRule="auto"/>
        <w:ind w:left="0"/>
        <w:jc w:val="both"/>
        <w:rPr>
          <w:rFonts w:ascii="Bookman Old Style" w:hAnsi="Bookman Old Style"/>
          <w:lang w:val="es-CO"/>
        </w:rPr>
      </w:pPr>
      <w:r w:rsidRPr="000F4D2C">
        <w:rPr>
          <w:rFonts w:ascii="Bookman Old Style" w:hAnsi="Bookman Old Style"/>
          <w:b/>
          <w:lang w:val="es-CO"/>
        </w:rPr>
        <w:lastRenderedPageBreak/>
        <w:t>Parágrafo.</w:t>
      </w:r>
      <w:r w:rsidRPr="003351B4">
        <w:rPr>
          <w:rFonts w:ascii="Bookman Old Style" w:hAnsi="Bookman Old Style"/>
          <w:lang w:val="es-CO"/>
        </w:rPr>
        <w:t xml:space="preserve"> </w:t>
      </w:r>
      <w:r w:rsidR="00FC0CB6" w:rsidRPr="003351B4">
        <w:rPr>
          <w:rFonts w:ascii="Bookman Old Style" w:hAnsi="Bookman Old Style"/>
          <w:lang w:val="es-CO"/>
        </w:rPr>
        <w:t>Con el objeto de asegurar</w:t>
      </w:r>
      <w:r w:rsidR="00BC112F" w:rsidRPr="003351B4">
        <w:rPr>
          <w:rFonts w:ascii="Bookman Old Style" w:hAnsi="Bookman Old Style"/>
          <w:lang w:val="es-CO"/>
        </w:rPr>
        <w:t xml:space="preserve"> la</w:t>
      </w:r>
      <w:r w:rsidR="00A22120" w:rsidRPr="003351B4">
        <w:rPr>
          <w:rFonts w:ascii="Bookman Old Style" w:hAnsi="Bookman Old Style"/>
          <w:lang w:val="es-CO"/>
        </w:rPr>
        <w:t xml:space="preserve"> prestación eficiente y de calidad </w:t>
      </w:r>
      <w:r w:rsidR="00456290" w:rsidRPr="003351B4">
        <w:rPr>
          <w:rFonts w:ascii="Bookman Old Style" w:hAnsi="Bookman Old Style"/>
          <w:lang w:val="es-CO"/>
        </w:rPr>
        <w:t xml:space="preserve">de los servicios a </w:t>
      </w:r>
      <w:r w:rsidR="00FC0CB6" w:rsidRPr="003351B4">
        <w:rPr>
          <w:rFonts w:ascii="Bookman Old Style" w:hAnsi="Bookman Old Style"/>
          <w:lang w:val="es-CO"/>
        </w:rPr>
        <w:t>prestar por</w:t>
      </w:r>
      <w:r w:rsidR="00456290" w:rsidRPr="003351B4">
        <w:rPr>
          <w:rFonts w:ascii="Bookman Old Style" w:hAnsi="Bookman Old Style"/>
          <w:lang w:val="es-CO"/>
        </w:rPr>
        <w:t xml:space="preserve"> el adjudicatario</w:t>
      </w:r>
      <w:r w:rsidR="00FC0CB6" w:rsidRPr="003351B4">
        <w:rPr>
          <w:rFonts w:ascii="Bookman Old Style" w:hAnsi="Bookman Old Style"/>
          <w:lang w:val="es-CO"/>
        </w:rPr>
        <w:t xml:space="preserve">, la UPME </w:t>
      </w:r>
      <w:r w:rsidR="00771324" w:rsidRPr="000F4D2C">
        <w:rPr>
          <w:rFonts w:ascii="Bookman Old Style" w:hAnsi="Bookman Old Style"/>
          <w:lang w:val="es-CO"/>
        </w:rPr>
        <w:t xml:space="preserve">podrá </w:t>
      </w:r>
      <w:r w:rsidR="00FC0CB6" w:rsidRPr="003351B4">
        <w:rPr>
          <w:rFonts w:ascii="Bookman Old Style" w:hAnsi="Bookman Old Style"/>
          <w:lang w:val="es-CO"/>
        </w:rPr>
        <w:t xml:space="preserve">incluir </w:t>
      </w:r>
      <w:r w:rsidR="000D6E79" w:rsidRPr="003351B4">
        <w:rPr>
          <w:rFonts w:ascii="Bookman Old Style" w:hAnsi="Bookman Old Style"/>
          <w:lang w:val="es-CO"/>
        </w:rPr>
        <w:t>como obligación del adjudicatario,</w:t>
      </w:r>
      <w:r w:rsidR="00FC0CB6" w:rsidRPr="003351B4">
        <w:rPr>
          <w:rFonts w:ascii="Bookman Old Style" w:hAnsi="Bookman Old Style"/>
          <w:lang w:val="es-CO"/>
        </w:rPr>
        <w:t xml:space="preserve"> los requerimientos </w:t>
      </w:r>
      <w:r w:rsidR="00FD48B5" w:rsidRPr="003351B4">
        <w:rPr>
          <w:rFonts w:ascii="Bookman Old Style" w:hAnsi="Bookman Old Style"/>
          <w:lang w:val="es-CO"/>
        </w:rPr>
        <w:t>que sean necesarios</w:t>
      </w:r>
      <w:r w:rsidR="00456290" w:rsidRPr="003351B4">
        <w:rPr>
          <w:rFonts w:ascii="Bookman Old Style" w:hAnsi="Bookman Old Style"/>
          <w:lang w:val="es-CO"/>
        </w:rPr>
        <w:t xml:space="preserve"> </w:t>
      </w:r>
      <w:r w:rsidR="00FD48B5" w:rsidRPr="003351B4">
        <w:rPr>
          <w:rFonts w:ascii="Bookman Old Style" w:hAnsi="Bookman Old Style"/>
          <w:lang w:val="es-CO"/>
        </w:rPr>
        <w:t>para la debida gestión de riesgos de</w:t>
      </w:r>
      <w:r w:rsidR="00A87489" w:rsidRPr="003351B4">
        <w:rPr>
          <w:rFonts w:ascii="Bookman Old Style" w:hAnsi="Bookman Old Style"/>
          <w:lang w:val="es-CO"/>
        </w:rPr>
        <w:t xml:space="preserve"> las inversiones </w:t>
      </w:r>
      <w:r w:rsidR="000D6E79" w:rsidRPr="003351B4">
        <w:rPr>
          <w:rFonts w:ascii="Bookman Old Style" w:hAnsi="Bookman Old Style"/>
          <w:lang w:val="es-CO"/>
        </w:rPr>
        <w:t>de los proyectos prioritarios d</w:t>
      </w:r>
      <w:r w:rsidR="005E382B" w:rsidRPr="003351B4">
        <w:rPr>
          <w:rFonts w:ascii="Bookman Old Style" w:hAnsi="Bookman Old Style"/>
          <w:lang w:val="es-CO"/>
        </w:rPr>
        <w:t>el Plan de Abastecimiento de Gas Natural.</w:t>
      </w:r>
    </w:p>
    <w:p w14:paraId="37CE78DF" w14:textId="77777777" w:rsidR="003351B4" w:rsidRDefault="003351B4" w:rsidP="000F4D2C">
      <w:pPr>
        <w:pStyle w:val="Textoindependiente2"/>
        <w:spacing w:after="0" w:line="240" w:lineRule="auto"/>
        <w:ind w:left="0"/>
        <w:jc w:val="both"/>
        <w:rPr>
          <w:rFonts w:ascii="Bookman Old Style" w:hAnsi="Bookman Old Style"/>
          <w:lang w:val="es-CO"/>
        </w:rPr>
      </w:pPr>
    </w:p>
    <w:p w14:paraId="02869CB6" w14:textId="38AA5B2F" w:rsidR="00CF5EFC" w:rsidRPr="000F4D2C" w:rsidRDefault="00CF5EFC" w:rsidP="003351B4">
      <w:pPr>
        <w:pStyle w:val="Estilo3"/>
        <w:widowControl w:val="0"/>
        <w:numPr>
          <w:ilvl w:val="0"/>
          <w:numId w:val="10"/>
        </w:numPr>
        <w:tabs>
          <w:tab w:val="left" w:pos="1560"/>
        </w:tabs>
        <w:jc w:val="both"/>
        <w:outlineLvl w:val="0"/>
        <w:rPr>
          <w:rFonts w:ascii="Bookman Old Style" w:hAnsi="Bookman Old Style" w:cs="Arial"/>
          <w:b/>
          <w:color w:val="000000"/>
          <w:spacing w:val="-4"/>
          <w:sz w:val="24"/>
          <w:szCs w:val="24"/>
        </w:rPr>
      </w:pPr>
      <w:r w:rsidRPr="00F23AE8">
        <w:rPr>
          <w:rFonts w:ascii="Bookman Old Style" w:hAnsi="Bookman Old Style"/>
          <w:b/>
          <w:color w:val="000000"/>
          <w:sz w:val="24"/>
          <w:szCs w:val="24"/>
        </w:rPr>
        <w:t>Documentos de selección</w:t>
      </w:r>
      <w:r w:rsidRPr="00A22A5F">
        <w:rPr>
          <w:rFonts w:ascii="Bookman Old Style" w:hAnsi="Bookman Old Style"/>
          <w:bCs/>
          <w:i/>
          <w:iCs/>
          <w:color w:val="000000"/>
          <w:sz w:val="24"/>
          <w:szCs w:val="24"/>
        </w:rPr>
        <w:t xml:space="preserve">. </w:t>
      </w:r>
      <w:r w:rsidRPr="000F4D2C">
        <w:rPr>
          <w:rFonts w:ascii="Bookman Old Style" w:hAnsi="Bookman Old Style"/>
          <w:sz w:val="24"/>
          <w:szCs w:val="24"/>
        </w:rPr>
        <w:t xml:space="preserve">Los documentos de selección de los inversionistas que se elaboren para escoger al adjudicatario de un proceso de selección contendrán, como mínimo, lo siguiente: </w:t>
      </w:r>
    </w:p>
    <w:p w14:paraId="0136B362" w14:textId="77777777" w:rsidR="00CF5EFC" w:rsidRPr="000F4D2C" w:rsidRDefault="00CF5EFC" w:rsidP="000F4D2C">
      <w:pPr>
        <w:pStyle w:val="Prrafodelista"/>
        <w:numPr>
          <w:ilvl w:val="0"/>
          <w:numId w:val="21"/>
        </w:numPr>
        <w:spacing w:before="120"/>
        <w:ind w:left="567" w:hanging="426"/>
        <w:jc w:val="both"/>
        <w:rPr>
          <w:rFonts w:ascii="Bookman Old Style" w:hAnsi="Bookman Old Style"/>
          <w:sz w:val="24"/>
          <w:szCs w:val="24"/>
        </w:rPr>
      </w:pPr>
      <w:r w:rsidRPr="000F4D2C">
        <w:rPr>
          <w:rFonts w:ascii="Bookman Old Style" w:hAnsi="Bookman Old Style"/>
          <w:sz w:val="24"/>
          <w:szCs w:val="24"/>
        </w:rPr>
        <w:t>Información básica del proyecto, tal como ubicación, capacidad del proyecto, según sea de transporte, compresión, almacenamiento, regasificación u otro, puntos de conexión, el PEP, la FPO, el valor estimado del proyecto, y demás elementos que se consideren necesarios para la definición del proyecto a construir.</w:t>
      </w:r>
    </w:p>
    <w:p w14:paraId="2A8C7219" w14:textId="77777777" w:rsidR="00CF5EFC" w:rsidRPr="000F4D2C" w:rsidRDefault="00CF5EFC" w:rsidP="000F4D2C">
      <w:pPr>
        <w:pStyle w:val="Prrafodelista"/>
        <w:numPr>
          <w:ilvl w:val="0"/>
          <w:numId w:val="21"/>
        </w:numPr>
        <w:spacing w:before="120"/>
        <w:ind w:left="567" w:hanging="426"/>
        <w:jc w:val="both"/>
        <w:rPr>
          <w:rFonts w:ascii="Bookman Old Style" w:hAnsi="Bookman Old Style"/>
          <w:sz w:val="24"/>
          <w:szCs w:val="24"/>
        </w:rPr>
      </w:pPr>
      <w:r w:rsidRPr="000F4D2C">
        <w:rPr>
          <w:rFonts w:ascii="Bookman Old Style" w:hAnsi="Bookman Old Style"/>
          <w:sz w:val="24"/>
          <w:szCs w:val="24"/>
        </w:rPr>
        <w:t>Identificación del sistema de transporte donde se construirá el proyecto, o al cual se conectará.</w:t>
      </w:r>
    </w:p>
    <w:p w14:paraId="6901FC18" w14:textId="77777777" w:rsidR="00CF5EFC" w:rsidRPr="000F4D2C" w:rsidRDefault="00CF5EFC" w:rsidP="000F4D2C">
      <w:pPr>
        <w:pStyle w:val="Prrafodelista"/>
        <w:numPr>
          <w:ilvl w:val="0"/>
          <w:numId w:val="21"/>
        </w:numPr>
        <w:spacing w:before="120"/>
        <w:ind w:left="567"/>
        <w:jc w:val="both"/>
        <w:rPr>
          <w:rFonts w:ascii="Bookman Old Style" w:hAnsi="Bookman Old Style"/>
          <w:sz w:val="24"/>
          <w:szCs w:val="24"/>
        </w:rPr>
      </w:pPr>
      <w:r w:rsidRPr="000F4D2C">
        <w:rPr>
          <w:rFonts w:ascii="Bookman Old Style" w:hAnsi="Bookman Old Style"/>
          <w:sz w:val="24"/>
          <w:szCs w:val="24"/>
        </w:rPr>
        <w:t xml:space="preserve">Información del proceso de selección referente al objeto, plazos, experiencia de los proponentes, objeto social del adjudicatario, constitución o promesa de constitución del adjudicatario como E.S.P., y duración de la sociedad (debe contar como mínimo con tres años más de existencia, contados a partir de la fecha de terminación del período de pagos), formas de participación, la duración del período de pagos según lo establecido en el artículo 12 de la presente Resolución, los criterios de evaluación y selección de las propuestas, y las demás condiciones establecidas en la presente Resolución. </w:t>
      </w:r>
    </w:p>
    <w:p w14:paraId="0C311BAC" w14:textId="77777777" w:rsidR="00CF5EFC" w:rsidRPr="000F4D2C" w:rsidRDefault="00CF5EFC" w:rsidP="00CF5EFC">
      <w:pPr>
        <w:pStyle w:val="Prrafodelista"/>
        <w:numPr>
          <w:ilvl w:val="0"/>
          <w:numId w:val="21"/>
        </w:numPr>
        <w:spacing w:before="120"/>
        <w:ind w:left="568"/>
        <w:jc w:val="both"/>
        <w:rPr>
          <w:rFonts w:ascii="Bookman Old Style" w:hAnsi="Bookman Old Style"/>
          <w:sz w:val="24"/>
          <w:szCs w:val="24"/>
        </w:rPr>
      </w:pPr>
      <w:r w:rsidRPr="000F4D2C">
        <w:rPr>
          <w:rFonts w:ascii="Bookman Old Style" w:hAnsi="Bookman Old Style"/>
          <w:sz w:val="24"/>
          <w:szCs w:val="24"/>
        </w:rPr>
        <w:t xml:space="preserve">La solicitud de presentación de un documento en donde el proponente explique la estructura prevista del proyecto desde el punto de vista técnico respecto a la ejecución de la construcción y operación del mismo. </w:t>
      </w:r>
    </w:p>
    <w:p w14:paraId="52FF4357" w14:textId="77777777" w:rsidR="00CF5EFC" w:rsidRPr="000F4D2C" w:rsidRDefault="00CF5EFC" w:rsidP="00CF5EFC">
      <w:pPr>
        <w:pStyle w:val="Prrafodelista"/>
        <w:numPr>
          <w:ilvl w:val="0"/>
          <w:numId w:val="21"/>
        </w:numPr>
        <w:spacing w:before="120"/>
        <w:ind w:left="568"/>
        <w:jc w:val="both"/>
        <w:rPr>
          <w:rFonts w:ascii="Bookman Old Style" w:hAnsi="Bookman Old Style"/>
          <w:sz w:val="24"/>
          <w:szCs w:val="24"/>
        </w:rPr>
      </w:pPr>
      <w:r w:rsidRPr="000F4D2C">
        <w:rPr>
          <w:rFonts w:ascii="Bookman Old Style" w:hAnsi="Bookman Old Style"/>
          <w:sz w:val="24"/>
          <w:szCs w:val="24"/>
        </w:rPr>
        <w:t xml:space="preserve">El costo de la firma auditora seleccionada por la UPME para el respectivo proyecto.  </w:t>
      </w:r>
    </w:p>
    <w:p w14:paraId="25C740BE" w14:textId="77777777" w:rsidR="00CF5EFC" w:rsidRPr="000F4D2C" w:rsidRDefault="00CF5EFC" w:rsidP="000F4D2C">
      <w:pPr>
        <w:pStyle w:val="Prrafodelista"/>
        <w:numPr>
          <w:ilvl w:val="0"/>
          <w:numId w:val="21"/>
        </w:numPr>
        <w:ind w:left="568"/>
        <w:jc w:val="both"/>
        <w:rPr>
          <w:rFonts w:ascii="Bookman Old Style" w:hAnsi="Bookman Old Style"/>
          <w:sz w:val="24"/>
          <w:szCs w:val="24"/>
        </w:rPr>
      </w:pPr>
      <w:r w:rsidRPr="000F4D2C">
        <w:rPr>
          <w:rFonts w:ascii="Bookman Old Style" w:hAnsi="Bookman Old Style"/>
          <w:sz w:val="24"/>
          <w:szCs w:val="24"/>
        </w:rPr>
        <w:t>Las condiciones de la garantía de seriedad de la oferta que permita avalar el cumplimiento de lo exigido en los documentos de selección y en esta Resolución.</w:t>
      </w:r>
    </w:p>
    <w:p w14:paraId="680B6E38" w14:textId="77777777" w:rsidR="00CF5EFC" w:rsidRPr="000F4D2C" w:rsidRDefault="00CF5EFC" w:rsidP="000F4D2C">
      <w:pPr>
        <w:pStyle w:val="Prrafodelista"/>
        <w:numPr>
          <w:ilvl w:val="0"/>
          <w:numId w:val="21"/>
        </w:numPr>
        <w:ind w:left="568"/>
        <w:jc w:val="both"/>
        <w:rPr>
          <w:rFonts w:ascii="Bookman Old Style" w:hAnsi="Bookman Old Style"/>
          <w:sz w:val="24"/>
          <w:szCs w:val="24"/>
        </w:rPr>
      </w:pPr>
      <w:r w:rsidRPr="000F4D2C">
        <w:rPr>
          <w:rFonts w:ascii="Bookman Old Style" w:hAnsi="Bookman Old Style"/>
          <w:sz w:val="24"/>
          <w:szCs w:val="24"/>
        </w:rPr>
        <w:t xml:space="preserve">Documentos que deben ser adjuntados por parte del proponente al momento de ser adjudicatario del proceso de selección. </w:t>
      </w:r>
    </w:p>
    <w:p w14:paraId="19905933" w14:textId="0C4EA135" w:rsidR="00CF5EFC" w:rsidRDefault="00CF5EFC" w:rsidP="003351B4">
      <w:pPr>
        <w:pStyle w:val="Prrafodelista"/>
        <w:numPr>
          <w:ilvl w:val="0"/>
          <w:numId w:val="21"/>
        </w:numPr>
        <w:ind w:left="568"/>
        <w:jc w:val="both"/>
        <w:rPr>
          <w:rFonts w:ascii="Bookman Old Style" w:hAnsi="Bookman Old Style"/>
          <w:sz w:val="24"/>
          <w:szCs w:val="24"/>
        </w:rPr>
      </w:pPr>
      <w:r w:rsidRPr="000F4D2C">
        <w:rPr>
          <w:rFonts w:ascii="Bookman Old Style" w:hAnsi="Bookman Old Style"/>
          <w:sz w:val="24"/>
          <w:szCs w:val="24"/>
        </w:rPr>
        <w:t xml:space="preserve">Los demás requisitos adicionales que se consideren necesarios. </w:t>
      </w:r>
    </w:p>
    <w:p w14:paraId="3F8B130B" w14:textId="77777777" w:rsidR="003351B4" w:rsidRPr="000F4D2C" w:rsidRDefault="003351B4" w:rsidP="000F4D2C">
      <w:pPr>
        <w:pStyle w:val="Prrafodelista"/>
        <w:ind w:left="568"/>
        <w:jc w:val="both"/>
        <w:rPr>
          <w:rFonts w:ascii="Bookman Old Style" w:hAnsi="Bookman Old Style"/>
          <w:sz w:val="24"/>
          <w:szCs w:val="24"/>
        </w:rPr>
      </w:pPr>
    </w:p>
    <w:p w14:paraId="04858EC5" w14:textId="77777777" w:rsidR="00CF5EFC" w:rsidRPr="000F4D2C" w:rsidRDefault="00CF5EFC" w:rsidP="003351B4">
      <w:pPr>
        <w:pStyle w:val="Estilo3"/>
        <w:widowControl w:val="0"/>
        <w:tabs>
          <w:tab w:val="left" w:pos="1560"/>
        </w:tabs>
        <w:ind w:left="142"/>
        <w:jc w:val="both"/>
        <w:rPr>
          <w:rFonts w:ascii="Bookman Old Style" w:hAnsi="Bookman Old Style"/>
          <w:sz w:val="24"/>
          <w:szCs w:val="24"/>
        </w:rPr>
      </w:pPr>
      <w:r w:rsidRPr="000F4D2C">
        <w:rPr>
          <w:rFonts w:ascii="Bookman Old Style" w:hAnsi="Bookman Old Style"/>
          <w:b/>
          <w:sz w:val="24"/>
          <w:szCs w:val="24"/>
        </w:rPr>
        <w:t>Parágrafo 1.</w:t>
      </w:r>
      <w:r w:rsidRPr="000F4D2C">
        <w:rPr>
          <w:rFonts w:ascii="Bookman Old Style" w:hAnsi="Bookman Old Style"/>
          <w:sz w:val="24"/>
          <w:szCs w:val="24"/>
        </w:rPr>
        <w:t xml:space="preserve"> Los transportadores, los distribuidores, los productores-comercializadores, o los comercializadores de gas importado en cuyos activos se prevea que podría haber conexiones físicas con los proyectos involucrados en los procesos de selección, deberán entregar la información que solicite la UPME, quien considerará su inclusión en los documentos de selección, respetando los principios de confidencialidad. </w:t>
      </w:r>
    </w:p>
    <w:p w14:paraId="12C2BCB0" w14:textId="77777777" w:rsidR="00CF5EFC" w:rsidRPr="000F4D2C" w:rsidRDefault="00CF5EFC" w:rsidP="003351B4">
      <w:pPr>
        <w:pStyle w:val="Estilo3"/>
        <w:widowControl w:val="0"/>
        <w:tabs>
          <w:tab w:val="left" w:pos="1560"/>
        </w:tabs>
        <w:ind w:left="142"/>
        <w:jc w:val="both"/>
        <w:rPr>
          <w:rFonts w:ascii="Bookman Old Style" w:hAnsi="Bookman Old Style"/>
          <w:b/>
          <w:sz w:val="24"/>
          <w:szCs w:val="24"/>
        </w:rPr>
      </w:pPr>
    </w:p>
    <w:p w14:paraId="53CD6A5A" w14:textId="77777777" w:rsidR="00CF5EFC" w:rsidRPr="000F4D2C" w:rsidRDefault="00CF5EFC" w:rsidP="003351B4">
      <w:pPr>
        <w:pStyle w:val="Estilo3"/>
        <w:widowControl w:val="0"/>
        <w:tabs>
          <w:tab w:val="left" w:pos="1560"/>
        </w:tabs>
        <w:ind w:left="142"/>
        <w:jc w:val="both"/>
        <w:rPr>
          <w:rFonts w:ascii="Bookman Old Style" w:hAnsi="Bookman Old Style"/>
          <w:sz w:val="24"/>
          <w:szCs w:val="24"/>
        </w:rPr>
      </w:pPr>
      <w:r w:rsidRPr="000F4D2C">
        <w:rPr>
          <w:rFonts w:ascii="Bookman Old Style" w:hAnsi="Bookman Old Style"/>
          <w:b/>
          <w:sz w:val="24"/>
          <w:szCs w:val="24"/>
        </w:rPr>
        <w:t>Parágrafo 2.</w:t>
      </w:r>
      <w:r w:rsidRPr="000F4D2C">
        <w:rPr>
          <w:rFonts w:ascii="Bookman Old Style" w:hAnsi="Bookman Old Style"/>
          <w:sz w:val="24"/>
          <w:szCs w:val="24"/>
        </w:rPr>
        <w:t xml:space="preserve"> La evaluación de todas y cada una de las condiciones ambientales necesarias para la ejecución del proyecto estará a cargo de los proponentes que participen en el proceso de selección. El adjudicatario será responsable por las </w:t>
      </w:r>
      <w:r w:rsidRPr="000F4D2C">
        <w:rPr>
          <w:rFonts w:ascii="Bookman Old Style" w:hAnsi="Bookman Old Style"/>
          <w:sz w:val="24"/>
          <w:szCs w:val="24"/>
        </w:rPr>
        <w:lastRenderedPageBreak/>
        <w:t>gestiones para la consecución de la licencia ambiental y de los permisos en general que se requieran para la ejecución del proyecto.</w:t>
      </w:r>
    </w:p>
    <w:p w14:paraId="0A75E44D" w14:textId="77777777" w:rsidR="00CF5EFC" w:rsidRPr="000F4D2C" w:rsidRDefault="00CF5EFC" w:rsidP="003351B4">
      <w:pPr>
        <w:pStyle w:val="Estilo3"/>
        <w:widowControl w:val="0"/>
        <w:tabs>
          <w:tab w:val="left" w:pos="1560"/>
        </w:tabs>
        <w:ind w:left="142"/>
        <w:jc w:val="both"/>
        <w:rPr>
          <w:rFonts w:ascii="Bookman Old Style" w:hAnsi="Bookman Old Style"/>
          <w:sz w:val="24"/>
          <w:szCs w:val="24"/>
        </w:rPr>
      </w:pPr>
    </w:p>
    <w:p w14:paraId="67C41D23" w14:textId="77DCFBA0" w:rsidR="00CF5EFC" w:rsidRPr="00A22A5F" w:rsidRDefault="00CF5EFC" w:rsidP="003351B4">
      <w:pPr>
        <w:pStyle w:val="Estilo3"/>
        <w:widowControl w:val="0"/>
        <w:tabs>
          <w:tab w:val="left" w:pos="1560"/>
        </w:tabs>
        <w:ind w:left="142"/>
        <w:jc w:val="both"/>
        <w:rPr>
          <w:rFonts w:ascii="Bookman Old Style" w:hAnsi="Bookman Old Style"/>
          <w:i/>
          <w:iCs/>
          <w:sz w:val="24"/>
          <w:szCs w:val="24"/>
        </w:rPr>
      </w:pPr>
      <w:r w:rsidRPr="000F4D2C">
        <w:rPr>
          <w:rFonts w:ascii="Bookman Old Style" w:hAnsi="Bookman Old Style"/>
          <w:b/>
          <w:sz w:val="24"/>
          <w:szCs w:val="24"/>
        </w:rPr>
        <w:t>Parágrafo 3.</w:t>
      </w:r>
      <w:r w:rsidRPr="000F4D2C">
        <w:rPr>
          <w:rFonts w:ascii="Bookman Old Style" w:hAnsi="Bookman Old Style"/>
          <w:sz w:val="24"/>
          <w:szCs w:val="24"/>
        </w:rPr>
        <w:t xml:space="preserve"> La CREG podrá pronunciarse sobre los documentos de selección, cuando considere necesario realizar ajustes en los documentos de selección para aumentar la concurrencia, o cuando considere que no se cumple con los criterios de eficiencia económica en la escogencia de los proyectos.</w:t>
      </w:r>
    </w:p>
    <w:p w14:paraId="699EA646" w14:textId="77777777" w:rsidR="00CF5EFC" w:rsidRPr="00F23AE8" w:rsidRDefault="00CF5EFC" w:rsidP="00CF5EFC">
      <w:pPr>
        <w:pStyle w:val="Estilo3"/>
        <w:widowControl w:val="0"/>
        <w:tabs>
          <w:tab w:val="left" w:pos="1560"/>
        </w:tabs>
        <w:jc w:val="both"/>
        <w:outlineLvl w:val="0"/>
        <w:rPr>
          <w:rFonts w:ascii="Bookman Old Style" w:hAnsi="Bookman Old Style" w:cs="Arial"/>
          <w:b/>
          <w:color w:val="000000"/>
          <w:spacing w:val="-4"/>
          <w:sz w:val="24"/>
          <w:szCs w:val="24"/>
        </w:rPr>
      </w:pPr>
    </w:p>
    <w:p w14:paraId="2B32C7D6" w14:textId="343319EC" w:rsidR="0014432E" w:rsidRPr="000F4D2C" w:rsidRDefault="00CF5EFC" w:rsidP="000F4D2C">
      <w:pPr>
        <w:pStyle w:val="Estilo3"/>
        <w:widowControl w:val="0"/>
        <w:numPr>
          <w:ilvl w:val="0"/>
          <w:numId w:val="10"/>
        </w:numPr>
        <w:tabs>
          <w:tab w:val="left" w:pos="1560"/>
        </w:tabs>
        <w:spacing w:after="240"/>
        <w:ind w:left="142"/>
        <w:jc w:val="both"/>
        <w:outlineLvl w:val="0"/>
        <w:rPr>
          <w:rFonts w:ascii="Bookman Old Style" w:hAnsi="Bookman Old Style"/>
          <w:b/>
          <w:color w:val="000000"/>
          <w:sz w:val="24"/>
          <w:szCs w:val="24"/>
          <w:u w:val="single"/>
        </w:rPr>
      </w:pPr>
      <w:bookmarkStart w:id="4" w:name="_Ref439257068"/>
      <w:r w:rsidRPr="002852E3">
        <w:rPr>
          <w:rFonts w:ascii="Bookman Old Style" w:hAnsi="Bookman Old Style"/>
          <w:b/>
          <w:color w:val="000000"/>
          <w:sz w:val="24"/>
          <w:szCs w:val="24"/>
        </w:rPr>
        <w:t xml:space="preserve">Ingreso anual esperado, </w:t>
      </w:r>
      <m:oMath>
        <m:r>
          <m:rPr>
            <m:sty m:val="bi"/>
          </m:rPr>
          <w:rPr>
            <w:rFonts w:ascii="Cambria Math" w:hAnsi="Cambria Math"/>
            <w:color w:val="000000"/>
            <w:sz w:val="24"/>
            <w:szCs w:val="24"/>
          </w:rPr>
          <m:t>IAE</m:t>
        </m:r>
      </m:oMath>
      <w:r w:rsidRPr="002852E3">
        <w:rPr>
          <w:rFonts w:ascii="Bookman Old Style" w:hAnsi="Bookman Old Style"/>
          <w:b/>
          <w:color w:val="000000"/>
          <w:sz w:val="24"/>
          <w:szCs w:val="24"/>
        </w:rPr>
        <w:t xml:space="preserve">. </w:t>
      </w:r>
      <w:r w:rsidR="0014432E" w:rsidRPr="000F4D2C">
        <w:rPr>
          <w:rFonts w:ascii="Bookman Old Style" w:hAnsi="Bookman Old Style"/>
          <w:b/>
          <w:color w:val="000000"/>
          <w:sz w:val="24"/>
          <w:szCs w:val="24"/>
          <w:u w:val="single"/>
        </w:rPr>
        <w:t xml:space="preserve">El proponente deberá en su oferta económica: </w:t>
      </w:r>
    </w:p>
    <w:p w14:paraId="039900E7" w14:textId="1BCB5F6C" w:rsidR="0014432E" w:rsidRPr="000F4D2C" w:rsidRDefault="00825428" w:rsidP="000F4D2C">
      <w:pPr>
        <w:pStyle w:val="Estilo3"/>
        <w:widowControl w:val="0"/>
        <w:numPr>
          <w:ilvl w:val="3"/>
          <w:numId w:val="10"/>
        </w:numPr>
        <w:tabs>
          <w:tab w:val="left" w:pos="1560"/>
        </w:tabs>
        <w:spacing w:after="240"/>
        <w:ind w:left="709" w:hanging="283"/>
        <w:jc w:val="both"/>
        <w:outlineLvl w:val="0"/>
        <w:rPr>
          <w:rFonts w:ascii="Bookman Old Style" w:hAnsi="Bookman Old Style"/>
          <w:b/>
          <w:color w:val="000000"/>
          <w:sz w:val="24"/>
          <w:szCs w:val="24"/>
          <w:u w:val="single"/>
        </w:rPr>
      </w:pPr>
      <w:r>
        <w:rPr>
          <w:rFonts w:ascii="Bookman Old Style" w:hAnsi="Bookman Old Style"/>
          <w:b/>
          <w:color w:val="000000"/>
          <w:sz w:val="24"/>
          <w:szCs w:val="24"/>
          <w:u w:val="single"/>
        </w:rPr>
        <w:t>Presentar u</w:t>
      </w:r>
      <w:r w:rsidR="0014432E" w:rsidRPr="000F4D2C">
        <w:rPr>
          <w:rFonts w:ascii="Bookman Old Style" w:hAnsi="Bookman Old Style"/>
          <w:b/>
          <w:color w:val="000000"/>
          <w:sz w:val="24"/>
          <w:szCs w:val="24"/>
          <w:u w:val="single"/>
        </w:rPr>
        <w:t xml:space="preserve">n ingreso anual </w:t>
      </w:r>
      <w:r w:rsidR="002852E3">
        <w:rPr>
          <w:rFonts w:ascii="Bookman Old Style" w:hAnsi="Bookman Old Style"/>
          <w:b/>
          <w:color w:val="000000"/>
          <w:sz w:val="24"/>
          <w:szCs w:val="24"/>
          <w:u w:val="single"/>
        </w:rPr>
        <w:t xml:space="preserve">fijo </w:t>
      </w:r>
      <w:r w:rsidR="0014432E" w:rsidRPr="000F4D2C">
        <w:rPr>
          <w:rFonts w:ascii="Bookman Old Style" w:hAnsi="Bookman Old Style"/>
          <w:b/>
          <w:color w:val="000000"/>
          <w:sz w:val="24"/>
          <w:szCs w:val="24"/>
          <w:u w:val="single"/>
        </w:rPr>
        <w:t>esperado de inversión - IAE INVERSIÓN</w:t>
      </w:r>
      <w:r w:rsidR="002852E3">
        <w:rPr>
          <w:rFonts w:ascii="Bookman Old Style" w:hAnsi="Bookman Old Style"/>
          <w:b/>
          <w:color w:val="000000"/>
          <w:sz w:val="24"/>
          <w:szCs w:val="24"/>
          <w:u w:val="single"/>
        </w:rPr>
        <w:t xml:space="preserve"> para cada año del PEP</w:t>
      </w:r>
      <w:r w:rsidR="0014432E" w:rsidRPr="000F4D2C">
        <w:rPr>
          <w:rFonts w:ascii="Bookman Old Style" w:hAnsi="Bookman Old Style"/>
          <w:b/>
          <w:color w:val="000000"/>
          <w:sz w:val="24"/>
          <w:szCs w:val="24"/>
          <w:u w:val="single"/>
        </w:rPr>
        <w:t>, expresado en pesos constantes del 31 de diciembre del año anterior a la fecha de presentación de la propuesta.</w:t>
      </w:r>
    </w:p>
    <w:p w14:paraId="4A5C36E3" w14:textId="05A3E67D" w:rsidR="0014432E" w:rsidRPr="000F4D2C" w:rsidRDefault="007B1A5C" w:rsidP="000F4D2C">
      <w:pPr>
        <w:pStyle w:val="Estilo3"/>
        <w:widowControl w:val="0"/>
        <w:tabs>
          <w:tab w:val="left" w:pos="1560"/>
        </w:tabs>
        <w:spacing w:after="240"/>
        <w:ind w:left="708" w:hanging="283"/>
        <w:jc w:val="both"/>
        <w:outlineLvl w:val="0"/>
        <w:rPr>
          <w:rFonts w:ascii="Bookman Old Style" w:hAnsi="Bookman Old Style"/>
          <w:b/>
          <w:color w:val="000000"/>
          <w:sz w:val="24"/>
          <w:szCs w:val="24"/>
          <w:u w:val="single"/>
        </w:rPr>
      </w:pPr>
      <w:r>
        <w:rPr>
          <w:rFonts w:ascii="Bookman Old Style" w:hAnsi="Bookman Old Style"/>
          <w:bCs/>
          <w:color w:val="000000"/>
          <w:sz w:val="24"/>
          <w:szCs w:val="24"/>
        </w:rPr>
        <w:tab/>
      </w:r>
      <w:r w:rsidRPr="000F4D2C">
        <w:rPr>
          <w:rFonts w:ascii="Bookman Old Style" w:hAnsi="Bookman Old Style"/>
          <w:bCs/>
          <w:color w:val="000000"/>
          <w:sz w:val="24"/>
          <w:szCs w:val="24"/>
        </w:rPr>
        <w:t xml:space="preserve">Deberá </w:t>
      </w:r>
      <w:r w:rsidR="0014432E" w:rsidRPr="000F4D2C">
        <w:rPr>
          <w:rFonts w:ascii="Bookman Old Style" w:hAnsi="Bookman Old Style"/>
          <w:bCs/>
          <w:color w:val="000000"/>
          <w:sz w:val="24"/>
          <w:szCs w:val="24"/>
        </w:rPr>
        <w:t>reportar el porcentaje del ingreso anual esperado</w:t>
      </w:r>
      <w:r>
        <w:rPr>
          <w:rFonts w:ascii="Bookman Old Style" w:hAnsi="Bookman Old Style"/>
          <w:b/>
          <w:color w:val="000000"/>
          <w:sz w:val="24"/>
          <w:szCs w:val="24"/>
          <w:u w:val="single"/>
        </w:rPr>
        <w:t xml:space="preserve"> fijo de inversión</w:t>
      </w:r>
      <w:r w:rsidR="0014432E" w:rsidRPr="000F4D2C">
        <w:rPr>
          <w:rFonts w:ascii="Bookman Old Style" w:hAnsi="Bookman Old Style"/>
          <w:b/>
          <w:color w:val="000000"/>
          <w:sz w:val="24"/>
          <w:szCs w:val="24"/>
          <w:u w:val="single"/>
        </w:rPr>
        <w:t xml:space="preserve">, componente IAE INVERSIÓN, </w:t>
      </w:r>
      <w:r w:rsidR="0014432E" w:rsidRPr="000F4D2C">
        <w:rPr>
          <w:rFonts w:ascii="Bookman Old Style" w:hAnsi="Bookman Old Style"/>
          <w:bCs/>
          <w:color w:val="000000"/>
          <w:sz w:val="24"/>
          <w:szCs w:val="24"/>
        </w:rPr>
        <w:t>que solicita le sea remunerado en dólares americanos</w:t>
      </w:r>
      <w:r w:rsidRPr="000F4D2C">
        <w:rPr>
          <w:rFonts w:ascii="Bookman Old Style" w:hAnsi="Bookman Old Style"/>
          <w:bCs/>
          <w:color w:val="000000"/>
          <w:sz w:val="24"/>
          <w:szCs w:val="24"/>
        </w:rPr>
        <w:t>;</w:t>
      </w:r>
      <w:r w:rsidR="0014432E" w:rsidRPr="000F4D2C">
        <w:rPr>
          <w:rFonts w:ascii="Bookman Old Style" w:hAnsi="Bookman Old Style"/>
          <w:bCs/>
          <w:color w:val="000000"/>
          <w:sz w:val="24"/>
          <w:szCs w:val="24"/>
        </w:rPr>
        <w:t xml:space="preserve"> este porcentaje no podrá ser superior al </w:t>
      </w:r>
      <w:r w:rsidRPr="000F4D2C">
        <w:rPr>
          <w:rFonts w:ascii="Bookman Old Style" w:hAnsi="Bookman Old Style"/>
          <w:bCs/>
          <w:color w:val="000000"/>
          <w:sz w:val="24"/>
          <w:szCs w:val="24"/>
        </w:rPr>
        <w:t>cuarenta y dos por ciento (</w:t>
      </w:r>
      <w:r w:rsidR="0014432E" w:rsidRPr="000F4D2C">
        <w:rPr>
          <w:rFonts w:ascii="Bookman Old Style" w:hAnsi="Bookman Old Style"/>
          <w:bCs/>
          <w:color w:val="000000"/>
          <w:sz w:val="24"/>
          <w:szCs w:val="24"/>
        </w:rPr>
        <w:t>42%</w:t>
      </w:r>
      <w:r w:rsidRPr="000F4D2C">
        <w:rPr>
          <w:rFonts w:ascii="Bookman Old Style" w:hAnsi="Bookman Old Style"/>
          <w:bCs/>
          <w:color w:val="000000"/>
          <w:sz w:val="24"/>
          <w:szCs w:val="24"/>
        </w:rPr>
        <w:t>) y</w:t>
      </w:r>
      <w:r w:rsidR="0014432E" w:rsidRPr="000F4D2C">
        <w:rPr>
          <w:rFonts w:ascii="Bookman Old Style" w:hAnsi="Bookman Old Style"/>
          <w:bCs/>
          <w:color w:val="000000"/>
          <w:sz w:val="24"/>
          <w:szCs w:val="24"/>
        </w:rPr>
        <w:t xml:space="preserve"> deberá corresponder a un valor único para cada uno de los años del PEP</w:t>
      </w:r>
      <w:r w:rsidRPr="000F4D2C">
        <w:rPr>
          <w:rFonts w:ascii="Bookman Old Style" w:hAnsi="Bookman Old Style"/>
          <w:bCs/>
          <w:color w:val="000000"/>
          <w:sz w:val="24"/>
          <w:szCs w:val="24"/>
        </w:rPr>
        <w:t>.</w:t>
      </w:r>
    </w:p>
    <w:p w14:paraId="31FE1B00" w14:textId="3C1C6631" w:rsidR="0014432E" w:rsidRPr="000F4D2C" w:rsidRDefault="007B1A5C" w:rsidP="000F4D2C">
      <w:pPr>
        <w:pStyle w:val="Estilo3"/>
        <w:widowControl w:val="0"/>
        <w:tabs>
          <w:tab w:val="left" w:pos="1560"/>
        </w:tabs>
        <w:spacing w:after="240"/>
        <w:ind w:left="708" w:hanging="283"/>
        <w:jc w:val="both"/>
        <w:outlineLvl w:val="0"/>
        <w:rPr>
          <w:rFonts w:ascii="Bookman Old Style" w:hAnsi="Bookman Old Style"/>
          <w:b/>
          <w:color w:val="000000"/>
          <w:sz w:val="24"/>
          <w:szCs w:val="24"/>
          <w:u w:val="single"/>
        </w:rPr>
      </w:pPr>
      <w:r>
        <w:rPr>
          <w:rFonts w:ascii="Bookman Old Style" w:hAnsi="Bookman Old Style"/>
          <w:b/>
          <w:color w:val="000000"/>
          <w:sz w:val="24"/>
          <w:szCs w:val="24"/>
          <w:u w:val="single"/>
        </w:rPr>
        <w:tab/>
      </w:r>
      <w:r w:rsidR="0014432E" w:rsidRPr="000F4D2C">
        <w:rPr>
          <w:rFonts w:ascii="Bookman Old Style" w:hAnsi="Bookman Old Style"/>
          <w:b/>
          <w:color w:val="000000"/>
          <w:sz w:val="24"/>
          <w:szCs w:val="24"/>
          <w:u w:val="single"/>
        </w:rPr>
        <w:t>Este componente IAE INVERSIÓN se utilizará para calcular parte del valor de la oferta y para la remuneración del proyecto durante el PEP contado a partir de la FPO inicialmente adoptada por el MME.</w:t>
      </w:r>
    </w:p>
    <w:p w14:paraId="7F2AD7B1" w14:textId="7A0B6B74" w:rsidR="0014432E" w:rsidRPr="000F4D2C" w:rsidRDefault="0014432E" w:rsidP="000F4D2C">
      <w:pPr>
        <w:pStyle w:val="Estilo3"/>
        <w:widowControl w:val="0"/>
        <w:numPr>
          <w:ilvl w:val="3"/>
          <w:numId w:val="10"/>
        </w:numPr>
        <w:tabs>
          <w:tab w:val="left" w:pos="1560"/>
        </w:tabs>
        <w:spacing w:after="240"/>
        <w:ind w:left="709" w:hanging="283"/>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Presentar en MPC, un componente de la cantidad por una sola vez, de gas natural en condiciones normales y/o gas natural licuado, con el siguiente detalle:</w:t>
      </w:r>
    </w:p>
    <w:p w14:paraId="37F74C9C" w14:textId="6AB4C2FA" w:rsidR="0014432E" w:rsidRPr="000F4D2C" w:rsidRDefault="0014432E" w:rsidP="000F4D2C">
      <w:pPr>
        <w:pStyle w:val="Estilo3"/>
        <w:widowControl w:val="0"/>
        <w:numPr>
          <w:ilvl w:val="7"/>
          <w:numId w:val="10"/>
        </w:numPr>
        <w:tabs>
          <w:tab w:val="left" w:pos="1134"/>
        </w:tabs>
        <w:spacing w:after="240"/>
        <w:ind w:left="709" w:firstLine="0"/>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 xml:space="preserve">Cantidad de gas de empaquetamiento de gasoductos; </w:t>
      </w:r>
    </w:p>
    <w:p w14:paraId="2542CD72" w14:textId="4007804E" w:rsidR="0014432E" w:rsidRPr="000F4D2C" w:rsidRDefault="0014432E" w:rsidP="000F4D2C">
      <w:pPr>
        <w:pStyle w:val="Estilo3"/>
        <w:widowControl w:val="0"/>
        <w:numPr>
          <w:ilvl w:val="7"/>
          <w:numId w:val="10"/>
        </w:numPr>
        <w:tabs>
          <w:tab w:val="left" w:pos="1560"/>
        </w:tabs>
        <w:spacing w:after="240"/>
        <w:ind w:left="1134" w:hanging="425"/>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 xml:space="preserve">Cantidad del gas de pruebas de la infraestructura del proyecto; </w:t>
      </w:r>
    </w:p>
    <w:p w14:paraId="0ED060EA" w14:textId="1DBDF65C" w:rsidR="0014432E" w:rsidRPr="000F4D2C" w:rsidRDefault="0014432E" w:rsidP="000F4D2C">
      <w:pPr>
        <w:pStyle w:val="Estilo3"/>
        <w:widowControl w:val="0"/>
        <w:numPr>
          <w:ilvl w:val="7"/>
          <w:numId w:val="10"/>
        </w:numPr>
        <w:tabs>
          <w:tab w:val="left" w:pos="1560"/>
        </w:tabs>
        <w:spacing w:after="240"/>
        <w:ind w:left="1134" w:hanging="425"/>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 xml:space="preserve">Cantidad del gas de llenado del inventario mínimo de confiabilidad en el caso de que se haya establecido para infraestructuras de regasificación; </w:t>
      </w:r>
    </w:p>
    <w:p w14:paraId="6B22A3F5" w14:textId="72AD7405" w:rsidR="0014432E" w:rsidRPr="000F4D2C" w:rsidRDefault="0014432E" w:rsidP="000F4D2C">
      <w:pPr>
        <w:pStyle w:val="Estilo3"/>
        <w:widowControl w:val="0"/>
        <w:numPr>
          <w:ilvl w:val="7"/>
          <w:numId w:val="10"/>
        </w:numPr>
        <w:tabs>
          <w:tab w:val="left" w:pos="1560"/>
        </w:tabs>
        <w:spacing w:after="240"/>
        <w:ind w:left="1134" w:hanging="425"/>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 xml:space="preserve">Cantidad del gas de talón, en el caso de infraestructuras de regasificación. </w:t>
      </w:r>
    </w:p>
    <w:p w14:paraId="280E5913" w14:textId="1C46F64E" w:rsidR="0014432E" w:rsidRPr="000F4D2C" w:rsidRDefault="0014432E" w:rsidP="000F4D2C">
      <w:pPr>
        <w:pStyle w:val="Estilo3"/>
        <w:widowControl w:val="0"/>
        <w:tabs>
          <w:tab w:val="left" w:pos="1560"/>
        </w:tabs>
        <w:spacing w:after="240"/>
        <w:ind w:left="709"/>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Este componente de cantidad será utilizado para calcular parte del valor de la oferta económica en las condiciones que se definan en los documentos que hacen parte del proceso de selección, y para la remuneración del proyecto como componente IAE FIJO GAS NATURAL durante el PEP contado a partir de la fecha de puesta en operación del proyecto certificada por el auditor.</w:t>
      </w:r>
    </w:p>
    <w:p w14:paraId="4E01C7A9" w14:textId="0E39B391" w:rsidR="0014432E" w:rsidRPr="000F4D2C" w:rsidRDefault="0014432E" w:rsidP="000F4D2C">
      <w:pPr>
        <w:pStyle w:val="Estilo3"/>
        <w:widowControl w:val="0"/>
        <w:numPr>
          <w:ilvl w:val="3"/>
          <w:numId w:val="10"/>
        </w:numPr>
        <w:tabs>
          <w:tab w:val="left" w:pos="1560"/>
        </w:tabs>
        <w:spacing w:after="240"/>
        <w:ind w:left="709" w:hanging="283"/>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 xml:space="preserve">Presentar para cada año del PEP, un ingreso anual esperado fijo de administración, operación ya mantenimiento - IAE AOM, expresado en pesos constantes del 31 de diciembre del año anterior a la fecha </w:t>
      </w:r>
      <w:r w:rsidRPr="000F4D2C">
        <w:rPr>
          <w:rFonts w:ascii="Bookman Old Style" w:hAnsi="Bookman Old Style"/>
          <w:b/>
          <w:color w:val="000000"/>
          <w:sz w:val="24"/>
          <w:szCs w:val="24"/>
          <w:u w:val="single"/>
        </w:rPr>
        <w:lastRenderedPageBreak/>
        <w:t>de presentación de la propuesta.</w:t>
      </w:r>
    </w:p>
    <w:p w14:paraId="29827806" w14:textId="268F28C9" w:rsidR="0014432E" w:rsidRPr="000F4D2C" w:rsidRDefault="0014432E" w:rsidP="000F4D2C">
      <w:pPr>
        <w:pStyle w:val="Estilo3"/>
        <w:widowControl w:val="0"/>
        <w:tabs>
          <w:tab w:val="left" w:pos="1560"/>
        </w:tabs>
        <w:spacing w:after="240"/>
        <w:ind w:left="708"/>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Este componente IAE AOM se utilizará para calcular parte del valor de la oferta y para la remuneración del proyecto durante el PEP contado a partir de la fecha de puesta en operación del proyecto certificada por el auditor.</w:t>
      </w:r>
    </w:p>
    <w:p w14:paraId="6A135AD1" w14:textId="0086744E" w:rsidR="0014432E" w:rsidRPr="000F4D2C" w:rsidRDefault="0014432E" w:rsidP="000F4D2C">
      <w:pPr>
        <w:pStyle w:val="Estilo3"/>
        <w:widowControl w:val="0"/>
        <w:numPr>
          <w:ilvl w:val="3"/>
          <w:numId w:val="10"/>
        </w:numPr>
        <w:tabs>
          <w:tab w:val="left" w:pos="1560"/>
        </w:tabs>
        <w:spacing w:after="240"/>
        <w:ind w:left="709" w:hanging="283"/>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Presentar para cada año del PEP, la siguiente información:</w:t>
      </w:r>
    </w:p>
    <w:p w14:paraId="038FEC74" w14:textId="6B23CFE6" w:rsidR="0014432E" w:rsidRPr="000F4D2C" w:rsidRDefault="0014432E" w:rsidP="000F4D2C">
      <w:pPr>
        <w:pStyle w:val="Estilo3"/>
        <w:widowControl w:val="0"/>
        <w:numPr>
          <w:ilvl w:val="7"/>
          <w:numId w:val="10"/>
        </w:numPr>
        <w:tabs>
          <w:tab w:val="left" w:pos="1560"/>
        </w:tabs>
        <w:spacing w:after="240"/>
        <w:ind w:left="1134" w:hanging="425"/>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El porcentaje diario promedio del año</w:t>
      </w:r>
      <w:r w:rsidR="00C84D85">
        <w:rPr>
          <w:rFonts w:ascii="Bookman Old Style" w:hAnsi="Bookman Old Style"/>
          <w:b/>
          <w:color w:val="000000"/>
          <w:sz w:val="24"/>
          <w:szCs w:val="24"/>
          <w:u w:val="single"/>
        </w:rPr>
        <w:t xml:space="preserve"> por cantidad almacenada de gas natural licuado</w:t>
      </w:r>
      <w:r w:rsidRPr="000F4D2C">
        <w:rPr>
          <w:rFonts w:ascii="Bookman Old Style" w:hAnsi="Bookman Old Style"/>
          <w:b/>
          <w:color w:val="000000"/>
          <w:sz w:val="24"/>
          <w:szCs w:val="24"/>
          <w:u w:val="single"/>
        </w:rPr>
        <w:t>,</w:t>
      </w:r>
      <w:r w:rsidR="00BA6B0F">
        <w:rPr>
          <w:rFonts w:ascii="Bookman Old Style" w:hAnsi="Bookman Old Style"/>
          <w:b/>
          <w:color w:val="000000"/>
          <w:sz w:val="24"/>
          <w:szCs w:val="24"/>
          <w:u w:val="single"/>
        </w:rPr>
        <w:t xml:space="preserve"> en</w:t>
      </w:r>
      <w:r w:rsidRPr="000F4D2C">
        <w:rPr>
          <w:rFonts w:ascii="Bookman Old Style" w:hAnsi="Bookman Old Style"/>
          <w:b/>
          <w:color w:val="000000"/>
          <w:sz w:val="24"/>
          <w:szCs w:val="24"/>
          <w:u w:val="single"/>
        </w:rPr>
        <w:t xml:space="preserve"> %/día-año</w:t>
      </w:r>
      <w:r w:rsidR="00C84D85">
        <w:rPr>
          <w:rFonts w:ascii="Bookman Old Style" w:hAnsi="Bookman Old Style"/>
          <w:b/>
          <w:color w:val="000000"/>
          <w:sz w:val="24"/>
          <w:szCs w:val="24"/>
          <w:u w:val="single"/>
        </w:rPr>
        <w:t xml:space="preserve"> de almacenamiento</w:t>
      </w:r>
      <w:r w:rsidRPr="000F4D2C">
        <w:rPr>
          <w:rFonts w:ascii="Bookman Old Style" w:hAnsi="Bookman Old Style"/>
          <w:b/>
          <w:color w:val="000000"/>
          <w:sz w:val="24"/>
          <w:szCs w:val="24"/>
          <w:u w:val="single"/>
        </w:rPr>
        <w:t>, para el gas de reposición del gas natural licuado evaporado que es removido (boil-off gas), en el caso de infraestructuras de regasificación.</w:t>
      </w:r>
    </w:p>
    <w:p w14:paraId="436EE087" w14:textId="55266312" w:rsidR="0014432E" w:rsidRPr="000F4D2C" w:rsidRDefault="0014432E" w:rsidP="000F4D2C">
      <w:pPr>
        <w:pStyle w:val="Estilo3"/>
        <w:widowControl w:val="0"/>
        <w:numPr>
          <w:ilvl w:val="7"/>
          <w:numId w:val="10"/>
        </w:numPr>
        <w:tabs>
          <w:tab w:val="left" w:pos="1560"/>
        </w:tabs>
        <w:spacing w:after="240"/>
        <w:ind w:left="1134" w:hanging="425"/>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 xml:space="preserve">La cantidad anual de gas natural licuado, en MPC, para la operación de la totalidad de la infraestructura del proyecto. </w:t>
      </w:r>
    </w:p>
    <w:p w14:paraId="4C37182C" w14:textId="6C29C06F" w:rsidR="0014432E" w:rsidRPr="000F4D2C" w:rsidRDefault="0014432E" w:rsidP="000F4D2C">
      <w:pPr>
        <w:pStyle w:val="Estilo3"/>
        <w:widowControl w:val="0"/>
        <w:tabs>
          <w:tab w:val="left" w:pos="1560"/>
        </w:tabs>
        <w:spacing w:after="240"/>
        <w:ind w:left="708"/>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Esta información será utilizada para calcular parte del valor de la oferta, en las condiciones que se definan en los documentos que hacen parte del proceso de selección y para la remuneración del proyecto como componente IAE VARIABLE GAS NATURAL, durante el PEP contado a partir de la fecha de puesta en operación certificada por el auditor.</w:t>
      </w:r>
    </w:p>
    <w:p w14:paraId="3DEB6D1F" w14:textId="0D5D633C" w:rsidR="0014432E" w:rsidRPr="000F4D2C" w:rsidRDefault="0014432E" w:rsidP="000F4D2C">
      <w:pPr>
        <w:pStyle w:val="Estilo3"/>
        <w:widowControl w:val="0"/>
        <w:tabs>
          <w:tab w:val="left" w:pos="1560"/>
        </w:tabs>
        <w:spacing w:after="240"/>
        <w:jc w:val="both"/>
        <w:outlineLvl w:val="0"/>
        <w:rPr>
          <w:rFonts w:ascii="Bookman Old Style" w:hAnsi="Bookman Old Style"/>
          <w:bCs/>
          <w:color w:val="000000"/>
          <w:sz w:val="24"/>
          <w:szCs w:val="24"/>
        </w:rPr>
      </w:pPr>
      <w:r w:rsidRPr="000F4D2C">
        <w:rPr>
          <w:rFonts w:ascii="Bookman Old Style" w:hAnsi="Bookman Old Style"/>
          <w:bCs/>
          <w:color w:val="000000"/>
          <w:sz w:val="24"/>
          <w:szCs w:val="24"/>
        </w:rPr>
        <w:t xml:space="preserve">El IAE </w:t>
      </w:r>
      <w:r w:rsidRPr="000F4D2C">
        <w:rPr>
          <w:rFonts w:ascii="Bookman Old Style" w:hAnsi="Bookman Old Style"/>
          <w:b/>
          <w:color w:val="000000"/>
          <w:sz w:val="24"/>
          <w:szCs w:val="24"/>
          <w:u w:val="single"/>
        </w:rPr>
        <w:t xml:space="preserve">INVERSIÓN </w:t>
      </w:r>
      <w:r w:rsidRPr="000F4D2C">
        <w:rPr>
          <w:rFonts w:ascii="Bookman Old Style" w:hAnsi="Bookman Old Style"/>
          <w:bCs/>
          <w:color w:val="000000"/>
          <w:sz w:val="24"/>
          <w:szCs w:val="24"/>
        </w:rPr>
        <w:t xml:space="preserve">deberá reflejar los costos asociados con la preconstrucción (incluyendo diseños, servidumbres, estudios, licencias ambientales y términos para su trámite y demás permisos o coordinaciones interinstitucionales) y construcción (incluyendo la interventoría de la obra y las obras que se requieran para la viabilidad ambiental del proyecto), el costo de </w:t>
      </w:r>
      <w:r w:rsidRPr="000F4D2C">
        <w:rPr>
          <w:rFonts w:ascii="Bookman Old Style" w:hAnsi="Bookman Old Style"/>
          <w:b/>
          <w:color w:val="000000"/>
          <w:sz w:val="24"/>
          <w:szCs w:val="24"/>
          <w:u w:val="single"/>
        </w:rPr>
        <w:t>la infraestructura necesaria para realizar las</w:t>
      </w:r>
      <w:r w:rsidRPr="000F4D2C">
        <w:rPr>
          <w:rFonts w:ascii="Bookman Old Style" w:hAnsi="Bookman Old Style"/>
          <w:bCs/>
          <w:color w:val="000000"/>
          <w:sz w:val="24"/>
          <w:szCs w:val="24"/>
        </w:rPr>
        <w:t xml:space="preserve"> conexiones a</w:t>
      </w:r>
      <w:r w:rsidR="00FC36A9">
        <w:rPr>
          <w:rFonts w:ascii="Bookman Old Style" w:hAnsi="Bookman Old Style"/>
          <w:bCs/>
          <w:color w:val="000000"/>
          <w:sz w:val="24"/>
          <w:szCs w:val="24"/>
        </w:rPr>
        <w:t>l</w:t>
      </w:r>
      <w:r w:rsidRPr="000F4D2C">
        <w:rPr>
          <w:rFonts w:ascii="Bookman Old Style" w:hAnsi="Bookman Old Style"/>
          <w:bCs/>
          <w:color w:val="000000"/>
          <w:sz w:val="24"/>
          <w:szCs w:val="24"/>
        </w:rPr>
        <w:t xml:space="preserve"> sistema de transporte y estaciones de transferencia de custodia que se requieran, </w:t>
      </w:r>
      <w:r w:rsidRPr="000F4D2C">
        <w:rPr>
          <w:rFonts w:ascii="Bookman Old Style" w:hAnsi="Bookman Old Style"/>
          <w:b/>
          <w:color w:val="000000"/>
          <w:sz w:val="24"/>
          <w:szCs w:val="24"/>
          <w:u w:val="single"/>
        </w:rPr>
        <w:t>el costo de las reposiciones a que haya lugar</w:t>
      </w:r>
      <w:r w:rsidRPr="000F4D2C">
        <w:rPr>
          <w:rFonts w:ascii="Bookman Old Style" w:hAnsi="Bookman Old Style"/>
          <w:bCs/>
          <w:color w:val="000000"/>
          <w:sz w:val="24"/>
          <w:szCs w:val="24"/>
        </w:rPr>
        <w:t xml:space="preserve">, así como el costo de oportunidad del capital invertido. </w:t>
      </w:r>
    </w:p>
    <w:p w14:paraId="4832FF27" w14:textId="2DA23E7E" w:rsidR="0014432E" w:rsidRPr="000F4D2C" w:rsidRDefault="0014432E" w:rsidP="000F4D2C">
      <w:pPr>
        <w:pStyle w:val="Estilo3"/>
        <w:widowControl w:val="0"/>
        <w:tabs>
          <w:tab w:val="left" w:pos="1560"/>
        </w:tabs>
        <w:spacing w:after="240"/>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 xml:space="preserve">Los transportadores a los que se conectan los proyectos PAGN no podrán cobrar a los ejecutores de los proyectos </w:t>
      </w:r>
      <w:r w:rsidR="00FC36A9">
        <w:rPr>
          <w:rFonts w:ascii="Bookman Old Style" w:hAnsi="Bookman Old Style"/>
          <w:b/>
          <w:color w:val="000000"/>
          <w:sz w:val="24"/>
          <w:szCs w:val="24"/>
          <w:u w:val="single"/>
        </w:rPr>
        <w:t xml:space="preserve">PAGN </w:t>
      </w:r>
      <w:r w:rsidRPr="000F4D2C">
        <w:rPr>
          <w:rFonts w:ascii="Bookman Old Style" w:hAnsi="Bookman Old Style"/>
          <w:b/>
          <w:color w:val="000000"/>
          <w:sz w:val="24"/>
          <w:szCs w:val="24"/>
          <w:u w:val="single"/>
        </w:rPr>
        <w:t>para permitir el acceso del proyecto a la infraestructura de sus sistemas de transporte.</w:t>
      </w:r>
    </w:p>
    <w:p w14:paraId="3B18202B" w14:textId="34AEE9CC" w:rsidR="0014432E" w:rsidRPr="000F4D2C" w:rsidRDefault="0014432E" w:rsidP="000F4D2C">
      <w:pPr>
        <w:pStyle w:val="Estilo3"/>
        <w:widowControl w:val="0"/>
        <w:tabs>
          <w:tab w:val="left" w:pos="1560"/>
        </w:tabs>
        <w:spacing w:after="240"/>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El componente IAE AOM deberá reflejar la totalidad de los gastos de administración, operación y mantenimiento correspondientes a la etapa de operación y prestación del servicio del proyecto, y no deberá incluir el costo de los consumos de gas natural en condiciones normales y/o de gas natural licuado, por los conceptos mencionados en los numerales (ii) y (iv) del presente artículo.</w:t>
      </w:r>
    </w:p>
    <w:p w14:paraId="18DB5B0E" w14:textId="77777777" w:rsidR="008B082F" w:rsidRDefault="0014432E" w:rsidP="0014432E">
      <w:pPr>
        <w:pStyle w:val="Estilo3"/>
        <w:widowControl w:val="0"/>
        <w:tabs>
          <w:tab w:val="left" w:pos="1560"/>
        </w:tabs>
        <w:spacing w:after="240"/>
        <w:jc w:val="both"/>
        <w:outlineLvl w:val="0"/>
        <w:rPr>
          <w:rFonts w:ascii="Bookman Old Style" w:hAnsi="Bookman Old Style"/>
          <w:b/>
          <w:color w:val="000000"/>
          <w:sz w:val="24"/>
          <w:szCs w:val="24"/>
          <w:u w:val="single"/>
        </w:rPr>
      </w:pPr>
      <w:r w:rsidRPr="000F4D2C">
        <w:rPr>
          <w:rFonts w:ascii="Bookman Old Style" w:hAnsi="Bookman Old Style"/>
          <w:bCs/>
          <w:color w:val="000000"/>
          <w:sz w:val="24"/>
          <w:szCs w:val="24"/>
        </w:rPr>
        <w:t xml:space="preserve">El proponente, con la presentación de su oferta, acepta que el IAE </w:t>
      </w:r>
      <w:r w:rsidRPr="000F4D2C">
        <w:rPr>
          <w:rFonts w:ascii="Bookman Old Style" w:hAnsi="Bookman Old Style"/>
          <w:b/>
          <w:color w:val="000000"/>
          <w:sz w:val="24"/>
          <w:szCs w:val="24"/>
          <w:u w:val="single"/>
        </w:rPr>
        <w:t xml:space="preserve">INVERSIÓN </w:t>
      </w:r>
      <w:r w:rsidRPr="000F4D2C">
        <w:rPr>
          <w:rFonts w:ascii="Bookman Old Style" w:hAnsi="Bookman Old Style"/>
          <w:bCs/>
          <w:color w:val="000000"/>
          <w:sz w:val="24"/>
          <w:szCs w:val="24"/>
        </w:rPr>
        <w:t>remunera la totalidad de las inversiones y</w:t>
      </w:r>
      <w:r w:rsidRPr="000F4D2C">
        <w:rPr>
          <w:rFonts w:ascii="Bookman Old Style" w:hAnsi="Bookman Old Style"/>
          <w:b/>
          <w:color w:val="000000"/>
          <w:sz w:val="24"/>
          <w:szCs w:val="24"/>
          <w:u w:val="single"/>
        </w:rPr>
        <w:t xml:space="preserve"> el IAE AOM remunera la totalidad</w:t>
      </w:r>
      <w:r w:rsidRPr="000F4D2C">
        <w:rPr>
          <w:rFonts w:ascii="Bookman Old Style" w:hAnsi="Bookman Old Style"/>
          <w:bCs/>
          <w:color w:val="000000"/>
          <w:sz w:val="24"/>
          <w:szCs w:val="24"/>
        </w:rPr>
        <w:t xml:space="preserve"> </w:t>
      </w:r>
      <w:r w:rsidRPr="000F4D2C">
        <w:rPr>
          <w:rFonts w:ascii="Bookman Old Style" w:hAnsi="Bookman Old Style"/>
          <w:b/>
          <w:color w:val="000000"/>
          <w:sz w:val="24"/>
          <w:szCs w:val="24"/>
          <w:u w:val="single"/>
        </w:rPr>
        <w:t>de los</w:t>
      </w:r>
      <w:r w:rsidRPr="000F4D2C">
        <w:rPr>
          <w:rFonts w:ascii="Bookman Old Style" w:hAnsi="Bookman Old Style"/>
          <w:bCs/>
          <w:color w:val="000000"/>
          <w:sz w:val="24"/>
          <w:szCs w:val="24"/>
        </w:rPr>
        <w:t xml:space="preserve"> gastos AOM correspondientes al respectivo proyecto, incluyendo los gastos de combustible, </w:t>
      </w:r>
      <w:r w:rsidRPr="000F4D2C">
        <w:rPr>
          <w:rFonts w:ascii="Bookman Old Style" w:hAnsi="Bookman Old Style"/>
          <w:b/>
          <w:color w:val="000000"/>
          <w:sz w:val="24"/>
          <w:szCs w:val="24"/>
          <w:u w:val="single"/>
        </w:rPr>
        <w:t>diferente a los consumos de gas natural ya mencionados</w:t>
      </w:r>
      <w:r w:rsidRPr="000F4D2C">
        <w:rPr>
          <w:rFonts w:ascii="Bookman Old Style" w:hAnsi="Bookman Old Style"/>
          <w:bCs/>
          <w:color w:val="000000"/>
          <w:sz w:val="24"/>
          <w:szCs w:val="24"/>
        </w:rPr>
        <w:t>, e incluye los gastos de la energía asociada a la operación de las estaciones de compresión</w:t>
      </w:r>
      <w:r w:rsidR="008B082F">
        <w:rPr>
          <w:rFonts w:ascii="Bookman Old Style" w:hAnsi="Bookman Old Style"/>
          <w:bCs/>
          <w:color w:val="000000"/>
          <w:sz w:val="24"/>
          <w:szCs w:val="24"/>
        </w:rPr>
        <w:t xml:space="preserve">, </w:t>
      </w:r>
      <w:r w:rsidR="008B082F" w:rsidRPr="000F4D2C">
        <w:rPr>
          <w:rFonts w:ascii="Bookman Old Style" w:hAnsi="Bookman Old Style"/>
          <w:b/>
          <w:color w:val="000000"/>
          <w:sz w:val="24"/>
          <w:szCs w:val="24"/>
          <w:u w:val="single"/>
        </w:rPr>
        <w:t>diferente a gas natural</w:t>
      </w:r>
      <w:r w:rsidR="008B082F">
        <w:rPr>
          <w:rFonts w:ascii="Bookman Old Style" w:hAnsi="Bookman Old Style"/>
          <w:bCs/>
          <w:color w:val="000000"/>
          <w:sz w:val="24"/>
          <w:szCs w:val="24"/>
        </w:rPr>
        <w:t xml:space="preserve">, </w:t>
      </w:r>
      <w:r w:rsidRPr="000F4D2C">
        <w:rPr>
          <w:rFonts w:ascii="Bookman Old Style" w:hAnsi="Bookman Old Style"/>
          <w:bCs/>
          <w:color w:val="000000"/>
          <w:sz w:val="24"/>
          <w:szCs w:val="24"/>
        </w:rPr>
        <w:t xml:space="preserve"> u otra infraestructura y la reposición de activos que componen el proyecto, cuando sea necesario. Por tal </w:t>
      </w:r>
      <w:r w:rsidRPr="000F4D2C">
        <w:rPr>
          <w:rFonts w:ascii="Bookman Old Style" w:hAnsi="Bookman Old Style"/>
          <w:bCs/>
          <w:color w:val="000000"/>
          <w:sz w:val="24"/>
          <w:szCs w:val="24"/>
        </w:rPr>
        <w:lastRenderedPageBreak/>
        <w:t>razón asumirá la responsabilidad y el riesgo inherentes a la ejecución y explotación del proyecto.</w:t>
      </w:r>
      <w:r w:rsidRPr="000F4D2C">
        <w:rPr>
          <w:rFonts w:ascii="Bookman Old Style" w:hAnsi="Bookman Old Style"/>
          <w:b/>
          <w:color w:val="000000"/>
          <w:sz w:val="24"/>
          <w:szCs w:val="24"/>
          <w:u w:val="single"/>
        </w:rPr>
        <w:t xml:space="preserve"> </w:t>
      </w:r>
    </w:p>
    <w:p w14:paraId="2796F4AE" w14:textId="143D9073" w:rsidR="0014432E" w:rsidRPr="000F4D2C" w:rsidRDefault="0014432E" w:rsidP="000F4D2C">
      <w:pPr>
        <w:pStyle w:val="Estilo3"/>
        <w:widowControl w:val="0"/>
        <w:tabs>
          <w:tab w:val="left" w:pos="1560"/>
        </w:tabs>
        <w:spacing w:after="240"/>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La suma de los costos de los componentes de IAE INVERSIÓN, IAE FIJO GAS NATURAL, IAE AOM e IAE VARIABLE GAS NATURAL presentado por el proponente, será igual al IAE TOTAL y cubrirá toda la estructura de costos y de gastos en que incurra el proponente seleccionado en desarrollo de su actividad durante el PEP y la duración de la prestación del servicio, en el contexto de las leyes y la reglamentación vigente.</w:t>
      </w:r>
    </w:p>
    <w:p w14:paraId="4E086B13" w14:textId="77777777" w:rsidR="0014432E" w:rsidRPr="000F4D2C" w:rsidRDefault="0014432E" w:rsidP="000F4D2C">
      <w:pPr>
        <w:pStyle w:val="Estilo3"/>
        <w:widowControl w:val="0"/>
        <w:tabs>
          <w:tab w:val="left" w:pos="1560"/>
        </w:tabs>
        <w:spacing w:after="240"/>
        <w:jc w:val="both"/>
        <w:outlineLvl w:val="0"/>
        <w:rPr>
          <w:rFonts w:ascii="Bookman Old Style" w:hAnsi="Bookman Old Style"/>
          <w:b/>
          <w:color w:val="000000"/>
          <w:sz w:val="24"/>
          <w:szCs w:val="24"/>
          <w:u w:val="single"/>
        </w:rPr>
      </w:pPr>
      <w:r w:rsidRPr="000F4D2C">
        <w:rPr>
          <w:rFonts w:ascii="Bookman Old Style" w:hAnsi="Bookman Old Style"/>
          <w:b/>
          <w:color w:val="000000"/>
          <w:sz w:val="24"/>
          <w:szCs w:val="24"/>
          <w:u w:val="single"/>
        </w:rPr>
        <w:t>Los costos reales del consumo de gas natural que se presenten, de acuerdo con lo establecido en los numerales (ii) y (iv) del presente artículo, serán incluidos en el IAE remunerado del adjudicatario, a partir del año siguiente al año en que se inicie la prestación del servicio del proyecto. Los parámetros para determinar su valor total se incluirán en la resolución de oficialización de ingresos establecida en el Artículo 18 de la presente Resolución. Su remuneración será igual al valor equivalente de la adquisición y transporte al sitio del proyecto, siguiendo los mecanismos de comercialización establecidos por la CREG y de acuerdo con la información registrada ante el Gestor del Mercado al respecto.</w:t>
      </w:r>
    </w:p>
    <w:bookmarkEnd w:id="4"/>
    <w:p w14:paraId="5236A1FE" w14:textId="77777777" w:rsidR="00CF5EFC" w:rsidRPr="000F4D2C" w:rsidRDefault="00CF5EFC" w:rsidP="000F4D2C">
      <w:pPr>
        <w:spacing w:after="0" w:line="240" w:lineRule="auto"/>
        <w:jc w:val="both"/>
        <w:rPr>
          <w:rFonts w:ascii="Bookman Old Style" w:hAnsi="Bookman Old Style"/>
          <w:sz w:val="24"/>
          <w:szCs w:val="24"/>
        </w:rPr>
      </w:pPr>
      <w:r w:rsidRPr="000F4D2C">
        <w:rPr>
          <w:rFonts w:ascii="Bookman Old Style" w:hAnsi="Bookman Old Style"/>
          <w:b/>
          <w:sz w:val="24"/>
          <w:szCs w:val="24"/>
        </w:rPr>
        <w:t>Parágrafo.</w:t>
      </w:r>
      <w:r w:rsidRPr="000F4D2C">
        <w:rPr>
          <w:rFonts w:ascii="Bookman Old Style" w:hAnsi="Bookman Old Style"/>
          <w:sz w:val="24"/>
          <w:szCs w:val="24"/>
        </w:rPr>
        <w:t xml:space="preserve"> Los adjudicatarios de procesos de selección, que reciban ingresos provenientes de otras actividades, deberán registrar en forma separada en su contabilidad los costos y gastos asociados a los proyectos desarrollados a través de procesos de selección, diferenciándolos de los costos y gastos de las otras actividades. </w:t>
      </w:r>
    </w:p>
    <w:p w14:paraId="14F15C67" w14:textId="77777777" w:rsidR="00CF5EFC" w:rsidRPr="000F4D2C" w:rsidRDefault="00CF5EFC" w:rsidP="003351B4">
      <w:pPr>
        <w:pStyle w:val="Estilo3"/>
        <w:widowControl w:val="0"/>
        <w:tabs>
          <w:tab w:val="left" w:pos="1560"/>
        </w:tabs>
        <w:jc w:val="both"/>
        <w:rPr>
          <w:sz w:val="24"/>
          <w:szCs w:val="24"/>
        </w:rPr>
      </w:pPr>
    </w:p>
    <w:p w14:paraId="0A7287B4" w14:textId="591BF4A1" w:rsidR="00CF5EFC" w:rsidRPr="00F23AE8" w:rsidRDefault="00CF5EFC" w:rsidP="003351B4">
      <w:pPr>
        <w:pStyle w:val="Estilo3"/>
        <w:widowControl w:val="0"/>
        <w:numPr>
          <w:ilvl w:val="0"/>
          <w:numId w:val="10"/>
        </w:numPr>
        <w:tabs>
          <w:tab w:val="left" w:pos="1560"/>
        </w:tabs>
        <w:jc w:val="both"/>
        <w:outlineLvl w:val="0"/>
        <w:rPr>
          <w:rFonts w:ascii="Bookman Old Style" w:hAnsi="Bookman Old Style"/>
          <w:lang w:val="es-CO"/>
        </w:rPr>
      </w:pPr>
      <w:bookmarkStart w:id="5" w:name="_Ref439257152"/>
      <w:r w:rsidRPr="00B21E7E">
        <w:rPr>
          <w:rFonts w:ascii="Bookman Old Style" w:hAnsi="Bookman Old Style"/>
          <w:b/>
          <w:color w:val="000000"/>
          <w:sz w:val="24"/>
          <w:szCs w:val="24"/>
        </w:rPr>
        <w:t xml:space="preserve">Tasa de descuento. </w:t>
      </w:r>
      <w:r w:rsidRPr="000F4D2C">
        <w:rPr>
          <w:rFonts w:ascii="Bookman Old Style" w:hAnsi="Bookman Old Style"/>
          <w:sz w:val="24"/>
          <w:szCs w:val="24"/>
        </w:rPr>
        <w:t>La tasa de descuento para calcular el valor presente del flujo del que haya ofertado cada uno de los proponentes será del 10%.</w:t>
      </w:r>
    </w:p>
    <w:p w14:paraId="66CCC547" w14:textId="77777777" w:rsidR="00CF5EFC" w:rsidRPr="00A22A5F" w:rsidRDefault="00CF5EFC" w:rsidP="003351B4">
      <w:pPr>
        <w:pStyle w:val="Estilo3"/>
        <w:widowControl w:val="0"/>
        <w:tabs>
          <w:tab w:val="left" w:pos="1560"/>
        </w:tabs>
        <w:jc w:val="both"/>
      </w:pPr>
    </w:p>
    <w:p w14:paraId="58B91A2B" w14:textId="56927D0E" w:rsidR="00CF5EFC" w:rsidRPr="000F4D2C" w:rsidRDefault="00CF5EFC" w:rsidP="003351B4">
      <w:pPr>
        <w:pStyle w:val="Estilo3"/>
        <w:widowControl w:val="0"/>
        <w:numPr>
          <w:ilvl w:val="0"/>
          <w:numId w:val="10"/>
        </w:numPr>
        <w:tabs>
          <w:tab w:val="left" w:pos="1560"/>
        </w:tabs>
        <w:jc w:val="both"/>
        <w:outlineLvl w:val="0"/>
        <w:rPr>
          <w:rFonts w:ascii="Bookman Old Style" w:hAnsi="Bookman Old Style"/>
          <w:sz w:val="24"/>
          <w:szCs w:val="24"/>
        </w:rPr>
      </w:pPr>
      <w:bookmarkStart w:id="6" w:name="_Ref449449048"/>
      <w:bookmarkEnd w:id="5"/>
      <w:r>
        <w:rPr>
          <w:rFonts w:ascii="Bookman Old Style" w:hAnsi="Bookman Old Style"/>
          <w:b/>
          <w:color w:val="000000"/>
          <w:sz w:val="24"/>
          <w:szCs w:val="24"/>
        </w:rPr>
        <w:t>Perfiles</w:t>
      </w:r>
      <w:r w:rsidRPr="00F23AE8">
        <w:rPr>
          <w:rFonts w:ascii="Bookman Old Style" w:hAnsi="Bookman Old Style"/>
          <w:b/>
          <w:color w:val="000000"/>
          <w:sz w:val="24"/>
          <w:szCs w:val="24"/>
        </w:rPr>
        <w:t xml:space="preserve"> de pagos.</w:t>
      </w:r>
      <w:r w:rsidRPr="0046265F">
        <w:rPr>
          <w:rFonts w:ascii="Bookman Old Style" w:hAnsi="Bookman Old Style"/>
          <w:sz w:val="24"/>
          <w:szCs w:val="24"/>
        </w:rPr>
        <w:t xml:space="preserve"> </w:t>
      </w:r>
      <w:r w:rsidRPr="000F4D2C">
        <w:rPr>
          <w:rFonts w:ascii="Bookman Old Style" w:hAnsi="Bookman Old Style"/>
          <w:sz w:val="24"/>
          <w:szCs w:val="24"/>
        </w:rPr>
        <w:t>En las propuestas que se presenten a los procesos de selección de que trata esta resolución, la diferencia entre los porcentajes que representan cada uno de los valores anuales ofertados del IAE</w:t>
      </w:r>
      <w:r w:rsidR="00F56B5D">
        <w:rPr>
          <w:rFonts w:ascii="Bookman Old Style" w:hAnsi="Bookman Old Style"/>
          <w:sz w:val="24"/>
          <w:szCs w:val="24"/>
        </w:rPr>
        <w:t xml:space="preserve"> </w:t>
      </w:r>
      <w:r w:rsidR="00F56B5D" w:rsidRPr="00F56B5D">
        <w:rPr>
          <w:rFonts w:ascii="Bookman Old Style" w:hAnsi="Bookman Old Style"/>
          <w:b/>
          <w:bCs/>
          <w:sz w:val="24"/>
          <w:szCs w:val="24"/>
          <w:u w:val="single"/>
        </w:rPr>
        <w:t>INVERSIÓN</w:t>
      </w:r>
      <w:r w:rsidRPr="000F4D2C">
        <w:rPr>
          <w:rFonts w:ascii="Bookman Old Style" w:hAnsi="Bookman Old Style"/>
          <w:sz w:val="24"/>
          <w:szCs w:val="24"/>
        </w:rPr>
        <w:t xml:space="preserve"> con respecto al valor presente de la serie de los valores anuales del IAE</w:t>
      </w:r>
      <w:r w:rsidR="00F56B5D">
        <w:rPr>
          <w:rFonts w:ascii="Bookman Old Style" w:hAnsi="Bookman Old Style"/>
          <w:sz w:val="24"/>
          <w:szCs w:val="24"/>
        </w:rPr>
        <w:t xml:space="preserve"> </w:t>
      </w:r>
      <w:r w:rsidR="00F56B5D" w:rsidRPr="00F56B5D">
        <w:rPr>
          <w:rFonts w:ascii="Bookman Old Style" w:hAnsi="Bookman Old Style"/>
          <w:b/>
          <w:bCs/>
          <w:sz w:val="24"/>
          <w:szCs w:val="24"/>
          <w:u w:val="single"/>
        </w:rPr>
        <w:t>INVERSIÓN</w:t>
      </w:r>
      <w:r w:rsidRPr="000F4D2C">
        <w:rPr>
          <w:rFonts w:ascii="Bookman Old Style" w:hAnsi="Bookman Old Style"/>
          <w:sz w:val="24"/>
          <w:szCs w:val="24"/>
        </w:rPr>
        <w:t>, no podrá ser mayor a cinco puntos porcentuales (5%) entre cualquier par de años.</w:t>
      </w:r>
    </w:p>
    <w:p w14:paraId="502DDA9B" w14:textId="77777777" w:rsidR="00CF5EFC" w:rsidRPr="000F4D2C" w:rsidRDefault="00CF5EFC" w:rsidP="003351B4">
      <w:pPr>
        <w:pStyle w:val="Estilo3"/>
        <w:widowControl w:val="0"/>
        <w:tabs>
          <w:tab w:val="left" w:pos="1560"/>
        </w:tabs>
        <w:jc w:val="both"/>
        <w:rPr>
          <w:rFonts w:ascii="Bookman Old Style" w:hAnsi="Bookman Old Style"/>
          <w:sz w:val="24"/>
          <w:szCs w:val="24"/>
        </w:rPr>
      </w:pPr>
    </w:p>
    <w:p w14:paraId="0A28573C" w14:textId="5831FD04" w:rsidR="00CF5EFC" w:rsidRDefault="00CF5EFC" w:rsidP="003351B4">
      <w:pPr>
        <w:pStyle w:val="Estilo3"/>
        <w:widowControl w:val="0"/>
        <w:tabs>
          <w:tab w:val="left" w:pos="1560"/>
        </w:tabs>
        <w:jc w:val="both"/>
        <w:rPr>
          <w:rFonts w:ascii="Bookman Old Style" w:hAnsi="Bookman Old Style"/>
          <w:sz w:val="24"/>
          <w:szCs w:val="24"/>
        </w:rPr>
      </w:pPr>
      <w:r w:rsidRPr="000F4D2C">
        <w:rPr>
          <w:rFonts w:ascii="Bookman Old Style" w:hAnsi="Bookman Old Style"/>
          <w:sz w:val="24"/>
          <w:szCs w:val="24"/>
        </w:rPr>
        <w:t xml:space="preserve">En ningún caso, el IAE </w:t>
      </w:r>
      <w:r w:rsidR="00B37A21" w:rsidRPr="00B37A21">
        <w:rPr>
          <w:rFonts w:ascii="Bookman Old Style" w:hAnsi="Bookman Old Style"/>
          <w:b/>
          <w:bCs/>
          <w:sz w:val="24"/>
          <w:szCs w:val="24"/>
          <w:u w:val="single"/>
        </w:rPr>
        <w:t>INVERSIÓN</w:t>
      </w:r>
      <w:r w:rsidR="00B37A21">
        <w:rPr>
          <w:rFonts w:ascii="Bookman Old Style" w:hAnsi="Bookman Old Style"/>
          <w:sz w:val="24"/>
          <w:szCs w:val="24"/>
        </w:rPr>
        <w:t xml:space="preserve"> </w:t>
      </w:r>
      <w:r w:rsidRPr="000F4D2C">
        <w:rPr>
          <w:rFonts w:ascii="Bookman Old Style" w:hAnsi="Bookman Old Style"/>
          <w:sz w:val="24"/>
          <w:szCs w:val="24"/>
        </w:rPr>
        <w:t>para cualquier año podrá ser superior al del año anterior.</w:t>
      </w:r>
      <w:bookmarkEnd w:id="6"/>
    </w:p>
    <w:p w14:paraId="0BDAE9C7" w14:textId="77777777" w:rsidR="003351B4" w:rsidRPr="000F4D2C" w:rsidRDefault="003351B4" w:rsidP="003351B4">
      <w:pPr>
        <w:pStyle w:val="Estilo3"/>
        <w:widowControl w:val="0"/>
        <w:tabs>
          <w:tab w:val="left" w:pos="1560"/>
        </w:tabs>
        <w:jc w:val="both"/>
        <w:rPr>
          <w:rFonts w:ascii="Bookman Old Style" w:hAnsi="Bookman Old Style"/>
        </w:rPr>
      </w:pPr>
    </w:p>
    <w:p w14:paraId="564DFDC8" w14:textId="28B1AE3D" w:rsidR="00CF5EFC" w:rsidRPr="000F4D2C" w:rsidRDefault="00CF5EFC" w:rsidP="00CF5EFC">
      <w:pPr>
        <w:pStyle w:val="Estilo3"/>
        <w:widowControl w:val="0"/>
        <w:numPr>
          <w:ilvl w:val="0"/>
          <w:numId w:val="10"/>
        </w:numPr>
        <w:tabs>
          <w:tab w:val="left" w:pos="1560"/>
        </w:tabs>
        <w:jc w:val="both"/>
        <w:outlineLvl w:val="0"/>
        <w:rPr>
          <w:rFonts w:ascii="Bookman Old Style" w:hAnsi="Bookman Old Style"/>
          <w:sz w:val="24"/>
          <w:szCs w:val="24"/>
        </w:rPr>
      </w:pPr>
      <w:bookmarkStart w:id="7" w:name="_Ref443472568"/>
      <w:r>
        <w:rPr>
          <w:rFonts w:ascii="Bookman Old Style" w:hAnsi="Bookman Old Style"/>
          <w:b/>
          <w:color w:val="000000"/>
          <w:sz w:val="24"/>
          <w:szCs w:val="24"/>
        </w:rPr>
        <w:t>Periodos de pago e incentivos</w:t>
      </w:r>
      <w:r w:rsidRPr="00F23AE8">
        <w:rPr>
          <w:rFonts w:ascii="Bookman Old Style" w:hAnsi="Bookman Old Style"/>
          <w:b/>
          <w:color w:val="000000"/>
          <w:sz w:val="24"/>
          <w:szCs w:val="24"/>
        </w:rPr>
        <w:t>.</w:t>
      </w:r>
      <w:r>
        <w:rPr>
          <w:rFonts w:ascii="Bookman Old Style" w:hAnsi="Bookman Old Style"/>
          <w:sz w:val="24"/>
          <w:szCs w:val="24"/>
        </w:rPr>
        <w:t xml:space="preserve"> </w:t>
      </w:r>
      <w:r w:rsidRPr="000F4D2C">
        <w:rPr>
          <w:rFonts w:ascii="Bookman Old Style" w:hAnsi="Bookman Old Style"/>
          <w:sz w:val="24"/>
          <w:szCs w:val="24"/>
        </w:rPr>
        <w:t>Los proyectos adjudicados mediante procesos de selección y los proyectos ejecutados por el transportador incumbente, recibirán pagos por la prestación del servicio de acuerdo con los casos que se establecen en este artículo.</w:t>
      </w:r>
    </w:p>
    <w:p w14:paraId="090DB894"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6E6EADDA" w14:textId="77777777" w:rsidR="00CF5EFC" w:rsidRPr="000F4D2C" w:rsidRDefault="00CF5EFC" w:rsidP="00CF5EFC">
      <w:pPr>
        <w:pStyle w:val="Estilo3"/>
        <w:widowControl w:val="0"/>
        <w:tabs>
          <w:tab w:val="left" w:pos="1560"/>
        </w:tabs>
        <w:jc w:val="both"/>
        <w:rPr>
          <w:rFonts w:ascii="Bookman Old Style" w:hAnsi="Bookman Old Style"/>
          <w:sz w:val="24"/>
          <w:szCs w:val="24"/>
        </w:rPr>
      </w:pPr>
      <w:r w:rsidRPr="000F4D2C">
        <w:rPr>
          <w:rFonts w:ascii="Bookman Old Style" w:hAnsi="Bookman Old Style"/>
          <w:sz w:val="24"/>
          <w:szCs w:val="24"/>
        </w:rPr>
        <w:t>En los anteriores pagos se podrán incluir incentivos para remunerar la prestación del servicio a proyectos con fecha anticipada de entrada en operación, o a proyectos con fecha anticipada de entrada en operación parcial.</w:t>
      </w:r>
    </w:p>
    <w:p w14:paraId="271064DB"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3AF9E553" w14:textId="246BA714" w:rsidR="00CF5EFC" w:rsidRDefault="00CF5EFC" w:rsidP="00CF5EFC">
      <w:pPr>
        <w:pStyle w:val="Estilo3"/>
        <w:widowControl w:val="0"/>
        <w:numPr>
          <w:ilvl w:val="5"/>
          <w:numId w:val="10"/>
        </w:numPr>
        <w:tabs>
          <w:tab w:val="left" w:pos="1560"/>
        </w:tabs>
        <w:ind w:left="426" w:hanging="426"/>
        <w:jc w:val="both"/>
        <w:rPr>
          <w:rFonts w:ascii="Bookman Old Style" w:hAnsi="Bookman Old Style"/>
          <w:sz w:val="24"/>
          <w:szCs w:val="24"/>
        </w:rPr>
      </w:pPr>
      <w:r w:rsidRPr="000F4D2C">
        <w:rPr>
          <w:rFonts w:ascii="Bookman Old Style" w:hAnsi="Bookman Old Style"/>
          <w:sz w:val="24"/>
          <w:szCs w:val="24"/>
        </w:rPr>
        <w:lastRenderedPageBreak/>
        <w:t xml:space="preserve">Cuando el proyecto inicie su operación </w:t>
      </w:r>
      <w:r w:rsidR="00D732C1" w:rsidRPr="000F4D2C">
        <w:rPr>
          <w:rFonts w:ascii="Bookman Old Style" w:hAnsi="Bookman Old Style"/>
          <w:b/>
          <w:bCs/>
          <w:sz w:val="24"/>
          <w:szCs w:val="24"/>
          <w:u w:val="single"/>
        </w:rPr>
        <w:t xml:space="preserve">certificada por el auditor del proyecto </w:t>
      </w:r>
      <w:r w:rsidRPr="000F4D2C">
        <w:rPr>
          <w:rFonts w:ascii="Bookman Old Style" w:hAnsi="Bookman Old Style"/>
          <w:b/>
          <w:bCs/>
          <w:sz w:val="24"/>
          <w:szCs w:val="24"/>
          <w:u w:val="single"/>
        </w:rPr>
        <w:t xml:space="preserve">en la </w:t>
      </w:r>
      <w:r w:rsidR="001A2B5C" w:rsidRPr="000F4D2C">
        <w:rPr>
          <w:rFonts w:ascii="Bookman Old Style" w:hAnsi="Bookman Old Style"/>
          <w:b/>
          <w:bCs/>
          <w:sz w:val="24"/>
          <w:szCs w:val="24"/>
          <w:u w:val="single"/>
        </w:rPr>
        <w:t xml:space="preserve">misma fecha de la </w:t>
      </w:r>
      <w:r w:rsidRPr="000F4D2C">
        <w:rPr>
          <w:rFonts w:ascii="Bookman Old Style" w:hAnsi="Bookman Old Style"/>
          <w:b/>
          <w:bCs/>
          <w:sz w:val="24"/>
          <w:szCs w:val="24"/>
          <w:u w:val="single"/>
        </w:rPr>
        <w:t>FPO</w:t>
      </w:r>
      <w:r w:rsidR="001A2B5C" w:rsidRPr="000F4D2C">
        <w:rPr>
          <w:rFonts w:ascii="Bookman Old Style" w:hAnsi="Bookman Old Style"/>
          <w:b/>
          <w:bCs/>
          <w:sz w:val="24"/>
          <w:szCs w:val="24"/>
          <w:u w:val="single"/>
        </w:rPr>
        <w:t xml:space="preserve"> establecida en el PAGN</w:t>
      </w:r>
      <w:r w:rsidRPr="000F4D2C">
        <w:rPr>
          <w:rFonts w:ascii="Bookman Old Style" w:hAnsi="Bookman Old Style"/>
          <w:sz w:val="24"/>
          <w:szCs w:val="24"/>
        </w:rPr>
        <w:t xml:space="preserve">, el adjudicatario recibirá los pagos correspondientes al </w:t>
      </w:r>
      <w:r w:rsidR="00F45769" w:rsidRPr="000F4D2C">
        <w:rPr>
          <w:rFonts w:ascii="Bookman Old Style" w:hAnsi="Bookman Old Style"/>
          <w:b/>
          <w:bCs/>
          <w:sz w:val="24"/>
          <w:szCs w:val="24"/>
          <w:u w:val="single"/>
        </w:rPr>
        <w:t>IAE TOTAL</w:t>
      </w:r>
      <w:r w:rsidRPr="000F4D2C">
        <w:rPr>
          <w:rFonts w:ascii="Bookman Old Style" w:hAnsi="Bookman Old Style"/>
          <w:sz w:val="24"/>
          <w:szCs w:val="24"/>
        </w:rPr>
        <w:t xml:space="preserve"> durante el PEP, contado a partir del inicio de la operación del proyecto.  </w:t>
      </w:r>
    </w:p>
    <w:p w14:paraId="27BD38B3" w14:textId="77777777" w:rsidR="001A2B5C" w:rsidRPr="000F4D2C" w:rsidRDefault="001A2B5C" w:rsidP="000F4D2C">
      <w:pPr>
        <w:pStyle w:val="Estilo3"/>
        <w:widowControl w:val="0"/>
        <w:tabs>
          <w:tab w:val="left" w:pos="1560"/>
        </w:tabs>
        <w:ind w:left="426"/>
        <w:jc w:val="both"/>
        <w:rPr>
          <w:rFonts w:ascii="Bookman Old Style" w:hAnsi="Bookman Old Style"/>
          <w:sz w:val="24"/>
          <w:szCs w:val="24"/>
        </w:rPr>
      </w:pPr>
    </w:p>
    <w:p w14:paraId="1FDF6ABC" w14:textId="4990D2AC" w:rsidR="00CF5EFC" w:rsidRDefault="00CF5EFC" w:rsidP="00CF5EFC">
      <w:pPr>
        <w:pStyle w:val="Estilo3"/>
        <w:widowControl w:val="0"/>
        <w:numPr>
          <w:ilvl w:val="5"/>
          <w:numId w:val="10"/>
        </w:numPr>
        <w:tabs>
          <w:tab w:val="left" w:pos="1560"/>
        </w:tabs>
        <w:ind w:left="426" w:hanging="426"/>
        <w:jc w:val="both"/>
        <w:rPr>
          <w:rFonts w:ascii="Bookman Old Style" w:hAnsi="Bookman Old Style"/>
          <w:sz w:val="24"/>
          <w:szCs w:val="24"/>
        </w:rPr>
      </w:pPr>
      <w:r w:rsidRPr="000F4D2C">
        <w:rPr>
          <w:rFonts w:ascii="Bookman Old Style" w:hAnsi="Bookman Old Style"/>
          <w:sz w:val="24"/>
          <w:szCs w:val="24"/>
        </w:rPr>
        <w:t xml:space="preserve">Cuando el proyecto inicie su operación </w:t>
      </w:r>
      <w:r w:rsidR="00243E94" w:rsidRPr="000F4D2C">
        <w:rPr>
          <w:rFonts w:ascii="Bookman Old Style" w:hAnsi="Bookman Old Style"/>
          <w:b/>
          <w:bCs/>
          <w:sz w:val="24"/>
          <w:szCs w:val="24"/>
          <w:u w:val="single"/>
        </w:rPr>
        <w:t>cert</w:t>
      </w:r>
      <w:r w:rsidR="00243E94">
        <w:rPr>
          <w:rFonts w:ascii="Bookman Old Style" w:hAnsi="Bookman Old Style"/>
          <w:b/>
          <w:bCs/>
          <w:sz w:val="24"/>
          <w:szCs w:val="24"/>
          <w:u w:val="single"/>
        </w:rPr>
        <w:t>i</w:t>
      </w:r>
      <w:r w:rsidR="00243E94" w:rsidRPr="000F4D2C">
        <w:rPr>
          <w:rFonts w:ascii="Bookman Old Style" w:hAnsi="Bookman Old Style"/>
          <w:b/>
          <w:bCs/>
          <w:sz w:val="24"/>
          <w:szCs w:val="24"/>
          <w:u w:val="single"/>
        </w:rPr>
        <w:t>ficada por el audi</w:t>
      </w:r>
      <w:r w:rsidR="00243E94">
        <w:rPr>
          <w:rFonts w:ascii="Bookman Old Style" w:hAnsi="Bookman Old Style"/>
          <w:b/>
          <w:bCs/>
          <w:sz w:val="24"/>
          <w:szCs w:val="24"/>
          <w:u w:val="single"/>
        </w:rPr>
        <w:t>t</w:t>
      </w:r>
      <w:r w:rsidR="00243E94" w:rsidRPr="000F4D2C">
        <w:rPr>
          <w:rFonts w:ascii="Bookman Old Style" w:hAnsi="Bookman Old Style"/>
          <w:b/>
          <w:bCs/>
          <w:sz w:val="24"/>
          <w:szCs w:val="24"/>
          <w:u w:val="single"/>
        </w:rPr>
        <w:t>or del proyecto</w:t>
      </w:r>
      <w:r w:rsidR="005A24FC">
        <w:rPr>
          <w:rFonts w:ascii="Bookman Old Style" w:hAnsi="Bookman Old Style"/>
          <w:b/>
          <w:bCs/>
          <w:sz w:val="24"/>
          <w:szCs w:val="24"/>
          <w:u w:val="single"/>
        </w:rPr>
        <w:t>,</w:t>
      </w:r>
      <w:r w:rsidR="00243E94" w:rsidRPr="000F4D2C">
        <w:rPr>
          <w:rFonts w:ascii="Bookman Old Style" w:hAnsi="Bookman Old Style"/>
          <w:b/>
          <w:bCs/>
          <w:sz w:val="24"/>
          <w:szCs w:val="24"/>
          <w:u w:val="single"/>
        </w:rPr>
        <w:t xml:space="preserve"> en fecha posterior a </w:t>
      </w:r>
      <w:r w:rsidRPr="000F4D2C">
        <w:rPr>
          <w:rFonts w:ascii="Bookman Old Style" w:hAnsi="Bookman Old Style"/>
          <w:b/>
          <w:bCs/>
          <w:sz w:val="24"/>
          <w:szCs w:val="24"/>
          <w:u w:val="single"/>
        </w:rPr>
        <w:t>la FPO</w:t>
      </w:r>
      <w:r w:rsidR="00D61830" w:rsidRPr="000F4D2C">
        <w:rPr>
          <w:rFonts w:ascii="Bookman Old Style" w:hAnsi="Bookman Old Style"/>
          <w:b/>
          <w:bCs/>
          <w:sz w:val="24"/>
          <w:szCs w:val="24"/>
          <w:u w:val="single"/>
        </w:rPr>
        <w:t xml:space="preserve"> inicialmente estableci</w:t>
      </w:r>
      <w:r w:rsidR="00D61830">
        <w:rPr>
          <w:rFonts w:ascii="Bookman Old Style" w:hAnsi="Bookman Old Style"/>
          <w:b/>
          <w:bCs/>
          <w:sz w:val="24"/>
          <w:szCs w:val="24"/>
          <w:u w:val="single"/>
        </w:rPr>
        <w:t>d</w:t>
      </w:r>
      <w:r w:rsidR="00D61830" w:rsidRPr="000F4D2C">
        <w:rPr>
          <w:rFonts w:ascii="Bookman Old Style" w:hAnsi="Bookman Old Style"/>
          <w:b/>
          <w:bCs/>
          <w:sz w:val="24"/>
          <w:szCs w:val="24"/>
          <w:u w:val="single"/>
        </w:rPr>
        <w:t>a en el PAGN</w:t>
      </w:r>
      <w:r w:rsidRPr="000F4D2C">
        <w:rPr>
          <w:rFonts w:ascii="Bookman Old Style" w:hAnsi="Bookman Old Style"/>
          <w:b/>
          <w:bCs/>
          <w:sz w:val="24"/>
          <w:szCs w:val="24"/>
          <w:u w:val="single"/>
        </w:rPr>
        <w:t>,</w:t>
      </w:r>
      <w:r w:rsidRPr="000F4D2C">
        <w:rPr>
          <w:rFonts w:ascii="Bookman Old Style" w:hAnsi="Bookman Old Style"/>
          <w:sz w:val="24"/>
          <w:szCs w:val="24"/>
        </w:rPr>
        <w:t xml:space="preserve"> el adjudicatario recibirá los </w:t>
      </w:r>
      <w:r w:rsidR="00475935">
        <w:rPr>
          <w:rFonts w:ascii="Bookman Old Style" w:hAnsi="Bookman Old Style"/>
          <w:sz w:val="24"/>
          <w:szCs w:val="24"/>
        </w:rPr>
        <w:t>siguientes pagos:</w:t>
      </w:r>
    </w:p>
    <w:p w14:paraId="50894826" w14:textId="77777777" w:rsidR="00470E6A" w:rsidRDefault="00470E6A" w:rsidP="00470E6A">
      <w:pPr>
        <w:pStyle w:val="Prrafodelista"/>
        <w:rPr>
          <w:rFonts w:ascii="Bookman Old Style" w:hAnsi="Bookman Old Style"/>
          <w:sz w:val="24"/>
          <w:szCs w:val="24"/>
        </w:rPr>
      </w:pPr>
    </w:p>
    <w:p w14:paraId="6BAB5F07" w14:textId="7800F1FD" w:rsidR="00861BDB" w:rsidRPr="000F4D2C" w:rsidRDefault="00861BDB" w:rsidP="000F4D2C">
      <w:pPr>
        <w:pStyle w:val="Prrafodelista"/>
        <w:ind w:left="1134" w:hanging="426"/>
        <w:jc w:val="both"/>
        <w:rPr>
          <w:rFonts w:ascii="Bookman Old Style" w:hAnsi="Bookman Old Style"/>
          <w:b/>
          <w:bCs/>
          <w:sz w:val="24"/>
          <w:szCs w:val="24"/>
          <w:u w:val="single"/>
        </w:rPr>
      </w:pPr>
      <w:r w:rsidRPr="000F4D2C">
        <w:rPr>
          <w:rFonts w:ascii="Bookman Old Style" w:hAnsi="Bookman Old Style"/>
          <w:b/>
          <w:bCs/>
          <w:sz w:val="24"/>
          <w:szCs w:val="24"/>
          <w:u w:val="single"/>
        </w:rPr>
        <w:t>i.</w:t>
      </w:r>
      <w:r w:rsidRPr="000F4D2C">
        <w:rPr>
          <w:rFonts w:ascii="Bookman Old Style" w:hAnsi="Bookman Old Style"/>
          <w:b/>
          <w:bCs/>
          <w:sz w:val="24"/>
          <w:szCs w:val="24"/>
          <w:u w:val="single"/>
        </w:rPr>
        <w:tab/>
      </w:r>
      <w:r w:rsidR="008B759B">
        <w:rPr>
          <w:rFonts w:ascii="Bookman Old Style" w:hAnsi="Bookman Old Style"/>
          <w:b/>
          <w:bCs/>
          <w:sz w:val="24"/>
          <w:szCs w:val="24"/>
          <w:u w:val="single"/>
        </w:rPr>
        <w:t xml:space="preserve">A partir de la misma fecha de la FPO inicialmente establecida en el PAGN, </w:t>
      </w:r>
      <w:r w:rsidR="00D221D4">
        <w:rPr>
          <w:rFonts w:ascii="Bookman Old Style" w:hAnsi="Bookman Old Style"/>
          <w:b/>
          <w:bCs/>
          <w:sz w:val="24"/>
          <w:szCs w:val="24"/>
          <w:u w:val="single"/>
        </w:rPr>
        <w:t xml:space="preserve">se iniciarán </w:t>
      </w:r>
      <w:r w:rsidRPr="000F4D2C">
        <w:rPr>
          <w:rFonts w:ascii="Bookman Old Style" w:hAnsi="Bookman Old Style"/>
          <w:b/>
          <w:bCs/>
          <w:sz w:val="24"/>
          <w:szCs w:val="24"/>
          <w:u w:val="single"/>
        </w:rPr>
        <w:t>los pagos correspondientes al IAE INVERSIÓN ofertado</w:t>
      </w:r>
      <w:r w:rsidR="00646DBF">
        <w:rPr>
          <w:rFonts w:ascii="Bookman Old Style" w:hAnsi="Bookman Old Style"/>
          <w:b/>
          <w:bCs/>
          <w:sz w:val="24"/>
          <w:szCs w:val="24"/>
          <w:u w:val="single"/>
        </w:rPr>
        <w:t xml:space="preserve"> ajustado</w:t>
      </w:r>
      <w:r w:rsidRPr="000F4D2C">
        <w:rPr>
          <w:rFonts w:ascii="Bookman Old Style" w:hAnsi="Bookman Old Style"/>
          <w:b/>
          <w:bCs/>
          <w:sz w:val="24"/>
          <w:szCs w:val="24"/>
          <w:u w:val="single"/>
        </w:rPr>
        <w:t xml:space="preserve">, siempre y cuando se cumplan con </w:t>
      </w:r>
      <w:r w:rsidR="0026043C">
        <w:rPr>
          <w:rFonts w:ascii="Bookman Old Style" w:hAnsi="Bookman Old Style"/>
          <w:b/>
          <w:bCs/>
          <w:sz w:val="24"/>
          <w:szCs w:val="24"/>
          <w:u w:val="single"/>
        </w:rPr>
        <w:t xml:space="preserve">cada una de </w:t>
      </w:r>
      <w:r w:rsidRPr="000F4D2C">
        <w:rPr>
          <w:rFonts w:ascii="Bookman Old Style" w:hAnsi="Bookman Old Style"/>
          <w:b/>
          <w:bCs/>
          <w:sz w:val="24"/>
          <w:szCs w:val="24"/>
          <w:u w:val="single"/>
        </w:rPr>
        <w:t>las siguientes condiciones:</w:t>
      </w:r>
    </w:p>
    <w:p w14:paraId="286985C8" w14:textId="77777777" w:rsidR="00861BDB" w:rsidRPr="000F4D2C" w:rsidRDefault="00861BDB" w:rsidP="000F4D2C">
      <w:pPr>
        <w:pStyle w:val="Prrafodelista"/>
        <w:jc w:val="both"/>
        <w:rPr>
          <w:rFonts w:ascii="Bookman Old Style" w:hAnsi="Bookman Old Style"/>
          <w:b/>
          <w:bCs/>
          <w:sz w:val="24"/>
          <w:szCs w:val="24"/>
          <w:u w:val="single"/>
        </w:rPr>
      </w:pPr>
    </w:p>
    <w:p w14:paraId="000DCB2E" w14:textId="77777777" w:rsidR="00494A2D" w:rsidRDefault="00861BDB" w:rsidP="000F4D2C">
      <w:pPr>
        <w:pStyle w:val="Prrafodelista"/>
        <w:numPr>
          <w:ilvl w:val="1"/>
          <w:numId w:val="54"/>
        </w:numPr>
        <w:ind w:left="1560"/>
        <w:jc w:val="both"/>
        <w:rPr>
          <w:rFonts w:ascii="Bookman Old Style" w:hAnsi="Bookman Old Style"/>
          <w:b/>
          <w:bCs/>
          <w:sz w:val="24"/>
          <w:szCs w:val="24"/>
          <w:u w:val="single"/>
        </w:rPr>
      </w:pPr>
      <w:r w:rsidRPr="000F4D2C">
        <w:rPr>
          <w:rFonts w:ascii="Bookman Old Style" w:hAnsi="Bookman Old Style"/>
          <w:b/>
          <w:bCs/>
          <w:sz w:val="24"/>
          <w:szCs w:val="24"/>
          <w:u w:val="single"/>
        </w:rPr>
        <w:t>El MME haya aprobado previamente</w:t>
      </w:r>
      <w:r w:rsidR="00A12E1B" w:rsidRPr="000F4D2C">
        <w:rPr>
          <w:rFonts w:ascii="Bookman Old Style" w:hAnsi="Bookman Old Style"/>
          <w:b/>
          <w:bCs/>
          <w:sz w:val="24"/>
          <w:szCs w:val="24"/>
          <w:u w:val="single"/>
        </w:rPr>
        <w:t>, en aplicación de lo establecido en el Artículo 22 de la presente Resolución,</w:t>
      </w:r>
      <w:r w:rsidRPr="000F4D2C">
        <w:rPr>
          <w:rFonts w:ascii="Bookman Old Style" w:hAnsi="Bookman Old Style"/>
          <w:b/>
          <w:bCs/>
          <w:sz w:val="24"/>
          <w:szCs w:val="24"/>
          <w:u w:val="single"/>
        </w:rPr>
        <w:t xml:space="preserve"> una FPO diferente a la FPO inicialmente establecida en el PAGN</w:t>
      </w:r>
      <w:r w:rsidR="00494A2D">
        <w:rPr>
          <w:rFonts w:ascii="Bookman Old Style" w:hAnsi="Bookman Old Style"/>
          <w:b/>
          <w:bCs/>
          <w:sz w:val="24"/>
          <w:szCs w:val="24"/>
          <w:u w:val="single"/>
        </w:rPr>
        <w:t>.</w:t>
      </w:r>
    </w:p>
    <w:p w14:paraId="0910D721" w14:textId="77777777" w:rsidR="00494A2D" w:rsidRDefault="00494A2D" w:rsidP="00494A2D">
      <w:pPr>
        <w:pStyle w:val="Prrafodelista"/>
        <w:ind w:left="1560"/>
        <w:jc w:val="both"/>
        <w:rPr>
          <w:rFonts w:ascii="Bookman Old Style" w:hAnsi="Bookman Old Style"/>
          <w:b/>
          <w:bCs/>
          <w:sz w:val="24"/>
          <w:szCs w:val="24"/>
          <w:u w:val="single"/>
        </w:rPr>
      </w:pPr>
    </w:p>
    <w:p w14:paraId="35897D8D" w14:textId="5ADCADB6" w:rsidR="00E65EE8" w:rsidRDefault="006277EA" w:rsidP="000F4D2C">
      <w:pPr>
        <w:pStyle w:val="Prrafodelista"/>
        <w:numPr>
          <w:ilvl w:val="1"/>
          <w:numId w:val="54"/>
        </w:numPr>
        <w:ind w:left="1560"/>
        <w:jc w:val="both"/>
        <w:rPr>
          <w:rFonts w:ascii="Bookman Old Style" w:hAnsi="Bookman Old Style"/>
          <w:b/>
          <w:bCs/>
          <w:sz w:val="24"/>
          <w:szCs w:val="24"/>
          <w:u w:val="single"/>
        </w:rPr>
      </w:pPr>
      <w:r>
        <w:rPr>
          <w:rFonts w:ascii="Bookman Old Style" w:hAnsi="Bookman Old Style"/>
          <w:b/>
          <w:bCs/>
          <w:sz w:val="24"/>
          <w:szCs w:val="24"/>
          <w:u w:val="single"/>
        </w:rPr>
        <w:t xml:space="preserve">La FPO ajustada por el MME  no </w:t>
      </w:r>
      <w:r w:rsidR="00FF103C">
        <w:rPr>
          <w:rFonts w:ascii="Bookman Old Style" w:hAnsi="Bookman Old Style"/>
          <w:b/>
          <w:bCs/>
          <w:sz w:val="24"/>
          <w:szCs w:val="24"/>
          <w:u w:val="single"/>
        </w:rPr>
        <w:t>sea posterior a la FPO inicialmente establecida en el PAGN más 1 año</w:t>
      </w:r>
      <w:r w:rsidR="00861BDB" w:rsidRPr="000F4D2C">
        <w:rPr>
          <w:rFonts w:ascii="Bookman Old Style" w:hAnsi="Bookman Old Style"/>
          <w:b/>
          <w:bCs/>
          <w:sz w:val="24"/>
          <w:szCs w:val="24"/>
          <w:u w:val="single"/>
        </w:rPr>
        <w:t xml:space="preserve">. </w:t>
      </w:r>
    </w:p>
    <w:p w14:paraId="11910A42" w14:textId="77777777" w:rsidR="00E65EE8" w:rsidRDefault="00E65EE8" w:rsidP="000F4D2C">
      <w:pPr>
        <w:pStyle w:val="Prrafodelista"/>
        <w:ind w:left="1560"/>
        <w:jc w:val="both"/>
        <w:rPr>
          <w:rFonts w:ascii="Bookman Old Style" w:hAnsi="Bookman Old Style"/>
          <w:b/>
          <w:bCs/>
          <w:sz w:val="24"/>
          <w:szCs w:val="24"/>
          <w:u w:val="single"/>
        </w:rPr>
      </w:pPr>
    </w:p>
    <w:p w14:paraId="20A6ADBC" w14:textId="0AB2BC59" w:rsidR="00943D7B" w:rsidRPr="00A12E1B" w:rsidRDefault="00943D7B" w:rsidP="000F4D2C">
      <w:pPr>
        <w:pStyle w:val="Prrafodelista"/>
        <w:numPr>
          <w:ilvl w:val="1"/>
          <w:numId w:val="54"/>
        </w:numPr>
        <w:ind w:left="1560"/>
        <w:jc w:val="both"/>
        <w:rPr>
          <w:rFonts w:ascii="Bookman Old Style" w:hAnsi="Bookman Old Style"/>
          <w:b/>
          <w:bCs/>
          <w:sz w:val="24"/>
          <w:szCs w:val="24"/>
          <w:u w:val="single"/>
        </w:rPr>
      </w:pPr>
      <w:r>
        <w:rPr>
          <w:rFonts w:ascii="Bookman Old Style" w:hAnsi="Bookman Old Style"/>
          <w:b/>
          <w:bCs/>
          <w:sz w:val="24"/>
          <w:szCs w:val="24"/>
          <w:u w:val="single"/>
        </w:rPr>
        <w:t>La fecha de puesta en operación del proyecto, de acuerdo con el cronog</w:t>
      </w:r>
      <w:r w:rsidR="004E36E3">
        <w:rPr>
          <w:rFonts w:ascii="Bookman Old Style" w:hAnsi="Bookman Old Style"/>
          <w:b/>
          <w:bCs/>
          <w:sz w:val="24"/>
          <w:szCs w:val="24"/>
          <w:u w:val="single"/>
        </w:rPr>
        <w:t>r</w:t>
      </w:r>
      <w:r>
        <w:rPr>
          <w:rFonts w:ascii="Bookman Old Style" w:hAnsi="Bookman Old Style"/>
          <w:b/>
          <w:bCs/>
          <w:sz w:val="24"/>
          <w:szCs w:val="24"/>
          <w:u w:val="single"/>
        </w:rPr>
        <w:t>ama del proyecto de ejecución real</w:t>
      </w:r>
      <w:r w:rsidR="00916DB8">
        <w:rPr>
          <w:rFonts w:ascii="Bookman Old Style" w:hAnsi="Bookman Old Style"/>
          <w:b/>
          <w:bCs/>
          <w:sz w:val="24"/>
          <w:szCs w:val="24"/>
          <w:u w:val="single"/>
        </w:rPr>
        <w:t>,</w:t>
      </w:r>
      <w:r>
        <w:rPr>
          <w:rFonts w:ascii="Bookman Old Style" w:hAnsi="Bookman Old Style"/>
          <w:b/>
          <w:bCs/>
          <w:sz w:val="24"/>
          <w:szCs w:val="24"/>
          <w:u w:val="single"/>
        </w:rPr>
        <w:t xml:space="preserve"> validado por el auditor </w:t>
      </w:r>
      <w:r w:rsidR="004E36E3">
        <w:rPr>
          <w:rFonts w:ascii="Bookman Old Style" w:hAnsi="Bookman Old Style"/>
          <w:b/>
          <w:bCs/>
          <w:sz w:val="24"/>
          <w:szCs w:val="24"/>
          <w:u w:val="single"/>
        </w:rPr>
        <w:t xml:space="preserve">en la misma fecha de </w:t>
      </w:r>
      <w:r>
        <w:rPr>
          <w:rFonts w:ascii="Bookman Old Style" w:hAnsi="Bookman Old Style"/>
          <w:b/>
          <w:bCs/>
          <w:sz w:val="24"/>
          <w:szCs w:val="24"/>
          <w:u w:val="single"/>
        </w:rPr>
        <w:t>la FPO inicialmente establecida en el PAGN, no sea posterior a dicha FPO más un año</w:t>
      </w:r>
      <w:r w:rsidR="00897DF5">
        <w:rPr>
          <w:rFonts w:ascii="Bookman Old Style" w:hAnsi="Bookman Old Style"/>
          <w:b/>
          <w:bCs/>
          <w:sz w:val="24"/>
          <w:szCs w:val="24"/>
          <w:u w:val="single"/>
        </w:rPr>
        <w:t>.</w:t>
      </w:r>
      <w:r>
        <w:rPr>
          <w:rFonts w:ascii="Bookman Old Style" w:hAnsi="Bookman Old Style"/>
          <w:b/>
          <w:bCs/>
          <w:sz w:val="24"/>
          <w:szCs w:val="24"/>
          <w:u w:val="single"/>
        </w:rPr>
        <w:t xml:space="preserve"> </w:t>
      </w:r>
    </w:p>
    <w:p w14:paraId="3017CB43" w14:textId="77777777" w:rsidR="00943D7B" w:rsidRDefault="00943D7B" w:rsidP="000F4D2C">
      <w:pPr>
        <w:pStyle w:val="Prrafodelista"/>
        <w:ind w:left="1560"/>
        <w:jc w:val="both"/>
        <w:rPr>
          <w:rFonts w:ascii="Bookman Old Style" w:hAnsi="Bookman Old Style"/>
          <w:b/>
          <w:bCs/>
          <w:sz w:val="24"/>
          <w:szCs w:val="24"/>
          <w:u w:val="single"/>
        </w:rPr>
      </w:pPr>
    </w:p>
    <w:p w14:paraId="2FC39129" w14:textId="6E5F9427" w:rsidR="00E65EE8" w:rsidRDefault="004F2E1F" w:rsidP="000F4D2C">
      <w:pPr>
        <w:pStyle w:val="Prrafodelista"/>
        <w:numPr>
          <w:ilvl w:val="1"/>
          <w:numId w:val="54"/>
        </w:numPr>
        <w:ind w:left="1560"/>
        <w:jc w:val="both"/>
        <w:rPr>
          <w:rFonts w:ascii="Bookman Old Style" w:hAnsi="Bookman Old Style"/>
          <w:b/>
          <w:bCs/>
          <w:sz w:val="24"/>
          <w:szCs w:val="24"/>
          <w:u w:val="single"/>
        </w:rPr>
      </w:pPr>
      <w:r>
        <w:rPr>
          <w:rFonts w:ascii="Bookman Old Style" w:hAnsi="Bookman Old Style"/>
          <w:b/>
          <w:bCs/>
          <w:sz w:val="24"/>
          <w:szCs w:val="24"/>
          <w:u w:val="single"/>
        </w:rPr>
        <w:t>El porcentaje de avance del proy</w:t>
      </w:r>
      <w:r w:rsidR="00445E57">
        <w:rPr>
          <w:rFonts w:ascii="Bookman Old Style" w:hAnsi="Bookman Old Style"/>
          <w:b/>
          <w:bCs/>
          <w:sz w:val="24"/>
          <w:szCs w:val="24"/>
          <w:u w:val="single"/>
        </w:rPr>
        <w:t>e</w:t>
      </w:r>
      <w:r>
        <w:rPr>
          <w:rFonts w:ascii="Bookman Old Style" w:hAnsi="Bookman Old Style"/>
          <w:b/>
          <w:bCs/>
          <w:sz w:val="24"/>
          <w:szCs w:val="24"/>
          <w:u w:val="single"/>
        </w:rPr>
        <w:t xml:space="preserve">cto </w:t>
      </w:r>
      <w:r w:rsidR="00445E57">
        <w:rPr>
          <w:rFonts w:ascii="Bookman Old Style" w:hAnsi="Bookman Old Style"/>
          <w:b/>
          <w:bCs/>
          <w:sz w:val="24"/>
          <w:szCs w:val="24"/>
          <w:u w:val="single"/>
        </w:rPr>
        <w:t xml:space="preserve">de la curva S de ejecución, </w:t>
      </w:r>
      <w:r>
        <w:rPr>
          <w:rFonts w:ascii="Bookman Old Style" w:hAnsi="Bookman Old Style"/>
          <w:b/>
          <w:bCs/>
          <w:sz w:val="24"/>
          <w:szCs w:val="24"/>
          <w:u w:val="single"/>
        </w:rPr>
        <w:t xml:space="preserve">validado por el auditor </w:t>
      </w:r>
      <w:r w:rsidR="00445E57">
        <w:rPr>
          <w:rFonts w:ascii="Bookman Old Style" w:hAnsi="Bookman Old Style"/>
          <w:b/>
          <w:bCs/>
          <w:sz w:val="24"/>
          <w:szCs w:val="24"/>
          <w:u w:val="single"/>
        </w:rPr>
        <w:t xml:space="preserve">en la misma fecha de la FPO, </w:t>
      </w:r>
      <w:r w:rsidR="0026043C">
        <w:rPr>
          <w:rFonts w:ascii="Bookman Old Style" w:hAnsi="Bookman Old Style"/>
          <w:b/>
          <w:bCs/>
          <w:sz w:val="24"/>
          <w:szCs w:val="24"/>
          <w:u w:val="single"/>
        </w:rPr>
        <w:t>es de como mínimo un ochenta por ciento (80%).</w:t>
      </w:r>
    </w:p>
    <w:p w14:paraId="0DE790E5" w14:textId="77777777" w:rsidR="0026043C" w:rsidRPr="000F4D2C" w:rsidRDefault="0026043C" w:rsidP="000F4D2C">
      <w:pPr>
        <w:pStyle w:val="Prrafodelista"/>
        <w:ind w:left="1560"/>
        <w:rPr>
          <w:rFonts w:ascii="Bookman Old Style" w:hAnsi="Bookman Old Style"/>
          <w:b/>
          <w:bCs/>
          <w:sz w:val="24"/>
          <w:szCs w:val="24"/>
          <w:u w:val="single"/>
        </w:rPr>
      </w:pPr>
    </w:p>
    <w:p w14:paraId="4ECC47B4" w14:textId="00D6B330" w:rsidR="0026043C" w:rsidRDefault="0026043C" w:rsidP="000F4D2C">
      <w:pPr>
        <w:pStyle w:val="Prrafodelista"/>
        <w:numPr>
          <w:ilvl w:val="1"/>
          <w:numId w:val="54"/>
        </w:numPr>
        <w:ind w:left="1560"/>
        <w:jc w:val="both"/>
        <w:rPr>
          <w:rFonts w:ascii="Bookman Old Style" w:hAnsi="Bookman Old Style"/>
          <w:b/>
          <w:bCs/>
          <w:sz w:val="24"/>
          <w:szCs w:val="24"/>
          <w:u w:val="single"/>
        </w:rPr>
      </w:pPr>
      <w:r>
        <w:rPr>
          <w:rFonts w:ascii="Bookman Old Style" w:hAnsi="Bookman Old Style"/>
          <w:b/>
          <w:bCs/>
          <w:sz w:val="24"/>
          <w:szCs w:val="24"/>
          <w:u w:val="single"/>
        </w:rPr>
        <w:t xml:space="preserve">El porcentaje de inversión </w:t>
      </w:r>
      <w:r w:rsidR="003E0382">
        <w:rPr>
          <w:rFonts w:ascii="Bookman Old Style" w:hAnsi="Bookman Old Style"/>
          <w:b/>
          <w:bCs/>
          <w:sz w:val="24"/>
          <w:szCs w:val="24"/>
          <w:u w:val="single"/>
        </w:rPr>
        <w:t xml:space="preserve">realizada por el adjudicatario y verificada por el auditor, es de como mínimo un ochenta por ciento (80%) del </w:t>
      </w:r>
      <w:r w:rsidR="001D6B2E">
        <w:rPr>
          <w:rFonts w:ascii="Bookman Old Style" w:hAnsi="Bookman Old Style"/>
          <w:b/>
          <w:bCs/>
          <w:sz w:val="24"/>
          <w:szCs w:val="24"/>
          <w:u w:val="single"/>
        </w:rPr>
        <w:t>IAE INVERSIÓN.</w:t>
      </w:r>
    </w:p>
    <w:p w14:paraId="3428A0BB" w14:textId="77777777" w:rsidR="00897DF5" w:rsidRPr="000F4D2C" w:rsidRDefault="00897DF5" w:rsidP="000F4D2C">
      <w:pPr>
        <w:pStyle w:val="Prrafodelista"/>
        <w:ind w:left="1560"/>
        <w:rPr>
          <w:rFonts w:ascii="Bookman Old Style" w:hAnsi="Bookman Old Style"/>
          <w:b/>
          <w:bCs/>
          <w:sz w:val="24"/>
          <w:szCs w:val="24"/>
          <w:u w:val="single"/>
        </w:rPr>
      </w:pPr>
    </w:p>
    <w:p w14:paraId="727E790B" w14:textId="77777777" w:rsidR="00897DF5" w:rsidRDefault="00897DF5" w:rsidP="00E86C96">
      <w:pPr>
        <w:pStyle w:val="Prrafodelista"/>
        <w:numPr>
          <w:ilvl w:val="1"/>
          <w:numId w:val="54"/>
        </w:numPr>
        <w:ind w:left="1560"/>
        <w:jc w:val="both"/>
        <w:rPr>
          <w:rFonts w:ascii="Bookman Old Style" w:hAnsi="Bookman Old Style"/>
          <w:b/>
          <w:bCs/>
          <w:sz w:val="24"/>
          <w:szCs w:val="24"/>
          <w:u w:val="single"/>
        </w:rPr>
      </w:pPr>
      <w:r w:rsidRPr="00A12E1B">
        <w:rPr>
          <w:rFonts w:ascii="Bookman Old Style" w:hAnsi="Bookman Old Style"/>
          <w:b/>
          <w:bCs/>
          <w:sz w:val="24"/>
          <w:szCs w:val="24"/>
          <w:u w:val="single"/>
        </w:rPr>
        <w:t>Se presente c</w:t>
      </w:r>
      <w:r w:rsidRPr="0020151F">
        <w:rPr>
          <w:rFonts w:ascii="Bookman Old Style" w:hAnsi="Bookman Old Style"/>
          <w:b/>
          <w:bCs/>
          <w:sz w:val="24"/>
          <w:szCs w:val="24"/>
          <w:u w:val="single"/>
        </w:rPr>
        <w:t>ertificación del auditor del proyecto de que</w:t>
      </w:r>
      <w:r w:rsidRPr="00A12E1B">
        <w:rPr>
          <w:rFonts w:ascii="Bookman Old Style" w:hAnsi="Bookman Old Style"/>
          <w:b/>
          <w:bCs/>
          <w:sz w:val="24"/>
          <w:szCs w:val="24"/>
          <w:u w:val="single"/>
        </w:rPr>
        <w:t>,</w:t>
      </w:r>
      <w:r w:rsidRPr="0020151F">
        <w:rPr>
          <w:rFonts w:ascii="Bookman Old Style" w:hAnsi="Bookman Old Style"/>
          <w:b/>
          <w:bCs/>
          <w:sz w:val="24"/>
          <w:szCs w:val="24"/>
          <w:u w:val="single"/>
        </w:rPr>
        <w:t xml:space="preserve"> para dicha </w:t>
      </w:r>
      <w:r w:rsidRPr="00A12E1B">
        <w:rPr>
          <w:rFonts w:ascii="Bookman Old Style" w:hAnsi="Bookman Old Style"/>
          <w:b/>
          <w:bCs/>
          <w:sz w:val="24"/>
          <w:szCs w:val="24"/>
          <w:u w:val="single"/>
        </w:rPr>
        <w:t xml:space="preserve">la misma fecha de la </w:t>
      </w:r>
      <w:r w:rsidRPr="0020151F">
        <w:rPr>
          <w:rFonts w:ascii="Bookman Old Style" w:hAnsi="Bookman Old Style"/>
          <w:b/>
          <w:bCs/>
          <w:sz w:val="24"/>
          <w:szCs w:val="24"/>
          <w:u w:val="single"/>
        </w:rPr>
        <w:t>FPO inicialmente establecida por el MME, los hitos de la Curva S no hayan sido incumplidos.</w:t>
      </w:r>
    </w:p>
    <w:p w14:paraId="26038700" w14:textId="77777777" w:rsidR="00646DBF" w:rsidRPr="000F4D2C" w:rsidRDefault="00646DBF" w:rsidP="000F4D2C">
      <w:pPr>
        <w:pStyle w:val="Prrafodelista"/>
        <w:rPr>
          <w:rFonts w:ascii="Bookman Old Style" w:hAnsi="Bookman Old Style"/>
          <w:b/>
          <w:bCs/>
          <w:sz w:val="24"/>
          <w:szCs w:val="24"/>
          <w:u w:val="single"/>
        </w:rPr>
      </w:pPr>
    </w:p>
    <w:p w14:paraId="305BFA28" w14:textId="70F64E27" w:rsidR="00BB4E9B" w:rsidRDefault="00646DBF" w:rsidP="00646DBF">
      <w:pPr>
        <w:ind w:left="1134"/>
        <w:jc w:val="both"/>
        <w:rPr>
          <w:rFonts w:ascii="Bookman Old Style" w:hAnsi="Bookman Old Style"/>
          <w:b/>
          <w:bCs/>
          <w:sz w:val="24"/>
          <w:szCs w:val="24"/>
          <w:u w:val="single"/>
        </w:rPr>
      </w:pPr>
      <w:r>
        <w:rPr>
          <w:rFonts w:ascii="Bookman Old Style" w:hAnsi="Bookman Old Style"/>
          <w:b/>
          <w:bCs/>
          <w:sz w:val="24"/>
          <w:szCs w:val="24"/>
          <w:u w:val="single"/>
        </w:rPr>
        <w:t>Para efectos de</w:t>
      </w:r>
      <w:r w:rsidR="00CB0185">
        <w:rPr>
          <w:rFonts w:ascii="Bookman Old Style" w:hAnsi="Bookman Old Style"/>
          <w:b/>
          <w:bCs/>
          <w:sz w:val="24"/>
          <w:szCs w:val="24"/>
          <w:u w:val="single"/>
        </w:rPr>
        <w:t xml:space="preserve"> los</w:t>
      </w:r>
      <w:r w:rsidR="00D709D9">
        <w:rPr>
          <w:rFonts w:ascii="Bookman Old Style" w:hAnsi="Bookman Old Style"/>
          <w:b/>
          <w:bCs/>
          <w:sz w:val="24"/>
          <w:szCs w:val="24"/>
          <w:u w:val="single"/>
        </w:rPr>
        <w:t xml:space="preserve"> pagos en este caso, el IAE INVERSIÓN se ajustará de manera que </w:t>
      </w:r>
      <w:r w:rsidR="001300C8">
        <w:rPr>
          <w:rFonts w:ascii="Bookman Old Style" w:hAnsi="Bookman Old Style"/>
          <w:b/>
          <w:bCs/>
          <w:sz w:val="24"/>
          <w:szCs w:val="24"/>
          <w:u w:val="single"/>
        </w:rPr>
        <w:t xml:space="preserve">el </w:t>
      </w:r>
      <w:r w:rsidR="001A2929">
        <w:rPr>
          <w:rFonts w:ascii="Bookman Old Style" w:hAnsi="Bookman Old Style"/>
          <w:b/>
          <w:bCs/>
          <w:sz w:val="24"/>
          <w:szCs w:val="24"/>
          <w:u w:val="single"/>
        </w:rPr>
        <w:t xml:space="preserve">mismo </w:t>
      </w:r>
      <w:r w:rsidR="001300C8">
        <w:rPr>
          <w:rFonts w:ascii="Bookman Old Style" w:hAnsi="Bookman Old Style"/>
          <w:b/>
          <w:bCs/>
          <w:sz w:val="24"/>
          <w:szCs w:val="24"/>
          <w:u w:val="single"/>
        </w:rPr>
        <w:t xml:space="preserve">valor ofertado </w:t>
      </w:r>
      <w:r w:rsidR="00A8445D">
        <w:rPr>
          <w:rFonts w:ascii="Bookman Old Style" w:hAnsi="Bookman Old Style"/>
          <w:b/>
          <w:bCs/>
          <w:sz w:val="24"/>
          <w:szCs w:val="24"/>
          <w:u w:val="single"/>
        </w:rPr>
        <w:t xml:space="preserve">en el proceso de selección </w:t>
      </w:r>
      <w:r w:rsidR="001300C8">
        <w:rPr>
          <w:rFonts w:ascii="Bookman Old Style" w:hAnsi="Bookman Old Style"/>
          <w:b/>
          <w:bCs/>
          <w:sz w:val="24"/>
          <w:szCs w:val="24"/>
          <w:u w:val="single"/>
        </w:rPr>
        <w:t>para el PEP inicial</w:t>
      </w:r>
      <w:r w:rsidR="00A8445D">
        <w:rPr>
          <w:rFonts w:ascii="Bookman Old Style" w:hAnsi="Bookman Old Style"/>
          <w:b/>
          <w:bCs/>
          <w:sz w:val="24"/>
          <w:szCs w:val="24"/>
          <w:u w:val="single"/>
        </w:rPr>
        <w:t>, será pagado d</w:t>
      </w:r>
      <w:r w:rsidR="00FF5990">
        <w:rPr>
          <w:rFonts w:ascii="Bookman Old Style" w:hAnsi="Bookman Old Style"/>
          <w:b/>
          <w:bCs/>
          <w:sz w:val="24"/>
          <w:szCs w:val="24"/>
          <w:u w:val="single"/>
        </w:rPr>
        <w:t>esde</w:t>
      </w:r>
      <w:r w:rsidR="001A2929">
        <w:rPr>
          <w:rFonts w:ascii="Bookman Old Style" w:hAnsi="Bookman Old Style"/>
          <w:b/>
          <w:bCs/>
          <w:sz w:val="24"/>
          <w:szCs w:val="24"/>
          <w:u w:val="single"/>
        </w:rPr>
        <w:t xml:space="preserve"> el in</w:t>
      </w:r>
      <w:r w:rsidR="00FF5990">
        <w:rPr>
          <w:rFonts w:ascii="Bookman Old Style" w:hAnsi="Bookman Old Style"/>
          <w:b/>
          <w:bCs/>
          <w:sz w:val="24"/>
          <w:szCs w:val="24"/>
          <w:u w:val="single"/>
        </w:rPr>
        <w:t>i</w:t>
      </w:r>
      <w:r w:rsidR="001A2929">
        <w:rPr>
          <w:rFonts w:ascii="Bookman Old Style" w:hAnsi="Bookman Old Style"/>
          <w:b/>
          <w:bCs/>
          <w:sz w:val="24"/>
          <w:szCs w:val="24"/>
          <w:u w:val="single"/>
        </w:rPr>
        <w:t xml:space="preserve">cio de </w:t>
      </w:r>
      <w:r w:rsidR="00FF5990">
        <w:rPr>
          <w:rFonts w:ascii="Bookman Old Style" w:hAnsi="Bookman Old Style"/>
          <w:b/>
          <w:bCs/>
          <w:sz w:val="24"/>
          <w:szCs w:val="24"/>
          <w:u w:val="single"/>
        </w:rPr>
        <w:t xml:space="preserve">los </w:t>
      </w:r>
      <w:r w:rsidR="001A2929">
        <w:rPr>
          <w:rFonts w:ascii="Bookman Old Style" w:hAnsi="Bookman Old Style"/>
          <w:b/>
          <w:bCs/>
          <w:sz w:val="24"/>
          <w:szCs w:val="24"/>
          <w:u w:val="single"/>
        </w:rPr>
        <w:t xml:space="preserve">pagos y hasta cuando se cumpla el PEP contado a partir de la </w:t>
      </w:r>
      <w:r w:rsidR="00CB0185">
        <w:rPr>
          <w:rFonts w:ascii="Bookman Old Style" w:hAnsi="Bookman Old Style"/>
          <w:b/>
          <w:bCs/>
          <w:sz w:val="24"/>
          <w:szCs w:val="24"/>
          <w:u w:val="single"/>
        </w:rPr>
        <w:t xml:space="preserve">fecha de </w:t>
      </w:r>
      <w:r w:rsidR="001A2929">
        <w:rPr>
          <w:rFonts w:ascii="Bookman Old Style" w:hAnsi="Bookman Old Style"/>
          <w:b/>
          <w:bCs/>
          <w:sz w:val="24"/>
          <w:szCs w:val="24"/>
          <w:u w:val="single"/>
        </w:rPr>
        <w:t>puesta en operación del proyecto</w:t>
      </w:r>
      <w:r w:rsidR="00BB4E9B">
        <w:rPr>
          <w:rFonts w:ascii="Bookman Old Style" w:hAnsi="Bookman Old Style"/>
          <w:b/>
          <w:bCs/>
          <w:sz w:val="24"/>
          <w:szCs w:val="24"/>
          <w:u w:val="single"/>
        </w:rPr>
        <w:t>, de la siguiente manera:</w:t>
      </w:r>
    </w:p>
    <w:p w14:paraId="07AEC869" w14:textId="77777777" w:rsidR="00EC1C0E" w:rsidRDefault="00EC1C0E" w:rsidP="00646DBF">
      <w:pPr>
        <w:ind w:left="1134"/>
        <w:jc w:val="both"/>
        <w:rPr>
          <w:rFonts w:ascii="Bookman Old Style" w:hAnsi="Bookman Old Style"/>
          <w:b/>
          <w:bCs/>
          <w:sz w:val="24"/>
          <w:szCs w:val="24"/>
          <w:u w:val="single"/>
        </w:rPr>
      </w:pPr>
    </w:p>
    <w:p w14:paraId="4BAAAC69" w14:textId="57EB9554" w:rsidR="00EC1C0E" w:rsidRDefault="00EC1C0E" w:rsidP="000F4D2C">
      <w:pPr>
        <w:ind w:left="1134"/>
        <w:jc w:val="center"/>
        <w:rPr>
          <w:rFonts w:ascii="Bookman Old Style" w:hAnsi="Bookman Old Style"/>
          <w:b/>
          <w:bCs/>
          <w:sz w:val="24"/>
          <w:szCs w:val="24"/>
          <w:u w:val="single"/>
        </w:rPr>
      </w:pPr>
      <w:r>
        <w:rPr>
          <w:rFonts w:ascii="Bookman Old Style" w:hAnsi="Bookman Old Style"/>
          <w:b/>
          <w:bCs/>
          <w:sz w:val="24"/>
          <w:szCs w:val="24"/>
          <w:u w:val="single"/>
        </w:rPr>
        <w:t>IAEINV</w:t>
      </w:r>
      <w:r w:rsidR="00BD4ACC" w:rsidRPr="000F4D2C">
        <w:rPr>
          <w:rFonts w:ascii="Bookman Old Style" w:hAnsi="Bookman Old Style"/>
          <w:b/>
          <w:bCs/>
          <w:sz w:val="24"/>
          <w:szCs w:val="24"/>
          <w:u w:val="single"/>
          <w:vertAlign w:val="subscript"/>
        </w:rPr>
        <w:t>n</w:t>
      </w:r>
      <w:r w:rsidR="00BA6B0F">
        <w:rPr>
          <w:rFonts w:ascii="Bookman Old Style" w:hAnsi="Bookman Old Style"/>
          <w:b/>
          <w:bCs/>
          <w:sz w:val="24"/>
          <w:szCs w:val="24"/>
          <w:u w:val="single"/>
          <w:vertAlign w:val="subscript"/>
        </w:rPr>
        <w:t>,</w:t>
      </w:r>
      <w:r w:rsidR="00BD4ACC" w:rsidRPr="000F4D2C">
        <w:rPr>
          <w:rFonts w:ascii="Bookman Old Style" w:hAnsi="Bookman Old Style"/>
          <w:b/>
          <w:bCs/>
          <w:sz w:val="24"/>
          <w:szCs w:val="24"/>
          <w:u w:val="single"/>
          <w:vertAlign w:val="subscript"/>
        </w:rPr>
        <w:t xml:space="preserve">ajustado </w:t>
      </w:r>
      <w:r w:rsidR="00BD4ACC">
        <w:rPr>
          <w:rFonts w:ascii="Bookman Old Style" w:hAnsi="Bookman Old Style"/>
          <w:b/>
          <w:bCs/>
          <w:sz w:val="24"/>
          <w:szCs w:val="24"/>
          <w:u w:val="single"/>
        </w:rPr>
        <w:t>= IAEINV</w:t>
      </w:r>
      <w:r w:rsidR="00BD4ACC" w:rsidRPr="000F4D2C">
        <w:rPr>
          <w:rFonts w:ascii="Bookman Old Style" w:hAnsi="Bookman Old Style"/>
          <w:b/>
          <w:bCs/>
          <w:sz w:val="24"/>
          <w:szCs w:val="24"/>
          <w:u w:val="single"/>
          <w:vertAlign w:val="subscript"/>
        </w:rPr>
        <w:t>n</w:t>
      </w:r>
      <w:r w:rsidR="00BD4ACC">
        <w:rPr>
          <w:rFonts w:ascii="Bookman Old Style" w:hAnsi="Bookman Old Style"/>
          <w:b/>
          <w:bCs/>
          <w:sz w:val="24"/>
          <w:szCs w:val="24"/>
          <w:u w:val="single"/>
        </w:rPr>
        <w:t xml:space="preserve"> X FA</w:t>
      </w:r>
    </w:p>
    <w:p w14:paraId="398568F5" w14:textId="7052F0E4" w:rsidR="00CD125C" w:rsidRDefault="00CD125C" w:rsidP="00646DBF">
      <w:pPr>
        <w:ind w:left="1134"/>
        <w:jc w:val="both"/>
        <w:rPr>
          <w:rFonts w:ascii="Bookman Old Style" w:hAnsi="Bookman Old Style"/>
          <w:b/>
          <w:bCs/>
          <w:sz w:val="24"/>
          <w:szCs w:val="24"/>
          <w:u w:val="single"/>
        </w:rPr>
      </w:pPr>
      <w:r>
        <w:rPr>
          <w:rFonts w:ascii="Bookman Old Style" w:hAnsi="Bookman Old Style"/>
          <w:b/>
          <w:bCs/>
          <w:sz w:val="24"/>
          <w:szCs w:val="24"/>
          <w:u w:val="single"/>
        </w:rPr>
        <w:t>Donde:</w:t>
      </w:r>
    </w:p>
    <w:p w14:paraId="07D61816" w14:textId="03CC8B37" w:rsidR="00946C5B" w:rsidRDefault="00946C5B" w:rsidP="00946C5B">
      <w:pPr>
        <w:ind w:left="1134"/>
        <w:jc w:val="both"/>
        <w:rPr>
          <w:rFonts w:ascii="Bookman Old Style" w:hAnsi="Bookman Old Style"/>
          <w:b/>
          <w:bCs/>
          <w:sz w:val="24"/>
          <w:szCs w:val="24"/>
          <w:u w:val="single"/>
        </w:rPr>
      </w:pPr>
      <w:r>
        <w:rPr>
          <w:rFonts w:ascii="Bookman Old Style" w:hAnsi="Bookman Old Style"/>
          <w:b/>
          <w:bCs/>
          <w:sz w:val="24"/>
          <w:szCs w:val="24"/>
          <w:u w:val="single"/>
        </w:rPr>
        <w:lastRenderedPageBreak/>
        <w:t>IAEINV</w:t>
      </w:r>
      <w:r w:rsidRPr="0020151F">
        <w:rPr>
          <w:rFonts w:ascii="Bookman Old Style" w:hAnsi="Bookman Old Style"/>
          <w:b/>
          <w:bCs/>
          <w:sz w:val="24"/>
          <w:szCs w:val="24"/>
          <w:u w:val="single"/>
          <w:vertAlign w:val="subscript"/>
        </w:rPr>
        <w:t>n</w:t>
      </w:r>
      <w:r w:rsidR="00BA6B0F">
        <w:rPr>
          <w:rFonts w:ascii="Bookman Old Style" w:hAnsi="Bookman Old Style"/>
          <w:b/>
          <w:bCs/>
          <w:sz w:val="24"/>
          <w:szCs w:val="24"/>
          <w:u w:val="single"/>
          <w:vertAlign w:val="subscript"/>
        </w:rPr>
        <w:t>,</w:t>
      </w:r>
      <w:r w:rsidRPr="0020151F">
        <w:rPr>
          <w:rFonts w:ascii="Bookman Old Style" w:hAnsi="Bookman Old Style"/>
          <w:b/>
          <w:bCs/>
          <w:sz w:val="24"/>
          <w:szCs w:val="24"/>
          <w:u w:val="single"/>
          <w:vertAlign w:val="subscript"/>
        </w:rPr>
        <w:t>ajustado</w:t>
      </w:r>
      <w:r>
        <w:rPr>
          <w:rFonts w:ascii="Bookman Old Style" w:hAnsi="Bookman Old Style"/>
          <w:b/>
          <w:bCs/>
          <w:sz w:val="24"/>
          <w:szCs w:val="24"/>
          <w:u w:val="single"/>
        </w:rPr>
        <w:t xml:space="preserve">: IAE INVERSIÓN ajustado para el año </w:t>
      </w:r>
      <w:r w:rsidRPr="0020151F">
        <w:rPr>
          <w:rFonts w:ascii="Bookman Old Style" w:hAnsi="Bookman Old Style"/>
          <w:b/>
          <w:bCs/>
          <w:i/>
          <w:iCs/>
          <w:sz w:val="24"/>
          <w:szCs w:val="24"/>
          <w:u w:val="single"/>
        </w:rPr>
        <w:t>n</w:t>
      </w:r>
      <w:r>
        <w:rPr>
          <w:rFonts w:ascii="Bookman Old Style" w:hAnsi="Bookman Old Style"/>
          <w:b/>
          <w:bCs/>
          <w:sz w:val="24"/>
          <w:szCs w:val="24"/>
          <w:u w:val="single"/>
        </w:rPr>
        <w:t xml:space="preserve"> del PEP</w:t>
      </w:r>
    </w:p>
    <w:p w14:paraId="5BEF492C" w14:textId="3E9C984D" w:rsidR="00CD125C" w:rsidRDefault="00CD125C" w:rsidP="000F4D2C">
      <w:pPr>
        <w:ind w:left="2977" w:hanging="1843"/>
        <w:jc w:val="both"/>
        <w:rPr>
          <w:rFonts w:ascii="Bookman Old Style" w:hAnsi="Bookman Old Style"/>
          <w:b/>
          <w:bCs/>
          <w:sz w:val="24"/>
          <w:szCs w:val="24"/>
          <w:u w:val="single"/>
        </w:rPr>
      </w:pPr>
      <w:r>
        <w:rPr>
          <w:rFonts w:ascii="Bookman Old Style" w:hAnsi="Bookman Old Style"/>
          <w:b/>
          <w:bCs/>
          <w:sz w:val="24"/>
          <w:szCs w:val="24"/>
          <w:u w:val="single"/>
        </w:rPr>
        <w:t>IAE</w:t>
      </w:r>
      <w:r w:rsidR="007450DE">
        <w:rPr>
          <w:rFonts w:ascii="Bookman Old Style" w:hAnsi="Bookman Old Style"/>
          <w:b/>
          <w:bCs/>
          <w:sz w:val="24"/>
          <w:szCs w:val="24"/>
          <w:u w:val="single"/>
        </w:rPr>
        <w:t>INV</w:t>
      </w:r>
      <w:r w:rsidR="007450DE" w:rsidRPr="000F4D2C">
        <w:rPr>
          <w:rFonts w:ascii="Bookman Old Style" w:hAnsi="Bookman Old Style"/>
          <w:b/>
          <w:bCs/>
          <w:sz w:val="24"/>
          <w:szCs w:val="24"/>
          <w:u w:val="single"/>
          <w:vertAlign w:val="subscript"/>
        </w:rPr>
        <w:t>n</w:t>
      </w:r>
      <w:r w:rsidR="007450DE">
        <w:rPr>
          <w:rFonts w:ascii="Bookman Old Style" w:hAnsi="Bookman Old Style"/>
          <w:b/>
          <w:bCs/>
          <w:sz w:val="24"/>
          <w:szCs w:val="24"/>
          <w:u w:val="single"/>
        </w:rPr>
        <w:t xml:space="preserve">: </w:t>
      </w:r>
      <w:r w:rsidR="00FE6572">
        <w:rPr>
          <w:rFonts w:ascii="Bookman Old Style" w:hAnsi="Bookman Old Style"/>
          <w:b/>
          <w:bCs/>
          <w:sz w:val="24"/>
          <w:szCs w:val="24"/>
          <w:u w:val="single"/>
        </w:rPr>
        <w:tab/>
      </w:r>
      <w:r w:rsidR="007450DE">
        <w:rPr>
          <w:rFonts w:ascii="Bookman Old Style" w:hAnsi="Bookman Old Style"/>
          <w:b/>
          <w:bCs/>
          <w:sz w:val="24"/>
          <w:szCs w:val="24"/>
          <w:u w:val="single"/>
        </w:rPr>
        <w:t xml:space="preserve">IAE INVERSIÓN ofertado para el año </w:t>
      </w:r>
      <w:r w:rsidR="007450DE" w:rsidRPr="000F4D2C">
        <w:rPr>
          <w:rFonts w:ascii="Bookman Old Style" w:hAnsi="Bookman Old Style"/>
          <w:b/>
          <w:bCs/>
          <w:i/>
          <w:iCs/>
          <w:sz w:val="24"/>
          <w:szCs w:val="24"/>
          <w:u w:val="single"/>
        </w:rPr>
        <w:t>n</w:t>
      </w:r>
      <w:r w:rsidR="007450DE">
        <w:rPr>
          <w:rFonts w:ascii="Bookman Old Style" w:hAnsi="Bookman Old Style"/>
          <w:b/>
          <w:bCs/>
          <w:sz w:val="24"/>
          <w:szCs w:val="24"/>
          <w:u w:val="single"/>
        </w:rPr>
        <w:t xml:space="preserve"> del PEP</w:t>
      </w:r>
    </w:p>
    <w:p w14:paraId="3C5509A0" w14:textId="18B8A641" w:rsidR="00FE6572" w:rsidRDefault="00FE6572" w:rsidP="00FE6572">
      <w:pPr>
        <w:ind w:left="2977" w:hanging="1843"/>
        <w:jc w:val="both"/>
        <w:rPr>
          <w:rFonts w:ascii="Bookman Old Style" w:hAnsi="Bookman Old Style"/>
          <w:b/>
          <w:bCs/>
          <w:sz w:val="24"/>
          <w:szCs w:val="24"/>
          <w:u w:val="single"/>
        </w:rPr>
      </w:pPr>
      <w:r>
        <w:rPr>
          <w:rFonts w:ascii="Bookman Old Style" w:hAnsi="Bookman Old Style"/>
          <w:b/>
          <w:bCs/>
          <w:sz w:val="24"/>
          <w:szCs w:val="24"/>
          <w:u w:val="single"/>
        </w:rPr>
        <w:t xml:space="preserve">FA: </w:t>
      </w:r>
      <w:r>
        <w:rPr>
          <w:rFonts w:ascii="Bookman Old Style" w:hAnsi="Bookman Old Style"/>
          <w:b/>
          <w:bCs/>
          <w:sz w:val="24"/>
          <w:szCs w:val="24"/>
          <w:u w:val="single"/>
        </w:rPr>
        <w:tab/>
        <w:t>Factor de ajuste</w:t>
      </w:r>
    </w:p>
    <w:p w14:paraId="337A10AC" w14:textId="6CC23FC2" w:rsidR="00F44201" w:rsidRDefault="00F44201" w:rsidP="00FE6572">
      <w:pPr>
        <w:ind w:left="2977" w:hanging="1843"/>
        <w:jc w:val="both"/>
        <w:rPr>
          <w:rFonts w:ascii="Bookman Old Style" w:hAnsi="Bookman Old Style"/>
          <w:b/>
          <w:bCs/>
          <w:sz w:val="24"/>
          <w:szCs w:val="24"/>
          <w:u w:val="single"/>
        </w:rPr>
      </w:pPr>
      <w:r>
        <w:rPr>
          <w:rFonts w:ascii="Bookman Old Style" w:hAnsi="Bookman Old Style"/>
          <w:b/>
          <w:bCs/>
          <w:sz w:val="24"/>
          <w:szCs w:val="24"/>
          <w:u w:val="single"/>
        </w:rPr>
        <w:t xml:space="preserve">Con: </w:t>
      </w:r>
    </w:p>
    <w:p w14:paraId="2CFEC776" w14:textId="4040C05B" w:rsidR="00F44201" w:rsidRDefault="00F44201" w:rsidP="00EC1C0E">
      <w:pPr>
        <w:ind w:left="2977" w:hanging="1843"/>
        <w:jc w:val="center"/>
        <w:rPr>
          <w:rFonts w:ascii="Bookman Old Style" w:hAnsi="Bookman Old Style"/>
          <w:b/>
          <w:bCs/>
          <w:sz w:val="24"/>
          <w:szCs w:val="24"/>
          <w:u w:val="single"/>
        </w:rPr>
      </w:pPr>
      <w:r>
        <w:rPr>
          <w:rFonts w:ascii="Bookman Old Style" w:hAnsi="Bookman Old Style"/>
          <w:b/>
          <w:bCs/>
          <w:sz w:val="24"/>
          <w:szCs w:val="24"/>
          <w:u w:val="single"/>
        </w:rPr>
        <w:t>FA = PEP / PEP</w:t>
      </w:r>
      <w:r w:rsidR="00EC1C0E">
        <w:rPr>
          <w:rFonts w:ascii="Bookman Old Style" w:hAnsi="Bookman Old Style"/>
          <w:b/>
          <w:bCs/>
          <w:sz w:val="24"/>
          <w:szCs w:val="24"/>
          <w:u w:val="single"/>
        </w:rPr>
        <w:t xml:space="preserve"> ajustado</w:t>
      </w:r>
    </w:p>
    <w:p w14:paraId="660082E3" w14:textId="6B47B163" w:rsidR="00AD7EA5" w:rsidRDefault="00AD7EA5" w:rsidP="00EC1C0E">
      <w:pPr>
        <w:ind w:left="2977" w:hanging="1843"/>
        <w:jc w:val="center"/>
        <w:rPr>
          <w:rFonts w:ascii="Bookman Old Style" w:hAnsi="Bookman Old Style"/>
          <w:b/>
          <w:bCs/>
          <w:sz w:val="24"/>
          <w:szCs w:val="24"/>
          <w:u w:val="single"/>
        </w:rPr>
      </w:pPr>
      <w:r>
        <w:rPr>
          <w:rFonts w:ascii="Bookman Old Style" w:hAnsi="Bookman Old Style"/>
          <w:b/>
          <w:bCs/>
          <w:sz w:val="24"/>
          <w:szCs w:val="24"/>
          <w:u w:val="single"/>
        </w:rPr>
        <w:t>Donde:</w:t>
      </w:r>
    </w:p>
    <w:p w14:paraId="74965BB0" w14:textId="4463E9CD" w:rsidR="00AD7EA5" w:rsidRDefault="00AD7EA5" w:rsidP="00AD7EA5">
      <w:pPr>
        <w:ind w:left="2977" w:hanging="1701"/>
        <w:jc w:val="both"/>
        <w:rPr>
          <w:rFonts w:ascii="Bookman Old Style" w:hAnsi="Bookman Old Style"/>
          <w:b/>
          <w:bCs/>
          <w:sz w:val="24"/>
          <w:szCs w:val="24"/>
          <w:u w:val="single"/>
        </w:rPr>
      </w:pPr>
      <w:r>
        <w:rPr>
          <w:rFonts w:ascii="Bookman Old Style" w:hAnsi="Bookman Old Style"/>
          <w:b/>
          <w:bCs/>
          <w:sz w:val="24"/>
          <w:szCs w:val="24"/>
          <w:u w:val="single"/>
        </w:rPr>
        <w:t xml:space="preserve">PEP: </w:t>
      </w:r>
      <w:r>
        <w:rPr>
          <w:rFonts w:ascii="Bookman Old Style" w:hAnsi="Bookman Old Style"/>
          <w:b/>
          <w:bCs/>
          <w:sz w:val="24"/>
          <w:szCs w:val="24"/>
          <w:u w:val="single"/>
        </w:rPr>
        <w:tab/>
        <w:t>Período estándar de pagos establecido en los documentos de selección del inversionista</w:t>
      </w:r>
    </w:p>
    <w:p w14:paraId="7EAA10D9" w14:textId="602702EA" w:rsidR="00FA2BA3" w:rsidRDefault="00FA2BA3" w:rsidP="000F4D2C">
      <w:pPr>
        <w:ind w:left="2977" w:hanging="1701"/>
        <w:jc w:val="both"/>
        <w:rPr>
          <w:rFonts w:ascii="Bookman Old Style" w:hAnsi="Bookman Old Style"/>
          <w:b/>
          <w:bCs/>
          <w:sz w:val="24"/>
          <w:szCs w:val="24"/>
          <w:u w:val="single"/>
        </w:rPr>
      </w:pPr>
      <w:r>
        <w:rPr>
          <w:rFonts w:ascii="Bookman Old Style" w:hAnsi="Bookman Old Style"/>
          <w:b/>
          <w:bCs/>
          <w:sz w:val="24"/>
          <w:szCs w:val="24"/>
          <w:u w:val="single"/>
        </w:rPr>
        <w:t xml:space="preserve">PEP ajustado: PEP adicionado con el número de años, en 2 decimales, correspondientes a la diferencia entre </w:t>
      </w:r>
      <w:r w:rsidR="00C61535">
        <w:rPr>
          <w:rFonts w:ascii="Bookman Old Style" w:hAnsi="Bookman Old Style"/>
          <w:b/>
          <w:bCs/>
          <w:sz w:val="24"/>
          <w:szCs w:val="24"/>
          <w:u w:val="single"/>
        </w:rPr>
        <w:t>la fecha d</w:t>
      </w:r>
      <w:r>
        <w:rPr>
          <w:rFonts w:ascii="Bookman Old Style" w:hAnsi="Bookman Old Style"/>
          <w:b/>
          <w:bCs/>
          <w:sz w:val="24"/>
          <w:szCs w:val="24"/>
          <w:u w:val="single"/>
        </w:rPr>
        <w:t>el in</w:t>
      </w:r>
      <w:r w:rsidR="00C61535">
        <w:rPr>
          <w:rFonts w:ascii="Bookman Old Style" w:hAnsi="Bookman Old Style"/>
          <w:b/>
          <w:bCs/>
          <w:sz w:val="24"/>
          <w:szCs w:val="24"/>
          <w:u w:val="single"/>
        </w:rPr>
        <w:t>i</w:t>
      </w:r>
      <w:r>
        <w:rPr>
          <w:rFonts w:ascii="Bookman Old Style" w:hAnsi="Bookman Old Style"/>
          <w:b/>
          <w:bCs/>
          <w:sz w:val="24"/>
          <w:szCs w:val="24"/>
          <w:u w:val="single"/>
        </w:rPr>
        <w:t>cio de los pagos del IAE INVERSIÓN y le fecha de puesta en operación del proyecto validada por el auditor</w:t>
      </w:r>
      <w:r w:rsidR="00C61535">
        <w:rPr>
          <w:rFonts w:ascii="Bookman Old Style" w:hAnsi="Bookman Old Style"/>
          <w:b/>
          <w:bCs/>
          <w:sz w:val="24"/>
          <w:szCs w:val="24"/>
          <w:u w:val="single"/>
        </w:rPr>
        <w:t>.</w:t>
      </w:r>
    </w:p>
    <w:p w14:paraId="5EA9D3A1" w14:textId="77777777" w:rsidR="00897DF5" w:rsidRDefault="00897DF5" w:rsidP="000F4D2C">
      <w:pPr>
        <w:pStyle w:val="Prrafodelista"/>
        <w:ind w:left="1440"/>
        <w:jc w:val="both"/>
        <w:rPr>
          <w:rFonts w:ascii="Bookman Old Style" w:hAnsi="Bookman Old Style"/>
          <w:b/>
          <w:bCs/>
          <w:sz w:val="24"/>
          <w:szCs w:val="24"/>
          <w:u w:val="single"/>
        </w:rPr>
      </w:pPr>
    </w:p>
    <w:p w14:paraId="6CE13AC6" w14:textId="1D3A8396" w:rsidR="00E86C96" w:rsidRDefault="00861BDB" w:rsidP="00E86C96">
      <w:pPr>
        <w:pStyle w:val="Prrafodelista"/>
        <w:ind w:left="1134" w:hanging="425"/>
        <w:jc w:val="both"/>
        <w:rPr>
          <w:rFonts w:ascii="Bookman Old Style" w:hAnsi="Bookman Old Style"/>
          <w:b/>
          <w:bCs/>
          <w:sz w:val="24"/>
          <w:szCs w:val="24"/>
          <w:u w:val="single"/>
        </w:rPr>
      </w:pPr>
      <w:r w:rsidRPr="000F4D2C">
        <w:rPr>
          <w:rFonts w:ascii="Bookman Old Style" w:hAnsi="Bookman Old Style"/>
          <w:b/>
          <w:bCs/>
          <w:sz w:val="24"/>
          <w:szCs w:val="24"/>
          <w:u w:val="single"/>
        </w:rPr>
        <w:t>ii.</w:t>
      </w:r>
      <w:r w:rsidRPr="000F4D2C">
        <w:rPr>
          <w:rFonts w:ascii="Bookman Old Style" w:hAnsi="Bookman Old Style"/>
          <w:b/>
          <w:bCs/>
          <w:sz w:val="24"/>
          <w:szCs w:val="24"/>
          <w:u w:val="single"/>
        </w:rPr>
        <w:tab/>
      </w:r>
      <w:r w:rsidR="00D221D4">
        <w:rPr>
          <w:rFonts w:ascii="Bookman Old Style" w:hAnsi="Bookman Old Style"/>
          <w:b/>
          <w:bCs/>
          <w:sz w:val="24"/>
          <w:szCs w:val="24"/>
          <w:u w:val="single"/>
        </w:rPr>
        <w:t>En el caso de que no se cumplan con las condiciones</w:t>
      </w:r>
      <w:r w:rsidR="002710B7">
        <w:rPr>
          <w:rFonts w:ascii="Bookman Old Style" w:hAnsi="Bookman Old Style"/>
          <w:b/>
          <w:bCs/>
          <w:sz w:val="24"/>
          <w:szCs w:val="24"/>
          <w:u w:val="single"/>
        </w:rPr>
        <w:t xml:space="preserve"> b</w:t>
      </w:r>
      <w:r w:rsidR="00BA5C64">
        <w:rPr>
          <w:rFonts w:ascii="Bookman Old Style" w:hAnsi="Bookman Old Style"/>
          <w:b/>
          <w:bCs/>
          <w:sz w:val="24"/>
          <w:szCs w:val="24"/>
          <w:u w:val="single"/>
        </w:rPr>
        <w:t>.</w:t>
      </w:r>
      <w:r w:rsidR="006277EA">
        <w:rPr>
          <w:rFonts w:ascii="Bookman Old Style" w:hAnsi="Bookman Old Style"/>
          <w:b/>
          <w:bCs/>
          <w:sz w:val="24"/>
          <w:szCs w:val="24"/>
          <w:u w:val="single"/>
        </w:rPr>
        <w:t xml:space="preserve"> o c.</w:t>
      </w:r>
      <w:r w:rsidR="002710B7">
        <w:rPr>
          <w:rFonts w:ascii="Bookman Old Style" w:hAnsi="Bookman Old Style"/>
          <w:b/>
          <w:bCs/>
          <w:sz w:val="24"/>
          <w:szCs w:val="24"/>
          <w:u w:val="single"/>
        </w:rPr>
        <w:t xml:space="preserve"> </w:t>
      </w:r>
      <w:r w:rsidR="00D221D4">
        <w:rPr>
          <w:rFonts w:ascii="Bookman Old Style" w:hAnsi="Bookman Old Style"/>
          <w:b/>
          <w:bCs/>
          <w:sz w:val="24"/>
          <w:szCs w:val="24"/>
          <w:u w:val="single"/>
        </w:rPr>
        <w:t xml:space="preserve">del numeral </w:t>
      </w:r>
      <w:r w:rsidR="00F90A76">
        <w:rPr>
          <w:rFonts w:ascii="Bookman Old Style" w:hAnsi="Bookman Old Style"/>
          <w:b/>
          <w:bCs/>
          <w:sz w:val="24"/>
          <w:szCs w:val="24"/>
          <w:u w:val="single"/>
        </w:rPr>
        <w:t>i.</w:t>
      </w:r>
      <w:r w:rsidR="00D221D4">
        <w:rPr>
          <w:rFonts w:ascii="Bookman Old Style" w:hAnsi="Bookman Old Style"/>
          <w:b/>
          <w:bCs/>
          <w:sz w:val="24"/>
          <w:szCs w:val="24"/>
          <w:u w:val="single"/>
        </w:rPr>
        <w:t xml:space="preserve"> anterior, se iniciarán los pagos correspondientes al IAE INVERSIÓN </w:t>
      </w:r>
      <w:r w:rsidR="00646DBF">
        <w:rPr>
          <w:rFonts w:ascii="Bookman Old Style" w:hAnsi="Bookman Old Style"/>
          <w:b/>
          <w:bCs/>
          <w:sz w:val="24"/>
          <w:szCs w:val="24"/>
          <w:u w:val="single"/>
        </w:rPr>
        <w:t>ajustado</w:t>
      </w:r>
      <w:r w:rsidR="00C369F4">
        <w:rPr>
          <w:rFonts w:ascii="Bookman Old Style" w:hAnsi="Bookman Old Style"/>
          <w:b/>
          <w:bCs/>
          <w:sz w:val="24"/>
          <w:szCs w:val="24"/>
          <w:u w:val="single"/>
        </w:rPr>
        <w:t>,</w:t>
      </w:r>
      <w:r w:rsidR="005711B4">
        <w:rPr>
          <w:rFonts w:ascii="Bookman Old Style" w:hAnsi="Bookman Old Style"/>
          <w:b/>
          <w:bCs/>
          <w:sz w:val="24"/>
          <w:szCs w:val="24"/>
          <w:u w:val="single"/>
        </w:rPr>
        <w:t xml:space="preserve"> partir de </w:t>
      </w:r>
      <w:r w:rsidR="00D221D4">
        <w:rPr>
          <w:rFonts w:ascii="Bookman Old Style" w:hAnsi="Bookman Old Style"/>
          <w:b/>
          <w:bCs/>
          <w:sz w:val="24"/>
          <w:szCs w:val="24"/>
          <w:u w:val="single"/>
        </w:rPr>
        <w:t>un (</w:t>
      </w:r>
      <w:r w:rsidR="005711B4">
        <w:rPr>
          <w:rFonts w:ascii="Bookman Old Style" w:hAnsi="Bookman Old Style"/>
          <w:b/>
          <w:bCs/>
          <w:sz w:val="24"/>
          <w:szCs w:val="24"/>
          <w:u w:val="single"/>
        </w:rPr>
        <w:t>1</w:t>
      </w:r>
      <w:r w:rsidR="00D221D4">
        <w:rPr>
          <w:rFonts w:ascii="Bookman Old Style" w:hAnsi="Bookman Old Style"/>
          <w:b/>
          <w:bCs/>
          <w:sz w:val="24"/>
          <w:szCs w:val="24"/>
          <w:u w:val="single"/>
        </w:rPr>
        <w:t>)</w:t>
      </w:r>
      <w:r w:rsidR="005711B4">
        <w:rPr>
          <w:rFonts w:ascii="Bookman Old Style" w:hAnsi="Bookman Old Style"/>
          <w:b/>
          <w:bCs/>
          <w:sz w:val="24"/>
          <w:szCs w:val="24"/>
          <w:u w:val="single"/>
        </w:rPr>
        <w:t xml:space="preserve"> año antes de la FPO ajustada por el MME en ap</w:t>
      </w:r>
      <w:r w:rsidR="00D221D4">
        <w:rPr>
          <w:rFonts w:ascii="Bookman Old Style" w:hAnsi="Bookman Old Style"/>
          <w:b/>
          <w:bCs/>
          <w:sz w:val="24"/>
          <w:szCs w:val="24"/>
          <w:u w:val="single"/>
        </w:rPr>
        <w:t xml:space="preserve">licación de lo establecido en el Artículo 22 de la presente resolución, o de un (1) año antes de la fecha de puesta en operación </w:t>
      </w:r>
      <w:r w:rsidR="00D221D4" w:rsidRPr="00D221D4">
        <w:rPr>
          <w:rFonts w:ascii="Bookman Old Style" w:hAnsi="Bookman Old Style"/>
          <w:b/>
          <w:bCs/>
          <w:sz w:val="24"/>
          <w:szCs w:val="24"/>
          <w:u w:val="single"/>
        </w:rPr>
        <w:t xml:space="preserve">del proyecto, </w:t>
      </w:r>
      <w:r w:rsidR="00E9038D">
        <w:rPr>
          <w:rFonts w:ascii="Bookman Old Style" w:hAnsi="Bookman Old Style"/>
          <w:b/>
          <w:bCs/>
          <w:sz w:val="24"/>
          <w:szCs w:val="24"/>
          <w:u w:val="single"/>
        </w:rPr>
        <w:t xml:space="preserve">en caso de que esta fecha sea posterior a la FPO ajustada por el MME, </w:t>
      </w:r>
      <w:r w:rsidR="00D221D4" w:rsidRPr="00D221D4">
        <w:rPr>
          <w:rFonts w:ascii="Bookman Old Style" w:hAnsi="Bookman Old Style"/>
          <w:b/>
          <w:bCs/>
          <w:sz w:val="24"/>
          <w:szCs w:val="24"/>
          <w:u w:val="single"/>
        </w:rPr>
        <w:t>de acuerdo con el cronograma del proyecto de ejecución real</w:t>
      </w:r>
      <w:r w:rsidR="00916DB8">
        <w:rPr>
          <w:rFonts w:ascii="Bookman Old Style" w:hAnsi="Bookman Old Style"/>
          <w:b/>
          <w:bCs/>
          <w:sz w:val="24"/>
          <w:szCs w:val="24"/>
          <w:u w:val="single"/>
        </w:rPr>
        <w:t>,</w:t>
      </w:r>
      <w:r w:rsidR="00D221D4" w:rsidRPr="00D221D4">
        <w:rPr>
          <w:rFonts w:ascii="Bookman Old Style" w:hAnsi="Bookman Old Style"/>
          <w:b/>
          <w:bCs/>
          <w:sz w:val="24"/>
          <w:szCs w:val="24"/>
          <w:u w:val="single"/>
        </w:rPr>
        <w:t xml:space="preserve"> validado por el auditor </w:t>
      </w:r>
      <w:r w:rsidR="00C15C81">
        <w:rPr>
          <w:rFonts w:ascii="Bookman Old Style" w:hAnsi="Bookman Old Style"/>
          <w:b/>
          <w:bCs/>
          <w:sz w:val="24"/>
          <w:szCs w:val="24"/>
          <w:u w:val="single"/>
        </w:rPr>
        <w:t>en fecha más reciente</w:t>
      </w:r>
      <w:r w:rsidR="00AE676E">
        <w:rPr>
          <w:rFonts w:ascii="Bookman Old Style" w:hAnsi="Bookman Old Style"/>
          <w:b/>
          <w:bCs/>
          <w:sz w:val="24"/>
          <w:szCs w:val="24"/>
          <w:u w:val="single"/>
        </w:rPr>
        <w:t xml:space="preserve">. Lo anterior siempre y cuando se cumplan con las condiciones establecidas en los literales </w:t>
      </w:r>
      <w:r w:rsidR="006277EA">
        <w:rPr>
          <w:rFonts w:ascii="Bookman Old Style" w:hAnsi="Bookman Old Style"/>
          <w:b/>
          <w:bCs/>
          <w:sz w:val="24"/>
          <w:szCs w:val="24"/>
          <w:u w:val="single"/>
        </w:rPr>
        <w:t xml:space="preserve">a, </w:t>
      </w:r>
      <w:r w:rsidR="00F90A76">
        <w:rPr>
          <w:rFonts w:ascii="Bookman Old Style" w:hAnsi="Bookman Old Style"/>
          <w:b/>
          <w:bCs/>
          <w:sz w:val="24"/>
          <w:szCs w:val="24"/>
          <w:u w:val="single"/>
        </w:rPr>
        <w:t>d</w:t>
      </w:r>
      <w:r w:rsidR="006277EA">
        <w:rPr>
          <w:rFonts w:ascii="Bookman Old Style" w:hAnsi="Bookman Old Style"/>
          <w:b/>
          <w:bCs/>
          <w:sz w:val="24"/>
          <w:szCs w:val="24"/>
          <w:u w:val="single"/>
        </w:rPr>
        <w:t>,</w:t>
      </w:r>
      <w:r w:rsidR="00F90A76">
        <w:rPr>
          <w:rFonts w:ascii="Bookman Old Style" w:hAnsi="Bookman Old Style"/>
          <w:b/>
          <w:bCs/>
          <w:sz w:val="24"/>
          <w:szCs w:val="24"/>
          <w:u w:val="single"/>
        </w:rPr>
        <w:t xml:space="preserve"> e</w:t>
      </w:r>
      <w:r w:rsidR="00B27A3A">
        <w:rPr>
          <w:rFonts w:ascii="Bookman Old Style" w:hAnsi="Bookman Old Style"/>
          <w:b/>
          <w:bCs/>
          <w:sz w:val="24"/>
          <w:szCs w:val="24"/>
          <w:u w:val="single"/>
        </w:rPr>
        <w:t>.</w:t>
      </w:r>
      <w:r w:rsidR="00F90A76">
        <w:rPr>
          <w:rFonts w:ascii="Bookman Old Style" w:hAnsi="Bookman Old Style"/>
          <w:b/>
          <w:bCs/>
          <w:sz w:val="24"/>
          <w:szCs w:val="24"/>
          <w:u w:val="single"/>
        </w:rPr>
        <w:t xml:space="preserve"> </w:t>
      </w:r>
      <w:r w:rsidR="006277EA">
        <w:rPr>
          <w:rFonts w:ascii="Bookman Old Style" w:hAnsi="Bookman Old Style"/>
          <w:b/>
          <w:bCs/>
          <w:sz w:val="24"/>
          <w:szCs w:val="24"/>
          <w:u w:val="single"/>
        </w:rPr>
        <w:t xml:space="preserve">y f </w:t>
      </w:r>
      <w:r w:rsidR="00B27A3A">
        <w:rPr>
          <w:rFonts w:ascii="Bookman Old Style" w:hAnsi="Bookman Old Style"/>
          <w:b/>
          <w:bCs/>
          <w:sz w:val="24"/>
          <w:szCs w:val="24"/>
          <w:u w:val="single"/>
        </w:rPr>
        <w:t>.</w:t>
      </w:r>
      <w:r w:rsidR="00F90A76">
        <w:rPr>
          <w:rFonts w:ascii="Bookman Old Style" w:hAnsi="Bookman Old Style"/>
          <w:b/>
          <w:bCs/>
          <w:sz w:val="24"/>
          <w:szCs w:val="24"/>
          <w:u w:val="single"/>
        </w:rPr>
        <w:t>del numeral i. anterior.</w:t>
      </w:r>
    </w:p>
    <w:p w14:paraId="09B18544" w14:textId="77777777" w:rsidR="00E86C96" w:rsidRDefault="00E86C96" w:rsidP="00E86C96">
      <w:pPr>
        <w:pStyle w:val="Prrafodelista"/>
        <w:ind w:left="1134" w:hanging="425"/>
        <w:jc w:val="both"/>
        <w:rPr>
          <w:rFonts w:ascii="Bookman Old Style" w:hAnsi="Bookman Old Style"/>
          <w:b/>
          <w:bCs/>
          <w:sz w:val="24"/>
          <w:szCs w:val="24"/>
          <w:u w:val="single"/>
        </w:rPr>
      </w:pPr>
    </w:p>
    <w:p w14:paraId="025EFB71" w14:textId="5E3D0F4A" w:rsidR="00861BDB" w:rsidRPr="000F4D2C" w:rsidRDefault="00E86C96" w:rsidP="000F4D2C">
      <w:pPr>
        <w:pStyle w:val="Prrafodelista"/>
        <w:ind w:left="1134" w:hanging="425"/>
        <w:jc w:val="both"/>
        <w:rPr>
          <w:rFonts w:ascii="Bookman Old Style" w:hAnsi="Bookman Old Style"/>
          <w:b/>
          <w:bCs/>
          <w:sz w:val="24"/>
          <w:szCs w:val="24"/>
          <w:u w:val="single"/>
        </w:rPr>
      </w:pPr>
      <w:r>
        <w:rPr>
          <w:rFonts w:ascii="Bookman Old Style" w:hAnsi="Bookman Old Style"/>
          <w:b/>
          <w:bCs/>
          <w:sz w:val="24"/>
          <w:szCs w:val="24"/>
          <w:u w:val="single"/>
        </w:rPr>
        <w:t xml:space="preserve">iii. </w:t>
      </w:r>
      <w:r w:rsidR="00861BDB" w:rsidRPr="000F4D2C">
        <w:rPr>
          <w:rFonts w:ascii="Bookman Old Style" w:hAnsi="Bookman Old Style"/>
          <w:b/>
          <w:bCs/>
          <w:sz w:val="24"/>
          <w:szCs w:val="24"/>
          <w:u w:val="single"/>
        </w:rPr>
        <w:t xml:space="preserve">Durante el PEP contado a partir de la fecha de puesta en operación del proyecto certificada por el auditor del proyecto, </w:t>
      </w:r>
      <w:r w:rsidR="00560D5D">
        <w:rPr>
          <w:rFonts w:ascii="Bookman Old Style" w:hAnsi="Bookman Old Style"/>
          <w:b/>
          <w:bCs/>
          <w:sz w:val="24"/>
          <w:szCs w:val="24"/>
          <w:u w:val="single"/>
        </w:rPr>
        <w:t xml:space="preserve">se realizarán </w:t>
      </w:r>
      <w:r w:rsidR="00861BDB" w:rsidRPr="000F4D2C">
        <w:rPr>
          <w:rFonts w:ascii="Bookman Old Style" w:hAnsi="Bookman Old Style"/>
          <w:b/>
          <w:bCs/>
          <w:sz w:val="24"/>
          <w:szCs w:val="24"/>
          <w:u w:val="single"/>
        </w:rPr>
        <w:t xml:space="preserve">los pagos correspondientes al IAE FIJO GAS NATURAL, IAE AOM y al IAE VARIABLE GAS NATURAL. En consistencia con lo establecido en el literal c) del Artículo 18 de la presente resolución, este </w:t>
      </w:r>
      <w:r w:rsidR="00F73B46">
        <w:rPr>
          <w:rFonts w:ascii="Bookman Old Style" w:hAnsi="Bookman Old Style"/>
          <w:b/>
          <w:bCs/>
          <w:sz w:val="24"/>
          <w:szCs w:val="24"/>
          <w:u w:val="single"/>
        </w:rPr>
        <w:t>PEP</w:t>
      </w:r>
      <w:r w:rsidR="00861BDB" w:rsidRPr="000F4D2C">
        <w:rPr>
          <w:rFonts w:ascii="Bookman Old Style" w:hAnsi="Bookman Old Style"/>
          <w:b/>
          <w:bCs/>
          <w:sz w:val="24"/>
          <w:szCs w:val="24"/>
          <w:u w:val="single"/>
        </w:rPr>
        <w:t xml:space="preserve"> se adicionará en el mismo número de días acumulados de duración de las indisponibilidades del proyecto causados por eventos de fuerza mayor, caso fortuito, causa extraña o eventos eximentes de responsabilidad establecidos en los numerales 1, 2 y 3 del Artículo 11 de la Resolución CREG 185 de 2020, o aquellas que la modifiquen o sustituya.</w:t>
      </w:r>
    </w:p>
    <w:p w14:paraId="214E1E2E" w14:textId="77777777" w:rsidR="00475935" w:rsidRDefault="00475935" w:rsidP="00470E6A">
      <w:pPr>
        <w:pStyle w:val="Prrafodelista"/>
        <w:rPr>
          <w:rFonts w:ascii="Bookman Old Style" w:hAnsi="Bookman Old Style"/>
          <w:sz w:val="24"/>
          <w:szCs w:val="24"/>
        </w:rPr>
      </w:pPr>
    </w:p>
    <w:p w14:paraId="590E7002" w14:textId="77777777" w:rsidR="00CF5EFC" w:rsidRPr="000F4D2C" w:rsidRDefault="00CF5EFC" w:rsidP="00CF5EFC">
      <w:pPr>
        <w:pStyle w:val="Estilo3"/>
        <w:widowControl w:val="0"/>
        <w:numPr>
          <w:ilvl w:val="5"/>
          <w:numId w:val="10"/>
        </w:numPr>
        <w:tabs>
          <w:tab w:val="left" w:pos="1560"/>
        </w:tabs>
        <w:ind w:left="426" w:hanging="426"/>
        <w:jc w:val="both"/>
        <w:rPr>
          <w:rFonts w:ascii="Bookman Old Style" w:hAnsi="Bookman Old Style"/>
          <w:sz w:val="24"/>
          <w:szCs w:val="24"/>
        </w:rPr>
      </w:pPr>
      <w:r w:rsidRPr="000F4D2C">
        <w:rPr>
          <w:rFonts w:ascii="Bookman Old Style" w:hAnsi="Bookman Old Style"/>
          <w:sz w:val="24"/>
          <w:szCs w:val="24"/>
        </w:rPr>
        <w:t>Cuando el proyecto inicie su operación en la fecha anticipada de entrada en operación, el adjudicatario o el transportador incumbente que ejecute proyectos IPAT, podrá recibir los siguientes pagos:</w:t>
      </w:r>
    </w:p>
    <w:p w14:paraId="19EBE208" w14:textId="77777777" w:rsidR="00CF5EFC" w:rsidRPr="000F4D2C" w:rsidRDefault="00CF5EFC" w:rsidP="00CF5EFC">
      <w:pPr>
        <w:pStyle w:val="Estilo3"/>
        <w:widowControl w:val="0"/>
        <w:tabs>
          <w:tab w:val="left" w:pos="1560"/>
        </w:tabs>
        <w:ind w:left="426"/>
        <w:jc w:val="both"/>
        <w:rPr>
          <w:rFonts w:ascii="Bookman Old Style" w:hAnsi="Bookman Old Style"/>
          <w:sz w:val="24"/>
          <w:szCs w:val="24"/>
        </w:rPr>
      </w:pPr>
    </w:p>
    <w:p w14:paraId="094B1690" w14:textId="0B800D23" w:rsidR="00CF5EFC" w:rsidRPr="000F4D2C" w:rsidRDefault="00CF5EFC" w:rsidP="000F4D2C">
      <w:pPr>
        <w:pStyle w:val="Estilo3"/>
        <w:widowControl w:val="0"/>
        <w:numPr>
          <w:ilvl w:val="8"/>
          <w:numId w:val="10"/>
        </w:numPr>
        <w:tabs>
          <w:tab w:val="left" w:pos="1560"/>
        </w:tabs>
        <w:ind w:left="709" w:hanging="142"/>
        <w:jc w:val="both"/>
        <w:rPr>
          <w:rFonts w:ascii="Bookman Old Style" w:hAnsi="Bookman Old Style"/>
          <w:sz w:val="24"/>
          <w:szCs w:val="24"/>
        </w:rPr>
      </w:pPr>
      <w:r w:rsidRPr="000F4D2C">
        <w:rPr>
          <w:rFonts w:ascii="Bookman Old Style" w:hAnsi="Bookman Old Style"/>
          <w:sz w:val="24"/>
          <w:szCs w:val="24"/>
        </w:rPr>
        <w:t xml:space="preserve"> Un flujo de ingresos, desde la fecha de entrada en operación</w:t>
      </w:r>
      <w:r w:rsidRPr="000F4D2C">
        <w:rPr>
          <w:rFonts w:ascii="Bookman Old Style" w:hAnsi="Bookman Old Style"/>
          <w:b/>
          <w:bCs/>
          <w:sz w:val="24"/>
          <w:szCs w:val="24"/>
          <w:u w:val="single"/>
        </w:rPr>
        <w:t xml:space="preserve"> </w:t>
      </w:r>
      <w:r w:rsidR="00711CC7" w:rsidRPr="000F4D2C">
        <w:rPr>
          <w:rFonts w:ascii="Bookman Old Style" w:hAnsi="Bookman Old Style"/>
          <w:b/>
          <w:bCs/>
          <w:sz w:val="24"/>
          <w:szCs w:val="24"/>
          <w:u w:val="single"/>
        </w:rPr>
        <w:t xml:space="preserve">anticipada </w:t>
      </w:r>
      <w:r w:rsidR="00E036BC">
        <w:rPr>
          <w:rFonts w:ascii="Bookman Old Style" w:hAnsi="Bookman Old Style"/>
          <w:b/>
          <w:bCs/>
          <w:sz w:val="24"/>
          <w:szCs w:val="24"/>
          <w:u w:val="single"/>
        </w:rPr>
        <w:t>certificada</w:t>
      </w:r>
      <w:r w:rsidR="00711CC7" w:rsidRPr="000F4D2C">
        <w:rPr>
          <w:rFonts w:ascii="Bookman Old Style" w:hAnsi="Bookman Old Style"/>
          <w:b/>
          <w:bCs/>
          <w:sz w:val="24"/>
          <w:szCs w:val="24"/>
          <w:u w:val="single"/>
        </w:rPr>
        <w:t xml:space="preserve"> por el auditor del proyecto</w:t>
      </w:r>
      <w:r w:rsidR="00711CC7">
        <w:rPr>
          <w:rFonts w:ascii="Bookman Old Style" w:hAnsi="Bookman Old Style"/>
          <w:sz w:val="24"/>
          <w:szCs w:val="24"/>
        </w:rPr>
        <w:t xml:space="preserve">, </w:t>
      </w:r>
      <w:r w:rsidRPr="000F4D2C">
        <w:rPr>
          <w:rFonts w:ascii="Bookman Old Style" w:hAnsi="Bookman Old Style"/>
          <w:sz w:val="24"/>
          <w:szCs w:val="24"/>
        </w:rPr>
        <w:t xml:space="preserve">hasta la FPO, tomando como </w:t>
      </w:r>
      <w:r w:rsidRPr="000F4D2C">
        <w:rPr>
          <w:rFonts w:ascii="Bookman Old Style" w:hAnsi="Bookman Old Style"/>
          <w:sz w:val="24"/>
          <w:szCs w:val="24"/>
        </w:rPr>
        <w:lastRenderedPageBreak/>
        <w:t xml:space="preserve">referencia el valor del </w:t>
      </w:r>
      <w:r w:rsidR="005A5FE3" w:rsidRPr="000F4D2C">
        <w:rPr>
          <w:rFonts w:ascii="Bookman Old Style" w:hAnsi="Bookman Old Style"/>
          <w:b/>
          <w:bCs/>
          <w:sz w:val="24"/>
          <w:szCs w:val="24"/>
          <w:u w:val="single"/>
        </w:rPr>
        <w:t xml:space="preserve">IAE </w:t>
      </w:r>
      <w:r w:rsidR="00FF6639">
        <w:rPr>
          <w:rFonts w:ascii="Bookman Old Style" w:hAnsi="Bookman Old Style"/>
          <w:b/>
          <w:bCs/>
          <w:sz w:val="24"/>
          <w:szCs w:val="24"/>
          <w:u w:val="single"/>
        </w:rPr>
        <w:t>TOTAL</w:t>
      </w:r>
      <w:r w:rsidR="005A5FE3">
        <w:rPr>
          <w:rFonts w:ascii="Bookman Old Style" w:hAnsi="Bookman Old Style"/>
          <w:sz w:val="24"/>
          <w:szCs w:val="24"/>
        </w:rPr>
        <w:t xml:space="preserve"> </w:t>
      </w:r>
      <w:r w:rsidRPr="000F4D2C">
        <w:rPr>
          <w:rFonts w:ascii="Bookman Old Style" w:hAnsi="Bookman Old Style"/>
          <w:sz w:val="24"/>
          <w:szCs w:val="24"/>
        </w:rPr>
        <w:t>mensualizado del primer año del PEP. Solo se reconocerán ingresos por operación de mes calendario completo.</w:t>
      </w:r>
    </w:p>
    <w:p w14:paraId="20AD5AFF" w14:textId="77777777" w:rsidR="00CF5EFC" w:rsidRPr="000F4D2C" w:rsidRDefault="00CF5EFC" w:rsidP="00CF5EFC">
      <w:pPr>
        <w:pStyle w:val="Estilo3"/>
        <w:widowControl w:val="0"/>
        <w:tabs>
          <w:tab w:val="left" w:pos="1560"/>
        </w:tabs>
        <w:ind w:left="567"/>
        <w:jc w:val="both"/>
        <w:rPr>
          <w:rFonts w:ascii="Bookman Old Style" w:hAnsi="Bookman Old Style"/>
          <w:sz w:val="24"/>
          <w:szCs w:val="24"/>
        </w:rPr>
      </w:pPr>
    </w:p>
    <w:p w14:paraId="3588A375" w14:textId="77777777" w:rsidR="00CF5EFC" w:rsidRPr="000F4D2C" w:rsidRDefault="00CF5EFC" w:rsidP="000F4D2C">
      <w:pPr>
        <w:pStyle w:val="Estilo3"/>
        <w:widowControl w:val="0"/>
        <w:tabs>
          <w:tab w:val="left" w:pos="1560"/>
        </w:tabs>
        <w:ind w:left="709"/>
        <w:jc w:val="both"/>
        <w:rPr>
          <w:rFonts w:ascii="Bookman Old Style" w:hAnsi="Bookman Old Style"/>
          <w:sz w:val="24"/>
          <w:szCs w:val="24"/>
        </w:rPr>
      </w:pPr>
      <w:r w:rsidRPr="000F4D2C">
        <w:rPr>
          <w:rFonts w:ascii="Bookman Old Style" w:hAnsi="Bookman Old Style"/>
          <w:sz w:val="24"/>
          <w:szCs w:val="24"/>
        </w:rPr>
        <w:t>En algunos proyectos se podrá reconocer un porcentaje adicional como incentivo, previa evaluación de su conveniencia y aprobación por parte de la CREG. En el caso de IPAT, se definirá dicho porcentaje cuando se dé cumplimiento con lo establecido en el literal c) del artículo 4 de la presente resolución, siempre y cuando la verificación de la relación beneficio - costo del mismo sea positiva para los usuarios finales.</w:t>
      </w:r>
    </w:p>
    <w:p w14:paraId="55F38988" w14:textId="77777777" w:rsidR="00CF5EFC" w:rsidRPr="000F4D2C" w:rsidRDefault="00CF5EFC" w:rsidP="000F4D2C">
      <w:pPr>
        <w:pStyle w:val="Estilo3"/>
        <w:widowControl w:val="0"/>
        <w:tabs>
          <w:tab w:val="left" w:pos="1560"/>
        </w:tabs>
        <w:ind w:left="709"/>
        <w:jc w:val="both"/>
        <w:rPr>
          <w:rFonts w:ascii="Bookman Old Style" w:hAnsi="Bookman Old Style"/>
          <w:sz w:val="24"/>
          <w:szCs w:val="24"/>
        </w:rPr>
      </w:pPr>
    </w:p>
    <w:p w14:paraId="7AF011ED" w14:textId="77777777" w:rsidR="00CF5EFC" w:rsidRPr="000F4D2C" w:rsidRDefault="00CF5EFC" w:rsidP="000F4D2C">
      <w:pPr>
        <w:pStyle w:val="Estilo3"/>
        <w:widowControl w:val="0"/>
        <w:tabs>
          <w:tab w:val="left" w:pos="1560"/>
        </w:tabs>
        <w:ind w:left="709"/>
        <w:jc w:val="both"/>
        <w:rPr>
          <w:rFonts w:ascii="Bookman Old Style" w:hAnsi="Bookman Old Style"/>
          <w:sz w:val="24"/>
          <w:szCs w:val="24"/>
        </w:rPr>
      </w:pPr>
      <w:r w:rsidRPr="000F4D2C">
        <w:rPr>
          <w:rFonts w:ascii="Bookman Old Style" w:hAnsi="Bookman Old Style"/>
          <w:sz w:val="24"/>
          <w:szCs w:val="24"/>
        </w:rPr>
        <w:t>Si la fecha anticipada de entrada en operación no está establecida en el Plan de Abastecimiento de Gas Natural, el adjudicatario o el transportador incumbente que ejecute proyectos IPAT, podrá poner en operación el proyecto sin recibir los pagos mencionados anteriormente, hasta la FPO. Durante dicho período, el adjudicatario podrá comercializar a su riesgo los servicios de acuerdo con las reglas que se definan en resolución aparte.</w:t>
      </w:r>
    </w:p>
    <w:p w14:paraId="66ECA409"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1F5DDFB0" w14:textId="32A2404F" w:rsidR="00CF5EFC" w:rsidRPr="000F4D2C" w:rsidRDefault="00CF5EFC" w:rsidP="000F4D2C">
      <w:pPr>
        <w:pStyle w:val="Estilo3"/>
        <w:widowControl w:val="0"/>
        <w:numPr>
          <w:ilvl w:val="8"/>
          <w:numId w:val="10"/>
        </w:numPr>
        <w:tabs>
          <w:tab w:val="left" w:pos="1560"/>
        </w:tabs>
        <w:ind w:left="709" w:hanging="142"/>
        <w:jc w:val="both"/>
        <w:rPr>
          <w:rFonts w:ascii="Bookman Old Style" w:hAnsi="Bookman Old Style"/>
          <w:sz w:val="24"/>
          <w:szCs w:val="24"/>
        </w:rPr>
      </w:pPr>
      <w:r w:rsidRPr="000F4D2C">
        <w:rPr>
          <w:rFonts w:ascii="Bookman Old Style" w:hAnsi="Bookman Old Style"/>
          <w:sz w:val="24"/>
          <w:szCs w:val="24"/>
        </w:rPr>
        <w:t xml:space="preserve">Un flujo de ingresos que corresponderá al valor del </w:t>
      </w:r>
      <w:r w:rsidR="00376CA4" w:rsidRPr="000F4D2C">
        <w:rPr>
          <w:rFonts w:ascii="Bookman Old Style" w:hAnsi="Bookman Old Style"/>
          <w:b/>
          <w:bCs/>
          <w:sz w:val="24"/>
          <w:szCs w:val="24"/>
          <w:u w:val="single"/>
        </w:rPr>
        <w:t>IAE TOT</w:t>
      </w:r>
      <w:r w:rsidR="00371129" w:rsidRPr="000F4D2C">
        <w:rPr>
          <w:rFonts w:ascii="Bookman Old Style" w:hAnsi="Bookman Old Style"/>
          <w:b/>
          <w:bCs/>
          <w:sz w:val="24"/>
          <w:szCs w:val="24"/>
          <w:u w:val="single"/>
        </w:rPr>
        <w:t>AL</w:t>
      </w:r>
      <w:r w:rsidRPr="000F4D2C">
        <w:rPr>
          <w:rFonts w:ascii="Bookman Old Style" w:hAnsi="Bookman Old Style"/>
          <w:sz w:val="24"/>
          <w:szCs w:val="24"/>
        </w:rPr>
        <w:t xml:space="preserve"> del PEP a partir de la FPO</w:t>
      </w:r>
      <w:r w:rsidR="00371129">
        <w:rPr>
          <w:rFonts w:ascii="Bookman Old Style" w:hAnsi="Bookman Old Style"/>
          <w:sz w:val="24"/>
          <w:szCs w:val="24"/>
        </w:rPr>
        <w:t xml:space="preserve"> </w:t>
      </w:r>
      <w:r w:rsidR="00371129" w:rsidRPr="000F4D2C">
        <w:rPr>
          <w:rFonts w:ascii="Bookman Old Style" w:hAnsi="Bookman Old Style"/>
          <w:b/>
          <w:bCs/>
          <w:sz w:val="24"/>
          <w:szCs w:val="24"/>
          <w:u w:val="single"/>
        </w:rPr>
        <w:t>establecida por el MME en el PAGN</w:t>
      </w:r>
      <w:r w:rsidRPr="000F4D2C">
        <w:rPr>
          <w:rFonts w:ascii="Bookman Old Style" w:hAnsi="Bookman Old Style"/>
          <w:sz w:val="24"/>
          <w:szCs w:val="24"/>
        </w:rPr>
        <w:t>.</w:t>
      </w:r>
    </w:p>
    <w:p w14:paraId="6F5B246C"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16913A00" w14:textId="098188E7" w:rsidR="00CF5EFC" w:rsidRPr="000F4D2C" w:rsidRDefault="00CF5EFC" w:rsidP="00CF5EFC">
      <w:pPr>
        <w:pStyle w:val="Estilo3"/>
        <w:widowControl w:val="0"/>
        <w:numPr>
          <w:ilvl w:val="5"/>
          <w:numId w:val="10"/>
        </w:numPr>
        <w:tabs>
          <w:tab w:val="left" w:pos="1560"/>
        </w:tabs>
        <w:ind w:left="426" w:hanging="426"/>
        <w:jc w:val="both"/>
        <w:rPr>
          <w:rFonts w:ascii="Bookman Old Style" w:hAnsi="Bookman Old Style"/>
          <w:sz w:val="24"/>
          <w:szCs w:val="24"/>
        </w:rPr>
      </w:pPr>
      <w:r w:rsidRPr="000F4D2C">
        <w:rPr>
          <w:rFonts w:ascii="Bookman Old Style" w:hAnsi="Bookman Old Style"/>
          <w:sz w:val="24"/>
          <w:szCs w:val="24"/>
        </w:rPr>
        <w:t>Cuando el proyecto inicie en la fecha anticipada de entrada en operación parcial</w:t>
      </w:r>
      <w:r w:rsidR="00E036BC">
        <w:rPr>
          <w:rFonts w:ascii="Bookman Old Style" w:hAnsi="Bookman Old Style"/>
          <w:sz w:val="24"/>
          <w:szCs w:val="24"/>
        </w:rPr>
        <w:t xml:space="preserve"> </w:t>
      </w:r>
      <w:r w:rsidR="00E036BC" w:rsidRPr="000F4D2C">
        <w:rPr>
          <w:rFonts w:ascii="Bookman Old Style" w:hAnsi="Bookman Old Style"/>
          <w:b/>
          <w:bCs/>
          <w:sz w:val="24"/>
          <w:szCs w:val="24"/>
          <w:u w:val="single"/>
        </w:rPr>
        <w:t>certificada por el auditor del proyecto</w:t>
      </w:r>
      <w:r w:rsidRPr="000F4D2C">
        <w:rPr>
          <w:rFonts w:ascii="Bookman Old Style" w:hAnsi="Bookman Old Style"/>
          <w:sz w:val="24"/>
          <w:szCs w:val="24"/>
        </w:rPr>
        <w:t xml:space="preserve">, el adjudicatario o el transportador incumbente que ejecute proyectos IPAT, podrá recibir pagos desde la fecha de inicio de operación parcial hasta la FPO </w:t>
      </w:r>
      <w:r w:rsidR="008927E1" w:rsidRPr="000F4D2C">
        <w:rPr>
          <w:rFonts w:ascii="Bookman Old Style" w:hAnsi="Bookman Old Style"/>
          <w:b/>
          <w:bCs/>
          <w:sz w:val="24"/>
          <w:szCs w:val="24"/>
          <w:u w:val="single"/>
        </w:rPr>
        <w:t>inicialmente establecida por el MME en el PAGN</w:t>
      </w:r>
      <w:r w:rsidRPr="000F4D2C">
        <w:rPr>
          <w:rFonts w:ascii="Bookman Old Style" w:hAnsi="Bookman Old Style"/>
          <w:sz w:val="24"/>
          <w:szCs w:val="24"/>
        </w:rPr>
        <w:t xml:space="preserve">. Estos pagos tendrán como referencia el valor del </w:t>
      </w:r>
      <w:r w:rsidR="00D96EFA" w:rsidRPr="000F4D2C">
        <w:rPr>
          <w:rFonts w:ascii="Bookman Old Style" w:hAnsi="Bookman Old Style"/>
          <w:b/>
          <w:bCs/>
          <w:sz w:val="24"/>
          <w:szCs w:val="24"/>
          <w:u w:val="single"/>
        </w:rPr>
        <w:t xml:space="preserve">IAE INVERSIÓN </w:t>
      </w:r>
      <w:r w:rsidR="00290E1D">
        <w:rPr>
          <w:rFonts w:ascii="Bookman Old Style" w:hAnsi="Bookman Old Style"/>
          <w:b/>
          <w:bCs/>
          <w:sz w:val="24"/>
          <w:szCs w:val="24"/>
          <w:u w:val="single"/>
        </w:rPr>
        <w:t>y el</w:t>
      </w:r>
      <w:r w:rsidR="00D96EFA" w:rsidRPr="000F4D2C">
        <w:rPr>
          <w:rFonts w:ascii="Bookman Old Style" w:hAnsi="Bookman Old Style"/>
          <w:b/>
          <w:bCs/>
          <w:sz w:val="24"/>
          <w:szCs w:val="24"/>
          <w:u w:val="single"/>
        </w:rPr>
        <w:t xml:space="preserve"> IAE</w:t>
      </w:r>
      <w:r w:rsidR="00290E1D" w:rsidRPr="000F4D2C">
        <w:rPr>
          <w:rFonts w:ascii="Bookman Old Style" w:hAnsi="Bookman Old Style"/>
          <w:b/>
          <w:bCs/>
          <w:sz w:val="24"/>
          <w:szCs w:val="24"/>
          <w:u w:val="single"/>
        </w:rPr>
        <w:t xml:space="preserve"> </w:t>
      </w:r>
      <w:r w:rsidR="00D96EFA" w:rsidRPr="000F4D2C">
        <w:rPr>
          <w:rFonts w:ascii="Bookman Old Style" w:hAnsi="Bookman Old Style"/>
          <w:b/>
          <w:bCs/>
          <w:sz w:val="24"/>
          <w:szCs w:val="24"/>
          <w:u w:val="single"/>
        </w:rPr>
        <w:t>AOM</w:t>
      </w:r>
      <w:r w:rsidR="00290E1D">
        <w:rPr>
          <w:rFonts w:ascii="Bookman Old Style" w:hAnsi="Bookman Old Style"/>
          <w:b/>
          <w:bCs/>
          <w:sz w:val="24"/>
          <w:szCs w:val="24"/>
          <w:u w:val="single"/>
        </w:rPr>
        <w:t>,</w:t>
      </w:r>
      <w:r w:rsidR="00D96EFA">
        <w:rPr>
          <w:rFonts w:ascii="Bookman Old Style" w:hAnsi="Bookman Old Style"/>
          <w:sz w:val="24"/>
          <w:szCs w:val="24"/>
        </w:rPr>
        <w:t xml:space="preserve"> </w:t>
      </w:r>
      <w:r w:rsidRPr="000F4D2C">
        <w:rPr>
          <w:rFonts w:ascii="Bookman Old Style" w:hAnsi="Bookman Old Style"/>
          <w:sz w:val="24"/>
          <w:szCs w:val="24"/>
        </w:rPr>
        <w:t>mensualizado del primer año del PEP, ponderado por la capacidad parcial puesta en operación respecto de la capacidad establecida en el PAGN.</w:t>
      </w:r>
    </w:p>
    <w:p w14:paraId="5C6AC1BA"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0696F176" w14:textId="77777777" w:rsidR="00CF5EFC" w:rsidRPr="000F4D2C" w:rsidRDefault="00CF5EFC" w:rsidP="00CF5EFC">
      <w:pPr>
        <w:pStyle w:val="Estilo3"/>
        <w:widowControl w:val="0"/>
        <w:tabs>
          <w:tab w:val="left" w:pos="1560"/>
        </w:tabs>
        <w:jc w:val="both"/>
        <w:rPr>
          <w:rFonts w:ascii="Bookman Old Style" w:hAnsi="Bookman Old Style"/>
          <w:sz w:val="24"/>
          <w:szCs w:val="24"/>
        </w:rPr>
      </w:pPr>
      <w:r w:rsidRPr="000F4D2C">
        <w:rPr>
          <w:rFonts w:ascii="Bookman Old Style" w:hAnsi="Bookman Old Style"/>
          <w:sz w:val="24"/>
          <w:szCs w:val="24"/>
        </w:rPr>
        <w:t>En algunos proyectos se podrá reconocer un porcentaje adicional como incentivo, previa evaluación de su conveniencia y autorización por parte de la CREG. En el caso de IPAT, se definirá dicho porcentaje cuando se dé cumplimiento con lo establecido en el literal c) del artículo 4 de la presente resolución, siempre y cuando la verificación de la relación beneficio - costo del mismo sea positiva para los usuarios finales.</w:t>
      </w:r>
    </w:p>
    <w:p w14:paraId="67B9FD21"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6530BCD8" w14:textId="77777777" w:rsidR="00CF5EFC" w:rsidRPr="000F4D2C" w:rsidRDefault="00CF5EFC" w:rsidP="00CF5EFC">
      <w:pPr>
        <w:pStyle w:val="Estilo3"/>
        <w:widowControl w:val="0"/>
        <w:tabs>
          <w:tab w:val="left" w:pos="1560"/>
        </w:tabs>
        <w:jc w:val="both"/>
        <w:rPr>
          <w:rFonts w:ascii="Bookman Old Style" w:hAnsi="Bookman Old Style"/>
          <w:sz w:val="24"/>
          <w:szCs w:val="24"/>
        </w:rPr>
      </w:pPr>
      <w:r w:rsidRPr="000F4D2C">
        <w:rPr>
          <w:rFonts w:ascii="Bookman Old Style" w:hAnsi="Bookman Old Style"/>
          <w:sz w:val="24"/>
          <w:szCs w:val="24"/>
        </w:rPr>
        <w:t>Si la fecha anticipada de entrada en operación no está establecida en el Plan de Abastecimiento de Gas Natural, el adjudicatario podrá poner en operación parcial el proyecto sin recibir los pagos mencionados anteriormente hasta la FPO o la FPO ajustada, según lo establecido en el Artículo 22 de la presente resolución.</w:t>
      </w:r>
    </w:p>
    <w:p w14:paraId="19C98CDA"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642D4DA0" w14:textId="77777777" w:rsidR="00CF5EFC" w:rsidRPr="000F4D2C" w:rsidRDefault="00CF5EFC" w:rsidP="00CF5EFC">
      <w:pPr>
        <w:pStyle w:val="Estilo3"/>
        <w:widowControl w:val="0"/>
        <w:tabs>
          <w:tab w:val="left" w:pos="1560"/>
        </w:tabs>
        <w:jc w:val="both"/>
        <w:rPr>
          <w:rFonts w:ascii="Bookman Old Style" w:hAnsi="Bookman Old Style"/>
          <w:sz w:val="24"/>
          <w:szCs w:val="24"/>
        </w:rPr>
      </w:pPr>
      <w:r w:rsidRPr="000F4D2C">
        <w:rPr>
          <w:rFonts w:ascii="Bookman Old Style" w:hAnsi="Bookman Old Style"/>
          <w:sz w:val="24"/>
          <w:szCs w:val="24"/>
        </w:rPr>
        <w:t>Para lo contemplado en el presente artículo, la CREG ajustará la resolución mediante la cual hizo oficial la remuneración del proyecto.</w:t>
      </w:r>
    </w:p>
    <w:p w14:paraId="3907E970"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7F934041" w14:textId="496DAEE7" w:rsidR="00CF5EFC" w:rsidRPr="000F4D2C" w:rsidRDefault="00CF5EFC" w:rsidP="00CF5EFC">
      <w:pPr>
        <w:pStyle w:val="Estilo3"/>
        <w:widowControl w:val="0"/>
        <w:tabs>
          <w:tab w:val="left" w:pos="1560"/>
        </w:tabs>
        <w:jc w:val="both"/>
        <w:rPr>
          <w:rFonts w:ascii="Bookman Old Style" w:hAnsi="Bookman Old Style"/>
          <w:sz w:val="24"/>
          <w:szCs w:val="24"/>
        </w:rPr>
      </w:pPr>
      <w:r w:rsidRPr="000F4D2C">
        <w:rPr>
          <w:rFonts w:ascii="Bookman Old Style" w:hAnsi="Bookman Old Style"/>
          <w:b/>
          <w:sz w:val="24"/>
          <w:szCs w:val="24"/>
        </w:rPr>
        <w:t>P</w:t>
      </w:r>
      <w:r w:rsidR="003351B4">
        <w:rPr>
          <w:rFonts w:ascii="Bookman Old Style" w:hAnsi="Bookman Old Style"/>
          <w:b/>
          <w:sz w:val="24"/>
          <w:szCs w:val="24"/>
        </w:rPr>
        <w:t>arágrafo</w:t>
      </w:r>
      <w:r w:rsidRPr="000F4D2C">
        <w:rPr>
          <w:rFonts w:ascii="Bookman Old Style" w:hAnsi="Bookman Old Style"/>
          <w:b/>
          <w:sz w:val="24"/>
          <w:szCs w:val="24"/>
        </w:rPr>
        <w:t xml:space="preserve"> 1.</w:t>
      </w:r>
      <w:r w:rsidRPr="000F4D2C">
        <w:rPr>
          <w:rFonts w:ascii="Bookman Old Style" w:hAnsi="Bookman Old Style"/>
          <w:sz w:val="24"/>
          <w:szCs w:val="24"/>
        </w:rPr>
        <w:t xml:space="preserve"> Durante la operación del proyecto en forma anticipada u operación parcial, y durante el período estándar de pagos, el adjudicatario o el transportador incumbente que ejecuta un proyecto IPAT, será el responsable de la administración, operación y mantenimiento del proyecto.</w:t>
      </w:r>
    </w:p>
    <w:p w14:paraId="4F150442"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7451418C" w14:textId="22E8617D" w:rsidR="00CF5EFC" w:rsidRPr="000F4D2C" w:rsidRDefault="003351B4" w:rsidP="00CF5EFC">
      <w:pPr>
        <w:pStyle w:val="Estilo3"/>
        <w:widowControl w:val="0"/>
        <w:tabs>
          <w:tab w:val="left" w:pos="1560"/>
        </w:tabs>
        <w:jc w:val="both"/>
        <w:rPr>
          <w:rFonts w:ascii="Bookman Old Style" w:hAnsi="Bookman Old Style"/>
          <w:sz w:val="24"/>
          <w:szCs w:val="24"/>
        </w:rPr>
      </w:pPr>
      <w:r w:rsidRPr="0020151F">
        <w:rPr>
          <w:rFonts w:ascii="Bookman Old Style" w:hAnsi="Bookman Old Style"/>
          <w:b/>
          <w:sz w:val="24"/>
          <w:szCs w:val="24"/>
        </w:rPr>
        <w:t>P</w:t>
      </w:r>
      <w:r>
        <w:rPr>
          <w:rFonts w:ascii="Bookman Old Style" w:hAnsi="Bookman Old Style"/>
          <w:b/>
          <w:sz w:val="24"/>
          <w:szCs w:val="24"/>
        </w:rPr>
        <w:t>arágrafo</w:t>
      </w:r>
      <w:r w:rsidRPr="0020151F">
        <w:rPr>
          <w:rFonts w:ascii="Bookman Old Style" w:hAnsi="Bookman Old Style"/>
          <w:b/>
          <w:sz w:val="24"/>
          <w:szCs w:val="24"/>
        </w:rPr>
        <w:t xml:space="preserve"> </w:t>
      </w:r>
      <w:r w:rsidR="00CF5EFC" w:rsidRPr="000F4D2C">
        <w:rPr>
          <w:rFonts w:ascii="Bookman Old Style" w:hAnsi="Bookman Old Style"/>
          <w:b/>
          <w:sz w:val="24"/>
          <w:szCs w:val="24"/>
        </w:rPr>
        <w:t>2.</w:t>
      </w:r>
      <w:r w:rsidR="00CF5EFC" w:rsidRPr="000F4D2C">
        <w:rPr>
          <w:rFonts w:ascii="Bookman Old Style" w:hAnsi="Bookman Old Style"/>
          <w:sz w:val="24"/>
          <w:szCs w:val="24"/>
        </w:rPr>
        <w:t xml:space="preserve"> El adjudicatario o el transportador incumbente en el caso de un proyecto IPAT, empezará a ser remunerado a partir del primer día calendario del mes siguiente al mes de inicio de la operación del proyecto, siempre y cuando se haya constituido previamente </w:t>
      </w:r>
      <w:r w:rsidR="00256FF2" w:rsidRPr="000F4D2C">
        <w:rPr>
          <w:rFonts w:ascii="Bookman Old Style" w:hAnsi="Bookman Old Style"/>
          <w:b/>
          <w:bCs/>
          <w:sz w:val="24"/>
          <w:szCs w:val="24"/>
          <w:u w:val="single"/>
        </w:rPr>
        <w:t>y registrado ante la Superintendencia de Servicios Públ</w:t>
      </w:r>
      <w:r w:rsidR="00256FF2">
        <w:rPr>
          <w:rFonts w:ascii="Bookman Old Style" w:hAnsi="Bookman Old Style"/>
          <w:b/>
          <w:bCs/>
          <w:sz w:val="24"/>
          <w:szCs w:val="24"/>
          <w:u w:val="single"/>
        </w:rPr>
        <w:t>i</w:t>
      </w:r>
      <w:r w:rsidR="00256FF2" w:rsidRPr="000F4D2C">
        <w:rPr>
          <w:rFonts w:ascii="Bookman Old Style" w:hAnsi="Bookman Old Style"/>
          <w:b/>
          <w:bCs/>
          <w:sz w:val="24"/>
          <w:szCs w:val="24"/>
          <w:u w:val="single"/>
        </w:rPr>
        <w:t>cos Domiciliarios</w:t>
      </w:r>
      <w:r w:rsidR="00256FF2">
        <w:rPr>
          <w:rFonts w:ascii="Bookman Old Style" w:hAnsi="Bookman Old Style"/>
          <w:sz w:val="24"/>
          <w:szCs w:val="24"/>
        </w:rPr>
        <w:t xml:space="preserve"> </w:t>
      </w:r>
      <w:r w:rsidR="00CF5EFC" w:rsidRPr="000F4D2C">
        <w:rPr>
          <w:rFonts w:ascii="Bookman Old Style" w:hAnsi="Bookman Old Style"/>
          <w:sz w:val="24"/>
          <w:szCs w:val="24"/>
        </w:rPr>
        <w:t>como empresa de servicios públicos que desarrolla la actividad de transporte de gas natural</w:t>
      </w:r>
      <w:r w:rsidR="0003297E">
        <w:rPr>
          <w:rFonts w:ascii="Bookman Old Style" w:hAnsi="Bookman Old Style"/>
          <w:sz w:val="24"/>
          <w:szCs w:val="24"/>
        </w:rPr>
        <w:t xml:space="preserve"> </w:t>
      </w:r>
      <w:r w:rsidR="0003297E" w:rsidRPr="000F4D2C">
        <w:rPr>
          <w:rFonts w:ascii="Bookman Old Style" w:hAnsi="Bookman Old Style"/>
          <w:b/>
          <w:bCs/>
          <w:sz w:val="24"/>
          <w:szCs w:val="24"/>
          <w:u w:val="single"/>
        </w:rPr>
        <w:t xml:space="preserve">y la prestación de los servicios asociados </w:t>
      </w:r>
      <w:r w:rsidR="0003297E">
        <w:rPr>
          <w:rFonts w:ascii="Bookman Old Style" w:hAnsi="Bookman Old Style"/>
          <w:b/>
          <w:bCs/>
          <w:sz w:val="24"/>
          <w:szCs w:val="24"/>
          <w:u w:val="single"/>
        </w:rPr>
        <w:t>de</w:t>
      </w:r>
      <w:r w:rsidR="0003297E" w:rsidRPr="000F4D2C">
        <w:rPr>
          <w:rFonts w:ascii="Bookman Old Style" w:hAnsi="Bookman Old Style"/>
          <w:b/>
          <w:bCs/>
          <w:sz w:val="24"/>
          <w:szCs w:val="24"/>
          <w:u w:val="single"/>
        </w:rPr>
        <w:t xml:space="preserve"> la</w:t>
      </w:r>
      <w:r w:rsidR="0003297E">
        <w:rPr>
          <w:rFonts w:ascii="Bookman Old Style" w:hAnsi="Bookman Old Style"/>
          <w:b/>
          <w:bCs/>
          <w:sz w:val="24"/>
          <w:szCs w:val="24"/>
          <w:u w:val="single"/>
        </w:rPr>
        <w:t>s</w:t>
      </w:r>
      <w:r w:rsidR="0003297E" w:rsidRPr="000F4D2C">
        <w:rPr>
          <w:rFonts w:ascii="Bookman Old Style" w:hAnsi="Bookman Old Style"/>
          <w:b/>
          <w:bCs/>
          <w:sz w:val="24"/>
          <w:szCs w:val="24"/>
          <w:u w:val="single"/>
        </w:rPr>
        <w:t xml:space="preserve"> infraestructuras de regasificación cuando ello aplique</w:t>
      </w:r>
      <w:r w:rsidR="00CF5EFC" w:rsidRPr="000F4D2C">
        <w:rPr>
          <w:rFonts w:ascii="Bookman Old Style" w:hAnsi="Bookman Old Style"/>
          <w:sz w:val="24"/>
          <w:szCs w:val="24"/>
        </w:rPr>
        <w:t>.</w:t>
      </w:r>
    </w:p>
    <w:p w14:paraId="6C4C9570"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510DD403" w14:textId="6A2830E3" w:rsidR="00CF5EFC" w:rsidRPr="000F4D2C" w:rsidRDefault="003351B4" w:rsidP="00CF5EFC">
      <w:pPr>
        <w:pStyle w:val="Estilo3"/>
        <w:widowControl w:val="0"/>
        <w:tabs>
          <w:tab w:val="left" w:pos="1560"/>
        </w:tabs>
        <w:jc w:val="both"/>
        <w:rPr>
          <w:rFonts w:ascii="Bookman Old Style" w:hAnsi="Bookman Old Style"/>
          <w:sz w:val="24"/>
          <w:szCs w:val="24"/>
        </w:rPr>
      </w:pPr>
      <w:r w:rsidRPr="0020151F">
        <w:rPr>
          <w:rFonts w:ascii="Bookman Old Style" w:hAnsi="Bookman Old Style"/>
          <w:b/>
          <w:sz w:val="24"/>
          <w:szCs w:val="24"/>
        </w:rPr>
        <w:t>P</w:t>
      </w:r>
      <w:r>
        <w:rPr>
          <w:rFonts w:ascii="Bookman Old Style" w:hAnsi="Bookman Old Style"/>
          <w:b/>
          <w:sz w:val="24"/>
          <w:szCs w:val="24"/>
        </w:rPr>
        <w:t>arágrafo</w:t>
      </w:r>
      <w:r w:rsidRPr="0020151F">
        <w:rPr>
          <w:rFonts w:ascii="Bookman Old Style" w:hAnsi="Bookman Old Style"/>
          <w:b/>
          <w:sz w:val="24"/>
          <w:szCs w:val="24"/>
        </w:rPr>
        <w:t xml:space="preserve"> </w:t>
      </w:r>
      <w:r w:rsidR="00CF5EFC" w:rsidRPr="000F4D2C">
        <w:rPr>
          <w:rFonts w:ascii="Bookman Old Style" w:hAnsi="Bookman Old Style"/>
          <w:b/>
          <w:sz w:val="24"/>
          <w:szCs w:val="24"/>
        </w:rPr>
        <w:t>3.</w:t>
      </w:r>
      <w:r w:rsidR="00CF5EFC" w:rsidRPr="000F4D2C">
        <w:rPr>
          <w:rFonts w:ascii="Bookman Old Style" w:hAnsi="Bookman Old Style"/>
          <w:sz w:val="24"/>
          <w:szCs w:val="24"/>
        </w:rPr>
        <w:t xml:space="preserve"> Con el fin de aplicar un porcentaje adicional como incentivo para la puesta en operación parcial en fecha anticipada de un proyecto del PAGN, además de requerirse para ello que en el PAGN vigente se haya incluido una fecha anticipada de entrada en operación para dicho proyecto, el adjudicatario o el transportador incumbente que ejecute proyectos IPAT, solicitará a la UPME un concepto sobre su propuesta de entrada en operación parcial anticipada, de acuerdo con el procedimiento que dicha entidad establezca para ese fin. Con base en lo anterior, el auditor deberá certificar el cumplimiento de dichos procedimientos y características, y el valor de la capacidad puesta en operación parcial.</w:t>
      </w:r>
    </w:p>
    <w:p w14:paraId="1A8B4757"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6C3C9CAF" w14:textId="57A82F37" w:rsidR="00CF5EFC" w:rsidRPr="000F4D2C" w:rsidRDefault="003351B4" w:rsidP="00CF5EFC">
      <w:pPr>
        <w:pStyle w:val="Estilo3"/>
        <w:widowControl w:val="0"/>
        <w:tabs>
          <w:tab w:val="left" w:pos="1560"/>
        </w:tabs>
        <w:jc w:val="both"/>
        <w:rPr>
          <w:rFonts w:ascii="Bookman Old Style" w:hAnsi="Bookman Old Style"/>
          <w:sz w:val="24"/>
          <w:szCs w:val="24"/>
        </w:rPr>
      </w:pPr>
      <w:r w:rsidRPr="0020151F">
        <w:rPr>
          <w:rFonts w:ascii="Bookman Old Style" w:hAnsi="Bookman Old Style"/>
          <w:b/>
          <w:sz w:val="24"/>
          <w:szCs w:val="24"/>
        </w:rPr>
        <w:t>P</w:t>
      </w:r>
      <w:r>
        <w:rPr>
          <w:rFonts w:ascii="Bookman Old Style" w:hAnsi="Bookman Old Style"/>
          <w:b/>
          <w:sz w:val="24"/>
          <w:szCs w:val="24"/>
        </w:rPr>
        <w:t>arágrafo</w:t>
      </w:r>
      <w:r w:rsidR="00CF5EFC" w:rsidRPr="000F4D2C">
        <w:rPr>
          <w:rFonts w:ascii="Bookman Old Style" w:hAnsi="Bookman Old Style"/>
          <w:b/>
          <w:sz w:val="24"/>
          <w:szCs w:val="24"/>
        </w:rPr>
        <w:t xml:space="preserve"> 4.</w:t>
      </w:r>
      <w:r w:rsidR="00CF5EFC" w:rsidRPr="000F4D2C">
        <w:rPr>
          <w:rFonts w:ascii="Bookman Old Style" w:hAnsi="Bookman Old Style"/>
          <w:sz w:val="24"/>
          <w:szCs w:val="24"/>
        </w:rPr>
        <w:t xml:space="preserve"> Previo al inicio del desarrollo de los procesos de selección que adelante la UPME para cada proyecto, y de acuerdo con lo establecido en el Parágrafo 3 del Artículo 5 de la presente resolución, se establecerá en resolución aparte el porcentaje adicional como incentivo para cada proyecto del PAGN vigente que reúna los requisitos para ello. El porcentaje será establecido con base en los siguientes criterios, entre otros:</w:t>
      </w:r>
    </w:p>
    <w:p w14:paraId="6C53DBBC"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6821A65E" w14:textId="77777777" w:rsidR="00CF5EFC" w:rsidRPr="000F4D2C" w:rsidRDefault="00CF5EFC" w:rsidP="00CF5EFC">
      <w:pPr>
        <w:pStyle w:val="Estilo3"/>
        <w:widowControl w:val="0"/>
        <w:numPr>
          <w:ilvl w:val="4"/>
          <w:numId w:val="35"/>
        </w:numPr>
        <w:tabs>
          <w:tab w:val="left" w:pos="1560"/>
        </w:tabs>
        <w:ind w:left="284" w:hanging="284"/>
        <w:jc w:val="both"/>
        <w:rPr>
          <w:rFonts w:ascii="Bookman Old Style" w:hAnsi="Bookman Old Style"/>
          <w:sz w:val="24"/>
          <w:szCs w:val="24"/>
        </w:rPr>
      </w:pPr>
      <w:r w:rsidRPr="000F4D2C">
        <w:rPr>
          <w:rFonts w:ascii="Bookman Old Style" w:hAnsi="Bookman Old Style"/>
          <w:sz w:val="24"/>
          <w:szCs w:val="24"/>
        </w:rPr>
        <w:t xml:space="preserve"> El valor presente de los beneficios tendrá en cuenta el ahorro para los usuarios por el adelanto del proyecto, frente al costo de los sustitutos y/o el posible racionamiento que enfrentarían en caso de no adelantarse la fecha de entrada en operación del proyecto.</w:t>
      </w:r>
    </w:p>
    <w:p w14:paraId="6DF853B7" w14:textId="77777777" w:rsidR="00CF5EFC" w:rsidRPr="000F4D2C" w:rsidRDefault="00CF5EFC" w:rsidP="00CF5EFC">
      <w:pPr>
        <w:pStyle w:val="Estilo3"/>
        <w:widowControl w:val="0"/>
        <w:tabs>
          <w:tab w:val="left" w:pos="1560"/>
        </w:tabs>
        <w:ind w:left="284"/>
        <w:jc w:val="both"/>
        <w:rPr>
          <w:rFonts w:ascii="Bookman Old Style" w:hAnsi="Bookman Old Style"/>
          <w:sz w:val="24"/>
          <w:szCs w:val="24"/>
        </w:rPr>
      </w:pPr>
    </w:p>
    <w:p w14:paraId="6AB07F13" w14:textId="77777777" w:rsidR="00CF5EFC" w:rsidRPr="000F4D2C" w:rsidRDefault="00CF5EFC" w:rsidP="00CF5EFC">
      <w:pPr>
        <w:pStyle w:val="Estilo3"/>
        <w:widowControl w:val="0"/>
        <w:numPr>
          <w:ilvl w:val="4"/>
          <w:numId w:val="35"/>
        </w:numPr>
        <w:tabs>
          <w:tab w:val="left" w:pos="1560"/>
        </w:tabs>
        <w:ind w:left="284" w:hanging="284"/>
        <w:jc w:val="both"/>
        <w:rPr>
          <w:rFonts w:ascii="Bookman Old Style" w:hAnsi="Bookman Old Style"/>
          <w:sz w:val="24"/>
          <w:szCs w:val="24"/>
        </w:rPr>
      </w:pPr>
      <w:r w:rsidRPr="000F4D2C">
        <w:rPr>
          <w:rFonts w:ascii="Bookman Old Style" w:hAnsi="Bookman Old Style"/>
          <w:sz w:val="24"/>
          <w:szCs w:val="24"/>
        </w:rPr>
        <w:t>El valor presente de los costos tendrá en cuenta un estimado de las inversiones adicionales y los AOM correspondientes del adjudicatario.</w:t>
      </w:r>
    </w:p>
    <w:p w14:paraId="1007F5D0" w14:textId="77777777" w:rsidR="00CF5EFC" w:rsidRPr="000F4D2C" w:rsidRDefault="00CF5EFC" w:rsidP="00CF5EFC">
      <w:pPr>
        <w:pStyle w:val="Prrafodelista"/>
        <w:rPr>
          <w:rFonts w:ascii="Bookman Old Style" w:hAnsi="Bookman Old Style"/>
          <w:sz w:val="24"/>
          <w:szCs w:val="24"/>
        </w:rPr>
      </w:pPr>
    </w:p>
    <w:p w14:paraId="1C6DF459" w14:textId="77777777" w:rsidR="00CF5EFC" w:rsidRPr="000F4D2C" w:rsidRDefault="00CF5EFC" w:rsidP="00CF5EFC">
      <w:pPr>
        <w:pStyle w:val="Estilo3"/>
        <w:widowControl w:val="0"/>
        <w:numPr>
          <w:ilvl w:val="4"/>
          <w:numId w:val="35"/>
        </w:numPr>
        <w:tabs>
          <w:tab w:val="left" w:pos="1560"/>
        </w:tabs>
        <w:ind w:left="284" w:hanging="284"/>
        <w:jc w:val="both"/>
        <w:rPr>
          <w:rFonts w:ascii="Bookman Old Style" w:hAnsi="Bookman Old Style"/>
          <w:sz w:val="24"/>
          <w:szCs w:val="24"/>
        </w:rPr>
      </w:pPr>
      <w:r w:rsidRPr="000F4D2C">
        <w:rPr>
          <w:rFonts w:ascii="Bookman Old Style" w:hAnsi="Bookman Old Style"/>
          <w:sz w:val="24"/>
          <w:szCs w:val="24"/>
        </w:rPr>
        <w:t>Relación beneficio – costo mayor o igual a 1, tal que los beneficios para el usuario sean mayores que el costo estimado que asumiría el inversionista.</w:t>
      </w:r>
    </w:p>
    <w:p w14:paraId="4143AE42"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5C80EF18" w14:textId="77777777" w:rsidR="00CF5EFC" w:rsidRDefault="00CF5EFC" w:rsidP="00CF5EFC">
      <w:pPr>
        <w:pStyle w:val="Estilo3"/>
        <w:widowControl w:val="0"/>
        <w:numPr>
          <w:ilvl w:val="4"/>
          <w:numId w:val="35"/>
        </w:numPr>
        <w:tabs>
          <w:tab w:val="left" w:pos="1560"/>
        </w:tabs>
        <w:ind w:left="284" w:hanging="284"/>
        <w:jc w:val="both"/>
        <w:rPr>
          <w:rFonts w:ascii="Bookman Old Style" w:hAnsi="Bookman Old Style"/>
          <w:sz w:val="24"/>
          <w:szCs w:val="24"/>
        </w:rPr>
      </w:pPr>
      <w:r w:rsidRPr="000F4D2C">
        <w:rPr>
          <w:rFonts w:ascii="Bookman Old Style" w:hAnsi="Bookman Old Style"/>
          <w:sz w:val="24"/>
          <w:szCs w:val="24"/>
        </w:rPr>
        <w:t>El porcentaje a proponer será aquel que genere la mayor relación beneficio- costo.</w:t>
      </w:r>
      <w:bookmarkEnd w:id="7"/>
    </w:p>
    <w:p w14:paraId="1E3DE0DF" w14:textId="77777777" w:rsidR="007E6226" w:rsidRDefault="007E6226" w:rsidP="007E6226">
      <w:pPr>
        <w:pStyle w:val="Estilo3"/>
        <w:widowControl w:val="0"/>
        <w:tabs>
          <w:tab w:val="left" w:pos="1560"/>
        </w:tabs>
        <w:jc w:val="both"/>
        <w:rPr>
          <w:rFonts w:ascii="Bookman Old Style" w:hAnsi="Bookman Old Style"/>
          <w:sz w:val="24"/>
          <w:szCs w:val="24"/>
        </w:rPr>
      </w:pPr>
    </w:p>
    <w:p w14:paraId="6FE822D4" w14:textId="0F9636CA" w:rsidR="009339AD" w:rsidRPr="000F4D2C" w:rsidRDefault="009339AD" w:rsidP="009339AD">
      <w:pPr>
        <w:pStyle w:val="Estilo3"/>
        <w:widowControl w:val="0"/>
        <w:tabs>
          <w:tab w:val="left" w:pos="1560"/>
        </w:tabs>
        <w:jc w:val="both"/>
        <w:rPr>
          <w:rFonts w:ascii="Bookman Old Style" w:hAnsi="Bookman Old Style"/>
          <w:b/>
          <w:bCs/>
          <w:sz w:val="24"/>
          <w:szCs w:val="24"/>
          <w:u w:val="single"/>
        </w:rPr>
      </w:pPr>
      <w:r w:rsidRPr="000F4D2C">
        <w:rPr>
          <w:rFonts w:ascii="Bookman Old Style" w:hAnsi="Bookman Old Style"/>
          <w:b/>
          <w:bCs/>
          <w:sz w:val="24"/>
          <w:szCs w:val="24"/>
          <w:u w:val="single"/>
        </w:rPr>
        <w:t xml:space="preserve">Parágrafo 5. La parte correspondiente a la remuneración por </w:t>
      </w:r>
      <w:r>
        <w:rPr>
          <w:rFonts w:ascii="Bookman Old Style" w:hAnsi="Bookman Old Style"/>
          <w:b/>
          <w:bCs/>
          <w:sz w:val="24"/>
          <w:szCs w:val="24"/>
          <w:u w:val="single"/>
        </w:rPr>
        <w:t xml:space="preserve">parte de </w:t>
      </w:r>
      <w:r w:rsidRPr="000F4D2C">
        <w:rPr>
          <w:rFonts w:ascii="Bookman Old Style" w:hAnsi="Bookman Old Style"/>
          <w:b/>
          <w:bCs/>
          <w:sz w:val="24"/>
          <w:szCs w:val="24"/>
          <w:u w:val="single"/>
        </w:rPr>
        <w:t xml:space="preserve">los beneficiarios, según lo contemplado en el Anexo 4 de la presente resolución, por la prestación del servicio que se realice de manera parcial durante el período que transcurre entre la FPO inicialmente establecida por el MME en el PAGN y el inicio de la operación del proyecto a plena capacidad, será pagada una vez concluido el PEP contado a partir de la FPO inicialmente establecida. Serán reconocidos los valores mensuales que se obtienen, </w:t>
      </w:r>
      <w:r w:rsidRPr="000F4D2C">
        <w:rPr>
          <w:rFonts w:ascii="Bookman Old Style" w:hAnsi="Bookman Old Style"/>
          <w:b/>
          <w:bCs/>
          <w:sz w:val="24"/>
          <w:szCs w:val="24"/>
          <w:u w:val="single"/>
        </w:rPr>
        <w:lastRenderedPageBreak/>
        <w:t xml:space="preserve">durante el mismo número de meses transcurridos en el período anteriormente mencionado. </w:t>
      </w:r>
    </w:p>
    <w:p w14:paraId="378D1182" w14:textId="77777777" w:rsidR="009339AD" w:rsidRPr="000F4D2C" w:rsidRDefault="009339AD" w:rsidP="009339AD">
      <w:pPr>
        <w:pStyle w:val="Estilo3"/>
        <w:widowControl w:val="0"/>
        <w:tabs>
          <w:tab w:val="left" w:pos="1560"/>
        </w:tabs>
        <w:jc w:val="both"/>
        <w:rPr>
          <w:rFonts w:ascii="Bookman Old Style" w:hAnsi="Bookman Old Style"/>
          <w:b/>
          <w:bCs/>
          <w:sz w:val="24"/>
          <w:szCs w:val="24"/>
          <w:u w:val="single"/>
        </w:rPr>
      </w:pPr>
    </w:p>
    <w:p w14:paraId="39E570AF" w14:textId="77777777" w:rsidR="009339AD" w:rsidRPr="000F4D2C" w:rsidRDefault="009339AD" w:rsidP="009339AD">
      <w:pPr>
        <w:pStyle w:val="Estilo3"/>
        <w:widowControl w:val="0"/>
        <w:tabs>
          <w:tab w:val="left" w:pos="1560"/>
        </w:tabs>
        <w:jc w:val="both"/>
        <w:rPr>
          <w:rFonts w:ascii="Bookman Old Style" w:hAnsi="Bookman Old Style"/>
          <w:b/>
          <w:bCs/>
          <w:sz w:val="24"/>
          <w:szCs w:val="24"/>
          <w:u w:val="single"/>
        </w:rPr>
      </w:pPr>
      <w:r w:rsidRPr="000F4D2C">
        <w:rPr>
          <w:rFonts w:ascii="Bookman Old Style" w:hAnsi="Bookman Old Style"/>
          <w:b/>
          <w:bCs/>
          <w:sz w:val="24"/>
          <w:szCs w:val="24"/>
          <w:u w:val="single"/>
        </w:rPr>
        <w:t>El valor de los pagos de los beneficiarios calculados en el mes de prestación de acuerdo con el Anexo 4 de la presente Resolución, será actualizado con base en el IPC, así:</w:t>
      </w:r>
    </w:p>
    <w:p w14:paraId="3220B5DA" w14:textId="77777777" w:rsidR="009339AD" w:rsidRPr="000F4D2C" w:rsidRDefault="009339AD" w:rsidP="009339AD">
      <w:pPr>
        <w:pStyle w:val="Estilo3"/>
        <w:widowControl w:val="0"/>
        <w:tabs>
          <w:tab w:val="left" w:pos="1560"/>
        </w:tabs>
        <w:jc w:val="both"/>
        <w:rPr>
          <w:rFonts w:ascii="Bookman Old Style" w:hAnsi="Bookman Old Style"/>
          <w:b/>
          <w:bCs/>
          <w:sz w:val="24"/>
          <w:szCs w:val="24"/>
          <w:u w:val="single"/>
        </w:rPr>
      </w:pPr>
    </w:p>
    <w:p w14:paraId="3EC99B09" w14:textId="2BC422D3" w:rsidR="009F78DF" w:rsidRPr="000F4D2C" w:rsidRDefault="00B560EE" w:rsidP="009F78DF">
      <w:pPr>
        <w:jc w:val="center"/>
        <w:rPr>
          <w:rFonts w:ascii="Bookman Old Style" w:eastAsiaTheme="minorEastAsia" w:hAnsi="Bookman Old Style"/>
          <w:b/>
          <w:bCs/>
          <w:iCs/>
          <w:sz w:val="24"/>
          <w:szCs w:val="24"/>
          <w:lang w:val="es-ES_tradnl"/>
        </w:rPr>
      </w:pPr>
      <m:oMath>
        <m:sSub>
          <m:sSubPr>
            <m:ctrlPr>
              <w:rPr>
                <w:rFonts w:ascii="Cambria Math" w:hAnsi="Cambria Math" w:cs="Cambria Math"/>
                <w:b/>
                <w:bCs/>
                <w:i/>
                <w:iCs/>
                <w:sz w:val="24"/>
                <w:szCs w:val="24"/>
                <w:lang w:val="es-ES_tradnl"/>
              </w:rPr>
            </m:ctrlPr>
          </m:sSubPr>
          <m:e>
            <m:r>
              <m:rPr>
                <m:sty m:val="bi"/>
              </m:rPr>
              <w:rPr>
                <w:rFonts w:ascii="Cambria Math" w:hAnsi="Cambria Math" w:cs="Cambria Math"/>
                <w:sz w:val="24"/>
                <w:szCs w:val="24"/>
                <w:lang w:val="es-ES_tradnl"/>
              </w:rPr>
              <m:t>A</m:t>
            </m:r>
          </m:e>
          <m:sub>
            <m:r>
              <m:rPr>
                <m:sty m:val="bi"/>
              </m:rPr>
              <w:rPr>
                <w:rFonts w:ascii="Cambria Math" w:hAnsi="Cambria Math" w:cs="Cambria Math"/>
                <w:sz w:val="24"/>
                <w:szCs w:val="24"/>
                <w:lang w:val="es-ES_tradnl"/>
              </w:rPr>
              <m:t>PAGN,m+1,t</m:t>
            </m:r>
          </m:sub>
        </m:sSub>
      </m:oMath>
      <w:r w:rsidR="009F78DF" w:rsidRPr="000F4D2C">
        <w:rPr>
          <w:rFonts w:ascii="Bookman Old Style" w:eastAsiaTheme="minorEastAsia" w:hAnsi="Bookman Old Style"/>
          <w:b/>
          <w:bCs/>
          <w:iCs/>
          <w:sz w:val="24"/>
          <w:szCs w:val="24"/>
          <w:lang w:val="es-ES_tradnl"/>
        </w:rPr>
        <w:t xml:space="preserve"> = </w:t>
      </w:r>
      <m:oMath>
        <m:sSub>
          <m:sSubPr>
            <m:ctrlPr>
              <w:rPr>
                <w:rFonts w:ascii="Cambria Math" w:hAnsi="Cambria Math" w:cs="Cambria Math"/>
                <w:b/>
                <w:bCs/>
                <w:i/>
                <w:iCs/>
                <w:sz w:val="24"/>
                <w:szCs w:val="24"/>
                <w:lang w:val="es-ES_tradnl"/>
              </w:rPr>
            </m:ctrlPr>
          </m:sSubPr>
          <m:e>
            <m:r>
              <m:rPr>
                <m:sty m:val="bi"/>
              </m:rPr>
              <w:rPr>
                <w:rFonts w:ascii="Cambria Math" w:hAnsi="Cambria Math" w:cs="Cambria Math"/>
                <w:sz w:val="24"/>
                <w:szCs w:val="24"/>
                <w:lang w:val="es-ES_tradnl"/>
              </w:rPr>
              <m:t>A</m:t>
            </m:r>
          </m:e>
          <m:sub>
            <m:r>
              <m:rPr>
                <m:sty m:val="bi"/>
              </m:rPr>
              <w:rPr>
                <w:rFonts w:ascii="Cambria Math" w:hAnsi="Cambria Math" w:cs="Cambria Math"/>
                <w:sz w:val="24"/>
                <w:szCs w:val="24"/>
                <w:lang w:val="es-ES_tradnl"/>
              </w:rPr>
              <m:t>PAGN,m+1,t</m:t>
            </m:r>
          </m:sub>
        </m:sSub>
        <m:r>
          <m:rPr>
            <m:sty m:val="bi"/>
          </m:rPr>
          <w:rPr>
            <w:rFonts w:ascii="Cambria Math" w:hAnsi="Cambria Math" w:cs="Cambria Math"/>
            <w:sz w:val="24"/>
            <w:szCs w:val="24"/>
            <w:lang w:val="es-ES_tradnl"/>
          </w:rPr>
          <m:t xml:space="preserve"> X </m:t>
        </m:r>
        <m:d>
          <m:dPr>
            <m:ctrlPr>
              <w:rPr>
                <w:rFonts w:ascii="Cambria Math" w:hAnsi="Cambria Math" w:cs="Cambria Math"/>
                <w:b/>
                <w:bCs/>
                <w:i/>
                <w:sz w:val="24"/>
                <w:szCs w:val="24"/>
                <w:lang w:val="es-ES_tradnl"/>
              </w:rPr>
            </m:ctrlPr>
          </m:dPr>
          <m:e>
            <m:f>
              <m:fPr>
                <m:type m:val="skw"/>
                <m:ctrlPr>
                  <w:rPr>
                    <w:rFonts w:ascii="Cambria Math" w:hAnsi="Cambria Math" w:cs="Cambria Math"/>
                    <w:b/>
                    <w:bCs/>
                    <w:i/>
                    <w:iCs/>
                    <w:sz w:val="24"/>
                    <w:szCs w:val="24"/>
                    <w:lang w:val="es-ES_tradnl"/>
                  </w:rPr>
                </m:ctrlPr>
              </m:fPr>
              <m:num>
                <m:sSub>
                  <m:sSubPr>
                    <m:ctrlPr>
                      <w:rPr>
                        <w:rFonts w:ascii="Cambria Math" w:hAnsi="Cambria Math" w:cs="Cambria Math"/>
                        <w:b/>
                        <w:bCs/>
                        <w:i/>
                        <w:iCs/>
                        <w:sz w:val="24"/>
                        <w:szCs w:val="24"/>
                        <w:lang w:val="es-ES_tradnl"/>
                      </w:rPr>
                    </m:ctrlPr>
                  </m:sSubPr>
                  <m:e>
                    <m:r>
                      <m:rPr>
                        <m:sty m:val="bi"/>
                      </m:rPr>
                      <w:rPr>
                        <w:rFonts w:ascii="Cambria Math" w:hAnsi="Cambria Math" w:cs="Cambria Math"/>
                        <w:sz w:val="24"/>
                        <w:szCs w:val="24"/>
                        <w:lang w:val="es-ES_tradnl"/>
                      </w:rPr>
                      <m:t>IPC</m:t>
                    </m:r>
                  </m:e>
                  <m:sub>
                    <m:r>
                      <m:rPr>
                        <m:sty m:val="bi"/>
                      </m:rPr>
                      <w:rPr>
                        <w:rFonts w:ascii="Cambria Math" w:hAnsi="Cambria Math" w:cs="Cambria Math"/>
                        <w:sz w:val="24"/>
                        <w:szCs w:val="24"/>
                        <w:lang w:val="es-ES_tradnl"/>
                      </w:rPr>
                      <m:t>m,a</m:t>
                    </m:r>
                  </m:sub>
                </m:sSub>
              </m:num>
              <m:den>
                <m:sSub>
                  <m:sSubPr>
                    <m:ctrlPr>
                      <w:rPr>
                        <w:rFonts w:ascii="Cambria Math" w:hAnsi="Cambria Math" w:cs="Cambria Math"/>
                        <w:b/>
                        <w:bCs/>
                        <w:i/>
                        <w:iCs/>
                        <w:sz w:val="24"/>
                        <w:szCs w:val="24"/>
                        <w:lang w:val="es-ES_tradnl"/>
                      </w:rPr>
                    </m:ctrlPr>
                  </m:sSubPr>
                  <m:e>
                    <m:r>
                      <m:rPr>
                        <m:sty m:val="bi"/>
                      </m:rPr>
                      <w:rPr>
                        <w:rFonts w:ascii="Cambria Math" w:hAnsi="Cambria Math" w:cs="Cambria Math"/>
                        <w:sz w:val="24"/>
                        <w:szCs w:val="24"/>
                        <w:lang w:val="es-ES_tradnl"/>
                      </w:rPr>
                      <m:t>IPC</m:t>
                    </m:r>
                  </m:e>
                  <m:sub>
                    <m:r>
                      <m:rPr>
                        <m:sty m:val="bi"/>
                      </m:rPr>
                      <w:rPr>
                        <w:rFonts w:ascii="Cambria Math" w:hAnsi="Cambria Math" w:cs="Cambria Math"/>
                        <w:sz w:val="24"/>
                        <w:szCs w:val="24"/>
                        <w:lang w:val="es-ES_tradnl"/>
                      </w:rPr>
                      <m:t>m</m:t>
                    </m:r>
                  </m:sub>
                </m:sSub>
              </m:den>
            </m:f>
          </m:e>
        </m:d>
      </m:oMath>
    </w:p>
    <w:p w14:paraId="48205EE4" w14:textId="77777777" w:rsidR="009339AD" w:rsidRPr="000F4D2C" w:rsidRDefault="009339AD" w:rsidP="009339AD">
      <w:pPr>
        <w:pStyle w:val="Estilo3"/>
        <w:widowControl w:val="0"/>
        <w:tabs>
          <w:tab w:val="left" w:pos="1560"/>
        </w:tabs>
        <w:jc w:val="both"/>
        <w:rPr>
          <w:rFonts w:ascii="Bookman Old Style" w:hAnsi="Bookman Old Style"/>
          <w:b/>
          <w:bCs/>
          <w:sz w:val="24"/>
          <w:szCs w:val="24"/>
          <w:u w:val="single"/>
        </w:rPr>
      </w:pPr>
    </w:p>
    <w:p w14:paraId="1CE527F9" w14:textId="77777777" w:rsidR="009339AD" w:rsidRPr="000F4D2C" w:rsidRDefault="009339AD" w:rsidP="009339AD">
      <w:pPr>
        <w:pStyle w:val="Estilo3"/>
        <w:widowControl w:val="0"/>
        <w:tabs>
          <w:tab w:val="left" w:pos="1560"/>
        </w:tabs>
        <w:jc w:val="both"/>
        <w:rPr>
          <w:rFonts w:ascii="Bookman Old Style" w:hAnsi="Bookman Old Style"/>
          <w:b/>
          <w:bCs/>
          <w:sz w:val="24"/>
          <w:szCs w:val="24"/>
          <w:u w:val="single"/>
        </w:rPr>
      </w:pPr>
      <w:r w:rsidRPr="000F4D2C">
        <w:rPr>
          <w:rFonts w:ascii="Bookman Old Style" w:hAnsi="Bookman Old Style"/>
          <w:b/>
          <w:bCs/>
          <w:sz w:val="24"/>
          <w:szCs w:val="24"/>
          <w:u w:val="single"/>
        </w:rPr>
        <w:t>Donde:</w:t>
      </w:r>
    </w:p>
    <w:p w14:paraId="1E3B3873" w14:textId="77777777" w:rsidR="009339AD" w:rsidRPr="000F4D2C" w:rsidRDefault="009339AD" w:rsidP="009339AD">
      <w:pPr>
        <w:pStyle w:val="Estilo3"/>
        <w:widowControl w:val="0"/>
        <w:tabs>
          <w:tab w:val="left" w:pos="1560"/>
        </w:tabs>
        <w:jc w:val="both"/>
        <w:rPr>
          <w:rFonts w:ascii="Bookman Old Style" w:hAnsi="Bookman Old Style"/>
          <w:b/>
          <w:bCs/>
          <w:sz w:val="24"/>
          <w:szCs w:val="24"/>
          <w:u w:val="single"/>
        </w:rPr>
      </w:pPr>
    </w:p>
    <w:p w14:paraId="60F16812" w14:textId="25389408" w:rsidR="009339AD" w:rsidRPr="000F4D2C" w:rsidRDefault="00B560EE" w:rsidP="000F4D2C">
      <w:pPr>
        <w:pStyle w:val="Estilo3"/>
        <w:widowControl w:val="0"/>
        <w:tabs>
          <w:tab w:val="left" w:pos="1560"/>
        </w:tabs>
        <w:ind w:left="1416" w:hanging="1416"/>
        <w:jc w:val="both"/>
        <w:rPr>
          <w:rFonts w:ascii="Bookman Old Style" w:hAnsi="Bookman Old Style"/>
          <w:b/>
          <w:bCs/>
          <w:sz w:val="24"/>
          <w:szCs w:val="24"/>
          <w:u w:val="single"/>
        </w:rPr>
      </w:pPr>
      <m:oMath>
        <m:sSub>
          <m:sSubPr>
            <m:ctrlPr>
              <w:rPr>
                <w:rFonts w:ascii="Cambria Math" w:hAnsi="Cambria Math" w:cs="Cambria Math"/>
                <w:b/>
                <w:bCs/>
                <w:i/>
                <w:iCs/>
                <w:sz w:val="24"/>
                <w:szCs w:val="24"/>
              </w:rPr>
            </m:ctrlPr>
          </m:sSubPr>
          <m:e>
            <m:r>
              <m:rPr>
                <m:sty m:val="bi"/>
              </m:rPr>
              <w:rPr>
                <w:rFonts w:ascii="Cambria Math" w:hAnsi="Cambria Math" w:cs="Cambria Math"/>
                <w:sz w:val="24"/>
                <w:szCs w:val="24"/>
              </w:rPr>
              <m:t>A</m:t>
            </m:r>
          </m:e>
          <m:sub>
            <m:r>
              <m:rPr>
                <m:sty m:val="bi"/>
              </m:rPr>
              <w:rPr>
                <w:rFonts w:ascii="Cambria Math" w:hAnsi="Cambria Math" w:cs="Cambria Math"/>
                <w:sz w:val="24"/>
                <w:szCs w:val="24"/>
              </w:rPr>
              <m:t>PAGN,m+1,t</m:t>
            </m:r>
          </m:sub>
        </m:sSub>
      </m:oMath>
      <w:r w:rsidR="009339AD" w:rsidRPr="000F4D2C">
        <w:rPr>
          <w:rFonts w:ascii="Bookman Old Style" w:hAnsi="Bookman Old Style"/>
          <w:b/>
          <w:bCs/>
          <w:sz w:val="24"/>
          <w:szCs w:val="24"/>
          <w:u w:val="single"/>
        </w:rPr>
        <w:t>: Valor a facturar por el adjudicatario, al transportador del sistema de transporte t, por el servicio prestado en el mes m por el proyecto PAGN.</w:t>
      </w:r>
    </w:p>
    <w:p w14:paraId="283261A4" w14:textId="77777777" w:rsidR="009339AD" w:rsidRPr="000F4D2C" w:rsidRDefault="009339AD" w:rsidP="009339AD">
      <w:pPr>
        <w:pStyle w:val="Estilo3"/>
        <w:widowControl w:val="0"/>
        <w:tabs>
          <w:tab w:val="left" w:pos="1560"/>
        </w:tabs>
        <w:jc w:val="both"/>
        <w:rPr>
          <w:rFonts w:ascii="Bookman Old Style" w:hAnsi="Bookman Old Style"/>
          <w:b/>
          <w:bCs/>
          <w:sz w:val="24"/>
          <w:szCs w:val="24"/>
          <w:u w:val="single"/>
        </w:rPr>
      </w:pPr>
    </w:p>
    <w:p w14:paraId="2FD8A805" w14:textId="12952D87" w:rsidR="009339AD" w:rsidRPr="000F4D2C" w:rsidRDefault="00B560EE" w:rsidP="000F4D2C">
      <w:pPr>
        <w:pStyle w:val="Estilo3"/>
        <w:widowControl w:val="0"/>
        <w:tabs>
          <w:tab w:val="left" w:pos="1560"/>
        </w:tabs>
        <w:ind w:left="1416" w:hanging="1416"/>
        <w:jc w:val="both"/>
        <w:rPr>
          <w:rFonts w:ascii="Bookman Old Style" w:hAnsi="Bookman Old Style"/>
          <w:b/>
          <w:bCs/>
          <w:sz w:val="24"/>
          <w:szCs w:val="24"/>
          <w:u w:val="single"/>
        </w:rPr>
      </w:pPr>
      <m:oMath>
        <m:sSub>
          <m:sSubPr>
            <m:ctrlPr>
              <w:rPr>
                <w:rFonts w:ascii="Cambria Math" w:hAnsi="Cambria Math" w:cs="Cambria Math"/>
                <w:b/>
                <w:bCs/>
                <w:i/>
                <w:iCs/>
                <w:sz w:val="24"/>
                <w:szCs w:val="24"/>
                <w:u w:val="single"/>
              </w:rPr>
            </m:ctrlPr>
          </m:sSubPr>
          <m:e>
            <m:r>
              <m:rPr>
                <m:sty m:val="bi"/>
              </m:rPr>
              <w:rPr>
                <w:rFonts w:ascii="Cambria Math" w:hAnsi="Cambria Math" w:cs="Cambria Math"/>
                <w:sz w:val="24"/>
                <w:szCs w:val="24"/>
                <w:u w:val="single"/>
              </w:rPr>
              <m:t>IPC</m:t>
            </m:r>
          </m:e>
          <m:sub>
            <m:r>
              <m:rPr>
                <m:sty m:val="bi"/>
              </m:rPr>
              <w:rPr>
                <w:rFonts w:ascii="Cambria Math" w:hAnsi="Cambria Math" w:cs="Cambria Math"/>
                <w:sz w:val="24"/>
                <w:szCs w:val="24"/>
                <w:u w:val="single"/>
              </w:rPr>
              <m:t>m,a</m:t>
            </m:r>
          </m:sub>
        </m:sSub>
      </m:oMath>
      <w:r w:rsidR="00AF0741" w:rsidRPr="000F4D2C">
        <w:rPr>
          <w:rFonts w:ascii="Arial Narrow" w:eastAsiaTheme="minorEastAsia" w:hAnsi="Arial Narrow"/>
          <w:b/>
          <w:bCs/>
          <w:iCs/>
          <w:sz w:val="24"/>
          <w:szCs w:val="24"/>
          <w:u w:val="single"/>
        </w:rPr>
        <w:t>:</w:t>
      </w:r>
      <w:r w:rsidR="00AF0741" w:rsidRPr="000F4D2C">
        <w:rPr>
          <w:rFonts w:ascii="Arial Narrow" w:eastAsiaTheme="minorEastAsia" w:hAnsi="Arial Narrow"/>
          <w:iCs/>
          <w:u w:val="single"/>
        </w:rPr>
        <w:t xml:space="preserve"> </w:t>
      </w:r>
      <w:r w:rsidR="00AF0741">
        <w:rPr>
          <w:rFonts w:ascii="Arial Narrow" w:eastAsiaTheme="minorEastAsia" w:hAnsi="Arial Narrow"/>
          <w:iCs/>
          <w:u w:val="single"/>
        </w:rPr>
        <w:tab/>
      </w:r>
      <w:r w:rsidR="009339AD" w:rsidRPr="000F4D2C">
        <w:rPr>
          <w:rFonts w:ascii="Bookman Old Style" w:hAnsi="Bookman Old Style"/>
          <w:b/>
          <w:bCs/>
          <w:sz w:val="24"/>
          <w:szCs w:val="24"/>
          <w:u w:val="single"/>
        </w:rPr>
        <w:t>Valor del IPC en el mes anterior al mes m en el año a de facturación del servicio.</w:t>
      </w:r>
    </w:p>
    <w:p w14:paraId="25B2A0AF" w14:textId="77777777" w:rsidR="009339AD" w:rsidRPr="000F4D2C" w:rsidRDefault="009339AD" w:rsidP="009339AD">
      <w:pPr>
        <w:pStyle w:val="Estilo3"/>
        <w:widowControl w:val="0"/>
        <w:tabs>
          <w:tab w:val="left" w:pos="1560"/>
        </w:tabs>
        <w:jc w:val="both"/>
        <w:rPr>
          <w:rFonts w:ascii="Bookman Old Style" w:hAnsi="Bookman Old Style"/>
          <w:b/>
          <w:bCs/>
          <w:sz w:val="24"/>
          <w:szCs w:val="24"/>
          <w:u w:val="single"/>
        </w:rPr>
      </w:pPr>
    </w:p>
    <w:p w14:paraId="50CB1D62" w14:textId="44324E5B" w:rsidR="009339AD" w:rsidRPr="000F4D2C" w:rsidRDefault="00B560EE" w:rsidP="000F4D2C">
      <w:pPr>
        <w:pStyle w:val="Estilo3"/>
        <w:widowControl w:val="0"/>
        <w:tabs>
          <w:tab w:val="left" w:pos="1418"/>
        </w:tabs>
        <w:jc w:val="both"/>
        <w:rPr>
          <w:rFonts w:ascii="Bookman Old Style" w:hAnsi="Bookman Old Style"/>
          <w:b/>
          <w:bCs/>
          <w:sz w:val="24"/>
          <w:szCs w:val="24"/>
          <w:u w:val="single"/>
        </w:rPr>
      </w:pPr>
      <m:oMath>
        <m:sSub>
          <m:sSubPr>
            <m:ctrlPr>
              <w:rPr>
                <w:rFonts w:ascii="Cambria Math" w:hAnsi="Cambria Math" w:cs="Cambria Math"/>
                <w:b/>
                <w:bCs/>
                <w:i/>
                <w:iCs/>
              </w:rPr>
            </m:ctrlPr>
          </m:sSubPr>
          <m:e>
            <m:r>
              <m:rPr>
                <m:sty m:val="bi"/>
              </m:rPr>
              <w:rPr>
                <w:rFonts w:ascii="Cambria Math" w:hAnsi="Cambria Math" w:cs="Cambria Math"/>
              </w:rPr>
              <m:t>IPC</m:t>
            </m:r>
          </m:e>
          <m:sub>
            <m:r>
              <m:rPr>
                <m:sty m:val="bi"/>
              </m:rPr>
              <w:rPr>
                <w:rFonts w:ascii="Cambria Math" w:hAnsi="Cambria Math" w:cs="Cambria Math"/>
              </w:rPr>
              <m:t>m</m:t>
            </m:r>
          </m:sub>
        </m:sSub>
      </m:oMath>
      <w:r w:rsidR="009339AD" w:rsidRPr="000F4D2C">
        <w:rPr>
          <w:rFonts w:ascii="Bookman Old Style" w:hAnsi="Bookman Old Style"/>
          <w:b/>
          <w:bCs/>
          <w:sz w:val="24"/>
          <w:szCs w:val="24"/>
        </w:rPr>
        <w:t>:</w:t>
      </w:r>
      <w:r w:rsidR="009339AD" w:rsidRPr="000F4D2C">
        <w:rPr>
          <w:rFonts w:ascii="Bookman Old Style" w:hAnsi="Bookman Old Style"/>
          <w:b/>
          <w:bCs/>
          <w:sz w:val="24"/>
          <w:szCs w:val="24"/>
          <w:u w:val="single"/>
        </w:rPr>
        <w:t xml:space="preserve">  </w:t>
      </w:r>
      <w:r w:rsidR="00F938C1">
        <w:rPr>
          <w:rFonts w:ascii="Bookman Old Style" w:hAnsi="Bookman Old Style"/>
          <w:b/>
          <w:bCs/>
          <w:sz w:val="24"/>
          <w:szCs w:val="24"/>
          <w:u w:val="single"/>
        </w:rPr>
        <w:tab/>
      </w:r>
      <w:r w:rsidR="009339AD" w:rsidRPr="000F4D2C">
        <w:rPr>
          <w:rFonts w:ascii="Bookman Old Style" w:hAnsi="Bookman Old Style"/>
          <w:b/>
          <w:bCs/>
          <w:sz w:val="24"/>
          <w:szCs w:val="24"/>
          <w:u w:val="single"/>
        </w:rPr>
        <w:t xml:space="preserve">Valor del IPC del mes m de prestación del servicio. </w:t>
      </w:r>
    </w:p>
    <w:p w14:paraId="1B332134" w14:textId="77777777" w:rsidR="009339AD" w:rsidRPr="000F4D2C" w:rsidRDefault="009339AD" w:rsidP="009339AD">
      <w:pPr>
        <w:pStyle w:val="Estilo3"/>
        <w:widowControl w:val="0"/>
        <w:tabs>
          <w:tab w:val="left" w:pos="1560"/>
        </w:tabs>
        <w:jc w:val="both"/>
        <w:rPr>
          <w:rFonts w:ascii="Bookman Old Style" w:hAnsi="Bookman Old Style"/>
          <w:b/>
          <w:bCs/>
          <w:sz w:val="24"/>
          <w:szCs w:val="24"/>
          <w:u w:val="single"/>
        </w:rPr>
      </w:pPr>
    </w:p>
    <w:p w14:paraId="0B7157CC" w14:textId="138D9140" w:rsidR="007E6226" w:rsidRPr="000F4D2C" w:rsidRDefault="009339AD" w:rsidP="000F4D2C">
      <w:pPr>
        <w:pStyle w:val="Estilo3"/>
        <w:widowControl w:val="0"/>
        <w:tabs>
          <w:tab w:val="left" w:pos="1560"/>
        </w:tabs>
        <w:jc w:val="both"/>
        <w:rPr>
          <w:rFonts w:ascii="Bookman Old Style" w:hAnsi="Bookman Old Style"/>
          <w:b/>
          <w:bCs/>
          <w:sz w:val="24"/>
          <w:szCs w:val="24"/>
          <w:u w:val="single"/>
        </w:rPr>
      </w:pPr>
      <w:r w:rsidRPr="000F4D2C">
        <w:rPr>
          <w:rFonts w:ascii="Bookman Old Style" w:hAnsi="Bookman Old Style"/>
          <w:b/>
          <w:bCs/>
          <w:sz w:val="24"/>
          <w:szCs w:val="24"/>
          <w:u w:val="single"/>
        </w:rPr>
        <w:t>Durante dicho período que transcurre entre la FPO inicialmente establecida por el MME en el PAGN y el inicio de la operación del proyecto a plena capacidad, el adjudicatario podrá tener ingresos de corto plazo.</w:t>
      </w:r>
    </w:p>
    <w:p w14:paraId="596152BE" w14:textId="77777777" w:rsidR="00CF5EFC" w:rsidRPr="00F23AE8" w:rsidRDefault="00CF5EFC" w:rsidP="00CF5EFC">
      <w:pPr>
        <w:pStyle w:val="Estilo3"/>
        <w:widowControl w:val="0"/>
        <w:tabs>
          <w:tab w:val="left" w:pos="1560"/>
        </w:tabs>
        <w:jc w:val="both"/>
        <w:rPr>
          <w:rFonts w:ascii="Bookman Old Style" w:hAnsi="Bookman Old Style" w:cs="Arial"/>
          <w:b/>
          <w:color w:val="000000"/>
          <w:spacing w:val="-4"/>
          <w:sz w:val="24"/>
          <w:szCs w:val="24"/>
        </w:rPr>
      </w:pPr>
    </w:p>
    <w:p w14:paraId="05B039DD" w14:textId="77777777" w:rsidR="00CF5EFC" w:rsidRPr="008B2243" w:rsidRDefault="00CF5EFC" w:rsidP="00CF5EFC">
      <w:pPr>
        <w:pStyle w:val="Estilo3"/>
        <w:widowControl w:val="0"/>
        <w:numPr>
          <w:ilvl w:val="0"/>
          <w:numId w:val="10"/>
        </w:numPr>
        <w:tabs>
          <w:tab w:val="left" w:pos="1560"/>
        </w:tabs>
        <w:jc w:val="both"/>
        <w:outlineLvl w:val="0"/>
        <w:rPr>
          <w:rFonts w:ascii="Bookman Old Style" w:hAnsi="Bookman Old Style"/>
          <w:sz w:val="24"/>
          <w:szCs w:val="24"/>
        </w:rPr>
      </w:pPr>
      <w:r w:rsidRPr="008B2243">
        <w:rPr>
          <w:rFonts w:ascii="Bookman Old Style" w:hAnsi="Bookman Old Style"/>
          <w:b/>
          <w:bCs/>
          <w:sz w:val="24"/>
          <w:szCs w:val="24"/>
        </w:rPr>
        <w:t>Criterios para la selección del adjudicatario</w:t>
      </w:r>
      <w:r w:rsidRPr="00A22A5F">
        <w:rPr>
          <w:rFonts w:ascii="Bookman Old Style" w:hAnsi="Bookman Old Style"/>
          <w:b/>
          <w:bCs/>
          <w:sz w:val="24"/>
          <w:szCs w:val="24"/>
        </w:rPr>
        <w:t>.</w:t>
      </w:r>
      <w:r w:rsidRPr="008B2243">
        <w:rPr>
          <w:rFonts w:ascii="Bookman Old Style" w:hAnsi="Bookman Old Style"/>
          <w:sz w:val="24"/>
          <w:szCs w:val="24"/>
        </w:rPr>
        <w:t xml:space="preserve"> La selección del adjudicatario se realizará teniendo en cuenta los siguientes criterios:</w:t>
      </w:r>
    </w:p>
    <w:p w14:paraId="54A889E8" w14:textId="77777777" w:rsidR="00CF5EFC" w:rsidRPr="008B2243" w:rsidRDefault="00CF5EFC" w:rsidP="00CF5EFC">
      <w:pPr>
        <w:pStyle w:val="Estilo3"/>
        <w:widowControl w:val="0"/>
        <w:tabs>
          <w:tab w:val="left" w:pos="1560"/>
        </w:tabs>
        <w:jc w:val="both"/>
        <w:rPr>
          <w:rFonts w:ascii="Bookman Old Style" w:hAnsi="Bookman Old Style"/>
          <w:sz w:val="24"/>
          <w:szCs w:val="24"/>
        </w:rPr>
      </w:pPr>
    </w:p>
    <w:p w14:paraId="60BF7314" w14:textId="24107318" w:rsidR="00CF5EFC" w:rsidRPr="008B2243" w:rsidRDefault="00CF5EFC" w:rsidP="00CF5EFC">
      <w:pPr>
        <w:pStyle w:val="Estilo3"/>
        <w:widowControl w:val="0"/>
        <w:tabs>
          <w:tab w:val="left" w:pos="1560"/>
        </w:tabs>
        <w:ind w:left="284" w:hanging="284"/>
        <w:jc w:val="both"/>
        <w:rPr>
          <w:rFonts w:ascii="Bookman Old Style" w:hAnsi="Bookman Old Style"/>
          <w:sz w:val="24"/>
          <w:szCs w:val="24"/>
        </w:rPr>
      </w:pPr>
      <w:r w:rsidRPr="008B2243">
        <w:rPr>
          <w:rFonts w:ascii="Bookman Old Style" w:hAnsi="Bookman Old Style"/>
          <w:sz w:val="24"/>
          <w:szCs w:val="24"/>
        </w:rPr>
        <w:t>a) Las propuestas presentadas a la UPME deberán contener una oferta técnica y una oferta económica. La oferta económica corresponderá al IAE ofertado conforme a lo establecido en los artículos 9 y 11 de la presente resolución.</w:t>
      </w:r>
    </w:p>
    <w:p w14:paraId="2BAEB264" w14:textId="77777777" w:rsidR="00CF5EFC" w:rsidRPr="008B2243" w:rsidRDefault="00CF5EFC" w:rsidP="00CF5EFC">
      <w:pPr>
        <w:pStyle w:val="Estilo3"/>
        <w:widowControl w:val="0"/>
        <w:tabs>
          <w:tab w:val="left" w:pos="1560"/>
        </w:tabs>
        <w:ind w:left="284" w:hanging="284"/>
        <w:jc w:val="both"/>
        <w:rPr>
          <w:rFonts w:ascii="Bookman Old Style" w:hAnsi="Bookman Old Style"/>
          <w:sz w:val="24"/>
          <w:szCs w:val="24"/>
        </w:rPr>
      </w:pPr>
    </w:p>
    <w:p w14:paraId="67FE5DEC" w14:textId="77777777" w:rsidR="00CF5EFC" w:rsidRPr="008B2243" w:rsidRDefault="00CF5EFC" w:rsidP="00CF5EFC">
      <w:pPr>
        <w:pStyle w:val="Estilo3"/>
        <w:widowControl w:val="0"/>
        <w:tabs>
          <w:tab w:val="left" w:pos="1560"/>
        </w:tabs>
        <w:ind w:left="284"/>
        <w:jc w:val="both"/>
        <w:rPr>
          <w:rFonts w:ascii="Bookman Old Style" w:hAnsi="Bookman Old Style"/>
          <w:sz w:val="24"/>
          <w:szCs w:val="24"/>
        </w:rPr>
      </w:pPr>
      <w:r w:rsidRPr="008B2243">
        <w:rPr>
          <w:rFonts w:ascii="Bookman Old Style" w:hAnsi="Bookman Old Style"/>
          <w:sz w:val="24"/>
          <w:szCs w:val="24"/>
        </w:rPr>
        <w:t>La oferta técnica deberá corresponder al proyecto objeto del proceso de selección, cumplir con los criterios de calidad del SNT cuando se trate de proyectos de transporte de gas, y contener la curva S y el cronograma detallado de cada una de las etapas de construcción del proyecto.</w:t>
      </w:r>
    </w:p>
    <w:p w14:paraId="24661E66" w14:textId="77777777" w:rsidR="00CF5EFC" w:rsidRPr="008B2243" w:rsidRDefault="00CF5EFC" w:rsidP="00CF5EFC">
      <w:pPr>
        <w:pStyle w:val="Estilo3"/>
        <w:widowControl w:val="0"/>
        <w:tabs>
          <w:tab w:val="left" w:pos="1560"/>
        </w:tabs>
        <w:ind w:left="284" w:hanging="284"/>
        <w:jc w:val="both"/>
        <w:rPr>
          <w:rFonts w:ascii="Bookman Old Style" w:hAnsi="Bookman Old Style"/>
          <w:sz w:val="24"/>
          <w:szCs w:val="24"/>
        </w:rPr>
      </w:pPr>
    </w:p>
    <w:p w14:paraId="7CA8E599" w14:textId="77777777" w:rsidR="00CF5EFC" w:rsidRPr="008B2243" w:rsidRDefault="00CF5EFC" w:rsidP="00CF5EFC">
      <w:pPr>
        <w:pStyle w:val="Estilo3"/>
        <w:widowControl w:val="0"/>
        <w:tabs>
          <w:tab w:val="left" w:pos="1560"/>
        </w:tabs>
        <w:ind w:left="284" w:hanging="284"/>
        <w:jc w:val="both"/>
        <w:rPr>
          <w:rFonts w:ascii="Bookman Old Style" w:hAnsi="Bookman Old Style"/>
          <w:sz w:val="24"/>
          <w:szCs w:val="24"/>
        </w:rPr>
      </w:pPr>
      <w:r w:rsidRPr="008B2243">
        <w:rPr>
          <w:rFonts w:ascii="Bookman Old Style" w:hAnsi="Bookman Old Style"/>
          <w:sz w:val="24"/>
          <w:szCs w:val="24"/>
        </w:rPr>
        <w:t>b) Las propuestas presentadas deberán adjuntar la garantía de seriedad de la oferta establecida en los documentos de selección y la demás documentación exigida a los proponentes.</w:t>
      </w:r>
    </w:p>
    <w:p w14:paraId="767D27C6" w14:textId="77777777" w:rsidR="00CF5EFC" w:rsidRPr="008B2243" w:rsidRDefault="00CF5EFC" w:rsidP="00CF5EFC">
      <w:pPr>
        <w:pStyle w:val="Estilo3"/>
        <w:widowControl w:val="0"/>
        <w:tabs>
          <w:tab w:val="left" w:pos="1560"/>
        </w:tabs>
        <w:ind w:left="284" w:hanging="284"/>
        <w:jc w:val="both"/>
        <w:rPr>
          <w:rFonts w:ascii="Bookman Old Style" w:hAnsi="Bookman Old Style"/>
          <w:sz w:val="24"/>
          <w:szCs w:val="24"/>
        </w:rPr>
      </w:pPr>
    </w:p>
    <w:p w14:paraId="3A6BC73F" w14:textId="77777777" w:rsidR="00CF5EFC" w:rsidRPr="008B2243" w:rsidRDefault="00CF5EFC" w:rsidP="00CF5EFC">
      <w:pPr>
        <w:pStyle w:val="Estilo3"/>
        <w:widowControl w:val="0"/>
        <w:tabs>
          <w:tab w:val="left" w:pos="1560"/>
        </w:tabs>
        <w:ind w:left="284" w:hanging="284"/>
        <w:jc w:val="both"/>
        <w:rPr>
          <w:rFonts w:ascii="Bookman Old Style" w:hAnsi="Bookman Old Style"/>
          <w:sz w:val="24"/>
          <w:szCs w:val="24"/>
        </w:rPr>
      </w:pPr>
      <w:r w:rsidRPr="008B2243">
        <w:rPr>
          <w:rFonts w:ascii="Bookman Old Style" w:hAnsi="Bookman Old Style"/>
          <w:sz w:val="24"/>
          <w:szCs w:val="24"/>
        </w:rPr>
        <w:t>c) Cuando se presente más de una oferta válida, la UPME adjudicará el proyecto al proponente que haya presentado la propuesta con el menor valor de la oferta. En caso de empate se aplicarán las reglas de desempate que establezca la UPME en los documentos de selección.</w:t>
      </w:r>
    </w:p>
    <w:p w14:paraId="53C7A084" w14:textId="77777777" w:rsidR="00CF5EFC" w:rsidRPr="008B2243" w:rsidRDefault="00CF5EFC" w:rsidP="00CF5EFC">
      <w:pPr>
        <w:pStyle w:val="Estilo3"/>
        <w:widowControl w:val="0"/>
        <w:tabs>
          <w:tab w:val="left" w:pos="1560"/>
        </w:tabs>
        <w:ind w:left="284" w:hanging="284"/>
        <w:jc w:val="both"/>
        <w:rPr>
          <w:rFonts w:ascii="Bookman Old Style" w:hAnsi="Bookman Old Style"/>
          <w:sz w:val="24"/>
          <w:szCs w:val="24"/>
        </w:rPr>
      </w:pPr>
    </w:p>
    <w:p w14:paraId="4D1CDEDD" w14:textId="1FECFAC3" w:rsidR="0066564A" w:rsidRPr="000F4D2C" w:rsidRDefault="00CF5EFC" w:rsidP="00CF5EFC">
      <w:pPr>
        <w:pStyle w:val="Estilo3"/>
        <w:widowControl w:val="0"/>
        <w:tabs>
          <w:tab w:val="left" w:pos="1560"/>
        </w:tabs>
        <w:ind w:left="284" w:hanging="284"/>
        <w:jc w:val="both"/>
        <w:rPr>
          <w:rFonts w:ascii="Bookman Old Style" w:hAnsi="Bookman Old Style"/>
          <w:b/>
          <w:bCs/>
          <w:sz w:val="24"/>
          <w:szCs w:val="24"/>
          <w:u w:val="single"/>
        </w:rPr>
      </w:pPr>
      <w:r w:rsidRPr="000F4D2C">
        <w:rPr>
          <w:rFonts w:ascii="Bookman Old Style" w:hAnsi="Bookman Old Style"/>
          <w:b/>
          <w:bCs/>
          <w:sz w:val="24"/>
          <w:szCs w:val="24"/>
          <w:u w:val="single"/>
        </w:rPr>
        <w:t xml:space="preserve">d) </w:t>
      </w:r>
      <w:r w:rsidR="005E74C1" w:rsidRPr="000F4D2C">
        <w:rPr>
          <w:rFonts w:ascii="Bookman Old Style" w:hAnsi="Bookman Old Style"/>
          <w:b/>
          <w:bCs/>
          <w:sz w:val="24"/>
          <w:szCs w:val="24"/>
          <w:u w:val="single"/>
        </w:rPr>
        <w:t xml:space="preserve">Cuando se presente más de un proponente al proceso de selección y solamente se </w:t>
      </w:r>
      <w:r w:rsidR="005E74C1">
        <w:rPr>
          <w:rFonts w:ascii="Bookman Old Style" w:hAnsi="Bookman Old Style"/>
          <w:b/>
          <w:bCs/>
          <w:sz w:val="24"/>
          <w:szCs w:val="24"/>
          <w:u w:val="single"/>
        </w:rPr>
        <w:t>obtenga</w:t>
      </w:r>
      <w:r w:rsidR="005E74C1" w:rsidRPr="000F4D2C">
        <w:rPr>
          <w:rFonts w:ascii="Bookman Old Style" w:hAnsi="Bookman Old Style"/>
          <w:b/>
          <w:bCs/>
          <w:sz w:val="24"/>
          <w:szCs w:val="24"/>
          <w:u w:val="single"/>
        </w:rPr>
        <w:t xml:space="preserve"> una oferta válida, la UPME adjudicará el proyecto al proponente que haya presentado la oferta válida.</w:t>
      </w:r>
    </w:p>
    <w:p w14:paraId="00B921F2" w14:textId="77777777" w:rsidR="0066564A" w:rsidRDefault="0066564A" w:rsidP="00CF5EFC">
      <w:pPr>
        <w:pStyle w:val="Estilo3"/>
        <w:widowControl w:val="0"/>
        <w:tabs>
          <w:tab w:val="left" w:pos="1560"/>
        </w:tabs>
        <w:ind w:left="284" w:hanging="284"/>
        <w:jc w:val="both"/>
        <w:rPr>
          <w:rFonts w:ascii="Bookman Old Style" w:hAnsi="Bookman Old Style"/>
          <w:sz w:val="24"/>
          <w:szCs w:val="24"/>
        </w:rPr>
      </w:pPr>
    </w:p>
    <w:p w14:paraId="2C65BF9F" w14:textId="078AEA9B" w:rsidR="00CF5EFC" w:rsidRPr="008B2243" w:rsidRDefault="0066564A" w:rsidP="00CF5EFC">
      <w:pPr>
        <w:pStyle w:val="Estilo3"/>
        <w:widowControl w:val="0"/>
        <w:tabs>
          <w:tab w:val="left" w:pos="1560"/>
        </w:tabs>
        <w:ind w:left="284" w:hanging="284"/>
        <w:jc w:val="both"/>
        <w:rPr>
          <w:rFonts w:ascii="Bookman Old Style" w:hAnsi="Bookman Old Style"/>
          <w:sz w:val="24"/>
          <w:szCs w:val="24"/>
        </w:rPr>
      </w:pPr>
      <w:r>
        <w:rPr>
          <w:rFonts w:ascii="Bookman Old Style" w:hAnsi="Bookman Old Style"/>
          <w:sz w:val="24"/>
          <w:szCs w:val="24"/>
        </w:rPr>
        <w:t xml:space="preserve">e) </w:t>
      </w:r>
      <w:r w:rsidR="00CF5EFC" w:rsidRPr="008B2243">
        <w:rPr>
          <w:rFonts w:ascii="Bookman Old Style" w:hAnsi="Bookman Old Style"/>
          <w:sz w:val="24"/>
          <w:szCs w:val="24"/>
        </w:rPr>
        <w:t xml:space="preserve">Cuando </w:t>
      </w:r>
      <w:r w:rsidR="00FA2BAA" w:rsidRPr="000F4D2C">
        <w:rPr>
          <w:rFonts w:ascii="Bookman Old Style" w:hAnsi="Bookman Old Style"/>
          <w:b/>
          <w:bCs/>
          <w:sz w:val="24"/>
          <w:szCs w:val="24"/>
          <w:u w:val="single"/>
        </w:rPr>
        <w:t>se presente un solo proponente al proceso de selección y se declare válida su oferta</w:t>
      </w:r>
      <w:r w:rsidR="00CF5EFC" w:rsidRPr="008B2243">
        <w:rPr>
          <w:rFonts w:ascii="Bookman Old Style" w:hAnsi="Bookman Old Style"/>
          <w:sz w:val="24"/>
          <w:szCs w:val="24"/>
        </w:rPr>
        <w:t>, a través de los mismos medios de comunicación utilizados para el inicio y desarrollo del proceso de selección, la UPME hará público el valor de la oferta y definirá un plazo dentro del cual otros proponentes podrán presentar contraofertas con valores menores al publicado. La contraoferta de menor valor que cumpla con los requisitos exigidos será informada al proponente inicial quien deberá manifestar a la UPME si acepta ejecutar el proyecto por el valor presentado en la contraoferta y en este caso se le adjudicará el proyecto. Si el proponente no acepta, el proyecto será adjudicado al proponente que presentó la contraoferta. Si no se presentan contraofertas válidas, el proyecto será adjudicado al proponente de la única oferta válida. Los plazos para llevar a cabo este procedimiento serán los que defina la UPME dentro del mismo proceso de selección. Para presentar contraofertas es necesario haber adquirido o adquirir los documentos de selección elaborados para el proyecto y entregar la documentación que exija la UPME.</w:t>
      </w:r>
    </w:p>
    <w:p w14:paraId="5674FE2B" w14:textId="77777777" w:rsidR="00CF5EFC" w:rsidRPr="008B2243" w:rsidRDefault="00CF5EFC" w:rsidP="00CF5EFC">
      <w:pPr>
        <w:pStyle w:val="Estilo3"/>
        <w:widowControl w:val="0"/>
        <w:tabs>
          <w:tab w:val="left" w:pos="1560"/>
        </w:tabs>
        <w:jc w:val="both"/>
        <w:rPr>
          <w:rFonts w:ascii="Bookman Old Style" w:hAnsi="Bookman Old Style"/>
          <w:sz w:val="24"/>
          <w:szCs w:val="24"/>
        </w:rPr>
      </w:pPr>
    </w:p>
    <w:p w14:paraId="6147956E" w14:textId="044AF578" w:rsidR="00CF5EFC" w:rsidRDefault="003351B4" w:rsidP="00CF5EFC">
      <w:pPr>
        <w:pStyle w:val="Estilo3"/>
        <w:widowControl w:val="0"/>
        <w:tabs>
          <w:tab w:val="left" w:pos="1560"/>
        </w:tabs>
        <w:jc w:val="both"/>
        <w:rPr>
          <w:rFonts w:ascii="Bookman Old Style" w:hAnsi="Bookman Old Style"/>
          <w:sz w:val="24"/>
          <w:szCs w:val="24"/>
        </w:rPr>
      </w:pPr>
      <w:r w:rsidRPr="0020151F">
        <w:rPr>
          <w:rFonts w:ascii="Bookman Old Style" w:hAnsi="Bookman Old Style"/>
          <w:b/>
          <w:sz w:val="24"/>
          <w:szCs w:val="24"/>
        </w:rPr>
        <w:t>P</w:t>
      </w:r>
      <w:r>
        <w:rPr>
          <w:rFonts w:ascii="Bookman Old Style" w:hAnsi="Bookman Old Style"/>
          <w:b/>
          <w:sz w:val="24"/>
          <w:szCs w:val="24"/>
        </w:rPr>
        <w:t>arágrafo</w:t>
      </w:r>
      <w:r w:rsidRPr="00A22A5F" w:rsidDel="003351B4">
        <w:rPr>
          <w:rFonts w:ascii="Bookman Old Style" w:hAnsi="Bookman Old Style"/>
          <w:b/>
          <w:bCs/>
          <w:sz w:val="24"/>
          <w:szCs w:val="24"/>
        </w:rPr>
        <w:t xml:space="preserve"> </w:t>
      </w:r>
      <w:r w:rsidR="00CF5EFC" w:rsidRPr="00A22A5F">
        <w:rPr>
          <w:rFonts w:ascii="Bookman Old Style" w:hAnsi="Bookman Old Style"/>
          <w:b/>
          <w:bCs/>
          <w:sz w:val="24"/>
          <w:szCs w:val="24"/>
        </w:rPr>
        <w:t>1.</w:t>
      </w:r>
      <w:r w:rsidR="00CF5EFC">
        <w:rPr>
          <w:rFonts w:ascii="Bookman Old Style" w:hAnsi="Bookman Old Style"/>
          <w:b/>
          <w:bCs/>
          <w:sz w:val="24"/>
          <w:szCs w:val="24"/>
        </w:rPr>
        <w:t xml:space="preserve"> </w:t>
      </w:r>
      <w:r w:rsidR="00CF5EFC" w:rsidRPr="008B2243">
        <w:rPr>
          <w:rFonts w:ascii="Bookman Old Style" w:hAnsi="Bookman Old Style"/>
          <w:sz w:val="24"/>
          <w:szCs w:val="24"/>
        </w:rPr>
        <w:t>El proceso de selección podrá declararse desierto en los eventos establecidos en los documentos de selección por parte de la UPME o cuando no se presente proponente alguno o ninguno de los proponentes cumpla con los criterios de selección establecidos aquí y en los Documentos de selección del inversionista - DSI- que elabore la UPME. Ocurrido lo anterior, la UPME podrá dar inicio a un nuevo proceso de selección.</w:t>
      </w:r>
    </w:p>
    <w:p w14:paraId="123C86B0" w14:textId="77777777" w:rsidR="00CF5EFC" w:rsidRDefault="00CF5EFC" w:rsidP="00CF5EFC">
      <w:pPr>
        <w:pStyle w:val="Estilo3"/>
        <w:widowControl w:val="0"/>
        <w:tabs>
          <w:tab w:val="left" w:pos="1560"/>
        </w:tabs>
        <w:jc w:val="both"/>
        <w:rPr>
          <w:rFonts w:ascii="Bookman Old Style" w:hAnsi="Bookman Old Style"/>
          <w:sz w:val="24"/>
          <w:szCs w:val="24"/>
        </w:rPr>
      </w:pPr>
    </w:p>
    <w:p w14:paraId="3707CCBA" w14:textId="4AB7B65D" w:rsidR="00CF5EFC" w:rsidRDefault="003351B4" w:rsidP="00CF5EFC">
      <w:pPr>
        <w:pStyle w:val="Estilo3"/>
        <w:widowControl w:val="0"/>
        <w:tabs>
          <w:tab w:val="left" w:pos="1560"/>
        </w:tabs>
        <w:jc w:val="both"/>
        <w:rPr>
          <w:rFonts w:ascii="Bookman Old Style" w:hAnsi="Bookman Old Style"/>
          <w:sz w:val="24"/>
          <w:szCs w:val="24"/>
        </w:rPr>
      </w:pPr>
      <w:r w:rsidRPr="0020151F">
        <w:rPr>
          <w:rFonts w:ascii="Bookman Old Style" w:hAnsi="Bookman Old Style"/>
          <w:b/>
          <w:sz w:val="24"/>
          <w:szCs w:val="24"/>
        </w:rPr>
        <w:t>P</w:t>
      </w:r>
      <w:r>
        <w:rPr>
          <w:rFonts w:ascii="Bookman Old Style" w:hAnsi="Bookman Old Style"/>
          <w:b/>
          <w:sz w:val="24"/>
          <w:szCs w:val="24"/>
        </w:rPr>
        <w:t>arágrafo</w:t>
      </w:r>
      <w:r w:rsidR="00CF5EFC" w:rsidRPr="00A22A5F">
        <w:rPr>
          <w:rFonts w:ascii="Bookman Old Style" w:hAnsi="Bookman Old Style"/>
          <w:b/>
          <w:bCs/>
          <w:sz w:val="24"/>
          <w:szCs w:val="24"/>
        </w:rPr>
        <w:t xml:space="preserve"> 2.</w:t>
      </w:r>
      <w:r w:rsidR="00CF5EFC" w:rsidRPr="008B2243">
        <w:rPr>
          <w:rFonts w:ascii="Bookman Old Style" w:hAnsi="Bookman Old Style"/>
          <w:sz w:val="24"/>
          <w:szCs w:val="24"/>
        </w:rPr>
        <w:t xml:space="preserve"> La validez de las propuestas que se presenten estará condicionada a que estas estén dentro de un valor máximo de adjudicación. Este valor será determinado por la CREG para cada proceso de selección con base en información que suministre la UPME, y no podrá ser revelado antes del plazo dentro del cual los proponentes podrán presentar sus propuestas económicas a la UPME en el proceso de selección.</w:t>
      </w:r>
    </w:p>
    <w:p w14:paraId="4145DDA7" w14:textId="77777777" w:rsidR="00CF5EFC" w:rsidRPr="00A22A5F" w:rsidRDefault="00CF5EFC" w:rsidP="00CF5EFC">
      <w:pPr>
        <w:pStyle w:val="Estilo3"/>
        <w:widowControl w:val="0"/>
        <w:tabs>
          <w:tab w:val="left" w:pos="1560"/>
        </w:tabs>
        <w:jc w:val="both"/>
        <w:rPr>
          <w:rFonts w:ascii="Bookman Old Style" w:hAnsi="Bookman Old Style"/>
          <w:sz w:val="24"/>
          <w:szCs w:val="24"/>
        </w:rPr>
      </w:pPr>
    </w:p>
    <w:p w14:paraId="4CD0214A" w14:textId="7DDCB50D" w:rsidR="00CF5EFC" w:rsidRPr="001461AF" w:rsidRDefault="00CF5EFC" w:rsidP="000F4D2C">
      <w:pPr>
        <w:pStyle w:val="Estilo3"/>
        <w:widowControl w:val="0"/>
        <w:numPr>
          <w:ilvl w:val="0"/>
          <w:numId w:val="10"/>
        </w:numPr>
        <w:tabs>
          <w:tab w:val="left" w:pos="1560"/>
        </w:tabs>
        <w:spacing w:after="240"/>
        <w:jc w:val="both"/>
        <w:outlineLvl w:val="0"/>
        <w:rPr>
          <w:rFonts w:ascii="Bookman Old Style" w:hAnsi="Bookman Old Style"/>
        </w:rPr>
      </w:pPr>
      <w:r w:rsidRPr="00F23AE8">
        <w:rPr>
          <w:rFonts w:ascii="Bookman Old Style" w:hAnsi="Bookman Old Style"/>
          <w:b/>
          <w:color w:val="000000"/>
          <w:sz w:val="24"/>
          <w:szCs w:val="24"/>
        </w:rPr>
        <w:t xml:space="preserve">Adjudicación del proceso de selección. </w:t>
      </w:r>
      <w:r w:rsidRPr="00F23AE8">
        <w:rPr>
          <w:rFonts w:ascii="Bookman Old Style" w:hAnsi="Bookman Old Style"/>
          <w:sz w:val="24"/>
          <w:szCs w:val="24"/>
        </w:rPr>
        <w:t xml:space="preserve">El proponente será escogido por la UPME mediante acto administrativo, en audiencia pública y deberá entregar a la UPME </w:t>
      </w:r>
      <w:r>
        <w:rPr>
          <w:rFonts w:ascii="Bookman Old Style" w:hAnsi="Bookman Old Style"/>
          <w:sz w:val="24"/>
          <w:szCs w:val="24"/>
        </w:rPr>
        <w:t xml:space="preserve">en los plazos definidos en los documentos de selección </w:t>
      </w:r>
      <w:r w:rsidRPr="00F23AE8">
        <w:rPr>
          <w:rFonts w:ascii="Bookman Old Style" w:hAnsi="Bookman Old Style"/>
          <w:sz w:val="24"/>
          <w:szCs w:val="24"/>
        </w:rPr>
        <w:t>la documentación requerida, incluyendo copia de la aprobación de la garantía de cumplimiento de que trata el</w:t>
      </w:r>
      <w:r>
        <w:rPr>
          <w:rFonts w:ascii="Bookman Old Style" w:hAnsi="Bookman Old Style"/>
          <w:sz w:val="24"/>
          <w:szCs w:val="24"/>
        </w:rPr>
        <w:t xml:space="preserve"> </w:t>
      </w:r>
      <w:r>
        <w:rPr>
          <w:rFonts w:ascii="Bookman Old Style" w:hAnsi="Bookman Old Style"/>
          <w:sz w:val="24"/>
          <w:szCs w:val="24"/>
        </w:rPr>
        <w:fldChar w:fldCharType="begin"/>
      </w:r>
      <w:r>
        <w:rPr>
          <w:rFonts w:ascii="Bookman Old Style" w:hAnsi="Bookman Old Style"/>
          <w:sz w:val="24"/>
          <w:szCs w:val="24"/>
        </w:rPr>
        <w:instrText xml:space="preserve"> REF _Ref472425357 \r \h </w:instrText>
      </w:r>
      <w:r>
        <w:rPr>
          <w:rFonts w:ascii="Bookman Old Style" w:hAnsi="Bookman Old Style"/>
          <w:sz w:val="24"/>
          <w:szCs w:val="24"/>
        </w:rPr>
      </w:r>
      <w:r>
        <w:rPr>
          <w:rFonts w:ascii="Bookman Old Style" w:hAnsi="Bookman Old Style"/>
          <w:sz w:val="24"/>
          <w:szCs w:val="24"/>
        </w:rPr>
        <w:fldChar w:fldCharType="separate"/>
      </w:r>
      <w:r w:rsidR="000D7E7B">
        <w:rPr>
          <w:rFonts w:ascii="Bookman Old Style" w:hAnsi="Bookman Old Style"/>
          <w:sz w:val="24"/>
          <w:szCs w:val="24"/>
        </w:rPr>
        <w:t>Artículo 29</w:t>
      </w:r>
      <w:r>
        <w:rPr>
          <w:rFonts w:ascii="Bookman Old Style" w:hAnsi="Bookman Old Style"/>
          <w:sz w:val="24"/>
          <w:szCs w:val="24"/>
        </w:rPr>
        <w:fldChar w:fldCharType="end"/>
      </w:r>
      <w:r>
        <w:rPr>
          <w:rFonts w:ascii="Bookman Old Style" w:hAnsi="Bookman Old Style"/>
          <w:sz w:val="24"/>
          <w:szCs w:val="24"/>
        </w:rPr>
        <w:t xml:space="preserve"> </w:t>
      </w:r>
      <w:r w:rsidRPr="00F23AE8">
        <w:rPr>
          <w:rFonts w:ascii="Bookman Old Style" w:hAnsi="Bookman Old Style"/>
          <w:sz w:val="24"/>
          <w:szCs w:val="24"/>
        </w:rPr>
        <w:t>de la presente Resolución, copia del documento de constitución de la empresa</w:t>
      </w:r>
      <w:r>
        <w:rPr>
          <w:rFonts w:ascii="Bookman Old Style" w:hAnsi="Bookman Old Style"/>
          <w:sz w:val="24"/>
          <w:szCs w:val="24"/>
        </w:rPr>
        <w:t xml:space="preserve"> de servicio público, E.S.P., </w:t>
      </w:r>
      <w:r w:rsidRPr="00F23AE8">
        <w:rPr>
          <w:rFonts w:ascii="Bookman Old Style" w:hAnsi="Bookman Old Style"/>
          <w:sz w:val="24"/>
          <w:szCs w:val="24"/>
        </w:rPr>
        <w:t xml:space="preserve"> copia de su inscripción en el registro único de prestadores de servicios públicos, RUPS, </w:t>
      </w:r>
      <w:r>
        <w:rPr>
          <w:rFonts w:ascii="Bookman Old Style" w:hAnsi="Bookman Old Style"/>
          <w:sz w:val="24"/>
          <w:szCs w:val="24"/>
        </w:rPr>
        <w:t xml:space="preserve">copia del contrato de fiducia y del contrato entre la fiducia y el auditor según se establece en el </w:t>
      </w:r>
      <w:r w:rsidRPr="00F23AE8">
        <w:rPr>
          <w:rFonts w:ascii="Bookman Old Style" w:hAnsi="Bookman Old Style"/>
          <w:sz w:val="24"/>
          <w:szCs w:val="24"/>
        </w:rPr>
        <w:fldChar w:fldCharType="begin"/>
      </w:r>
      <w:r w:rsidRPr="00F23AE8">
        <w:rPr>
          <w:rFonts w:ascii="Bookman Old Style" w:hAnsi="Bookman Old Style"/>
          <w:sz w:val="24"/>
          <w:szCs w:val="24"/>
        </w:rPr>
        <w:instrText xml:space="preserve"> REF _Ref439268437 \r \h </w:instrText>
      </w:r>
      <w:r>
        <w:rPr>
          <w:rFonts w:ascii="Bookman Old Style" w:hAnsi="Bookman Old Style"/>
          <w:sz w:val="24"/>
          <w:szCs w:val="24"/>
        </w:rPr>
        <w:instrText xml:space="preserve"> \* MERGEFORMAT </w:instrText>
      </w:r>
      <w:r w:rsidRPr="00F23AE8">
        <w:rPr>
          <w:rFonts w:ascii="Bookman Old Style" w:hAnsi="Bookman Old Style"/>
          <w:sz w:val="24"/>
          <w:szCs w:val="24"/>
        </w:rPr>
      </w:r>
      <w:r w:rsidRPr="00F23AE8">
        <w:rPr>
          <w:rFonts w:ascii="Bookman Old Style" w:hAnsi="Bookman Old Style"/>
          <w:sz w:val="24"/>
          <w:szCs w:val="24"/>
        </w:rPr>
        <w:fldChar w:fldCharType="separate"/>
      </w:r>
      <w:r w:rsidR="000D7E7B">
        <w:rPr>
          <w:rFonts w:ascii="Bookman Old Style" w:hAnsi="Bookman Old Style"/>
          <w:sz w:val="24"/>
          <w:szCs w:val="24"/>
        </w:rPr>
        <w:t>Artículo 23</w:t>
      </w:r>
      <w:r w:rsidRPr="00F23AE8">
        <w:rPr>
          <w:rFonts w:ascii="Bookman Old Style" w:hAnsi="Bookman Old Style"/>
          <w:sz w:val="24"/>
          <w:szCs w:val="24"/>
        </w:rPr>
        <w:fldChar w:fldCharType="end"/>
      </w:r>
      <w:r w:rsidRPr="00F23AE8">
        <w:rPr>
          <w:rFonts w:ascii="Bookman Old Style" w:hAnsi="Bookman Old Style"/>
          <w:sz w:val="24"/>
          <w:szCs w:val="24"/>
        </w:rPr>
        <w:t xml:space="preserve"> de la presente Resolución. </w:t>
      </w:r>
    </w:p>
    <w:p w14:paraId="15F15303" w14:textId="50EC5EB1" w:rsidR="00CF5EFC" w:rsidRPr="000F4D2C" w:rsidRDefault="00CF5EFC" w:rsidP="00CF5EFC">
      <w:pPr>
        <w:jc w:val="both"/>
        <w:rPr>
          <w:rFonts w:ascii="Bookman Old Style" w:hAnsi="Bookman Old Style"/>
          <w:sz w:val="24"/>
          <w:szCs w:val="24"/>
        </w:rPr>
      </w:pPr>
      <w:r w:rsidRPr="000F4D2C">
        <w:rPr>
          <w:rFonts w:ascii="Bookman Old Style" w:hAnsi="Bookman Old Style"/>
          <w:sz w:val="24"/>
          <w:szCs w:val="24"/>
        </w:rPr>
        <w:t xml:space="preserve">El adjudicatario que no esté constituido en empresa de servicio público, E.S.P., deberá estar constituido como tal cuando el proyecto entre en operación. Cuando se trate de la operación de proyectos de </w:t>
      </w:r>
      <m:oMath>
        <m:r>
          <w:rPr>
            <w:rFonts w:ascii="Cambria Math" w:hAnsi="Cambria Math"/>
            <w:sz w:val="24"/>
            <w:szCs w:val="24"/>
          </w:rPr>
          <m:t>IPAT</m:t>
        </m:r>
      </m:oMath>
      <w:r w:rsidRPr="000F4D2C">
        <w:rPr>
          <w:rFonts w:ascii="Bookman Old Style" w:hAnsi="Bookman Old Style"/>
          <w:sz w:val="24"/>
          <w:szCs w:val="24"/>
        </w:rPr>
        <w:t xml:space="preserve"> que se ejecuten mediante procesos de selección el adjudicatario podrá operarlos a través del transportador incumbente, en cuyo caso el adjudicatario suministrará cualquier información que le solicite el transportador incumbente para cumplir con requerimientos de autoridades. </w:t>
      </w:r>
    </w:p>
    <w:p w14:paraId="660A62EB" w14:textId="77777777" w:rsidR="00CF5EFC" w:rsidRPr="000F4D2C" w:rsidRDefault="00CF5EFC" w:rsidP="00CF5EFC">
      <w:pPr>
        <w:jc w:val="both"/>
        <w:rPr>
          <w:rFonts w:ascii="Bookman Old Style" w:hAnsi="Bookman Old Style"/>
          <w:sz w:val="24"/>
          <w:szCs w:val="24"/>
        </w:rPr>
      </w:pPr>
      <w:r w:rsidRPr="000F4D2C">
        <w:rPr>
          <w:rFonts w:ascii="Bookman Old Style" w:hAnsi="Bookman Old Style"/>
          <w:sz w:val="24"/>
          <w:szCs w:val="24"/>
        </w:rPr>
        <w:lastRenderedPageBreak/>
        <w:t xml:space="preserve">El no cumplimiento de lo exigido en los respectivos documentos del proceso de selección, en los plazos que se determinen en tales documentos, dará lugar a la ejecución de la garantía de seriedad de la oferta establecida en los documentos de selección y se procederá a adjudicar el respectivo proceso al proponente que haya presentado una oferta válida con el siguiente menor valor presente del </w:t>
      </w:r>
      <m:oMath>
        <m:r>
          <w:rPr>
            <w:rFonts w:ascii="Cambria Math" w:hAnsi="Cambria Math"/>
            <w:sz w:val="24"/>
            <w:szCs w:val="24"/>
          </w:rPr>
          <m:t>IAE</m:t>
        </m:r>
      </m:oMath>
      <w:r w:rsidRPr="000F4D2C">
        <w:rPr>
          <w:rFonts w:ascii="Bookman Old Style" w:hAnsi="Bookman Old Style"/>
          <w:sz w:val="24"/>
          <w:szCs w:val="24"/>
        </w:rPr>
        <w:t xml:space="preserve"> ofertado, o a iniciar un nuevo proceso de selección si no existiere tal proponente.</w:t>
      </w:r>
    </w:p>
    <w:p w14:paraId="3781C07E" w14:textId="77777777" w:rsidR="00CF5EFC" w:rsidRPr="00F23AE8" w:rsidRDefault="00CF5EFC" w:rsidP="00CF5EFC">
      <w:pPr>
        <w:pStyle w:val="Prrafodelista"/>
        <w:ind w:left="0"/>
        <w:rPr>
          <w:rFonts w:ascii="Bookman Old Style" w:hAnsi="Bookman Old Style" w:cs="Arial"/>
          <w:b/>
          <w:color w:val="000000"/>
          <w:spacing w:val="-4"/>
          <w:sz w:val="24"/>
          <w:szCs w:val="24"/>
        </w:rPr>
      </w:pPr>
    </w:p>
    <w:p w14:paraId="07C26390" w14:textId="77777777" w:rsidR="00CF5EFC" w:rsidRPr="00F23AE8"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r w:rsidRPr="00F23AE8">
        <w:rPr>
          <w:rFonts w:ascii="Bookman Old Style" w:hAnsi="Bookman Old Style" w:cs="Arial"/>
          <w:color w:val="000000"/>
          <w:spacing w:val="-4"/>
          <w:sz w:val="24"/>
          <w:szCs w:val="24"/>
        </w:rPr>
        <w:t>Cesión de proyectos adjudicados mediante procesos de selección.</w:t>
      </w:r>
      <w:r w:rsidRPr="00F23AE8">
        <w:rPr>
          <w:rFonts w:ascii="Bookman Old Style" w:hAnsi="Bookman Old Style" w:cs="Arial"/>
          <w:b w:val="0"/>
          <w:color w:val="000000"/>
          <w:spacing w:val="-4"/>
          <w:sz w:val="24"/>
          <w:szCs w:val="24"/>
        </w:rPr>
        <w:t xml:space="preserve"> El adjudicatario de </w:t>
      </w:r>
      <w:r>
        <w:rPr>
          <w:rFonts w:ascii="Bookman Old Style" w:hAnsi="Bookman Old Style" w:cs="Arial"/>
          <w:b w:val="0"/>
          <w:color w:val="000000"/>
          <w:spacing w:val="-4"/>
          <w:sz w:val="24"/>
          <w:szCs w:val="24"/>
        </w:rPr>
        <w:t>un</w:t>
      </w:r>
      <w:r w:rsidRPr="00F23AE8">
        <w:rPr>
          <w:rFonts w:ascii="Bookman Old Style" w:hAnsi="Bookman Old Style" w:cs="Arial"/>
          <w:b w:val="0"/>
          <w:color w:val="000000"/>
          <w:spacing w:val="-4"/>
          <w:sz w:val="24"/>
          <w:szCs w:val="24"/>
        </w:rPr>
        <w:t xml:space="preserve"> proceso de selección no podrá ceder los derechos y responsabilidades adquiridas en la adjudicación, durante la ejecución del proyecto ni durante el periodo de pagos, salvo que exista autorización previa y escrita por parte de la UPME. </w:t>
      </w:r>
    </w:p>
    <w:p w14:paraId="47725138" w14:textId="77777777" w:rsidR="00CF5EFC" w:rsidRPr="00F23AE8" w:rsidRDefault="00CF5EFC" w:rsidP="00CF5EFC">
      <w:pPr>
        <w:pStyle w:val="Prrafodelista"/>
        <w:ind w:left="0"/>
        <w:jc w:val="both"/>
        <w:rPr>
          <w:rFonts w:ascii="Bookman Old Style" w:hAnsi="Bookman Old Style" w:cs="Arial"/>
          <w:b/>
          <w:color w:val="000000"/>
          <w:spacing w:val="-4"/>
          <w:sz w:val="24"/>
          <w:szCs w:val="24"/>
        </w:rPr>
      </w:pPr>
    </w:p>
    <w:p w14:paraId="07A2BD3F" w14:textId="77777777" w:rsidR="00CF5EFC" w:rsidRPr="000F4D2C" w:rsidRDefault="00CF5EFC" w:rsidP="000F4D2C">
      <w:pPr>
        <w:spacing w:after="240"/>
        <w:jc w:val="both"/>
        <w:rPr>
          <w:rFonts w:ascii="Bookman Old Style" w:hAnsi="Bookman Old Style" w:cs="Arial"/>
          <w:sz w:val="24"/>
          <w:szCs w:val="24"/>
        </w:rPr>
      </w:pPr>
      <w:r w:rsidRPr="000F4D2C">
        <w:rPr>
          <w:rFonts w:ascii="Bookman Old Style" w:hAnsi="Bookman Old Style" w:cs="Arial"/>
          <w:sz w:val="24"/>
          <w:szCs w:val="24"/>
        </w:rPr>
        <w:t xml:space="preserve">En ese sentido la UPME deberá contemplar esta posibilidad dentro de las condiciones de participación en el proceso de selección, teniendo en cuenta que el cesionario deberá cumplir con iguales o superiores condiciones técnicas, jurídicas y económicas, a las demostradas por el adjudicatario en el respectivo proceso de selección. De igual manera, procederá a expedir los actos administrativos que correspondan para aprobar la cesión en todos los derechos y obligaciones del adjudicatario. Posteriormente la UPME solicitará a la CREG que en la Resolución de oficialización del </w:t>
      </w:r>
      <m:oMath>
        <m:r>
          <w:rPr>
            <w:rFonts w:ascii="Cambria Math" w:hAnsi="Cambria Math" w:cs="Arial"/>
            <w:sz w:val="24"/>
            <w:szCs w:val="24"/>
          </w:rPr>
          <m:t>IAE</m:t>
        </m:r>
      </m:oMath>
      <w:r w:rsidRPr="000F4D2C">
        <w:rPr>
          <w:rFonts w:ascii="Bookman Old Style" w:hAnsi="Bookman Old Style" w:cs="Arial"/>
          <w:sz w:val="24"/>
          <w:szCs w:val="24"/>
        </w:rPr>
        <w:t xml:space="preserve"> de ese proyecto se modifique el agente beneficiario del ingreso.</w:t>
      </w:r>
    </w:p>
    <w:p w14:paraId="6049576D" w14:textId="77777777" w:rsidR="00CF5EFC" w:rsidRPr="00F23AE8" w:rsidRDefault="00CF5EFC" w:rsidP="00CF5EFC">
      <w:pPr>
        <w:pStyle w:val="Prrafodelista"/>
        <w:ind w:left="0"/>
        <w:jc w:val="both"/>
        <w:rPr>
          <w:rFonts w:ascii="Bookman Old Style" w:hAnsi="Bookman Old Style" w:cs="Arial"/>
          <w:b/>
          <w:color w:val="000000"/>
          <w:spacing w:val="-4"/>
          <w:sz w:val="24"/>
          <w:szCs w:val="24"/>
        </w:rPr>
      </w:pPr>
      <w:r w:rsidRPr="00F23AE8">
        <w:rPr>
          <w:rFonts w:ascii="Bookman Old Style" w:hAnsi="Bookman Old Style" w:cs="Arial"/>
          <w:sz w:val="24"/>
          <w:szCs w:val="24"/>
        </w:rPr>
        <w:t>En todo caso, el adjudicatario no podrá abandonar o retirarse del proyecto sin antes haber dado cumplimento a lo establecido en este artículo.</w:t>
      </w:r>
    </w:p>
    <w:p w14:paraId="78ABCC62" w14:textId="77777777" w:rsidR="00CF5EFC" w:rsidRPr="00F23AE8" w:rsidRDefault="00CF5EFC" w:rsidP="00CF5EFC">
      <w:pPr>
        <w:pStyle w:val="Prrafodelista"/>
        <w:ind w:left="0"/>
        <w:rPr>
          <w:rFonts w:ascii="Bookman Old Style" w:hAnsi="Bookman Old Style" w:cs="Arial"/>
          <w:b/>
          <w:color w:val="000000"/>
          <w:spacing w:val="-4"/>
          <w:sz w:val="24"/>
          <w:szCs w:val="24"/>
        </w:rPr>
      </w:pPr>
    </w:p>
    <w:p w14:paraId="71CCB8FF" w14:textId="3747A2B9" w:rsidR="00CF5EFC" w:rsidRPr="000F4D2C"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bookmarkStart w:id="8" w:name="_Ref476837802"/>
      <w:r w:rsidRPr="00F23AE8">
        <w:rPr>
          <w:rFonts w:ascii="Bookman Old Style" w:hAnsi="Bookman Old Style" w:cs="Arial"/>
          <w:color w:val="000000"/>
          <w:spacing w:val="-4"/>
          <w:sz w:val="24"/>
          <w:szCs w:val="24"/>
        </w:rPr>
        <w:t xml:space="preserve">Oficialización del ingreso anual esperado. </w:t>
      </w:r>
      <w:bookmarkEnd w:id="8"/>
      <w:r w:rsidRPr="000F4D2C">
        <w:rPr>
          <w:rFonts w:ascii="Bookman Old Style" w:hAnsi="Bookman Old Style" w:cs="Arial"/>
          <w:b w:val="0"/>
          <w:color w:val="000000"/>
          <w:spacing w:val="-4"/>
          <w:sz w:val="24"/>
          <w:szCs w:val="24"/>
        </w:rPr>
        <w:t>Una vez se haya adjudicado un proyecto en un proceso de selección, la UPME deberá remitir la siguiente información a la CREG:</w:t>
      </w:r>
    </w:p>
    <w:p w14:paraId="57BFD522" w14:textId="4F44C61C" w:rsidR="00CF5EFC" w:rsidRPr="000F4D2C" w:rsidRDefault="00CF5EFC" w:rsidP="000F4D2C">
      <w:pPr>
        <w:pStyle w:val="Estilo5"/>
        <w:widowControl w:val="0"/>
        <w:tabs>
          <w:tab w:val="clear" w:pos="360"/>
        </w:tabs>
        <w:ind w:left="426"/>
        <w:outlineLvl w:val="9"/>
        <w:rPr>
          <w:rFonts w:ascii="Bookman Old Style" w:hAnsi="Bookman Old Style" w:cs="Arial"/>
          <w:b w:val="0"/>
          <w:color w:val="000000"/>
          <w:spacing w:val="-4"/>
          <w:sz w:val="24"/>
          <w:szCs w:val="24"/>
        </w:rPr>
      </w:pPr>
      <w:r w:rsidRPr="000F4D2C">
        <w:rPr>
          <w:rFonts w:ascii="Bookman Old Style" w:hAnsi="Bookman Old Style" w:cs="Arial"/>
          <w:color w:val="000000"/>
          <w:spacing w:val="-4"/>
          <w:sz w:val="24"/>
          <w:szCs w:val="24"/>
        </w:rPr>
        <w:t>El concepto sobre el cumplimiento de los requisitos exigidos en los documentos de selección del inversionista.</w:t>
      </w:r>
    </w:p>
    <w:p w14:paraId="75606399" w14:textId="58099A5E" w:rsidR="00CF5EFC" w:rsidRPr="000F4D2C" w:rsidRDefault="00CF5EFC" w:rsidP="000F4D2C">
      <w:pPr>
        <w:pStyle w:val="Estilo5"/>
        <w:widowControl w:val="0"/>
        <w:tabs>
          <w:tab w:val="clear" w:pos="360"/>
        </w:tabs>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El cronograma y la curva S</w:t>
      </w:r>
      <w:r w:rsidR="00B51769">
        <w:rPr>
          <w:rFonts w:ascii="Bookman Old Style" w:hAnsi="Bookman Old Style" w:cs="Arial"/>
          <w:b w:val="0"/>
          <w:color w:val="000000"/>
          <w:spacing w:val="-4"/>
          <w:sz w:val="24"/>
          <w:szCs w:val="24"/>
        </w:rPr>
        <w:t xml:space="preserve">, </w:t>
      </w:r>
      <w:r w:rsidR="00B51769" w:rsidRPr="000F4D2C">
        <w:rPr>
          <w:rFonts w:ascii="Bookman Old Style" w:hAnsi="Bookman Old Style" w:cs="Arial"/>
          <w:bCs/>
          <w:color w:val="000000"/>
          <w:spacing w:val="-4"/>
          <w:sz w:val="24"/>
          <w:szCs w:val="24"/>
          <w:u w:val="single"/>
        </w:rPr>
        <w:t>incluyendo los hitos de la curva S,</w:t>
      </w:r>
      <w:r w:rsidRPr="000F4D2C">
        <w:rPr>
          <w:rFonts w:ascii="Bookman Old Style" w:hAnsi="Bookman Old Style" w:cs="Arial"/>
          <w:bCs/>
          <w:color w:val="000000"/>
          <w:spacing w:val="-4"/>
          <w:sz w:val="24"/>
          <w:szCs w:val="24"/>
          <w:u w:val="single"/>
        </w:rPr>
        <w:t xml:space="preserve"> </w:t>
      </w:r>
      <w:r w:rsidRPr="000F4D2C">
        <w:rPr>
          <w:rFonts w:ascii="Bookman Old Style" w:hAnsi="Bookman Old Style" w:cs="Arial"/>
          <w:b w:val="0"/>
          <w:color w:val="000000"/>
          <w:spacing w:val="-4"/>
          <w:sz w:val="24"/>
          <w:szCs w:val="24"/>
        </w:rPr>
        <w:t>de desarrollo de la etapa de construcción del proyecto.</w:t>
      </w:r>
    </w:p>
    <w:p w14:paraId="0DD9D427" w14:textId="77777777" w:rsidR="00CF5EFC" w:rsidRPr="000F4D2C" w:rsidRDefault="00CF5EFC" w:rsidP="000F4D2C">
      <w:pPr>
        <w:pStyle w:val="Estilo5"/>
        <w:widowControl w:val="0"/>
        <w:tabs>
          <w:tab w:val="clear" w:pos="360"/>
        </w:tabs>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Copia de la aprobación de la garantía de cumplimiento por parte del patrimonio autónomo, de acuerdo con lo establecido en el Artículo 30 de la presente Resolución.</w:t>
      </w:r>
    </w:p>
    <w:p w14:paraId="78ACA179" w14:textId="77777777" w:rsidR="00CF5EFC" w:rsidRPr="000F4D2C" w:rsidRDefault="00CF5EFC" w:rsidP="000F4D2C">
      <w:pPr>
        <w:pStyle w:val="Estilo5"/>
        <w:widowControl w:val="0"/>
        <w:tabs>
          <w:tab w:val="clear" w:pos="360"/>
        </w:tabs>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La FPO y el PEP establecido en los documentos de selección del inversionista.</w:t>
      </w:r>
    </w:p>
    <w:p w14:paraId="11BB9FD6" w14:textId="3AA10A40" w:rsidR="00CF5EFC" w:rsidRDefault="00CF5EFC">
      <w:pPr>
        <w:pStyle w:val="Estilo5"/>
        <w:widowControl w:val="0"/>
        <w:tabs>
          <w:tab w:val="clear" w:pos="360"/>
        </w:tabs>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Reporte de la propuesta económica con el </w:t>
      </w:r>
      <w:r w:rsidR="00B51769">
        <w:rPr>
          <w:rFonts w:ascii="Bookman Old Style" w:hAnsi="Bookman Old Style" w:cs="Arial"/>
          <w:b w:val="0"/>
          <w:color w:val="000000"/>
          <w:spacing w:val="-4"/>
          <w:sz w:val="24"/>
          <w:szCs w:val="24"/>
        </w:rPr>
        <w:t>IAE I</w:t>
      </w:r>
      <w:r w:rsidR="00B51769" w:rsidRPr="000F4D2C">
        <w:rPr>
          <w:rFonts w:ascii="Bookman Old Style" w:hAnsi="Bookman Old Style" w:cs="Arial"/>
          <w:bCs/>
          <w:color w:val="000000"/>
          <w:spacing w:val="-4"/>
          <w:sz w:val="24"/>
          <w:szCs w:val="24"/>
          <w:u w:val="single"/>
        </w:rPr>
        <w:t>NVERSIÓN y el IAE AOM</w:t>
      </w:r>
      <w:r w:rsidRPr="000F4D2C">
        <w:rPr>
          <w:rFonts w:ascii="Bookman Old Style" w:hAnsi="Bookman Old Style" w:cs="Arial"/>
          <w:bCs/>
          <w:color w:val="000000"/>
          <w:spacing w:val="-4"/>
          <w:sz w:val="24"/>
          <w:szCs w:val="24"/>
          <w:u w:val="single"/>
        </w:rPr>
        <w:t xml:space="preserve"> </w:t>
      </w:r>
      <w:r w:rsidRPr="000F4D2C">
        <w:rPr>
          <w:rFonts w:ascii="Bookman Old Style" w:hAnsi="Bookman Old Style" w:cs="Arial"/>
          <w:b w:val="0"/>
          <w:color w:val="000000"/>
          <w:spacing w:val="-4"/>
          <w:sz w:val="24"/>
          <w:szCs w:val="24"/>
        </w:rPr>
        <w:t>presentado por el adjudicatario, incluyendo el porcentaje del</w:t>
      </w:r>
      <w:r w:rsidR="00173786">
        <w:rPr>
          <w:rFonts w:ascii="Bookman Old Style" w:hAnsi="Bookman Old Style" w:cs="Arial"/>
          <w:b w:val="0"/>
          <w:color w:val="000000"/>
          <w:spacing w:val="-4"/>
          <w:sz w:val="24"/>
          <w:szCs w:val="24"/>
        </w:rPr>
        <w:t xml:space="preserve"> IAE </w:t>
      </w:r>
      <w:r w:rsidR="00173786" w:rsidRPr="000F4D2C">
        <w:rPr>
          <w:rFonts w:ascii="Bookman Old Style" w:hAnsi="Bookman Old Style" w:cs="Arial"/>
          <w:bCs/>
          <w:color w:val="000000"/>
          <w:spacing w:val="-4"/>
          <w:sz w:val="24"/>
          <w:szCs w:val="24"/>
          <w:u w:val="single"/>
        </w:rPr>
        <w:t>INVERSIÓN</w:t>
      </w:r>
      <w:r w:rsidRPr="000F4D2C">
        <w:rPr>
          <w:rFonts w:ascii="Bookman Old Style" w:hAnsi="Bookman Old Style" w:cs="Arial"/>
          <w:bCs/>
          <w:color w:val="000000"/>
          <w:spacing w:val="-4"/>
          <w:sz w:val="24"/>
          <w:szCs w:val="24"/>
          <w:u w:val="single"/>
        </w:rPr>
        <w:t xml:space="preserve"> </w:t>
      </w:r>
      <w:r w:rsidRPr="000F4D2C">
        <w:rPr>
          <w:rFonts w:ascii="Bookman Old Style" w:hAnsi="Bookman Old Style" w:cs="Arial"/>
          <w:b w:val="0"/>
          <w:color w:val="000000"/>
          <w:spacing w:val="-4"/>
          <w:sz w:val="24"/>
          <w:szCs w:val="24"/>
        </w:rPr>
        <w:t xml:space="preserve"> que el adjudicatario solicitó le sea remunerado en dólares americanos cuando así se haya estipulado específicamente en los procesos de selección y no sea un proyecto IPAT.</w:t>
      </w:r>
    </w:p>
    <w:p w14:paraId="03E33A29" w14:textId="029C8F8E" w:rsidR="004B0C78" w:rsidRDefault="004B0C78">
      <w:pPr>
        <w:pStyle w:val="Estilo5"/>
        <w:widowControl w:val="0"/>
        <w:tabs>
          <w:tab w:val="clear" w:pos="360"/>
        </w:tabs>
        <w:ind w:left="426"/>
        <w:outlineLvl w:val="9"/>
        <w:rPr>
          <w:rFonts w:ascii="Bookman Old Style" w:hAnsi="Bookman Old Style" w:cs="Arial"/>
          <w:b w:val="0"/>
          <w:color w:val="000000"/>
          <w:spacing w:val="-4"/>
          <w:sz w:val="24"/>
          <w:szCs w:val="24"/>
        </w:rPr>
      </w:pPr>
      <w:r w:rsidRPr="004B0C78">
        <w:rPr>
          <w:rFonts w:ascii="Bookman Old Style" w:hAnsi="Bookman Old Style" w:cs="Arial"/>
          <w:b w:val="0"/>
          <w:color w:val="000000"/>
          <w:spacing w:val="-4"/>
          <w:sz w:val="24"/>
          <w:szCs w:val="24"/>
        </w:rPr>
        <w:t xml:space="preserve">Información de la firma auditora, </w:t>
      </w:r>
      <w:r w:rsidRPr="000F4D2C">
        <w:rPr>
          <w:rFonts w:ascii="Bookman Old Style" w:hAnsi="Bookman Old Style" w:cs="Arial"/>
          <w:bCs/>
          <w:color w:val="000000"/>
          <w:spacing w:val="-4"/>
          <w:sz w:val="24"/>
          <w:szCs w:val="24"/>
          <w:u w:val="single"/>
        </w:rPr>
        <w:t xml:space="preserve">incluido el valor del contrato de dicha </w:t>
      </w:r>
      <w:r w:rsidRPr="000F4D2C">
        <w:rPr>
          <w:rFonts w:ascii="Bookman Old Style" w:hAnsi="Bookman Old Style" w:cs="Arial"/>
          <w:bCs/>
          <w:color w:val="000000"/>
          <w:spacing w:val="-4"/>
          <w:sz w:val="24"/>
          <w:szCs w:val="24"/>
          <w:u w:val="single"/>
        </w:rPr>
        <w:lastRenderedPageBreak/>
        <w:t>firma,</w:t>
      </w:r>
      <w:r w:rsidRPr="004B0C78">
        <w:rPr>
          <w:rFonts w:ascii="Bookman Old Style" w:hAnsi="Bookman Old Style" w:cs="Arial"/>
          <w:b w:val="0"/>
          <w:color w:val="000000"/>
          <w:spacing w:val="-4"/>
          <w:sz w:val="24"/>
          <w:szCs w:val="24"/>
        </w:rPr>
        <w:t xml:space="preserve"> asignada de conformidad con lo establecido en el Artículo 23 de la presente Resolución</w:t>
      </w:r>
      <w:r>
        <w:rPr>
          <w:rFonts w:ascii="Bookman Old Style" w:hAnsi="Bookman Old Style" w:cs="Arial"/>
          <w:b w:val="0"/>
          <w:color w:val="000000"/>
          <w:spacing w:val="-4"/>
          <w:sz w:val="24"/>
          <w:szCs w:val="24"/>
        </w:rPr>
        <w:t>.</w:t>
      </w:r>
    </w:p>
    <w:p w14:paraId="20E2E369" w14:textId="77777777" w:rsidR="006008CD" w:rsidRPr="000F4D2C" w:rsidRDefault="006008CD" w:rsidP="006008CD">
      <w:pPr>
        <w:pStyle w:val="Estilo5"/>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Información en MPC de la cantidad de gas natural en condiciones normales y/o gas natural licuado, requerida para:</w:t>
      </w:r>
    </w:p>
    <w:p w14:paraId="3B3B0066" w14:textId="06EF6F22" w:rsidR="006008CD" w:rsidRPr="000F4D2C" w:rsidRDefault="006008CD" w:rsidP="000F4D2C">
      <w:pPr>
        <w:pStyle w:val="Estilo5"/>
        <w:numPr>
          <w:ilvl w:val="3"/>
          <w:numId w:val="10"/>
        </w:numPr>
        <w:ind w:left="851" w:hanging="142"/>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El gas de empaquetamiento del gasoducto;</w:t>
      </w:r>
    </w:p>
    <w:p w14:paraId="618B1272" w14:textId="506C22F1" w:rsidR="006008CD" w:rsidRPr="000F4D2C" w:rsidRDefault="006008CD" w:rsidP="000F4D2C">
      <w:pPr>
        <w:pStyle w:val="Estilo5"/>
        <w:numPr>
          <w:ilvl w:val="3"/>
          <w:numId w:val="10"/>
        </w:numPr>
        <w:ind w:left="851" w:hanging="142"/>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El gas de pruebas de la infraestructura del proyecto;</w:t>
      </w:r>
    </w:p>
    <w:p w14:paraId="2F4F8937" w14:textId="2B55BFB3" w:rsidR="006008CD" w:rsidRPr="000F4D2C" w:rsidRDefault="006008CD" w:rsidP="000F4D2C">
      <w:pPr>
        <w:pStyle w:val="Estilo5"/>
        <w:numPr>
          <w:ilvl w:val="3"/>
          <w:numId w:val="10"/>
        </w:numPr>
        <w:ind w:left="851" w:hanging="142"/>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El gas de inventario mínimo de confiabilidad en el caso de que se haya establecido para infraestructuras de regasificación;</w:t>
      </w:r>
    </w:p>
    <w:p w14:paraId="194FC8BE" w14:textId="4BA46EFD" w:rsidR="006008CD" w:rsidRPr="000F4D2C" w:rsidRDefault="006008CD" w:rsidP="000F4D2C">
      <w:pPr>
        <w:pStyle w:val="Estilo5"/>
        <w:numPr>
          <w:ilvl w:val="3"/>
          <w:numId w:val="10"/>
        </w:numPr>
        <w:ind w:left="851" w:hanging="142"/>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El gas natural licuado de gas de talón, en el caso de infraestructuras de regasificación.</w:t>
      </w:r>
    </w:p>
    <w:p w14:paraId="24D4D89F" w14:textId="77777777" w:rsidR="006008CD" w:rsidRPr="000F4D2C" w:rsidRDefault="006008CD" w:rsidP="006008CD">
      <w:pPr>
        <w:pStyle w:val="Estilo5"/>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Información del porcentaje diario promedio por cada año del PEP (%/día-año), de gas natural licuado para el gas de reposición del gas natural licuado evaporado que es removido (boil-off gas) en el caso de infraestructuras de regasificación.</w:t>
      </w:r>
    </w:p>
    <w:p w14:paraId="14871D10" w14:textId="77777777" w:rsidR="006008CD" w:rsidRPr="000F4D2C" w:rsidRDefault="006008CD" w:rsidP="006008CD">
      <w:pPr>
        <w:pStyle w:val="Estilo5"/>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Información en MPC de la cantidad anual de gas natural licuado requerida para la operación de la totalidad de la infraestructura del proyecto.</w:t>
      </w:r>
    </w:p>
    <w:p w14:paraId="65EF9867" w14:textId="77777777" w:rsidR="00CF5EFC" w:rsidRPr="000F4D2C" w:rsidRDefault="00CF5EFC" w:rsidP="000F4D2C">
      <w:pPr>
        <w:pStyle w:val="Estilo5"/>
        <w:widowControl w:val="0"/>
        <w:tabs>
          <w:tab w:val="clear" w:pos="360"/>
        </w:tabs>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Información de la firma auditora, asignada de conformidad con lo establecido en el Artículo 23 de la presente Resolución.</w:t>
      </w:r>
    </w:p>
    <w:p w14:paraId="33B68215" w14:textId="77777777" w:rsidR="00CF5EFC" w:rsidRPr="000F4D2C" w:rsidRDefault="00CF5EFC" w:rsidP="000F4D2C">
      <w:pPr>
        <w:pStyle w:val="Estilo5"/>
        <w:widowControl w:val="0"/>
        <w:tabs>
          <w:tab w:val="clear" w:pos="360"/>
        </w:tabs>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Copia del acta de entrega del cronograma y de la curva S de desarrollo de la etapa de construcción del proyecto al auditor seleccionado.</w:t>
      </w:r>
    </w:p>
    <w:p w14:paraId="7BA93139" w14:textId="77777777" w:rsidR="00CF5EFC" w:rsidRDefault="00CF5EFC">
      <w:pPr>
        <w:pStyle w:val="Estilo5"/>
        <w:widowControl w:val="0"/>
        <w:tabs>
          <w:tab w:val="clear" w:pos="360"/>
        </w:tabs>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Beneficiarios del proyecto identificados por la UPME según lo establecido en la ley, la Resolución 40052 de 2016 del MME, o aquellas que la modifiquen o sustituyan.</w:t>
      </w:r>
    </w:p>
    <w:p w14:paraId="5C2D6523" w14:textId="77777777" w:rsidR="007A6518" w:rsidRPr="000F4D2C" w:rsidRDefault="007A6518" w:rsidP="007A6518">
      <w:pPr>
        <w:pStyle w:val="Estilo5"/>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 xml:space="preserve">Cualquier otra información que haya sido obtenida del adjudicatario como resultado del proceso de selección adelantado por la UPME. </w:t>
      </w:r>
    </w:p>
    <w:p w14:paraId="24D2507E" w14:textId="77777777" w:rsidR="00CF5EFC" w:rsidRPr="000F4D2C" w:rsidRDefault="00CF5EFC" w:rsidP="000F4D2C">
      <w:pPr>
        <w:pStyle w:val="Estilo5"/>
        <w:widowControl w:val="0"/>
        <w:numPr>
          <w:ilvl w:val="0"/>
          <w:numId w:val="0"/>
        </w:numPr>
        <w:ind w:left="6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Con base en esta información, la CREG expedirá una resolución donde se hará oficial la remuneración del adjudicatario. En la resolución que se apruebe se identificarán, entre otros:</w:t>
      </w:r>
    </w:p>
    <w:p w14:paraId="3366C41F" w14:textId="77777777" w:rsidR="00CF5EFC" w:rsidRPr="000F4D2C" w:rsidRDefault="00CF5EFC" w:rsidP="000F4D2C">
      <w:pPr>
        <w:pStyle w:val="Estilo5"/>
        <w:widowControl w:val="0"/>
        <w:numPr>
          <w:ilvl w:val="0"/>
          <w:numId w:val="0"/>
        </w:numPr>
        <w:ind w:left="350" w:hanging="284"/>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i. El nombre del proyecto y el nombre del adjudicatario.</w:t>
      </w:r>
    </w:p>
    <w:p w14:paraId="4B99183B" w14:textId="1B90EF3A" w:rsidR="00206AE1" w:rsidRDefault="00CF5EFC" w:rsidP="00484C98">
      <w:pPr>
        <w:pStyle w:val="Estilo5"/>
        <w:widowControl w:val="0"/>
        <w:numPr>
          <w:ilvl w:val="0"/>
          <w:numId w:val="0"/>
        </w:numPr>
        <w:spacing w:before="0" w:after="0"/>
        <w:ind w:left="352" w:hanging="284"/>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ii.</w:t>
      </w:r>
      <w:r w:rsidR="00206AE1">
        <w:rPr>
          <w:rFonts w:ascii="Bookman Old Style" w:hAnsi="Bookman Old Style" w:cs="Arial"/>
          <w:b w:val="0"/>
          <w:color w:val="000000"/>
          <w:spacing w:val="-4"/>
          <w:sz w:val="24"/>
          <w:szCs w:val="24"/>
        </w:rPr>
        <w:t xml:space="preserve"> </w:t>
      </w:r>
      <w:r w:rsidR="00206AE1" w:rsidRPr="000F4D2C">
        <w:rPr>
          <w:rFonts w:ascii="Bookman Old Style" w:hAnsi="Bookman Old Style" w:cs="Arial"/>
          <w:bCs/>
          <w:color w:val="000000"/>
          <w:spacing w:val="-4"/>
          <w:sz w:val="24"/>
          <w:szCs w:val="24"/>
          <w:u w:val="single"/>
        </w:rPr>
        <w:t>El ingreso que recibirá el adjudicatario en el primer año del PEP, con el fin de cubrir los costos de</w:t>
      </w:r>
      <w:r w:rsidR="0075495A">
        <w:rPr>
          <w:rFonts w:ascii="Bookman Old Style" w:hAnsi="Bookman Old Style" w:cs="Arial"/>
          <w:bCs/>
          <w:color w:val="000000"/>
          <w:spacing w:val="-4"/>
          <w:sz w:val="24"/>
          <w:szCs w:val="24"/>
          <w:u w:val="single"/>
        </w:rPr>
        <w:t xml:space="preserve"> </w:t>
      </w:r>
      <w:r w:rsidR="00206AE1" w:rsidRPr="000F4D2C">
        <w:rPr>
          <w:rFonts w:ascii="Bookman Old Style" w:hAnsi="Bookman Old Style" w:cs="Arial"/>
          <w:bCs/>
          <w:color w:val="000000"/>
          <w:spacing w:val="-4"/>
          <w:sz w:val="24"/>
          <w:szCs w:val="24"/>
          <w:u w:val="single"/>
        </w:rPr>
        <w:t>l</w:t>
      </w:r>
      <w:r w:rsidR="0075495A">
        <w:rPr>
          <w:rFonts w:ascii="Bookman Old Style" w:hAnsi="Bookman Old Style" w:cs="Arial"/>
          <w:bCs/>
          <w:color w:val="000000"/>
          <w:spacing w:val="-4"/>
          <w:sz w:val="24"/>
          <w:szCs w:val="24"/>
          <w:u w:val="single"/>
        </w:rPr>
        <w:t>a duración total del</w:t>
      </w:r>
      <w:r w:rsidR="00206AE1" w:rsidRPr="000F4D2C">
        <w:rPr>
          <w:rFonts w:ascii="Bookman Old Style" w:hAnsi="Bookman Old Style" w:cs="Arial"/>
          <w:bCs/>
          <w:color w:val="000000"/>
          <w:spacing w:val="-4"/>
          <w:sz w:val="24"/>
          <w:szCs w:val="24"/>
          <w:u w:val="single"/>
        </w:rPr>
        <w:t xml:space="preserve"> contrato de auditoría del proyecto</w:t>
      </w:r>
      <w:r w:rsidR="00484C98">
        <w:rPr>
          <w:rFonts w:ascii="Bookman Old Style" w:hAnsi="Bookman Old Style" w:cs="Arial"/>
          <w:b w:val="0"/>
          <w:color w:val="000000"/>
          <w:spacing w:val="-4"/>
          <w:sz w:val="24"/>
          <w:szCs w:val="24"/>
        </w:rPr>
        <w:t>.</w:t>
      </w:r>
    </w:p>
    <w:p w14:paraId="5B8C1100" w14:textId="77777777" w:rsidR="00484C98" w:rsidRDefault="00484C98" w:rsidP="00484C98">
      <w:pPr>
        <w:pStyle w:val="Estilo5"/>
        <w:widowControl w:val="0"/>
        <w:numPr>
          <w:ilvl w:val="0"/>
          <w:numId w:val="0"/>
        </w:numPr>
        <w:spacing w:before="0" w:after="0"/>
        <w:ind w:left="352" w:hanging="284"/>
        <w:outlineLvl w:val="9"/>
        <w:rPr>
          <w:rFonts w:ascii="Bookman Old Style" w:hAnsi="Bookman Old Style" w:cs="Arial"/>
          <w:b w:val="0"/>
          <w:color w:val="000000"/>
          <w:spacing w:val="-4"/>
          <w:sz w:val="24"/>
          <w:szCs w:val="24"/>
        </w:rPr>
      </w:pPr>
    </w:p>
    <w:p w14:paraId="087EA4A5" w14:textId="277526E9" w:rsidR="00CF5EFC" w:rsidRDefault="00206AE1" w:rsidP="00484C98">
      <w:pPr>
        <w:pStyle w:val="Estilo5"/>
        <w:widowControl w:val="0"/>
        <w:numPr>
          <w:ilvl w:val="0"/>
          <w:numId w:val="0"/>
        </w:numPr>
        <w:spacing w:before="0" w:after="0"/>
        <w:ind w:left="352" w:hanging="284"/>
        <w:outlineLvl w:val="9"/>
        <w:rPr>
          <w:rFonts w:ascii="Bookman Old Style" w:hAnsi="Bookman Old Style" w:cs="Arial"/>
          <w:b w:val="0"/>
          <w:color w:val="000000"/>
          <w:spacing w:val="-4"/>
          <w:sz w:val="24"/>
          <w:szCs w:val="24"/>
        </w:rPr>
      </w:pPr>
      <w:r>
        <w:rPr>
          <w:rFonts w:ascii="Bookman Old Style" w:hAnsi="Bookman Old Style" w:cs="Arial"/>
          <w:b w:val="0"/>
          <w:color w:val="000000"/>
          <w:spacing w:val="-4"/>
          <w:sz w:val="24"/>
          <w:szCs w:val="24"/>
        </w:rPr>
        <w:t xml:space="preserve">iii. </w:t>
      </w:r>
      <w:r w:rsidR="00CF5EFC" w:rsidRPr="000F4D2C">
        <w:rPr>
          <w:rFonts w:ascii="Bookman Old Style" w:hAnsi="Bookman Old Style" w:cs="Arial"/>
          <w:b w:val="0"/>
          <w:color w:val="000000"/>
          <w:spacing w:val="-4"/>
          <w:sz w:val="24"/>
          <w:szCs w:val="24"/>
        </w:rPr>
        <w:t xml:space="preserve">El ingreso que recibirá dicho agente en cada uno de los años del </w:t>
      </w:r>
      <w:r w:rsidR="00C52974" w:rsidRPr="000F4D2C">
        <w:rPr>
          <w:rFonts w:ascii="Bookman Old Style" w:hAnsi="Bookman Old Style" w:cs="Arial"/>
          <w:bCs/>
          <w:color w:val="000000"/>
          <w:spacing w:val="-4"/>
          <w:sz w:val="24"/>
          <w:szCs w:val="24"/>
          <w:u w:val="single"/>
        </w:rPr>
        <w:t>PEP</w:t>
      </w:r>
      <w:r w:rsidR="00CF5EFC" w:rsidRPr="000F4D2C">
        <w:rPr>
          <w:rFonts w:ascii="Bookman Old Style" w:hAnsi="Bookman Old Style" w:cs="Arial"/>
          <w:b w:val="0"/>
          <w:color w:val="000000"/>
          <w:spacing w:val="-4"/>
          <w:sz w:val="24"/>
          <w:szCs w:val="24"/>
        </w:rPr>
        <w:t>, en pesos constantes del 31 de diciembre del año anterior a la fecha de presentación de la propuesta, el cual será igual al</w:t>
      </w:r>
      <w:r w:rsidR="001F762A">
        <w:rPr>
          <w:rFonts w:ascii="Bookman Old Style" w:hAnsi="Bookman Old Style" w:cs="Arial"/>
          <w:b w:val="0"/>
          <w:color w:val="000000"/>
          <w:spacing w:val="-4"/>
          <w:sz w:val="24"/>
          <w:szCs w:val="24"/>
        </w:rPr>
        <w:t xml:space="preserve"> </w:t>
      </w:r>
      <w:r w:rsidR="001F762A" w:rsidRPr="000F4D2C">
        <w:rPr>
          <w:rFonts w:ascii="Bookman Old Style" w:hAnsi="Bookman Old Style" w:cs="Arial"/>
          <w:bCs/>
          <w:color w:val="000000"/>
          <w:spacing w:val="-4"/>
          <w:sz w:val="24"/>
          <w:szCs w:val="24"/>
          <w:u w:val="single"/>
        </w:rPr>
        <w:t>IAE INVERSIÓN</w:t>
      </w:r>
      <w:r w:rsidR="00CF5EFC" w:rsidRPr="000F4D2C">
        <w:rPr>
          <w:rFonts w:ascii="Bookman Old Style" w:hAnsi="Bookman Old Style" w:cs="Arial"/>
          <w:b w:val="0"/>
          <w:color w:val="000000"/>
          <w:spacing w:val="-4"/>
          <w:sz w:val="24"/>
          <w:szCs w:val="24"/>
        </w:rPr>
        <w:t xml:space="preserve"> propuesto para el PEP. Para los proyectos que tengan previsto parte de la remuneración en dólares de los Estados Unidos de América, el ingreso será igual al IAE </w:t>
      </w:r>
      <w:r w:rsidR="00B35859" w:rsidRPr="000F4D2C">
        <w:rPr>
          <w:rFonts w:ascii="Bookman Old Style" w:hAnsi="Bookman Old Style" w:cs="Arial"/>
          <w:bCs/>
          <w:color w:val="000000"/>
          <w:spacing w:val="-4"/>
          <w:sz w:val="24"/>
          <w:szCs w:val="24"/>
          <w:u w:val="single"/>
        </w:rPr>
        <w:t>INVERSIÓN</w:t>
      </w:r>
      <w:r w:rsidR="00B35859">
        <w:rPr>
          <w:rFonts w:ascii="Bookman Old Style" w:hAnsi="Bookman Old Style" w:cs="Arial"/>
          <w:b w:val="0"/>
          <w:color w:val="000000"/>
          <w:spacing w:val="-4"/>
          <w:sz w:val="24"/>
          <w:szCs w:val="24"/>
        </w:rPr>
        <w:t xml:space="preserve"> </w:t>
      </w:r>
      <w:r w:rsidR="00CF5EFC" w:rsidRPr="000F4D2C">
        <w:rPr>
          <w:rFonts w:ascii="Bookman Old Style" w:hAnsi="Bookman Old Style" w:cs="Arial"/>
          <w:b w:val="0"/>
          <w:color w:val="000000"/>
          <w:spacing w:val="-4"/>
          <w:sz w:val="24"/>
          <w:szCs w:val="24"/>
        </w:rPr>
        <w:t xml:space="preserve">propuesto </w:t>
      </w:r>
      <w:r w:rsidR="00CF5EFC" w:rsidRPr="000F4D2C">
        <w:rPr>
          <w:rFonts w:ascii="Bookman Old Style" w:hAnsi="Bookman Old Style" w:cs="Arial"/>
          <w:b w:val="0"/>
          <w:color w:val="000000"/>
          <w:spacing w:val="-4"/>
          <w:sz w:val="24"/>
          <w:szCs w:val="24"/>
        </w:rPr>
        <w:lastRenderedPageBreak/>
        <w:t xml:space="preserve">para el PEP, menos el ingreso resultante de aplicar el porcentaje del IAE </w:t>
      </w:r>
      <w:r w:rsidR="00500AB2">
        <w:rPr>
          <w:rFonts w:ascii="Bookman Old Style" w:hAnsi="Bookman Old Style" w:cs="Arial"/>
          <w:b w:val="0"/>
          <w:color w:val="000000"/>
          <w:spacing w:val="-4"/>
          <w:sz w:val="24"/>
          <w:szCs w:val="24"/>
        </w:rPr>
        <w:t>I</w:t>
      </w:r>
      <w:r w:rsidR="00500AB2" w:rsidRPr="000F4D2C">
        <w:rPr>
          <w:rFonts w:ascii="Bookman Old Style" w:hAnsi="Bookman Old Style" w:cs="Arial"/>
          <w:bCs/>
          <w:color w:val="000000"/>
          <w:spacing w:val="-4"/>
          <w:sz w:val="24"/>
          <w:szCs w:val="24"/>
          <w:u w:val="single"/>
        </w:rPr>
        <w:t>NVERSIÓN</w:t>
      </w:r>
      <w:r w:rsidR="00500AB2">
        <w:rPr>
          <w:rFonts w:ascii="Bookman Old Style" w:hAnsi="Bookman Old Style" w:cs="Arial"/>
          <w:b w:val="0"/>
          <w:color w:val="000000"/>
          <w:spacing w:val="-4"/>
          <w:sz w:val="24"/>
          <w:szCs w:val="24"/>
        </w:rPr>
        <w:t xml:space="preserve"> </w:t>
      </w:r>
      <w:r w:rsidR="00CF5EFC" w:rsidRPr="000F4D2C">
        <w:rPr>
          <w:rFonts w:ascii="Bookman Old Style" w:hAnsi="Bookman Old Style" w:cs="Arial"/>
          <w:b w:val="0"/>
          <w:color w:val="000000"/>
          <w:spacing w:val="-4"/>
          <w:sz w:val="24"/>
          <w:szCs w:val="24"/>
        </w:rPr>
        <w:t>solicitado en dólares americanos.</w:t>
      </w:r>
    </w:p>
    <w:p w14:paraId="5462806D" w14:textId="77777777" w:rsidR="00484C98" w:rsidRPr="000F4D2C" w:rsidRDefault="00484C98" w:rsidP="00484C98">
      <w:pPr>
        <w:pStyle w:val="Estilo5"/>
        <w:widowControl w:val="0"/>
        <w:numPr>
          <w:ilvl w:val="0"/>
          <w:numId w:val="0"/>
        </w:numPr>
        <w:spacing w:before="0" w:after="0"/>
        <w:ind w:left="352" w:hanging="284"/>
        <w:outlineLvl w:val="9"/>
        <w:rPr>
          <w:rFonts w:ascii="Bookman Old Style" w:hAnsi="Bookman Old Style" w:cs="Arial"/>
          <w:b w:val="0"/>
          <w:color w:val="000000"/>
          <w:spacing w:val="-4"/>
          <w:sz w:val="24"/>
          <w:szCs w:val="24"/>
        </w:rPr>
      </w:pPr>
    </w:p>
    <w:p w14:paraId="4CCBAB38" w14:textId="2FA4B9FF" w:rsidR="00667EE0" w:rsidRDefault="00CF5EFC" w:rsidP="000F4D2C">
      <w:pPr>
        <w:pStyle w:val="Estilo5"/>
        <w:widowControl w:val="0"/>
        <w:numPr>
          <w:ilvl w:val="0"/>
          <w:numId w:val="0"/>
        </w:numPr>
        <w:spacing w:before="0" w:after="0"/>
        <w:ind w:left="350" w:hanging="284"/>
        <w:outlineLvl w:val="9"/>
        <w:rPr>
          <w:rFonts w:ascii="Bookman Old Style" w:hAnsi="Bookman Old Style" w:cs="Arial"/>
          <w:b w:val="0"/>
          <w:color w:val="000000"/>
          <w:spacing w:val="-4"/>
          <w:sz w:val="24"/>
          <w:szCs w:val="24"/>
        </w:rPr>
      </w:pPr>
      <w:r w:rsidRPr="000F4D2C">
        <w:rPr>
          <w:rFonts w:ascii="Bookman Old Style" w:hAnsi="Bookman Old Style" w:cs="Arial"/>
          <w:color w:val="000000"/>
          <w:spacing w:val="-4"/>
          <w:sz w:val="24"/>
          <w:szCs w:val="24"/>
        </w:rPr>
        <w:t>i</w:t>
      </w:r>
      <w:r w:rsidR="00D93474">
        <w:rPr>
          <w:rFonts w:ascii="Bookman Old Style" w:hAnsi="Bookman Old Style" w:cs="Arial"/>
          <w:b w:val="0"/>
          <w:color w:val="000000"/>
          <w:spacing w:val="-4"/>
          <w:sz w:val="24"/>
          <w:szCs w:val="24"/>
        </w:rPr>
        <w:t>v</w:t>
      </w:r>
      <w:r w:rsidRPr="000F4D2C">
        <w:rPr>
          <w:rFonts w:ascii="Bookman Old Style" w:hAnsi="Bookman Old Style" w:cs="Arial"/>
          <w:color w:val="000000"/>
          <w:spacing w:val="-4"/>
          <w:sz w:val="24"/>
          <w:szCs w:val="24"/>
        </w:rPr>
        <w:t xml:space="preserve">. Cuando se haya estipulado específicamente en los procesos de selección y no sea un proyecto IPAT, el ingreso que recibirá dicho agente en cada uno de los años del período de pagos, en dólares americanos constantes del 31 de diciembre del año anterior a la fecha de presentación de la propuesta, el cual será igual al ingreso resultante de aplicar al IAE </w:t>
      </w:r>
      <w:r w:rsidR="00500AB2" w:rsidRPr="000F4D2C">
        <w:rPr>
          <w:rFonts w:ascii="Bookman Old Style" w:hAnsi="Bookman Old Style" w:cs="Arial"/>
          <w:bCs/>
          <w:color w:val="000000"/>
          <w:spacing w:val="-4"/>
          <w:sz w:val="24"/>
          <w:szCs w:val="24"/>
          <w:u w:val="single"/>
        </w:rPr>
        <w:t xml:space="preserve">INVERSIÓN </w:t>
      </w:r>
      <w:r w:rsidRPr="000F4D2C">
        <w:rPr>
          <w:rFonts w:ascii="Bookman Old Style" w:hAnsi="Bookman Old Style" w:cs="Arial"/>
          <w:color w:val="000000"/>
          <w:spacing w:val="-4"/>
          <w:sz w:val="24"/>
          <w:szCs w:val="24"/>
        </w:rPr>
        <w:t xml:space="preserve">el porcentaje del  </w:t>
      </w:r>
      <w:r w:rsidR="00296CE4">
        <w:rPr>
          <w:rFonts w:ascii="Bookman Old Style" w:hAnsi="Bookman Old Style" w:cs="Arial"/>
          <w:b w:val="0"/>
          <w:color w:val="000000"/>
          <w:spacing w:val="-4"/>
          <w:sz w:val="24"/>
          <w:szCs w:val="24"/>
        </w:rPr>
        <w:t xml:space="preserve">IAE </w:t>
      </w:r>
      <w:r w:rsidR="00296CE4" w:rsidRPr="000F4D2C">
        <w:rPr>
          <w:rFonts w:ascii="Bookman Old Style" w:hAnsi="Bookman Old Style" w:cs="Arial"/>
          <w:bCs/>
          <w:color w:val="000000"/>
          <w:spacing w:val="-4"/>
          <w:sz w:val="24"/>
          <w:szCs w:val="24"/>
          <w:u w:val="single"/>
        </w:rPr>
        <w:t>INVERSIÓN</w:t>
      </w:r>
      <w:r w:rsidR="00296CE4">
        <w:rPr>
          <w:rFonts w:ascii="Bookman Old Style" w:hAnsi="Bookman Old Style" w:cs="Arial"/>
          <w:b w:val="0"/>
          <w:color w:val="000000"/>
          <w:spacing w:val="-4"/>
          <w:sz w:val="24"/>
          <w:szCs w:val="24"/>
        </w:rPr>
        <w:t xml:space="preserve"> </w:t>
      </w:r>
      <w:r w:rsidRPr="000F4D2C">
        <w:rPr>
          <w:rFonts w:ascii="Bookman Old Style" w:hAnsi="Bookman Old Style" w:cs="Arial"/>
          <w:color w:val="000000"/>
          <w:spacing w:val="-4"/>
          <w:sz w:val="24"/>
          <w:szCs w:val="24"/>
        </w:rPr>
        <w:t>solicitado en dólares americanos para el PEP, dividido en la TRM del 31 de diciembre del año anterior a la fecha de presentación de la propuesta.</w:t>
      </w:r>
    </w:p>
    <w:p w14:paraId="24D1EE80" w14:textId="77777777" w:rsidR="009D7C42" w:rsidRDefault="009D7C42" w:rsidP="000F4D2C">
      <w:pPr>
        <w:pStyle w:val="Estilo5"/>
        <w:widowControl w:val="0"/>
        <w:numPr>
          <w:ilvl w:val="0"/>
          <w:numId w:val="0"/>
        </w:numPr>
        <w:spacing w:before="0" w:after="0"/>
        <w:ind w:left="350" w:hanging="284"/>
        <w:outlineLvl w:val="9"/>
        <w:rPr>
          <w:rFonts w:ascii="Bookman Old Style" w:hAnsi="Bookman Old Style" w:cs="Arial"/>
          <w:b w:val="0"/>
          <w:color w:val="000000"/>
          <w:spacing w:val="-4"/>
          <w:sz w:val="24"/>
          <w:szCs w:val="24"/>
        </w:rPr>
      </w:pPr>
    </w:p>
    <w:p w14:paraId="7CC7BEE2" w14:textId="77777777" w:rsidR="009D7C42" w:rsidRDefault="001364A7" w:rsidP="000F4D2C">
      <w:pPr>
        <w:pStyle w:val="Estilo5"/>
        <w:widowControl w:val="0"/>
        <w:numPr>
          <w:ilvl w:val="0"/>
          <w:numId w:val="0"/>
        </w:numPr>
        <w:spacing w:before="0" w:after="0"/>
        <w:ind w:left="350" w:hanging="360"/>
        <w:rPr>
          <w:rFonts w:ascii="Bookman Old Style" w:hAnsi="Bookman Old Style" w:cs="Arial"/>
          <w:bCs/>
          <w:color w:val="000000"/>
          <w:spacing w:val="-4"/>
          <w:sz w:val="24"/>
          <w:szCs w:val="24"/>
          <w:u w:val="single"/>
        </w:rPr>
      </w:pPr>
      <w:r>
        <w:rPr>
          <w:rFonts w:ascii="Bookman Old Style" w:hAnsi="Bookman Old Style" w:cs="Arial"/>
          <w:b w:val="0"/>
          <w:color w:val="000000"/>
          <w:spacing w:val="-4"/>
          <w:sz w:val="24"/>
          <w:szCs w:val="24"/>
        </w:rPr>
        <w:t xml:space="preserve">v. </w:t>
      </w:r>
      <w:r w:rsidR="009D7C42" w:rsidRPr="009D7C42">
        <w:rPr>
          <w:rFonts w:ascii="Bookman Old Style" w:hAnsi="Bookman Old Style" w:cs="Arial"/>
          <w:b w:val="0"/>
          <w:color w:val="000000"/>
          <w:spacing w:val="-4"/>
          <w:sz w:val="24"/>
          <w:szCs w:val="24"/>
        </w:rPr>
        <w:tab/>
      </w:r>
      <w:r w:rsidR="009D7C42" w:rsidRPr="000F4D2C">
        <w:rPr>
          <w:rFonts w:ascii="Bookman Old Style" w:hAnsi="Bookman Old Style" w:cs="Arial"/>
          <w:bCs/>
          <w:color w:val="000000"/>
          <w:spacing w:val="-4"/>
          <w:sz w:val="24"/>
          <w:szCs w:val="24"/>
          <w:u w:val="single"/>
        </w:rPr>
        <w:t xml:space="preserve">El ingreso que recibirá el adjudicatario por el componente IAE AOM, en cada uno de los años del PEP contados a partir de la fecha real de puesta en operación certificada por el auditor del proyecto. </w:t>
      </w:r>
    </w:p>
    <w:p w14:paraId="4C81A88C" w14:textId="77777777" w:rsidR="00667EE0" w:rsidRPr="000F4D2C" w:rsidRDefault="00667EE0" w:rsidP="000F4D2C">
      <w:pPr>
        <w:pStyle w:val="Estilo5"/>
        <w:widowControl w:val="0"/>
        <w:numPr>
          <w:ilvl w:val="0"/>
          <w:numId w:val="0"/>
        </w:numPr>
        <w:spacing w:before="0" w:after="0"/>
        <w:ind w:left="350" w:hanging="360"/>
        <w:rPr>
          <w:rFonts w:ascii="Bookman Old Style" w:hAnsi="Bookman Old Style" w:cs="Arial"/>
          <w:bCs/>
          <w:color w:val="000000"/>
          <w:spacing w:val="-4"/>
          <w:sz w:val="24"/>
          <w:szCs w:val="24"/>
          <w:u w:val="single"/>
        </w:rPr>
      </w:pPr>
    </w:p>
    <w:p w14:paraId="223035E1" w14:textId="532D4E20" w:rsidR="009D7C42" w:rsidRDefault="009D7C42" w:rsidP="000F4D2C">
      <w:pPr>
        <w:pStyle w:val="Estilo5"/>
        <w:widowControl w:val="0"/>
        <w:numPr>
          <w:ilvl w:val="0"/>
          <w:numId w:val="0"/>
        </w:numPr>
        <w:tabs>
          <w:tab w:val="left" w:pos="567"/>
        </w:tabs>
        <w:spacing w:before="0" w:after="0"/>
        <w:ind w:left="66" w:hanging="283"/>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ab/>
      </w:r>
      <w:r w:rsidR="0090342F">
        <w:rPr>
          <w:rFonts w:ascii="Bookman Old Style" w:hAnsi="Bookman Old Style" w:cs="Arial"/>
          <w:bCs/>
          <w:color w:val="000000"/>
          <w:spacing w:val="-4"/>
          <w:sz w:val="24"/>
          <w:szCs w:val="24"/>
          <w:u w:val="single"/>
        </w:rPr>
        <w:t xml:space="preserve">vi. </w:t>
      </w:r>
      <w:r w:rsidRPr="000F4D2C">
        <w:rPr>
          <w:rFonts w:ascii="Bookman Old Style" w:hAnsi="Bookman Old Style" w:cs="Arial"/>
          <w:bCs/>
          <w:color w:val="000000"/>
          <w:spacing w:val="-4"/>
          <w:sz w:val="24"/>
          <w:szCs w:val="24"/>
          <w:u w:val="single"/>
        </w:rPr>
        <w:t>En el caso de la</w:t>
      </w:r>
      <w:r w:rsidR="0090342F">
        <w:rPr>
          <w:rFonts w:ascii="Bookman Old Style" w:hAnsi="Bookman Old Style" w:cs="Arial"/>
          <w:bCs/>
          <w:color w:val="000000"/>
          <w:spacing w:val="-4"/>
          <w:sz w:val="24"/>
          <w:szCs w:val="24"/>
          <w:u w:val="single"/>
        </w:rPr>
        <w:t>s</w:t>
      </w:r>
      <w:r w:rsidRPr="000F4D2C">
        <w:rPr>
          <w:rFonts w:ascii="Bookman Old Style" w:hAnsi="Bookman Old Style" w:cs="Arial"/>
          <w:bCs/>
          <w:color w:val="000000"/>
          <w:spacing w:val="-4"/>
          <w:sz w:val="24"/>
          <w:szCs w:val="24"/>
          <w:u w:val="single"/>
        </w:rPr>
        <w:t xml:space="preserve"> infraestructura</w:t>
      </w:r>
      <w:r w:rsidR="0090342F">
        <w:rPr>
          <w:rFonts w:ascii="Bookman Old Style" w:hAnsi="Bookman Old Style" w:cs="Arial"/>
          <w:bCs/>
          <w:color w:val="000000"/>
          <w:spacing w:val="-4"/>
          <w:sz w:val="24"/>
          <w:szCs w:val="24"/>
          <w:u w:val="single"/>
        </w:rPr>
        <w:t>s</w:t>
      </w:r>
      <w:r w:rsidRPr="000F4D2C">
        <w:rPr>
          <w:rFonts w:ascii="Bookman Old Style" w:hAnsi="Bookman Old Style" w:cs="Arial"/>
          <w:bCs/>
          <w:color w:val="000000"/>
          <w:spacing w:val="-4"/>
          <w:sz w:val="24"/>
          <w:szCs w:val="24"/>
          <w:u w:val="single"/>
        </w:rPr>
        <w:t xml:space="preserve"> de regasificación:</w:t>
      </w:r>
    </w:p>
    <w:p w14:paraId="77EF05CA" w14:textId="77777777" w:rsidR="00667EE0" w:rsidRPr="000F4D2C" w:rsidRDefault="00667EE0" w:rsidP="000F4D2C">
      <w:pPr>
        <w:pStyle w:val="Estilo5"/>
        <w:widowControl w:val="0"/>
        <w:numPr>
          <w:ilvl w:val="0"/>
          <w:numId w:val="0"/>
        </w:numPr>
        <w:tabs>
          <w:tab w:val="left" w:pos="567"/>
        </w:tabs>
        <w:spacing w:before="0" w:after="0"/>
        <w:ind w:left="66" w:hanging="283"/>
        <w:rPr>
          <w:rFonts w:ascii="Bookman Old Style" w:hAnsi="Bookman Old Style" w:cs="Arial"/>
          <w:bCs/>
          <w:color w:val="000000"/>
          <w:spacing w:val="-4"/>
          <w:sz w:val="24"/>
          <w:szCs w:val="24"/>
          <w:u w:val="single"/>
        </w:rPr>
      </w:pPr>
    </w:p>
    <w:p w14:paraId="5DDEF153" w14:textId="15529A5E" w:rsidR="009D7C42" w:rsidRDefault="009D7C42" w:rsidP="000F4D2C">
      <w:pPr>
        <w:pStyle w:val="Estilo5"/>
        <w:widowControl w:val="0"/>
        <w:numPr>
          <w:ilvl w:val="7"/>
          <w:numId w:val="10"/>
        </w:numPr>
        <w:spacing w:before="0" w:after="0"/>
        <w:ind w:left="775" w:hanging="283"/>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El volumen máximo de gas natural licuado, en MPC, que podrá ser remunerado, por el gas de llenado del inventario mínimo de confiabilidad en el caso de que se haya establecido;</w:t>
      </w:r>
    </w:p>
    <w:p w14:paraId="66CB1747" w14:textId="77777777" w:rsidR="00667EE0" w:rsidRPr="000F4D2C" w:rsidRDefault="00667EE0" w:rsidP="000F4D2C">
      <w:pPr>
        <w:pStyle w:val="Estilo5"/>
        <w:widowControl w:val="0"/>
        <w:numPr>
          <w:ilvl w:val="0"/>
          <w:numId w:val="0"/>
        </w:numPr>
        <w:spacing w:before="0" w:after="0"/>
        <w:ind w:left="775"/>
        <w:rPr>
          <w:rFonts w:ascii="Bookman Old Style" w:hAnsi="Bookman Old Style" w:cs="Arial"/>
          <w:bCs/>
          <w:color w:val="000000"/>
          <w:spacing w:val="-4"/>
          <w:sz w:val="24"/>
          <w:szCs w:val="24"/>
          <w:u w:val="single"/>
        </w:rPr>
      </w:pPr>
    </w:p>
    <w:p w14:paraId="4CDCEBBF" w14:textId="77777777" w:rsidR="009D7C42" w:rsidRDefault="009D7C42" w:rsidP="000F4D2C">
      <w:pPr>
        <w:pStyle w:val="Estilo5"/>
        <w:widowControl w:val="0"/>
        <w:numPr>
          <w:ilvl w:val="7"/>
          <w:numId w:val="10"/>
        </w:numPr>
        <w:spacing w:before="0" w:after="0"/>
        <w:ind w:left="775" w:hanging="283"/>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 xml:space="preserve">El volumen máximo de gas natural licuado, en MPC, que podrá ser remunerado por el gas de talón; </w:t>
      </w:r>
    </w:p>
    <w:p w14:paraId="44BA6CEE" w14:textId="77777777" w:rsidR="00667EE0" w:rsidRDefault="00667EE0" w:rsidP="000F4D2C">
      <w:pPr>
        <w:pStyle w:val="Prrafodelista"/>
        <w:ind w:left="207"/>
        <w:rPr>
          <w:rFonts w:ascii="Bookman Old Style" w:hAnsi="Bookman Old Style" w:cs="Arial"/>
          <w:bCs/>
          <w:color w:val="000000"/>
          <w:spacing w:val="-4"/>
          <w:sz w:val="24"/>
          <w:szCs w:val="24"/>
          <w:u w:val="single"/>
        </w:rPr>
      </w:pPr>
    </w:p>
    <w:p w14:paraId="524CDC1F" w14:textId="1D3AC0C4" w:rsidR="009D7C42" w:rsidRDefault="009D7C42" w:rsidP="000F4D2C">
      <w:pPr>
        <w:pStyle w:val="Estilo5"/>
        <w:widowControl w:val="0"/>
        <w:numPr>
          <w:ilvl w:val="7"/>
          <w:numId w:val="10"/>
        </w:numPr>
        <w:spacing w:before="0" w:after="0"/>
        <w:ind w:left="775" w:hanging="283"/>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Los volúmenes de gas natural licuado que serán remunerados, en MPC, para reponer anualmente el consumo anual de gas de evaporación (boil-off gas) causado por el gas de talón y por el gas del inventario mínimo de confiabilidad.</w:t>
      </w:r>
    </w:p>
    <w:p w14:paraId="400DD7B1" w14:textId="77777777" w:rsidR="00667EE0" w:rsidRDefault="00667EE0" w:rsidP="000F4D2C">
      <w:pPr>
        <w:pStyle w:val="Prrafodelista"/>
        <w:ind w:left="207"/>
        <w:rPr>
          <w:rFonts w:ascii="Bookman Old Style" w:hAnsi="Bookman Old Style" w:cs="Arial"/>
          <w:bCs/>
          <w:color w:val="000000"/>
          <w:spacing w:val="-4"/>
          <w:sz w:val="24"/>
          <w:szCs w:val="24"/>
          <w:u w:val="single"/>
        </w:rPr>
      </w:pPr>
    </w:p>
    <w:p w14:paraId="69A57404" w14:textId="010B3CCB" w:rsidR="009D7C42" w:rsidRPr="000F4D2C" w:rsidRDefault="009D7C42" w:rsidP="000F4D2C">
      <w:pPr>
        <w:pStyle w:val="Estilo5"/>
        <w:widowControl w:val="0"/>
        <w:numPr>
          <w:ilvl w:val="7"/>
          <w:numId w:val="10"/>
        </w:numPr>
        <w:spacing w:before="0" w:after="0"/>
        <w:ind w:left="775" w:hanging="283"/>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Los volúmenes de gas natural licuado que serán remunerados, en</w:t>
      </w:r>
      <w:r w:rsidR="00AC35F9">
        <w:rPr>
          <w:rFonts w:ascii="Bookman Old Style" w:hAnsi="Bookman Old Style" w:cs="Arial"/>
          <w:bCs/>
          <w:color w:val="000000"/>
          <w:spacing w:val="-4"/>
          <w:sz w:val="24"/>
          <w:szCs w:val="24"/>
          <w:u w:val="single"/>
        </w:rPr>
        <w:t xml:space="preserve"> MPC, para reponer </w:t>
      </w:r>
      <w:r w:rsidR="00667EE0">
        <w:rPr>
          <w:rFonts w:ascii="Bookman Old Style" w:hAnsi="Bookman Old Style" w:cs="Arial"/>
          <w:bCs/>
          <w:color w:val="000000"/>
          <w:spacing w:val="-4"/>
          <w:sz w:val="24"/>
          <w:szCs w:val="24"/>
          <w:u w:val="single"/>
        </w:rPr>
        <w:t>anualmente el gas de operación</w:t>
      </w:r>
      <w:r w:rsidRPr="000F4D2C">
        <w:rPr>
          <w:rFonts w:ascii="Bookman Old Style" w:hAnsi="Bookman Old Style" w:cs="Arial"/>
          <w:bCs/>
          <w:color w:val="000000"/>
          <w:spacing w:val="-4"/>
          <w:sz w:val="24"/>
          <w:szCs w:val="24"/>
          <w:u w:val="single"/>
        </w:rPr>
        <w:t>.</w:t>
      </w:r>
    </w:p>
    <w:p w14:paraId="0B60A6BB" w14:textId="77777777" w:rsidR="009D7C42" w:rsidRPr="000F4D2C" w:rsidRDefault="009D7C42" w:rsidP="000F4D2C">
      <w:pPr>
        <w:pStyle w:val="Estilo5"/>
        <w:widowControl w:val="0"/>
        <w:numPr>
          <w:ilvl w:val="0"/>
          <w:numId w:val="0"/>
        </w:numPr>
        <w:spacing w:before="0" w:after="0"/>
        <w:ind w:left="66"/>
        <w:rPr>
          <w:rFonts w:ascii="Bookman Old Style" w:hAnsi="Bookman Old Style" w:cs="Arial"/>
          <w:bCs/>
          <w:color w:val="000000"/>
          <w:spacing w:val="-4"/>
          <w:sz w:val="24"/>
          <w:szCs w:val="24"/>
          <w:u w:val="single"/>
        </w:rPr>
      </w:pPr>
    </w:p>
    <w:p w14:paraId="15E90F48" w14:textId="484CA672" w:rsidR="009D7C42" w:rsidRPr="000F4D2C" w:rsidRDefault="00667EE0" w:rsidP="000F4D2C">
      <w:pPr>
        <w:pStyle w:val="Estilo5"/>
        <w:widowControl w:val="0"/>
        <w:numPr>
          <w:ilvl w:val="0"/>
          <w:numId w:val="0"/>
        </w:numPr>
        <w:spacing w:before="0" w:after="0"/>
        <w:ind w:left="66"/>
        <w:rPr>
          <w:rFonts w:ascii="Bookman Old Style" w:hAnsi="Bookman Old Style" w:cs="Arial"/>
          <w:bCs/>
          <w:color w:val="000000"/>
          <w:spacing w:val="-4"/>
          <w:sz w:val="24"/>
          <w:szCs w:val="24"/>
          <w:u w:val="single"/>
        </w:rPr>
      </w:pPr>
      <w:r>
        <w:rPr>
          <w:rFonts w:ascii="Bookman Old Style" w:hAnsi="Bookman Old Style" w:cs="Arial"/>
          <w:bCs/>
          <w:color w:val="000000"/>
          <w:spacing w:val="-4"/>
          <w:sz w:val="24"/>
          <w:szCs w:val="24"/>
          <w:u w:val="single"/>
        </w:rPr>
        <w:t xml:space="preserve">vii. </w:t>
      </w:r>
      <w:r w:rsidR="009D7C42" w:rsidRPr="000F4D2C">
        <w:rPr>
          <w:rFonts w:ascii="Bookman Old Style" w:hAnsi="Bookman Old Style" w:cs="Arial"/>
          <w:bCs/>
          <w:color w:val="000000"/>
          <w:spacing w:val="-4"/>
          <w:sz w:val="24"/>
          <w:szCs w:val="24"/>
          <w:u w:val="single"/>
        </w:rPr>
        <w:t>En el caso de gasoducto</w:t>
      </w:r>
      <w:r>
        <w:rPr>
          <w:rFonts w:ascii="Bookman Old Style" w:hAnsi="Bookman Old Style" w:cs="Arial"/>
          <w:bCs/>
          <w:color w:val="000000"/>
          <w:spacing w:val="-4"/>
          <w:sz w:val="24"/>
          <w:szCs w:val="24"/>
          <w:u w:val="single"/>
        </w:rPr>
        <w:t>s</w:t>
      </w:r>
      <w:r w:rsidR="009D7C42" w:rsidRPr="000F4D2C">
        <w:rPr>
          <w:rFonts w:ascii="Bookman Old Style" w:hAnsi="Bookman Old Style" w:cs="Arial"/>
          <w:bCs/>
          <w:color w:val="000000"/>
          <w:spacing w:val="-4"/>
          <w:sz w:val="24"/>
          <w:szCs w:val="24"/>
          <w:u w:val="single"/>
        </w:rPr>
        <w:t>:</w:t>
      </w:r>
    </w:p>
    <w:p w14:paraId="28FBEB3D" w14:textId="77777777" w:rsidR="009D7C42" w:rsidRPr="000F4D2C" w:rsidRDefault="009D7C42" w:rsidP="000F4D2C">
      <w:pPr>
        <w:pStyle w:val="Estilo5"/>
        <w:widowControl w:val="0"/>
        <w:numPr>
          <w:ilvl w:val="0"/>
          <w:numId w:val="0"/>
        </w:numPr>
        <w:spacing w:before="0" w:after="0"/>
        <w:ind w:left="66"/>
        <w:rPr>
          <w:rFonts w:ascii="Bookman Old Style" w:hAnsi="Bookman Old Style" w:cs="Arial"/>
          <w:bCs/>
          <w:color w:val="000000"/>
          <w:spacing w:val="-4"/>
          <w:sz w:val="24"/>
          <w:szCs w:val="24"/>
          <w:u w:val="single"/>
        </w:rPr>
      </w:pPr>
    </w:p>
    <w:p w14:paraId="637C51D5" w14:textId="2454F2A4" w:rsidR="009D7C42" w:rsidRDefault="009D7C42" w:rsidP="000F4D2C">
      <w:pPr>
        <w:pStyle w:val="Estilo5"/>
        <w:widowControl w:val="0"/>
        <w:numPr>
          <w:ilvl w:val="7"/>
          <w:numId w:val="35"/>
        </w:numPr>
        <w:spacing w:before="0" w:after="0"/>
        <w:ind w:left="917" w:hanging="425"/>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 xml:space="preserve">El volumen máximo de gas natural licuado, en MPC, que podrá ser remunerado, por el gas de empaquetamiento; </w:t>
      </w:r>
    </w:p>
    <w:p w14:paraId="67891087" w14:textId="77777777" w:rsidR="00137F16" w:rsidRPr="000F4D2C" w:rsidRDefault="00137F16" w:rsidP="000F4D2C">
      <w:pPr>
        <w:pStyle w:val="Estilo5"/>
        <w:widowControl w:val="0"/>
        <w:numPr>
          <w:ilvl w:val="0"/>
          <w:numId w:val="0"/>
        </w:numPr>
        <w:spacing w:before="0" w:after="0"/>
        <w:ind w:left="917"/>
        <w:rPr>
          <w:rFonts w:ascii="Bookman Old Style" w:hAnsi="Bookman Old Style" w:cs="Arial"/>
          <w:bCs/>
          <w:color w:val="000000"/>
          <w:spacing w:val="-4"/>
          <w:sz w:val="24"/>
          <w:szCs w:val="24"/>
          <w:u w:val="single"/>
        </w:rPr>
      </w:pPr>
    </w:p>
    <w:p w14:paraId="335C4DF1" w14:textId="6723608D" w:rsidR="009D7C42" w:rsidRDefault="009D7C42" w:rsidP="000F4D2C">
      <w:pPr>
        <w:pStyle w:val="Estilo5"/>
        <w:widowControl w:val="0"/>
        <w:numPr>
          <w:ilvl w:val="7"/>
          <w:numId w:val="35"/>
        </w:numPr>
        <w:spacing w:before="0" w:after="0"/>
        <w:ind w:left="917" w:hanging="425"/>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El volumen máximo de gas natural licuado, en MPC, que podrá ser remunerado, por el gas de pruebas de la infraestructura del proyecto;</w:t>
      </w:r>
    </w:p>
    <w:p w14:paraId="0A2CD11F" w14:textId="77777777" w:rsidR="00137F16" w:rsidRDefault="00137F16" w:rsidP="000F4D2C">
      <w:pPr>
        <w:pStyle w:val="Prrafodelista"/>
        <w:ind w:left="207"/>
        <w:rPr>
          <w:rFonts w:ascii="Bookman Old Style" w:hAnsi="Bookman Old Style" w:cs="Arial"/>
          <w:bCs/>
          <w:color w:val="000000"/>
          <w:spacing w:val="-4"/>
          <w:sz w:val="24"/>
          <w:szCs w:val="24"/>
          <w:u w:val="single"/>
        </w:rPr>
      </w:pPr>
    </w:p>
    <w:p w14:paraId="7726F029" w14:textId="33E8B72F" w:rsidR="009D7C42" w:rsidRPr="000F4D2C" w:rsidRDefault="00137F16" w:rsidP="000F4D2C">
      <w:pPr>
        <w:pStyle w:val="Estilo5"/>
        <w:widowControl w:val="0"/>
        <w:numPr>
          <w:ilvl w:val="7"/>
          <w:numId w:val="35"/>
        </w:numPr>
        <w:spacing w:before="0" w:after="0"/>
        <w:ind w:left="917" w:hanging="425"/>
        <w:rPr>
          <w:rFonts w:ascii="Bookman Old Style" w:hAnsi="Bookman Old Style" w:cs="Arial"/>
          <w:bCs/>
          <w:color w:val="000000"/>
          <w:spacing w:val="-4"/>
          <w:sz w:val="24"/>
          <w:szCs w:val="24"/>
          <w:u w:val="single"/>
        </w:rPr>
      </w:pPr>
      <w:r>
        <w:rPr>
          <w:rFonts w:ascii="Bookman Old Style" w:hAnsi="Bookman Old Style" w:cs="Arial"/>
          <w:bCs/>
          <w:color w:val="000000"/>
          <w:spacing w:val="-4"/>
          <w:sz w:val="24"/>
          <w:szCs w:val="24"/>
          <w:u w:val="single"/>
        </w:rPr>
        <w:t>El</w:t>
      </w:r>
      <w:r w:rsidR="009D7C42" w:rsidRPr="000F4D2C">
        <w:rPr>
          <w:rFonts w:ascii="Bookman Old Style" w:hAnsi="Bookman Old Style" w:cs="Arial"/>
          <w:bCs/>
          <w:color w:val="000000"/>
          <w:spacing w:val="-4"/>
          <w:sz w:val="24"/>
          <w:szCs w:val="24"/>
          <w:u w:val="single"/>
        </w:rPr>
        <w:t xml:space="preserve"> vol</w:t>
      </w:r>
      <w:r w:rsidR="00691BDB">
        <w:rPr>
          <w:rFonts w:ascii="Bookman Old Style" w:hAnsi="Bookman Old Style" w:cs="Arial"/>
          <w:bCs/>
          <w:color w:val="000000"/>
          <w:spacing w:val="-4"/>
          <w:sz w:val="24"/>
          <w:szCs w:val="24"/>
          <w:u w:val="single"/>
        </w:rPr>
        <w:t>umen</w:t>
      </w:r>
      <w:r w:rsidR="009D7C42" w:rsidRPr="000F4D2C">
        <w:rPr>
          <w:rFonts w:ascii="Bookman Old Style" w:hAnsi="Bookman Old Style" w:cs="Arial"/>
          <w:bCs/>
          <w:color w:val="000000"/>
          <w:spacing w:val="-4"/>
          <w:sz w:val="24"/>
          <w:szCs w:val="24"/>
          <w:u w:val="single"/>
        </w:rPr>
        <w:t xml:space="preserve"> de gas natural, en MPC, que </w:t>
      </w:r>
      <w:r>
        <w:rPr>
          <w:rFonts w:ascii="Bookman Old Style" w:hAnsi="Bookman Old Style" w:cs="Arial"/>
          <w:bCs/>
          <w:color w:val="000000"/>
          <w:spacing w:val="-4"/>
          <w:sz w:val="24"/>
          <w:szCs w:val="24"/>
          <w:u w:val="single"/>
        </w:rPr>
        <w:t xml:space="preserve">podrá </w:t>
      </w:r>
      <w:r w:rsidR="009D7C42" w:rsidRPr="000F4D2C">
        <w:rPr>
          <w:rFonts w:ascii="Bookman Old Style" w:hAnsi="Bookman Old Style" w:cs="Arial"/>
          <w:bCs/>
          <w:color w:val="000000"/>
          <w:spacing w:val="-4"/>
          <w:sz w:val="24"/>
          <w:szCs w:val="24"/>
          <w:u w:val="single"/>
        </w:rPr>
        <w:t>ser remunerado anualmente, para el gas de operación del gasoducto.</w:t>
      </w:r>
    </w:p>
    <w:p w14:paraId="5E47FCD0" w14:textId="3F96FC95" w:rsidR="009D7C42" w:rsidRPr="000F4D2C" w:rsidRDefault="009D7C42" w:rsidP="000F4D2C">
      <w:pPr>
        <w:pStyle w:val="Estilo5"/>
        <w:widowControl w:val="0"/>
        <w:numPr>
          <w:ilvl w:val="0"/>
          <w:numId w:val="0"/>
        </w:numPr>
        <w:ind w:left="567"/>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 xml:space="preserve">Los costos totales incurridos </w:t>
      </w:r>
      <w:r w:rsidR="00691BDB">
        <w:rPr>
          <w:rFonts w:ascii="Bookman Old Style" w:hAnsi="Bookman Old Style" w:cs="Arial"/>
          <w:bCs/>
          <w:color w:val="000000"/>
          <w:spacing w:val="-4"/>
          <w:sz w:val="24"/>
          <w:szCs w:val="24"/>
          <w:u w:val="single"/>
        </w:rPr>
        <w:t xml:space="preserve">en pesos colombianos </w:t>
      </w:r>
      <w:r w:rsidRPr="000F4D2C">
        <w:rPr>
          <w:rFonts w:ascii="Bookman Old Style" w:hAnsi="Bookman Old Style" w:cs="Arial"/>
          <w:bCs/>
          <w:color w:val="000000"/>
          <w:spacing w:val="-4"/>
          <w:sz w:val="24"/>
          <w:szCs w:val="24"/>
          <w:u w:val="single"/>
        </w:rPr>
        <w:t>en la adquisición y transporte a los sitios de utilización, del gas de los literales a y b del numeral v</w:t>
      </w:r>
      <w:r w:rsidR="00691BDB">
        <w:rPr>
          <w:rFonts w:ascii="Bookman Old Style" w:hAnsi="Bookman Old Style" w:cs="Arial"/>
          <w:bCs/>
          <w:color w:val="000000"/>
          <w:spacing w:val="-4"/>
          <w:sz w:val="24"/>
          <w:szCs w:val="24"/>
          <w:u w:val="single"/>
        </w:rPr>
        <w:t>i.</w:t>
      </w:r>
      <w:r w:rsidRPr="000F4D2C">
        <w:rPr>
          <w:rFonts w:ascii="Bookman Old Style" w:hAnsi="Bookman Old Style" w:cs="Arial"/>
          <w:bCs/>
          <w:color w:val="000000"/>
          <w:spacing w:val="-4"/>
          <w:sz w:val="24"/>
          <w:szCs w:val="24"/>
          <w:u w:val="single"/>
        </w:rPr>
        <w:t xml:space="preserve"> anterior y de los literales a y b del numeral vi</w:t>
      </w:r>
      <w:r w:rsidR="00691BDB">
        <w:rPr>
          <w:rFonts w:ascii="Bookman Old Style" w:hAnsi="Bookman Old Style" w:cs="Arial"/>
          <w:bCs/>
          <w:color w:val="000000"/>
          <w:spacing w:val="-4"/>
          <w:sz w:val="24"/>
          <w:szCs w:val="24"/>
          <w:u w:val="single"/>
        </w:rPr>
        <w:t>i.</w:t>
      </w:r>
      <w:r w:rsidRPr="000F4D2C">
        <w:rPr>
          <w:rFonts w:ascii="Bookman Old Style" w:hAnsi="Bookman Old Style" w:cs="Arial"/>
          <w:bCs/>
          <w:color w:val="000000"/>
          <w:spacing w:val="-4"/>
          <w:sz w:val="24"/>
          <w:szCs w:val="24"/>
          <w:u w:val="single"/>
        </w:rPr>
        <w:t xml:space="preserve"> anterior, se adicionarán al IAE de cada año del PEP, contado a partir de la fecha real de puesta en operación certificada por el auditor del proyecto, de acuerdo </w:t>
      </w:r>
      <w:r w:rsidRPr="000F4D2C">
        <w:rPr>
          <w:rFonts w:ascii="Bookman Old Style" w:hAnsi="Bookman Old Style" w:cs="Arial"/>
          <w:bCs/>
          <w:color w:val="000000"/>
          <w:spacing w:val="-4"/>
          <w:sz w:val="24"/>
          <w:szCs w:val="24"/>
          <w:u w:val="single"/>
        </w:rPr>
        <w:lastRenderedPageBreak/>
        <w:t>con el siguiente cálculo:</w:t>
      </w:r>
    </w:p>
    <w:p w14:paraId="0ABAB020" w14:textId="39304037" w:rsidR="009D7C42" w:rsidRPr="000F4D2C" w:rsidRDefault="009D7C42" w:rsidP="000F4D2C">
      <w:pPr>
        <w:pStyle w:val="Estilo5"/>
        <w:widowControl w:val="0"/>
        <w:numPr>
          <w:ilvl w:val="0"/>
          <w:numId w:val="0"/>
        </w:numPr>
        <w:ind w:left="567"/>
        <w:jc w:val="center"/>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 xml:space="preserve">IAE FIJO GAS NATURAL = </w:t>
      </w:r>
      <m:oMath>
        <m:f>
          <m:fPr>
            <m:type m:val="skw"/>
            <m:ctrlPr>
              <w:rPr>
                <w:rFonts w:ascii="Cambria Math" w:hAnsi="Cambria Math"/>
                <w:i/>
                <w:lang w:val="es-CO"/>
              </w:rPr>
            </m:ctrlPr>
          </m:fPr>
          <m:num>
            <m:r>
              <m:rPr>
                <m:sty m:val="bi"/>
              </m:rPr>
              <w:rPr>
                <w:rFonts w:ascii="Cambria Math" w:hAnsi="Cambria Math"/>
                <w:lang w:val="es-CO"/>
              </w:rPr>
              <m:t xml:space="preserve">STGN ×TD ×TRM </m:t>
            </m:r>
          </m:num>
          <m:den>
            <m:d>
              <m:dPr>
                <m:begChr m:val="["/>
                <m:endChr m:val="]"/>
                <m:ctrlPr>
                  <w:rPr>
                    <w:rFonts w:ascii="Cambria Math" w:hAnsi="Cambria Math"/>
                    <w:i/>
                    <w:lang w:val="es-CO"/>
                  </w:rPr>
                </m:ctrlPr>
              </m:dPr>
              <m:e>
                <m:r>
                  <m:rPr>
                    <m:sty m:val="bi"/>
                  </m:rPr>
                  <w:rPr>
                    <w:rFonts w:ascii="Cambria Math" w:hAnsi="Cambria Math"/>
                    <w:lang w:val="es-CO"/>
                  </w:rPr>
                  <m:t>1-</m:t>
                </m:r>
                <m:sSup>
                  <m:sSupPr>
                    <m:ctrlPr>
                      <w:rPr>
                        <w:rFonts w:ascii="Cambria Math" w:hAnsi="Cambria Math"/>
                        <w:i/>
                        <w:lang w:val="es-CO"/>
                      </w:rPr>
                    </m:ctrlPr>
                  </m:sSupPr>
                  <m:e>
                    <m:d>
                      <m:dPr>
                        <m:ctrlPr>
                          <w:rPr>
                            <w:rFonts w:ascii="Cambria Math" w:hAnsi="Cambria Math"/>
                            <w:i/>
                            <w:lang w:val="es-CO"/>
                          </w:rPr>
                        </m:ctrlPr>
                      </m:dPr>
                      <m:e>
                        <m:r>
                          <m:rPr>
                            <m:sty m:val="bi"/>
                          </m:rPr>
                          <w:rPr>
                            <w:rFonts w:ascii="Cambria Math" w:hAnsi="Cambria Math"/>
                            <w:lang w:val="es-CO"/>
                          </w:rPr>
                          <m:t>1+TD</m:t>
                        </m:r>
                      </m:e>
                    </m:d>
                  </m:e>
                  <m:sup>
                    <m:r>
                      <m:rPr>
                        <m:sty m:val="bi"/>
                      </m:rPr>
                      <w:rPr>
                        <w:rFonts w:ascii="Cambria Math" w:hAnsi="Cambria Math"/>
                        <w:lang w:val="es-CO"/>
                      </w:rPr>
                      <m:t>-PEP</m:t>
                    </m:r>
                  </m:sup>
                </m:sSup>
              </m:e>
            </m:d>
            <m:r>
              <m:rPr>
                <m:sty m:val="bi"/>
              </m:rPr>
              <w:rPr>
                <w:rFonts w:ascii="Cambria Math" w:hAnsi="Cambria Math"/>
                <w:lang w:val="es-CO"/>
              </w:rPr>
              <m:t xml:space="preserve">   </m:t>
            </m:r>
          </m:den>
        </m:f>
      </m:oMath>
    </w:p>
    <w:p w14:paraId="4187FDBF" w14:textId="1A3B1C18" w:rsidR="009D7C42" w:rsidRPr="000F4D2C" w:rsidRDefault="009D7C42" w:rsidP="000F4D2C">
      <w:pPr>
        <w:pStyle w:val="Estilo5"/>
        <w:widowControl w:val="0"/>
        <w:numPr>
          <w:ilvl w:val="0"/>
          <w:numId w:val="0"/>
        </w:numPr>
        <w:ind w:left="567"/>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Donde:</w:t>
      </w:r>
    </w:p>
    <w:p w14:paraId="191E6214" w14:textId="6023DB5C" w:rsidR="009D7C42" w:rsidRPr="000F4D2C" w:rsidRDefault="009D7C42" w:rsidP="000F4D2C">
      <w:pPr>
        <w:pStyle w:val="Estilo5"/>
        <w:widowControl w:val="0"/>
        <w:numPr>
          <w:ilvl w:val="0"/>
          <w:numId w:val="0"/>
        </w:numPr>
        <w:ind w:left="1560" w:hanging="993"/>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 xml:space="preserve">STGN: </w:t>
      </w:r>
      <w:r w:rsidR="0020135A">
        <w:rPr>
          <w:rFonts w:ascii="Bookman Old Style" w:hAnsi="Bookman Old Style" w:cs="Arial"/>
          <w:bCs/>
          <w:color w:val="000000"/>
          <w:spacing w:val="-4"/>
          <w:sz w:val="24"/>
          <w:szCs w:val="24"/>
          <w:u w:val="single"/>
        </w:rPr>
        <w:tab/>
        <w:t>C</w:t>
      </w:r>
      <w:r w:rsidRPr="000F4D2C">
        <w:rPr>
          <w:rFonts w:ascii="Bookman Old Style" w:hAnsi="Bookman Old Style" w:cs="Arial"/>
          <w:bCs/>
          <w:color w:val="000000"/>
          <w:spacing w:val="-4"/>
          <w:sz w:val="24"/>
          <w:szCs w:val="24"/>
          <w:u w:val="single"/>
        </w:rPr>
        <w:t>ostos de suministro y transporte del gas natural</w:t>
      </w:r>
      <w:r w:rsidR="0020135A">
        <w:rPr>
          <w:rFonts w:ascii="Bookman Old Style" w:hAnsi="Bookman Old Style" w:cs="Arial"/>
          <w:bCs/>
          <w:color w:val="000000"/>
          <w:spacing w:val="-4"/>
          <w:sz w:val="24"/>
          <w:szCs w:val="24"/>
          <w:u w:val="single"/>
        </w:rPr>
        <w:t>, en pesos colombianos</w:t>
      </w:r>
    </w:p>
    <w:p w14:paraId="3DA55D00" w14:textId="305F08C5" w:rsidR="009D7C42" w:rsidRPr="000F4D2C" w:rsidRDefault="009D7C42" w:rsidP="000F4D2C">
      <w:pPr>
        <w:pStyle w:val="Estilo5"/>
        <w:widowControl w:val="0"/>
        <w:numPr>
          <w:ilvl w:val="0"/>
          <w:numId w:val="0"/>
        </w:numPr>
        <w:ind w:left="1560" w:hanging="993"/>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 xml:space="preserve">TD:  </w:t>
      </w:r>
      <w:r w:rsidR="0020135A">
        <w:rPr>
          <w:rFonts w:ascii="Bookman Old Style" w:hAnsi="Bookman Old Style" w:cs="Arial"/>
          <w:bCs/>
          <w:color w:val="000000"/>
          <w:spacing w:val="-4"/>
          <w:sz w:val="24"/>
          <w:szCs w:val="24"/>
          <w:u w:val="single"/>
        </w:rPr>
        <w:tab/>
      </w:r>
      <w:r w:rsidRPr="000F4D2C">
        <w:rPr>
          <w:rFonts w:ascii="Bookman Old Style" w:hAnsi="Bookman Old Style" w:cs="Arial"/>
          <w:bCs/>
          <w:color w:val="000000"/>
          <w:spacing w:val="-4"/>
          <w:sz w:val="24"/>
          <w:szCs w:val="24"/>
          <w:u w:val="single"/>
        </w:rPr>
        <w:t>Tasa de Descuento determinada en el Artículo 10 de la presente resolución</w:t>
      </w:r>
    </w:p>
    <w:p w14:paraId="0BEDAAA3" w14:textId="0AC442F1" w:rsidR="009D7C42" w:rsidRPr="000F4D2C" w:rsidRDefault="009D7C42" w:rsidP="000F4D2C">
      <w:pPr>
        <w:pStyle w:val="Estilo5"/>
        <w:widowControl w:val="0"/>
        <w:numPr>
          <w:ilvl w:val="0"/>
          <w:numId w:val="0"/>
        </w:numPr>
        <w:ind w:left="1560" w:hanging="993"/>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 xml:space="preserve">TRM: </w:t>
      </w:r>
      <w:r w:rsidR="0020135A">
        <w:rPr>
          <w:rFonts w:ascii="Bookman Old Style" w:hAnsi="Bookman Old Style" w:cs="Arial"/>
          <w:bCs/>
          <w:color w:val="000000"/>
          <w:spacing w:val="-4"/>
          <w:sz w:val="24"/>
          <w:szCs w:val="24"/>
          <w:u w:val="single"/>
        </w:rPr>
        <w:tab/>
      </w:r>
      <w:r w:rsidRPr="000F4D2C">
        <w:rPr>
          <w:rFonts w:ascii="Bookman Old Style" w:hAnsi="Bookman Old Style" w:cs="Arial"/>
          <w:bCs/>
          <w:color w:val="000000"/>
          <w:spacing w:val="-4"/>
          <w:sz w:val="24"/>
          <w:szCs w:val="24"/>
          <w:u w:val="single"/>
        </w:rPr>
        <w:t>TRM del 31 de diciembre del año anterior a la fecha de la declaración de información del transportador</w:t>
      </w:r>
    </w:p>
    <w:p w14:paraId="37B7D654" w14:textId="2220C887" w:rsidR="009D7C42" w:rsidRPr="000F4D2C" w:rsidRDefault="009D7C42" w:rsidP="000F4D2C">
      <w:pPr>
        <w:pStyle w:val="Estilo5"/>
        <w:widowControl w:val="0"/>
        <w:numPr>
          <w:ilvl w:val="0"/>
          <w:numId w:val="0"/>
        </w:numPr>
        <w:ind w:left="1560" w:hanging="993"/>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 xml:space="preserve">PEP: </w:t>
      </w:r>
      <w:r w:rsidR="0020135A">
        <w:rPr>
          <w:rFonts w:ascii="Bookman Old Style" w:hAnsi="Bookman Old Style" w:cs="Arial"/>
          <w:bCs/>
          <w:color w:val="000000"/>
          <w:spacing w:val="-4"/>
          <w:sz w:val="24"/>
          <w:szCs w:val="24"/>
          <w:u w:val="single"/>
        </w:rPr>
        <w:tab/>
      </w:r>
      <w:r w:rsidRPr="000F4D2C">
        <w:rPr>
          <w:rFonts w:ascii="Bookman Old Style" w:hAnsi="Bookman Old Style" w:cs="Arial"/>
          <w:bCs/>
          <w:color w:val="000000"/>
          <w:spacing w:val="-4"/>
          <w:sz w:val="24"/>
          <w:szCs w:val="24"/>
          <w:u w:val="single"/>
        </w:rPr>
        <w:t>Período estándar de pagos</w:t>
      </w:r>
    </w:p>
    <w:p w14:paraId="5B3EF6E3" w14:textId="77777777" w:rsidR="009D7C42" w:rsidRPr="000F4D2C" w:rsidRDefault="009D7C42" w:rsidP="000F4D2C">
      <w:pPr>
        <w:pStyle w:val="Estilo5"/>
        <w:widowControl w:val="0"/>
        <w:numPr>
          <w:ilvl w:val="0"/>
          <w:numId w:val="0"/>
        </w:numPr>
        <w:ind w:left="567"/>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Los costos totales incurridos en la adquisición y transporte a los sitios de utilización, del gas de los literales c y d del numeral v anterior y del literal c del numeral vi anterior, se adicionarán al IAE del año siguiente a su causación, en cada uno de los años del PEP contados a partir de la fecha de puesta en operación certificada por el auditor del proyecto, de acuerdo con los costos reportados, así:</w:t>
      </w:r>
    </w:p>
    <w:p w14:paraId="1A9EC852" w14:textId="403E043C" w:rsidR="009D7C42" w:rsidRPr="000F4D2C" w:rsidRDefault="009D7C42" w:rsidP="000F4D2C">
      <w:pPr>
        <w:pStyle w:val="Estilo5"/>
        <w:widowControl w:val="0"/>
        <w:numPr>
          <w:ilvl w:val="0"/>
          <w:numId w:val="0"/>
        </w:numPr>
        <w:ind w:left="567"/>
        <w:jc w:val="center"/>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IAE VARIABLE GAS NATURAL = Costo anual del gas adquirido</w:t>
      </w:r>
    </w:p>
    <w:p w14:paraId="028D220D" w14:textId="77777777" w:rsidR="009D7C42" w:rsidRPr="000F4D2C" w:rsidRDefault="009D7C42" w:rsidP="000F4D2C">
      <w:pPr>
        <w:pStyle w:val="Estilo5"/>
        <w:widowControl w:val="0"/>
        <w:numPr>
          <w:ilvl w:val="0"/>
          <w:numId w:val="0"/>
        </w:numPr>
        <w:ind w:left="567"/>
        <w:rPr>
          <w:rFonts w:ascii="Bookman Old Style" w:hAnsi="Bookman Old Style" w:cs="Arial"/>
          <w:bCs/>
          <w:color w:val="000000"/>
          <w:spacing w:val="-4"/>
          <w:sz w:val="24"/>
          <w:szCs w:val="24"/>
          <w:u w:val="single"/>
        </w:rPr>
      </w:pPr>
      <w:r w:rsidRPr="000F4D2C">
        <w:rPr>
          <w:rFonts w:ascii="Bookman Old Style" w:hAnsi="Bookman Old Style" w:cs="Arial"/>
          <w:bCs/>
          <w:color w:val="000000"/>
          <w:spacing w:val="-4"/>
          <w:sz w:val="24"/>
          <w:szCs w:val="24"/>
          <w:u w:val="single"/>
        </w:rPr>
        <w:t>Los costos incurridos deberán ser informados a la CREG por parte del adjudicatario, en los primeros 5 días hábiles del mes de enero de cada año del PEP. A partir de lo anterior, la CREG publicará mediante circular, el valor total del IAE que será remunerado en el respectivo año del PEP, que será aplicado al cobro de los beneficiarios de acuerdo con lo establecido en el Anexo 4 de la presente resolución y a la resolución que establezca la remuneración mediante contratos de los servicios asociados al proyecto.</w:t>
      </w:r>
    </w:p>
    <w:p w14:paraId="05E64B08" w14:textId="0BF08FF1" w:rsidR="009C5FA4" w:rsidRPr="000F4D2C" w:rsidRDefault="009D7C42" w:rsidP="000F4D2C">
      <w:pPr>
        <w:pStyle w:val="Estilo5"/>
        <w:widowControl w:val="0"/>
        <w:numPr>
          <w:ilvl w:val="0"/>
          <w:numId w:val="0"/>
        </w:numPr>
        <w:ind w:left="567"/>
        <w:outlineLvl w:val="9"/>
        <w:rPr>
          <w:rFonts w:ascii="Bookman Old Style" w:hAnsi="Bookman Old Style" w:cs="Arial"/>
          <w:b w:val="0"/>
          <w:color w:val="000000"/>
          <w:spacing w:val="-4"/>
          <w:sz w:val="24"/>
          <w:szCs w:val="24"/>
        </w:rPr>
      </w:pPr>
      <w:r w:rsidRPr="000F4D2C">
        <w:rPr>
          <w:rFonts w:ascii="Bookman Old Style" w:hAnsi="Bookman Old Style" w:cs="Arial"/>
          <w:bCs/>
          <w:color w:val="000000"/>
          <w:spacing w:val="-4"/>
          <w:sz w:val="24"/>
          <w:szCs w:val="24"/>
          <w:u w:val="single"/>
        </w:rPr>
        <w:t>La suma de los componentes IAE INVERSIÓN, IAE AOM, IAE FIJO GAS</w:t>
      </w:r>
      <w:r w:rsidR="00F97BEF">
        <w:rPr>
          <w:rFonts w:ascii="Bookman Old Style" w:hAnsi="Bookman Old Style" w:cs="Arial"/>
          <w:bCs/>
          <w:color w:val="000000"/>
          <w:spacing w:val="-4"/>
          <w:sz w:val="24"/>
          <w:szCs w:val="24"/>
          <w:u w:val="single"/>
        </w:rPr>
        <w:t xml:space="preserve"> </w:t>
      </w:r>
      <w:r w:rsidR="00C43B7A">
        <w:rPr>
          <w:rFonts w:ascii="Bookman Old Style" w:hAnsi="Bookman Old Style" w:cs="Arial"/>
          <w:bCs/>
          <w:color w:val="000000"/>
          <w:spacing w:val="-4"/>
          <w:sz w:val="24"/>
          <w:szCs w:val="24"/>
          <w:u w:val="single"/>
        </w:rPr>
        <w:t>NATURAL</w:t>
      </w:r>
      <w:r w:rsidRPr="000F4D2C">
        <w:rPr>
          <w:rFonts w:ascii="Bookman Old Style" w:hAnsi="Bookman Old Style" w:cs="Arial"/>
          <w:bCs/>
          <w:color w:val="000000"/>
          <w:spacing w:val="-4"/>
          <w:sz w:val="24"/>
          <w:szCs w:val="24"/>
          <w:u w:val="single"/>
        </w:rPr>
        <w:t xml:space="preserve"> e IAE VARIABLE GAS NATURAL corresponderán al IAE TOTAL.</w:t>
      </w:r>
    </w:p>
    <w:p w14:paraId="567893F9" w14:textId="77777777" w:rsidR="00CF5EFC" w:rsidRPr="000F4D2C" w:rsidRDefault="00CF5EFC" w:rsidP="00CF5EFC">
      <w:pPr>
        <w:pStyle w:val="Estilo5"/>
        <w:widowControl w:val="0"/>
        <w:numPr>
          <w:ilvl w:val="0"/>
          <w:numId w:val="0"/>
        </w:numPr>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En caso de que el proyecto sea puesto en operación en fecha diferente a la FPO o a la FPO ajustada según lo establecido en el Artículo 22 de la presente resolución, o sea puesto en operación parcial, la CREG ajustará la resolución mediante la cual hizo oficial la remuneración del proyecto, con el fin de tener en cuenta la situación que se presente.</w:t>
      </w:r>
    </w:p>
    <w:p w14:paraId="06C26B23" w14:textId="77777777" w:rsidR="00CF5EFC" w:rsidRPr="000F4D2C" w:rsidRDefault="00CF5EFC" w:rsidP="00CF5EFC">
      <w:pPr>
        <w:pStyle w:val="Estilo5"/>
        <w:keepNext w:val="0"/>
        <w:widowControl w:val="0"/>
        <w:numPr>
          <w:ilvl w:val="0"/>
          <w:numId w:val="0"/>
        </w:numPr>
        <w:tabs>
          <w:tab w:val="left" w:pos="0"/>
          <w:tab w:val="left" w:pos="1560"/>
        </w:tabs>
        <w:spacing w:before="0" w:after="0"/>
        <w:outlineLvl w:val="9"/>
        <w:rPr>
          <w:rFonts w:ascii="Bookman Old Style" w:hAnsi="Bookman Old Style" w:cs="Arial"/>
          <w:color w:val="000000"/>
          <w:spacing w:val="-4"/>
          <w:sz w:val="24"/>
          <w:szCs w:val="24"/>
        </w:rPr>
      </w:pPr>
    </w:p>
    <w:p w14:paraId="6B94C80C" w14:textId="01DA3EEE" w:rsidR="00CF5EFC" w:rsidRPr="000F4D2C" w:rsidRDefault="003351B4" w:rsidP="00CF5EFC">
      <w:pPr>
        <w:pStyle w:val="Estilo5"/>
        <w:keepNext w:val="0"/>
        <w:widowControl w:val="0"/>
        <w:numPr>
          <w:ilvl w:val="0"/>
          <w:numId w:val="0"/>
        </w:numPr>
        <w:tabs>
          <w:tab w:val="left" w:pos="0"/>
          <w:tab w:val="left" w:pos="1560"/>
        </w:tabs>
        <w:spacing w:before="0" w:after="0"/>
        <w:outlineLvl w:val="9"/>
      </w:pPr>
      <w:r w:rsidRPr="000F4D2C">
        <w:rPr>
          <w:rFonts w:ascii="Bookman Old Style" w:hAnsi="Bookman Old Style"/>
          <w:bCs/>
          <w:sz w:val="24"/>
          <w:szCs w:val="24"/>
        </w:rPr>
        <w:t>Parágrafo</w:t>
      </w:r>
      <w:r w:rsidR="00CF5EFC" w:rsidRPr="000F4D2C">
        <w:rPr>
          <w:rFonts w:ascii="Bookman Old Style" w:hAnsi="Bookman Old Style" w:cs="Arial"/>
          <w:color w:val="000000"/>
          <w:spacing w:val="-4"/>
          <w:sz w:val="24"/>
          <w:szCs w:val="24"/>
        </w:rPr>
        <w:t>.</w:t>
      </w:r>
      <w:r w:rsidR="00CF5EFC" w:rsidRPr="000F4D2C">
        <w:rPr>
          <w:rFonts w:ascii="Bookman Old Style" w:hAnsi="Bookman Old Style" w:cs="Arial"/>
          <w:b w:val="0"/>
          <w:color w:val="000000"/>
          <w:spacing w:val="-4"/>
          <w:sz w:val="24"/>
          <w:szCs w:val="24"/>
        </w:rPr>
        <w:t xml:space="preserve"> La CREG ajustará el nombre del adjudicatario, en la Resolución mediante la cual hizo oficial la remuneración del proyecto, cuando este se constituya en empresa de servicios públicos. El adjudicatario no podrá percibir remuneración por el proyecto antes de constituirse como empresa de servicios públicos.</w:t>
      </w:r>
      <w:r w:rsidR="00CF5EFC" w:rsidRPr="000F4D2C">
        <w:rPr>
          <w:rFonts w:ascii="Bookman Old Style" w:hAnsi="Bookman Old Style"/>
          <w:spacing w:val="-2"/>
          <w:sz w:val="24"/>
          <w:szCs w:val="24"/>
        </w:rPr>
        <w:t xml:space="preserve"> </w:t>
      </w:r>
    </w:p>
    <w:p w14:paraId="45CB6640" w14:textId="7F4CA462" w:rsidR="00CF5EFC" w:rsidRPr="000F4D2C" w:rsidRDefault="00CF5EFC" w:rsidP="00CF5EFC">
      <w:pPr>
        <w:pStyle w:val="Estilo5"/>
        <w:widowControl w:val="0"/>
        <w:numPr>
          <w:ilvl w:val="0"/>
          <w:numId w:val="10"/>
        </w:numPr>
        <w:tabs>
          <w:tab w:val="left" w:pos="0"/>
          <w:tab w:val="left" w:pos="1560"/>
        </w:tabs>
        <w:rPr>
          <w:rFonts w:ascii="Bookman Old Style" w:hAnsi="Bookman Old Style" w:cs="Arial"/>
          <w:b w:val="0"/>
          <w:color w:val="000000"/>
          <w:spacing w:val="-4"/>
          <w:sz w:val="24"/>
          <w:szCs w:val="24"/>
        </w:rPr>
      </w:pPr>
      <w:bookmarkStart w:id="9" w:name="_Ref461718005"/>
      <w:bookmarkStart w:id="10" w:name="_Ref443470620"/>
      <w:r w:rsidRPr="005F14F2">
        <w:rPr>
          <w:rFonts w:ascii="Bookman Old Style" w:hAnsi="Bookman Old Style" w:cs="Arial"/>
          <w:color w:val="000000"/>
          <w:spacing w:val="-4"/>
          <w:sz w:val="24"/>
          <w:szCs w:val="24"/>
        </w:rPr>
        <w:lastRenderedPageBreak/>
        <w:t xml:space="preserve">Proceso de pago de los transportadores a los adjudicatarios de proyectos </w:t>
      </w:r>
      <w:r>
        <w:rPr>
          <w:rFonts w:ascii="Bookman Old Style" w:hAnsi="Bookman Old Style" w:cs="Arial"/>
          <w:color w:val="000000"/>
          <w:spacing w:val="-4"/>
          <w:sz w:val="24"/>
          <w:szCs w:val="24"/>
        </w:rPr>
        <w:t>PAGN</w:t>
      </w:r>
      <w:r w:rsidRPr="005F14F2">
        <w:rPr>
          <w:rFonts w:ascii="Bookman Old Style" w:hAnsi="Bookman Old Style" w:cs="Arial"/>
          <w:color w:val="000000"/>
          <w:spacing w:val="-4"/>
          <w:sz w:val="24"/>
          <w:szCs w:val="24"/>
        </w:rPr>
        <w:t xml:space="preserve"> o transportadores incumbentes que desarrollen proyectos </w:t>
      </w:r>
      <w:r w:rsidR="0052746C">
        <w:rPr>
          <w:rFonts w:ascii="Bookman Old Style" w:hAnsi="Bookman Old Style" w:cs="Arial"/>
          <w:color w:val="000000"/>
          <w:spacing w:val="-4"/>
          <w:sz w:val="24"/>
          <w:szCs w:val="24"/>
        </w:rPr>
        <w:t>IPAT</w:t>
      </w:r>
      <w:r w:rsidRPr="005F14F2">
        <w:rPr>
          <w:rFonts w:ascii="Bookman Old Style" w:hAnsi="Bookman Old Style" w:cs="Arial"/>
          <w:color w:val="000000"/>
          <w:spacing w:val="-4"/>
          <w:sz w:val="24"/>
          <w:szCs w:val="24"/>
        </w:rPr>
        <w:t>.</w:t>
      </w:r>
      <w:r>
        <w:rPr>
          <w:rFonts w:ascii="Bookman Old Style" w:hAnsi="Bookman Old Style" w:cs="Arial"/>
          <w:color w:val="000000"/>
          <w:spacing w:val="-4"/>
          <w:sz w:val="24"/>
          <w:szCs w:val="24"/>
        </w:rPr>
        <w:t xml:space="preserve"> </w:t>
      </w:r>
      <w:r w:rsidRPr="000F4D2C">
        <w:rPr>
          <w:rFonts w:ascii="Bookman Old Style" w:hAnsi="Bookman Old Style" w:cs="Arial"/>
          <w:b w:val="0"/>
          <w:color w:val="000000"/>
          <w:spacing w:val="-4"/>
          <w:sz w:val="24"/>
          <w:szCs w:val="24"/>
        </w:rPr>
        <w:t>Para los proyectos del Plan de Abastecimiento de Gas Natural adjudicados mediante procesos de selección, y para los proyectos IPAT ejecutados por los transportadores incumbentes, serán los transportadores responsables de los sistemas de transporte que sean utilizados por los beneficiarios de los proyectos, los responsables de liquidar, actualizar, facturar y recaudar el valor de los pagos de los beneficiarios, y transferirlos al adjudicatario.</w:t>
      </w:r>
    </w:p>
    <w:p w14:paraId="271E82B0" w14:textId="77777777" w:rsidR="00CF5EFC" w:rsidRPr="000F4D2C" w:rsidRDefault="00CF5EFC" w:rsidP="00CF5EFC">
      <w:pPr>
        <w:pStyle w:val="Estilo5"/>
        <w:widowControl w:val="0"/>
        <w:numPr>
          <w:ilvl w:val="0"/>
          <w:numId w:val="0"/>
        </w:numPr>
        <w:tabs>
          <w:tab w:val="left" w:pos="0"/>
          <w:tab w:val="left" w:pos="1560"/>
        </w:tabs>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Teniendo en cuenta lo dispuesto en el inciso final del Artículo 2.2.2.2.29 del Decreto 1073 de 2015, los pagos a los que están obligados los beneficiarios por concepto de los proyectos de los planes de abastecimiento de gas natural, son parte de los pagos por la prestación del servicio de transporte de gas natural.</w:t>
      </w:r>
    </w:p>
    <w:p w14:paraId="588860D2" w14:textId="41E7BAF0" w:rsidR="00CF5EFC" w:rsidRPr="000F4D2C" w:rsidRDefault="00CF5EFC" w:rsidP="00CF5EFC">
      <w:pPr>
        <w:pStyle w:val="Estilo5"/>
        <w:widowControl w:val="0"/>
        <w:numPr>
          <w:ilvl w:val="0"/>
          <w:numId w:val="0"/>
        </w:numPr>
        <w:tabs>
          <w:tab w:val="left" w:pos="0"/>
          <w:tab w:val="left" w:pos="1560"/>
        </w:tabs>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El valor a facturar a los transportadores </w:t>
      </w:r>
      <w:r w:rsidR="00D93296" w:rsidRPr="000F4D2C">
        <w:rPr>
          <w:rFonts w:ascii="Bookman Old Style" w:hAnsi="Bookman Old Style" w:cs="Arial"/>
          <w:bCs/>
          <w:color w:val="000000"/>
          <w:spacing w:val="-4"/>
          <w:sz w:val="24"/>
          <w:szCs w:val="24"/>
          <w:u w:val="single"/>
        </w:rPr>
        <w:t xml:space="preserve">de los demás sistemas de transporte </w:t>
      </w:r>
      <w:r w:rsidRPr="000F4D2C">
        <w:rPr>
          <w:rFonts w:ascii="Bookman Old Style" w:hAnsi="Bookman Old Style" w:cs="Arial"/>
          <w:b w:val="0"/>
          <w:color w:val="000000"/>
          <w:spacing w:val="-4"/>
          <w:sz w:val="24"/>
          <w:szCs w:val="24"/>
        </w:rPr>
        <w:t>y el cobro a los beneficiarios se hará conforme a lo siguiente:</w:t>
      </w:r>
    </w:p>
    <w:p w14:paraId="02F72BB0" w14:textId="77777777"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Preparación de la información:</w:t>
      </w:r>
    </w:p>
    <w:p w14:paraId="5F53B8C8" w14:textId="77777777" w:rsidR="00CF5EFC" w:rsidRPr="000F4D2C" w:rsidRDefault="00CF5EFC" w:rsidP="00CF5EFC">
      <w:pPr>
        <w:pStyle w:val="Estilo5"/>
        <w:widowControl w:val="0"/>
        <w:numPr>
          <w:ilvl w:val="0"/>
          <w:numId w:val="0"/>
        </w:numPr>
        <w:ind w:left="567" w:hanging="283"/>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i. Seis (6) meses antes de la FPO o la fecha anticipada de entrada en operación (total o parcial), se utilizará la información más actualizada publicada por la UPME sobre la identificación de la demanda atendible de los beneficiarios por el respectivo proyecto PAGN.</w:t>
      </w:r>
    </w:p>
    <w:p w14:paraId="29E4B331" w14:textId="3A4B5124" w:rsidR="00CF5EFC" w:rsidRPr="000F4D2C" w:rsidRDefault="00CF5EFC" w:rsidP="00CF5EFC">
      <w:pPr>
        <w:pStyle w:val="Estilo5"/>
        <w:widowControl w:val="0"/>
        <w:numPr>
          <w:ilvl w:val="0"/>
          <w:numId w:val="0"/>
        </w:numPr>
        <w:ind w:left="567" w:hanging="283"/>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ii. Cada transportador</w:t>
      </w:r>
      <w:r w:rsidR="000F3704" w:rsidRPr="000F4D2C">
        <w:rPr>
          <w:rFonts w:ascii="Bookman Old Style" w:hAnsi="Bookman Old Style" w:cs="Arial"/>
          <w:bCs/>
          <w:color w:val="000000"/>
          <w:spacing w:val="-4"/>
          <w:sz w:val="24"/>
          <w:szCs w:val="24"/>
          <w:u w:val="single"/>
        </w:rPr>
        <w:t>, incluido el adjudicatario o el transportador incumbente que ejecuta en primera instancia proyectos IPAT,</w:t>
      </w:r>
      <w:r w:rsidR="000F3704" w:rsidRPr="000F3704">
        <w:rPr>
          <w:rFonts w:ascii="Bookman Old Style" w:hAnsi="Bookman Old Style" w:cs="Arial"/>
          <w:b w:val="0"/>
          <w:color w:val="000000"/>
          <w:spacing w:val="-4"/>
          <w:sz w:val="24"/>
          <w:szCs w:val="24"/>
        </w:rPr>
        <w:t xml:space="preserve"> </w:t>
      </w:r>
      <w:r w:rsidRPr="000F4D2C">
        <w:rPr>
          <w:rFonts w:ascii="Bookman Old Style" w:hAnsi="Bookman Old Style" w:cs="Arial"/>
          <w:b w:val="0"/>
          <w:color w:val="000000"/>
          <w:spacing w:val="-4"/>
          <w:sz w:val="24"/>
          <w:szCs w:val="24"/>
        </w:rPr>
        <w:t>calculará la demanda atendible por el proyecto PAGN, con la información obtenida por medio del numeral i. anterior, en cada nodo publicado por la UPME. Cuando la UPME requiera agregar en un nodo la demanda de varios beneficiarios del proyecto PAGN que estén conectados a lo largo de un tramo troncal, deberá indicar a qué nodo la asignó.</w:t>
      </w:r>
    </w:p>
    <w:p w14:paraId="45BB23CF" w14:textId="75A66006" w:rsidR="00CF5EFC" w:rsidRPr="000F4D2C" w:rsidRDefault="00CF5EFC" w:rsidP="00CF5EFC">
      <w:pPr>
        <w:pStyle w:val="Estilo5"/>
        <w:widowControl w:val="0"/>
        <w:numPr>
          <w:ilvl w:val="0"/>
          <w:numId w:val="0"/>
        </w:numPr>
        <w:ind w:left="567" w:hanging="283"/>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iii. Con la información de los numerales i. y ii. anteriores,</w:t>
      </w:r>
      <w:r w:rsidRPr="000F4D2C">
        <w:rPr>
          <w:rFonts w:ascii="Bookman Old Style" w:hAnsi="Bookman Old Style" w:cs="Arial"/>
          <w:bCs/>
          <w:color w:val="000000"/>
          <w:spacing w:val="-4"/>
          <w:sz w:val="24"/>
          <w:szCs w:val="24"/>
          <w:u w:val="single"/>
        </w:rPr>
        <w:t xml:space="preserve"> </w:t>
      </w:r>
      <w:r w:rsidR="00037167" w:rsidRPr="000F4D2C">
        <w:rPr>
          <w:rFonts w:ascii="Bookman Old Style" w:hAnsi="Bookman Old Style" w:cs="Arial"/>
          <w:bCs/>
          <w:color w:val="000000"/>
          <w:spacing w:val="-4"/>
          <w:sz w:val="24"/>
          <w:szCs w:val="24"/>
          <w:u w:val="single"/>
        </w:rPr>
        <w:t>cada</w:t>
      </w:r>
      <w:r w:rsidRPr="000F4D2C">
        <w:rPr>
          <w:rFonts w:ascii="Bookman Old Style" w:hAnsi="Bookman Old Style" w:cs="Arial"/>
          <w:b w:val="0"/>
          <w:color w:val="000000"/>
          <w:spacing w:val="-4"/>
          <w:sz w:val="24"/>
          <w:szCs w:val="24"/>
        </w:rPr>
        <w:t xml:space="preserve"> transportador</w:t>
      </w:r>
      <w:r w:rsidR="000F3704" w:rsidRPr="0020151F">
        <w:rPr>
          <w:rFonts w:ascii="Bookman Old Style" w:hAnsi="Bookman Old Style" w:cs="Arial"/>
          <w:bCs/>
          <w:color w:val="000000"/>
          <w:spacing w:val="-4"/>
          <w:sz w:val="24"/>
          <w:szCs w:val="24"/>
          <w:u w:val="single"/>
        </w:rPr>
        <w:t>, incluido el adjudicatario o el transportador incumbente que ejecuta en primera instancia proyectos IPAT,</w:t>
      </w:r>
      <w:r w:rsidR="000F3704" w:rsidRPr="000F3704">
        <w:rPr>
          <w:rFonts w:ascii="Bookman Old Style" w:hAnsi="Bookman Old Style" w:cs="Arial"/>
          <w:b w:val="0"/>
          <w:color w:val="000000"/>
          <w:spacing w:val="-4"/>
          <w:sz w:val="24"/>
          <w:szCs w:val="24"/>
        </w:rPr>
        <w:t xml:space="preserve"> </w:t>
      </w:r>
      <w:r w:rsidRPr="000F4D2C">
        <w:rPr>
          <w:rFonts w:ascii="Bookman Old Style" w:hAnsi="Bookman Old Style" w:cs="Arial"/>
          <w:b w:val="0"/>
          <w:color w:val="000000"/>
          <w:spacing w:val="-4"/>
          <w:sz w:val="24"/>
          <w:szCs w:val="24"/>
        </w:rPr>
        <w:t>determinará el porcentaje de participación de cobro a los beneficiarios, PPUPME, como el cociente de la demanda proyectada atendible en el nodo del SNT, sobre el total de la demanda proyectada atendible por el respectivo proyecto PAGN.</w:t>
      </w:r>
      <w:r w:rsidR="00A11503">
        <w:rPr>
          <w:rFonts w:ascii="Bookman Old Style" w:hAnsi="Bookman Old Style" w:cs="Arial"/>
          <w:b w:val="0"/>
          <w:color w:val="000000"/>
          <w:spacing w:val="-4"/>
          <w:sz w:val="24"/>
          <w:szCs w:val="24"/>
        </w:rPr>
        <w:t xml:space="preserve"> </w:t>
      </w:r>
      <w:r w:rsidR="00A11503" w:rsidRPr="000F4D2C">
        <w:rPr>
          <w:rFonts w:ascii="Bookman Old Style" w:hAnsi="Bookman Old Style" w:cs="Arial"/>
          <w:bCs/>
          <w:color w:val="000000"/>
          <w:spacing w:val="-4"/>
          <w:sz w:val="24"/>
          <w:szCs w:val="24"/>
          <w:u w:val="single"/>
        </w:rPr>
        <w:t xml:space="preserve">En el caso de que para un nodo se terminen los contratos de transporte de ese nodo, las cantidades proyectadas por la UPME </w:t>
      </w:r>
      <w:r w:rsidR="00B23BB8">
        <w:rPr>
          <w:rFonts w:ascii="Bookman Old Style" w:hAnsi="Bookman Old Style" w:cs="Arial"/>
          <w:bCs/>
          <w:color w:val="000000"/>
          <w:spacing w:val="-4"/>
          <w:sz w:val="24"/>
          <w:szCs w:val="24"/>
          <w:u w:val="single"/>
        </w:rPr>
        <w:t>para</w:t>
      </w:r>
      <w:r w:rsidR="00A11503" w:rsidRPr="000F4D2C">
        <w:rPr>
          <w:rFonts w:ascii="Bookman Old Style" w:hAnsi="Bookman Old Style" w:cs="Arial"/>
          <w:bCs/>
          <w:color w:val="000000"/>
          <w:spacing w:val="-4"/>
          <w:sz w:val="24"/>
          <w:szCs w:val="24"/>
          <w:u w:val="single"/>
        </w:rPr>
        <w:t xml:space="preserve"> ese nodo deberán ser retiradas del cálculo por el transportador que atiende dichos contratos y se recalcularán los porcentajes de participación de cada nodo, entre los nodos que permanecen</w:t>
      </w:r>
      <w:r w:rsidR="00B23BB8">
        <w:rPr>
          <w:rFonts w:ascii="Bookman Old Style" w:hAnsi="Bookman Old Style" w:cs="Arial"/>
          <w:bCs/>
          <w:color w:val="000000"/>
          <w:spacing w:val="-4"/>
          <w:sz w:val="24"/>
          <w:szCs w:val="24"/>
          <w:u w:val="single"/>
        </w:rPr>
        <w:t xml:space="preserve"> </w:t>
      </w:r>
      <w:r w:rsidR="00EA0691">
        <w:rPr>
          <w:rFonts w:ascii="Bookman Old Style" w:hAnsi="Bookman Old Style" w:cs="Arial"/>
          <w:bCs/>
          <w:color w:val="000000"/>
          <w:spacing w:val="-4"/>
          <w:sz w:val="24"/>
          <w:szCs w:val="24"/>
          <w:u w:val="single"/>
        </w:rPr>
        <w:t>a partir de</w:t>
      </w:r>
      <w:r w:rsidR="00B23BB8">
        <w:rPr>
          <w:rFonts w:ascii="Bookman Old Style" w:hAnsi="Bookman Old Style" w:cs="Arial"/>
          <w:bCs/>
          <w:color w:val="000000"/>
          <w:spacing w:val="-4"/>
          <w:sz w:val="24"/>
          <w:szCs w:val="24"/>
          <w:u w:val="single"/>
        </w:rPr>
        <w:t xml:space="preserve"> las cantidades proyectadas p</w:t>
      </w:r>
      <w:r w:rsidR="00C86A17">
        <w:rPr>
          <w:rFonts w:ascii="Bookman Old Style" w:hAnsi="Bookman Old Style" w:cs="Arial"/>
          <w:bCs/>
          <w:color w:val="000000"/>
          <w:spacing w:val="-4"/>
          <w:sz w:val="24"/>
          <w:szCs w:val="24"/>
          <w:u w:val="single"/>
        </w:rPr>
        <w:t>or la UPME</w:t>
      </w:r>
      <w:r w:rsidR="00A11503" w:rsidRPr="00A11503">
        <w:rPr>
          <w:rFonts w:ascii="Bookman Old Style" w:hAnsi="Bookman Old Style" w:cs="Arial"/>
          <w:b w:val="0"/>
          <w:color w:val="000000"/>
          <w:spacing w:val="-4"/>
          <w:sz w:val="24"/>
          <w:szCs w:val="24"/>
        </w:rPr>
        <w:t>.</w:t>
      </w:r>
    </w:p>
    <w:p w14:paraId="3759A134" w14:textId="0ABEAC9C" w:rsidR="00CF5EFC" w:rsidRPr="000F4D2C" w:rsidRDefault="00CF5EFC" w:rsidP="00CF5EFC">
      <w:pPr>
        <w:pStyle w:val="Estilo5"/>
        <w:widowControl w:val="0"/>
        <w:numPr>
          <w:ilvl w:val="0"/>
          <w:numId w:val="0"/>
        </w:numPr>
        <w:ind w:left="567" w:hanging="283"/>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iv. Cada transportador</w:t>
      </w:r>
      <w:r w:rsidR="000F3704" w:rsidRPr="0020151F">
        <w:rPr>
          <w:rFonts w:ascii="Bookman Old Style" w:hAnsi="Bookman Old Style" w:cs="Arial"/>
          <w:bCs/>
          <w:color w:val="000000"/>
          <w:spacing w:val="-4"/>
          <w:sz w:val="24"/>
          <w:szCs w:val="24"/>
          <w:u w:val="single"/>
        </w:rPr>
        <w:t>, incluido el adjudicatario o el transportador incumbente que ejecuta en primera instancia proyectos IPAT,</w:t>
      </w:r>
      <w:r w:rsidR="000F3704" w:rsidRPr="000F3704">
        <w:rPr>
          <w:rFonts w:ascii="Bookman Old Style" w:hAnsi="Bookman Old Style" w:cs="Arial"/>
          <w:b w:val="0"/>
          <w:color w:val="000000"/>
          <w:spacing w:val="-4"/>
          <w:sz w:val="24"/>
          <w:szCs w:val="24"/>
        </w:rPr>
        <w:t xml:space="preserve"> </w:t>
      </w:r>
      <w:r w:rsidRPr="000F4D2C">
        <w:rPr>
          <w:rFonts w:ascii="Bookman Old Style" w:hAnsi="Bookman Old Style" w:cs="Arial"/>
          <w:b w:val="0"/>
          <w:color w:val="000000"/>
          <w:spacing w:val="-4"/>
          <w:sz w:val="24"/>
          <w:szCs w:val="24"/>
        </w:rPr>
        <w:t>deberá determinar el porcentaje total que le corresponde recaudar, como la suma de los porcentajes individuales PP</w:t>
      </w:r>
      <w:r w:rsidRPr="000F4D2C">
        <w:rPr>
          <w:rFonts w:ascii="Bookman Old Style" w:hAnsi="Bookman Old Style" w:cs="Arial"/>
          <w:b w:val="0"/>
          <w:color w:val="000000"/>
          <w:spacing w:val="-4"/>
          <w:sz w:val="24"/>
          <w:szCs w:val="24"/>
          <w:vertAlign w:val="subscript"/>
        </w:rPr>
        <w:t>UPME</w:t>
      </w:r>
      <w:r w:rsidRPr="000F4D2C">
        <w:rPr>
          <w:rFonts w:ascii="Bookman Old Style" w:hAnsi="Bookman Old Style" w:cs="Arial"/>
          <w:b w:val="0"/>
          <w:color w:val="000000"/>
          <w:spacing w:val="-4"/>
          <w:sz w:val="24"/>
          <w:szCs w:val="24"/>
        </w:rPr>
        <w:t xml:space="preserve"> de los nodos publicados por la UPME en su sistema de transporte, el cual deberá informar al adjudicatario o al </w:t>
      </w:r>
      <w:r w:rsidRPr="000F4D2C">
        <w:rPr>
          <w:rFonts w:ascii="Bookman Old Style" w:hAnsi="Bookman Old Style" w:cs="Arial"/>
          <w:b w:val="0"/>
          <w:color w:val="000000"/>
          <w:spacing w:val="-4"/>
          <w:sz w:val="24"/>
          <w:szCs w:val="24"/>
        </w:rPr>
        <w:lastRenderedPageBreak/>
        <w:t>transportador incumbente que desarrolla proyectos IPAT, para que éste determine el valor que le corresponde recaudar a cada sistema de transporte.</w:t>
      </w:r>
    </w:p>
    <w:p w14:paraId="048A1C0A" w14:textId="4FF09BD6" w:rsidR="00CF5EFC" w:rsidRPr="000F4D2C" w:rsidRDefault="00CF5EFC" w:rsidP="00CF5EFC">
      <w:pPr>
        <w:pStyle w:val="Estilo5"/>
        <w:widowControl w:val="0"/>
        <w:numPr>
          <w:ilvl w:val="0"/>
          <w:numId w:val="0"/>
        </w:numPr>
        <w:ind w:left="567" w:hanging="283"/>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v. Los beneficiarios que serán objeto de recaudo por los transportadores</w:t>
      </w:r>
      <w:r w:rsidR="004E0CE8" w:rsidRPr="0020151F">
        <w:rPr>
          <w:rFonts w:ascii="Bookman Old Style" w:hAnsi="Bookman Old Style" w:cs="Arial"/>
          <w:bCs/>
          <w:color w:val="000000"/>
          <w:spacing w:val="-4"/>
          <w:sz w:val="24"/>
          <w:szCs w:val="24"/>
          <w:u w:val="single"/>
        </w:rPr>
        <w:t>, incluido el adjudicatario o el transportador incumbente que ejecuta en primera instancia proyectos IPAT,</w:t>
      </w:r>
      <w:r w:rsidR="004E0CE8" w:rsidRPr="000F3704">
        <w:rPr>
          <w:rFonts w:ascii="Bookman Old Style" w:hAnsi="Bookman Old Style" w:cs="Arial"/>
          <w:b w:val="0"/>
          <w:color w:val="000000"/>
          <w:spacing w:val="-4"/>
          <w:sz w:val="24"/>
          <w:szCs w:val="24"/>
        </w:rPr>
        <w:t xml:space="preserve"> </w:t>
      </w:r>
      <w:r w:rsidRPr="000F4D2C">
        <w:rPr>
          <w:rFonts w:ascii="Bookman Old Style" w:hAnsi="Bookman Old Style" w:cs="Arial"/>
          <w:b w:val="0"/>
          <w:color w:val="000000"/>
          <w:spacing w:val="-4"/>
          <w:sz w:val="24"/>
          <w:szCs w:val="24"/>
        </w:rPr>
        <w:t>serán los asociados a los contratos del mercado primario vigentes en el mes correspondiente, para cada nodo publicado por la UPME, de acuerdo con lo establecido en el ANEXO 4 de la presente Resolución.</w:t>
      </w:r>
    </w:p>
    <w:p w14:paraId="41625E6F" w14:textId="77777777"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El ingreso mensual a pagar al adjudicatario, se obtiene mensualizando al dividir entre doce (12) el valor de IAE.</w:t>
      </w:r>
    </w:p>
    <w:p w14:paraId="75CDA801" w14:textId="4674D6AB" w:rsidR="00CF5EFC" w:rsidRPr="000F4D2C" w:rsidRDefault="00CF5EFC" w:rsidP="00CF5EFC">
      <w:pPr>
        <w:pStyle w:val="Estilo5"/>
        <w:widowControl w:val="0"/>
        <w:numPr>
          <w:ilvl w:val="0"/>
          <w:numId w:val="0"/>
        </w:numPr>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En el caso de la remuneración de los procesos de selección que no correspondan a IPAT, los valores en dólares se actualizarán mensualmente con la variación del CPI del mes anterior al mes de prestación del servicio, respecto del CPI del mes de diciembre que sirvió de referencia para ofertar los valores del </w:t>
      </w:r>
      <w:r w:rsidR="006A4763">
        <w:rPr>
          <w:rFonts w:ascii="Bookman Old Style" w:hAnsi="Bookman Old Style" w:cs="Arial"/>
          <w:b w:val="0"/>
          <w:color w:val="000000"/>
          <w:spacing w:val="-4"/>
          <w:sz w:val="24"/>
          <w:szCs w:val="24"/>
        </w:rPr>
        <w:t xml:space="preserve">IAE </w:t>
      </w:r>
      <w:r w:rsidR="006A4763" w:rsidRPr="006A4763">
        <w:rPr>
          <w:rFonts w:ascii="Bookman Old Style" w:hAnsi="Bookman Old Style" w:cs="Arial"/>
          <w:bCs/>
          <w:color w:val="000000"/>
          <w:spacing w:val="-4"/>
          <w:sz w:val="24"/>
          <w:szCs w:val="24"/>
          <w:u w:val="single"/>
        </w:rPr>
        <w:t>INVERSIÓN</w:t>
      </w:r>
      <w:r w:rsidRPr="000F4D2C">
        <w:rPr>
          <w:rFonts w:ascii="Bookman Old Style" w:hAnsi="Bookman Old Style" w:cs="Arial"/>
          <w:b w:val="0"/>
          <w:color w:val="000000"/>
          <w:spacing w:val="-4"/>
          <w:sz w:val="24"/>
          <w:szCs w:val="24"/>
        </w:rPr>
        <w:t>, y se liquidará con la TRM del último día calendario del mes de prestación del servicio.</w:t>
      </w:r>
    </w:p>
    <w:p w14:paraId="6DB32CD7" w14:textId="77777777" w:rsidR="00CF5EFC" w:rsidRPr="000F4D2C" w:rsidRDefault="00CF5EFC" w:rsidP="00CF5EFC">
      <w:pPr>
        <w:pStyle w:val="Estilo5"/>
        <w:widowControl w:val="0"/>
        <w:numPr>
          <w:ilvl w:val="0"/>
          <w:numId w:val="0"/>
        </w:numPr>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Los valores en pesos se actualizarán mensualmente con la variación del IPC del mes anterior al mes de prestación del servicio, respecto del IPC del mes de diciembre que sirvió de referencia para ofertar los valores del .</w:t>
      </w:r>
    </w:p>
    <w:p w14:paraId="0DCC2553" w14:textId="77777777" w:rsidR="00CF5EFC" w:rsidRPr="000F4D2C" w:rsidRDefault="00CF5EFC" w:rsidP="00CF5EFC">
      <w:pPr>
        <w:pStyle w:val="Estilo5"/>
        <w:widowControl w:val="0"/>
        <w:numPr>
          <w:ilvl w:val="0"/>
          <w:numId w:val="0"/>
        </w:numPr>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Los valores en pesos de los proyectos IPAT desarrollados por el transportador incumbente se actualizarán mensualmente conforme lo indique la metodología de transporte de gas natural vigente.</w:t>
      </w:r>
    </w:p>
    <w:p w14:paraId="6BC0A64F" w14:textId="77777777"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Para la facturación, liquidación y pago del primer mes de ingresos, se tomará en cuenta el primer mes calendario completo de prestación del servicio, con base en la certificación del auditor del proyecto, de acuerdo con lo establecido en el literal c) del Artículo 24 de la presente resolución. En consecuencia, no se reconocerá facturación por fracción de mes.</w:t>
      </w:r>
    </w:p>
    <w:p w14:paraId="58B917A3" w14:textId="77777777"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El IMT se empezará a pagar al adjudicatario o al transportador incumbente que ejecuta proyectos IPAT, según sea el caso, en el mes siguiente al primer mes calendario completo de prestación del servicio</w:t>
      </w:r>
    </w:p>
    <w:p w14:paraId="4FCCBAA1" w14:textId="77777777"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Para los pagos mensuales a cargo de los transportadores, se descontarán del IMT las compensaciones por indisponibilidad a que haya lugar según lo establecido en el Artículo 18 de la presente Resolución, los ingresos de corto plazo del proyecto, y los ingresos de servicios adicionales establecidos en el parágrafo del Artículo 33 de la presente resolución.</w:t>
      </w:r>
      <w:bookmarkEnd w:id="9"/>
    </w:p>
    <w:p w14:paraId="7C209A56" w14:textId="70CA107F"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El adjudicatario o el transportador incumbente que ejecute proyectos IPAT deberá facturar mensualmente a los transportadores</w:t>
      </w:r>
      <w:r w:rsidR="00305723">
        <w:rPr>
          <w:rFonts w:ascii="Bookman Old Style" w:hAnsi="Bookman Old Style" w:cs="Arial"/>
          <w:b w:val="0"/>
          <w:color w:val="000000"/>
          <w:spacing w:val="-4"/>
          <w:sz w:val="24"/>
          <w:szCs w:val="24"/>
        </w:rPr>
        <w:t xml:space="preserve"> </w:t>
      </w:r>
      <w:r w:rsidR="00305723" w:rsidRPr="000F4D2C">
        <w:rPr>
          <w:rFonts w:ascii="Bookman Old Style" w:hAnsi="Bookman Old Style" w:cs="Arial"/>
          <w:bCs/>
          <w:color w:val="000000"/>
          <w:spacing w:val="-4"/>
          <w:sz w:val="24"/>
          <w:szCs w:val="24"/>
          <w:u w:val="single"/>
        </w:rPr>
        <w:t>de los demás sistemas de transporte que atienden beneficiarios del proyecto</w:t>
      </w:r>
      <w:r w:rsidRPr="000F4D2C">
        <w:rPr>
          <w:rFonts w:ascii="Bookman Old Style" w:hAnsi="Bookman Old Style" w:cs="Arial"/>
          <w:b w:val="0"/>
          <w:color w:val="000000"/>
          <w:spacing w:val="-4"/>
          <w:sz w:val="24"/>
          <w:szCs w:val="24"/>
        </w:rPr>
        <w:t>, dentro los primeros tres (3) días hábiles del mes siguiente (m+1) al mes de prestación del servicio (m).</w:t>
      </w:r>
    </w:p>
    <w:p w14:paraId="09CDCC02" w14:textId="0E943A9F" w:rsidR="00CF5EFC" w:rsidRPr="000F4D2C" w:rsidRDefault="00CF5EFC" w:rsidP="00CF5EFC">
      <w:pPr>
        <w:pStyle w:val="Estilo5"/>
        <w:widowControl w:val="0"/>
        <w:numPr>
          <w:ilvl w:val="0"/>
          <w:numId w:val="0"/>
        </w:numPr>
        <w:ind w:left="360"/>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En la factura de cobro del adjudicatario o del transportador incumbente que </w:t>
      </w:r>
      <w:r w:rsidRPr="000F4D2C">
        <w:rPr>
          <w:rFonts w:ascii="Bookman Old Style" w:hAnsi="Bookman Old Style" w:cs="Arial"/>
          <w:b w:val="0"/>
          <w:color w:val="000000"/>
          <w:spacing w:val="-4"/>
          <w:sz w:val="24"/>
          <w:szCs w:val="24"/>
        </w:rPr>
        <w:lastRenderedPageBreak/>
        <w:t xml:space="preserve">ejecute proyectos IPAT a los transportadores </w:t>
      </w:r>
      <w:r w:rsidR="006F762D" w:rsidRPr="0020151F">
        <w:rPr>
          <w:rFonts w:ascii="Bookman Old Style" w:hAnsi="Bookman Old Style" w:cs="Arial"/>
          <w:bCs/>
          <w:color w:val="000000"/>
          <w:spacing w:val="-4"/>
          <w:sz w:val="24"/>
          <w:szCs w:val="24"/>
          <w:u w:val="single"/>
        </w:rPr>
        <w:t xml:space="preserve">de los demás sistemas de transporte </w:t>
      </w:r>
      <w:r w:rsidRPr="000F4D2C">
        <w:rPr>
          <w:rFonts w:ascii="Bookman Old Style" w:hAnsi="Bookman Old Style" w:cs="Arial"/>
          <w:b w:val="0"/>
          <w:color w:val="000000"/>
          <w:spacing w:val="-4"/>
          <w:sz w:val="24"/>
          <w:szCs w:val="24"/>
        </w:rPr>
        <w:t>responsables del recaudo a los beneficiarios, deberá incluir el valor a recaudar de los beneficiarios para el mes m correspondiente y, adicionalmente, como soporte de la factura los siguientes aspectos:</w:t>
      </w:r>
    </w:p>
    <w:p w14:paraId="37181875" w14:textId="77777777" w:rsidR="00CF5EFC" w:rsidRPr="000F4D2C" w:rsidRDefault="00CF5EFC" w:rsidP="00CF5EFC">
      <w:pPr>
        <w:pStyle w:val="Estilo5"/>
        <w:widowControl w:val="0"/>
        <w:numPr>
          <w:ilvl w:val="0"/>
          <w:numId w:val="36"/>
        </w:numPr>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El factor de indisponibilidad para el mes m obtenido de acuerdo con el literal a) del Artículo 18 de la presente Resolución.</w:t>
      </w:r>
    </w:p>
    <w:p w14:paraId="326F0F08" w14:textId="77777777" w:rsidR="00CF5EFC" w:rsidRPr="000F4D2C" w:rsidRDefault="00CF5EFC" w:rsidP="00CF5EFC">
      <w:pPr>
        <w:pStyle w:val="Estilo5"/>
        <w:widowControl w:val="0"/>
        <w:numPr>
          <w:ilvl w:val="0"/>
          <w:numId w:val="36"/>
        </w:numPr>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El valor de la compensación del mes m calculada con el factor de indisponibilidad.</w:t>
      </w:r>
    </w:p>
    <w:p w14:paraId="69A0672B" w14:textId="6B464C60" w:rsidR="00CF5EFC" w:rsidRPr="000F4D2C" w:rsidRDefault="00CF5EFC" w:rsidP="00CF5EFC">
      <w:pPr>
        <w:pStyle w:val="Estilo5"/>
        <w:widowControl w:val="0"/>
        <w:numPr>
          <w:ilvl w:val="0"/>
          <w:numId w:val="36"/>
        </w:numPr>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Los ingresos de corto plazo del proyecto que facturará el adjudicatario por el mes m de prestación del servicio y el valor del parámetro IDk,m, obtenido de acuerdo con lo previsto en la resolución CREG 1</w:t>
      </w:r>
      <w:r w:rsidR="00EF5F16">
        <w:rPr>
          <w:rFonts w:ascii="Bookman Old Style" w:hAnsi="Bookman Old Style" w:cs="Arial"/>
          <w:b w:val="0"/>
          <w:color w:val="000000"/>
          <w:spacing w:val="-4"/>
          <w:sz w:val="24"/>
          <w:szCs w:val="24"/>
        </w:rPr>
        <w:t>75 de 2021 o aquellas que la modifiquen o sustituyan</w:t>
      </w:r>
      <w:r w:rsidRPr="000F4D2C">
        <w:rPr>
          <w:rFonts w:ascii="Bookman Old Style" w:hAnsi="Bookman Old Style" w:cs="Arial"/>
          <w:b w:val="0"/>
          <w:color w:val="000000"/>
          <w:spacing w:val="-4"/>
          <w:sz w:val="24"/>
          <w:szCs w:val="24"/>
        </w:rPr>
        <w:t>.</w:t>
      </w:r>
    </w:p>
    <w:p w14:paraId="49A2BE7A" w14:textId="77777777" w:rsidR="00CF5EFC" w:rsidRPr="000F4D2C" w:rsidRDefault="00CF5EFC" w:rsidP="00CF5EFC">
      <w:pPr>
        <w:pStyle w:val="Estilo5"/>
        <w:widowControl w:val="0"/>
        <w:numPr>
          <w:ilvl w:val="0"/>
          <w:numId w:val="36"/>
        </w:numPr>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Los ingresos de servicios adicionales establecidos en el Parágrafo del Artículo 33 de la presente resolución, correspondientes al mes m de prestación del servicio.</w:t>
      </w:r>
    </w:p>
    <w:p w14:paraId="037230B5" w14:textId="77777777" w:rsidR="00CF5EFC" w:rsidRPr="000F4D2C" w:rsidRDefault="00CF5EFC" w:rsidP="00CF5EFC">
      <w:pPr>
        <w:pStyle w:val="Estilo5"/>
        <w:widowControl w:val="0"/>
        <w:numPr>
          <w:ilvl w:val="0"/>
          <w:numId w:val="0"/>
        </w:numPr>
        <w:ind w:left="360"/>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La anterior información deberá tener en cuenta el cumplimiento de lo establecido mediante la Resolución CREG 080 de 2019, o aquellas que la modifiquen, adicionen o sustituyan.</w:t>
      </w:r>
    </w:p>
    <w:p w14:paraId="4EC32FD3" w14:textId="268AF93B" w:rsidR="00CF5EFC" w:rsidRPr="000F4D2C" w:rsidRDefault="00CF5EFC" w:rsidP="00CF5EFC">
      <w:pPr>
        <w:pStyle w:val="Estilo5"/>
        <w:widowControl w:val="0"/>
        <w:numPr>
          <w:ilvl w:val="0"/>
          <w:numId w:val="0"/>
        </w:numPr>
        <w:ind w:left="360"/>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Para los numerales (ii), (iii), (iv) y (v) anteriores, el adjudicatario o el transportador incumbente que ejecute proyectos IPAT, tendrá en cuenta aplicar previamente el porcentaje que corresponda a </w:t>
      </w:r>
      <w:r w:rsidRPr="000F4D2C">
        <w:rPr>
          <w:rFonts w:ascii="Bookman Old Style" w:hAnsi="Bookman Old Style" w:cs="Arial"/>
          <w:bCs/>
          <w:color w:val="000000"/>
          <w:spacing w:val="-4"/>
          <w:sz w:val="24"/>
          <w:szCs w:val="24"/>
          <w:u w:val="single"/>
        </w:rPr>
        <w:t xml:space="preserve">cada </w:t>
      </w:r>
      <w:r w:rsidR="00F66A42" w:rsidRPr="000F4D2C">
        <w:rPr>
          <w:rFonts w:ascii="Bookman Old Style" w:hAnsi="Bookman Old Style" w:cs="Arial"/>
          <w:bCs/>
          <w:color w:val="000000"/>
          <w:spacing w:val="-4"/>
          <w:sz w:val="24"/>
          <w:szCs w:val="24"/>
          <w:u w:val="single"/>
        </w:rPr>
        <w:t>uno de los demás</w:t>
      </w:r>
      <w:r w:rsidR="00F66A42">
        <w:rPr>
          <w:rFonts w:ascii="Bookman Old Style" w:hAnsi="Bookman Old Style" w:cs="Arial"/>
          <w:b w:val="0"/>
          <w:color w:val="000000"/>
          <w:spacing w:val="-4"/>
          <w:sz w:val="24"/>
          <w:szCs w:val="24"/>
        </w:rPr>
        <w:t xml:space="preserve"> </w:t>
      </w:r>
      <w:r w:rsidRPr="000F4D2C">
        <w:rPr>
          <w:rFonts w:ascii="Bookman Old Style" w:hAnsi="Bookman Old Style" w:cs="Arial"/>
          <w:b w:val="0"/>
          <w:color w:val="000000"/>
          <w:spacing w:val="-4"/>
          <w:sz w:val="24"/>
          <w:szCs w:val="24"/>
        </w:rPr>
        <w:t>sistema</w:t>
      </w:r>
      <w:r w:rsidR="00F66A42">
        <w:rPr>
          <w:rFonts w:ascii="Bookman Old Style" w:hAnsi="Bookman Old Style" w:cs="Arial"/>
          <w:b w:val="0"/>
          <w:color w:val="000000"/>
          <w:spacing w:val="-4"/>
          <w:sz w:val="24"/>
          <w:szCs w:val="24"/>
        </w:rPr>
        <w:t>s</w:t>
      </w:r>
      <w:r w:rsidRPr="000F4D2C">
        <w:rPr>
          <w:rFonts w:ascii="Bookman Old Style" w:hAnsi="Bookman Old Style" w:cs="Arial"/>
          <w:b w:val="0"/>
          <w:color w:val="000000"/>
          <w:spacing w:val="-4"/>
          <w:sz w:val="24"/>
          <w:szCs w:val="24"/>
        </w:rPr>
        <w:t xml:space="preserve"> de transporte, de acuerdo con la información recibida de los transportadores en aplicación del numeral iv. del literal a) del presente artículo.</w:t>
      </w:r>
    </w:p>
    <w:p w14:paraId="310E819A" w14:textId="2857A075" w:rsidR="00CF5EFC" w:rsidRPr="000F4D2C" w:rsidRDefault="00CF5EFC" w:rsidP="00CF5EFC">
      <w:pPr>
        <w:pStyle w:val="Estilo5"/>
        <w:widowControl w:val="0"/>
        <w:numPr>
          <w:ilvl w:val="0"/>
          <w:numId w:val="0"/>
        </w:numPr>
        <w:ind w:left="360"/>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Para obtener el valor de los ingresos de corto plazo a informar a los transportadores</w:t>
      </w:r>
      <w:r w:rsidR="00504530">
        <w:rPr>
          <w:rFonts w:ascii="Bookman Old Style" w:hAnsi="Bookman Old Style" w:cs="Arial"/>
          <w:b w:val="0"/>
          <w:color w:val="000000"/>
          <w:spacing w:val="-4"/>
          <w:sz w:val="24"/>
          <w:szCs w:val="24"/>
        </w:rPr>
        <w:t xml:space="preserve"> </w:t>
      </w:r>
      <w:r w:rsidR="00504530" w:rsidRPr="000F4D2C">
        <w:rPr>
          <w:rFonts w:ascii="Bookman Old Style" w:hAnsi="Bookman Old Style" w:cs="Arial"/>
          <w:bCs/>
          <w:color w:val="000000"/>
          <w:spacing w:val="-4"/>
          <w:sz w:val="24"/>
          <w:szCs w:val="24"/>
          <w:u w:val="single"/>
        </w:rPr>
        <w:t>de los demás sistemas de transporte que atienden beneficiaries del proyecto</w:t>
      </w:r>
      <w:r w:rsidRPr="000F4D2C">
        <w:rPr>
          <w:rFonts w:ascii="Bookman Old Style" w:hAnsi="Bookman Old Style" w:cs="Arial"/>
          <w:b w:val="0"/>
          <w:color w:val="000000"/>
          <w:spacing w:val="-4"/>
          <w:sz w:val="24"/>
          <w:szCs w:val="24"/>
        </w:rPr>
        <w:t>, el adjudicatario deberá adicionar a los ingresos de corto plazo obtenidos, el valor de las compensaciones reconocidas a los remitentes, originadas por cualquier otro tipo de incumplimiento del contrato diferente al causado por las indisponibilidades del servicio. Para demostrar lo anterior, el adjudicatario deberá discriminar los valores compensados por indisponibilidad y los valores compensados por las demás circunstancias previstas, de acuerdo con los contratos suscritos por la prestación de los servicios asociados al proyecto.</w:t>
      </w:r>
    </w:p>
    <w:p w14:paraId="148EC385" w14:textId="12A46C97"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Los transportadores</w:t>
      </w:r>
      <w:r w:rsidR="00FD1DEA" w:rsidRPr="000F4D2C">
        <w:rPr>
          <w:rFonts w:ascii="Bookman Old Style" w:hAnsi="Bookman Old Style" w:cs="Arial"/>
          <w:bCs/>
          <w:color w:val="000000"/>
          <w:spacing w:val="-4"/>
          <w:sz w:val="24"/>
          <w:szCs w:val="24"/>
          <w:u w:val="single"/>
        </w:rPr>
        <w:t>, incluido el adjudicatario o el transportador incumbente que ejecuta en primera instancia proyectos IPAT,</w:t>
      </w:r>
      <w:r w:rsidRPr="000F4D2C">
        <w:rPr>
          <w:rFonts w:ascii="Bookman Old Style" w:hAnsi="Bookman Old Style" w:cs="Arial"/>
          <w:b w:val="0"/>
          <w:color w:val="000000"/>
          <w:spacing w:val="-4"/>
          <w:sz w:val="24"/>
          <w:szCs w:val="24"/>
        </w:rPr>
        <w:t xml:space="preserve"> liquidarán y facturarán a los beneficiarios 3 días hábiles después de recibir la factura de cobro conforme a las disposiciones de la Resolución CREG 123 de 2013, o aquella que la modifique o sustituya, los valores obtenidos de acuerdo con la aplicación de las ecuaciones establecidas en el ANEXO 4.</w:t>
      </w:r>
    </w:p>
    <w:p w14:paraId="43EF7F3C" w14:textId="5C973F4D"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Los beneficiarios tendrán cuatro (4) días hábiles para pagar el valor facturado </w:t>
      </w:r>
      <w:r w:rsidRPr="000F4D2C">
        <w:rPr>
          <w:rFonts w:ascii="Bookman Old Style" w:hAnsi="Bookman Old Style" w:cs="Arial"/>
          <w:b w:val="0"/>
          <w:color w:val="000000"/>
          <w:spacing w:val="-4"/>
          <w:sz w:val="24"/>
          <w:szCs w:val="24"/>
        </w:rPr>
        <w:lastRenderedPageBreak/>
        <w:t>por el transportador, contados a partir del recibo de la factura emitida.</w:t>
      </w:r>
    </w:p>
    <w:p w14:paraId="55F10A4B" w14:textId="0C51CAB9"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Los transportadores </w:t>
      </w:r>
      <w:r w:rsidR="00FD1DEA" w:rsidRPr="000F4D2C">
        <w:rPr>
          <w:rFonts w:ascii="Bookman Old Style" w:hAnsi="Bookman Old Style" w:cs="Arial"/>
          <w:bCs/>
          <w:color w:val="000000"/>
          <w:spacing w:val="-4"/>
          <w:sz w:val="24"/>
          <w:szCs w:val="24"/>
          <w:u w:val="single"/>
        </w:rPr>
        <w:t>de los demás sistemas de transporte</w:t>
      </w:r>
      <w:r w:rsidR="00F861E2">
        <w:rPr>
          <w:rFonts w:ascii="Bookman Old Style" w:hAnsi="Bookman Old Style" w:cs="Arial"/>
          <w:b w:val="0"/>
          <w:color w:val="000000"/>
          <w:spacing w:val="-4"/>
          <w:sz w:val="24"/>
          <w:szCs w:val="24"/>
        </w:rPr>
        <w:t xml:space="preserve"> </w:t>
      </w:r>
      <w:r w:rsidRPr="000F4D2C">
        <w:rPr>
          <w:rFonts w:ascii="Bookman Old Style" w:hAnsi="Bookman Old Style" w:cs="Arial"/>
          <w:b w:val="0"/>
          <w:color w:val="000000"/>
          <w:spacing w:val="-4"/>
          <w:sz w:val="24"/>
          <w:szCs w:val="24"/>
        </w:rPr>
        <w:t>transferirán al adjudicatario los montos recaudados de los beneficiarios, en un plazo máximo de cinco (5) días hábiles contados a partir del plazo máximo de pago establecido a los beneficiarios.</w:t>
      </w:r>
    </w:p>
    <w:p w14:paraId="1B24D5DC" w14:textId="77777777"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Los adjudicatarios no recibirán pagos por proyectos que hayan sido retirados del servicio.</w:t>
      </w:r>
    </w:p>
    <w:p w14:paraId="6F2D2100" w14:textId="77777777" w:rsidR="00CF5EFC" w:rsidRPr="000F4D2C" w:rsidRDefault="00CF5EFC" w:rsidP="00CF5EFC">
      <w:pPr>
        <w:pStyle w:val="Estilo5"/>
        <w:widowControl w:val="0"/>
        <w:numPr>
          <w:ilvl w:val="0"/>
          <w:numId w:val="0"/>
        </w:numPr>
        <w:outlineLvl w:val="9"/>
        <w:rPr>
          <w:rFonts w:ascii="Bookman Old Style" w:hAnsi="Bookman Old Style" w:cs="Arial"/>
          <w:b w:val="0"/>
          <w:color w:val="000000"/>
          <w:spacing w:val="-4"/>
          <w:sz w:val="24"/>
          <w:szCs w:val="24"/>
          <w:lang w:val="es-CO"/>
        </w:rPr>
      </w:pPr>
      <w:r w:rsidRPr="000F4D2C">
        <w:rPr>
          <w:rFonts w:ascii="Bookman Old Style" w:hAnsi="Bookman Old Style" w:cs="Arial"/>
          <w:b w:val="0"/>
          <w:color w:val="000000"/>
          <w:spacing w:val="-4"/>
          <w:sz w:val="24"/>
          <w:szCs w:val="24"/>
          <w:lang w:val="es-CO"/>
        </w:rPr>
        <w:t>Para la facturación anterior, el adjudicatario o el transportador incumbente que desarrolle proyectos IPAT, calculará la variable APAGN,m,t tal como se establece en el Anexo 4 de la presente resolución.</w:t>
      </w:r>
    </w:p>
    <w:p w14:paraId="3157F32A" w14:textId="4113D4FD" w:rsidR="00CF5EFC" w:rsidRPr="000F4D2C" w:rsidRDefault="003351B4" w:rsidP="00CF5EFC">
      <w:pPr>
        <w:pStyle w:val="Estilo5"/>
        <w:widowControl w:val="0"/>
        <w:numPr>
          <w:ilvl w:val="0"/>
          <w:numId w:val="0"/>
        </w:numPr>
        <w:outlineLvl w:val="9"/>
        <w:rPr>
          <w:rFonts w:ascii="Bookman Old Style" w:hAnsi="Bookman Old Style" w:cs="Arial"/>
          <w:b w:val="0"/>
          <w:color w:val="000000"/>
          <w:spacing w:val="-4"/>
          <w:sz w:val="24"/>
          <w:szCs w:val="24"/>
          <w:lang w:val="es-CO"/>
        </w:rPr>
      </w:pPr>
      <w:r w:rsidRPr="000F4D2C">
        <w:rPr>
          <w:rFonts w:ascii="Bookman Old Style" w:hAnsi="Bookman Old Style"/>
          <w:bCs/>
          <w:sz w:val="24"/>
          <w:szCs w:val="24"/>
        </w:rPr>
        <w:t>Parágrafo</w:t>
      </w:r>
      <w:r>
        <w:rPr>
          <w:rFonts w:ascii="Bookman Old Style" w:hAnsi="Bookman Old Style"/>
          <w:bCs/>
          <w:sz w:val="24"/>
          <w:szCs w:val="24"/>
        </w:rPr>
        <w:t xml:space="preserve"> </w:t>
      </w:r>
      <w:r w:rsidR="00CF5EFC" w:rsidRPr="000F4D2C">
        <w:rPr>
          <w:rFonts w:ascii="Bookman Old Style" w:hAnsi="Bookman Old Style" w:cs="Arial"/>
          <w:color w:val="000000"/>
          <w:spacing w:val="-4"/>
          <w:sz w:val="24"/>
          <w:szCs w:val="24"/>
          <w:lang w:val="es-CO"/>
        </w:rPr>
        <w:t>1.</w:t>
      </w:r>
      <w:r w:rsidR="00CF5EFC" w:rsidRPr="000F4D2C">
        <w:rPr>
          <w:rFonts w:ascii="Bookman Old Style" w:hAnsi="Bookman Old Style" w:cs="Arial"/>
          <w:b w:val="0"/>
          <w:color w:val="000000"/>
          <w:spacing w:val="-4"/>
          <w:sz w:val="24"/>
          <w:szCs w:val="24"/>
          <w:lang w:val="es-CO"/>
        </w:rPr>
        <w:t xml:space="preserve"> Los transportadores </w:t>
      </w:r>
      <w:r w:rsidR="00C70243" w:rsidRPr="000F4D2C">
        <w:rPr>
          <w:rFonts w:ascii="Bookman Old Style" w:hAnsi="Bookman Old Style" w:cs="Arial"/>
          <w:bCs/>
          <w:color w:val="000000"/>
          <w:spacing w:val="-4"/>
          <w:sz w:val="24"/>
          <w:szCs w:val="24"/>
          <w:u w:val="single"/>
          <w:lang w:val="es-CO"/>
        </w:rPr>
        <w:t>de los demás sistemas de transporte que atiendan beneficiarios del Proyecto</w:t>
      </w:r>
      <w:r w:rsidR="00C70243" w:rsidRPr="00C70243">
        <w:rPr>
          <w:rFonts w:ascii="Bookman Old Style" w:hAnsi="Bookman Old Style" w:cs="Arial"/>
          <w:b w:val="0"/>
          <w:color w:val="000000"/>
          <w:spacing w:val="-4"/>
          <w:sz w:val="24"/>
          <w:szCs w:val="24"/>
          <w:lang w:val="es-CO"/>
        </w:rPr>
        <w:t xml:space="preserve"> </w:t>
      </w:r>
      <w:r w:rsidR="00CF5EFC" w:rsidRPr="000F4D2C">
        <w:rPr>
          <w:rFonts w:ascii="Bookman Old Style" w:hAnsi="Bookman Old Style" w:cs="Arial"/>
          <w:b w:val="0"/>
          <w:color w:val="000000"/>
          <w:spacing w:val="-4"/>
          <w:sz w:val="24"/>
          <w:szCs w:val="24"/>
          <w:lang w:val="es-CO"/>
        </w:rPr>
        <w:t xml:space="preserve">deberán constituir una garantía bancaria de pago con vigencia anual a favor del adjudicatario o transportador incumbente que desarrolle un proyecto </w:t>
      </w:r>
      <w:r w:rsidR="00E9399E" w:rsidRPr="000F4D2C">
        <w:rPr>
          <w:rFonts w:ascii="Bookman Old Style" w:hAnsi="Bookman Old Style" w:cs="Arial"/>
          <w:color w:val="000000"/>
          <w:spacing w:val="-4"/>
          <w:sz w:val="24"/>
          <w:szCs w:val="24"/>
          <w:u w:val="single"/>
          <w:lang w:val="es-CO"/>
        </w:rPr>
        <w:t>PAGN</w:t>
      </w:r>
      <w:r w:rsidR="00CF5EFC" w:rsidRPr="000F4D2C">
        <w:rPr>
          <w:rFonts w:ascii="Bookman Old Style" w:hAnsi="Bookman Old Style" w:cs="Arial"/>
          <w:b w:val="0"/>
          <w:color w:val="000000"/>
          <w:spacing w:val="-4"/>
          <w:sz w:val="24"/>
          <w:szCs w:val="24"/>
          <w:lang w:val="es-CO"/>
        </w:rPr>
        <w:t xml:space="preserve">, por el ciento por ciento (100%) del </w:t>
      </w:r>
      <w:r w:rsidR="00E76C98" w:rsidRPr="000F4D2C">
        <w:rPr>
          <w:rFonts w:ascii="Bookman Old Style" w:hAnsi="Bookman Old Style" w:cs="Arial"/>
          <w:b w:val="0"/>
          <w:bCs/>
          <w:color w:val="000000"/>
          <w:spacing w:val="-4"/>
          <w:sz w:val="24"/>
          <w:szCs w:val="24"/>
          <w:lang w:val="es-CO"/>
        </w:rPr>
        <w:t xml:space="preserve">valor de </w:t>
      </w:r>
      <w:r w:rsidR="00272507" w:rsidRPr="000F4D2C">
        <w:rPr>
          <w:rFonts w:ascii="Bookman Old Style" w:hAnsi="Bookman Old Style" w:cs="Arial"/>
          <w:color w:val="000000"/>
          <w:spacing w:val="-4"/>
          <w:sz w:val="24"/>
          <w:szCs w:val="24"/>
          <w:u w:val="single"/>
          <w:lang w:val="es-CO"/>
        </w:rPr>
        <w:t>dos (</w:t>
      </w:r>
      <w:r w:rsidR="00E76C98" w:rsidRPr="000F4D2C">
        <w:rPr>
          <w:rFonts w:ascii="Bookman Old Style" w:hAnsi="Bookman Old Style" w:cs="Arial"/>
          <w:color w:val="000000"/>
          <w:spacing w:val="-4"/>
          <w:sz w:val="24"/>
          <w:szCs w:val="24"/>
          <w:u w:val="single"/>
          <w:lang w:val="es-CO"/>
        </w:rPr>
        <w:t>2</w:t>
      </w:r>
      <w:r w:rsidR="00272507" w:rsidRPr="000F4D2C">
        <w:rPr>
          <w:rFonts w:ascii="Bookman Old Style" w:hAnsi="Bookman Old Style" w:cs="Arial"/>
          <w:color w:val="000000"/>
          <w:spacing w:val="-4"/>
          <w:sz w:val="24"/>
          <w:szCs w:val="24"/>
          <w:u w:val="single"/>
          <w:lang w:val="es-CO"/>
        </w:rPr>
        <w:t>)</w:t>
      </w:r>
      <w:r w:rsidR="00CF5EFC" w:rsidRPr="000F4D2C">
        <w:rPr>
          <w:rFonts w:ascii="Bookman Old Style" w:hAnsi="Bookman Old Style" w:cs="Arial"/>
          <w:color w:val="000000"/>
          <w:spacing w:val="-4"/>
          <w:sz w:val="24"/>
          <w:szCs w:val="24"/>
          <w:u w:val="single"/>
          <w:lang w:val="es-CO"/>
        </w:rPr>
        <w:t xml:space="preserve"> </w:t>
      </w:r>
      <w:r w:rsidR="00CF5EFC" w:rsidRPr="000F4D2C">
        <w:rPr>
          <w:rFonts w:ascii="Bookman Old Style" w:hAnsi="Bookman Old Style" w:cs="Arial"/>
          <w:b w:val="0"/>
          <w:color w:val="000000"/>
          <w:spacing w:val="-4"/>
          <w:sz w:val="24"/>
          <w:szCs w:val="24"/>
          <w:lang w:val="es-CO"/>
        </w:rPr>
        <w:t xml:space="preserve">IMT que le corresponde a cada transportador, de acuerdo con lo establecido en el literal a) del presente artículo. La garantía deberá ser renovada anualmente </w:t>
      </w:r>
      <w:r w:rsidR="00F54E6D" w:rsidRPr="000F4D2C">
        <w:rPr>
          <w:rFonts w:ascii="Bookman Old Style" w:hAnsi="Bookman Old Style" w:cs="Arial"/>
          <w:b w:val="0"/>
          <w:bCs/>
          <w:color w:val="000000"/>
          <w:spacing w:val="-4"/>
          <w:sz w:val="24"/>
          <w:szCs w:val="24"/>
          <w:lang w:val="es-CO"/>
        </w:rPr>
        <w:t>durante todo el</w:t>
      </w:r>
      <w:r w:rsidR="00CF5EFC" w:rsidRPr="000F4D2C">
        <w:rPr>
          <w:rFonts w:ascii="Bookman Old Style" w:hAnsi="Bookman Old Style" w:cs="Arial"/>
          <w:b w:val="0"/>
          <w:color w:val="000000"/>
          <w:spacing w:val="-4"/>
          <w:sz w:val="24"/>
          <w:szCs w:val="24"/>
          <w:lang w:val="es-CO"/>
        </w:rPr>
        <w:t xml:space="preserve"> PEP</w:t>
      </w:r>
      <w:r w:rsidR="00272507">
        <w:rPr>
          <w:rFonts w:ascii="Bookman Old Style" w:hAnsi="Bookman Old Style" w:cs="Arial"/>
          <w:b w:val="0"/>
          <w:color w:val="000000"/>
          <w:spacing w:val="-4"/>
          <w:sz w:val="24"/>
          <w:szCs w:val="24"/>
          <w:lang w:val="es-CO"/>
        </w:rPr>
        <w:t xml:space="preserve"> </w:t>
      </w:r>
      <w:r w:rsidR="00272507" w:rsidRPr="000F4D2C">
        <w:rPr>
          <w:rFonts w:ascii="Bookman Old Style" w:hAnsi="Bookman Old Style" w:cs="Arial"/>
          <w:bCs/>
          <w:color w:val="000000"/>
          <w:spacing w:val="-4"/>
          <w:sz w:val="24"/>
          <w:szCs w:val="24"/>
          <w:u w:val="single"/>
          <w:lang w:val="es-CO"/>
        </w:rPr>
        <w:t>antes de finalizar cada año del PEP</w:t>
      </w:r>
      <w:r w:rsidR="00CF5EFC" w:rsidRPr="000F4D2C">
        <w:rPr>
          <w:rFonts w:ascii="Bookman Old Style" w:hAnsi="Bookman Old Style" w:cs="Arial"/>
          <w:b w:val="0"/>
          <w:color w:val="000000"/>
          <w:spacing w:val="-4"/>
          <w:sz w:val="24"/>
          <w:szCs w:val="24"/>
          <w:lang w:val="es-CO"/>
        </w:rPr>
        <w:t>.</w:t>
      </w:r>
    </w:p>
    <w:p w14:paraId="161856F8" w14:textId="663679DF" w:rsidR="00CF5EFC" w:rsidRPr="000F4D2C" w:rsidRDefault="003351B4" w:rsidP="00CF5EFC">
      <w:pPr>
        <w:pStyle w:val="Estilo5"/>
        <w:widowControl w:val="0"/>
        <w:numPr>
          <w:ilvl w:val="0"/>
          <w:numId w:val="0"/>
        </w:numPr>
        <w:outlineLvl w:val="9"/>
        <w:rPr>
          <w:rFonts w:ascii="Bookman Old Style" w:hAnsi="Bookman Old Style" w:cs="Arial"/>
          <w:b w:val="0"/>
          <w:color w:val="000000"/>
          <w:spacing w:val="-4"/>
          <w:sz w:val="24"/>
          <w:szCs w:val="24"/>
          <w:lang w:val="es-CO"/>
        </w:rPr>
      </w:pPr>
      <w:r w:rsidRPr="0020151F">
        <w:rPr>
          <w:rFonts w:ascii="Bookman Old Style" w:hAnsi="Bookman Old Style"/>
          <w:bCs/>
          <w:sz w:val="24"/>
          <w:szCs w:val="24"/>
        </w:rPr>
        <w:t>Parágrafo</w:t>
      </w:r>
      <w:r>
        <w:rPr>
          <w:rFonts w:ascii="Bookman Old Style" w:hAnsi="Bookman Old Style"/>
          <w:bCs/>
          <w:sz w:val="24"/>
          <w:szCs w:val="24"/>
        </w:rPr>
        <w:t xml:space="preserve"> </w:t>
      </w:r>
      <w:r w:rsidR="00CF5EFC" w:rsidRPr="000F4D2C">
        <w:rPr>
          <w:rFonts w:ascii="Bookman Old Style" w:hAnsi="Bookman Old Style" w:cs="Arial"/>
          <w:color w:val="000000"/>
          <w:spacing w:val="-4"/>
          <w:sz w:val="24"/>
          <w:szCs w:val="24"/>
          <w:lang w:val="es-CO"/>
        </w:rPr>
        <w:t>2.</w:t>
      </w:r>
      <w:r w:rsidR="00CF5EFC" w:rsidRPr="000F4D2C">
        <w:rPr>
          <w:rFonts w:ascii="Bookman Old Style" w:hAnsi="Bookman Old Style" w:cs="Arial"/>
          <w:b w:val="0"/>
          <w:color w:val="000000"/>
          <w:spacing w:val="-4"/>
          <w:sz w:val="24"/>
          <w:szCs w:val="24"/>
          <w:lang w:val="es-CO"/>
        </w:rPr>
        <w:t xml:space="preserve"> Finalizad</w:t>
      </w:r>
      <w:r w:rsidR="00D638C7">
        <w:rPr>
          <w:rFonts w:ascii="Bookman Old Style" w:hAnsi="Bookman Old Style" w:cs="Arial"/>
          <w:b w:val="0"/>
          <w:color w:val="000000"/>
          <w:spacing w:val="-4"/>
          <w:sz w:val="24"/>
          <w:szCs w:val="24"/>
          <w:lang w:val="es-CO"/>
        </w:rPr>
        <w:t xml:space="preserve">a </w:t>
      </w:r>
      <w:r w:rsidR="00D638C7" w:rsidRPr="000F4D2C">
        <w:rPr>
          <w:rFonts w:ascii="Bookman Old Style" w:hAnsi="Bookman Old Style" w:cs="Arial"/>
          <w:bCs/>
          <w:color w:val="000000"/>
          <w:spacing w:val="-4"/>
          <w:sz w:val="24"/>
          <w:szCs w:val="24"/>
          <w:u w:val="single"/>
          <w:lang w:val="es-CO"/>
        </w:rPr>
        <w:t>la prestación del servicio del proyecto</w:t>
      </w:r>
      <w:r w:rsidR="00646805" w:rsidRPr="000F4D2C">
        <w:rPr>
          <w:rFonts w:ascii="Bookman Old Style" w:hAnsi="Bookman Old Style" w:cs="Arial"/>
          <w:bCs/>
          <w:color w:val="000000"/>
          <w:spacing w:val="-4"/>
          <w:sz w:val="24"/>
          <w:szCs w:val="24"/>
          <w:u w:val="single"/>
          <w:lang w:val="es-CO"/>
        </w:rPr>
        <w:t xml:space="preserve"> PAGN de acuerdo con las condiciones establecidas en la presente Resolución</w:t>
      </w:r>
      <w:r w:rsidR="00CF5EFC" w:rsidRPr="000F4D2C">
        <w:rPr>
          <w:rFonts w:ascii="Bookman Old Style" w:hAnsi="Bookman Old Style" w:cs="Arial"/>
          <w:b w:val="0"/>
          <w:color w:val="000000"/>
          <w:spacing w:val="-4"/>
          <w:sz w:val="24"/>
          <w:szCs w:val="24"/>
          <w:lang w:val="es-CO"/>
        </w:rPr>
        <w:t xml:space="preserve">, la remuneración </w:t>
      </w:r>
      <w:r w:rsidR="00646805" w:rsidRPr="000F4D2C">
        <w:rPr>
          <w:rFonts w:ascii="Bookman Old Style" w:hAnsi="Bookman Old Style" w:cs="Arial"/>
          <w:bCs/>
          <w:color w:val="000000"/>
          <w:spacing w:val="-4"/>
          <w:sz w:val="24"/>
          <w:szCs w:val="24"/>
          <w:u w:val="single"/>
          <w:lang w:val="es-CO"/>
        </w:rPr>
        <w:t>posterior</w:t>
      </w:r>
      <w:r w:rsidR="00646805">
        <w:rPr>
          <w:rFonts w:ascii="Bookman Old Style" w:hAnsi="Bookman Old Style" w:cs="Arial"/>
          <w:b w:val="0"/>
          <w:color w:val="000000"/>
          <w:spacing w:val="-4"/>
          <w:sz w:val="24"/>
          <w:szCs w:val="24"/>
          <w:lang w:val="es-CO"/>
        </w:rPr>
        <w:t xml:space="preserve"> </w:t>
      </w:r>
      <w:r w:rsidR="00CF5EFC" w:rsidRPr="000F4D2C">
        <w:rPr>
          <w:rFonts w:ascii="Bookman Old Style" w:hAnsi="Bookman Old Style" w:cs="Arial"/>
          <w:b w:val="0"/>
          <w:color w:val="000000"/>
          <w:spacing w:val="-4"/>
          <w:sz w:val="24"/>
          <w:szCs w:val="24"/>
          <w:lang w:val="es-CO"/>
        </w:rPr>
        <w:t>de los servicios del proyecto PAGN dependerá de la conveniencia de contar con el proyecto a futuro, y su cálculo será definido por la CREG en dicho momento.</w:t>
      </w:r>
    </w:p>
    <w:bookmarkEnd w:id="10"/>
    <w:p w14:paraId="3ECD3139" w14:textId="77777777" w:rsidR="00CF5EFC" w:rsidRPr="00A22A5F" w:rsidRDefault="00CF5EFC" w:rsidP="00CF5EFC">
      <w:pPr>
        <w:pStyle w:val="Estilo5"/>
        <w:keepNext w:val="0"/>
        <w:widowControl w:val="0"/>
        <w:numPr>
          <w:ilvl w:val="0"/>
          <w:numId w:val="0"/>
        </w:numPr>
        <w:tabs>
          <w:tab w:val="left" w:pos="0"/>
          <w:tab w:val="left" w:pos="1560"/>
        </w:tabs>
        <w:spacing w:before="0" w:after="0"/>
        <w:outlineLvl w:val="9"/>
        <w:rPr>
          <w:rFonts w:ascii="Bookman Old Style" w:hAnsi="Bookman Old Style"/>
          <w:spacing w:val="-2"/>
          <w:sz w:val="24"/>
          <w:szCs w:val="24"/>
        </w:rPr>
      </w:pPr>
    </w:p>
    <w:p w14:paraId="60E63C56" w14:textId="75B7A561" w:rsidR="00CF5EFC" w:rsidRPr="000F4D2C"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b w:val="0"/>
          <w:sz w:val="24"/>
          <w:szCs w:val="24"/>
        </w:rPr>
      </w:pPr>
      <w:bookmarkStart w:id="11" w:name="_Ref472069434"/>
      <w:r w:rsidRPr="00F43BBC">
        <w:rPr>
          <w:rFonts w:ascii="Bookman Old Style" w:hAnsi="Bookman Old Style" w:cs="Arial"/>
          <w:color w:val="000000"/>
          <w:spacing w:val="-4"/>
          <w:sz w:val="24"/>
          <w:szCs w:val="24"/>
        </w:rPr>
        <w:t>Compensaciones por indisponibilidad.</w:t>
      </w:r>
      <w:r w:rsidRPr="00F43BBC">
        <w:rPr>
          <w:rFonts w:ascii="Bookman Old Style" w:hAnsi="Bookman Old Style" w:cs="Arial"/>
          <w:b w:val="0"/>
          <w:color w:val="000000"/>
          <w:spacing w:val="-4"/>
          <w:sz w:val="24"/>
          <w:szCs w:val="24"/>
        </w:rPr>
        <w:t xml:space="preserve"> </w:t>
      </w:r>
      <w:r w:rsidRPr="000F4D2C">
        <w:rPr>
          <w:rFonts w:ascii="Bookman Old Style" w:hAnsi="Bookman Old Style"/>
          <w:b w:val="0"/>
          <w:spacing w:val="-2"/>
          <w:kern w:val="0"/>
          <w:sz w:val="24"/>
          <w:szCs w:val="24"/>
          <w:lang w:val="es-CO" w:eastAsia="es-ES"/>
        </w:rPr>
        <w:t xml:space="preserve">Para efectos de aplicar las compensaciones de que trata el literal e) del </w:t>
      </w:r>
      <w:r w:rsidRPr="000F4D2C">
        <w:rPr>
          <w:rFonts w:ascii="Bookman Old Style" w:hAnsi="Bookman Old Style"/>
          <w:b w:val="0"/>
          <w:spacing w:val="-2"/>
          <w:kern w:val="0"/>
          <w:sz w:val="24"/>
          <w:szCs w:val="24"/>
          <w:lang w:val="es-CO" w:eastAsia="es-ES"/>
        </w:rPr>
        <w:fldChar w:fldCharType="begin"/>
      </w:r>
      <w:r w:rsidRPr="000F4D2C">
        <w:rPr>
          <w:rFonts w:ascii="Bookman Old Style" w:hAnsi="Bookman Old Style"/>
          <w:b w:val="0"/>
          <w:spacing w:val="-2"/>
          <w:kern w:val="0"/>
          <w:sz w:val="24"/>
          <w:szCs w:val="24"/>
          <w:lang w:val="es-CO" w:eastAsia="es-ES"/>
        </w:rPr>
        <w:instrText xml:space="preserve"> REF _Ref443470620 \r \h  \* MERGEFORMAT </w:instrText>
      </w:r>
      <w:r w:rsidRPr="000F4D2C">
        <w:rPr>
          <w:rFonts w:ascii="Bookman Old Style" w:hAnsi="Bookman Old Style"/>
          <w:b w:val="0"/>
          <w:spacing w:val="-2"/>
          <w:kern w:val="0"/>
          <w:sz w:val="24"/>
          <w:szCs w:val="24"/>
          <w:lang w:val="es-CO" w:eastAsia="es-ES"/>
        </w:rPr>
      </w:r>
      <w:r w:rsidRPr="000F4D2C">
        <w:rPr>
          <w:rFonts w:ascii="Bookman Old Style" w:hAnsi="Bookman Old Style"/>
          <w:b w:val="0"/>
          <w:spacing w:val="-2"/>
          <w:kern w:val="0"/>
          <w:sz w:val="24"/>
          <w:szCs w:val="24"/>
          <w:lang w:val="es-CO" w:eastAsia="es-ES"/>
        </w:rPr>
        <w:fldChar w:fldCharType="separate"/>
      </w:r>
      <w:r w:rsidR="000D7E7B">
        <w:rPr>
          <w:rFonts w:ascii="Bookman Old Style" w:hAnsi="Bookman Old Style"/>
          <w:b w:val="0"/>
          <w:spacing w:val="-2"/>
          <w:kern w:val="0"/>
          <w:sz w:val="24"/>
          <w:szCs w:val="24"/>
          <w:lang w:val="es-CO" w:eastAsia="es-ES"/>
        </w:rPr>
        <w:t>Artículo 17</w:t>
      </w:r>
      <w:r w:rsidRPr="000F4D2C">
        <w:rPr>
          <w:rFonts w:ascii="Bookman Old Style" w:hAnsi="Bookman Old Style"/>
          <w:b w:val="0"/>
          <w:spacing w:val="-2"/>
          <w:kern w:val="0"/>
          <w:sz w:val="24"/>
          <w:szCs w:val="24"/>
          <w:lang w:val="es-CO" w:eastAsia="es-ES"/>
        </w:rPr>
        <w:fldChar w:fldCharType="end"/>
      </w:r>
      <w:r w:rsidRPr="000F4D2C">
        <w:rPr>
          <w:rFonts w:ascii="Bookman Old Style" w:hAnsi="Bookman Old Style"/>
          <w:b w:val="0"/>
          <w:spacing w:val="-2"/>
          <w:kern w:val="0"/>
          <w:sz w:val="24"/>
          <w:szCs w:val="24"/>
          <w:lang w:val="es-CO" w:eastAsia="es-ES"/>
        </w:rPr>
        <w:t xml:space="preserve"> de la presente Resolución se tendrá en cuenta lo siguiente: </w:t>
      </w:r>
    </w:p>
    <w:p w14:paraId="7BA586E8" w14:textId="77777777" w:rsidR="00CF5EFC" w:rsidRPr="000F4D2C" w:rsidRDefault="00CF5EFC" w:rsidP="00CF5EFC">
      <w:pPr>
        <w:pStyle w:val="Estilo5"/>
        <w:keepNext w:val="0"/>
        <w:widowControl w:val="0"/>
        <w:numPr>
          <w:ilvl w:val="0"/>
          <w:numId w:val="0"/>
        </w:numPr>
        <w:tabs>
          <w:tab w:val="left" w:pos="0"/>
          <w:tab w:val="left" w:pos="1560"/>
        </w:tabs>
        <w:spacing w:before="0" w:after="0"/>
        <w:ind w:left="708"/>
        <w:outlineLvl w:val="9"/>
        <w:rPr>
          <w:rFonts w:ascii="Bookman Old Style" w:hAnsi="Bookman Old Style"/>
          <w:b w:val="0"/>
          <w:sz w:val="24"/>
          <w:szCs w:val="24"/>
        </w:rPr>
      </w:pPr>
      <w:r w:rsidRPr="000F4D2C">
        <w:rPr>
          <w:rFonts w:ascii="Bookman Old Style" w:hAnsi="Bookman Old Style"/>
          <w:b w:val="0"/>
          <w:sz w:val="24"/>
          <w:szCs w:val="24"/>
        </w:rPr>
        <w:t xml:space="preserve"> </w:t>
      </w:r>
    </w:p>
    <w:p w14:paraId="1835600E" w14:textId="4D9860FE" w:rsidR="00CF5EFC" w:rsidRPr="000F4D2C" w:rsidRDefault="00CF5EFC" w:rsidP="00CF5EFC">
      <w:pPr>
        <w:pStyle w:val="Prrafodelista"/>
        <w:numPr>
          <w:ilvl w:val="0"/>
          <w:numId w:val="37"/>
        </w:numPr>
        <w:ind w:left="709" w:hanging="425"/>
        <w:jc w:val="both"/>
        <w:rPr>
          <w:rFonts w:ascii="Bookman Old Style" w:hAnsi="Bookman Old Style"/>
          <w:spacing w:val="-2"/>
          <w:sz w:val="24"/>
          <w:szCs w:val="24"/>
        </w:rPr>
      </w:pPr>
      <w:r w:rsidRPr="000F4D2C">
        <w:rPr>
          <w:rFonts w:ascii="Bookman Old Style" w:hAnsi="Bookman Old Style"/>
          <w:spacing w:val="-2"/>
          <w:sz w:val="24"/>
          <w:szCs w:val="24"/>
        </w:rPr>
        <w:t xml:space="preserve">Para cada proyecto el adjudicatario, </w:t>
      </w:r>
      <w:r w:rsidRPr="000F4D2C">
        <w:rPr>
          <w:rFonts w:ascii="Bookman Old Style" w:hAnsi="Bookman Old Style"/>
          <w:sz w:val="24"/>
          <w:szCs w:val="24"/>
        </w:rPr>
        <w:t xml:space="preserve">o el transportador incumbente cuando se trate de proyectos de </w:t>
      </w:r>
      <m:oMath>
        <m:r>
          <m:rPr>
            <m:sty m:val="p"/>
          </m:rPr>
          <w:rPr>
            <w:rFonts w:ascii="Cambria Math" w:hAnsi="Cambria Math" w:cs="Arial"/>
            <w:sz w:val="24"/>
            <w:szCs w:val="24"/>
          </w:rPr>
          <m:t>IPAT</m:t>
        </m:r>
      </m:oMath>
      <w:r w:rsidRPr="000F4D2C">
        <w:rPr>
          <w:rFonts w:ascii="Bookman Old Style" w:hAnsi="Bookman Old Style"/>
          <w:sz w:val="24"/>
          <w:szCs w:val="24"/>
        </w:rPr>
        <w:t xml:space="preserve"> que opere el transportador,</w:t>
      </w:r>
      <w:r w:rsidRPr="000F4D2C">
        <w:rPr>
          <w:rFonts w:ascii="Bookman Old Style" w:hAnsi="Bookman Old Style"/>
          <w:spacing w:val="-2"/>
          <w:sz w:val="24"/>
          <w:szCs w:val="24"/>
        </w:rPr>
        <w:t xml:space="preserve"> informará al transportador </w:t>
      </w:r>
      <w:r w:rsidRPr="000F4D2C">
        <w:rPr>
          <w:rFonts w:ascii="Bookman Old Style" w:hAnsi="Bookman Old Style"/>
          <w:sz w:val="24"/>
          <w:szCs w:val="24"/>
        </w:rPr>
        <w:t xml:space="preserve">responsable del recaudo de la porción del </w:t>
      </w:r>
      <m:oMath>
        <m:r>
          <m:rPr>
            <m:sty m:val="p"/>
          </m:rPr>
          <w:rPr>
            <w:rFonts w:ascii="Cambria Math" w:hAnsi="Cambria Math" w:cs="Arial"/>
            <w:sz w:val="24"/>
            <w:szCs w:val="24"/>
          </w:rPr>
          <m:t>IAE</m:t>
        </m:r>
      </m:oMath>
      <w:r w:rsidRPr="000F4D2C">
        <w:rPr>
          <w:rFonts w:ascii="Bookman Old Style" w:hAnsi="Bookman Old Style"/>
          <w:spacing w:val="-2"/>
          <w:sz w:val="24"/>
          <w:szCs w:val="24"/>
        </w:rPr>
        <w:t xml:space="preserve"> del sistema de transporte </w:t>
      </w:r>
      <w:r w:rsidRPr="0002104A">
        <w:rPr>
          <w:rFonts w:ascii="Bookman Old Style" w:hAnsi="Bookman Old Style"/>
          <w:i/>
          <w:iCs/>
          <w:spacing w:val="-2"/>
          <w:sz w:val="24"/>
          <w:szCs w:val="24"/>
        </w:rPr>
        <w:t>t</w:t>
      </w:r>
      <w:r w:rsidRPr="000F4D2C">
        <w:rPr>
          <w:rFonts w:ascii="Bookman Old Style" w:hAnsi="Bookman Old Style"/>
          <w:spacing w:val="-2"/>
          <w:sz w:val="24"/>
          <w:szCs w:val="24"/>
        </w:rPr>
        <w:t xml:space="preserve"> que atiende beneficiarios del proyecto PAGN, el factor de indisponibilidad en el mes </w:t>
      </w:r>
      <m:oMath>
        <m:r>
          <w:rPr>
            <w:rFonts w:ascii="Cambria Math" w:hAnsi="Cambria Math"/>
            <w:spacing w:val="-2"/>
            <w:sz w:val="24"/>
            <w:szCs w:val="24"/>
          </w:rPr>
          <m:t>m</m:t>
        </m:r>
      </m:oMath>
      <w:r w:rsidRPr="000F4D2C">
        <w:rPr>
          <w:rFonts w:ascii="Bookman Old Style" w:hAnsi="Bookman Old Style"/>
          <w:spacing w:val="-2"/>
          <w:sz w:val="24"/>
          <w:szCs w:val="24"/>
        </w:rPr>
        <w:t xml:space="preserve"> de prestación del servicio. Este factor lo calculará con base en la siguiente ecuación:</w:t>
      </w:r>
    </w:p>
    <w:p w14:paraId="52B2B09B" w14:textId="77777777" w:rsidR="00CF5EFC" w:rsidRPr="00192D69" w:rsidRDefault="00CF5EFC" w:rsidP="00CF5EFC">
      <w:pPr>
        <w:jc w:val="both"/>
        <w:rPr>
          <w:rFonts w:ascii="Bookman Old Style" w:hAnsi="Bookman Old Style"/>
          <w:i/>
          <w:iCs/>
          <w:spacing w:val="-2"/>
        </w:rPr>
      </w:pPr>
    </w:p>
    <w:p w14:paraId="2C2E1B01" w14:textId="0FDB8FD1" w:rsidR="00CF5EFC" w:rsidRPr="000F4D2C" w:rsidRDefault="00B560EE" w:rsidP="00CF5EFC">
      <w:pPr>
        <w:pStyle w:val="Prrafodelista"/>
        <w:ind w:left="426"/>
        <w:jc w:val="both"/>
        <w:rPr>
          <w:rFonts w:ascii="Bookman Old Style" w:hAnsi="Bookman Old Style"/>
          <w:spacing w:val="-2"/>
          <w:sz w:val="24"/>
          <w:szCs w:val="24"/>
        </w:rPr>
      </w:pPr>
      <m:oMathPara>
        <m:oMath>
          <m:sSub>
            <m:sSubPr>
              <m:ctrlPr>
                <w:rPr>
                  <w:rFonts w:ascii="Cambria Math" w:hAnsi="Cambria Math"/>
                  <w:spacing w:val="-2"/>
                  <w:sz w:val="24"/>
                  <w:szCs w:val="24"/>
                </w:rPr>
              </m:ctrlPr>
            </m:sSubPr>
            <m:e>
              <m:r>
                <m:rPr>
                  <m:sty m:val="p"/>
                </m:rPr>
                <w:rPr>
                  <w:rFonts w:ascii="Cambria Math" w:hAnsi="Cambria Math"/>
                  <w:spacing w:val="-2"/>
                  <w:sz w:val="24"/>
                  <w:szCs w:val="24"/>
                </w:rPr>
                <m:t>I</m:t>
              </m:r>
            </m:e>
            <m:sub>
              <m:r>
                <m:rPr>
                  <m:sty m:val="p"/>
                </m:rPr>
                <w:rPr>
                  <w:rFonts w:ascii="Cambria Math" w:hAnsi="Cambria Math"/>
                  <w:spacing w:val="-2"/>
                  <w:sz w:val="24"/>
                  <w:szCs w:val="24"/>
                </w:rPr>
                <m:t>PAGN,m</m:t>
              </m:r>
            </m:sub>
          </m:sSub>
          <m:r>
            <m:rPr>
              <m:sty m:val="p"/>
            </m:rPr>
            <w:rPr>
              <w:rFonts w:ascii="Cambria Math" w:hAnsi="Cambria Math"/>
              <w:spacing w:val="-2"/>
              <w:sz w:val="24"/>
              <w:szCs w:val="24"/>
            </w:rPr>
            <m:t xml:space="preserve"> = </m:t>
          </m:r>
          <m:nary>
            <m:naryPr>
              <m:chr m:val="∑"/>
              <m:limLoc m:val="undOvr"/>
              <m:ctrlPr>
                <w:rPr>
                  <w:rFonts w:ascii="Cambria Math" w:hAnsi="Cambria Math"/>
                  <w:spacing w:val="-2"/>
                  <w:sz w:val="24"/>
                  <w:szCs w:val="24"/>
                </w:rPr>
              </m:ctrlPr>
            </m:naryPr>
            <m:sub>
              <m:r>
                <m:rPr>
                  <m:sty m:val="p"/>
                </m:rPr>
                <w:rPr>
                  <w:rFonts w:ascii="Cambria Math" w:hAnsi="Cambria Math"/>
                  <w:spacing w:val="-2"/>
                  <w:sz w:val="24"/>
                  <w:szCs w:val="24"/>
                </w:rPr>
                <m:t>i=1</m:t>
              </m:r>
            </m:sub>
            <m:sup>
              <m:r>
                <m:rPr>
                  <m:sty m:val="p"/>
                </m:rPr>
                <w:rPr>
                  <w:rFonts w:ascii="Cambria Math" w:hAnsi="Cambria Math"/>
                  <w:spacing w:val="-2"/>
                  <w:sz w:val="24"/>
                  <w:szCs w:val="24"/>
                </w:rPr>
                <m:t>D</m:t>
              </m:r>
            </m:sup>
            <m:e>
              <m:sSub>
                <m:sSubPr>
                  <m:ctrlPr>
                    <w:rPr>
                      <w:rFonts w:ascii="Cambria Math" w:hAnsi="Cambria Math"/>
                      <w:spacing w:val="-2"/>
                      <w:sz w:val="24"/>
                      <w:szCs w:val="24"/>
                    </w:rPr>
                  </m:ctrlPr>
                </m:sSubPr>
                <m:e>
                  <m:r>
                    <m:rPr>
                      <m:sty m:val="p"/>
                    </m:rPr>
                    <w:rPr>
                      <w:rFonts w:ascii="Cambria Math" w:hAnsi="Cambria Math"/>
                      <w:spacing w:val="-2"/>
                      <w:sz w:val="24"/>
                      <w:szCs w:val="24"/>
                    </w:rPr>
                    <m:t>CAPI</m:t>
                  </m:r>
                </m:e>
                <m:sub>
                  <m:r>
                    <m:rPr>
                      <m:sty m:val="p"/>
                    </m:rPr>
                    <w:rPr>
                      <w:rFonts w:ascii="Cambria Math" w:hAnsi="Cambria Math"/>
                      <w:spacing w:val="-2"/>
                      <w:sz w:val="24"/>
                      <w:szCs w:val="24"/>
                    </w:rPr>
                    <m:t>i</m:t>
                  </m:r>
                </m:sub>
              </m:sSub>
            </m:e>
          </m:nary>
          <m:r>
            <m:rPr>
              <m:sty m:val="p"/>
            </m:rPr>
            <w:rPr>
              <w:rFonts w:ascii="Cambria Math" w:hAnsi="Cambria Math"/>
              <w:spacing w:val="-2"/>
              <w:sz w:val="24"/>
              <w:szCs w:val="24"/>
            </w:rPr>
            <m:t xml:space="preserve"> ×</m:t>
          </m:r>
          <m:d>
            <m:dPr>
              <m:ctrlPr>
                <w:rPr>
                  <w:rFonts w:ascii="Cambria Math" w:hAnsi="Cambria Math"/>
                  <w:spacing w:val="-2"/>
                  <w:sz w:val="24"/>
                  <w:szCs w:val="24"/>
                </w:rPr>
              </m:ctrlPr>
            </m:dPr>
            <m:e>
              <m:f>
                <m:fPr>
                  <m:ctrlPr>
                    <w:rPr>
                      <w:rFonts w:ascii="Cambria Math" w:hAnsi="Cambria Math"/>
                      <w:spacing w:val="-2"/>
                      <w:sz w:val="24"/>
                      <w:szCs w:val="24"/>
                    </w:rPr>
                  </m:ctrlPr>
                </m:fPr>
                <m:num>
                  <m:r>
                    <m:rPr>
                      <m:sty m:val="p"/>
                    </m:rPr>
                    <w:rPr>
                      <w:rFonts w:ascii="Cambria Math" w:hAnsi="Cambria Math"/>
                      <w:spacing w:val="-2"/>
                      <w:sz w:val="24"/>
                      <w:szCs w:val="24"/>
                    </w:rPr>
                    <m:t>1</m:t>
                  </m:r>
                </m:num>
                <m:den>
                  <m:r>
                    <m:rPr>
                      <m:sty m:val="p"/>
                    </m:rPr>
                    <w:rPr>
                      <w:rFonts w:ascii="Cambria Math" w:hAnsi="Cambria Math"/>
                      <w:spacing w:val="-2"/>
                      <w:sz w:val="24"/>
                      <w:szCs w:val="24"/>
                    </w:rPr>
                    <m:t>D×CAP</m:t>
                  </m:r>
                </m:den>
              </m:f>
            </m:e>
          </m:d>
        </m:oMath>
      </m:oMathPara>
    </w:p>
    <w:p w14:paraId="7FCEB007" w14:textId="77777777" w:rsidR="00CF5EFC" w:rsidRPr="000F4D2C" w:rsidRDefault="00CF5EFC" w:rsidP="00CF5EFC">
      <w:pPr>
        <w:ind w:left="708"/>
        <w:jc w:val="both"/>
        <w:rPr>
          <w:rFonts w:ascii="Bookman Old Style" w:eastAsia="Bookman Old Style" w:hAnsi="Bookman Old Style" w:cs="Bookman Old Style"/>
        </w:rPr>
      </w:pPr>
      <w:r w:rsidRPr="000F4D2C">
        <w:rPr>
          <w:rFonts w:ascii="Bookman Old Style" w:eastAsia="Bookman Old Style" w:hAnsi="Bookman Old Style" w:cs="Bookman Old Style"/>
        </w:rPr>
        <w:t>Donde:</w:t>
      </w:r>
    </w:p>
    <w:p w14:paraId="3744055D" w14:textId="77777777" w:rsidR="00CF5EFC" w:rsidRPr="000F4D2C" w:rsidRDefault="00CF5EFC" w:rsidP="00CF5EFC">
      <w:pPr>
        <w:ind w:left="708"/>
        <w:jc w:val="both"/>
        <w:rPr>
          <w:rFonts w:ascii="Bookman Old Style" w:eastAsia="Bookman Old Style" w:hAnsi="Bookman Old Style"/>
          <w:spacing w:val="-2"/>
        </w:rPr>
      </w:pPr>
      <w:r w:rsidRPr="000F4D2C">
        <w:rPr>
          <w:rFonts w:ascii="Bookman Old Style" w:eastAsia="Bookman Old Style" w:hAnsi="Bookman Old Style" w:cs="Bookman Old Style"/>
        </w:rPr>
        <w:t xml:space="preserve"> </w:t>
      </w:r>
    </w:p>
    <w:p w14:paraId="478E8E56" w14:textId="282F0E62" w:rsidR="00CF5EFC" w:rsidRPr="000F4D2C" w:rsidRDefault="00B560EE" w:rsidP="00CF5EFC">
      <w:pPr>
        <w:pStyle w:val="Prrafodelista"/>
        <w:ind w:left="1701" w:hanging="851"/>
        <w:jc w:val="both"/>
        <w:rPr>
          <w:rFonts w:ascii="Bookman Old Style" w:hAnsi="Bookman Old Style"/>
          <w:spacing w:val="-2"/>
          <w:sz w:val="24"/>
          <w:szCs w:val="24"/>
        </w:rPr>
      </w:pPr>
      <m:oMath>
        <m:sSub>
          <m:sSubPr>
            <m:ctrlPr>
              <w:rPr>
                <w:rFonts w:ascii="Cambria Math" w:hAnsi="Cambria Math"/>
                <w:spacing w:val="-2"/>
                <w:sz w:val="24"/>
                <w:szCs w:val="24"/>
              </w:rPr>
            </m:ctrlPr>
          </m:sSubPr>
          <m:e>
            <m:r>
              <m:rPr>
                <m:sty m:val="p"/>
              </m:rPr>
              <w:rPr>
                <w:rFonts w:ascii="Cambria Math" w:hAnsi="Cambria Math"/>
                <w:spacing w:val="-2"/>
                <w:sz w:val="24"/>
                <w:szCs w:val="24"/>
              </w:rPr>
              <m:t>I</m:t>
            </m:r>
          </m:e>
          <m:sub>
            <m:r>
              <m:rPr>
                <m:sty m:val="p"/>
              </m:rPr>
              <w:rPr>
                <w:rFonts w:ascii="Cambria Math" w:hAnsi="Cambria Math"/>
                <w:spacing w:val="-2"/>
                <w:sz w:val="24"/>
                <w:szCs w:val="24"/>
              </w:rPr>
              <m:t>PAGN,m</m:t>
            </m:r>
          </m:sub>
        </m:sSub>
        <m:r>
          <w:rPr>
            <w:rFonts w:ascii="Cambria Math" w:hAnsi="Cambria Math"/>
            <w:spacing w:val="-2"/>
            <w:sz w:val="24"/>
            <w:szCs w:val="24"/>
          </w:rPr>
          <m:t>:</m:t>
        </m:r>
      </m:oMath>
      <w:r w:rsidR="00CF5EFC" w:rsidRPr="000F4D2C">
        <w:rPr>
          <w:rFonts w:ascii="Bookman Old Style" w:hAnsi="Bookman Old Style"/>
          <w:spacing w:val="-2"/>
          <w:sz w:val="24"/>
          <w:szCs w:val="24"/>
        </w:rPr>
        <w:tab/>
        <w:t xml:space="preserve">Factor de indisponibilidad del proyecto </w:t>
      </w:r>
      <w:r w:rsidR="00CF5EFC" w:rsidRPr="000F4D2C">
        <w:rPr>
          <w:rFonts w:ascii="Bookman Old Style" w:hAnsi="Bookman Old Style" w:cs="Cambria Math"/>
          <w:sz w:val="24"/>
          <w:szCs w:val="24"/>
          <w:lang w:val="es-ES_tradnl"/>
        </w:rPr>
        <w:t>PAGN</w:t>
      </w:r>
      <w:r w:rsidR="00CF5EFC" w:rsidRPr="000F4D2C">
        <w:rPr>
          <w:rFonts w:ascii="Bookman Old Style" w:hAnsi="Bookman Old Style"/>
          <w:sz w:val="24"/>
          <w:szCs w:val="24"/>
        </w:rPr>
        <w:t xml:space="preserve"> del plan de abastecimiento de gas natural,</w:t>
      </w:r>
      <w:r w:rsidR="00CF5EFC" w:rsidRPr="000F4D2C">
        <w:rPr>
          <w:rFonts w:ascii="Bookman Old Style" w:hAnsi="Bookman Old Style"/>
          <w:spacing w:val="-2"/>
          <w:sz w:val="24"/>
          <w:szCs w:val="24"/>
        </w:rPr>
        <w:t xml:space="preserve"> durante el mes </w:t>
      </w:r>
      <m:oMath>
        <m:r>
          <w:rPr>
            <w:rFonts w:ascii="Cambria Math" w:hAnsi="Cambria Math"/>
            <w:spacing w:val="-2"/>
            <w:sz w:val="24"/>
            <w:szCs w:val="24"/>
          </w:rPr>
          <m:t>m</m:t>
        </m:r>
      </m:oMath>
      <w:r w:rsidR="00CF5EFC" w:rsidRPr="000F4D2C">
        <w:rPr>
          <w:rFonts w:ascii="Bookman Old Style" w:hAnsi="Bookman Old Style"/>
          <w:spacing w:val="-2"/>
          <w:sz w:val="24"/>
          <w:szCs w:val="24"/>
        </w:rPr>
        <w:t xml:space="preserve"> de prestación del servicio. </w:t>
      </w:r>
    </w:p>
    <w:p w14:paraId="42F75302" w14:textId="77777777" w:rsidR="00CF5EFC" w:rsidRPr="000F4D2C" w:rsidRDefault="00CF5EFC" w:rsidP="00CF5EFC">
      <w:pPr>
        <w:pStyle w:val="Prrafodelista"/>
        <w:ind w:left="1701" w:hanging="990"/>
        <w:jc w:val="both"/>
        <w:rPr>
          <w:rFonts w:ascii="Bookman Old Style" w:hAnsi="Bookman Old Style"/>
          <w:spacing w:val="-2"/>
          <w:sz w:val="24"/>
          <w:szCs w:val="24"/>
        </w:rPr>
      </w:pPr>
    </w:p>
    <w:p w14:paraId="25383E6F" w14:textId="14431F85" w:rsidR="00CF5EFC" w:rsidRPr="000F4D2C" w:rsidRDefault="00B560EE" w:rsidP="00CF5EFC">
      <w:pPr>
        <w:pStyle w:val="Prrafodelista"/>
        <w:ind w:left="1701" w:hanging="851"/>
        <w:jc w:val="both"/>
        <w:rPr>
          <w:rFonts w:ascii="Bookman Old Style" w:hAnsi="Bookman Old Style"/>
          <w:spacing w:val="-2"/>
          <w:sz w:val="24"/>
          <w:szCs w:val="24"/>
        </w:rPr>
      </w:pPr>
      <m:oMath>
        <m:sSub>
          <m:sSubPr>
            <m:ctrlPr>
              <w:rPr>
                <w:rFonts w:ascii="Cambria Math" w:hAnsi="Cambria Math"/>
                <w:spacing w:val="-2"/>
                <w:sz w:val="24"/>
                <w:szCs w:val="24"/>
              </w:rPr>
            </m:ctrlPr>
          </m:sSubPr>
          <m:e>
            <m:r>
              <m:rPr>
                <m:sty m:val="p"/>
              </m:rPr>
              <w:rPr>
                <w:rFonts w:ascii="Cambria Math" w:hAnsi="Cambria Math"/>
                <w:spacing w:val="-2"/>
                <w:sz w:val="24"/>
                <w:szCs w:val="24"/>
              </w:rPr>
              <m:t>CAPI</m:t>
            </m:r>
          </m:e>
          <m:sub>
            <m:r>
              <m:rPr>
                <m:sty m:val="p"/>
              </m:rPr>
              <w:rPr>
                <w:rFonts w:ascii="Cambria Math" w:hAnsi="Cambria Math"/>
                <w:spacing w:val="-2"/>
                <w:sz w:val="24"/>
                <w:szCs w:val="24"/>
              </w:rPr>
              <m:t>i</m:t>
            </m:r>
          </m:sub>
        </m:sSub>
        <m:r>
          <w:rPr>
            <w:rFonts w:ascii="Cambria Math" w:hAnsi="Cambria Math"/>
            <w:spacing w:val="-2"/>
            <w:sz w:val="24"/>
            <w:szCs w:val="24"/>
          </w:rPr>
          <m:t>:</m:t>
        </m:r>
      </m:oMath>
      <w:r w:rsidR="00CF5EFC" w:rsidRPr="000F4D2C">
        <w:rPr>
          <w:rFonts w:ascii="Bookman Old Style" w:hAnsi="Bookman Old Style"/>
          <w:spacing w:val="-2"/>
          <w:sz w:val="24"/>
          <w:szCs w:val="24"/>
        </w:rPr>
        <w:tab/>
        <w:t xml:space="preserve">Máxima capacidad indisponible del proyecto </w:t>
      </w:r>
      <w:r w:rsidR="00CF5EFC" w:rsidRPr="000F4D2C">
        <w:rPr>
          <w:rFonts w:ascii="Bookman Old Style" w:hAnsi="Bookman Old Style" w:cs="Cambria Math"/>
          <w:sz w:val="24"/>
          <w:szCs w:val="24"/>
          <w:lang w:val="es-ES_tradnl"/>
        </w:rPr>
        <w:t>PAG</w:t>
      </w:r>
      <w:r w:rsidR="000177C0">
        <w:rPr>
          <w:rFonts w:ascii="Bookman Old Style" w:hAnsi="Bookman Old Style" w:cs="Cambria Math"/>
          <w:sz w:val="24"/>
          <w:szCs w:val="24"/>
          <w:lang w:val="es-ES_tradnl"/>
        </w:rPr>
        <w:t>N</w:t>
      </w:r>
      <w:r w:rsidR="00CF5EFC" w:rsidRPr="000F4D2C">
        <w:rPr>
          <w:rFonts w:ascii="Bookman Old Style" w:hAnsi="Bookman Old Style"/>
          <w:sz w:val="24"/>
          <w:szCs w:val="24"/>
        </w:rPr>
        <w:t xml:space="preserve"> </w:t>
      </w:r>
      <w:r w:rsidR="00CF5EFC" w:rsidRPr="000F4D2C">
        <w:rPr>
          <w:rFonts w:ascii="Bookman Old Style" w:hAnsi="Bookman Old Style"/>
          <w:spacing w:val="-2"/>
          <w:sz w:val="24"/>
          <w:szCs w:val="24"/>
        </w:rPr>
        <w:t xml:space="preserve">durante el día </w:t>
      </w:r>
      <m:oMath>
        <m:r>
          <w:rPr>
            <w:rFonts w:ascii="Cambria Math" w:hAnsi="Cambria Math"/>
            <w:spacing w:val="-2"/>
            <w:sz w:val="24"/>
            <w:szCs w:val="24"/>
          </w:rPr>
          <m:t>i</m:t>
        </m:r>
      </m:oMath>
      <w:r w:rsidR="00CF5EFC" w:rsidRPr="000F4D2C">
        <w:rPr>
          <w:rFonts w:ascii="Bookman Old Style" w:hAnsi="Bookman Old Style"/>
          <w:spacing w:val="-2"/>
          <w:sz w:val="24"/>
          <w:szCs w:val="24"/>
        </w:rPr>
        <w:t xml:space="preserve"> del mes </w:t>
      </w:r>
      <m:oMath>
        <m:r>
          <w:rPr>
            <w:rFonts w:ascii="Cambria Math" w:hAnsi="Cambria Math"/>
            <w:spacing w:val="-2"/>
            <w:sz w:val="24"/>
            <w:szCs w:val="24"/>
          </w:rPr>
          <m:t>m</m:t>
        </m:r>
      </m:oMath>
      <w:r w:rsidR="00CF5EFC" w:rsidRPr="000F4D2C">
        <w:rPr>
          <w:rFonts w:ascii="Bookman Old Style" w:hAnsi="Bookman Old Style"/>
          <w:spacing w:val="-2"/>
          <w:sz w:val="24"/>
          <w:szCs w:val="24"/>
        </w:rPr>
        <w:t xml:space="preserve">. Este valor estará expresado en las unidades de medida que se definan en los documentos de selección </w:t>
      </w:r>
      <w:r w:rsidR="00CF5EFC" w:rsidRPr="000F4D2C">
        <w:rPr>
          <w:rFonts w:ascii="Bookman Old Style" w:eastAsia="Bookman Old Style" w:hAnsi="Bookman Old Style"/>
          <w:spacing w:val="-2"/>
          <w:sz w:val="24"/>
          <w:szCs w:val="24"/>
        </w:rPr>
        <w:t>del inversionista</w:t>
      </w:r>
      <w:r w:rsidR="00CF5EFC" w:rsidRPr="000F4D2C">
        <w:rPr>
          <w:rFonts w:ascii="Bookman Old Style" w:hAnsi="Bookman Old Style"/>
          <w:spacing w:val="-2"/>
          <w:sz w:val="24"/>
          <w:szCs w:val="24"/>
        </w:rPr>
        <w:t xml:space="preserve">. </w:t>
      </w:r>
    </w:p>
    <w:p w14:paraId="79BFDF78" w14:textId="77777777" w:rsidR="00CF5EFC" w:rsidRPr="000F4D2C" w:rsidRDefault="00CF5EFC" w:rsidP="00CF5EFC">
      <w:pPr>
        <w:pStyle w:val="Prrafodelista"/>
        <w:ind w:left="1701" w:hanging="851"/>
        <w:jc w:val="both"/>
        <w:rPr>
          <w:rFonts w:ascii="Bookman Old Style" w:hAnsi="Bookman Old Style"/>
          <w:spacing w:val="-2"/>
          <w:sz w:val="24"/>
          <w:szCs w:val="24"/>
        </w:rPr>
      </w:pPr>
    </w:p>
    <w:p w14:paraId="50ECF2CF" w14:textId="64909C48" w:rsidR="00CF5EFC" w:rsidRPr="000F4D2C" w:rsidRDefault="000D6E79" w:rsidP="00CF5EFC">
      <w:pPr>
        <w:pStyle w:val="Prrafodelista"/>
        <w:ind w:left="1701" w:hanging="851"/>
        <w:jc w:val="both"/>
        <w:rPr>
          <w:rFonts w:ascii="Bookman Old Style" w:hAnsi="Bookman Old Style"/>
          <w:spacing w:val="-2"/>
          <w:sz w:val="24"/>
          <w:szCs w:val="24"/>
        </w:rPr>
      </w:pPr>
      <m:oMath>
        <m:r>
          <m:rPr>
            <m:sty m:val="p"/>
          </m:rPr>
          <w:rPr>
            <w:rFonts w:ascii="Cambria Math" w:hAnsi="Cambria Math"/>
            <w:spacing w:val="-2"/>
            <w:sz w:val="24"/>
            <w:szCs w:val="24"/>
          </w:rPr>
          <m:t>CAP</m:t>
        </m:r>
        <m:r>
          <w:rPr>
            <w:rFonts w:ascii="Cambria Math" w:hAnsi="Cambria Math"/>
            <w:spacing w:val="-2"/>
            <w:sz w:val="24"/>
            <w:szCs w:val="24"/>
          </w:rPr>
          <m:t>:</m:t>
        </m:r>
      </m:oMath>
      <w:r w:rsidR="00CF5EFC" w:rsidRPr="000F4D2C">
        <w:rPr>
          <w:rFonts w:ascii="Bookman Old Style" w:hAnsi="Bookman Old Style"/>
          <w:spacing w:val="-2"/>
          <w:sz w:val="24"/>
          <w:szCs w:val="24"/>
        </w:rPr>
        <w:tab/>
        <w:t xml:space="preserve">Capacidad adjudicada del proyecto </w:t>
      </w:r>
      <w:r w:rsidR="00CF5EFC" w:rsidRPr="000F4D2C">
        <w:rPr>
          <w:rFonts w:ascii="Bookman Old Style" w:hAnsi="Bookman Old Style" w:cs="Cambria Math"/>
          <w:sz w:val="24"/>
          <w:szCs w:val="24"/>
          <w:lang w:val="es-ES_tradnl"/>
        </w:rPr>
        <w:t>PAG</w:t>
      </w:r>
      <w:r w:rsidR="00CC538D">
        <w:rPr>
          <w:rFonts w:ascii="Bookman Old Style" w:hAnsi="Bookman Old Style"/>
          <w:sz w:val="24"/>
          <w:szCs w:val="24"/>
        </w:rPr>
        <w:t>N</w:t>
      </w:r>
      <w:r w:rsidR="00CF5EFC" w:rsidRPr="000F4D2C">
        <w:rPr>
          <w:rFonts w:ascii="Bookman Old Style" w:hAnsi="Bookman Old Style"/>
          <w:spacing w:val="-2"/>
          <w:sz w:val="24"/>
          <w:szCs w:val="24"/>
        </w:rPr>
        <w:t xml:space="preserve">. Este valor estará expresado en las unidades de medida que se definan en los documentos de selección </w:t>
      </w:r>
      <w:r w:rsidR="00CF5EFC" w:rsidRPr="000F4D2C">
        <w:rPr>
          <w:rFonts w:ascii="Bookman Old Style" w:eastAsia="Bookman Old Style" w:hAnsi="Bookman Old Style"/>
          <w:spacing w:val="-2"/>
          <w:sz w:val="24"/>
          <w:szCs w:val="24"/>
        </w:rPr>
        <w:t>del inversionista</w:t>
      </w:r>
      <w:r w:rsidR="00CF5EFC" w:rsidRPr="000F4D2C">
        <w:rPr>
          <w:rFonts w:ascii="Bookman Old Style" w:hAnsi="Bookman Old Style"/>
          <w:spacing w:val="-2"/>
          <w:sz w:val="24"/>
          <w:szCs w:val="24"/>
        </w:rPr>
        <w:t>. En el caso de la operación parcial, este valor corresponderá a la capacidad certificada por el Auditor utilizada para efectos del ingreso regulado durante la operación parcial del proyecto.</w:t>
      </w:r>
    </w:p>
    <w:p w14:paraId="2D2BBE8D" w14:textId="77777777" w:rsidR="00CF5EFC" w:rsidRPr="000F4D2C" w:rsidRDefault="00CF5EFC" w:rsidP="00CF5EFC">
      <w:pPr>
        <w:pStyle w:val="Prrafodelista"/>
        <w:ind w:left="1701" w:hanging="851"/>
        <w:jc w:val="both"/>
        <w:rPr>
          <w:rFonts w:ascii="Bookman Old Style" w:hAnsi="Bookman Old Style"/>
          <w:spacing w:val="-2"/>
          <w:sz w:val="24"/>
          <w:szCs w:val="24"/>
        </w:rPr>
      </w:pPr>
    </w:p>
    <w:p w14:paraId="0239E86A" w14:textId="0E54640C" w:rsidR="00CF5EFC" w:rsidRPr="000F4D2C" w:rsidRDefault="000D6E79" w:rsidP="00CF5EFC">
      <w:pPr>
        <w:pStyle w:val="Prrafodelista"/>
        <w:ind w:left="1701" w:hanging="851"/>
        <w:jc w:val="both"/>
        <w:rPr>
          <w:rFonts w:ascii="Bookman Old Style" w:hAnsi="Bookman Old Style"/>
          <w:spacing w:val="-2"/>
          <w:sz w:val="24"/>
          <w:szCs w:val="24"/>
        </w:rPr>
      </w:pPr>
      <m:oMath>
        <m:r>
          <m:rPr>
            <m:sty m:val="p"/>
          </m:rPr>
          <w:rPr>
            <w:rFonts w:ascii="Cambria Math" w:hAnsi="Cambria Math"/>
            <w:spacing w:val="-2"/>
            <w:sz w:val="24"/>
            <w:szCs w:val="24"/>
          </w:rPr>
          <m:t>D</m:t>
        </m:r>
        <m:r>
          <w:rPr>
            <w:rFonts w:ascii="Cambria Math" w:hAnsi="Cambria Math"/>
            <w:spacing w:val="-2"/>
            <w:sz w:val="24"/>
            <w:szCs w:val="24"/>
          </w:rPr>
          <m:t>:</m:t>
        </m:r>
      </m:oMath>
      <w:r w:rsidR="00CF5EFC" w:rsidRPr="000F4D2C">
        <w:rPr>
          <w:rFonts w:ascii="Bookman Old Style" w:hAnsi="Bookman Old Style"/>
          <w:spacing w:val="-2"/>
          <w:sz w:val="24"/>
          <w:szCs w:val="24"/>
        </w:rPr>
        <w:tab/>
        <w:t xml:space="preserve">Número de días del mes </w:t>
      </w:r>
      <m:oMath>
        <m:r>
          <m:rPr>
            <m:sty m:val="p"/>
          </m:rPr>
          <w:rPr>
            <w:rFonts w:ascii="Cambria Math" w:hAnsi="Cambria Math"/>
            <w:spacing w:val="-2"/>
            <w:sz w:val="24"/>
            <w:szCs w:val="24"/>
          </w:rPr>
          <m:t>m</m:t>
        </m:r>
      </m:oMath>
      <w:r w:rsidR="00CF5EFC" w:rsidRPr="000F4D2C">
        <w:rPr>
          <w:rFonts w:ascii="Bookman Old Style" w:hAnsi="Bookman Old Style"/>
          <w:spacing w:val="-2"/>
          <w:sz w:val="24"/>
          <w:szCs w:val="24"/>
        </w:rPr>
        <w:t>.</w:t>
      </w:r>
    </w:p>
    <w:p w14:paraId="0295DF09" w14:textId="77777777" w:rsidR="00CF5EFC" w:rsidRPr="000F4D2C" w:rsidRDefault="00CF5EFC" w:rsidP="00CF5EFC">
      <w:pPr>
        <w:pStyle w:val="Prrafodelista"/>
        <w:ind w:left="1701" w:hanging="851"/>
        <w:jc w:val="both"/>
        <w:rPr>
          <w:rFonts w:ascii="Bookman Old Style" w:eastAsia="Bookman Old Style" w:hAnsi="Bookman Old Style" w:cs="Bookman Old Style"/>
          <w:sz w:val="24"/>
          <w:szCs w:val="24"/>
        </w:rPr>
      </w:pPr>
      <w:r w:rsidRPr="000F4D2C">
        <w:rPr>
          <w:rFonts w:ascii="Bookman Old Style" w:eastAsia="Bookman Old Style" w:hAnsi="Bookman Old Style" w:cs="Bookman Old Style"/>
          <w:sz w:val="24"/>
          <w:szCs w:val="24"/>
        </w:rPr>
        <w:t xml:space="preserve"> </w:t>
      </w:r>
    </w:p>
    <w:p w14:paraId="4A9A1C69" w14:textId="4307EBE5" w:rsidR="00CF5EFC" w:rsidRPr="000F4D2C" w:rsidRDefault="00CF5EFC" w:rsidP="00CF5EFC">
      <w:pPr>
        <w:pStyle w:val="Prrafodelista"/>
        <w:numPr>
          <w:ilvl w:val="0"/>
          <w:numId w:val="37"/>
        </w:numPr>
        <w:ind w:left="709" w:hanging="425"/>
        <w:jc w:val="both"/>
        <w:rPr>
          <w:rFonts w:ascii="Bookman Old Style" w:hAnsi="Bookman Old Style"/>
          <w:spacing w:val="-2"/>
          <w:sz w:val="24"/>
          <w:szCs w:val="24"/>
        </w:rPr>
      </w:pPr>
      <w:r w:rsidRPr="000F4D2C">
        <w:rPr>
          <w:rFonts w:ascii="Bookman Old Style" w:hAnsi="Bookman Old Style"/>
          <w:spacing w:val="-2"/>
          <w:sz w:val="24"/>
          <w:szCs w:val="24"/>
        </w:rPr>
        <w:t>Para cada proyecto el adjudicatario o el transportador incumbente que ejecute proyectos IPAT</w:t>
      </w:r>
      <w:r w:rsidRPr="000F4D2C">
        <w:rPr>
          <w:rFonts w:ascii="Bookman Old Style" w:hAnsi="Bookman Old Style"/>
          <w:sz w:val="24"/>
          <w:szCs w:val="24"/>
        </w:rPr>
        <w:t xml:space="preserve">, </w:t>
      </w:r>
      <w:r w:rsidRPr="000F4D2C">
        <w:rPr>
          <w:rFonts w:ascii="Bookman Old Style" w:hAnsi="Bookman Old Style"/>
          <w:spacing w:val="-2"/>
          <w:sz w:val="24"/>
          <w:szCs w:val="24"/>
        </w:rPr>
        <w:t xml:space="preserve">calculará las compensaciones por indisponibilidad en el mes </w:t>
      </w:r>
      <m:oMath>
        <m:r>
          <m:rPr>
            <m:sty m:val="p"/>
          </m:rPr>
          <w:rPr>
            <w:rFonts w:ascii="Cambria Math" w:hAnsi="Cambria Math"/>
            <w:spacing w:val="-2"/>
            <w:sz w:val="24"/>
            <w:szCs w:val="24"/>
          </w:rPr>
          <m:t>m</m:t>
        </m:r>
      </m:oMath>
      <w:r w:rsidRPr="000F4D2C">
        <w:rPr>
          <w:rFonts w:ascii="Bookman Old Style" w:hAnsi="Bookman Old Style"/>
          <w:spacing w:val="-2"/>
          <w:sz w:val="24"/>
          <w:szCs w:val="24"/>
        </w:rPr>
        <w:t xml:space="preserve">, con base en la siguiente ecuación. </w:t>
      </w:r>
    </w:p>
    <w:p w14:paraId="1540C534" w14:textId="77777777" w:rsidR="00CF5EFC" w:rsidRPr="000F4D2C" w:rsidRDefault="00CF5EFC" w:rsidP="00CF5EFC">
      <w:pPr>
        <w:jc w:val="both"/>
        <w:rPr>
          <w:rFonts w:ascii="Bookman Old Style" w:hAnsi="Bookman Old Style"/>
          <w:spacing w:val="-2"/>
        </w:rPr>
      </w:pPr>
    </w:p>
    <w:p w14:paraId="70DA1EA6" w14:textId="43C9EA99" w:rsidR="00CF5EFC" w:rsidRPr="000F4D2C" w:rsidRDefault="00B560EE" w:rsidP="00CF5EFC">
      <w:pPr>
        <w:pStyle w:val="Prrafodelista"/>
        <w:ind w:left="851"/>
        <w:jc w:val="center"/>
        <w:rPr>
          <w:rFonts w:ascii="Bookman Old Style" w:hAnsi="Bookman Old Style"/>
          <w:spacing w:val="-2"/>
          <w:sz w:val="24"/>
          <w:szCs w:val="24"/>
        </w:rPr>
      </w:pPr>
      <m:oMath>
        <m:sSub>
          <m:sSubPr>
            <m:ctrlPr>
              <w:rPr>
                <w:rFonts w:ascii="Cambria Math" w:hAnsi="Cambria Math"/>
                <w:spacing w:val="-2"/>
                <w:sz w:val="24"/>
                <w:szCs w:val="24"/>
              </w:rPr>
            </m:ctrlPr>
          </m:sSubPr>
          <m:e>
            <m:r>
              <m:rPr>
                <m:sty m:val="p"/>
              </m:rPr>
              <w:rPr>
                <w:rFonts w:ascii="Cambria Math" w:hAnsi="Cambria Math"/>
                <w:spacing w:val="-2"/>
                <w:sz w:val="24"/>
                <w:szCs w:val="24"/>
              </w:rPr>
              <m:t>COP</m:t>
            </m:r>
          </m:e>
          <m:sub>
            <m:r>
              <m:rPr>
                <m:sty m:val="p"/>
              </m:rPr>
              <w:rPr>
                <w:rFonts w:ascii="Cambria Math" w:hAnsi="Cambria Math"/>
                <w:spacing w:val="-2"/>
                <w:sz w:val="24"/>
                <w:szCs w:val="24"/>
              </w:rPr>
              <m:t>PAGN,m</m:t>
            </m:r>
          </m:sub>
        </m:sSub>
        <m:r>
          <m:rPr>
            <m:sty m:val="p"/>
          </m:rPr>
          <w:rPr>
            <w:rFonts w:ascii="Cambria Math" w:hAnsi="Cambria Math"/>
            <w:spacing w:val="-2"/>
            <w:sz w:val="24"/>
            <w:szCs w:val="24"/>
          </w:rPr>
          <m:t>=</m:t>
        </m:r>
        <m:sSub>
          <m:sSubPr>
            <m:ctrlPr>
              <w:rPr>
                <w:rFonts w:ascii="Cambria Math" w:hAnsi="Cambria Math"/>
                <w:spacing w:val="-2"/>
                <w:sz w:val="24"/>
                <w:szCs w:val="24"/>
              </w:rPr>
            </m:ctrlPr>
          </m:sSubPr>
          <m:e>
            <m:r>
              <m:rPr>
                <m:sty m:val="p"/>
              </m:rPr>
              <w:rPr>
                <w:rFonts w:ascii="Cambria Math" w:hAnsi="Cambria Math"/>
                <w:spacing w:val="-2"/>
                <w:sz w:val="24"/>
                <w:szCs w:val="24"/>
              </w:rPr>
              <m:t>IMT</m:t>
            </m:r>
          </m:e>
          <m:sub>
            <m:r>
              <m:rPr>
                <m:sty m:val="p"/>
              </m:rPr>
              <w:rPr>
                <w:rFonts w:ascii="Cambria Math" w:hAnsi="Cambria Math"/>
                <w:spacing w:val="-2"/>
                <w:sz w:val="24"/>
                <w:szCs w:val="24"/>
              </w:rPr>
              <m:t>PAGN,m,t</m:t>
            </m:r>
          </m:sub>
        </m:sSub>
        <m:r>
          <m:rPr>
            <m:sty m:val="p"/>
          </m:rPr>
          <w:rPr>
            <w:rFonts w:ascii="Cambria Math" w:hAnsi="Cambria Math"/>
            <w:spacing w:val="-2"/>
            <w:sz w:val="24"/>
            <w:szCs w:val="24"/>
          </w:rPr>
          <m:t>×</m:t>
        </m:r>
        <m:sSub>
          <m:sSubPr>
            <m:ctrlPr>
              <w:rPr>
                <w:rFonts w:ascii="Cambria Math" w:hAnsi="Cambria Math"/>
                <w:spacing w:val="-2"/>
                <w:sz w:val="24"/>
                <w:szCs w:val="24"/>
              </w:rPr>
            </m:ctrlPr>
          </m:sSubPr>
          <m:e>
            <m:r>
              <m:rPr>
                <m:sty m:val="p"/>
              </m:rPr>
              <w:rPr>
                <w:rFonts w:ascii="Cambria Math" w:hAnsi="Cambria Math"/>
                <w:spacing w:val="-2"/>
                <w:sz w:val="24"/>
                <w:szCs w:val="24"/>
              </w:rPr>
              <m:t>I</m:t>
            </m:r>
          </m:e>
          <m:sub>
            <m:r>
              <m:rPr>
                <m:sty m:val="p"/>
              </m:rPr>
              <w:rPr>
                <w:rFonts w:ascii="Cambria Math" w:hAnsi="Cambria Math"/>
                <w:spacing w:val="-2"/>
                <w:sz w:val="24"/>
                <w:szCs w:val="24"/>
              </w:rPr>
              <m:t>PAGN,m,</m:t>
            </m:r>
          </m:sub>
        </m:sSub>
        <m:r>
          <m:rPr>
            <m:sty m:val="p"/>
          </m:rPr>
          <w:rPr>
            <w:rFonts w:ascii="Cambria Math" w:hAnsi="Cambria Math"/>
            <w:spacing w:val="-2"/>
            <w:sz w:val="24"/>
            <w:szCs w:val="24"/>
          </w:rPr>
          <m:t>×(1+ %adicional</m:t>
        </m:r>
      </m:oMath>
      <w:r w:rsidR="00CF5EFC" w:rsidRPr="000F4D2C">
        <w:rPr>
          <w:rFonts w:ascii="Bookman Old Style" w:hAnsi="Bookman Old Style"/>
          <w:spacing w:val="-2"/>
          <w:sz w:val="24"/>
          <w:szCs w:val="24"/>
        </w:rPr>
        <w:t>)</w:t>
      </w:r>
    </w:p>
    <w:p w14:paraId="7AD6C06F" w14:textId="77777777" w:rsidR="00CF5EFC" w:rsidRPr="000F4D2C" w:rsidRDefault="00CF5EFC" w:rsidP="00CF5EFC">
      <w:pPr>
        <w:pStyle w:val="Prrafodelista"/>
        <w:ind w:left="851"/>
        <w:jc w:val="center"/>
        <w:rPr>
          <w:rFonts w:ascii="Bookman Old Style" w:hAnsi="Bookman Old Style"/>
          <w:spacing w:val="-2"/>
          <w:sz w:val="24"/>
          <w:szCs w:val="24"/>
        </w:rPr>
      </w:pPr>
    </w:p>
    <w:p w14:paraId="1BA16587" w14:textId="77777777" w:rsidR="00CF5EFC" w:rsidRPr="000F4D2C" w:rsidRDefault="00CF5EFC" w:rsidP="00CF5EFC">
      <w:pPr>
        <w:pStyle w:val="Prrafodelista"/>
        <w:ind w:left="851"/>
        <w:jc w:val="both"/>
        <w:rPr>
          <w:rFonts w:ascii="Bookman Old Style" w:hAnsi="Bookman Old Style"/>
          <w:spacing w:val="-2"/>
          <w:sz w:val="24"/>
          <w:szCs w:val="24"/>
        </w:rPr>
      </w:pPr>
      <w:r w:rsidRPr="000F4D2C">
        <w:rPr>
          <w:rFonts w:ascii="Bookman Old Style" w:hAnsi="Bookman Old Style"/>
          <w:spacing w:val="-2"/>
          <w:sz w:val="24"/>
          <w:szCs w:val="24"/>
        </w:rPr>
        <w:t>Donde:</w:t>
      </w:r>
    </w:p>
    <w:p w14:paraId="19C0A19F" w14:textId="77777777" w:rsidR="00CF5EFC" w:rsidRPr="000F4D2C" w:rsidRDefault="00CF5EFC" w:rsidP="00CF5EFC">
      <w:pPr>
        <w:pStyle w:val="Prrafodelista"/>
        <w:jc w:val="both"/>
        <w:rPr>
          <w:rFonts w:ascii="Bookman Old Style" w:hAnsi="Bookman Old Style"/>
          <w:spacing w:val="-2"/>
          <w:sz w:val="24"/>
          <w:szCs w:val="24"/>
        </w:rPr>
      </w:pPr>
    </w:p>
    <w:p w14:paraId="0E04FF5F" w14:textId="59535FBF" w:rsidR="00CF5EFC" w:rsidRPr="000F4D2C" w:rsidRDefault="00B560EE" w:rsidP="00CF5EFC">
      <w:pPr>
        <w:pStyle w:val="Prrafodelista"/>
        <w:ind w:left="2268" w:hanging="1417"/>
        <w:jc w:val="both"/>
        <w:rPr>
          <w:rFonts w:ascii="Bookman Old Style" w:hAnsi="Bookman Old Style" w:cs="Arial"/>
          <w:color w:val="000000"/>
          <w:spacing w:val="-4"/>
          <w:sz w:val="24"/>
          <w:szCs w:val="24"/>
        </w:rPr>
      </w:pPr>
      <m:oMath>
        <m:sSub>
          <m:sSubPr>
            <m:ctrlPr>
              <w:rPr>
                <w:rFonts w:ascii="Cambria Math" w:hAnsi="Cambria Math"/>
                <w:spacing w:val="-2"/>
                <w:sz w:val="24"/>
                <w:szCs w:val="24"/>
              </w:rPr>
            </m:ctrlPr>
          </m:sSubPr>
          <m:e>
            <m:r>
              <m:rPr>
                <m:sty m:val="p"/>
              </m:rPr>
              <w:rPr>
                <w:rFonts w:ascii="Cambria Math" w:hAnsi="Cambria Math"/>
                <w:spacing w:val="-2"/>
                <w:sz w:val="24"/>
                <w:szCs w:val="24"/>
              </w:rPr>
              <m:t>COP</m:t>
            </m:r>
          </m:e>
          <m:sub>
            <m:r>
              <m:rPr>
                <m:sty m:val="p"/>
              </m:rPr>
              <w:rPr>
                <w:rFonts w:ascii="Cambria Math" w:hAnsi="Cambria Math"/>
                <w:spacing w:val="-2"/>
                <w:sz w:val="24"/>
                <w:szCs w:val="24"/>
              </w:rPr>
              <m:t>PAGN,m</m:t>
            </m:r>
          </m:sub>
        </m:sSub>
        <m:r>
          <w:rPr>
            <w:rFonts w:ascii="Cambria Math" w:hAnsi="Cambria Math"/>
            <w:spacing w:val="-2"/>
            <w:sz w:val="24"/>
            <w:szCs w:val="24"/>
          </w:rPr>
          <m:t>:</m:t>
        </m:r>
      </m:oMath>
      <w:r w:rsidR="00CF5EFC" w:rsidRPr="000F4D2C">
        <w:rPr>
          <w:rFonts w:ascii="Bookman Old Style" w:hAnsi="Bookman Old Style"/>
          <w:spacing w:val="-2"/>
          <w:sz w:val="24"/>
          <w:szCs w:val="24"/>
        </w:rPr>
        <w:tab/>
      </w:r>
      <w:r w:rsidR="00CF5EFC" w:rsidRPr="000F4D2C">
        <w:rPr>
          <w:rFonts w:ascii="Bookman Old Style" w:hAnsi="Bookman Old Style" w:cs="Arial"/>
          <w:color w:val="000000"/>
          <w:spacing w:val="-4"/>
          <w:sz w:val="24"/>
          <w:szCs w:val="24"/>
        </w:rPr>
        <w:t xml:space="preserve">Valor de las compensaciones por indisponibilidad durante el mes </w:t>
      </w:r>
      <m:oMath>
        <m:r>
          <w:rPr>
            <w:rFonts w:ascii="Cambria Math" w:hAnsi="Cambria Math"/>
            <w:spacing w:val="-2"/>
            <w:sz w:val="24"/>
            <w:szCs w:val="24"/>
          </w:rPr>
          <m:t>m</m:t>
        </m:r>
      </m:oMath>
      <w:r w:rsidR="00CF5EFC" w:rsidRPr="000F4D2C">
        <w:rPr>
          <w:rFonts w:ascii="Bookman Old Style" w:hAnsi="Bookman Old Style" w:cs="Arial"/>
          <w:color w:val="000000"/>
          <w:spacing w:val="-4"/>
          <w:sz w:val="24"/>
          <w:szCs w:val="24"/>
        </w:rPr>
        <w:t xml:space="preserve">, del proyecto </w:t>
      </w:r>
      <w:r w:rsidR="00CF5EFC" w:rsidRPr="000F4D2C">
        <w:rPr>
          <w:rFonts w:ascii="Bookman Old Style" w:hAnsi="Bookman Old Style" w:cs="Cambria Math"/>
          <w:sz w:val="24"/>
          <w:szCs w:val="24"/>
          <w:lang w:val="es-ES_tradnl"/>
        </w:rPr>
        <w:t>PAGN</w:t>
      </w:r>
      <w:r w:rsidR="00CF5EFC" w:rsidRPr="000F4D2C">
        <w:rPr>
          <w:rFonts w:ascii="Bookman Old Style" w:hAnsi="Bookman Old Style" w:cs="Arial"/>
          <w:color w:val="000000"/>
          <w:spacing w:val="-4"/>
          <w:sz w:val="24"/>
          <w:szCs w:val="24"/>
        </w:rPr>
        <w:t>. Este valor estará expresado en pesos actualizados y liquidados como se dispone en el Artículo 17 de la presente Resolución.</w:t>
      </w:r>
    </w:p>
    <w:p w14:paraId="70C5923C" w14:textId="77777777" w:rsidR="00CF5EFC" w:rsidRPr="000F4D2C" w:rsidRDefault="00CF5EFC" w:rsidP="00CF5EFC">
      <w:pPr>
        <w:pStyle w:val="Prrafodelista"/>
        <w:ind w:left="2552" w:hanging="1418"/>
        <w:jc w:val="both"/>
        <w:rPr>
          <w:rFonts w:ascii="Bookman Old Style" w:hAnsi="Bookman Old Style" w:cs="Arial"/>
          <w:color w:val="000000"/>
          <w:spacing w:val="-4"/>
          <w:sz w:val="24"/>
          <w:szCs w:val="24"/>
        </w:rPr>
      </w:pPr>
    </w:p>
    <w:p w14:paraId="668806E0" w14:textId="0B78955B" w:rsidR="00CF5EFC" w:rsidRPr="000F4D2C" w:rsidRDefault="00B560EE" w:rsidP="00CF5EFC">
      <w:pPr>
        <w:pStyle w:val="Prrafodelista"/>
        <w:ind w:left="2268" w:hanging="1417"/>
        <w:jc w:val="both"/>
        <w:rPr>
          <w:rFonts w:ascii="Bookman Old Style" w:hAnsi="Bookman Old Style"/>
          <w:spacing w:val="-2"/>
          <w:sz w:val="24"/>
          <w:szCs w:val="24"/>
        </w:rPr>
      </w:pPr>
      <m:oMath>
        <m:sSub>
          <m:sSubPr>
            <m:ctrlPr>
              <w:rPr>
                <w:rFonts w:ascii="Cambria Math" w:hAnsi="Cambria Math"/>
                <w:spacing w:val="-2"/>
                <w:sz w:val="24"/>
                <w:szCs w:val="24"/>
              </w:rPr>
            </m:ctrlPr>
          </m:sSubPr>
          <m:e>
            <m:r>
              <m:rPr>
                <m:sty m:val="p"/>
              </m:rPr>
              <w:rPr>
                <w:rFonts w:ascii="Cambria Math" w:hAnsi="Cambria Math"/>
                <w:spacing w:val="-2"/>
                <w:sz w:val="24"/>
                <w:szCs w:val="24"/>
              </w:rPr>
              <m:t>IMT</m:t>
            </m:r>
          </m:e>
          <m:sub>
            <m:r>
              <m:rPr>
                <m:sty m:val="p"/>
              </m:rPr>
              <w:rPr>
                <w:rFonts w:ascii="Cambria Math" w:hAnsi="Cambria Math"/>
                <w:spacing w:val="-2"/>
                <w:sz w:val="24"/>
                <w:szCs w:val="24"/>
              </w:rPr>
              <m:t>PAGN,m,t</m:t>
            </m:r>
          </m:sub>
        </m:sSub>
        <m:r>
          <w:rPr>
            <w:rFonts w:ascii="Cambria Math" w:hAnsi="Cambria Math"/>
            <w:spacing w:val="-2"/>
            <w:sz w:val="24"/>
            <w:szCs w:val="24"/>
          </w:rPr>
          <m:t>:</m:t>
        </m:r>
      </m:oMath>
      <w:r w:rsidR="00CF5EFC" w:rsidRPr="000F4D2C">
        <w:rPr>
          <w:rFonts w:ascii="Bookman Old Style" w:hAnsi="Bookman Old Style"/>
          <w:spacing w:val="-2"/>
          <w:sz w:val="24"/>
          <w:szCs w:val="24"/>
        </w:rPr>
        <w:tab/>
        <w:t>P</w:t>
      </w:r>
      <w:r w:rsidR="00CF5EFC" w:rsidRPr="000F4D2C">
        <w:rPr>
          <w:rFonts w:ascii="Bookman Old Style" w:hAnsi="Bookman Old Style" w:cs="Arial"/>
          <w:color w:val="000000"/>
          <w:spacing w:val="-4"/>
          <w:sz w:val="24"/>
          <w:szCs w:val="24"/>
        </w:rPr>
        <w:t xml:space="preserve">orción del </w:t>
      </w:r>
      <m:oMath>
        <m:r>
          <m:rPr>
            <m:sty m:val="p"/>
          </m:rPr>
          <w:rPr>
            <w:rFonts w:ascii="Cambria Math" w:hAnsi="Cambria Math" w:cs="Arial"/>
            <w:sz w:val="24"/>
            <w:szCs w:val="24"/>
          </w:rPr>
          <m:t>IAE</m:t>
        </m:r>
      </m:oMath>
      <w:r w:rsidR="00CF5EFC" w:rsidRPr="000F4D2C">
        <w:rPr>
          <w:rFonts w:ascii="Bookman Old Style" w:hAnsi="Bookman Old Style" w:cs="Arial"/>
          <w:color w:val="000000"/>
          <w:spacing w:val="-4"/>
          <w:sz w:val="24"/>
          <w:szCs w:val="24"/>
        </w:rPr>
        <w:t xml:space="preserve"> que corresponde pagar a los beneficiarios atendidos en el sistema</w:t>
      </w:r>
      <w:r w:rsidR="00CF5EFC" w:rsidRPr="000F4D2C">
        <w:rPr>
          <w:rFonts w:ascii="Bookman Old Style" w:hAnsi="Bookman Old Style"/>
          <w:spacing w:val="-2"/>
          <w:sz w:val="24"/>
          <w:szCs w:val="24"/>
        </w:rPr>
        <w:t xml:space="preserve"> </w:t>
      </w:r>
      <w:r w:rsidR="00CF5EFC" w:rsidRPr="00C614B4">
        <w:rPr>
          <w:rFonts w:ascii="Bookman Old Style" w:hAnsi="Bookman Old Style"/>
          <w:i/>
          <w:iCs/>
          <w:spacing w:val="-2"/>
          <w:sz w:val="24"/>
          <w:szCs w:val="24"/>
        </w:rPr>
        <w:t>t</w:t>
      </w:r>
      <w:r w:rsidR="00CF5EFC" w:rsidRPr="000F4D2C">
        <w:rPr>
          <w:rFonts w:ascii="Bookman Old Style" w:hAnsi="Bookman Old Style"/>
          <w:spacing w:val="-2"/>
          <w:sz w:val="24"/>
          <w:szCs w:val="24"/>
        </w:rPr>
        <w:t xml:space="preserve"> del transportador para el mes </w:t>
      </w:r>
      <m:oMath>
        <m:r>
          <w:rPr>
            <w:rFonts w:ascii="Cambria Math" w:hAnsi="Cambria Math"/>
            <w:spacing w:val="-2"/>
            <w:sz w:val="24"/>
            <w:szCs w:val="24"/>
          </w:rPr>
          <m:t>m</m:t>
        </m:r>
      </m:oMath>
      <w:r w:rsidR="00CF5EFC" w:rsidRPr="000F4D2C">
        <w:rPr>
          <w:rFonts w:ascii="Bookman Old Style" w:hAnsi="Bookman Old Style"/>
          <w:spacing w:val="-2"/>
          <w:sz w:val="24"/>
          <w:szCs w:val="24"/>
        </w:rPr>
        <w:t xml:space="preserve">, del proyecto </w:t>
      </w:r>
      <m:oMath>
        <m:r>
          <m:rPr>
            <m:sty m:val="p"/>
          </m:rPr>
          <w:rPr>
            <w:rFonts w:ascii="Cambria Math" w:hAnsi="Cambria Math" w:cs="Arial"/>
            <w:color w:val="000000"/>
            <w:spacing w:val="-4"/>
            <w:sz w:val="24"/>
            <w:szCs w:val="24"/>
          </w:rPr>
          <m:t>PAGN</m:t>
        </m:r>
      </m:oMath>
      <w:r w:rsidR="00CF5EFC" w:rsidRPr="000F4D2C">
        <w:rPr>
          <w:rFonts w:ascii="Bookman Old Style" w:hAnsi="Bookman Old Style"/>
          <w:spacing w:val="-2"/>
          <w:sz w:val="24"/>
          <w:szCs w:val="24"/>
        </w:rPr>
        <w:t>. Este valor estará</w:t>
      </w:r>
      <w:r w:rsidR="00CF5EFC" w:rsidRPr="000F4D2C">
        <w:rPr>
          <w:rFonts w:ascii="Bookman Old Style" w:hAnsi="Bookman Old Style" w:cs="Arial"/>
          <w:color w:val="000000"/>
          <w:spacing w:val="-4"/>
          <w:sz w:val="24"/>
          <w:szCs w:val="24"/>
        </w:rPr>
        <w:t xml:space="preserve"> expresado en pesos actualizados y liquidados como se dispone en el Artículo 17 de la presente Resolución. </w:t>
      </w:r>
      <w:r w:rsidR="00CF5EFC" w:rsidRPr="000F4D2C">
        <w:rPr>
          <w:rFonts w:ascii="Bookman Old Style" w:hAnsi="Bookman Old Style"/>
          <w:spacing w:val="-2"/>
          <w:sz w:val="24"/>
          <w:szCs w:val="24"/>
        </w:rPr>
        <w:t>En el caso de la Operación Parcial, corresponderá a la remuneración establecida para efectos del ingreso regulado durante la Operación Parcial del proyecto.</w:t>
      </w:r>
    </w:p>
    <w:p w14:paraId="0B7C9B9E" w14:textId="77777777" w:rsidR="00CF5EFC" w:rsidRPr="000F4D2C" w:rsidRDefault="00CF5EFC" w:rsidP="00CF5EFC">
      <w:pPr>
        <w:pStyle w:val="Prrafodelista"/>
        <w:ind w:left="2268" w:hanging="1417"/>
        <w:jc w:val="both"/>
        <w:rPr>
          <w:rFonts w:ascii="Bookman Old Style" w:hAnsi="Bookman Old Style"/>
          <w:spacing w:val="-2"/>
          <w:sz w:val="24"/>
          <w:szCs w:val="24"/>
        </w:rPr>
      </w:pPr>
    </w:p>
    <w:p w14:paraId="466AA084" w14:textId="77777777" w:rsidR="00CF5EFC" w:rsidRPr="000F4D2C" w:rsidRDefault="00CF5EFC" w:rsidP="00CF5EFC">
      <w:pPr>
        <w:pStyle w:val="Prrafodelista"/>
        <w:ind w:left="2268" w:hanging="1417"/>
        <w:jc w:val="both"/>
        <w:rPr>
          <w:rFonts w:ascii="Bookman Old Style" w:hAnsi="Bookman Old Style"/>
          <w:spacing w:val="-2"/>
          <w:sz w:val="24"/>
          <w:szCs w:val="24"/>
        </w:rPr>
      </w:pPr>
      <w:r w:rsidRPr="000F4D2C">
        <w:rPr>
          <w:rFonts w:ascii="Bookman Old Style" w:hAnsi="Bookman Old Style"/>
          <w:spacing w:val="-2"/>
          <w:sz w:val="24"/>
          <w:szCs w:val="24"/>
        </w:rPr>
        <w:t xml:space="preserve">%adicional: Valor del porcentaje adicional reconocido al adjudicatario o al transportador incumbente que ejecuta un proyecto </w:t>
      </w:r>
      <w:r w:rsidRPr="000F4D2C">
        <w:rPr>
          <w:rFonts w:ascii="Bookman Old Style" w:hAnsi="Bookman Old Style"/>
          <w:b/>
          <w:spacing w:val="-2"/>
          <w:sz w:val="24"/>
          <w:szCs w:val="24"/>
        </w:rPr>
        <w:t>IPAT</w:t>
      </w:r>
      <w:r w:rsidRPr="000F4D2C">
        <w:rPr>
          <w:rFonts w:ascii="Bookman Old Style" w:hAnsi="Bookman Old Style"/>
          <w:spacing w:val="-2"/>
          <w:sz w:val="24"/>
          <w:szCs w:val="24"/>
        </w:rPr>
        <w:t>, por una entrada en operación en fecha anticipada, o por una entrada en operación parcial en fecha anticipada, de acuerdo con lo establecido en el numeral i) del literal c) y el literal d) del Artículo 12 de la presente Resolución.</w:t>
      </w:r>
    </w:p>
    <w:p w14:paraId="039CB090" w14:textId="77777777" w:rsidR="00CF5EFC" w:rsidRPr="000F4D2C" w:rsidRDefault="00CF5EFC" w:rsidP="00CF5EFC">
      <w:pPr>
        <w:pStyle w:val="Prrafodelista"/>
        <w:ind w:left="2268" w:hanging="1417"/>
        <w:jc w:val="both"/>
        <w:rPr>
          <w:rFonts w:ascii="Bookman Old Style" w:hAnsi="Bookman Old Style"/>
          <w:spacing w:val="-2"/>
          <w:sz w:val="24"/>
          <w:szCs w:val="24"/>
        </w:rPr>
      </w:pPr>
    </w:p>
    <w:p w14:paraId="08407798" w14:textId="1F843DD4" w:rsidR="00CF5EFC" w:rsidRPr="000F4D2C" w:rsidRDefault="00CF5EFC" w:rsidP="000F4D2C">
      <w:pPr>
        <w:pStyle w:val="Prrafodelista"/>
        <w:numPr>
          <w:ilvl w:val="0"/>
          <w:numId w:val="37"/>
        </w:numPr>
        <w:ind w:left="709" w:hanging="425"/>
        <w:jc w:val="both"/>
        <w:rPr>
          <w:rFonts w:ascii="Bookman Old Style" w:hAnsi="Bookman Old Style"/>
          <w:spacing w:val="-2"/>
          <w:sz w:val="24"/>
          <w:szCs w:val="24"/>
        </w:rPr>
      </w:pPr>
      <w:r w:rsidRPr="000F4D2C">
        <w:rPr>
          <w:rFonts w:ascii="Bookman Old Style" w:hAnsi="Bookman Old Style"/>
          <w:spacing w:val="-2"/>
          <w:sz w:val="24"/>
          <w:szCs w:val="24"/>
        </w:rPr>
        <w:t xml:space="preserve">Se considerará como indisponibilidad del proyecto aquella causada por eventos distintos a fuerza mayor, caso fortuito o causa extraña, y a los eventos eximentes de responsabilidad establecidos en los numerales 1, 2 y 3 del Artículo 11 de la Resolución CREG 185 de 2020, o aquellas que la modifiquen o sustituyan. </w:t>
      </w:r>
    </w:p>
    <w:p w14:paraId="242D4EFF" w14:textId="77777777" w:rsidR="00F7643B" w:rsidRDefault="00F7643B" w:rsidP="00F60C74">
      <w:pPr>
        <w:spacing w:after="0" w:line="240" w:lineRule="auto"/>
        <w:ind w:left="709"/>
        <w:jc w:val="both"/>
        <w:rPr>
          <w:rFonts w:ascii="Bookman Old Style" w:hAnsi="Bookman Old Style"/>
          <w:spacing w:val="-2"/>
          <w:sz w:val="24"/>
          <w:szCs w:val="24"/>
        </w:rPr>
      </w:pPr>
    </w:p>
    <w:p w14:paraId="2C38C787" w14:textId="6F477A57" w:rsidR="00CF5EFC" w:rsidRPr="000F4D2C" w:rsidRDefault="00CF5EFC" w:rsidP="000F4D2C">
      <w:pPr>
        <w:spacing w:after="0" w:line="240" w:lineRule="auto"/>
        <w:ind w:left="709"/>
        <w:jc w:val="both"/>
        <w:rPr>
          <w:rFonts w:ascii="Bookman Old Style" w:hAnsi="Bookman Old Style"/>
          <w:spacing w:val="-2"/>
          <w:sz w:val="24"/>
          <w:szCs w:val="24"/>
        </w:rPr>
      </w:pPr>
      <w:r w:rsidRPr="000F4D2C">
        <w:rPr>
          <w:rFonts w:ascii="Bookman Old Style" w:hAnsi="Bookman Old Style"/>
          <w:spacing w:val="-2"/>
          <w:sz w:val="24"/>
          <w:szCs w:val="24"/>
        </w:rPr>
        <w:lastRenderedPageBreak/>
        <w:t xml:space="preserve">En el caso de presentarse las situaciones anteriores, cuya duración se prevea que supere cinco (5) días calendario, durante este lapso, el adjudicatario del proyecto o el transportador incumbente que ejecute proyectos </w:t>
      </w:r>
      <w:r w:rsidRPr="000F4D2C">
        <w:rPr>
          <w:rFonts w:ascii="Bookman Old Style" w:hAnsi="Bookman Old Style"/>
          <w:b/>
          <w:spacing w:val="-2"/>
          <w:sz w:val="24"/>
          <w:szCs w:val="24"/>
        </w:rPr>
        <w:t>IPAT</w:t>
      </w:r>
      <w:r w:rsidRPr="000F4D2C">
        <w:rPr>
          <w:rFonts w:ascii="Bookman Old Style" w:hAnsi="Bookman Old Style"/>
          <w:spacing w:val="-2"/>
          <w:sz w:val="24"/>
          <w:szCs w:val="24"/>
        </w:rPr>
        <w:t xml:space="preserve">, deberá informar a la CREG tal situación, las circunstancias constitutivas del evento de fuerza mayor, caso fortuito o causa extraña, toda la información necesaria para demostrar la ocurrencia del mismo, los efectos del evento en la prestación del servicio para los beneficiarios, y el plan de recuperación de la disponibilidad total de la capacidad del servicio. </w:t>
      </w:r>
    </w:p>
    <w:p w14:paraId="194B608F" w14:textId="77777777" w:rsidR="00CF5EFC" w:rsidRPr="000F4D2C" w:rsidRDefault="00CF5EFC" w:rsidP="000F4D2C">
      <w:pPr>
        <w:spacing w:after="0" w:line="240" w:lineRule="auto"/>
        <w:ind w:left="709"/>
        <w:jc w:val="both"/>
        <w:rPr>
          <w:rFonts w:ascii="Bookman Old Style" w:hAnsi="Bookman Old Style"/>
          <w:spacing w:val="-2"/>
          <w:sz w:val="24"/>
          <w:szCs w:val="24"/>
        </w:rPr>
      </w:pPr>
    </w:p>
    <w:p w14:paraId="7BC4119B" w14:textId="77777777" w:rsidR="00CF5EFC" w:rsidRDefault="00CF5EFC" w:rsidP="00F60C74">
      <w:pPr>
        <w:spacing w:after="0" w:line="240" w:lineRule="auto"/>
        <w:ind w:left="709"/>
        <w:jc w:val="both"/>
        <w:rPr>
          <w:rFonts w:ascii="Bookman Old Style" w:hAnsi="Bookman Old Style"/>
          <w:spacing w:val="-2"/>
          <w:sz w:val="24"/>
          <w:szCs w:val="24"/>
        </w:rPr>
      </w:pPr>
      <w:r w:rsidRPr="000F4D2C">
        <w:rPr>
          <w:rFonts w:ascii="Bookman Old Style" w:hAnsi="Bookman Old Style"/>
          <w:spacing w:val="-2"/>
          <w:sz w:val="24"/>
          <w:szCs w:val="24"/>
        </w:rPr>
        <w:t xml:space="preserve">Adicionalmente, en caso de presentarse eventos de fuerza mayor, caso fortuito o causa extraña, deberá contratar, asumiendo su costo, una auditoría externa que permita verificar el cumplimiento de la debida diligencia de parte del adjudicatario o del transportador incumbente que ejecute proyectos </w:t>
      </w:r>
      <w:r w:rsidRPr="000F4D2C">
        <w:rPr>
          <w:rFonts w:ascii="Bookman Old Style" w:hAnsi="Bookman Old Style"/>
          <w:b/>
          <w:spacing w:val="-2"/>
          <w:sz w:val="24"/>
          <w:szCs w:val="24"/>
        </w:rPr>
        <w:t>IPAT</w:t>
      </w:r>
      <w:r w:rsidRPr="000F4D2C">
        <w:rPr>
          <w:rFonts w:ascii="Bookman Old Style" w:hAnsi="Bookman Old Style"/>
          <w:spacing w:val="-2"/>
          <w:sz w:val="24"/>
          <w:szCs w:val="24"/>
        </w:rPr>
        <w:t xml:space="preserve">, con el fin de recuperar, en el menor tiempo posible, la disponibilidad parcial o total del servicio. </w:t>
      </w:r>
    </w:p>
    <w:p w14:paraId="152AAD97" w14:textId="77777777" w:rsidR="00226339" w:rsidRDefault="00226339" w:rsidP="00F60C74">
      <w:pPr>
        <w:spacing w:after="0" w:line="240" w:lineRule="auto"/>
        <w:ind w:left="709"/>
        <w:jc w:val="both"/>
        <w:rPr>
          <w:rFonts w:ascii="Bookman Old Style" w:hAnsi="Bookman Old Style"/>
          <w:spacing w:val="-2"/>
          <w:sz w:val="24"/>
          <w:szCs w:val="24"/>
        </w:rPr>
      </w:pPr>
    </w:p>
    <w:p w14:paraId="289D4F38" w14:textId="77777777" w:rsidR="002E31D1" w:rsidRDefault="00226339" w:rsidP="00F60C74">
      <w:pPr>
        <w:spacing w:after="0" w:line="240" w:lineRule="auto"/>
        <w:ind w:left="709"/>
        <w:jc w:val="both"/>
        <w:rPr>
          <w:rFonts w:ascii="Bookman Old Style" w:hAnsi="Bookman Old Style"/>
          <w:b/>
          <w:bCs/>
          <w:spacing w:val="-2"/>
          <w:sz w:val="24"/>
          <w:szCs w:val="24"/>
          <w:u w:val="single"/>
        </w:rPr>
      </w:pPr>
      <w:r w:rsidRPr="000F4D2C">
        <w:rPr>
          <w:rFonts w:ascii="Bookman Old Style" w:hAnsi="Bookman Old Style"/>
          <w:b/>
          <w:bCs/>
          <w:spacing w:val="-2"/>
          <w:sz w:val="24"/>
          <w:szCs w:val="24"/>
          <w:u w:val="single"/>
        </w:rPr>
        <w:t xml:space="preserve">La duración </w:t>
      </w:r>
      <w:r w:rsidR="00945510">
        <w:rPr>
          <w:rFonts w:ascii="Bookman Old Style" w:hAnsi="Bookman Old Style"/>
          <w:b/>
          <w:bCs/>
          <w:spacing w:val="-2"/>
          <w:sz w:val="24"/>
          <w:szCs w:val="24"/>
          <w:u w:val="single"/>
        </w:rPr>
        <w:t xml:space="preserve">total </w:t>
      </w:r>
      <w:r w:rsidRPr="000F4D2C">
        <w:rPr>
          <w:rFonts w:ascii="Bookman Old Style" w:hAnsi="Bookman Old Style"/>
          <w:b/>
          <w:bCs/>
          <w:spacing w:val="-2"/>
          <w:sz w:val="24"/>
          <w:szCs w:val="24"/>
          <w:u w:val="single"/>
        </w:rPr>
        <w:t xml:space="preserve">de las indisponibilidades del proyecto con factores de indisponibilidad superiores al cincuenta por ciento (50%), causadas por eventos de fuerza mayor, caso fortuito o causa extraña, y por los eventos eximentes de responsabilidad establecidos en los numerales 1, 2 y 3 del Artículo 11 de la Resolución CREG 185 de 2020, o aquellas que la modifiquen o sustituyan, cuya duración haya superado en cada evento </w:t>
      </w:r>
      <w:r w:rsidR="00D7297B">
        <w:rPr>
          <w:rFonts w:ascii="Bookman Old Style" w:hAnsi="Bookman Old Style"/>
          <w:b/>
          <w:bCs/>
          <w:spacing w:val="-2"/>
          <w:sz w:val="24"/>
          <w:szCs w:val="24"/>
          <w:u w:val="single"/>
        </w:rPr>
        <w:t xml:space="preserve">los </w:t>
      </w:r>
      <w:r w:rsidRPr="000F4D2C">
        <w:rPr>
          <w:rFonts w:ascii="Bookman Old Style" w:hAnsi="Bookman Old Style"/>
          <w:b/>
          <w:bCs/>
          <w:spacing w:val="-2"/>
          <w:sz w:val="24"/>
          <w:szCs w:val="24"/>
          <w:u w:val="single"/>
        </w:rPr>
        <w:t>cinco (5) días calendario, será adicionada a la duración de la prestación del servicio del proyecto después de cumplir el PEP contado a partir de la fecha de puesta en operación certificada por el auditor. Durante este período</w:t>
      </w:r>
      <w:r w:rsidR="00E56D87">
        <w:rPr>
          <w:rFonts w:ascii="Bookman Old Style" w:hAnsi="Bookman Old Style"/>
          <w:b/>
          <w:bCs/>
          <w:spacing w:val="-2"/>
          <w:sz w:val="24"/>
          <w:szCs w:val="24"/>
          <w:u w:val="single"/>
        </w:rPr>
        <w:t xml:space="preserve"> adicional</w:t>
      </w:r>
      <w:r w:rsidRPr="000F4D2C">
        <w:rPr>
          <w:rFonts w:ascii="Bookman Old Style" w:hAnsi="Bookman Old Style"/>
          <w:b/>
          <w:bCs/>
          <w:spacing w:val="-2"/>
          <w:sz w:val="24"/>
          <w:szCs w:val="24"/>
          <w:u w:val="single"/>
        </w:rPr>
        <w:t xml:space="preserve">, el proyecto será remunerado por los beneficiarios de acuerdo con lo establecido en el Anexo 4 de la presente resolución, con base en el IAE AOM y </w:t>
      </w:r>
      <w:r w:rsidR="00E56D87">
        <w:rPr>
          <w:rFonts w:ascii="Bookman Old Style" w:hAnsi="Bookman Old Style"/>
          <w:b/>
          <w:bCs/>
          <w:spacing w:val="-2"/>
          <w:sz w:val="24"/>
          <w:szCs w:val="24"/>
          <w:u w:val="single"/>
        </w:rPr>
        <w:t xml:space="preserve">el </w:t>
      </w:r>
      <w:r w:rsidR="002E31D1">
        <w:rPr>
          <w:rFonts w:ascii="Bookman Old Style" w:hAnsi="Bookman Old Style"/>
          <w:b/>
          <w:bCs/>
          <w:spacing w:val="-2"/>
          <w:sz w:val="24"/>
          <w:szCs w:val="24"/>
          <w:u w:val="single"/>
        </w:rPr>
        <w:t xml:space="preserve">IAE VARIABLE GAS NATURAL, ambos </w:t>
      </w:r>
      <w:r w:rsidR="002E31D1" w:rsidRPr="0020151F">
        <w:rPr>
          <w:rFonts w:ascii="Bookman Old Style" w:hAnsi="Bookman Old Style"/>
          <w:b/>
          <w:bCs/>
          <w:spacing w:val="-2"/>
          <w:sz w:val="24"/>
          <w:szCs w:val="24"/>
          <w:u w:val="single"/>
        </w:rPr>
        <w:t>declarado</w:t>
      </w:r>
      <w:r w:rsidR="002E31D1">
        <w:rPr>
          <w:rFonts w:ascii="Bookman Old Style" w:hAnsi="Bookman Old Style"/>
          <w:b/>
          <w:bCs/>
          <w:spacing w:val="-2"/>
          <w:sz w:val="24"/>
          <w:szCs w:val="24"/>
          <w:u w:val="single"/>
        </w:rPr>
        <w:t>s</w:t>
      </w:r>
      <w:r w:rsidR="002E31D1" w:rsidRPr="0020151F">
        <w:rPr>
          <w:rFonts w:ascii="Bookman Old Style" w:hAnsi="Bookman Old Style"/>
          <w:b/>
          <w:bCs/>
          <w:spacing w:val="-2"/>
          <w:sz w:val="24"/>
          <w:szCs w:val="24"/>
          <w:u w:val="single"/>
        </w:rPr>
        <w:t xml:space="preserve"> para el último año del PEP</w:t>
      </w:r>
      <w:r w:rsidRPr="000F4D2C">
        <w:rPr>
          <w:rFonts w:ascii="Bookman Old Style" w:hAnsi="Bookman Old Style"/>
          <w:b/>
          <w:bCs/>
          <w:spacing w:val="-2"/>
          <w:sz w:val="24"/>
          <w:szCs w:val="24"/>
          <w:u w:val="single"/>
        </w:rPr>
        <w:t xml:space="preserve">. </w:t>
      </w:r>
    </w:p>
    <w:p w14:paraId="44A110BB" w14:textId="77777777" w:rsidR="002E31D1" w:rsidRDefault="002E31D1" w:rsidP="00F60C74">
      <w:pPr>
        <w:spacing w:after="0" w:line="240" w:lineRule="auto"/>
        <w:ind w:left="709"/>
        <w:jc w:val="both"/>
        <w:rPr>
          <w:rFonts w:ascii="Bookman Old Style" w:hAnsi="Bookman Old Style"/>
          <w:b/>
          <w:bCs/>
          <w:spacing w:val="-2"/>
          <w:sz w:val="24"/>
          <w:szCs w:val="24"/>
          <w:u w:val="single"/>
        </w:rPr>
      </w:pPr>
    </w:p>
    <w:p w14:paraId="7518EBED" w14:textId="6FB4152E" w:rsidR="00226339" w:rsidRPr="000F4D2C" w:rsidRDefault="00226339" w:rsidP="000F4D2C">
      <w:pPr>
        <w:spacing w:after="0" w:line="240" w:lineRule="auto"/>
        <w:ind w:left="709"/>
        <w:jc w:val="both"/>
        <w:rPr>
          <w:rFonts w:ascii="Bookman Old Style" w:hAnsi="Bookman Old Style"/>
          <w:b/>
          <w:bCs/>
          <w:spacing w:val="-2"/>
          <w:sz w:val="24"/>
          <w:szCs w:val="24"/>
          <w:u w:val="single"/>
        </w:rPr>
      </w:pPr>
      <w:r w:rsidRPr="000F4D2C">
        <w:rPr>
          <w:rFonts w:ascii="Bookman Old Style" w:hAnsi="Bookman Old Style"/>
          <w:b/>
          <w:bCs/>
          <w:spacing w:val="-2"/>
          <w:sz w:val="24"/>
          <w:szCs w:val="24"/>
          <w:u w:val="single"/>
        </w:rPr>
        <w:t xml:space="preserve">En cada caso de indisponibilidad de la infraestructura en las condiciones </w:t>
      </w:r>
      <w:r w:rsidR="00867081">
        <w:rPr>
          <w:rFonts w:ascii="Bookman Old Style" w:hAnsi="Bookman Old Style"/>
          <w:b/>
          <w:bCs/>
          <w:spacing w:val="-2"/>
          <w:sz w:val="24"/>
          <w:szCs w:val="24"/>
          <w:u w:val="single"/>
        </w:rPr>
        <w:t xml:space="preserve">anteriormente </w:t>
      </w:r>
      <w:r w:rsidRPr="000F4D2C">
        <w:rPr>
          <w:rFonts w:ascii="Bookman Old Style" w:hAnsi="Bookman Old Style"/>
          <w:b/>
          <w:bCs/>
          <w:spacing w:val="-2"/>
          <w:sz w:val="24"/>
          <w:szCs w:val="24"/>
          <w:u w:val="single"/>
        </w:rPr>
        <w:t>señaladas, el adjudicatario deberá actualizar el valor de la garantía de cumplimiento vigente</w:t>
      </w:r>
      <w:r w:rsidR="0028360C">
        <w:rPr>
          <w:rFonts w:ascii="Bookman Old Style" w:hAnsi="Bookman Old Style"/>
          <w:b/>
          <w:bCs/>
          <w:spacing w:val="-2"/>
          <w:sz w:val="24"/>
          <w:szCs w:val="24"/>
          <w:u w:val="single"/>
        </w:rPr>
        <w:t xml:space="preserve"> estab</w:t>
      </w:r>
      <w:r w:rsidR="0060409A">
        <w:rPr>
          <w:rFonts w:ascii="Bookman Old Style" w:hAnsi="Bookman Old Style"/>
          <w:b/>
          <w:bCs/>
          <w:spacing w:val="-2"/>
          <w:sz w:val="24"/>
          <w:szCs w:val="24"/>
          <w:u w:val="single"/>
        </w:rPr>
        <w:t xml:space="preserve">lecida </w:t>
      </w:r>
      <w:r w:rsidR="0060409A" w:rsidRPr="00827C3A">
        <w:rPr>
          <w:rFonts w:ascii="Bookman Old Style" w:hAnsi="Bookman Old Style"/>
          <w:b/>
          <w:bCs/>
          <w:spacing w:val="-2"/>
          <w:sz w:val="24"/>
          <w:szCs w:val="24"/>
          <w:u w:val="single"/>
        </w:rPr>
        <w:t>en el numeral 3.3 del Anexo 3 de la presente resolución</w:t>
      </w:r>
      <w:r w:rsidR="00AA61F4" w:rsidRPr="000F4D2C">
        <w:rPr>
          <w:rFonts w:ascii="Bookman Old Style" w:hAnsi="Bookman Old Style"/>
          <w:b/>
          <w:bCs/>
          <w:spacing w:val="-2"/>
          <w:sz w:val="24"/>
          <w:szCs w:val="24"/>
          <w:u w:val="single"/>
        </w:rPr>
        <w:t xml:space="preserve"> y cumpliendo </w:t>
      </w:r>
      <w:r w:rsidR="00827C3A" w:rsidRPr="000F4D2C">
        <w:rPr>
          <w:rFonts w:ascii="Bookman Old Style" w:hAnsi="Bookman Old Style"/>
          <w:b/>
          <w:bCs/>
          <w:spacing w:val="-2"/>
          <w:sz w:val="24"/>
          <w:szCs w:val="24"/>
          <w:u w:val="single"/>
        </w:rPr>
        <w:t>lo establ</w:t>
      </w:r>
      <w:r w:rsidR="00827C3A">
        <w:rPr>
          <w:rFonts w:ascii="Bookman Old Style" w:hAnsi="Bookman Old Style"/>
          <w:b/>
          <w:bCs/>
          <w:spacing w:val="-2"/>
          <w:sz w:val="24"/>
          <w:szCs w:val="24"/>
          <w:u w:val="single"/>
        </w:rPr>
        <w:t>e</w:t>
      </w:r>
      <w:r w:rsidR="00827C3A" w:rsidRPr="000F4D2C">
        <w:rPr>
          <w:rFonts w:ascii="Bookman Old Style" w:hAnsi="Bookman Old Style"/>
          <w:b/>
          <w:bCs/>
          <w:spacing w:val="-2"/>
          <w:sz w:val="24"/>
          <w:szCs w:val="24"/>
          <w:u w:val="single"/>
        </w:rPr>
        <w:t>cido en el numeral 3.5.3 del Anexo 3 de la presente resolución</w:t>
      </w:r>
      <w:r w:rsidRPr="000F4D2C">
        <w:rPr>
          <w:rFonts w:ascii="Bookman Old Style" w:hAnsi="Bookman Old Style"/>
          <w:b/>
          <w:bCs/>
          <w:spacing w:val="-2"/>
          <w:sz w:val="24"/>
          <w:szCs w:val="24"/>
          <w:u w:val="single"/>
        </w:rPr>
        <w:t xml:space="preserve">, en un valor igual al valor del IMT </w:t>
      </w:r>
      <w:r w:rsidR="00BE0941" w:rsidRPr="00827C3A">
        <w:rPr>
          <w:rFonts w:ascii="Bookman Old Style" w:hAnsi="Bookman Old Style"/>
          <w:b/>
          <w:bCs/>
          <w:spacing w:val="-2"/>
          <w:sz w:val="24"/>
          <w:szCs w:val="24"/>
          <w:u w:val="single"/>
        </w:rPr>
        <w:t xml:space="preserve">del mes de la indisponibilidad, </w:t>
      </w:r>
      <w:r w:rsidRPr="000F4D2C">
        <w:rPr>
          <w:rFonts w:ascii="Bookman Old Style" w:hAnsi="Bookman Old Style"/>
          <w:b/>
          <w:bCs/>
          <w:spacing w:val="-2"/>
          <w:sz w:val="24"/>
          <w:szCs w:val="24"/>
          <w:u w:val="single"/>
        </w:rPr>
        <w:t>en forma proporcional al número de días de duración de la indisponibilidad</w:t>
      </w:r>
      <w:r w:rsidR="00DE2BE3">
        <w:rPr>
          <w:rFonts w:ascii="Bookman Old Style" w:hAnsi="Bookman Old Style"/>
          <w:b/>
          <w:bCs/>
          <w:spacing w:val="-2"/>
          <w:sz w:val="24"/>
          <w:szCs w:val="24"/>
          <w:u w:val="single"/>
        </w:rPr>
        <w:t xml:space="preserve"> cuando el factor de indisponibilidad </w:t>
      </w:r>
      <w:r w:rsidR="001D6EF4">
        <w:rPr>
          <w:rFonts w:ascii="Bookman Old Style" w:hAnsi="Bookman Old Style"/>
          <w:b/>
          <w:bCs/>
          <w:spacing w:val="-2"/>
          <w:sz w:val="24"/>
          <w:szCs w:val="24"/>
          <w:u w:val="single"/>
        </w:rPr>
        <w:t>sea</w:t>
      </w:r>
      <w:r w:rsidR="00DE2BE3">
        <w:rPr>
          <w:rFonts w:ascii="Bookman Old Style" w:hAnsi="Bookman Old Style"/>
          <w:b/>
          <w:bCs/>
          <w:spacing w:val="-2"/>
          <w:sz w:val="24"/>
          <w:szCs w:val="24"/>
          <w:u w:val="single"/>
        </w:rPr>
        <w:t xml:space="preserve"> superior al cincuenta por ciento (50%)</w:t>
      </w:r>
      <w:r w:rsidRPr="000F4D2C">
        <w:rPr>
          <w:rFonts w:ascii="Bookman Old Style" w:hAnsi="Bookman Old Style"/>
          <w:b/>
          <w:bCs/>
          <w:spacing w:val="-2"/>
          <w:sz w:val="24"/>
          <w:szCs w:val="24"/>
          <w:u w:val="single"/>
        </w:rPr>
        <w:t>.</w:t>
      </w:r>
    </w:p>
    <w:p w14:paraId="2BE46856" w14:textId="77777777" w:rsidR="00CF5EFC" w:rsidRPr="000F4D2C" w:rsidRDefault="00CF5EFC" w:rsidP="00F60C74">
      <w:pPr>
        <w:pStyle w:val="Prrafodelista"/>
        <w:ind w:left="709"/>
        <w:jc w:val="both"/>
        <w:rPr>
          <w:rFonts w:ascii="Bookman Old Style" w:hAnsi="Bookman Old Style"/>
          <w:spacing w:val="-2"/>
          <w:sz w:val="24"/>
          <w:szCs w:val="24"/>
        </w:rPr>
      </w:pPr>
    </w:p>
    <w:p w14:paraId="74837CFC" w14:textId="77777777" w:rsidR="00CF5EFC" w:rsidRPr="000F4D2C" w:rsidRDefault="00CF5EFC" w:rsidP="00F60C74">
      <w:pPr>
        <w:pStyle w:val="Prrafodelista"/>
        <w:numPr>
          <w:ilvl w:val="0"/>
          <w:numId w:val="37"/>
        </w:numPr>
        <w:ind w:left="709" w:hanging="425"/>
        <w:jc w:val="both"/>
        <w:rPr>
          <w:rFonts w:ascii="Bookman Old Style" w:hAnsi="Bookman Old Style"/>
          <w:spacing w:val="-2"/>
          <w:sz w:val="24"/>
          <w:szCs w:val="24"/>
        </w:rPr>
      </w:pPr>
      <w:r w:rsidRPr="000F4D2C">
        <w:rPr>
          <w:rFonts w:ascii="Bookman Old Style" w:hAnsi="Bookman Old Style"/>
          <w:spacing w:val="-2"/>
          <w:sz w:val="24"/>
          <w:szCs w:val="24"/>
        </w:rPr>
        <w:t xml:space="preserve">La máxima duración de las suspensiones del servicio por labores programadas para reparaciones técnicas o mantenimientos periódicos para los proyectos establecidos en el Plan de Abastecimiento de Gas Natural, será la establecida en el Artículo 12 de la Resolución CREG 185 de 2020, o aquellas que la modifiquen o sustituyan. </w:t>
      </w:r>
    </w:p>
    <w:p w14:paraId="735ED644" w14:textId="77777777" w:rsidR="00CF5EFC" w:rsidRPr="000F4D2C" w:rsidRDefault="00CF5EFC" w:rsidP="00CF5EFC">
      <w:pPr>
        <w:pStyle w:val="Estilo5"/>
        <w:keepNext w:val="0"/>
        <w:widowControl w:val="0"/>
        <w:numPr>
          <w:ilvl w:val="0"/>
          <w:numId w:val="0"/>
        </w:numPr>
        <w:tabs>
          <w:tab w:val="left" w:pos="0"/>
          <w:tab w:val="left" w:pos="1560"/>
        </w:tabs>
        <w:spacing w:before="0" w:after="0"/>
        <w:outlineLvl w:val="9"/>
        <w:rPr>
          <w:rFonts w:ascii="Bookman Old Style" w:hAnsi="Bookman Old Style"/>
          <w:spacing w:val="-2"/>
          <w:sz w:val="24"/>
          <w:szCs w:val="24"/>
        </w:rPr>
      </w:pPr>
    </w:p>
    <w:p w14:paraId="184EDF53" w14:textId="77777777" w:rsidR="00CF5EFC" w:rsidRDefault="00CF5EFC" w:rsidP="00CF5EFC">
      <w:pPr>
        <w:pStyle w:val="Estilo5"/>
        <w:keepNext w:val="0"/>
        <w:widowControl w:val="0"/>
        <w:numPr>
          <w:ilvl w:val="0"/>
          <w:numId w:val="37"/>
        </w:numPr>
        <w:tabs>
          <w:tab w:val="left" w:pos="0"/>
          <w:tab w:val="left" w:pos="1560"/>
        </w:tabs>
        <w:spacing w:before="0" w:after="0"/>
        <w:ind w:left="709" w:hanging="425"/>
        <w:outlineLvl w:val="9"/>
        <w:rPr>
          <w:rFonts w:ascii="Bookman Old Style" w:hAnsi="Bookman Old Style"/>
          <w:b w:val="0"/>
          <w:spacing w:val="-2"/>
          <w:sz w:val="24"/>
          <w:szCs w:val="24"/>
        </w:rPr>
      </w:pPr>
      <w:r w:rsidRPr="000F4D2C">
        <w:rPr>
          <w:rFonts w:ascii="Bookman Old Style" w:hAnsi="Bookman Old Style"/>
          <w:b w:val="0"/>
          <w:spacing w:val="-2"/>
          <w:sz w:val="24"/>
          <w:szCs w:val="24"/>
        </w:rPr>
        <w:t>El operador de la infraestructura deberá llevar los registros de las indisponibilidades y del cálculo del factor de indisponibilidad.</w:t>
      </w:r>
    </w:p>
    <w:p w14:paraId="4F893340" w14:textId="77777777" w:rsidR="00AD08A9" w:rsidRDefault="00AD08A9" w:rsidP="000F4D2C">
      <w:pPr>
        <w:pStyle w:val="Prrafodelista"/>
        <w:rPr>
          <w:rFonts w:ascii="Bookman Old Style" w:hAnsi="Bookman Old Style"/>
          <w:spacing w:val="-2"/>
          <w:sz w:val="24"/>
          <w:szCs w:val="24"/>
        </w:rPr>
      </w:pPr>
    </w:p>
    <w:p w14:paraId="73BAF6EA" w14:textId="36DA0512" w:rsidR="000D6D87" w:rsidRPr="000F4D2C" w:rsidRDefault="000D6D87" w:rsidP="000F4D2C">
      <w:pPr>
        <w:pStyle w:val="Estilo5"/>
        <w:widowControl w:val="0"/>
        <w:numPr>
          <w:ilvl w:val="0"/>
          <w:numId w:val="37"/>
        </w:numPr>
        <w:tabs>
          <w:tab w:val="left" w:pos="0"/>
          <w:tab w:val="left" w:pos="1560"/>
        </w:tabs>
        <w:spacing w:after="0"/>
        <w:ind w:left="709"/>
        <w:rPr>
          <w:rFonts w:ascii="Bookman Old Style" w:hAnsi="Bookman Old Style"/>
          <w:bCs/>
          <w:spacing w:val="-2"/>
          <w:sz w:val="24"/>
          <w:szCs w:val="24"/>
          <w:u w:val="single"/>
        </w:rPr>
      </w:pPr>
      <w:r w:rsidRPr="000F4D2C">
        <w:rPr>
          <w:rFonts w:ascii="Bookman Old Style" w:hAnsi="Bookman Old Style"/>
          <w:bCs/>
          <w:spacing w:val="-2"/>
          <w:sz w:val="24"/>
          <w:szCs w:val="24"/>
          <w:u w:val="single"/>
        </w:rPr>
        <w:lastRenderedPageBreak/>
        <w:t xml:space="preserve">En el caso de que la fecha de puesta en operación del proyecto, con base en el cronograma vigente revisado por el auditor, sea posterior a la FPO aprobada por el MME de acuerdo con lo establecido en el Artículo 22 de </w:t>
      </w:r>
      <w:r w:rsidR="008510C0">
        <w:rPr>
          <w:rFonts w:ascii="Bookman Old Style" w:hAnsi="Bookman Old Style"/>
          <w:bCs/>
          <w:spacing w:val="-2"/>
          <w:sz w:val="24"/>
          <w:szCs w:val="24"/>
          <w:u w:val="single"/>
        </w:rPr>
        <w:t xml:space="preserve">presente resolución, </w:t>
      </w:r>
      <w:r w:rsidRPr="000F4D2C">
        <w:rPr>
          <w:rFonts w:ascii="Bookman Old Style" w:hAnsi="Bookman Old Style"/>
          <w:bCs/>
          <w:spacing w:val="-2"/>
          <w:sz w:val="24"/>
          <w:szCs w:val="24"/>
          <w:u w:val="single"/>
        </w:rPr>
        <w:t xml:space="preserve">el adjudicatario esté siendo remunerando por los beneficiarios, de acuerdo con lo señalado en el literal b) del Artículo 12 de la presente Resolución, el componente </w:t>
      </w:r>
      <m:oMath>
        <m:sSub>
          <m:sSubPr>
            <m:ctrlPr>
              <w:rPr>
                <w:rFonts w:ascii="Cambria Math" w:hAnsi="Cambria Math"/>
                <w:spacing w:val="-2"/>
                <w:sz w:val="24"/>
                <w:szCs w:val="24"/>
              </w:rPr>
            </m:ctrlPr>
          </m:sSubPr>
          <m:e>
            <m:r>
              <m:rPr>
                <m:sty m:val="b"/>
              </m:rPr>
              <w:rPr>
                <w:rFonts w:ascii="Cambria Math" w:hAnsi="Cambria Math"/>
                <w:spacing w:val="-2"/>
                <w:sz w:val="24"/>
                <w:szCs w:val="24"/>
              </w:rPr>
              <m:t>I</m:t>
            </m:r>
          </m:e>
          <m:sub>
            <m:r>
              <m:rPr>
                <m:sty m:val="b"/>
              </m:rPr>
              <w:rPr>
                <w:rFonts w:ascii="Cambria Math" w:hAnsi="Cambria Math"/>
                <w:spacing w:val="-2"/>
                <w:sz w:val="24"/>
                <w:szCs w:val="24"/>
              </w:rPr>
              <m:t>PAGN,m</m:t>
            </m:r>
          </m:sub>
        </m:sSub>
      </m:oMath>
      <w:r w:rsidRPr="000F4D2C">
        <w:rPr>
          <w:rFonts w:ascii="Bookman Old Style" w:hAnsi="Bookman Old Style"/>
          <w:bCs/>
          <w:spacing w:val="-2"/>
          <w:sz w:val="24"/>
          <w:szCs w:val="24"/>
          <w:u w:val="single"/>
        </w:rPr>
        <w:t xml:space="preserve"> tomará el valor de 1 durante aquel número de meses que existan de diferencia entre  la FPO que haya sido aprobada por el MME, de acuerdo con lo establecido en el Artículo 22 de la </w:t>
      </w:r>
      <w:r w:rsidR="00AA0C8C">
        <w:rPr>
          <w:rFonts w:ascii="Bookman Old Style" w:hAnsi="Bookman Old Style"/>
          <w:bCs/>
          <w:spacing w:val="-2"/>
          <w:sz w:val="24"/>
          <w:szCs w:val="24"/>
          <w:u w:val="single"/>
        </w:rPr>
        <w:t>presente resolución</w:t>
      </w:r>
      <w:r w:rsidRPr="000F4D2C">
        <w:rPr>
          <w:rFonts w:ascii="Bookman Old Style" w:hAnsi="Bookman Old Style"/>
          <w:bCs/>
          <w:spacing w:val="-2"/>
          <w:sz w:val="24"/>
          <w:szCs w:val="24"/>
          <w:u w:val="single"/>
        </w:rPr>
        <w:t xml:space="preserve"> y la fecha de puesta en operación </w:t>
      </w:r>
      <w:r w:rsidR="00DD0483">
        <w:rPr>
          <w:rFonts w:ascii="Bookman Old Style" w:hAnsi="Bookman Old Style"/>
          <w:bCs/>
          <w:spacing w:val="-2"/>
          <w:sz w:val="24"/>
          <w:szCs w:val="24"/>
          <w:u w:val="single"/>
        </w:rPr>
        <w:t>certificada</w:t>
      </w:r>
      <w:r w:rsidRPr="000F4D2C">
        <w:rPr>
          <w:rFonts w:ascii="Bookman Old Style" w:hAnsi="Bookman Old Style"/>
          <w:bCs/>
          <w:spacing w:val="-2"/>
          <w:sz w:val="24"/>
          <w:szCs w:val="24"/>
          <w:u w:val="single"/>
        </w:rPr>
        <w:t xml:space="preserve"> por el auditor.</w:t>
      </w:r>
    </w:p>
    <w:p w14:paraId="0CF3225F" w14:textId="2B50FCF8" w:rsidR="000D6D87" w:rsidRPr="000F4D2C" w:rsidRDefault="000D6D87" w:rsidP="000F4D2C">
      <w:pPr>
        <w:pStyle w:val="Estilo5"/>
        <w:widowControl w:val="0"/>
        <w:numPr>
          <w:ilvl w:val="0"/>
          <w:numId w:val="37"/>
        </w:numPr>
        <w:tabs>
          <w:tab w:val="left" w:pos="0"/>
          <w:tab w:val="left" w:pos="1560"/>
        </w:tabs>
        <w:spacing w:after="0"/>
        <w:ind w:left="709"/>
        <w:rPr>
          <w:rFonts w:ascii="Bookman Old Style" w:hAnsi="Bookman Old Style"/>
          <w:bCs/>
          <w:spacing w:val="-2"/>
          <w:sz w:val="24"/>
          <w:szCs w:val="24"/>
          <w:u w:val="single"/>
        </w:rPr>
      </w:pPr>
      <w:r w:rsidRPr="000F4D2C">
        <w:rPr>
          <w:rFonts w:ascii="Bookman Old Style" w:hAnsi="Bookman Old Style"/>
          <w:bCs/>
          <w:spacing w:val="-2"/>
          <w:sz w:val="24"/>
          <w:szCs w:val="24"/>
          <w:u w:val="single"/>
        </w:rPr>
        <w:t xml:space="preserve">Semestralmente durante cada año del PEP contado a partir de la fecha </w:t>
      </w:r>
      <w:r w:rsidR="005879D1">
        <w:rPr>
          <w:rFonts w:ascii="Bookman Old Style" w:hAnsi="Bookman Old Style"/>
          <w:bCs/>
          <w:spacing w:val="-2"/>
          <w:sz w:val="24"/>
          <w:szCs w:val="24"/>
          <w:u w:val="single"/>
        </w:rPr>
        <w:t>de</w:t>
      </w:r>
      <w:r w:rsidRPr="000F4D2C">
        <w:rPr>
          <w:rFonts w:ascii="Bookman Old Style" w:hAnsi="Bookman Old Style"/>
          <w:bCs/>
          <w:spacing w:val="-2"/>
          <w:sz w:val="24"/>
          <w:szCs w:val="24"/>
          <w:u w:val="single"/>
        </w:rPr>
        <w:t xml:space="preserve"> puesta en operación certificada por el auditor, se deberá realizar una auditoría de verificación de las condiciones de disponibilidad del proyecto </w:t>
      </w:r>
      <w:r w:rsidR="005879D1">
        <w:rPr>
          <w:rFonts w:ascii="Bookman Old Style" w:hAnsi="Bookman Old Style"/>
          <w:bCs/>
          <w:spacing w:val="-2"/>
          <w:sz w:val="24"/>
          <w:szCs w:val="24"/>
          <w:u w:val="single"/>
        </w:rPr>
        <w:t>PAGN</w:t>
      </w:r>
      <w:r w:rsidRPr="000F4D2C">
        <w:rPr>
          <w:rFonts w:ascii="Bookman Old Style" w:hAnsi="Bookman Old Style"/>
          <w:bCs/>
          <w:spacing w:val="-2"/>
          <w:sz w:val="24"/>
          <w:szCs w:val="24"/>
          <w:u w:val="single"/>
        </w:rPr>
        <w:t>, que deberá ser pagada por el adjudicatario. Cada auditoría se realizará en la fecha que para ello determine la CREG y tendrá como fin verificar la información y condiciones de disponibilidad que ha reportado el adjudicatario por el proyecto durante el tiempo transcurrido entre la anterior auditoría y la presente que se realice. Para ello</w:t>
      </w:r>
      <w:r w:rsidR="00F11953">
        <w:rPr>
          <w:rFonts w:ascii="Bookman Old Style" w:hAnsi="Bookman Old Style"/>
          <w:bCs/>
          <w:spacing w:val="-2"/>
          <w:sz w:val="24"/>
          <w:szCs w:val="24"/>
          <w:u w:val="single"/>
        </w:rPr>
        <w:t>,</w:t>
      </w:r>
      <w:r w:rsidRPr="000F4D2C">
        <w:rPr>
          <w:rFonts w:ascii="Bookman Old Style" w:hAnsi="Bookman Old Style"/>
          <w:bCs/>
          <w:spacing w:val="-2"/>
          <w:sz w:val="24"/>
          <w:szCs w:val="24"/>
          <w:u w:val="single"/>
        </w:rPr>
        <w:t xml:space="preserve"> el auditor será seleccionado de una lista conformada por la CREG, se encargará de verificar la disponibilidad reportada por el adjudicatario en el momento previo a la realización de la auditoría</w:t>
      </w:r>
      <w:r w:rsidR="00F11953">
        <w:rPr>
          <w:rFonts w:ascii="Bookman Old Style" w:hAnsi="Bookman Old Style"/>
          <w:bCs/>
          <w:spacing w:val="-2"/>
          <w:sz w:val="24"/>
          <w:szCs w:val="24"/>
          <w:u w:val="single"/>
        </w:rPr>
        <w:t xml:space="preserve"> y </w:t>
      </w:r>
      <w:r w:rsidRPr="000F4D2C">
        <w:rPr>
          <w:rFonts w:ascii="Bookman Old Style" w:hAnsi="Bookman Old Style"/>
          <w:bCs/>
          <w:spacing w:val="-2"/>
          <w:sz w:val="24"/>
          <w:szCs w:val="24"/>
          <w:u w:val="single"/>
        </w:rPr>
        <w:t>verificará las condiciones de disponibilidad del proyecto,</w:t>
      </w:r>
      <w:r w:rsidR="00F11953">
        <w:rPr>
          <w:rFonts w:ascii="Bookman Old Style" w:hAnsi="Bookman Old Style"/>
          <w:bCs/>
          <w:spacing w:val="-2"/>
          <w:sz w:val="24"/>
          <w:szCs w:val="24"/>
          <w:u w:val="single"/>
        </w:rPr>
        <w:t xml:space="preserve"> entre otros aspectos. L</w:t>
      </w:r>
      <w:r w:rsidRPr="000F4D2C">
        <w:rPr>
          <w:rFonts w:ascii="Bookman Old Style" w:hAnsi="Bookman Old Style"/>
          <w:bCs/>
          <w:spacing w:val="-2"/>
          <w:sz w:val="24"/>
          <w:szCs w:val="24"/>
          <w:u w:val="single"/>
        </w:rPr>
        <w:t xml:space="preserve">a CREG </w:t>
      </w:r>
      <w:r w:rsidR="00F11953">
        <w:rPr>
          <w:rFonts w:ascii="Bookman Old Style" w:hAnsi="Bookman Old Style"/>
          <w:bCs/>
          <w:spacing w:val="-2"/>
          <w:sz w:val="24"/>
          <w:szCs w:val="24"/>
          <w:u w:val="single"/>
        </w:rPr>
        <w:t>establecerá</w:t>
      </w:r>
      <w:r w:rsidRPr="000F4D2C">
        <w:rPr>
          <w:rFonts w:ascii="Bookman Old Style" w:hAnsi="Bookman Old Style"/>
          <w:bCs/>
          <w:spacing w:val="-2"/>
          <w:sz w:val="24"/>
          <w:szCs w:val="24"/>
          <w:u w:val="single"/>
        </w:rPr>
        <w:t xml:space="preserve"> en resolución posterior los alcances específicos de dicha auditoría y el modo de conformar y seleccionar la lista de auditores.</w:t>
      </w:r>
    </w:p>
    <w:p w14:paraId="7CABDE1F" w14:textId="1F23CE8C" w:rsidR="000D6D87" w:rsidRPr="000F4D2C" w:rsidRDefault="000D6D87" w:rsidP="000F4D2C">
      <w:pPr>
        <w:pStyle w:val="Estilo5"/>
        <w:widowControl w:val="0"/>
        <w:numPr>
          <w:ilvl w:val="0"/>
          <w:numId w:val="0"/>
        </w:numPr>
        <w:tabs>
          <w:tab w:val="left" w:pos="0"/>
          <w:tab w:val="left" w:pos="1560"/>
        </w:tabs>
        <w:spacing w:after="0"/>
        <w:ind w:left="709"/>
        <w:rPr>
          <w:rFonts w:ascii="Bookman Old Style" w:hAnsi="Bookman Old Style"/>
          <w:bCs/>
          <w:spacing w:val="-2"/>
          <w:sz w:val="24"/>
          <w:szCs w:val="24"/>
          <w:u w:val="single"/>
        </w:rPr>
      </w:pPr>
      <w:r w:rsidRPr="000F4D2C">
        <w:rPr>
          <w:rFonts w:ascii="Bookman Old Style" w:hAnsi="Bookman Old Style"/>
          <w:bCs/>
          <w:spacing w:val="-2"/>
          <w:sz w:val="24"/>
          <w:szCs w:val="24"/>
          <w:u w:val="single"/>
        </w:rPr>
        <w:t>La CREG incluirá en la oficialización de los ingresos del IAE, los costos de las auditorías anuales, de acuerdo con la información que previamente establezca la CREG para ello.</w:t>
      </w:r>
    </w:p>
    <w:p w14:paraId="76485246" w14:textId="77777777" w:rsidR="00AD08A9" w:rsidRPr="000F4D2C" w:rsidRDefault="00AD08A9" w:rsidP="000F4D2C">
      <w:pPr>
        <w:pStyle w:val="Estilo5"/>
        <w:keepNext w:val="0"/>
        <w:widowControl w:val="0"/>
        <w:numPr>
          <w:ilvl w:val="0"/>
          <w:numId w:val="0"/>
        </w:numPr>
        <w:tabs>
          <w:tab w:val="left" w:pos="0"/>
          <w:tab w:val="left" w:pos="1560"/>
        </w:tabs>
        <w:spacing w:before="0" w:after="0"/>
        <w:ind w:left="709"/>
        <w:outlineLvl w:val="9"/>
        <w:rPr>
          <w:rFonts w:ascii="Bookman Old Style" w:hAnsi="Bookman Old Style"/>
          <w:b w:val="0"/>
          <w:spacing w:val="-2"/>
          <w:sz w:val="24"/>
          <w:szCs w:val="24"/>
        </w:rPr>
      </w:pPr>
    </w:p>
    <w:p w14:paraId="60143FA4" w14:textId="601138C4" w:rsidR="00CF5EFC" w:rsidRPr="000F4D2C"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b w:val="0"/>
          <w:sz w:val="24"/>
          <w:szCs w:val="24"/>
        </w:rPr>
      </w:pPr>
      <w:r w:rsidRPr="00D05E6B">
        <w:rPr>
          <w:rFonts w:ascii="Bookman Old Style" w:hAnsi="Bookman Old Style" w:cs="Arial"/>
          <w:color w:val="000000"/>
          <w:spacing w:val="-4"/>
          <w:sz w:val="24"/>
          <w:szCs w:val="24"/>
        </w:rPr>
        <w:t>Recaudo de los beneficiarios.</w:t>
      </w:r>
      <w:r>
        <w:rPr>
          <w:rFonts w:ascii="Bookman Old Style" w:hAnsi="Bookman Old Style" w:cs="Arial"/>
          <w:color w:val="000000"/>
          <w:spacing w:val="-4"/>
          <w:sz w:val="24"/>
          <w:szCs w:val="24"/>
        </w:rPr>
        <w:t xml:space="preserve"> </w:t>
      </w:r>
      <w:r w:rsidRPr="000F4D2C">
        <w:rPr>
          <w:rFonts w:ascii="Bookman Old Style" w:hAnsi="Bookman Old Style"/>
          <w:b w:val="0"/>
          <w:spacing w:val="-2"/>
          <w:sz w:val="24"/>
          <w:szCs w:val="24"/>
        </w:rPr>
        <w:t xml:space="preserve">Los transportadores deberán aplicar lo establecido en el ANEXO 4 de la presente Resolución con el fin de facturar a los beneficiarios: i.) los valores a recaudar para la remuneración de los proyectos PAGN; y, ii.) la remuneración de sus servicios de liquidación, actualización, facturación, recaudo y transferencia de dichos pagos a los adjudicatarios de procesos de selección o a los transportadores que ejecutan proyectos </w:t>
      </w:r>
      <w:r w:rsidRPr="000F4D2C">
        <w:rPr>
          <w:rFonts w:ascii="Bookman Old Style" w:hAnsi="Bookman Old Style"/>
          <w:spacing w:val="-2"/>
          <w:sz w:val="24"/>
          <w:szCs w:val="24"/>
        </w:rPr>
        <w:t>IPAT</w:t>
      </w:r>
      <w:r w:rsidRPr="000F4D2C">
        <w:rPr>
          <w:rFonts w:ascii="Bookman Old Style" w:hAnsi="Bookman Old Style" w:cs="Arial"/>
          <w:b w:val="0"/>
          <w:color w:val="000000"/>
          <w:spacing w:val="-4"/>
          <w:sz w:val="24"/>
          <w:szCs w:val="24"/>
        </w:rPr>
        <w:t>.</w:t>
      </w:r>
      <w:r w:rsidRPr="000F4D2C">
        <w:rPr>
          <w:rFonts w:ascii="Bookman Old Style" w:hAnsi="Bookman Old Style"/>
          <w:b w:val="0"/>
          <w:sz w:val="24"/>
          <w:szCs w:val="24"/>
        </w:rPr>
        <w:t xml:space="preserve"> </w:t>
      </w:r>
    </w:p>
    <w:p w14:paraId="03DA65DA" w14:textId="77777777" w:rsidR="00CF5EFC" w:rsidRPr="000F4D2C" w:rsidRDefault="00CF5EFC" w:rsidP="00CF5EFC">
      <w:pPr>
        <w:pStyle w:val="Estilo5"/>
        <w:keepNext w:val="0"/>
        <w:widowControl w:val="0"/>
        <w:numPr>
          <w:ilvl w:val="0"/>
          <w:numId w:val="0"/>
        </w:numPr>
        <w:tabs>
          <w:tab w:val="left" w:pos="0"/>
          <w:tab w:val="left" w:pos="1560"/>
        </w:tabs>
        <w:spacing w:before="0" w:after="0"/>
        <w:outlineLvl w:val="9"/>
        <w:rPr>
          <w:rFonts w:ascii="Bookman Old Style" w:hAnsi="Bookman Old Style" w:cs="Arial"/>
          <w:color w:val="000000"/>
          <w:spacing w:val="-4"/>
          <w:sz w:val="24"/>
          <w:szCs w:val="24"/>
        </w:rPr>
      </w:pPr>
    </w:p>
    <w:p w14:paraId="531BFC9D" w14:textId="7C710CE3" w:rsidR="00CF5EFC" w:rsidRPr="000F4D2C" w:rsidRDefault="00CF5EFC" w:rsidP="000F4D2C">
      <w:pPr>
        <w:jc w:val="both"/>
        <w:rPr>
          <w:rFonts w:ascii="Bookman Old Style" w:hAnsi="Bookman Old Style"/>
          <w:sz w:val="24"/>
          <w:szCs w:val="24"/>
        </w:rPr>
      </w:pPr>
      <w:r w:rsidRPr="000F4D2C">
        <w:rPr>
          <w:rFonts w:ascii="Bookman Old Style" w:hAnsi="Bookman Old Style"/>
          <w:sz w:val="24"/>
          <w:szCs w:val="24"/>
        </w:rPr>
        <w:t>Cada transportador facturará y recaudará de los beneficiarios del proyecto PAGN correspondiente, teniendo en cuenta lo establecido en los numerales i), ii), iii) y v) del literal a) del Artículo 17 de la presente resolución.</w:t>
      </w:r>
    </w:p>
    <w:p w14:paraId="4E7E7E75" w14:textId="54A9E5D0" w:rsidR="00CF5EFC" w:rsidRPr="000F4D2C" w:rsidRDefault="00CF5EFC" w:rsidP="000F4D2C">
      <w:pPr>
        <w:jc w:val="both"/>
        <w:rPr>
          <w:rFonts w:ascii="Bookman Old Style" w:hAnsi="Bookman Old Style"/>
          <w:sz w:val="24"/>
          <w:szCs w:val="24"/>
        </w:rPr>
      </w:pPr>
      <w:r w:rsidRPr="000F4D2C">
        <w:rPr>
          <w:rFonts w:ascii="Bookman Old Style" w:hAnsi="Bookman Old Style"/>
          <w:sz w:val="24"/>
          <w:szCs w:val="24"/>
        </w:rPr>
        <w:t xml:space="preserve">La Comisión podrá revisar los valores aplicados por los transportadores para el componente que remunera el </w:t>
      </w:r>
      <w:r w:rsidRPr="000F4D2C">
        <w:rPr>
          <w:rFonts w:ascii="Bookman Old Style" w:hAnsi="Bookman Old Style"/>
          <w:sz w:val="24"/>
          <w:szCs w:val="24"/>
          <w:lang w:val="es-ES_tradnl"/>
        </w:rPr>
        <w:t xml:space="preserve">costo fijo mensual, </w:t>
      </w:r>
      <w:r w:rsidRPr="000F4D2C">
        <w:rPr>
          <w:rFonts w:ascii="Cambria Math" w:hAnsi="Cambria Math" w:cs="Cambria Math"/>
          <w:sz w:val="24"/>
          <w:szCs w:val="24"/>
          <w:lang w:val="es-ES_tradnl"/>
        </w:rPr>
        <w:t>𝐶𝐹</w:t>
      </w:r>
      <w:r w:rsidRPr="000F4D2C">
        <w:rPr>
          <w:rFonts w:ascii="Cambria Math" w:hAnsi="Cambria Math" w:cs="Cambria Math"/>
          <w:sz w:val="24"/>
          <w:szCs w:val="24"/>
          <w:vertAlign w:val="subscript"/>
          <w:lang w:val="es-ES_tradnl"/>
        </w:rPr>
        <w:t>𝑚+1,t</w:t>
      </w:r>
      <w:r w:rsidRPr="000F4D2C">
        <w:rPr>
          <w:rFonts w:ascii="Bookman Old Style" w:hAnsi="Bookman Old Style"/>
          <w:sz w:val="24"/>
          <w:szCs w:val="24"/>
        </w:rPr>
        <w:t>. De considerarlo conveniente, podrá solicitar ampliación de la información para verificar la eficiencia de dichos valores.</w:t>
      </w:r>
    </w:p>
    <w:p w14:paraId="7D938ECF" w14:textId="5ED1A4C9" w:rsidR="00CF5EFC" w:rsidRPr="005306B3" w:rsidRDefault="00CF5EFC" w:rsidP="000F4D2C">
      <w:pPr>
        <w:jc w:val="both"/>
      </w:pPr>
      <w:r w:rsidRPr="000F4D2C">
        <w:rPr>
          <w:rFonts w:ascii="Bookman Old Style" w:hAnsi="Bookman Old Style"/>
          <w:b/>
          <w:sz w:val="24"/>
          <w:szCs w:val="24"/>
        </w:rPr>
        <w:t>Parágrafo.</w:t>
      </w:r>
      <w:r w:rsidRPr="000F4D2C">
        <w:rPr>
          <w:rFonts w:ascii="Bookman Old Style" w:hAnsi="Bookman Old Style"/>
          <w:sz w:val="24"/>
          <w:szCs w:val="24"/>
        </w:rPr>
        <w:t xml:space="preserve"> El recaudo de los valores aquí establecidos deberá estar cubierto por las garantías exigidas por parte de los transportadores a los remitentes.</w:t>
      </w:r>
    </w:p>
    <w:p w14:paraId="20DAA658" w14:textId="77777777" w:rsidR="00CF5EFC" w:rsidRPr="00280224"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b w:val="0"/>
          <w:sz w:val="24"/>
          <w:szCs w:val="24"/>
        </w:rPr>
      </w:pPr>
      <w:r w:rsidRPr="00280224">
        <w:rPr>
          <w:rFonts w:ascii="Bookman Old Style" w:hAnsi="Bookman Old Style" w:cs="Arial"/>
          <w:color w:val="000000"/>
          <w:spacing w:val="-4"/>
          <w:sz w:val="24"/>
          <w:szCs w:val="24"/>
        </w:rPr>
        <w:lastRenderedPageBreak/>
        <w:t>Ejecución de proyectos generales.</w:t>
      </w:r>
      <w:r w:rsidRPr="00CC28B7">
        <w:rPr>
          <w:rFonts w:ascii="Bookman Old Style" w:hAnsi="Bookman Old Style" w:cs="Arial"/>
          <w:b w:val="0"/>
          <w:color w:val="000000"/>
          <w:spacing w:val="-4"/>
          <w:sz w:val="24"/>
          <w:szCs w:val="24"/>
        </w:rPr>
        <w:t xml:space="preserve"> </w:t>
      </w:r>
      <w:r w:rsidRPr="00280224">
        <w:rPr>
          <w:rFonts w:ascii="Bookman Old Style" w:hAnsi="Bookman Old Style" w:cs="Arial"/>
          <w:b w:val="0"/>
          <w:color w:val="000000"/>
          <w:spacing w:val="-4"/>
          <w:sz w:val="24"/>
          <w:szCs w:val="24"/>
        </w:rPr>
        <w:t>La ejecución de proyectos generales del plan de abastecimiento de gas natural</w:t>
      </w:r>
      <w:r>
        <w:rPr>
          <w:rFonts w:ascii="Bookman Old Style" w:hAnsi="Bookman Old Style" w:cs="Arial"/>
          <w:b w:val="0"/>
          <w:color w:val="000000"/>
          <w:spacing w:val="-4"/>
          <w:sz w:val="24"/>
          <w:szCs w:val="24"/>
        </w:rPr>
        <w:t xml:space="preserve">, o el plan transitorio de abastecimiento de gas natural, </w:t>
      </w:r>
      <w:r w:rsidRPr="00280224">
        <w:rPr>
          <w:rFonts w:ascii="Bookman Old Style" w:hAnsi="Bookman Old Style" w:cs="Arial"/>
          <w:b w:val="0"/>
          <w:color w:val="000000"/>
          <w:spacing w:val="-4"/>
          <w:sz w:val="24"/>
          <w:szCs w:val="24"/>
        </w:rPr>
        <w:t xml:space="preserve">la puede realizar cualquier agente interesado acogiéndose a las reglas vigentes para la actividad asociada al proyecto, siempre y cuando el agente (i) inicie la ejecución del proyecto dentro de los doce (12) meses siguientes a la fecha en que </w:t>
      </w:r>
      <w:r>
        <w:rPr>
          <w:rFonts w:ascii="Bookman Old Style" w:hAnsi="Bookman Old Style" w:cs="Arial"/>
          <w:b w:val="0"/>
          <w:color w:val="000000"/>
          <w:spacing w:val="-4"/>
          <w:sz w:val="24"/>
          <w:szCs w:val="24"/>
        </w:rPr>
        <w:t>la Comisión defina la remuneración para el respectivo proyecto</w:t>
      </w:r>
      <w:r w:rsidRPr="00280224">
        <w:rPr>
          <w:rFonts w:ascii="Bookman Old Style" w:hAnsi="Bookman Old Style" w:cs="Arial"/>
          <w:b w:val="0"/>
          <w:color w:val="000000"/>
          <w:spacing w:val="-4"/>
          <w:sz w:val="24"/>
          <w:szCs w:val="24"/>
        </w:rPr>
        <w:t xml:space="preserve">; y (ii) ejecute el proyecto dentro del plazo previsto en el plan de abastecimiento de gas, o el plan transitorio de abastecimiento de gas natural. El agente que inicie la ejecución del proyecto informará al MME y a la UPME el inicio de ejecución del proyecto.   </w:t>
      </w:r>
    </w:p>
    <w:p w14:paraId="7F2C3D48" w14:textId="77777777" w:rsidR="00CF5EFC" w:rsidRPr="00280224"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cs="Arial"/>
          <w:b w:val="0"/>
          <w:color w:val="000000"/>
          <w:spacing w:val="-4"/>
          <w:sz w:val="24"/>
          <w:szCs w:val="24"/>
        </w:rPr>
      </w:pPr>
    </w:p>
    <w:p w14:paraId="5F37DFA7" w14:textId="77777777" w:rsidR="00CF5EFC" w:rsidRPr="00280224"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cs="Arial"/>
          <w:b w:val="0"/>
          <w:color w:val="000000"/>
          <w:spacing w:val="-4"/>
          <w:sz w:val="24"/>
          <w:szCs w:val="24"/>
        </w:rPr>
      </w:pPr>
      <w:r w:rsidRPr="00280224">
        <w:rPr>
          <w:rFonts w:ascii="Bookman Old Style" w:hAnsi="Bookman Old Style" w:cs="Arial"/>
          <w:color w:val="000000"/>
          <w:spacing w:val="-4"/>
          <w:sz w:val="24"/>
          <w:szCs w:val="24"/>
        </w:rPr>
        <w:t>Parágrafo 1.</w:t>
      </w:r>
      <w:r w:rsidRPr="00280224">
        <w:rPr>
          <w:rFonts w:ascii="Bookman Old Style" w:hAnsi="Bookman Old Style" w:cs="Arial"/>
          <w:b w:val="0"/>
          <w:color w:val="000000"/>
          <w:spacing w:val="-4"/>
          <w:sz w:val="24"/>
          <w:szCs w:val="24"/>
        </w:rPr>
        <w:t xml:space="preserve"> Se podrán aplicar los mecanismos centralizados establecidos en la presente Resolución para ejecutar un proyecto general si la UPME lo incluye dentro de los proyectos prioritarios del plan de abastecimiento de gas natural cuando observe que dentro de los doce (12) meses siguientes a la fecha en que el MME adopte el plan de abastecimiento de gas, o el plan transitorio de abastecimiento de gas natural, ningún agente inicia la ejecución del proyecto.  </w:t>
      </w:r>
    </w:p>
    <w:p w14:paraId="7D8BE41A" w14:textId="77777777" w:rsidR="00CF5EFC" w:rsidRPr="00280224"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cs="Arial"/>
          <w:b w:val="0"/>
          <w:color w:val="000000"/>
          <w:spacing w:val="-4"/>
          <w:sz w:val="24"/>
          <w:szCs w:val="24"/>
        </w:rPr>
      </w:pPr>
    </w:p>
    <w:p w14:paraId="7ABAC2DC" w14:textId="77777777" w:rsidR="00CF5EFC"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cs="Arial"/>
          <w:b w:val="0"/>
          <w:color w:val="000000"/>
          <w:spacing w:val="-4"/>
          <w:sz w:val="24"/>
          <w:szCs w:val="24"/>
        </w:rPr>
      </w:pPr>
      <w:r w:rsidRPr="00280224">
        <w:rPr>
          <w:rFonts w:ascii="Bookman Old Style" w:hAnsi="Bookman Old Style" w:cs="Arial"/>
          <w:color w:val="000000"/>
          <w:spacing w:val="-4"/>
          <w:sz w:val="24"/>
          <w:szCs w:val="24"/>
        </w:rPr>
        <w:t>Parágrafo 2.</w:t>
      </w:r>
      <w:r w:rsidRPr="00280224">
        <w:rPr>
          <w:rFonts w:ascii="Bookman Old Style" w:hAnsi="Bookman Old Style" w:cs="Arial"/>
          <w:b w:val="0"/>
          <w:color w:val="000000"/>
          <w:spacing w:val="-4"/>
          <w:sz w:val="24"/>
          <w:szCs w:val="24"/>
        </w:rPr>
        <w:t xml:space="preserve"> Se entenderá que un agente ha iniciado la construcción del proyecto si ha concluido los diseños, ha obtenido la licencia ambiental, ha adquirido la tubería en el caso de construcción de gasoductos, y ha iniciado obras de ingeniería y asociadas para construir el proyecto.</w:t>
      </w:r>
      <w:r>
        <w:rPr>
          <w:rFonts w:ascii="Bookman Old Style" w:hAnsi="Bookman Old Style" w:cs="Arial"/>
          <w:b w:val="0"/>
          <w:color w:val="000000"/>
          <w:spacing w:val="-4"/>
          <w:sz w:val="24"/>
          <w:szCs w:val="24"/>
        </w:rPr>
        <w:t xml:space="preserve">  </w:t>
      </w:r>
    </w:p>
    <w:bookmarkEnd w:id="11"/>
    <w:p w14:paraId="69D27738" w14:textId="77777777" w:rsidR="00CF5EFC" w:rsidRDefault="00CF5EFC" w:rsidP="00CF5EFC">
      <w:pPr>
        <w:pStyle w:val="Estilo5"/>
        <w:keepNext w:val="0"/>
        <w:widowControl w:val="0"/>
        <w:numPr>
          <w:ilvl w:val="0"/>
          <w:numId w:val="0"/>
        </w:numPr>
        <w:tabs>
          <w:tab w:val="left" w:pos="0"/>
          <w:tab w:val="left" w:pos="1560"/>
        </w:tabs>
        <w:spacing w:before="0" w:after="0"/>
        <w:ind w:left="360" w:hanging="360"/>
        <w:rPr>
          <w:rFonts w:ascii="Bookman Old Style" w:hAnsi="Bookman Old Style"/>
        </w:rPr>
      </w:pPr>
    </w:p>
    <w:p w14:paraId="4A347E94" w14:textId="77777777" w:rsidR="00CF5EFC" w:rsidRPr="00F23AE8" w:rsidRDefault="00CF5EFC" w:rsidP="00CF5EFC">
      <w:pPr>
        <w:pStyle w:val="Estilo4"/>
        <w:keepNext w:val="0"/>
        <w:widowControl w:val="0"/>
        <w:rPr>
          <w:rFonts w:ascii="Bookman Old Style" w:hAnsi="Bookman Old Style"/>
          <w:color w:val="000000"/>
          <w:sz w:val="24"/>
          <w:szCs w:val="24"/>
        </w:rPr>
      </w:pPr>
      <w:r w:rsidRPr="00F23AE8">
        <w:rPr>
          <w:rFonts w:ascii="Bookman Old Style" w:hAnsi="Bookman Old Style"/>
          <w:color w:val="000000"/>
          <w:sz w:val="24"/>
          <w:szCs w:val="24"/>
        </w:rPr>
        <w:t>Capítulo I</w:t>
      </w:r>
      <w:r>
        <w:rPr>
          <w:rFonts w:ascii="Bookman Old Style" w:hAnsi="Bookman Old Style"/>
          <w:color w:val="000000"/>
          <w:sz w:val="24"/>
          <w:szCs w:val="24"/>
        </w:rPr>
        <w:t>V</w:t>
      </w:r>
    </w:p>
    <w:p w14:paraId="5AE8C86F" w14:textId="77777777" w:rsidR="00CF5EFC" w:rsidRPr="00F23AE8" w:rsidRDefault="00CF5EFC" w:rsidP="00CF5EFC">
      <w:pPr>
        <w:pStyle w:val="Prrafodelista"/>
        <w:ind w:left="0"/>
        <w:jc w:val="center"/>
        <w:rPr>
          <w:rFonts w:ascii="Bookman Old Style" w:hAnsi="Bookman Old Style" w:cs="Arial"/>
          <w:b/>
          <w:color w:val="000000"/>
          <w:spacing w:val="-4"/>
          <w:sz w:val="24"/>
          <w:szCs w:val="24"/>
        </w:rPr>
      </w:pPr>
      <w:r w:rsidRPr="00F23AE8">
        <w:rPr>
          <w:rFonts w:ascii="Bookman Old Style" w:hAnsi="Bookman Old Style"/>
          <w:b/>
          <w:color w:val="000000"/>
          <w:sz w:val="24"/>
          <w:szCs w:val="24"/>
        </w:rPr>
        <w:t>Ejecución de proyectos</w:t>
      </w:r>
      <w:r>
        <w:rPr>
          <w:rFonts w:ascii="Bookman Old Style" w:hAnsi="Bookman Old Style"/>
          <w:b/>
          <w:color w:val="000000"/>
          <w:sz w:val="24"/>
          <w:szCs w:val="24"/>
        </w:rPr>
        <w:t xml:space="preserve"> prioritarios del plan de abastecimiento de gas natural  </w:t>
      </w:r>
      <w:r w:rsidRPr="00F23AE8">
        <w:rPr>
          <w:rFonts w:ascii="Bookman Old Style" w:hAnsi="Bookman Old Style"/>
          <w:b/>
          <w:color w:val="000000"/>
          <w:sz w:val="24"/>
          <w:szCs w:val="24"/>
        </w:rPr>
        <w:t xml:space="preserve">  </w:t>
      </w:r>
    </w:p>
    <w:p w14:paraId="4B13E01E" w14:textId="77777777" w:rsidR="00CF5EFC" w:rsidRPr="00F23AE8" w:rsidRDefault="00CF5EFC" w:rsidP="00CF5EFC">
      <w:pPr>
        <w:pStyle w:val="Prrafodelista"/>
        <w:ind w:left="0"/>
        <w:jc w:val="both"/>
        <w:rPr>
          <w:rFonts w:ascii="Bookman Old Style" w:hAnsi="Bookman Old Style" w:cs="Arial"/>
          <w:b/>
          <w:color w:val="000000"/>
          <w:spacing w:val="-4"/>
          <w:sz w:val="24"/>
          <w:szCs w:val="24"/>
        </w:rPr>
      </w:pPr>
    </w:p>
    <w:p w14:paraId="5489B9A3" w14:textId="6475B7AD" w:rsidR="00CF5EFC" w:rsidRPr="00F23AE8"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r w:rsidRPr="00F23AE8">
        <w:rPr>
          <w:rFonts w:ascii="Bookman Old Style" w:hAnsi="Bookman Old Style" w:cs="Arial"/>
          <w:color w:val="000000"/>
          <w:spacing w:val="-4"/>
          <w:sz w:val="24"/>
          <w:szCs w:val="24"/>
        </w:rPr>
        <w:t xml:space="preserve">Fecha de inicio de </w:t>
      </w:r>
      <w:r>
        <w:rPr>
          <w:rFonts w:ascii="Bookman Old Style" w:hAnsi="Bookman Old Style" w:cs="Arial"/>
          <w:color w:val="000000"/>
          <w:spacing w:val="-4"/>
          <w:sz w:val="24"/>
          <w:szCs w:val="24"/>
        </w:rPr>
        <w:t>ejecución</w:t>
      </w:r>
      <w:r w:rsidRPr="00F23AE8">
        <w:rPr>
          <w:rFonts w:ascii="Bookman Old Style" w:hAnsi="Bookman Old Style" w:cs="Arial"/>
          <w:color w:val="000000"/>
          <w:spacing w:val="-4"/>
          <w:sz w:val="24"/>
          <w:szCs w:val="24"/>
        </w:rPr>
        <w:t>.</w:t>
      </w:r>
      <w:r w:rsidRPr="00F23AE8">
        <w:rPr>
          <w:rFonts w:ascii="Bookman Old Style" w:hAnsi="Bookman Old Style" w:cs="Arial"/>
          <w:b w:val="0"/>
          <w:color w:val="000000"/>
          <w:spacing w:val="-4"/>
          <w:sz w:val="24"/>
          <w:szCs w:val="24"/>
        </w:rPr>
        <w:t xml:space="preserve"> </w:t>
      </w:r>
      <w:r>
        <w:rPr>
          <w:rFonts w:ascii="Bookman Old Style" w:hAnsi="Bookman Old Style" w:cs="Arial"/>
          <w:b w:val="0"/>
          <w:color w:val="000000"/>
          <w:spacing w:val="-4"/>
          <w:sz w:val="24"/>
          <w:szCs w:val="24"/>
        </w:rPr>
        <w:t xml:space="preserve">Corresponde a </w:t>
      </w:r>
      <w:r>
        <w:rPr>
          <w:rFonts w:ascii="Bookman Old Style" w:hAnsi="Bookman Old Style"/>
          <w:b w:val="0"/>
          <w:sz w:val="24"/>
          <w:szCs w:val="24"/>
        </w:rPr>
        <w:t>l</w:t>
      </w:r>
      <w:r w:rsidRPr="00F23AE8">
        <w:rPr>
          <w:rFonts w:ascii="Bookman Old Style" w:hAnsi="Bookman Old Style"/>
          <w:b w:val="0"/>
          <w:sz w:val="24"/>
          <w:szCs w:val="24"/>
        </w:rPr>
        <w:t>a fecha prevista de inicio de ejecución de un proyecto indicada en el cronograma</w:t>
      </w:r>
      <w:r>
        <w:rPr>
          <w:rFonts w:ascii="Bookman Old Style" w:hAnsi="Bookman Old Style"/>
          <w:b w:val="0"/>
          <w:sz w:val="24"/>
          <w:szCs w:val="24"/>
        </w:rPr>
        <w:t xml:space="preserve"> y considerada para la definición de la curva S</w:t>
      </w:r>
      <w:r w:rsidRPr="00F23AE8">
        <w:rPr>
          <w:rFonts w:ascii="Bookman Old Style" w:hAnsi="Bookman Old Style"/>
          <w:b w:val="0"/>
          <w:sz w:val="24"/>
          <w:szCs w:val="24"/>
        </w:rPr>
        <w:t>.</w:t>
      </w:r>
      <w:r w:rsidRPr="00F23AE8">
        <w:rPr>
          <w:rFonts w:ascii="Bookman Old Style" w:hAnsi="Bookman Old Style" w:cs="Arial"/>
          <w:b w:val="0"/>
          <w:color w:val="000000"/>
          <w:spacing w:val="-4"/>
          <w:sz w:val="24"/>
          <w:szCs w:val="24"/>
        </w:rPr>
        <w:t xml:space="preserve"> </w:t>
      </w:r>
    </w:p>
    <w:p w14:paraId="42A37AC8" w14:textId="77777777" w:rsidR="00CF5EFC" w:rsidRPr="00F23AE8" w:rsidRDefault="00CF5EFC" w:rsidP="00CF5EFC">
      <w:pPr>
        <w:pStyle w:val="Artculo"/>
        <w:rPr>
          <w:lang w:val="es-CO"/>
        </w:rPr>
      </w:pPr>
    </w:p>
    <w:p w14:paraId="5C8C41B9" w14:textId="145C8DCF" w:rsidR="00CF5EFC" w:rsidRPr="000F4D2C" w:rsidRDefault="00CF5EFC" w:rsidP="00CF5EFC">
      <w:pPr>
        <w:jc w:val="both"/>
        <w:rPr>
          <w:rFonts w:ascii="Bookman Old Style" w:hAnsi="Bookman Old Style"/>
          <w:sz w:val="24"/>
          <w:szCs w:val="24"/>
        </w:rPr>
      </w:pPr>
      <w:r w:rsidRPr="000F4D2C">
        <w:rPr>
          <w:rFonts w:ascii="Bookman Old Style" w:hAnsi="Bookman Old Style"/>
          <w:sz w:val="24"/>
          <w:szCs w:val="24"/>
        </w:rPr>
        <w:t xml:space="preserve">La fecha de inicio de un proyecto podrá ser modificada por una sola vez por el adjudicatario o por el transportador incumbente que ejecute en primera instancia proyectos de </w:t>
      </w:r>
      <m:oMath>
        <m:r>
          <w:rPr>
            <w:rFonts w:ascii="Cambria Math" w:hAnsi="Cambria Math"/>
            <w:sz w:val="24"/>
            <w:szCs w:val="24"/>
          </w:rPr>
          <m:t>IPAT</m:t>
        </m:r>
      </m:oMath>
      <w:r w:rsidRPr="000F4D2C">
        <w:rPr>
          <w:rFonts w:ascii="Bookman Old Style" w:hAnsi="Bookman Old Style"/>
          <w:sz w:val="24"/>
          <w:szCs w:val="24"/>
        </w:rPr>
        <w:t>. La nueva fecha de inicio, el cronograma y la curva S ajustada, junto con el visto bueno del auditor, deberán ser entregados a la UPME antes de la fecha de inicio prevista inicialmente en la oferta técnica del adjudicatario. Esta modificación no dará lugar a modificar la FPO.</w:t>
      </w:r>
    </w:p>
    <w:p w14:paraId="36C7EADB" w14:textId="45DBE608" w:rsidR="00CF5EFC" w:rsidRPr="00F23AE8" w:rsidRDefault="00CF5EFC" w:rsidP="00CF5EFC">
      <w:pPr>
        <w:jc w:val="both"/>
        <w:rPr>
          <w:rFonts w:ascii="Bookman Old Style" w:hAnsi="Bookman Old Style"/>
        </w:rPr>
      </w:pPr>
      <w:r w:rsidRPr="000F4D2C">
        <w:rPr>
          <w:rFonts w:ascii="Bookman Old Style" w:hAnsi="Bookman Old Style"/>
          <w:b/>
          <w:sz w:val="24"/>
          <w:szCs w:val="24"/>
        </w:rPr>
        <w:t>Parágrafo.</w:t>
      </w:r>
      <w:r w:rsidRPr="000F4D2C">
        <w:rPr>
          <w:rFonts w:ascii="Bookman Old Style" w:hAnsi="Bookman Old Style"/>
          <w:sz w:val="24"/>
          <w:szCs w:val="24"/>
        </w:rPr>
        <w:t xml:space="preserve"> Antes de la fecha de inicio de ejecución del proyecto, y de acuerdo con las revisiones anuales del plan de abastecimiento de gas natural, la UPME de común acuerdo con el adjudicatario, o con el transportador incumbente que ejecute en primera instancia proyectos de </w:t>
      </w:r>
      <m:oMath>
        <m:r>
          <w:rPr>
            <w:rFonts w:ascii="Cambria Math" w:hAnsi="Cambria Math"/>
            <w:sz w:val="24"/>
            <w:szCs w:val="24"/>
          </w:rPr>
          <m:t>IPAT</m:t>
        </m:r>
      </m:oMath>
      <w:r w:rsidRPr="000F4D2C">
        <w:rPr>
          <w:rFonts w:ascii="Bookman Old Style" w:hAnsi="Bookman Old Style"/>
          <w:sz w:val="24"/>
          <w:szCs w:val="24"/>
        </w:rPr>
        <w:t xml:space="preserve">, y previa aprobación del MME, podrá modificar la FPO. Una vez se modifique la FPO el adjudicatario dispondrá de </w:t>
      </w:r>
      <w:r w:rsidRPr="000F4D2C">
        <w:rPr>
          <w:rFonts w:ascii="Bookman Old Style" w:hAnsi="Bookman Old Style" w:cs="Arial"/>
          <w:color w:val="000000" w:themeColor="text1"/>
          <w:sz w:val="24"/>
          <w:szCs w:val="24"/>
        </w:rPr>
        <w:t>15 días calendario</w:t>
      </w:r>
      <w:r w:rsidRPr="000F4D2C">
        <w:rPr>
          <w:rFonts w:ascii="Bookman Old Style" w:hAnsi="Bookman Old Style"/>
          <w:sz w:val="24"/>
          <w:szCs w:val="24"/>
        </w:rPr>
        <w:t xml:space="preserve"> para ajustar el cronograma del proyecto, la duración del contrato de auditoría y la vigencia de la garantía de cumplimiento.</w:t>
      </w:r>
    </w:p>
    <w:p w14:paraId="2E89A48F" w14:textId="77777777" w:rsidR="00CF5EFC" w:rsidRPr="00A00F1F"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b w:val="0"/>
        </w:rPr>
      </w:pPr>
      <w:bookmarkStart w:id="12" w:name="_Ref461095210"/>
      <w:r w:rsidRPr="00F23AE8">
        <w:rPr>
          <w:rFonts w:ascii="Bookman Old Style" w:hAnsi="Bookman Old Style" w:cs="Arial"/>
          <w:color w:val="000000"/>
          <w:spacing w:val="-4"/>
          <w:sz w:val="24"/>
          <w:szCs w:val="24"/>
        </w:rPr>
        <w:t>A</w:t>
      </w:r>
      <w:r>
        <w:rPr>
          <w:rFonts w:ascii="Bookman Old Style" w:hAnsi="Bookman Old Style" w:cs="Arial"/>
          <w:color w:val="000000"/>
          <w:spacing w:val="-4"/>
          <w:sz w:val="24"/>
          <w:szCs w:val="24"/>
        </w:rPr>
        <w:t>justes a la FPO durante la ejecución de proyectos prioritarios del plan de abastecimiento de gas natural</w:t>
      </w:r>
      <w:r w:rsidRPr="00F23AE8">
        <w:rPr>
          <w:rFonts w:ascii="Bookman Old Style" w:hAnsi="Bookman Old Style" w:cs="Arial"/>
          <w:color w:val="000000"/>
          <w:spacing w:val="-4"/>
          <w:sz w:val="24"/>
          <w:szCs w:val="24"/>
        </w:rPr>
        <w:t xml:space="preserve">. </w:t>
      </w:r>
      <w:bookmarkEnd w:id="12"/>
      <w:r w:rsidRPr="00EA19F0">
        <w:rPr>
          <w:rFonts w:ascii="Bookman Old Style" w:hAnsi="Bookman Old Style"/>
          <w:b w:val="0"/>
          <w:sz w:val="24"/>
          <w:szCs w:val="24"/>
        </w:rPr>
        <w:t>Iniciada la ejecución de los proyectos adjudicados mediante procesos de selección</w:t>
      </w:r>
      <w:r>
        <w:rPr>
          <w:rFonts w:ascii="Bookman Old Style" w:hAnsi="Bookman Old Style"/>
          <w:b w:val="0"/>
          <w:sz w:val="24"/>
          <w:szCs w:val="24"/>
        </w:rPr>
        <w:t xml:space="preserve">, </w:t>
      </w:r>
      <w:r w:rsidRPr="004D74B7">
        <w:rPr>
          <w:rFonts w:ascii="Bookman Old Style" w:hAnsi="Bookman Old Style"/>
          <w:b w:val="0"/>
          <w:sz w:val="24"/>
          <w:szCs w:val="24"/>
        </w:rPr>
        <w:t xml:space="preserve">o </w:t>
      </w:r>
      <w:r>
        <w:rPr>
          <w:rFonts w:ascii="Bookman Old Style" w:hAnsi="Bookman Old Style"/>
          <w:b w:val="0"/>
          <w:sz w:val="24"/>
          <w:szCs w:val="24"/>
        </w:rPr>
        <w:t>la ejecución a través d</w:t>
      </w:r>
      <w:r w:rsidRPr="004D74B7">
        <w:rPr>
          <w:rFonts w:ascii="Bookman Old Style" w:hAnsi="Bookman Old Style"/>
          <w:b w:val="0"/>
          <w:sz w:val="24"/>
          <w:szCs w:val="24"/>
        </w:rPr>
        <w:t xml:space="preserve">el </w:t>
      </w:r>
      <w:r w:rsidRPr="004D74B7">
        <w:rPr>
          <w:rFonts w:ascii="Bookman Old Style" w:hAnsi="Bookman Old Style"/>
          <w:b w:val="0"/>
          <w:sz w:val="24"/>
          <w:szCs w:val="24"/>
        </w:rPr>
        <w:lastRenderedPageBreak/>
        <w:t xml:space="preserve">transportador incumbente </w:t>
      </w:r>
      <w:r>
        <w:rPr>
          <w:rFonts w:ascii="Bookman Old Style" w:hAnsi="Bookman Old Style"/>
          <w:b w:val="0"/>
          <w:sz w:val="24"/>
          <w:szCs w:val="24"/>
        </w:rPr>
        <w:t>para p</w:t>
      </w:r>
      <w:r w:rsidRPr="004D74B7">
        <w:rPr>
          <w:rFonts w:ascii="Bookman Old Style" w:hAnsi="Bookman Old Style"/>
          <w:b w:val="0"/>
          <w:sz w:val="24"/>
          <w:szCs w:val="24"/>
        </w:rPr>
        <w:t>royectos de</w:t>
      </w:r>
      <m:oMath>
        <m:r>
          <m:rPr>
            <m:sty m:val="bi"/>
          </m:rPr>
          <w:rPr>
            <w:rFonts w:ascii="Cambria Math" w:hAnsi="Cambria Math"/>
            <w:sz w:val="24"/>
            <w:szCs w:val="24"/>
          </w:rPr>
          <m:t xml:space="preserve"> </m:t>
        </m:r>
        <m:r>
          <m:rPr>
            <m:sty m:val="bi"/>
          </m:rPr>
          <w:rPr>
            <w:rFonts w:ascii="Cambria Math" w:hAnsi="Cambria Math"/>
          </w:rPr>
          <m:t>IPAT</m:t>
        </m:r>
      </m:oMath>
      <w:r w:rsidRPr="004D74B7">
        <w:rPr>
          <w:rFonts w:ascii="Bookman Old Style" w:hAnsi="Bookman Old Style"/>
          <w:b w:val="0"/>
        </w:rPr>
        <w:t>,</w:t>
      </w:r>
      <w:r w:rsidRPr="004D74B7">
        <w:rPr>
          <w:rFonts w:ascii="Bookman Old Style" w:hAnsi="Bookman Old Style"/>
          <w:b w:val="0"/>
          <w:sz w:val="24"/>
          <w:szCs w:val="24"/>
        </w:rPr>
        <w:t xml:space="preserve"> </w:t>
      </w:r>
      <w:r w:rsidRPr="00EA19F0">
        <w:rPr>
          <w:rFonts w:ascii="Bookman Old Style" w:hAnsi="Bookman Old Style"/>
          <w:b w:val="0"/>
          <w:sz w:val="24"/>
          <w:szCs w:val="24"/>
        </w:rPr>
        <w:t>la FPO podrá ser modificada previa aprobación del MME, o la entidad que este delegue, cuando ocurran atrasos por</w:t>
      </w:r>
      <w:r>
        <w:rPr>
          <w:rFonts w:ascii="Bookman Old Style" w:hAnsi="Bookman Old Style"/>
          <w:b w:val="0"/>
          <w:sz w:val="24"/>
          <w:szCs w:val="24"/>
        </w:rPr>
        <w:t xml:space="preserve"> eventos debidamente justificados. Estos eventos pueden ser, entre otros, los siguientes: </w:t>
      </w:r>
      <w:r w:rsidRPr="00EA19F0">
        <w:rPr>
          <w:rFonts w:ascii="Bookman Old Style" w:hAnsi="Bookman Old Style"/>
          <w:b w:val="0"/>
          <w:sz w:val="24"/>
          <w:szCs w:val="24"/>
        </w:rPr>
        <w:t>(i) fu</w:t>
      </w:r>
      <w:r w:rsidRPr="00A00F1F">
        <w:rPr>
          <w:rFonts w:ascii="Bookman Old Style" w:hAnsi="Bookman Old Style"/>
          <w:b w:val="0"/>
          <w:sz w:val="24"/>
          <w:szCs w:val="24"/>
        </w:rPr>
        <w:t>erza mayor debidamente comprobada; o (ii) alteración del orden público acreditada por la autoridad competente que conduzca a la paralización temporal en la ejecución del proyecto y que afecte de manera grave la FPO; o (iii) demoras en la expedición de la licencia ambiental originadas en hechos fuera del control del adjudicatario del proyecto</w:t>
      </w:r>
      <w:r>
        <w:rPr>
          <w:rFonts w:ascii="Bookman Old Style" w:hAnsi="Bookman Old Style"/>
          <w:b w:val="0"/>
          <w:sz w:val="24"/>
          <w:szCs w:val="24"/>
        </w:rPr>
        <w:t>, o d</w:t>
      </w:r>
      <w:r w:rsidRPr="004D74B7">
        <w:rPr>
          <w:rFonts w:ascii="Bookman Old Style" w:hAnsi="Bookman Old Style"/>
          <w:b w:val="0"/>
          <w:sz w:val="24"/>
          <w:szCs w:val="24"/>
        </w:rPr>
        <w:t>el transportador incumbente que ejecute en primera instancia proyectos de</w:t>
      </w:r>
      <w:r>
        <w:rPr>
          <w:rFonts w:ascii="Bookman Old Style" w:hAnsi="Bookman Old Style"/>
          <w:b w:val="0"/>
          <w:sz w:val="24"/>
          <w:szCs w:val="24"/>
        </w:rPr>
        <w:t xml:space="preserve"> </w:t>
      </w:r>
      <m:oMath>
        <m:r>
          <m:rPr>
            <m:sty m:val="bi"/>
          </m:rPr>
          <w:rPr>
            <w:rFonts w:ascii="Cambria Math" w:hAnsi="Cambria Math"/>
          </w:rPr>
          <m:t>IPAT</m:t>
        </m:r>
      </m:oMath>
      <w:r w:rsidRPr="004D74B7">
        <w:rPr>
          <w:rFonts w:ascii="Bookman Old Style" w:hAnsi="Bookman Old Style"/>
          <w:b w:val="0"/>
        </w:rPr>
        <w:t>,</w:t>
      </w:r>
      <w:r w:rsidRPr="00A00F1F">
        <w:rPr>
          <w:rFonts w:ascii="Bookman Old Style" w:hAnsi="Bookman Old Style"/>
          <w:b w:val="0"/>
          <w:sz w:val="24"/>
          <w:szCs w:val="24"/>
        </w:rPr>
        <w:t xml:space="preserve"> y de su debida diligencia. Una vez se modifique la FPO el adjudicatario</w:t>
      </w:r>
      <w:r>
        <w:rPr>
          <w:rFonts w:ascii="Bookman Old Style" w:hAnsi="Bookman Old Style"/>
          <w:b w:val="0"/>
          <w:sz w:val="24"/>
          <w:szCs w:val="24"/>
        </w:rPr>
        <w:t xml:space="preserve"> o </w:t>
      </w:r>
      <w:r w:rsidRPr="004D74B7">
        <w:rPr>
          <w:rFonts w:ascii="Bookman Old Style" w:hAnsi="Bookman Old Style"/>
          <w:b w:val="0"/>
          <w:sz w:val="24"/>
          <w:szCs w:val="24"/>
        </w:rPr>
        <w:t>el transportador incumbente</w:t>
      </w:r>
      <w:r w:rsidRPr="00A00F1F">
        <w:rPr>
          <w:rFonts w:ascii="Bookman Old Style" w:hAnsi="Bookman Old Style"/>
          <w:b w:val="0"/>
          <w:sz w:val="24"/>
          <w:szCs w:val="24"/>
        </w:rPr>
        <w:t xml:space="preserve"> dispondrá de 15 días calendario para ajustar el cronograma del proyecto</w:t>
      </w:r>
      <w:r>
        <w:rPr>
          <w:rFonts w:ascii="Bookman Old Style" w:hAnsi="Bookman Old Style"/>
          <w:b w:val="0"/>
          <w:sz w:val="24"/>
          <w:szCs w:val="24"/>
        </w:rPr>
        <w:t xml:space="preserve">, </w:t>
      </w:r>
      <w:r w:rsidRPr="00A00F1F">
        <w:rPr>
          <w:rFonts w:ascii="Bookman Old Style" w:hAnsi="Bookman Old Style"/>
          <w:b w:val="0"/>
          <w:sz w:val="24"/>
          <w:szCs w:val="24"/>
        </w:rPr>
        <w:t>la duración del contrato de auditoría</w:t>
      </w:r>
      <w:r>
        <w:rPr>
          <w:rFonts w:ascii="Bookman Old Style" w:hAnsi="Bookman Old Style"/>
          <w:b w:val="0"/>
          <w:sz w:val="24"/>
          <w:szCs w:val="24"/>
        </w:rPr>
        <w:t xml:space="preserve"> y la garantía de cumplimiento.</w:t>
      </w:r>
    </w:p>
    <w:p w14:paraId="717AC2FC" w14:textId="77777777" w:rsidR="00CF5EFC" w:rsidRPr="00F23AE8" w:rsidRDefault="00CF5EFC" w:rsidP="00CF5EFC">
      <w:pPr>
        <w:jc w:val="both"/>
        <w:rPr>
          <w:rFonts w:ascii="Bookman Old Style" w:hAnsi="Bookman Old Style"/>
          <w:spacing w:val="-2"/>
        </w:rPr>
      </w:pPr>
    </w:p>
    <w:p w14:paraId="0D9730DD" w14:textId="72CDE9EC" w:rsidR="00CF5EFC" w:rsidRPr="000F4D2C" w:rsidRDefault="00CF5EFC" w:rsidP="000F4D2C">
      <w:pPr>
        <w:pStyle w:val="Estilo5"/>
        <w:keepNext w:val="0"/>
        <w:widowControl w:val="0"/>
        <w:numPr>
          <w:ilvl w:val="0"/>
          <w:numId w:val="10"/>
        </w:numPr>
        <w:tabs>
          <w:tab w:val="left" w:pos="0"/>
          <w:tab w:val="left" w:pos="1560"/>
        </w:tabs>
        <w:spacing w:before="0" w:after="240"/>
        <w:rPr>
          <w:rFonts w:ascii="Bookman Old Style" w:hAnsi="Bookman Old Style"/>
          <w:b w:val="0"/>
          <w:kern w:val="0"/>
          <w:sz w:val="24"/>
          <w:szCs w:val="24"/>
          <w:lang w:val="es-ES" w:eastAsia="es-ES"/>
        </w:rPr>
      </w:pPr>
      <w:bookmarkStart w:id="13" w:name="_Ref439268437"/>
      <w:bookmarkStart w:id="14" w:name="_Ref309918857"/>
      <w:bookmarkStart w:id="15" w:name="_Ref349828068"/>
      <w:bookmarkStart w:id="16" w:name="_Ref309368391"/>
      <w:r w:rsidRPr="00EE48BD">
        <w:rPr>
          <w:rFonts w:ascii="Bookman Old Style" w:hAnsi="Bookman Old Style" w:cs="Arial"/>
          <w:color w:val="000000"/>
          <w:spacing w:val="-4"/>
          <w:sz w:val="24"/>
          <w:szCs w:val="24"/>
        </w:rPr>
        <w:t xml:space="preserve">Auditoría. </w:t>
      </w:r>
      <w:bookmarkEnd w:id="13"/>
      <w:bookmarkEnd w:id="14"/>
      <w:bookmarkEnd w:id="15"/>
      <w:r w:rsidRPr="000F4D2C">
        <w:rPr>
          <w:rFonts w:ascii="Bookman Old Style" w:hAnsi="Bookman Old Style"/>
          <w:b w:val="0"/>
          <w:kern w:val="0"/>
          <w:sz w:val="24"/>
          <w:szCs w:val="24"/>
          <w:lang w:val="es-ES" w:eastAsia="es-ES"/>
        </w:rPr>
        <w:t xml:space="preserve">Todos los proyectos que se ejecuten bajo procesos de selección o a través del transportador incumbente según se establece en el Artículo 4 de la presente Resolución, deberán contar con una firma auditora en los términos y condiciones aquí establecidos, la cual será seleccionada a partir de una lista de firmas auditoras elaborada por el CNOG. </w:t>
      </w:r>
    </w:p>
    <w:p w14:paraId="5E9FF783" w14:textId="44D6C543" w:rsidR="00CF5EFC" w:rsidRPr="000F4D2C" w:rsidRDefault="00CF5EFC" w:rsidP="000F4D2C">
      <w:pPr>
        <w:jc w:val="both"/>
        <w:rPr>
          <w:rFonts w:ascii="Bookman Old Style" w:hAnsi="Bookman Old Style"/>
          <w:sz w:val="24"/>
          <w:szCs w:val="24"/>
        </w:rPr>
      </w:pPr>
      <w:r w:rsidRPr="000F4D2C">
        <w:rPr>
          <w:rFonts w:ascii="Bookman Old Style" w:hAnsi="Bookman Old Style"/>
          <w:sz w:val="24"/>
          <w:szCs w:val="24"/>
        </w:rPr>
        <w:t xml:space="preserve">El CNOG publicará la lista de firmas auditoras de acuerdo con los criterios que señale la UPME para tal fin. Entre otros, la UPME deberá considerar como criterio para dicha lista que las firmas seleccionadas no estén en situación o conflicto de interés con potenciales oferentes de cualquier proyecto o sus contratistas, situación que deberá ser declarada por la firma interesada en ser parte de la mencionada lista. La lista será actualizada en el mes de septiembre de cada año por el CNOG, y tendrá en cuenta los comentarios que la UPME emita sobre el desempeño, calidad y experiencia de los auditores. </w:t>
      </w:r>
    </w:p>
    <w:p w14:paraId="7AB1D6FE" w14:textId="4E4DCFBC" w:rsidR="00CF5EFC" w:rsidRPr="000F4D2C" w:rsidRDefault="00CF5EFC" w:rsidP="000F4D2C">
      <w:pPr>
        <w:spacing w:after="240"/>
        <w:jc w:val="both"/>
        <w:rPr>
          <w:rFonts w:ascii="Bookman Old Style" w:hAnsi="Bookman Old Style"/>
          <w:sz w:val="24"/>
          <w:szCs w:val="24"/>
        </w:rPr>
      </w:pPr>
      <w:r w:rsidRPr="000F4D2C">
        <w:rPr>
          <w:rFonts w:ascii="Bookman Old Style" w:hAnsi="Bookman Old Style"/>
          <w:sz w:val="24"/>
          <w:szCs w:val="24"/>
        </w:rPr>
        <w:t xml:space="preserve">El contrato deberá contar con una vigencia comprendida entre el inicio de la ejecución del proyecto y tres meses más, contados a partir de la fecha anticipada de entrada en operación, o de la FPO o de la FPO ajustada según se establece en el Artículo 22 de la presente Resolución. La fiducia será contratada por el adjudicatario, o el transportador incumbente que ejecute en primera instancia proyectos </w:t>
      </w:r>
      <w:r w:rsidRPr="000F4D2C">
        <w:rPr>
          <w:rFonts w:ascii="Bookman Old Style" w:hAnsi="Bookman Old Style"/>
          <w:b/>
          <w:sz w:val="24"/>
          <w:szCs w:val="24"/>
        </w:rPr>
        <w:t>IPAT</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QUOTE </w:instrText>
      </w:r>
      <w:r w:rsidRPr="000F4D2C">
        <w:rPr>
          <w:rFonts w:ascii="Bookman Old Style" w:hAnsi="Bookman Old Style"/>
          <w:noProof/>
          <w:sz w:val="24"/>
          <w:szCs w:val="24"/>
        </w:rPr>
        <w:drawing>
          <wp:inline distT="0" distB="0" distL="0" distR="0" wp14:anchorId="4B88284C" wp14:editId="417ECAB2">
            <wp:extent cx="342900" cy="180975"/>
            <wp:effectExtent l="0" t="0" r="0" b="0"/>
            <wp:docPr id="22" name="Picture 20006154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00615433"/>
                    <pic:cNvPicPr/>
                  </pic:nvPicPr>
                  <pic:blipFill>
                    <a:blip r:embed="rId13">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0F4D2C">
        <w:rPr>
          <w:rFonts w:ascii="Bookman Old Style" w:hAnsi="Bookman Old Style"/>
          <w:sz w:val="24"/>
          <w:szCs w:val="24"/>
        </w:rPr>
        <w:instrText xml:space="preserve"> </w:instrText>
      </w:r>
      <w:r w:rsidRPr="000F4D2C">
        <w:rPr>
          <w:rFonts w:ascii="Bookman Old Style" w:hAnsi="Bookman Old Style"/>
          <w:sz w:val="24"/>
          <w:szCs w:val="24"/>
        </w:rPr>
        <w:fldChar w:fldCharType="end"/>
      </w:r>
      <w:r w:rsidRPr="000F4D2C">
        <w:rPr>
          <w:rFonts w:ascii="Bookman Old Style" w:hAnsi="Bookman Old Style"/>
          <w:sz w:val="24"/>
          <w:szCs w:val="24"/>
        </w:rPr>
        <w:t xml:space="preserve">, y entregará a la fiducia al momento de suscribir el contrato, todos los recursos correspondientes al costo de la auditoría establecido por la UPME. Cuando haya ajustes en la FPO, según se establece en el Artículo 22 de la presente Resolución, y este ajuste de lugar a aumentar los costos de la auditoría, la UPME informará al adjudicatario, o al transportador incumbente que ejecute en primera instancia proyectos </w:t>
      </w:r>
      <w:r w:rsidRPr="000F4D2C">
        <w:rPr>
          <w:rFonts w:ascii="Bookman Old Style" w:hAnsi="Bookman Old Style"/>
          <w:b/>
          <w:sz w:val="24"/>
          <w:szCs w:val="24"/>
        </w:rPr>
        <w:t>IPAT</w:t>
      </w:r>
      <w:r w:rsidRPr="000F4D2C">
        <w:rPr>
          <w:rFonts w:ascii="Bookman Old Style" w:hAnsi="Bookman Old Style"/>
          <w:color w:val="000000" w:themeColor="text1"/>
          <w:sz w:val="24"/>
          <w:szCs w:val="24"/>
        </w:rPr>
        <w:fldChar w:fldCharType="begin"/>
      </w:r>
      <w:r w:rsidRPr="000F4D2C">
        <w:rPr>
          <w:rFonts w:ascii="Bookman Old Style" w:hAnsi="Bookman Old Style"/>
          <w:color w:val="000000" w:themeColor="text1"/>
          <w:sz w:val="24"/>
          <w:szCs w:val="24"/>
        </w:rPr>
        <w:instrText xml:space="preserve"> QUOTE </w:instrText>
      </w:r>
      <w:r w:rsidRPr="000F4D2C">
        <w:rPr>
          <w:rFonts w:ascii="Bookman Old Style" w:hAnsi="Bookman Old Style"/>
          <w:noProof/>
          <w:sz w:val="24"/>
          <w:szCs w:val="24"/>
        </w:rPr>
        <w:drawing>
          <wp:inline distT="0" distB="0" distL="0" distR="0" wp14:anchorId="3832D566" wp14:editId="11316F84">
            <wp:extent cx="342900" cy="180975"/>
            <wp:effectExtent l="0" t="0" r="0" b="0"/>
            <wp:docPr id="24" name="Picture 16868101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86810118"/>
                    <pic:cNvPicPr/>
                  </pic:nvPicPr>
                  <pic:blipFill>
                    <a:blip r:embed="rId13">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0F4D2C">
        <w:rPr>
          <w:rFonts w:ascii="Bookman Old Style" w:hAnsi="Bookman Old Style"/>
          <w:color w:val="000000" w:themeColor="text1"/>
          <w:sz w:val="24"/>
          <w:szCs w:val="24"/>
        </w:rPr>
        <w:instrText xml:space="preserve"> </w:instrText>
      </w:r>
      <w:r w:rsidRPr="000F4D2C">
        <w:rPr>
          <w:rFonts w:ascii="Bookman Old Style" w:hAnsi="Bookman Old Style"/>
          <w:color w:val="000000" w:themeColor="text1"/>
          <w:sz w:val="24"/>
          <w:szCs w:val="24"/>
        </w:rPr>
        <w:fldChar w:fldCharType="end"/>
      </w:r>
      <w:r w:rsidRPr="000F4D2C">
        <w:rPr>
          <w:rFonts w:ascii="Bookman Old Style" w:hAnsi="Bookman Old Style"/>
          <w:color w:val="000000" w:themeColor="text1"/>
          <w:sz w:val="24"/>
          <w:szCs w:val="24"/>
        </w:rPr>
        <w:t>,</w:t>
      </w:r>
      <w:r w:rsidRPr="000F4D2C">
        <w:rPr>
          <w:rFonts w:ascii="Bookman Old Style" w:hAnsi="Bookman Old Style"/>
          <w:sz w:val="24"/>
          <w:szCs w:val="24"/>
        </w:rPr>
        <w:t xml:space="preserve"> y fijará el plazo para que este entregue a la fiducia los recursos para cubrir los costos adicionales de la auditoría.             </w:t>
      </w:r>
    </w:p>
    <w:p w14:paraId="5D34BE46" w14:textId="3C1DE47C" w:rsidR="00CF5EFC" w:rsidRDefault="00CF5EFC" w:rsidP="000F4D2C">
      <w:pPr>
        <w:spacing w:after="0" w:line="240" w:lineRule="auto"/>
        <w:jc w:val="both"/>
        <w:rPr>
          <w:rFonts w:ascii="Bookman Old Style" w:hAnsi="Bookman Old Style"/>
          <w:sz w:val="24"/>
          <w:szCs w:val="24"/>
        </w:rPr>
      </w:pPr>
      <w:r w:rsidRPr="000F4D2C">
        <w:rPr>
          <w:rFonts w:ascii="Bookman Old Style" w:hAnsi="Bookman Old Style"/>
          <w:sz w:val="24"/>
          <w:szCs w:val="24"/>
        </w:rPr>
        <w:t>El alcance de la auditoría exigida corresponderá a las obligaciones asignadas en el Artículo 24 de la presente Resolución. Su incumplimiento dará lugar a la terminación del contrato y a que la firma auditora sea excluida de la lista que elabora el CNOG.</w:t>
      </w:r>
    </w:p>
    <w:p w14:paraId="61D332A0" w14:textId="77777777" w:rsidR="00D55FD2" w:rsidRPr="000F4D2C" w:rsidRDefault="00D55FD2" w:rsidP="000F4D2C">
      <w:pPr>
        <w:spacing w:after="0" w:line="240" w:lineRule="auto"/>
        <w:jc w:val="both"/>
        <w:rPr>
          <w:rFonts w:ascii="Bookman Old Style" w:hAnsi="Bookman Old Style"/>
          <w:sz w:val="24"/>
          <w:szCs w:val="24"/>
        </w:rPr>
      </w:pPr>
    </w:p>
    <w:p w14:paraId="4B7467AF" w14:textId="5293B6BE" w:rsidR="00CF5EFC" w:rsidRDefault="00CF5EFC" w:rsidP="0039158C">
      <w:pPr>
        <w:spacing w:after="0" w:line="240" w:lineRule="auto"/>
        <w:jc w:val="both"/>
        <w:rPr>
          <w:rFonts w:ascii="Bookman Old Style" w:hAnsi="Bookman Old Style"/>
          <w:spacing w:val="-2"/>
          <w:sz w:val="24"/>
          <w:szCs w:val="24"/>
        </w:rPr>
      </w:pPr>
      <w:r w:rsidRPr="000F4D2C">
        <w:rPr>
          <w:rFonts w:ascii="Bookman Old Style" w:hAnsi="Bookman Old Style"/>
          <w:sz w:val="24"/>
          <w:szCs w:val="24"/>
        </w:rPr>
        <w:t xml:space="preserve">Para seleccionar el auditor se </w:t>
      </w:r>
      <w:r w:rsidRPr="000F4D2C">
        <w:rPr>
          <w:rFonts w:ascii="Bookman Old Style" w:hAnsi="Bookman Old Style"/>
          <w:spacing w:val="-2"/>
          <w:sz w:val="24"/>
          <w:szCs w:val="24"/>
        </w:rPr>
        <w:t>tendrá en cuenta lo siguiente:</w:t>
      </w:r>
    </w:p>
    <w:p w14:paraId="07D6773C" w14:textId="77777777" w:rsidR="0039158C" w:rsidRPr="000F4D2C" w:rsidRDefault="0039158C" w:rsidP="000F4D2C">
      <w:pPr>
        <w:spacing w:after="0" w:line="240" w:lineRule="auto"/>
        <w:jc w:val="both"/>
        <w:rPr>
          <w:rFonts w:ascii="Bookman Old Style" w:hAnsi="Bookman Old Style"/>
          <w:spacing w:val="-2"/>
          <w:sz w:val="24"/>
          <w:szCs w:val="24"/>
        </w:rPr>
      </w:pPr>
    </w:p>
    <w:p w14:paraId="4BBA7FC3" w14:textId="0099BCF4" w:rsidR="00CF5EFC" w:rsidRDefault="00CF5EFC" w:rsidP="0039158C">
      <w:pPr>
        <w:pStyle w:val="Prrafodelista"/>
        <w:numPr>
          <w:ilvl w:val="0"/>
          <w:numId w:val="22"/>
        </w:numPr>
        <w:ind w:left="567" w:hanging="283"/>
        <w:jc w:val="both"/>
        <w:rPr>
          <w:rFonts w:ascii="Bookman Old Style" w:hAnsi="Bookman Old Style"/>
          <w:spacing w:val="-2"/>
          <w:sz w:val="24"/>
          <w:szCs w:val="24"/>
        </w:rPr>
      </w:pPr>
      <w:r w:rsidRPr="000F4D2C">
        <w:rPr>
          <w:rFonts w:ascii="Bookman Old Style" w:hAnsi="Bookman Old Style"/>
          <w:spacing w:val="-2"/>
          <w:sz w:val="24"/>
          <w:szCs w:val="24"/>
        </w:rPr>
        <w:t>De la lista de firmas auditoras publicada por el CNOG, la UPME escogerá mediante proceso competitivo, la firma auditora y su costo para cada proyecto.</w:t>
      </w:r>
    </w:p>
    <w:p w14:paraId="24F27D9C" w14:textId="77777777" w:rsidR="0039158C" w:rsidRPr="000F4D2C" w:rsidRDefault="0039158C" w:rsidP="000F4D2C">
      <w:pPr>
        <w:pStyle w:val="Prrafodelista"/>
        <w:ind w:left="567"/>
        <w:jc w:val="both"/>
        <w:rPr>
          <w:rFonts w:ascii="Bookman Old Style" w:hAnsi="Bookman Old Style"/>
          <w:spacing w:val="-2"/>
          <w:sz w:val="24"/>
          <w:szCs w:val="24"/>
        </w:rPr>
      </w:pPr>
    </w:p>
    <w:p w14:paraId="4CC437DA" w14:textId="3194D59F" w:rsidR="00CF5EFC" w:rsidRPr="000F4D2C" w:rsidRDefault="00CF5EFC" w:rsidP="0039158C">
      <w:pPr>
        <w:pStyle w:val="Prrafodelista"/>
        <w:numPr>
          <w:ilvl w:val="0"/>
          <w:numId w:val="22"/>
        </w:numPr>
        <w:ind w:left="567" w:hanging="283"/>
        <w:jc w:val="both"/>
        <w:rPr>
          <w:rFonts w:ascii="Bookman Old Style" w:hAnsi="Bookman Old Style"/>
          <w:spacing w:val="-2"/>
          <w:sz w:val="24"/>
          <w:szCs w:val="24"/>
        </w:rPr>
      </w:pPr>
      <w:r w:rsidRPr="000F4D2C">
        <w:rPr>
          <w:rFonts w:ascii="Bookman Old Style" w:hAnsi="Bookman Old Style"/>
          <w:sz w:val="24"/>
          <w:szCs w:val="24"/>
        </w:rPr>
        <w:t>Bajo la gravedad del juramento, tanto la firma de auditoría, como el equipo de trabajo que la conforma, deberán manifestar que no se hallan incursos en inhabilidades e incompatibilidades establecidas, tanto por la ley de contratación estatal, así como las contenidas en la Ley 142 de 1994.</w:t>
      </w:r>
    </w:p>
    <w:p w14:paraId="21808FCB" w14:textId="77777777" w:rsidR="0039158C" w:rsidRPr="000F4D2C" w:rsidRDefault="0039158C" w:rsidP="000F4D2C">
      <w:pPr>
        <w:pStyle w:val="Prrafodelista"/>
        <w:rPr>
          <w:rFonts w:ascii="Bookman Old Style" w:hAnsi="Bookman Old Style"/>
          <w:spacing w:val="-2"/>
          <w:sz w:val="24"/>
          <w:szCs w:val="24"/>
        </w:rPr>
      </w:pPr>
    </w:p>
    <w:p w14:paraId="1E9F8222" w14:textId="21918E73" w:rsidR="00CF5EFC" w:rsidRPr="000F4D2C" w:rsidRDefault="00CF5EFC" w:rsidP="0039158C">
      <w:pPr>
        <w:pStyle w:val="Prrafodelista"/>
        <w:numPr>
          <w:ilvl w:val="0"/>
          <w:numId w:val="22"/>
        </w:numPr>
        <w:ind w:left="567" w:hanging="283"/>
        <w:jc w:val="both"/>
        <w:rPr>
          <w:rFonts w:ascii="Bookman Old Style" w:hAnsi="Bookman Old Style"/>
          <w:sz w:val="24"/>
          <w:szCs w:val="24"/>
        </w:rPr>
      </w:pPr>
      <w:r w:rsidRPr="000F4D2C">
        <w:rPr>
          <w:rFonts w:ascii="Bookman Old Style" w:hAnsi="Bookman Old Style"/>
          <w:spacing w:val="-2"/>
          <w:sz w:val="24"/>
          <w:szCs w:val="24"/>
        </w:rPr>
        <w:t xml:space="preserve">En el caso de que se cuente con la información del costo de la auditoría antes de la oferta de los participantes en el proceso abierto y competitivo a cargo de la UPME, la UPME dará a conocer el costo de la auditoría y el nombre del auditor, con el objeto de que el proponente incluya dicho costo dentro de su oferta. Cuando no se cuente con la información antes de la fecha de presentación de ofertas, el costo de la auditoría se adicionará al primer año del ingreso anual esperado del PEP, o en su equivalente si hay entrada parcial. </w:t>
      </w:r>
    </w:p>
    <w:p w14:paraId="68129E47" w14:textId="77777777" w:rsidR="0039158C" w:rsidRPr="000F4D2C" w:rsidRDefault="0039158C" w:rsidP="000F4D2C">
      <w:pPr>
        <w:pStyle w:val="Prrafodelista"/>
        <w:ind w:left="567"/>
        <w:jc w:val="both"/>
        <w:rPr>
          <w:rFonts w:ascii="Bookman Old Style" w:hAnsi="Bookman Old Style"/>
          <w:sz w:val="24"/>
          <w:szCs w:val="24"/>
        </w:rPr>
      </w:pPr>
    </w:p>
    <w:p w14:paraId="68502751" w14:textId="438AD44A" w:rsidR="00CF5EFC" w:rsidRDefault="00CF5EFC" w:rsidP="0039158C">
      <w:pPr>
        <w:pStyle w:val="Prrafodelista"/>
        <w:numPr>
          <w:ilvl w:val="0"/>
          <w:numId w:val="22"/>
        </w:numPr>
        <w:ind w:left="567" w:hanging="283"/>
        <w:jc w:val="both"/>
        <w:rPr>
          <w:rFonts w:ascii="Bookman Old Style" w:hAnsi="Bookman Old Style"/>
          <w:sz w:val="24"/>
          <w:szCs w:val="24"/>
        </w:rPr>
      </w:pPr>
      <w:r w:rsidRPr="000F4D2C">
        <w:rPr>
          <w:rFonts w:ascii="Bookman Old Style" w:hAnsi="Bookman Old Style"/>
          <w:sz w:val="24"/>
          <w:szCs w:val="24"/>
        </w:rPr>
        <w:t>La minuta del contrato entre la fiducia y el auditor deberá acogerse a lo que para tales fines establezca la UPME, y deberá contener las obligaciones del auditor establecidas en el Artículo 24 de la presente Resolución y en los documentos con los que se abra el proceso de selección.</w:t>
      </w:r>
    </w:p>
    <w:p w14:paraId="3471FE32" w14:textId="77777777" w:rsidR="0039158C" w:rsidRPr="000F4D2C" w:rsidRDefault="0039158C" w:rsidP="000F4D2C">
      <w:pPr>
        <w:pStyle w:val="Prrafodelista"/>
        <w:rPr>
          <w:rFonts w:ascii="Bookman Old Style" w:hAnsi="Bookman Old Style"/>
          <w:sz w:val="24"/>
          <w:szCs w:val="24"/>
        </w:rPr>
      </w:pPr>
    </w:p>
    <w:p w14:paraId="66014DE0" w14:textId="05BA7C4D" w:rsidR="00CF5EFC" w:rsidRDefault="00CF5EFC" w:rsidP="0039158C">
      <w:pPr>
        <w:pStyle w:val="Prrafodelista"/>
        <w:numPr>
          <w:ilvl w:val="0"/>
          <w:numId w:val="22"/>
        </w:numPr>
        <w:ind w:left="567" w:hanging="283"/>
        <w:jc w:val="both"/>
        <w:rPr>
          <w:rFonts w:ascii="Bookman Old Style" w:hAnsi="Bookman Old Style"/>
          <w:sz w:val="24"/>
          <w:szCs w:val="24"/>
        </w:rPr>
      </w:pPr>
      <w:r w:rsidRPr="000F4D2C">
        <w:rPr>
          <w:rFonts w:ascii="Bookman Old Style" w:hAnsi="Bookman Old Style"/>
          <w:sz w:val="24"/>
          <w:szCs w:val="24"/>
        </w:rPr>
        <w:t xml:space="preserve">El adjudicatario, o el transportador incumbente que ejecute en primera instancia proyectos de </w:t>
      </w:r>
      <w:r w:rsidRPr="000F4D2C">
        <w:rPr>
          <w:rFonts w:ascii="Bookman Old Style" w:hAnsi="Bookman Old Style"/>
          <w:b/>
          <w:sz w:val="24"/>
          <w:szCs w:val="24"/>
        </w:rPr>
        <w:t>IPAT</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QUOTE </w:instrText>
      </w:r>
      <w:r w:rsidRPr="000F4D2C">
        <w:rPr>
          <w:noProof/>
          <w:sz w:val="24"/>
          <w:szCs w:val="24"/>
        </w:rPr>
        <w:drawing>
          <wp:inline distT="0" distB="0" distL="0" distR="0" wp14:anchorId="308FDD0B" wp14:editId="1A1FAA6B">
            <wp:extent cx="342900" cy="180975"/>
            <wp:effectExtent l="0" t="0" r="0" b="0"/>
            <wp:docPr id="28" name="Picture 1508535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0853520"/>
                    <pic:cNvPicPr/>
                  </pic:nvPicPr>
                  <pic:blipFill>
                    <a:blip r:embed="rId13">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0F4D2C">
        <w:rPr>
          <w:rFonts w:ascii="Bookman Old Style" w:hAnsi="Bookman Old Style"/>
          <w:sz w:val="24"/>
          <w:szCs w:val="24"/>
        </w:rPr>
        <w:instrText xml:space="preserve"> </w:instrText>
      </w:r>
      <w:r w:rsidRPr="000F4D2C">
        <w:rPr>
          <w:rFonts w:ascii="Bookman Old Style" w:hAnsi="Bookman Old Style"/>
          <w:sz w:val="24"/>
          <w:szCs w:val="24"/>
        </w:rPr>
        <w:fldChar w:fldCharType="end"/>
      </w:r>
      <w:r w:rsidRPr="000F4D2C">
        <w:rPr>
          <w:rFonts w:ascii="Bookman Old Style" w:hAnsi="Bookman Old Style"/>
          <w:sz w:val="24"/>
          <w:szCs w:val="24"/>
        </w:rPr>
        <w:t>, deberá suscribir un contrato de fiducia, con una entidad debidamente autorizada por la Superintendencia Financiera, donde se definirá, entre otros aspectos, que la UPME es la entidad que autoriza los pagos al auditor.</w:t>
      </w:r>
    </w:p>
    <w:p w14:paraId="5E3F574F" w14:textId="77777777" w:rsidR="0039158C" w:rsidRPr="000F4D2C" w:rsidRDefault="0039158C" w:rsidP="000F4D2C">
      <w:pPr>
        <w:pStyle w:val="Prrafodelista"/>
        <w:ind w:left="567"/>
        <w:jc w:val="both"/>
        <w:rPr>
          <w:rFonts w:ascii="Bookman Old Style" w:hAnsi="Bookman Old Style"/>
          <w:sz w:val="24"/>
          <w:szCs w:val="24"/>
        </w:rPr>
      </w:pPr>
    </w:p>
    <w:p w14:paraId="5B158974" w14:textId="77777777" w:rsidR="00CF5EFC" w:rsidRPr="000F4D2C" w:rsidRDefault="00CF5EFC" w:rsidP="000F4D2C">
      <w:pPr>
        <w:pStyle w:val="Prrafodelista"/>
        <w:numPr>
          <w:ilvl w:val="0"/>
          <w:numId w:val="22"/>
        </w:numPr>
        <w:ind w:left="567" w:hanging="283"/>
        <w:jc w:val="both"/>
        <w:rPr>
          <w:rFonts w:ascii="Bookman Old Style" w:hAnsi="Bookman Old Style"/>
          <w:spacing w:val="-2"/>
          <w:sz w:val="24"/>
          <w:szCs w:val="24"/>
        </w:rPr>
      </w:pPr>
      <w:r w:rsidRPr="000F4D2C">
        <w:rPr>
          <w:rFonts w:ascii="Bookman Old Style" w:hAnsi="Bookman Old Style"/>
          <w:sz w:val="24"/>
          <w:szCs w:val="24"/>
        </w:rPr>
        <w:t xml:space="preserve">En el caso de que se cuente con la información, cuando se trate de proyectos </w:t>
      </w:r>
      <w:r w:rsidRPr="000F4D2C">
        <w:rPr>
          <w:rFonts w:ascii="Bookman Old Style" w:hAnsi="Bookman Old Style"/>
          <w:b/>
          <w:sz w:val="24"/>
          <w:szCs w:val="24"/>
        </w:rPr>
        <w:t>IPAT</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QUOTE </w:instrText>
      </w:r>
      <w:r w:rsidRPr="000F4D2C">
        <w:rPr>
          <w:noProof/>
          <w:sz w:val="24"/>
          <w:szCs w:val="24"/>
        </w:rPr>
        <w:drawing>
          <wp:inline distT="0" distB="0" distL="0" distR="0" wp14:anchorId="4BD97FEC" wp14:editId="720D4B49">
            <wp:extent cx="342900" cy="180975"/>
            <wp:effectExtent l="0" t="0" r="0" b="0"/>
            <wp:docPr id="30" name="Picture 10187848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18784829"/>
                    <pic:cNvPicPr>
                      <a:picLocks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2900" cy="180975"/>
                    </a:xfrm>
                    <a:prstGeom prst="rect">
                      <a:avLst/>
                    </a:prstGeom>
                    <a:noFill/>
                    <a:ln>
                      <a:noFill/>
                    </a:ln>
                  </pic:spPr>
                </pic:pic>
              </a:graphicData>
            </a:graphic>
          </wp:inline>
        </w:drawing>
      </w:r>
      <w:r w:rsidRPr="000F4D2C">
        <w:rPr>
          <w:rFonts w:ascii="Bookman Old Style" w:hAnsi="Bookman Old Style"/>
          <w:sz w:val="24"/>
          <w:szCs w:val="24"/>
        </w:rPr>
        <w:instrText xml:space="preserve"> </w:instrText>
      </w:r>
      <w:r w:rsidRPr="000F4D2C">
        <w:rPr>
          <w:rFonts w:ascii="Bookman Old Style" w:hAnsi="Bookman Old Style"/>
          <w:sz w:val="24"/>
          <w:szCs w:val="24"/>
        </w:rPr>
        <w:fldChar w:fldCharType="end"/>
      </w:r>
      <w:r w:rsidRPr="000F4D2C">
        <w:rPr>
          <w:rFonts w:ascii="Bookman Old Style" w:hAnsi="Bookman Old Style"/>
          <w:sz w:val="24"/>
          <w:szCs w:val="24"/>
        </w:rPr>
        <w:t xml:space="preserve"> ejecutados como se establece en el Artículo 4 de la presente Resolución, la UPME informará a la CREG y al transportador incumbente el costo de la auditoría y el nombre del auditor antes del plazo límite para el transportador incumbente establecido en el literal e) del Artículo 4 de la presente Resolución. Cuando no se cuente con la información, el costo de la auditoría se adicionará al primer año del ingreso anual del transportador incumbente o su equivalente cuando es el caso de entrada parcial.</w:t>
      </w:r>
      <w:r w:rsidRPr="000F4D2C">
        <w:rPr>
          <w:rFonts w:ascii="Bookman Old Style" w:hAnsi="Bookman Old Style"/>
          <w:spacing w:val="-2"/>
          <w:sz w:val="24"/>
          <w:szCs w:val="24"/>
        </w:rPr>
        <w:t>”</w:t>
      </w:r>
    </w:p>
    <w:p w14:paraId="64470360" w14:textId="77777777" w:rsidR="00CF5EFC" w:rsidRPr="00F23AE8" w:rsidRDefault="00CF5EFC" w:rsidP="000F4D2C">
      <w:pPr>
        <w:spacing w:after="0" w:line="240" w:lineRule="auto"/>
        <w:jc w:val="both"/>
        <w:rPr>
          <w:rFonts w:ascii="Bookman Old Style" w:hAnsi="Bookman Old Style"/>
          <w:b/>
          <w:strike/>
          <w:spacing w:val="-2"/>
        </w:rPr>
      </w:pPr>
    </w:p>
    <w:p w14:paraId="40BF5EFE" w14:textId="4913D494" w:rsidR="00CF5EFC" w:rsidRPr="000F4D2C" w:rsidRDefault="00CF5EFC" w:rsidP="000F4D2C">
      <w:pPr>
        <w:pStyle w:val="Estilo5"/>
        <w:keepNext w:val="0"/>
        <w:widowControl w:val="0"/>
        <w:numPr>
          <w:ilvl w:val="0"/>
          <w:numId w:val="10"/>
        </w:numPr>
        <w:tabs>
          <w:tab w:val="left" w:pos="0"/>
          <w:tab w:val="left" w:pos="1560"/>
        </w:tabs>
        <w:spacing w:before="0" w:after="0"/>
        <w:rPr>
          <w:rFonts w:ascii="Bookman Old Style" w:hAnsi="Bookman Old Style"/>
          <w:b w:val="0"/>
          <w:sz w:val="24"/>
          <w:szCs w:val="24"/>
        </w:rPr>
      </w:pPr>
      <w:bookmarkStart w:id="17" w:name="_Ref439268621"/>
      <w:bookmarkStart w:id="18" w:name="_Ref461097173"/>
      <w:r w:rsidRPr="00F23AE8">
        <w:rPr>
          <w:rFonts w:ascii="Bookman Old Style" w:hAnsi="Bookman Old Style" w:cs="Arial"/>
          <w:color w:val="000000"/>
          <w:spacing w:val="-4"/>
          <w:sz w:val="24"/>
          <w:szCs w:val="24"/>
        </w:rPr>
        <w:t>Obligaciones del auditor.</w:t>
      </w:r>
      <w:r w:rsidRPr="00F23AE8">
        <w:rPr>
          <w:rFonts w:ascii="Bookman Old Style" w:hAnsi="Bookman Old Style"/>
          <w:b w:val="0"/>
          <w:sz w:val="24"/>
          <w:szCs w:val="24"/>
        </w:rPr>
        <w:t xml:space="preserve"> </w:t>
      </w:r>
      <w:bookmarkEnd w:id="16"/>
      <w:bookmarkEnd w:id="17"/>
      <w:bookmarkEnd w:id="18"/>
      <w:r w:rsidRPr="000F4D2C">
        <w:rPr>
          <w:rFonts w:ascii="Bookman Old Style" w:hAnsi="Bookman Old Style"/>
          <w:b w:val="0"/>
          <w:sz w:val="24"/>
          <w:szCs w:val="24"/>
        </w:rPr>
        <w:t xml:space="preserve">El auditor seleccionado para el proyecto deberá radicar en las oficinas de la UPME, como institución que autoriza los pagos del auditor, del MME, de la CREG, de la SSPD, de la fiducia que contrató al auditor, y del adjudicatario o del transportador incumbente que ejecute proyectos </w:t>
      </w:r>
      <w:r w:rsidRPr="000F4D2C">
        <w:rPr>
          <w:rFonts w:ascii="Bookman Old Style" w:hAnsi="Bookman Old Style"/>
          <w:sz w:val="24"/>
          <w:szCs w:val="24"/>
        </w:rPr>
        <w:t>IPAT</w:t>
      </w:r>
      <w:r w:rsidRPr="707D70D2">
        <w:rPr>
          <w:rFonts w:ascii="Bookman Old Style" w:hAnsi="Bookman Old Style"/>
          <w:b w:val="0"/>
          <w:sz w:val="24"/>
          <w:szCs w:val="24"/>
        </w:rPr>
        <w:fldChar w:fldCharType="begin"/>
      </w:r>
      <w:r w:rsidRPr="707D70D2">
        <w:rPr>
          <w:rFonts w:ascii="Bookman Old Style" w:hAnsi="Bookman Old Style"/>
          <w:b w:val="0"/>
          <w:sz w:val="24"/>
          <w:szCs w:val="24"/>
        </w:rPr>
        <w:instrText xml:space="preserve"> QUOTE </w:instrText>
      </w:r>
      <w:r>
        <w:rPr>
          <w:noProof/>
        </w:rPr>
        <w:drawing>
          <wp:inline distT="0" distB="0" distL="0" distR="0" wp14:anchorId="030E2576" wp14:editId="50BFCFBF">
            <wp:extent cx="333375" cy="314325"/>
            <wp:effectExtent l="0" t="0" r="0" b="0"/>
            <wp:docPr id="32" name="Picture 16201499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20149941"/>
                    <pic:cNvPicPr/>
                  </pic:nvPicPr>
                  <pic:blipFill>
                    <a:blip r:embed="rId14">
                      <a:extLst>
                        <a:ext uri="{28A0092B-C50C-407E-A947-70E740481C1C}">
                          <a14:useLocalDpi xmlns:a14="http://schemas.microsoft.com/office/drawing/2010/main" val="0"/>
                        </a:ext>
                      </a:extLst>
                    </a:blip>
                    <a:stretch>
                      <a:fillRect/>
                    </a:stretch>
                  </pic:blipFill>
                  <pic:spPr>
                    <a:xfrm>
                      <a:off x="0" y="0"/>
                      <a:ext cx="333375" cy="314325"/>
                    </a:xfrm>
                    <a:prstGeom prst="rect">
                      <a:avLst/>
                    </a:prstGeom>
                  </pic:spPr>
                </pic:pic>
              </a:graphicData>
            </a:graphic>
          </wp:inline>
        </w:drawing>
      </w:r>
      <w:r w:rsidRPr="707D70D2">
        <w:rPr>
          <w:rFonts w:ascii="Bookman Old Style" w:hAnsi="Bookman Old Style"/>
          <w:b w:val="0"/>
          <w:sz w:val="24"/>
          <w:szCs w:val="24"/>
        </w:rPr>
        <w:instrText xml:space="preserve"> </w:instrText>
      </w:r>
      <w:r w:rsidRPr="707D70D2">
        <w:rPr>
          <w:rFonts w:ascii="Bookman Old Style" w:hAnsi="Bookman Old Style"/>
          <w:b w:val="0"/>
          <w:sz w:val="24"/>
          <w:szCs w:val="24"/>
        </w:rPr>
        <w:fldChar w:fldCharType="end"/>
      </w:r>
      <w:r w:rsidRPr="000F4D2C">
        <w:rPr>
          <w:rFonts w:ascii="Bookman Old Style" w:hAnsi="Bookman Old Style"/>
          <w:b w:val="0"/>
          <w:sz w:val="24"/>
          <w:szCs w:val="24"/>
        </w:rPr>
        <w:t>, la siguiente información:</w:t>
      </w:r>
    </w:p>
    <w:p w14:paraId="08AC046D" w14:textId="77777777" w:rsidR="00CF5EFC" w:rsidRPr="000F4D2C" w:rsidRDefault="00CF5EFC" w:rsidP="0039158C">
      <w:pPr>
        <w:pStyle w:val="Estilo5"/>
        <w:keepNext w:val="0"/>
        <w:widowControl w:val="0"/>
        <w:numPr>
          <w:ilvl w:val="0"/>
          <w:numId w:val="0"/>
        </w:numPr>
        <w:spacing w:before="0" w:after="0"/>
        <w:ind w:left="284"/>
        <w:outlineLvl w:val="9"/>
        <w:rPr>
          <w:rFonts w:ascii="Bookman Old Style" w:hAnsi="Bookman Old Style"/>
          <w:b w:val="0"/>
          <w:sz w:val="24"/>
          <w:szCs w:val="24"/>
        </w:rPr>
      </w:pPr>
    </w:p>
    <w:p w14:paraId="4A328E62" w14:textId="1862AC36" w:rsidR="00CF5EFC" w:rsidRDefault="00CF5EFC" w:rsidP="0039158C">
      <w:pPr>
        <w:numPr>
          <w:ilvl w:val="0"/>
          <w:numId w:val="32"/>
        </w:numPr>
        <w:spacing w:after="0" w:line="240" w:lineRule="auto"/>
        <w:ind w:left="568" w:hanging="284"/>
        <w:jc w:val="both"/>
        <w:rPr>
          <w:rFonts w:ascii="Bookman Old Style" w:hAnsi="Bookman Old Style" w:cs="Arial"/>
          <w:sz w:val="24"/>
          <w:szCs w:val="24"/>
        </w:rPr>
      </w:pPr>
      <w:r w:rsidRPr="000F4D2C">
        <w:rPr>
          <w:rFonts w:ascii="Bookman Old Style" w:hAnsi="Bookman Old Style"/>
          <w:sz w:val="24"/>
          <w:szCs w:val="24"/>
        </w:rPr>
        <w:t>U</w:t>
      </w:r>
      <w:bookmarkStart w:id="19" w:name="_Ref461097164"/>
      <w:r w:rsidRPr="000F4D2C">
        <w:rPr>
          <w:rFonts w:ascii="Bookman Old Style" w:hAnsi="Bookman Old Style" w:cs="Arial"/>
          <w:sz w:val="24"/>
          <w:szCs w:val="24"/>
        </w:rPr>
        <w:t>n informe, cada noventa (90) días calendario contados a partir del momento en que se legalice su respectivo contrato, donde se presente el resultado de verificación del cumplimiento del cronograma, de la curva S</w:t>
      </w:r>
      <w:r w:rsidR="4AD044EB" w:rsidRPr="261CDD06">
        <w:rPr>
          <w:rFonts w:ascii="Bookman Old Style" w:hAnsi="Bookman Old Style" w:cs="Arial"/>
          <w:sz w:val="24"/>
          <w:szCs w:val="24"/>
        </w:rPr>
        <w:t xml:space="preserve">, </w:t>
      </w:r>
      <w:r w:rsidR="4AD044EB" w:rsidRPr="000F4D2C">
        <w:rPr>
          <w:rFonts w:ascii="Bookman Old Style" w:hAnsi="Bookman Old Style" w:cs="Arial"/>
          <w:b/>
          <w:bCs/>
          <w:sz w:val="24"/>
          <w:szCs w:val="24"/>
          <w:u w:val="single"/>
        </w:rPr>
        <w:t>de los Hitos de la curva S</w:t>
      </w:r>
      <w:r w:rsidRPr="000F4D2C">
        <w:rPr>
          <w:rFonts w:ascii="Bookman Old Style" w:hAnsi="Bookman Old Style" w:cs="Arial"/>
          <w:sz w:val="24"/>
          <w:szCs w:val="24"/>
        </w:rPr>
        <w:t xml:space="preserve"> y de las características técnicas establecidos </w:t>
      </w:r>
      <w:r w:rsidRPr="000F4D2C">
        <w:rPr>
          <w:rFonts w:ascii="Bookman Old Style" w:hAnsi="Bookman Old Style" w:cs="Arial"/>
          <w:sz w:val="24"/>
          <w:szCs w:val="24"/>
        </w:rPr>
        <w:lastRenderedPageBreak/>
        <w:t>para el proyecto. El informe deberá explícitamente indicar el número de meses de atraso en números enteros según el cronograma</w:t>
      </w:r>
      <w:r w:rsidR="4AD044EB" w:rsidRPr="261CDD06">
        <w:rPr>
          <w:rFonts w:ascii="Bookman Old Style" w:hAnsi="Bookman Old Style" w:cs="Arial"/>
          <w:sz w:val="24"/>
          <w:szCs w:val="24"/>
        </w:rPr>
        <w:t>,</w:t>
      </w:r>
      <w:r w:rsidR="4AD044EB" w:rsidRPr="000F4D2C">
        <w:rPr>
          <w:rFonts w:ascii="Bookman Old Style" w:hAnsi="Bookman Old Style" w:cs="Arial"/>
          <w:sz w:val="24"/>
          <w:szCs w:val="24"/>
        </w:rPr>
        <w:t xml:space="preserve"> la curva S</w:t>
      </w:r>
      <w:r w:rsidR="4AD044EB" w:rsidRPr="000F4D2C">
        <w:rPr>
          <w:rFonts w:ascii="Bookman Old Style" w:hAnsi="Bookman Old Style" w:cs="Arial"/>
          <w:b/>
          <w:bCs/>
          <w:sz w:val="24"/>
          <w:szCs w:val="24"/>
          <w:u w:val="single"/>
        </w:rPr>
        <w:t>, los Hitos de la curva S.</w:t>
      </w:r>
      <w:r w:rsidRPr="000F4D2C">
        <w:rPr>
          <w:rFonts w:ascii="Bookman Old Style" w:hAnsi="Bookman Old Style" w:cs="Arial"/>
          <w:sz w:val="24"/>
          <w:szCs w:val="24"/>
        </w:rPr>
        <w:t xml:space="preserve"> Un atraso mayor o igual a 15 días calendario se contará como un mes, y un atraso menor a 15 días se contará como cero. </w:t>
      </w:r>
      <w:r w:rsidR="00651A76" w:rsidRPr="000F4D2C">
        <w:rPr>
          <w:rFonts w:ascii="Bookman Old Style" w:hAnsi="Bookman Old Style" w:cs="Arial"/>
          <w:b/>
          <w:bCs/>
          <w:sz w:val="24"/>
          <w:szCs w:val="24"/>
          <w:u w:val="single"/>
        </w:rPr>
        <w:t xml:space="preserve">Para lo anterior, el auditor requerirá cada tres (3) meses la presentación del adjudicatario o transportador incumbente que ejecute en primera instancia un proyecto IPAT, la actualización de la curva S de ejecución real y del cronograma, </w:t>
      </w:r>
      <w:r w:rsidR="004A11FA">
        <w:rPr>
          <w:rFonts w:ascii="Bookman Old Style" w:hAnsi="Bookman Old Style" w:cs="Arial"/>
          <w:b/>
          <w:bCs/>
          <w:sz w:val="24"/>
          <w:szCs w:val="24"/>
          <w:u w:val="single"/>
        </w:rPr>
        <w:t>el</w:t>
      </w:r>
      <w:r w:rsidR="00651A76" w:rsidRPr="000F4D2C">
        <w:rPr>
          <w:rFonts w:ascii="Bookman Old Style" w:hAnsi="Bookman Old Style" w:cs="Arial"/>
          <w:b/>
          <w:bCs/>
          <w:sz w:val="24"/>
          <w:szCs w:val="24"/>
          <w:u w:val="single"/>
        </w:rPr>
        <w:t xml:space="preserve"> cual deberá revisar </w:t>
      </w:r>
      <w:r w:rsidR="004A11FA">
        <w:rPr>
          <w:rFonts w:ascii="Bookman Old Style" w:hAnsi="Bookman Old Style" w:cs="Arial"/>
          <w:b/>
          <w:bCs/>
          <w:sz w:val="24"/>
          <w:szCs w:val="24"/>
          <w:u w:val="single"/>
        </w:rPr>
        <w:t xml:space="preserve">y validar </w:t>
      </w:r>
      <w:r w:rsidR="00651A76" w:rsidRPr="000F4D2C">
        <w:rPr>
          <w:rFonts w:ascii="Bookman Old Style" w:hAnsi="Bookman Old Style" w:cs="Arial"/>
          <w:b/>
          <w:bCs/>
          <w:sz w:val="24"/>
          <w:szCs w:val="24"/>
          <w:u w:val="single"/>
        </w:rPr>
        <w:t>e incluir en el informe que debe presentar y debe servir de referencia para la verificación del cumplimiento de la FPO, entre otros aspectos.</w:t>
      </w:r>
    </w:p>
    <w:p w14:paraId="5A32B6C0" w14:textId="77777777" w:rsidR="00651A76" w:rsidRPr="000F4D2C" w:rsidRDefault="00651A76" w:rsidP="000F4D2C">
      <w:pPr>
        <w:spacing w:after="0" w:line="240" w:lineRule="auto"/>
        <w:ind w:left="568"/>
        <w:jc w:val="both"/>
        <w:rPr>
          <w:rFonts w:ascii="Bookman Old Style" w:hAnsi="Bookman Old Style" w:cs="Arial"/>
          <w:sz w:val="24"/>
          <w:szCs w:val="24"/>
        </w:rPr>
      </w:pPr>
    </w:p>
    <w:p w14:paraId="0F86548A" w14:textId="36AF1F4A" w:rsidR="00CF5EFC" w:rsidRDefault="00CF5EFC" w:rsidP="008E6154">
      <w:pPr>
        <w:spacing w:after="0" w:line="240" w:lineRule="auto"/>
        <w:ind w:left="567"/>
        <w:jc w:val="both"/>
        <w:rPr>
          <w:rFonts w:ascii="Bookman Old Style" w:hAnsi="Bookman Old Style" w:cs="Arial"/>
          <w:sz w:val="24"/>
          <w:szCs w:val="24"/>
        </w:rPr>
      </w:pPr>
      <w:r w:rsidRPr="000F4D2C">
        <w:rPr>
          <w:rFonts w:ascii="Bookman Old Style" w:hAnsi="Bookman Old Style" w:cs="Arial"/>
          <w:sz w:val="24"/>
          <w:szCs w:val="24"/>
        </w:rPr>
        <w:t xml:space="preserve">Previamente a la entrega de los informes, el auditor validará sus conclusiones con el adjudicatario, o el transportador incumbente que desarrolle proyectos </w:t>
      </w:r>
      <w:r w:rsidRPr="000F4D2C">
        <w:rPr>
          <w:rFonts w:ascii="Bookman Old Style" w:hAnsi="Bookman Old Style" w:cs="Arial"/>
          <w:b/>
          <w:sz w:val="24"/>
          <w:szCs w:val="24"/>
        </w:rPr>
        <w:t>IPAT</w:t>
      </w:r>
      <w:r w:rsidRPr="000F4D2C">
        <w:rPr>
          <w:rFonts w:ascii="Bookman Old Style" w:hAnsi="Bookman Old Style" w:cs="Arial"/>
          <w:sz w:val="24"/>
          <w:szCs w:val="24"/>
        </w:rPr>
        <w:t>, dando acceso a la documentación técnica reunida, y permitiéndole contradecir el proyecto de informe y formular solicitudes de complementación o aclaración que se resolverán en el informe periódico y en el informe final, según corresponda.</w:t>
      </w:r>
      <w:r w:rsidR="00217CF3">
        <w:rPr>
          <w:rFonts w:ascii="Bookman Old Style" w:hAnsi="Bookman Old Style" w:cs="Arial"/>
          <w:sz w:val="24"/>
          <w:szCs w:val="24"/>
        </w:rPr>
        <w:t xml:space="preserve"> </w:t>
      </w:r>
    </w:p>
    <w:p w14:paraId="16BD8A46" w14:textId="77777777" w:rsidR="008E6154" w:rsidRPr="000F4D2C" w:rsidRDefault="008E6154" w:rsidP="000F4D2C">
      <w:pPr>
        <w:spacing w:after="0" w:line="240" w:lineRule="auto"/>
        <w:ind w:left="567"/>
        <w:jc w:val="both"/>
        <w:rPr>
          <w:rFonts w:ascii="Bookman Old Style" w:hAnsi="Bookman Old Style" w:cs="Arial"/>
          <w:sz w:val="24"/>
          <w:szCs w:val="24"/>
        </w:rPr>
      </w:pPr>
    </w:p>
    <w:p w14:paraId="2F65E3D0" w14:textId="629397B1" w:rsidR="00CF5EFC" w:rsidRDefault="00CF5EFC" w:rsidP="008E6154">
      <w:pPr>
        <w:spacing w:after="0" w:line="240" w:lineRule="auto"/>
        <w:ind w:left="567"/>
        <w:jc w:val="both"/>
        <w:rPr>
          <w:rFonts w:ascii="Bookman Old Style" w:hAnsi="Bookman Old Style" w:cs="Arial"/>
          <w:sz w:val="24"/>
          <w:szCs w:val="24"/>
        </w:rPr>
      </w:pPr>
      <w:r w:rsidRPr="000F4D2C">
        <w:rPr>
          <w:rFonts w:ascii="Bookman Old Style" w:hAnsi="Bookman Old Style" w:cs="Arial"/>
          <w:sz w:val="24"/>
          <w:szCs w:val="24"/>
        </w:rPr>
        <w:t>En caso de incumplimiento de requisitos técnicos del proyecto, el informe deberá indicar las desviaciones en los requisitos respecto de las normas y estándares aplicables según el proyecto.</w:t>
      </w:r>
      <w:bookmarkEnd w:id="19"/>
      <w:r w:rsidRPr="000F4D2C">
        <w:rPr>
          <w:rFonts w:ascii="Bookman Old Style" w:hAnsi="Bookman Old Style" w:cs="Arial"/>
          <w:sz w:val="24"/>
          <w:szCs w:val="24"/>
        </w:rPr>
        <w:t xml:space="preserve"> </w:t>
      </w:r>
    </w:p>
    <w:p w14:paraId="532F5F54" w14:textId="77777777" w:rsidR="008E6154" w:rsidRPr="000F4D2C" w:rsidRDefault="008E6154" w:rsidP="000F4D2C">
      <w:pPr>
        <w:spacing w:after="0" w:line="240" w:lineRule="auto"/>
        <w:ind w:left="567"/>
        <w:jc w:val="both"/>
        <w:rPr>
          <w:rFonts w:ascii="Bookman Old Style" w:hAnsi="Bookman Old Style" w:cs="Arial"/>
          <w:sz w:val="24"/>
          <w:szCs w:val="24"/>
        </w:rPr>
      </w:pPr>
    </w:p>
    <w:p w14:paraId="72E16672" w14:textId="6FBCC6BE" w:rsidR="00CF5EFC" w:rsidRDefault="00CF5EFC" w:rsidP="008E6154">
      <w:pPr>
        <w:numPr>
          <w:ilvl w:val="0"/>
          <w:numId w:val="32"/>
        </w:numPr>
        <w:spacing w:after="0" w:line="240" w:lineRule="auto"/>
        <w:ind w:left="567" w:hanging="283"/>
        <w:jc w:val="both"/>
        <w:rPr>
          <w:rFonts w:ascii="Bookman Old Style" w:hAnsi="Bookman Old Style" w:cs="Arial"/>
          <w:sz w:val="24"/>
          <w:szCs w:val="24"/>
        </w:rPr>
      </w:pPr>
      <w:bookmarkStart w:id="20" w:name="_Ref476902157"/>
      <w:r w:rsidRPr="000F4D2C">
        <w:rPr>
          <w:rFonts w:ascii="Bookman Old Style" w:hAnsi="Bookman Old Style" w:cs="Arial"/>
          <w:sz w:val="24"/>
          <w:szCs w:val="24"/>
        </w:rPr>
        <w:t xml:space="preserve">Previo a la puesta en operación, ya sea parcial o total, el auditor enviará una certificación dirigida al CNOG, con copia al MME, a la UPME, a la CREG, a la SSPD, al gestor del mercado y al adjudicatario o al transportador incumbente que ejecute en primera instancia proyectos de </w:t>
      </w:r>
      <w:r w:rsidRPr="000F4D2C">
        <w:rPr>
          <w:rFonts w:ascii="Bookman Old Style" w:hAnsi="Bookman Old Style" w:cs="Arial"/>
          <w:b/>
          <w:sz w:val="24"/>
          <w:szCs w:val="24"/>
        </w:rPr>
        <w:t>IPAT</w:t>
      </w:r>
      <w:r w:rsidRPr="000F4D2C">
        <w:rPr>
          <w:rFonts w:ascii="Bookman Old Style" w:hAnsi="Bookman Old Style" w:cs="Arial"/>
          <w:sz w:val="24"/>
          <w:szCs w:val="24"/>
        </w:rPr>
        <w:t>, en donde se concluya que el proyecto cumplió la lista de chequeo a satisfacción establecida en los documentos de selección del inversionista para la puesta en operación parcial o total, en la fecha anticipada de entrada en operación, y las capacidades de la operación parcial, sí así fuese determinado en el programa de construcción y curva S del proyecto.</w:t>
      </w:r>
    </w:p>
    <w:p w14:paraId="38214C1A" w14:textId="77777777" w:rsidR="008E6154" w:rsidRPr="000F4D2C" w:rsidRDefault="008E6154" w:rsidP="000F4D2C">
      <w:pPr>
        <w:spacing w:after="0" w:line="240" w:lineRule="auto"/>
        <w:ind w:left="567"/>
        <w:jc w:val="both"/>
        <w:rPr>
          <w:rFonts w:ascii="Bookman Old Style" w:hAnsi="Bookman Old Style" w:cs="Arial"/>
          <w:sz w:val="24"/>
          <w:szCs w:val="24"/>
        </w:rPr>
      </w:pPr>
    </w:p>
    <w:bookmarkEnd w:id="20"/>
    <w:p w14:paraId="4C2412FB" w14:textId="5FB22BB3" w:rsidR="00CF5EFC" w:rsidRDefault="00CF5EFC" w:rsidP="008E6154">
      <w:pPr>
        <w:numPr>
          <w:ilvl w:val="0"/>
          <w:numId w:val="32"/>
        </w:numPr>
        <w:spacing w:after="0" w:line="240" w:lineRule="auto"/>
        <w:ind w:left="567" w:hanging="283"/>
        <w:jc w:val="both"/>
        <w:rPr>
          <w:rFonts w:ascii="Bookman Old Style" w:hAnsi="Bookman Old Style" w:cs="Arial"/>
          <w:sz w:val="24"/>
          <w:szCs w:val="24"/>
        </w:rPr>
      </w:pPr>
      <w:r w:rsidRPr="000F4D2C">
        <w:rPr>
          <w:rFonts w:ascii="Bookman Old Style" w:hAnsi="Bookman Old Style" w:cs="Arial"/>
          <w:sz w:val="24"/>
          <w:szCs w:val="24"/>
        </w:rPr>
        <w:t xml:space="preserve">Dentro de los cinco (5) primeros días a partir de la entrada en operación del proyecto, ya sea parcial o total, el auditor deberá enviar una certificación dirigida al CNOG y a la CREG, indicando la fecha de puesta en operación, ya sea parcial o total, con copia a la UPME, a la SSPD, al gestor del mercado y al adjudicatario o al transportador incumbente que ejecute en primera instancia proyectos de </w:t>
      </w:r>
      <w:r w:rsidRPr="000F4D2C">
        <w:rPr>
          <w:rFonts w:ascii="Bookman Old Style" w:hAnsi="Bookman Old Style" w:cs="Arial"/>
          <w:b/>
          <w:sz w:val="24"/>
          <w:szCs w:val="24"/>
        </w:rPr>
        <w:t>IPAT</w:t>
      </w:r>
      <w:r w:rsidRPr="000F4D2C">
        <w:rPr>
          <w:rFonts w:ascii="Bookman Old Style" w:hAnsi="Bookman Old Style" w:cs="Arial"/>
          <w:sz w:val="24"/>
          <w:szCs w:val="24"/>
        </w:rPr>
        <w:t>.</w:t>
      </w:r>
    </w:p>
    <w:p w14:paraId="1DCDD4CE" w14:textId="77777777" w:rsidR="008E6154" w:rsidRDefault="008E6154" w:rsidP="000F4D2C">
      <w:pPr>
        <w:pStyle w:val="Prrafodelista"/>
        <w:rPr>
          <w:rFonts w:ascii="Bookman Old Style" w:hAnsi="Bookman Old Style" w:cs="Arial"/>
          <w:sz w:val="24"/>
          <w:szCs w:val="24"/>
        </w:rPr>
      </w:pPr>
    </w:p>
    <w:p w14:paraId="7EE486F7" w14:textId="77777777" w:rsidR="008E6154" w:rsidRDefault="00CF5EFC" w:rsidP="008E6154">
      <w:pPr>
        <w:numPr>
          <w:ilvl w:val="0"/>
          <w:numId w:val="32"/>
        </w:numPr>
        <w:spacing w:after="0" w:line="240" w:lineRule="auto"/>
        <w:ind w:left="567" w:hanging="283"/>
        <w:jc w:val="both"/>
        <w:rPr>
          <w:rFonts w:ascii="Bookman Old Style" w:hAnsi="Bookman Old Style" w:cs="Arial"/>
          <w:sz w:val="24"/>
          <w:szCs w:val="24"/>
        </w:rPr>
      </w:pPr>
      <w:r w:rsidRPr="000F4D2C">
        <w:rPr>
          <w:rFonts w:ascii="Bookman Old Style" w:hAnsi="Bookman Old Style" w:cs="Arial"/>
          <w:sz w:val="24"/>
          <w:szCs w:val="24"/>
        </w:rPr>
        <w:t>Un informe final en donde se concluya, sin ambigüedades, que el proyecto se ajusta a los requerimientos establecidos en el Plan de Abastecimiento de Gas Natural. El plazo máximo de entrega de este informe final será de dos (2) meses, contados a partir de la fecha de puesta de operación del proyecto.</w:t>
      </w:r>
    </w:p>
    <w:p w14:paraId="1EF912DC" w14:textId="72032D0F" w:rsidR="00CF5EFC" w:rsidRPr="000F4D2C" w:rsidRDefault="00CF5EFC" w:rsidP="000F4D2C">
      <w:pPr>
        <w:spacing w:after="0" w:line="240" w:lineRule="auto"/>
        <w:ind w:left="567"/>
        <w:jc w:val="both"/>
        <w:rPr>
          <w:rFonts w:ascii="Bookman Old Style" w:hAnsi="Bookman Old Style" w:cs="Arial"/>
          <w:sz w:val="24"/>
          <w:szCs w:val="24"/>
        </w:rPr>
      </w:pPr>
      <w:r w:rsidRPr="000F4D2C">
        <w:rPr>
          <w:rFonts w:ascii="Bookman Old Style" w:hAnsi="Bookman Old Style" w:cs="Arial"/>
          <w:sz w:val="24"/>
          <w:szCs w:val="24"/>
        </w:rPr>
        <w:t xml:space="preserve"> </w:t>
      </w:r>
    </w:p>
    <w:p w14:paraId="54553612" w14:textId="298E61FA" w:rsidR="00CF5EFC" w:rsidRDefault="00CF5EFC" w:rsidP="008E6154">
      <w:pPr>
        <w:numPr>
          <w:ilvl w:val="0"/>
          <w:numId w:val="32"/>
        </w:numPr>
        <w:spacing w:after="0" w:line="240" w:lineRule="auto"/>
        <w:ind w:left="567" w:hanging="283"/>
        <w:jc w:val="both"/>
        <w:rPr>
          <w:rFonts w:ascii="Bookman Old Style" w:hAnsi="Bookman Old Style" w:cs="Arial"/>
          <w:sz w:val="24"/>
          <w:szCs w:val="24"/>
        </w:rPr>
      </w:pPr>
      <w:r w:rsidRPr="000F4D2C">
        <w:rPr>
          <w:rFonts w:ascii="Bookman Old Style" w:hAnsi="Bookman Old Style" w:cs="Arial"/>
          <w:sz w:val="24"/>
          <w:szCs w:val="24"/>
        </w:rPr>
        <w:t xml:space="preserve">Cuando se configure un incumplimiento insalvable como se establece en el Artículo 25 de la presente Resolución, el auditor deberá presentar un informe de manera inmediata en donde se ponga en conocimiento tal situación. Este informe deberá acompañarse de un inventario de las obras ejecutadas y a ejecutar, e indicar el avance porcentual de cada una. </w:t>
      </w:r>
    </w:p>
    <w:p w14:paraId="56516FFD" w14:textId="77777777" w:rsidR="008E6154" w:rsidRPr="000F4D2C" w:rsidRDefault="008E6154" w:rsidP="000F4D2C">
      <w:pPr>
        <w:spacing w:after="0" w:line="240" w:lineRule="auto"/>
        <w:ind w:left="567"/>
        <w:jc w:val="both"/>
        <w:rPr>
          <w:rFonts w:ascii="Bookman Old Style" w:hAnsi="Bookman Old Style" w:cs="Arial"/>
          <w:sz w:val="24"/>
          <w:szCs w:val="24"/>
        </w:rPr>
      </w:pPr>
    </w:p>
    <w:p w14:paraId="64083A90" w14:textId="33CC59CA" w:rsidR="00CF5EFC" w:rsidRDefault="00CF5EFC" w:rsidP="008E6154">
      <w:pPr>
        <w:numPr>
          <w:ilvl w:val="0"/>
          <w:numId w:val="32"/>
        </w:numPr>
        <w:spacing w:after="0" w:line="240" w:lineRule="auto"/>
        <w:ind w:left="567" w:hanging="283"/>
        <w:jc w:val="both"/>
        <w:rPr>
          <w:rFonts w:ascii="Bookman Old Style" w:hAnsi="Bookman Old Style" w:cs="Arial"/>
          <w:sz w:val="24"/>
          <w:szCs w:val="24"/>
        </w:rPr>
      </w:pPr>
      <w:r w:rsidRPr="000F4D2C">
        <w:rPr>
          <w:rFonts w:ascii="Bookman Old Style" w:hAnsi="Bookman Old Style" w:cs="Arial"/>
          <w:sz w:val="24"/>
          <w:szCs w:val="24"/>
        </w:rPr>
        <w:t>Los demás informes que sobre temas específicos requieran el MME, la CREG o a quién este delegue, la SSPD o la UPME.</w:t>
      </w:r>
    </w:p>
    <w:p w14:paraId="50891FFD" w14:textId="77777777" w:rsidR="008E6154" w:rsidRDefault="008E6154" w:rsidP="000F4D2C">
      <w:pPr>
        <w:pStyle w:val="Prrafodelista"/>
        <w:rPr>
          <w:rFonts w:ascii="Bookman Old Style" w:hAnsi="Bookman Old Style" w:cs="Arial"/>
          <w:sz w:val="24"/>
          <w:szCs w:val="24"/>
        </w:rPr>
      </w:pPr>
    </w:p>
    <w:p w14:paraId="7781D14F" w14:textId="180C8405" w:rsidR="000008F9" w:rsidRPr="006F3407" w:rsidRDefault="000008F9" w:rsidP="008E6154">
      <w:pPr>
        <w:tabs>
          <w:tab w:val="left" w:pos="284"/>
        </w:tabs>
        <w:spacing w:after="0" w:line="240" w:lineRule="auto"/>
        <w:ind w:left="284"/>
        <w:jc w:val="both"/>
        <w:rPr>
          <w:rFonts w:ascii="Bookman Old Style" w:hAnsi="Bookman Old Style" w:cs="Arial"/>
          <w:b/>
          <w:bCs/>
          <w:sz w:val="24"/>
          <w:szCs w:val="24"/>
          <w:u w:val="single"/>
        </w:rPr>
      </w:pPr>
      <w:r w:rsidRPr="006F3407">
        <w:rPr>
          <w:rFonts w:ascii="Bookman Old Style" w:hAnsi="Bookman Old Style" w:cs="Arial"/>
          <w:b/>
          <w:bCs/>
          <w:sz w:val="24"/>
          <w:szCs w:val="24"/>
          <w:u w:val="single"/>
        </w:rPr>
        <w:t xml:space="preserve">Los </w:t>
      </w:r>
      <w:r w:rsidR="001A33F0" w:rsidRPr="006F3407">
        <w:rPr>
          <w:rFonts w:ascii="Bookman Old Style" w:hAnsi="Bookman Old Style" w:cs="Arial"/>
          <w:b/>
          <w:bCs/>
          <w:sz w:val="24"/>
          <w:szCs w:val="24"/>
          <w:u w:val="single"/>
        </w:rPr>
        <w:t>informes del auditor son de carácter público y deberá</w:t>
      </w:r>
      <w:r w:rsidR="006C53FC" w:rsidRPr="006F3407">
        <w:rPr>
          <w:rFonts w:ascii="Bookman Old Style" w:hAnsi="Bookman Old Style" w:cs="Arial"/>
          <w:b/>
          <w:bCs/>
          <w:sz w:val="24"/>
          <w:szCs w:val="24"/>
          <w:u w:val="single"/>
        </w:rPr>
        <w:t>n</w:t>
      </w:r>
      <w:r w:rsidR="001A33F0" w:rsidRPr="006F3407">
        <w:rPr>
          <w:rFonts w:ascii="Bookman Old Style" w:hAnsi="Bookman Old Style" w:cs="Arial"/>
          <w:b/>
          <w:bCs/>
          <w:sz w:val="24"/>
          <w:szCs w:val="24"/>
          <w:u w:val="single"/>
        </w:rPr>
        <w:t xml:space="preserve"> </w:t>
      </w:r>
      <w:r w:rsidR="00672A1D" w:rsidRPr="006F3407">
        <w:rPr>
          <w:rFonts w:ascii="Bookman Old Style" w:hAnsi="Bookman Old Style" w:cs="Arial"/>
          <w:b/>
          <w:bCs/>
          <w:sz w:val="24"/>
          <w:szCs w:val="24"/>
          <w:u w:val="single"/>
        </w:rPr>
        <w:t>incluir</w:t>
      </w:r>
      <w:r w:rsidR="001A33F0" w:rsidRPr="006F3407">
        <w:rPr>
          <w:rFonts w:ascii="Bookman Old Style" w:hAnsi="Bookman Old Style" w:cs="Arial"/>
          <w:b/>
          <w:bCs/>
          <w:sz w:val="24"/>
          <w:szCs w:val="24"/>
          <w:u w:val="single"/>
        </w:rPr>
        <w:t xml:space="preserve"> l</w:t>
      </w:r>
      <w:r w:rsidR="00672A1D" w:rsidRPr="006F3407">
        <w:rPr>
          <w:rFonts w:ascii="Bookman Old Style" w:hAnsi="Bookman Old Style" w:cs="Arial"/>
          <w:b/>
          <w:bCs/>
          <w:sz w:val="24"/>
          <w:szCs w:val="24"/>
          <w:u w:val="single"/>
        </w:rPr>
        <w:t>os</w:t>
      </w:r>
      <w:r w:rsidR="001A33F0" w:rsidRPr="006F3407">
        <w:rPr>
          <w:rFonts w:ascii="Bookman Old Style" w:hAnsi="Bookman Old Style" w:cs="Arial"/>
          <w:b/>
          <w:bCs/>
          <w:sz w:val="24"/>
          <w:szCs w:val="24"/>
          <w:u w:val="single"/>
        </w:rPr>
        <w:t xml:space="preserve"> siguiente</w:t>
      </w:r>
      <w:r w:rsidR="00672A1D" w:rsidRPr="006F3407">
        <w:rPr>
          <w:rFonts w:ascii="Bookman Old Style" w:hAnsi="Bookman Old Style" w:cs="Arial"/>
          <w:b/>
          <w:bCs/>
          <w:sz w:val="24"/>
          <w:szCs w:val="24"/>
          <w:u w:val="single"/>
        </w:rPr>
        <w:t>s elementos</w:t>
      </w:r>
      <w:r w:rsidR="006C53FC" w:rsidRPr="006F3407">
        <w:rPr>
          <w:rFonts w:ascii="Bookman Old Style" w:hAnsi="Bookman Old Style" w:cs="Arial"/>
          <w:b/>
          <w:bCs/>
          <w:sz w:val="24"/>
          <w:szCs w:val="24"/>
          <w:u w:val="single"/>
        </w:rPr>
        <w:t>, entre otros que defina la UPME</w:t>
      </w:r>
      <w:r w:rsidR="00672A1D" w:rsidRPr="006F3407">
        <w:rPr>
          <w:rFonts w:ascii="Bookman Old Style" w:hAnsi="Bookman Old Style" w:cs="Arial"/>
          <w:b/>
          <w:bCs/>
          <w:sz w:val="24"/>
          <w:szCs w:val="24"/>
          <w:u w:val="single"/>
        </w:rPr>
        <w:t xml:space="preserve">: un resumen </w:t>
      </w:r>
      <w:r w:rsidR="00766315" w:rsidRPr="006F3407">
        <w:rPr>
          <w:rFonts w:ascii="Bookman Old Style" w:hAnsi="Bookman Old Style" w:cs="Arial"/>
          <w:b/>
          <w:bCs/>
          <w:sz w:val="24"/>
          <w:szCs w:val="24"/>
          <w:u w:val="single"/>
        </w:rPr>
        <w:t>de la metodología de auditoría implementada, un resumen de los principales hallazgos</w:t>
      </w:r>
      <w:r w:rsidR="008E6154" w:rsidRPr="006F3407">
        <w:rPr>
          <w:rFonts w:ascii="Bookman Old Style" w:hAnsi="Bookman Old Style" w:cs="Arial"/>
          <w:b/>
          <w:bCs/>
          <w:sz w:val="24"/>
          <w:szCs w:val="24"/>
          <w:u w:val="single"/>
        </w:rPr>
        <w:t>.</w:t>
      </w:r>
    </w:p>
    <w:p w14:paraId="508A8DAF" w14:textId="77777777" w:rsidR="008E6154" w:rsidRPr="000F4D2C" w:rsidRDefault="008E6154" w:rsidP="000F4D2C">
      <w:pPr>
        <w:tabs>
          <w:tab w:val="left" w:pos="284"/>
        </w:tabs>
        <w:spacing w:after="0" w:line="240" w:lineRule="auto"/>
        <w:ind w:left="284"/>
        <w:jc w:val="both"/>
        <w:rPr>
          <w:rFonts w:ascii="Bookman Old Style" w:hAnsi="Bookman Old Style" w:cs="Arial"/>
          <w:sz w:val="24"/>
          <w:szCs w:val="24"/>
        </w:rPr>
      </w:pPr>
    </w:p>
    <w:p w14:paraId="764FC86A" w14:textId="747B0295" w:rsidR="00CF5EFC" w:rsidRDefault="00CF5EFC" w:rsidP="008E6154">
      <w:pPr>
        <w:tabs>
          <w:tab w:val="left" w:pos="284"/>
        </w:tabs>
        <w:spacing w:after="0" w:line="240" w:lineRule="auto"/>
        <w:ind w:left="284"/>
        <w:jc w:val="both"/>
        <w:rPr>
          <w:rFonts w:ascii="Bookman Old Style" w:hAnsi="Bookman Old Style" w:cs="Arial"/>
          <w:sz w:val="24"/>
          <w:szCs w:val="24"/>
        </w:rPr>
      </w:pPr>
      <w:r w:rsidRPr="000F4D2C">
        <w:rPr>
          <w:rFonts w:ascii="Bookman Old Style" w:hAnsi="Bookman Old Style" w:cs="Arial"/>
          <w:sz w:val="24"/>
          <w:szCs w:val="24"/>
        </w:rPr>
        <w:t xml:space="preserve">La UPME como institución que autoriza los pagos, y la SSPD como organismo de vigilancia y control, podrán verificar que se esté dando cumplimiento al cronograma y a lo establecido en esta Resolución con relación a proyectos que se ejecuten a través de procesos de selección. </w:t>
      </w:r>
    </w:p>
    <w:p w14:paraId="2E1F021F" w14:textId="77777777" w:rsidR="008E6154" w:rsidRPr="000F4D2C" w:rsidRDefault="008E6154" w:rsidP="000F4D2C">
      <w:pPr>
        <w:tabs>
          <w:tab w:val="left" w:pos="284"/>
        </w:tabs>
        <w:spacing w:after="0" w:line="240" w:lineRule="auto"/>
        <w:ind w:left="284"/>
        <w:jc w:val="both"/>
        <w:rPr>
          <w:rFonts w:ascii="Bookman Old Style" w:hAnsi="Bookman Old Style" w:cs="Arial"/>
          <w:sz w:val="24"/>
          <w:szCs w:val="24"/>
        </w:rPr>
      </w:pPr>
    </w:p>
    <w:p w14:paraId="4061A698" w14:textId="15BF9640" w:rsidR="00CF5EFC" w:rsidRDefault="00CF5EFC" w:rsidP="008E6154">
      <w:pPr>
        <w:tabs>
          <w:tab w:val="left" w:pos="284"/>
        </w:tabs>
        <w:spacing w:after="0" w:line="240" w:lineRule="auto"/>
        <w:jc w:val="both"/>
        <w:rPr>
          <w:rFonts w:ascii="Bookman Old Style" w:hAnsi="Bookman Old Style"/>
          <w:sz w:val="24"/>
          <w:szCs w:val="24"/>
        </w:rPr>
      </w:pPr>
      <w:r w:rsidRPr="000F4D2C">
        <w:rPr>
          <w:rFonts w:ascii="Bookman Old Style" w:hAnsi="Bookman Old Style"/>
          <w:b/>
          <w:sz w:val="24"/>
          <w:szCs w:val="24"/>
        </w:rPr>
        <w:t>Parágrafo 1.</w:t>
      </w:r>
      <w:r w:rsidRPr="000F4D2C">
        <w:rPr>
          <w:rFonts w:ascii="Bookman Old Style" w:hAnsi="Bookman Old Style"/>
          <w:sz w:val="24"/>
          <w:szCs w:val="24"/>
        </w:rPr>
        <w:t xml:space="preserve"> El adjudicatario o el transportador incumbente que ejecute en primera instancia proyectos </w:t>
      </w:r>
      <w:r w:rsidRPr="000F4D2C">
        <w:rPr>
          <w:rFonts w:ascii="Bookman Old Style" w:hAnsi="Bookman Old Style"/>
          <w:b/>
          <w:sz w:val="24"/>
          <w:szCs w:val="24"/>
        </w:rPr>
        <w:t>IPAT</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QUOTE </w:instrText>
      </w:r>
      <w:r w:rsidRPr="000F4D2C">
        <w:rPr>
          <w:noProof/>
          <w:sz w:val="24"/>
          <w:szCs w:val="24"/>
        </w:rPr>
        <w:drawing>
          <wp:inline distT="0" distB="0" distL="0" distR="0" wp14:anchorId="6991AED9" wp14:editId="14EDB139">
            <wp:extent cx="342900" cy="180975"/>
            <wp:effectExtent l="0" t="0" r="0" b="0"/>
            <wp:docPr id="36" name="Picture 362781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2781784"/>
                    <pic:cNvPicPr/>
                  </pic:nvPicPr>
                  <pic:blipFill>
                    <a:blip r:embed="rId13">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0F4D2C">
        <w:rPr>
          <w:rFonts w:ascii="Bookman Old Style" w:hAnsi="Bookman Old Style"/>
          <w:sz w:val="24"/>
          <w:szCs w:val="24"/>
        </w:rPr>
        <w:instrText xml:space="preserve"> </w:instrText>
      </w:r>
      <w:r w:rsidRPr="000F4D2C">
        <w:rPr>
          <w:rFonts w:ascii="Bookman Old Style" w:hAnsi="Bookman Old Style"/>
          <w:sz w:val="24"/>
          <w:szCs w:val="24"/>
        </w:rPr>
        <w:fldChar w:fldCharType="end"/>
      </w:r>
      <w:r w:rsidRPr="000F4D2C">
        <w:rPr>
          <w:rFonts w:ascii="Bookman Old Style" w:hAnsi="Bookman Old Style"/>
          <w:sz w:val="24"/>
          <w:szCs w:val="24"/>
        </w:rPr>
        <w:t xml:space="preserve">, deberá entregar al auditor toda la información que este requiera para el cumplimiento de sus obligaciones. </w:t>
      </w:r>
    </w:p>
    <w:p w14:paraId="71F3DBAE" w14:textId="77777777" w:rsidR="008E6154" w:rsidRPr="000F4D2C" w:rsidRDefault="008E6154" w:rsidP="000F4D2C">
      <w:pPr>
        <w:tabs>
          <w:tab w:val="left" w:pos="284"/>
        </w:tabs>
        <w:spacing w:after="0" w:line="240" w:lineRule="auto"/>
        <w:jc w:val="both"/>
        <w:rPr>
          <w:rFonts w:ascii="Bookman Old Style" w:hAnsi="Bookman Old Style"/>
          <w:sz w:val="24"/>
          <w:szCs w:val="24"/>
        </w:rPr>
      </w:pPr>
    </w:p>
    <w:p w14:paraId="728A2BD6" w14:textId="6CD5DE9C" w:rsidR="008E6154" w:rsidRPr="000F4D2C" w:rsidRDefault="00CF5EFC" w:rsidP="000F4D2C">
      <w:pPr>
        <w:tabs>
          <w:tab w:val="left" w:pos="284"/>
        </w:tabs>
        <w:spacing w:after="0" w:line="240" w:lineRule="auto"/>
        <w:jc w:val="both"/>
        <w:rPr>
          <w:rFonts w:ascii="Bookman Old Style" w:hAnsi="Bookman Old Style"/>
          <w:sz w:val="24"/>
          <w:szCs w:val="24"/>
        </w:rPr>
      </w:pPr>
      <w:r w:rsidRPr="000F4D2C">
        <w:rPr>
          <w:rFonts w:ascii="Bookman Old Style" w:hAnsi="Bookman Old Style"/>
          <w:b/>
          <w:sz w:val="24"/>
          <w:szCs w:val="24"/>
        </w:rPr>
        <w:t>Parágrafo 2.</w:t>
      </w:r>
      <w:r w:rsidRPr="000F4D2C">
        <w:rPr>
          <w:rFonts w:ascii="Bookman Old Style" w:hAnsi="Bookman Old Style"/>
          <w:sz w:val="24"/>
          <w:szCs w:val="24"/>
        </w:rPr>
        <w:t xml:space="preserve"> El adjudicatario o el transportador incumbente que ejecute en primera instancia proyectos </w:t>
      </w:r>
      <w:r w:rsidRPr="000F4D2C">
        <w:rPr>
          <w:rFonts w:ascii="Bookman Old Style" w:hAnsi="Bookman Old Style"/>
          <w:b/>
          <w:sz w:val="24"/>
          <w:szCs w:val="24"/>
        </w:rPr>
        <w:t>IPAT</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QUOTE </w:instrText>
      </w:r>
      <w:r w:rsidRPr="000F4D2C">
        <w:rPr>
          <w:noProof/>
          <w:sz w:val="24"/>
          <w:szCs w:val="24"/>
        </w:rPr>
        <w:drawing>
          <wp:inline distT="0" distB="0" distL="0" distR="0" wp14:anchorId="7DB48AE1" wp14:editId="1240DC44">
            <wp:extent cx="342900" cy="180975"/>
            <wp:effectExtent l="0" t="0" r="0" b="0"/>
            <wp:docPr id="3" name="Picture 362781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2781784"/>
                    <pic:cNvPicPr/>
                  </pic:nvPicPr>
                  <pic:blipFill>
                    <a:blip r:embed="rId13">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0F4D2C">
        <w:rPr>
          <w:rFonts w:ascii="Bookman Old Style" w:hAnsi="Bookman Old Style"/>
          <w:sz w:val="24"/>
          <w:szCs w:val="24"/>
        </w:rPr>
        <w:instrText xml:space="preserve"> </w:instrText>
      </w:r>
      <w:r w:rsidRPr="000F4D2C">
        <w:rPr>
          <w:rFonts w:ascii="Bookman Old Style" w:hAnsi="Bookman Old Style"/>
          <w:sz w:val="24"/>
          <w:szCs w:val="24"/>
        </w:rPr>
        <w:fldChar w:fldCharType="end"/>
      </w:r>
      <w:r w:rsidRPr="000F4D2C">
        <w:rPr>
          <w:rFonts w:ascii="Bookman Old Style" w:hAnsi="Bookman Old Style"/>
          <w:sz w:val="24"/>
          <w:szCs w:val="24"/>
        </w:rPr>
        <w:t>, será quien declare al CNOG la entrada en operación del proyecto con base en la certificación que reciba del auditor, en la cual se han verificado todas las condiciones previstas para ello en los documentos de selección del inversionista</w:t>
      </w:r>
      <w:r w:rsidRPr="000F4D2C">
        <w:rPr>
          <w:rFonts w:ascii="Bookman Old Style" w:hAnsi="Bookman Old Style"/>
          <w:i/>
          <w:iCs/>
          <w:sz w:val="24"/>
          <w:szCs w:val="24"/>
        </w:rPr>
        <w:t>.</w:t>
      </w:r>
    </w:p>
    <w:p w14:paraId="10AFE7CC" w14:textId="77777777" w:rsidR="00CF5EFC" w:rsidRPr="00F23AE8" w:rsidRDefault="00CF5EFC" w:rsidP="000F4D2C">
      <w:pPr>
        <w:tabs>
          <w:tab w:val="left" w:pos="284"/>
        </w:tabs>
        <w:spacing w:after="0" w:line="240" w:lineRule="auto"/>
        <w:jc w:val="both"/>
        <w:rPr>
          <w:rFonts w:ascii="Bookman Old Style" w:hAnsi="Bookman Old Style"/>
        </w:rPr>
      </w:pPr>
    </w:p>
    <w:p w14:paraId="0720BC44" w14:textId="771EC4FD" w:rsidR="00CF5EFC" w:rsidRPr="000F4D2C" w:rsidRDefault="00CF5EFC" w:rsidP="008E6154">
      <w:pPr>
        <w:pStyle w:val="Estilo5"/>
        <w:keepNext w:val="0"/>
        <w:widowControl w:val="0"/>
        <w:numPr>
          <w:ilvl w:val="0"/>
          <w:numId w:val="10"/>
        </w:numPr>
        <w:tabs>
          <w:tab w:val="left" w:pos="0"/>
          <w:tab w:val="left" w:pos="1560"/>
        </w:tabs>
        <w:spacing w:before="0" w:after="0"/>
        <w:rPr>
          <w:rFonts w:ascii="Bookman Old Style" w:hAnsi="Bookman Old Style"/>
          <w:b w:val="0"/>
          <w:sz w:val="24"/>
          <w:szCs w:val="24"/>
        </w:rPr>
      </w:pPr>
      <w:bookmarkStart w:id="21" w:name="_Ref439268208"/>
      <w:r w:rsidRPr="00F23AE8">
        <w:rPr>
          <w:rFonts w:ascii="Bookman Old Style" w:hAnsi="Bookman Old Style" w:cs="Arial"/>
          <w:color w:val="000000"/>
          <w:spacing w:val="-4"/>
          <w:sz w:val="24"/>
          <w:szCs w:val="24"/>
        </w:rPr>
        <w:t>Incumplimiento insalvable.</w:t>
      </w:r>
      <w:r w:rsidRPr="00F23AE8">
        <w:rPr>
          <w:rFonts w:ascii="Bookman Old Style" w:hAnsi="Bookman Old Style"/>
          <w:b w:val="0"/>
          <w:sz w:val="24"/>
          <w:szCs w:val="24"/>
        </w:rPr>
        <w:t xml:space="preserve"> </w:t>
      </w:r>
      <w:bookmarkStart w:id="22" w:name="_Ref349866454"/>
      <w:r w:rsidRPr="000F4D2C">
        <w:rPr>
          <w:rFonts w:ascii="Bookman Old Style" w:hAnsi="Bookman Old Style"/>
          <w:b w:val="0"/>
          <w:sz w:val="24"/>
          <w:szCs w:val="24"/>
        </w:rPr>
        <w:t>Las situaciones que constituyen un incumplimiento insalvable y que obligan al</w:t>
      </w:r>
      <w:r w:rsidRPr="000F4D2C">
        <w:rPr>
          <w:rFonts w:ascii="Bookman Old Style" w:hAnsi="Bookman Old Style" w:cs="Arial"/>
          <w:b w:val="0"/>
          <w:color w:val="000000"/>
          <w:sz w:val="24"/>
          <w:szCs w:val="24"/>
        </w:rPr>
        <w:t xml:space="preserve"> auditor a informar a la CREG respecto de la ocurrencia de esta situación, son las siguientes:  </w:t>
      </w:r>
    </w:p>
    <w:p w14:paraId="46BAF90C" w14:textId="77777777" w:rsidR="008E6154" w:rsidRPr="000F4D2C" w:rsidRDefault="008E6154" w:rsidP="000F4D2C">
      <w:pPr>
        <w:pStyle w:val="Estilo5"/>
        <w:keepNext w:val="0"/>
        <w:widowControl w:val="0"/>
        <w:numPr>
          <w:ilvl w:val="0"/>
          <w:numId w:val="0"/>
        </w:numPr>
        <w:tabs>
          <w:tab w:val="left" w:pos="0"/>
          <w:tab w:val="left" w:pos="1560"/>
        </w:tabs>
        <w:spacing w:before="0" w:after="0"/>
        <w:rPr>
          <w:rFonts w:ascii="Bookman Old Style" w:hAnsi="Bookman Old Style"/>
          <w:b w:val="0"/>
          <w:sz w:val="24"/>
          <w:szCs w:val="24"/>
        </w:rPr>
      </w:pPr>
    </w:p>
    <w:p w14:paraId="0DE321CC" w14:textId="344D0EEF" w:rsidR="00CF5EFC" w:rsidRDefault="00CF5EFC" w:rsidP="008E6154">
      <w:pPr>
        <w:numPr>
          <w:ilvl w:val="0"/>
          <w:numId w:val="33"/>
        </w:numPr>
        <w:spacing w:after="0" w:line="240" w:lineRule="auto"/>
        <w:ind w:left="709" w:hanging="426"/>
        <w:jc w:val="both"/>
        <w:rPr>
          <w:rFonts w:ascii="Bookman Old Style" w:hAnsi="Bookman Old Style"/>
          <w:sz w:val="24"/>
          <w:szCs w:val="24"/>
        </w:rPr>
      </w:pPr>
      <w:r w:rsidRPr="000F4D2C">
        <w:rPr>
          <w:rFonts w:ascii="Bookman Old Style" w:hAnsi="Bookman Old Style"/>
          <w:sz w:val="24"/>
          <w:szCs w:val="24"/>
        </w:rPr>
        <w:t xml:space="preserve">Abandono por parte del adjudicatario, o del transportador incumbente que ejecute en primera instancia proyectos </w:t>
      </w:r>
      <w:r w:rsidRPr="000F4D2C">
        <w:rPr>
          <w:rFonts w:ascii="Bookman Old Style" w:hAnsi="Bookman Old Style"/>
          <w:b/>
          <w:sz w:val="24"/>
          <w:szCs w:val="24"/>
        </w:rPr>
        <w:t>IPAT</w:t>
      </w:r>
      <w:r w:rsidRPr="000F4D2C">
        <w:rPr>
          <w:rFonts w:ascii="Bookman Old Style" w:hAnsi="Bookman Old Style"/>
          <w:sz w:val="24"/>
          <w:szCs w:val="24"/>
        </w:rPr>
        <w:t xml:space="preserve">, de la ejecución del proyecto, dado por la cesación no justificada de las actividades descritas en el cronograma detallado de las etapas de construcción del proyecto. </w:t>
      </w:r>
    </w:p>
    <w:p w14:paraId="0B42C324" w14:textId="77777777" w:rsidR="008E6154" w:rsidRPr="000F4D2C" w:rsidRDefault="008E6154" w:rsidP="000F4D2C">
      <w:pPr>
        <w:spacing w:after="0" w:line="240" w:lineRule="auto"/>
        <w:ind w:left="709"/>
        <w:jc w:val="both"/>
        <w:rPr>
          <w:rFonts w:ascii="Bookman Old Style" w:hAnsi="Bookman Old Style"/>
          <w:sz w:val="24"/>
          <w:szCs w:val="24"/>
        </w:rPr>
      </w:pPr>
    </w:p>
    <w:p w14:paraId="4059318F" w14:textId="2334A3BD" w:rsidR="008E6154" w:rsidRDefault="00CF5EFC" w:rsidP="008E6154">
      <w:pPr>
        <w:numPr>
          <w:ilvl w:val="0"/>
          <w:numId w:val="33"/>
        </w:numPr>
        <w:spacing w:after="0" w:line="240" w:lineRule="auto"/>
        <w:ind w:left="709" w:hanging="357"/>
        <w:jc w:val="both"/>
        <w:rPr>
          <w:rFonts w:ascii="Bookman Old Style" w:hAnsi="Bookman Old Style"/>
          <w:sz w:val="24"/>
          <w:szCs w:val="24"/>
        </w:rPr>
      </w:pPr>
      <w:r w:rsidRPr="000F4D2C">
        <w:rPr>
          <w:rFonts w:ascii="Bookman Old Style" w:hAnsi="Bookman Old Style"/>
          <w:sz w:val="24"/>
          <w:szCs w:val="24"/>
        </w:rPr>
        <w:t xml:space="preserve">Cuando en el informe de que trata el literal </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REF _Ref461097164 \r \h  \* MERGEFORMAT </w:instrText>
      </w:r>
      <w:r w:rsidRPr="000F4D2C">
        <w:rPr>
          <w:rFonts w:ascii="Bookman Old Style" w:hAnsi="Bookman Old Style"/>
          <w:sz w:val="24"/>
          <w:szCs w:val="24"/>
        </w:rPr>
      </w:r>
      <w:r w:rsidRPr="000F4D2C">
        <w:rPr>
          <w:rFonts w:ascii="Bookman Old Style" w:hAnsi="Bookman Old Style"/>
          <w:sz w:val="24"/>
          <w:szCs w:val="24"/>
        </w:rPr>
        <w:fldChar w:fldCharType="separate"/>
      </w:r>
      <w:r w:rsidR="000D7E7B">
        <w:rPr>
          <w:rFonts w:ascii="Bookman Old Style" w:hAnsi="Bookman Old Style"/>
          <w:sz w:val="24"/>
          <w:szCs w:val="24"/>
        </w:rPr>
        <w:t>a)</w:t>
      </w:r>
      <w:r w:rsidRPr="000F4D2C">
        <w:rPr>
          <w:rFonts w:ascii="Bookman Old Style" w:hAnsi="Bookman Old Style"/>
          <w:sz w:val="24"/>
          <w:szCs w:val="24"/>
        </w:rPr>
        <w:fldChar w:fldCharType="end"/>
      </w:r>
      <w:r w:rsidRPr="000F4D2C">
        <w:rPr>
          <w:rFonts w:ascii="Bookman Old Style" w:hAnsi="Bookman Old Style"/>
          <w:sz w:val="24"/>
          <w:szCs w:val="24"/>
        </w:rPr>
        <w:t xml:space="preserve"> del Artículo 24 de la presente Resolución el auditor verifique que el adjudicatario, o el transportador incumbente que ejecute en primera instancia proyectos de </w:t>
      </w:r>
      <m:oMath>
        <m:r>
          <m:rPr>
            <m:sty m:val="p"/>
          </m:rPr>
          <w:rPr>
            <w:rFonts w:ascii="Cambria Math" w:hAnsi="Cambria Math"/>
            <w:sz w:val="24"/>
            <w:szCs w:val="24"/>
          </w:rPr>
          <m:t>IPAT</m:t>
        </m:r>
      </m:oMath>
      <w:r w:rsidRPr="000F4D2C">
        <w:rPr>
          <w:rFonts w:ascii="Bookman Old Style" w:hAnsi="Bookman Old Style"/>
          <w:sz w:val="24"/>
          <w:szCs w:val="24"/>
        </w:rPr>
        <w:t xml:space="preserve">, omitió corregir desviaciones, identificadas en el informe previo, que no corresponden a las características del proyecto definido en el Plan de Abastecimiento de Gas Natural adoptado por el MME y en los documentos de selección </w:t>
      </w:r>
      <w:r w:rsidRPr="000F4D2C">
        <w:rPr>
          <w:rFonts w:ascii="Bookman Old Style" w:eastAsia="Bookman Old Style" w:hAnsi="Bookman Old Style"/>
          <w:spacing w:val="-2"/>
          <w:sz w:val="24"/>
          <w:szCs w:val="24"/>
        </w:rPr>
        <w:t>del inversionista</w:t>
      </w:r>
      <w:r w:rsidRPr="000F4D2C">
        <w:rPr>
          <w:rFonts w:ascii="Bookman Old Style" w:hAnsi="Bookman Old Style"/>
          <w:sz w:val="24"/>
          <w:szCs w:val="24"/>
        </w:rPr>
        <w:t xml:space="preserve">, siendo obligación de este hacerlo.  </w:t>
      </w:r>
    </w:p>
    <w:p w14:paraId="5D943F36" w14:textId="72781DCB" w:rsidR="00CF5EFC" w:rsidRPr="000F4D2C" w:rsidRDefault="00CF5EFC" w:rsidP="000F4D2C">
      <w:pPr>
        <w:spacing w:after="0" w:line="240" w:lineRule="auto"/>
        <w:ind w:left="709"/>
        <w:jc w:val="both"/>
        <w:rPr>
          <w:rFonts w:ascii="Bookman Old Style" w:hAnsi="Bookman Old Style"/>
          <w:sz w:val="24"/>
          <w:szCs w:val="24"/>
        </w:rPr>
      </w:pPr>
    </w:p>
    <w:p w14:paraId="1B49EBFC" w14:textId="31902AF6" w:rsidR="00CF5EFC" w:rsidRDefault="00CF5EFC" w:rsidP="008E6154">
      <w:pPr>
        <w:numPr>
          <w:ilvl w:val="0"/>
          <w:numId w:val="33"/>
        </w:numPr>
        <w:spacing w:after="0" w:line="240" w:lineRule="auto"/>
        <w:ind w:left="709" w:hanging="357"/>
        <w:jc w:val="both"/>
        <w:rPr>
          <w:rFonts w:ascii="Bookman Old Style" w:hAnsi="Bookman Old Style"/>
          <w:sz w:val="24"/>
          <w:szCs w:val="24"/>
        </w:rPr>
      </w:pPr>
      <w:r w:rsidRPr="000F4D2C">
        <w:rPr>
          <w:rFonts w:ascii="Bookman Old Style" w:hAnsi="Bookman Old Style"/>
          <w:sz w:val="24"/>
          <w:szCs w:val="24"/>
        </w:rPr>
        <w:t xml:space="preserve">Cuando en uno de los informes de que trata el literal </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REF _Ref461097164 \r \h  \* MERGEFORMAT </w:instrText>
      </w:r>
      <w:r w:rsidRPr="000F4D2C">
        <w:rPr>
          <w:rFonts w:ascii="Bookman Old Style" w:hAnsi="Bookman Old Style"/>
          <w:sz w:val="24"/>
          <w:szCs w:val="24"/>
        </w:rPr>
      </w:r>
      <w:r w:rsidRPr="000F4D2C">
        <w:rPr>
          <w:rFonts w:ascii="Bookman Old Style" w:hAnsi="Bookman Old Style"/>
          <w:sz w:val="24"/>
          <w:szCs w:val="24"/>
        </w:rPr>
        <w:fldChar w:fldCharType="separate"/>
      </w:r>
      <w:r w:rsidR="000D7E7B">
        <w:rPr>
          <w:rFonts w:ascii="Bookman Old Style" w:hAnsi="Bookman Old Style"/>
          <w:sz w:val="24"/>
          <w:szCs w:val="24"/>
        </w:rPr>
        <w:t>a)</w:t>
      </w:r>
      <w:r w:rsidRPr="000F4D2C">
        <w:rPr>
          <w:rFonts w:ascii="Bookman Old Style" w:hAnsi="Bookman Old Style"/>
          <w:sz w:val="24"/>
          <w:szCs w:val="24"/>
        </w:rPr>
        <w:fldChar w:fldCharType="end"/>
      </w:r>
      <w:r w:rsidRPr="000F4D2C">
        <w:rPr>
          <w:rFonts w:ascii="Bookman Old Style" w:hAnsi="Bookman Old Style"/>
          <w:sz w:val="24"/>
          <w:szCs w:val="24"/>
        </w:rPr>
        <w:t xml:space="preserve"> del Artículo 24 de la presente Resolución, el auditor verifique que el adjudicatario, o el transportador incumbente que ejecute en primera instancia proyectos de </w:t>
      </w:r>
      <m:oMath>
        <m:r>
          <m:rPr>
            <m:sty m:val="p"/>
          </m:rPr>
          <w:rPr>
            <w:rFonts w:ascii="Cambria Math" w:hAnsi="Cambria Math"/>
            <w:sz w:val="24"/>
            <w:szCs w:val="24"/>
          </w:rPr>
          <m:t>IPAT</m:t>
        </m:r>
      </m:oMath>
      <w:r w:rsidRPr="000F4D2C">
        <w:rPr>
          <w:rFonts w:ascii="Bookman Old Style" w:hAnsi="Bookman Old Style"/>
          <w:sz w:val="24"/>
          <w:szCs w:val="24"/>
        </w:rPr>
        <w:t xml:space="preserve">, no corrigió desviaciones en el proyecto, identificadas en el informe previo, que llevan a que las características técnicas de alguno de los activos del proyecto sean menores a las requeridas por los estándares y normas técnicas aplicables. Para el caso de proyectos de transporte de gas </w:t>
      </w:r>
      <w:r w:rsidRPr="000F4D2C">
        <w:rPr>
          <w:rFonts w:ascii="Bookman Old Style" w:hAnsi="Bookman Old Style"/>
          <w:sz w:val="24"/>
          <w:szCs w:val="24"/>
        </w:rPr>
        <w:lastRenderedPageBreak/>
        <w:t xml:space="preserve">los estándares y normas técnicas aplicables se establecen en el numeral 6 del RUT, o aquellas normas que lo modifiquen o sustituyan.  </w:t>
      </w:r>
    </w:p>
    <w:p w14:paraId="464FE2FC" w14:textId="77777777" w:rsidR="008E6154" w:rsidRPr="008E6154" w:rsidRDefault="008E6154" w:rsidP="000F4D2C">
      <w:pPr>
        <w:pStyle w:val="Prrafodelista"/>
        <w:rPr>
          <w:rFonts w:ascii="Bookman Old Style" w:hAnsi="Bookman Old Style"/>
          <w:sz w:val="24"/>
          <w:szCs w:val="24"/>
        </w:rPr>
      </w:pPr>
    </w:p>
    <w:p w14:paraId="7DEEF590" w14:textId="05839FA7" w:rsidR="00CF5EFC" w:rsidRPr="00437FD5" w:rsidRDefault="00CF5EFC" w:rsidP="000F4D2C">
      <w:pPr>
        <w:numPr>
          <w:ilvl w:val="0"/>
          <w:numId w:val="33"/>
        </w:numPr>
        <w:spacing w:after="0" w:line="240" w:lineRule="auto"/>
        <w:ind w:left="709" w:hanging="357"/>
        <w:jc w:val="both"/>
        <w:rPr>
          <w:rFonts w:ascii="Bookman Old Style" w:hAnsi="Bookman Old Style"/>
          <w:i/>
          <w:iCs/>
        </w:rPr>
      </w:pPr>
      <w:r w:rsidRPr="000F4D2C">
        <w:rPr>
          <w:rFonts w:ascii="Bookman Old Style" w:hAnsi="Bookman Old Style"/>
          <w:sz w:val="24"/>
          <w:szCs w:val="24"/>
        </w:rPr>
        <w:t xml:space="preserve">Cuando el auditor en los informes periódicos que debe realizar de seguimiento del proyecto en su etapa de implementación determine que de manera definitiva el mismo no cumplirá lo previsto en los documentos de selección </w:t>
      </w:r>
      <w:r w:rsidRPr="000F4D2C">
        <w:rPr>
          <w:rFonts w:ascii="Bookman Old Style" w:eastAsia="Bookman Old Style" w:hAnsi="Bookman Old Style"/>
          <w:spacing w:val="-2"/>
          <w:sz w:val="24"/>
          <w:szCs w:val="24"/>
        </w:rPr>
        <w:t>del inversionista</w:t>
      </w:r>
      <w:r w:rsidRPr="000F4D2C">
        <w:rPr>
          <w:rFonts w:ascii="Bookman Old Style" w:hAnsi="Bookman Old Style"/>
          <w:sz w:val="24"/>
          <w:szCs w:val="24"/>
        </w:rPr>
        <w:t xml:space="preserve"> en su proceso de adjudicación y ajustes si fuese el caso.</w:t>
      </w:r>
      <w:r w:rsidRPr="00437FD5">
        <w:rPr>
          <w:rFonts w:ascii="Bookman Old Style" w:hAnsi="Bookman Old Style"/>
          <w:i/>
          <w:iCs/>
        </w:rPr>
        <w:t xml:space="preserve"> </w:t>
      </w:r>
    </w:p>
    <w:bookmarkEnd w:id="21"/>
    <w:bookmarkEnd w:id="22"/>
    <w:p w14:paraId="534F9F68" w14:textId="77777777" w:rsidR="00CF5EFC" w:rsidRPr="000F4D2C" w:rsidRDefault="00CF5EFC" w:rsidP="008E6154">
      <w:pPr>
        <w:pStyle w:val="Estilo5"/>
        <w:keepNext w:val="0"/>
        <w:widowControl w:val="0"/>
        <w:numPr>
          <w:ilvl w:val="0"/>
          <w:numId w:val="0"/>
        </w:numPr>
        <w:tabs>
          <w:tab w:val="left" w:pos="0"/>
          <w:tab w:val="left" w:pos="1560"/>
        </w:tabs>
        <w:spacing w:before="0" w:after="0"/>
        <w:rPr>
          <w:rFonts w:ascii="Bookman Old Style" w:hAnsi="Bookman Old Style"/>
          <w:bCs/>
          <w:spacing w:val="-2"/>
        </w:rPr>
      </w:pPr>
    </w:p>
    <w:p w14:paraId="0C04C783" w14:textId="77777777" w:rsidR="00B40D27" w:rsidRPr="00B40D27" w:rsidRDefault="00B40D27" w:rsidP="00B40D27">
      <w:pPr>
        <w:pStyle w:val="Prrafodelista"/>
        <w:numPr>
          <w:ilvl w:val="0"/>
          <w:numId w:val="10"/>
        </w:numPr>
        <w:rPr>
          <w:rFonts w:ascii="Bookman Old Style" w:hAnsi="Bookman Old Style"/>
          <w:spacing w:val="-2"/>
          <w:kern w:val="28"/>
          <w:sz w:val="24"/>
          <w:szCs w:val="24"/>
          <w:lang w:val="es-ES_tradnl" w:eastAsia="es-CO"/>
        </w:rPr>
      </w:pPr>
      <w:bookmarkStart w:id="23" w:name="_Ref473129730"/>
      <w:bookmarkStart w:id="24" w:name="_Ref346808791"/>
      <w:r w:rsidRPr="000F4D2C">
        <w:rPr>
          <w:rFonts w:ascii="Bookman Old Style" w:hAnsi="Bookman Old Style"/>
          <w:b/>
          <w:bCs/>
          <w:spacing w:val="-2"/>
          <w:kern w:val="28"/>
          <w:sz w:val="24"/>
          <w:szCs w:val="24"/>
          <w:lang w:val="es-ES_tradnl" w:eastAsia="es-CO"/>
        </w:rPr>
        <w:t>Conexión del proyecto.</w:t>
      </w:r>
      <w:r w:rsidRPr="00B40D27">
        <w:rPr>
          <w:rFonts w:ascii="Bookman Old Style" w:hAnsi="Bookman Old Style"/>
          <w:spacing w:val="-2"/>
          <w:kern w:val="28"/>
          <w:sz w:val="24"/>
          <w:szCs w:val="24"/>
          <w:lang w:val="es-ES_tradnl" w:eastAsia="es-CO"/>
        </w:rPr>
        <w:t xml:space="preserve"> El adjudicatario del proyecto será el responsable de realizar, atendiendo la regulación establecida en el RUT, los puntos de entrada, los puntos de salida y conexiones que se requieran en el SNT para poner en operación el proyecto.</w:t>
      </w:r>
    </w:p>
    <w:p w14:paraId="0BB6F134" w14:textId="77777777" w:rsidR="00B40D27" w:rsidRPr="000F4D2C" w:rsidRDefault="00B40D27" w:rsidP="000F4D2C">
      <w:pPr>
        <w:pStyle w:val="Estilo5"/>
        <w:keepNext w:val="0"/>
        <w:widowControl w:val="0"/>
        <w:numPr>
          <w:ilvl w:val="0"/>
          <w:numId w:val="0"/>
        </w:numPr>
        <w:tabs>
          <w:tab w:val="left" w:pos="0"/>
          <w:tab w:val="left" w:pos="1560"/>
        </w:tabs>
        <w:spacing w:before="0" w:after="0"/>
        <w:rPr>
          <w:rFonts w:ascii="Bookman Old Style" w:hAnsi="Bookman Old Style"/>
          <w:b w:val="0"/>
          <w:spacing w:val="-2"/>
          <w:sz w:val="24"/>
          <w:szCs w:val="24"/>
        </w:rPr>
      </w:pPr>
    </w:p>
    <w:p w14:paraId="30A329A1" w14:textId="12E8E572" w:rsidR="00CF5EFC" w:rsidRPr="000F4D2C" w:rsidRDefault="00CF5EFC" w:rsidP="008E6154">
      <w:pPr>
        <w:pStyle w:val="Estilo5"/>
        <w:keepNext w:val="0"/>
        <w:widowControl w:val="0"/>
        <w:numPr>
          <w:ilvl w:val="0"/>
          <w:numId w:val="10"/>
        </w:numPr>
        <w:tabs>
          <w:tab w:val="left" w:pos="0"/>
          <w:tab w:val="left" w:pos="1560"/>
        </w:tabs>
        <w:spacing w:before="0" w:after="0"/>
        <w:rPr>
          <w:rFonts w:ascii="Bookman Old Style" w:hAnsi="Bookman Old Style"/>
          <w:b w:val="0"/>
          <w:spacing w:val="-2"/>
          <w:sz w:val="24"/>
          <w:szCs w:val="24"/>
        </w:rPr>
      </w:pPr>
      <w:r w:rsidRPr="008E4FCF">
        <w:rPr>
          <w:rFonts w:ascii="Bookman Old Style" w:hAnsi="Bookman Old Style" w:cs="Arial"/>
          <w:color w:val="000000"/>
          <w:spacing w:val="-4"/>
          <w:sz w:val="24"/>
          <w:szCs w:val="24"/>
        </w:rPr>
        <w:t xml:space="preserve">Patrimonio autónomo. </w:t>
      </w:r>
      <w:r w:rsidRPr="008E4FCF">
        <w:rPr>
          <w:rFonts w:ascii="Bookman Old Style" w:hAnsi="Bookman Old Style" w:cs="Arial"/>
          <w:b w:val="0"/>
          <w:color w:val="000000"/>
          <w:sz w:val="24"/>
          <w:szCs w:val="24"/>
        </w:rPr>
        <w:t xml:space="preserve">Para cada proyecto el adjudicatario, </w:t>
      </w:r>
      <w:r w:rsidRPr="008E4FCF">
        <w:rPr>
          <w:rFonts w:ascii="Bookman Old Style" w:hAnsi="Bookman Old Style"/>
          <w:b w:val="0"/>
          <w:sz w:val="24"/>
          <w:szCs w:val="24"/>
        </w:rPr>
        <w:t xml:space="preserve">o el transportador incumbente que ejecute en primera instancia proyectos de </w:t>
      </w:r>
      <m:oMath>
        <m:r>
          <m:rPr>
            <m:sty m:val="bi"/>
          </m:rPr>
          <w:rPr>
            <w:rFonts w:ascii="Cambria Math" w:hAnsi="Cambria Math"/>
            <w:color w:val="000000"/>
          </w:rPr>
          <m:t>IPAT</m:t>
        </m:r>
      </m:oMath>
      <w:r w:rsidRPr="008E4FCF">
        <w:rPr>
          <w:rFonts w:ascii="Bookman Old Style" w:hAnsi="Bookman Old Style"/>
          <w:b w:val="0"/>
          <w:iCs/>
          <w:sz w:val="24"/>
          <w:szCs w:val="24"/>
        </w:rPr>
        <w:t>,</w:t>
      </w:r>
      <w:r w:rsidRPr="008E4FCF">
        <w:rPr>
          <w:rFonts w:ascii="Bookman Old Style" w:hAnsi="Bookman Old Style" w:cs="Arial"/>
          <w:b w:val="0"/>
          <w:color w:val="000000"/>
          <w:sz w:val="24"/>
          <w:szCs w:val="24"/>
        </w:rPr>
        <w:t xml:space="preserve"> deberá constituir </w:t>
      </w:r>
      <w:r w:rsidRPr="00761367">
        <w:rPr>
          <w:rFonts w:ascii="Bookman Old Style" w:hAnsi="Bookman Old Style" w:cs="Arial"/>
          <w:b w:val="0"/>
          <w:color w:val="000000"/>
          <w:sz w:val="24"/>
          <w:szCs w:val="24"/>
        </w:rPr>
        <w:t>un patrimonio autónomo a través del cual se administrará la garantía de cumplimiento, de conformidad con lo establecido en el Anexo 2 de la presente Resolución.</w:t>
      </w:r>
      <w:bookmarkEnd w:id="23"/>
      <w:r w:rsidRPr="00761367">
        <w:rPr>
          <w:rFonts w:ascii="Bookman Old Style" w:hAnsi="Bookman Old Style" w:cs="Arial"/>
          <w:b w:val="0"/>
          <w:color w:val="000000"/>
          <w:sz w:val="24"/>
          <w:szCs w:val="24"/>
        </w:rPr>
        <w:t xml:space="preserve"> </w:t>
      </w:r>
    </w:p>
    <w:p w14:paraId="7E80DEF3" w14:textId="77777777" w:rsidR="00CF5EFC" w:rsidRPr="00761367" w:rsidRDefault="00CF5EFC" w:rsidP="008E6154">
      <w:pPr>
        <w:pStyle w:val="Prrafodelista"/>
        <w:rPr>
          <w:rFonts w:ascii="Bookman Old Style" w:hAnsi="Bookman Old Style"/>
          <w:b/>
          <w:spacing w:val="-2"/>
          <w:sz w:val="24"/>
          <w:szCs w:val="24"/>
        </w:rPr>
      </w:pPr>
    </w:p>
    <w:p w14:paraId="2ACAB10D" w14:textId="09313E15" w:rsidR="008E6154" w:rsidRPr="000F4D2C" w:rsidRDefault="00CF5EFC" w:rsidP="000F4D2C">
      <w:pPr>
        <w:spacing w:after="0" w:line="240" w:lineRule="auto"/>
        <w:jc w:val="both"/>
        <w:rPr>
          <w:rFonts w:ascii="Bookman Old Style" w:hAnsi="Bookman Old Style" w:cs="Arial"/>
          <w:color w:val="000000"/>
          <w:spacing w:val="-4"/>
          <w:kern w:val="28"/>
          <w:sz w:val="24"/>
          <w:szCs w:val="24"/>
          <w:lang w:val="es-ES_tradnl" w:eastAsia="es-CO"/>
        </w:rPr>
      </w:pPr>
      <w:r w:rsidRPr="000F4D2C">
        <w:rPr>
          <w:rFonts w:ascii="Bookman Old Style" w:hAnsi="Bookman Old Style"/>
          <w:b/>
          <w:spacing w:val="-2"/>
          <w:sz w:val="24"/>
          <w:szCs w:val="24"/>
        </w:rPr>
        <w:t>Parágrafo 1.</w:t>
      </w:r>
      <w:r w:rsidRPr="000F4D2C">
        <w:rPr>
          <w:rFonts w:ascii="Bookman Old Style" w:hAnsi="Bookman Old Style"/>
          <w:spacing w:val="-2"/>
          <w:sz w:val="24"/>
          <w:szCs w:val="24"/>
        </w:rPr>
        <w:t xml:space="preserve"> El adjudicatario deberá constituir el patrimonio autónomo antes de que la UPME reporte a la CREG la información de que trata el </w:t>
      </w:r>
      <w:r w:rsidRPr="000F4D2C">
        <w:rPr>
          <w:rFonts w:ascii="Bookman Old Style" w:hAnsi="Bookman Old Style"/>
          <w:spacing w:val="-2"/>
          <w:sz w:val="24"/>
          <w:szCs w:val="24"/>
        </w:rPr>
        <w:fldChar w:fldCharType="begin"/>
      </w:r>
      <w:r w:rsidRPr="000F4D2C">
        <w:rPr>
          <w:rFonts w:ascii="Bookman Old Style" w:hAnsi="Bookman Old Style"/>
          <w:spacing w:val="-2"/>
          <w:sz w:val="24"/>
          <w:szCs w:val="24"/>
        </w:rPr>
        <w:instrText xml:space="preserve"> REF _Ref476837802 \r \h </w:instrText>
      </w:r>
      <w:r w:rsidR="00761367">
        <w:rPr>
          <w:rFonts w:ascii="Bookman Old Style" w:hAnsi="Bookman Old Style"/>
          <w:spacing w:val="-2"/>
          <w:sz w:val="24"/>
          <w:szCs w:val="24"/>
        </w:rPr>
        <w:instrText xml:space="preserve"> \* MERGEFORMAT </w:instrText>
      </w:r>
      <w:r w:rsidRPr="000F4D2C">
        <w:rPr>
          <w:rFonts w:ascii="Bookman Old Style" w:hAnsi="Bookman Old Style"/>
          <w:spacing w:val="-2"/>
          <w:sz w:val="24"/>
          <w:szCs w:val="24"/>
        </w:rPr>
      </w:r>
      <w:r w:rsidRPr="000F4D2C">
        <w:rPr>
          <w:rFonts w:ascii="Bookman Old Style" w:hAnsi="Bookman Old Style"/>
          <w:spacing w:val="-2"/>
          <w:sz w:val="24"/>
          <w:szCs w:val="24"/>
        </w:rPr>
        <w:fldChar w:fldCharType="separate"/>
      </w:r>
      <w:r w:rsidR="000D7E7B">
        <w:rPr>
          <w:rFonts w:ascii="Bookman Old Style" w:hAnsi="Bookman Old Style"/>
          <w:spacing w:val="-2"/>
          <w:sz w:val="24"/>
          <w:szCs w:val="24"/>
        </w:rPr>
        <w:t>Artículo 16</w:t>
      </w:r>
      <w:r w:rsidRPr="000F4D2C">
        <w:rPr>
          <w:rFonts w:ascii="Bookman Old Style" w:hAnsi="Bookman Old Style"/>
          <w:spacing w:val="-2"/>
          <w:sz w:val="24"/>
          <w:szCs w:val="24"/>
        </w:rPr>
        <w:fldChar w:fldCharType="end"/>
      </w:r>
      <w:r w:rsidRPr="000F4D2C">
        <w:rPr>
          <w:rFonts w:ascii="Bookman Old Style" w:hAnsi="Bookman Old Style"/>
          <w:spacing w:val="-2"/>
          <w:sz w:val="24"/>
          <w:szCs w:val="24"/>
        </w:rPr>
        <w:t xml:space="preserve"> de la presente Resolución. </w:t>
      </w:r>
      <w:r w:rsidRPr="000F4D2C">
        <w:rPr>
          <w:rFonts w:ascii="Bookman Old Style" w:hAnsi="Bookman Old Style" w:cs="Arial"/>
          <w:color w:val="000000"/>
          <w:sz w:val="24"/>
          <w:szCs w:val="24"/>
        </w:rPr>
        <w:t>Una vez constituido el patrimonio autónomo el adjudicatario reportará al MME y a la UPME la información que permita identificar este patrimonio autónomo.</w:t>
      </w:r>
    </w:p>
    <w:p w14:paraId="6A30D872" w14:textId="77777777" w:rsidR="00CF5EFC" w:rsidRPr="000F4D2C" w:rsidRDefault="00CF5EFC" w:rsidP="000F4D2C">
      <w:pPr>
        <w:spacing w:after="0" w:line="240" w:lineRule="auto"/>
        <w:jc w:val="both"/>
        <w:rPr>
          <w:rFonts w:ascii="Bookman Old Style" w:hAnsi="Bookman Old Style" w:cs="Arial"/>
          <w:color w:val="000000"/>
          <w:spacing w:val="-4"/>
          <w:kern w:val="28"/>
          <w:sz w:val="24"/>
          <w:szCs w:val="24"/>
          <w:lang w:val="es-ES_tradnl" w:eastAsia="es-CO"/>
        </w:rPr>
      </w:pPr>
    </w:p>
    <w:p w14:paraId="1BD2E385" w14:textId="1C9E2CD1" w:rsidR="008E6154" w:rsidRPr="000F4D2C" w:rsidRDefault="00CF5EFC" w:rsidP="000F4D2C">
      <w:pPr>
        <w:spacing w:after="0" w:line="240" w:lineRule="auto"/>
        <w:jc w:val="both"/>
        <w:rPr>
          <w:rFonts w:ascii="Bookman Old Style" w:hAnsi="Bookman Old Style" w:cs="Arial"/>
          <w:color w:val="000000"/>
          <w:sz w:val="24"/>
          <w:szCs w:val="24"/>
        </w:rPr>
      </w:pPr>
      <w:r w:rsidRPr="000F4D2C">
        <w:rPr>
          <w:rFonts w:ascii="Bookman Old Style" w:hAnsi="Bookman Old Style"/>
          <w:b/>
          <w:spacing w:val="-2"/>
          <w:sz w:val="24"/>
          <w:szCs w:val="24"/>
        </w:rPr>
        <w:t xml:space="preserve">Parágrafo 2. </w:t>
      </w:r>
      <w:r w:rsidRPr="000F4D2C">
        <w:rPr>
          <w:rFonts w:ascii="Bookman Old Style" w:hAnsi="Bookman Old Style"/>
          <w:spacing w:val="-2"/>
          <w:sz w:val="24"/>
          <w:szCs w:val="24"/>
        </w:rPr>
        <w:t>Cuando se trate</w:t>
      </w:r>
      <w:r w:rsidRPr="000F4D2C">
        <w:rPr>
          <w:rFonts w:ascii="Bookman Old Style" w:hAnsi="Bookman Old Style"/>
          <w:b/>
          <w:spacing w:val="-2"/>
          <w:sz w:val="24"/>
          <w:szCs w:val="24"/>
        </w:rPr>
        <w:t xml:space="preserve"> </w:t>
      </w:r>
      <w:r w:rsidRPr="000F4D2C">
        <w:rPr>
          <w:rFonts w:ascii="Bookman Old Style" w:hAnsi="Bookman Old Style"/>
          <w:spacing w:val="-2"/>
          <w:sz w:val="24"/>
          <w:szCs w:val="24"/>
        </w:rPr>
        <w:t>d</w:t>
      </w:r>
      <w:r w:rsidRPr="000F4D2C">
        <w:rPr>
          <w:rFonts w:ascii="Bookman Old Style" w:hAnsi="Bookman Old Style"/>
          <w:sz w:val="24"/>
          <w:szCs w:val="24"/>
        </w:rPr>
        <w:t xml:space="preserve">el transportador incumbente que ejecute en primera instancia proyectos de </w:t>
      </w:r>
      <m:oMath>
        <m:r>
          <w:rPr>
            <w:rFonts w:ascii="Cambria Math" w:hAnsi="Cambria Math"/>
            <w:sz w:val="24"/>
            <w:szCs w:val="24"/>
          </w:rPr>
          <m:t>IPAT</m:t>
        </m:r>
      </m:oMath>
      <w:r w:rsidRPr="000F4D2C">
        <w:rPr>
          <w:rFonts w:ascii="Bookman Old Style" w:hAnsi="Bookman Old Style"/>
          <w:iCs/>
          <w:sz w:val="24"/>
          <w:szCs w:val="24"/>
        </w:rPr>
        <w:t xml:space="preserve">, este </w:t>
      </w:r>
      <w:r w:rsidRPr="000F4D2C">
        <w:rPr>
          <w:rFonts w:ascii="Bookman Old Style" w:hAnsi="Bookman Old Style"/>
          <w:spacing w:val="-2"/>
          <w:sz w:val="24"/>
          <w:szCs w:val="24"/>
        </w:rPr>
        <w:t xml:space="preserve">deberá constituir el patrimonio autónomo antes de radicar en la CREG la información de que trata el literal </w:t>
      </w:r>
      <w:r w:rsidR="000B6679">
        <w:rPr>
          <w:rFonts w:ascii="Bookman Old Style" w:hAnsi="Bookman Old Style"/>
          <w:spacing w:val="-2"/>
          <w:sz w:val="24"/>
          <w:szCs w:val="24"/>
        </w:rPr>
        <w:t>e)</w:t>
      </w:r>
      <w:r w:rsidRPr="000F4D2C">
        <w:rPr>
          <w:rFonts w:ascii="Bookman Old Style" w:hAnsi="Bookman Old Style"/>
          <w:spacing w:val="-2"/>
          <w:sz w:val="24"/>
          <w:szCs w:val="24"/>
        </w:rPr>
        <w:t xml:space="preserve"> del </w:t>
      </w:r>
      <w:r w:rsidRPr="000F4D2C">
        <w:rPr>
          <w:rFonts w:ascii="Bookman Old Style" w:hAnsi="Bookman Old Style"/>
          <w:spacing w:val="-2"/>
          <w:sz w:val="24"/>
          <w:szCs w:val="24"/>
        </w:rPr>
        <w:fldChar w:fldCharType="begin"/>
      </w:r>
      <w:r w:rsidRPr="000F4D2C">
        <w:rPr>
          <w:rFonts w:ascii="Bookman Old Style" w:hAnsi="Bookman Old Style"/>
          <w:spacing w:val="-2"/>
          <w:sz w:val="24"/>
          <w:szCs w:val="24"/>
        </w:rPr>
        <w:instrText xml:space="preserve"> REF _Ref473021898 \r \h </w:instrText>
      </w:r>
      <w:r w:rsidR="00761367">
        <w:rPr>
          <w:rFonts w:ascii="Bookman Old Style" w:hAnsi="Bookman Old Style"/>
          <w:spacing w:val="-2"/>
          <w:sz w:val="24"/>
          <w:szCs w:val="24"/>
        </w:rPr>
        <w:instrText xml:space="preserve"> \* MERGEFORMAT </w:instrText>
      </w:r>
      <w:r w:rsidRPr="000F4D2C">
        <w:rPr>
          <w:rFonts w:ascii="Bookman Old Style" w:hAnsi="Bookman Old Style"/>
          <w:spacing w:val="-2"/>
          <w:sz w:val="24"/>
          <w:szCs w:val="24"/>
        </w:rPr>
      </w:r>
      <w:r w:rsidRPr="000F4D2C">
        <w:rPr>
          <w:rFonts w:ascii="Bookman Old Style" w:hAnsi="Bookman Old Style"/>
          <w:spacing w:val="-2"/>
          <w:sz w:val="24"/>
          <w:szCs w:val="24"/>
        </w:rPr>
        <w:fldChar w:fldCharType="separate"/>
      </w:r>
      <w:r w:rsidR="000D7E7B">
        <w:rPr>
          <w:rFonts w:ascii="Bookman Old Style" w:hAnsi="Bookman Old Style"/>
          <w:spacing w:val="-2"/>
          <w:sz w:val="24"/>
          <w:szCs w:val="24"/>
        </w:rPr>
        <w:t>Artículo 4</w:t>
      </w:r>
      <w:r w:rsidRPr="000F4D2C">
        <w:rPr>
          <w:rFonts w:ascii="Bookman Old Style" w:hAnsi="Bookman Old Style"/>
          <w:spacing w:val="-2"/>
          <w:sz w:val="24"/>
          <w:szCs w:val="24"/>
        </w:rPr>
        <w:fldChar w:fldCharType="end"/>
      </w:r>
      <w:r w:rsidRPr="000F4D2C">
        <w:rPr>
          <w:rFonts w:ascii="Bookman Old Style" w:hAnsi="Bookman Old Style"/>
          <w:spacing w:val="-2"/>
          <w:sz w:val="24"/>
          <w:szCs w:val="24"/>
        </w:rPr>
        <w:t xml:space="preserve"> de la presente Resolución. </w:t>
      </w:r>
      <w:r w:rsidRPr="000F4D2C">
        <w:rPr>
          <w:rFonts w:ascii="Bookman Old Style" w:hAnsi="Bookman Old Style" w:cs="Arial"/>
          <w:color w:val="000000"/>
          <w:sz w:val="24"/>
          <w:szCs w:val="24"/>
        </w:rPr>
        <w:t>Una vez constituido el patrimonio autónomo el transportador incumbente reportará al MME y a la UPME la información que permita identificar este patrimonio autónomo.</w:t>
      </w:r>
    </w:p>
    <w:p w14:paraId="0307A353" w14:textId="77777777" w:rsidR="00CF5EFC" w:rsidRPr="00741410" w:rsidRDefault="00CF5EFC" w:rsidP="000F4D2C">
      <w:pPr>
        <w:spacing w:after="0" w:line="240" w:lineRule="auto"/>
        <w:jc w:val="both"/>
        <w:rPr>
          <w:rFonts w:ascii="Bookman Old Style" w:hAnsi="Bookman Old Style" w:cs="Arial"/>
          <w:color w:val="000000"/>
          <w:spacing w:val="-4"/>
          <w:kern w:val="28"/>
          <w:lang w:val="es-ES_tradnl" w:eastAsia="es-CO"/>
        </w:rPr>
      </w:pPr>
    </w:p>
    <w:p w14:paraId="57116784" w14:textId="5D61933B" w:rsidR="00CF5EFC" w:rsidRPr="000F4D2C" w:rsidRDefault="00CF5EFC" w:rsidP="008E6154">
      <w:pPr>
        <w:pStyle w:val="Estilo5"/>
        <w:keepNext w:val="0"/>
        <w:widowControl w:val="0"/>
        <w:numPr>
          <w:ilvl w:val="0"/>
          <w:numId w:val="10"/>
        </w:numPr>
        <w:tabs>
          <w:tab w:val="left" w:pos="0"/>
          <w:tab w:val="left" w:pos="1560"/>
        </w:tabs>
        <w:spacing w:before="0" w:after="0"/>
        <w:rPr>
          <w:rFonts w:ascii="Bookman Old Style" w:hAnsi="Bookman Old Style" w:cs="Arial"/>
          <w:color w:val="000000"/>
          <w:spacing w:val="-4"/>
          <w:sz w:val="24"/>
          <w:szCs w:val="24"/>
        </w:rPr>
      </w:pPr>
      <w:bookmarkStart w:id="25" w:name="_Ref460829726"/>
      <w:bookmarkStart w:id="26" w:name="_Ref439267297"/>
      <w:r w:rsidRPr="00571EE2">
        <w:rPr>
          <w:rFonts w:ascii="Bookman Old Style" w:hAnsi="Bookman Old Style" w:cs="Arial"/>
          <w:color w:val="000000"/>
          <w:spacing w:val="-4"/>
          <w:sz w:val="24"/>
          <w:szCs w:val="24"/>
        </w:rPr>
        <w:t xml:space="preserve">Garantía de </w:t>
      </w:r>
      <w:r>
        <w:rPr>
          <w:rFonts w:ascii="Bookman Old Style" w:hAnsi="Bookman Old Style" w:cs="Arial"/>
          <w:color w:val="000000"/>
          <w:spacing w:val="-4"/>
          <w:sz w:val="24"/>
          <w:szCs w:val="24"/>
        </w:rPr>
        <w:t>seriedad</w:t>
      </w:r>
      <w:r w:rsidRPr="00571EE2">
        <w:rPr>
          <w:rFonts w:ascii="Bookman Old Style" w:hAnsi="Bookman Old Style" w:cs="Arial"/>
          <w:color w:val="000000"/>
          <w:spacing w:val="-4"/>
          <w:sz w:val="24"/>
          <w:szCs w:val="24"/>
        </w:rPr>
        <w:t>.</w:t>
      </w:r>
      <w:r>
        <w:rPr>
          <w:rFonts w:ascii="Bookman Old Style" w:hAnsi="Bookman Old Style" w:cs="Arial"/>
          <w:color w:val="000000"/>
          <w:spacing w:val="-4"/>
          <w:sz w:val="24"/>
          <w:szCs w:val="24"/>
        </w:rPr>
        <w:t xml:space="preserve"> </w:t>
      </w:r>
      <w:r w:rsidRPr="000F4D2C">
        <w:rPr>
          <w:rFonts w:ascii="Bookman Old Style" w:hAnsi="Bookman Old Style" w:cs="Arial"/>
          <w:b w:val="0"/>
          <w:color w:val="000000"/>
          <w:spacing w:val="-4"/>
          <w:sz w:val="24"/>
          <w:szCs w:val="24"/>
        </w:rPr>
        <w:t>Corresponde</w:t>
      </w:r>
      <w:r w:rsidRPr="000F4D2C">
        <w:rPr>
          <w:rFonts w:ascii="Bookman Old Style" w:hAnsi="Bookman Old Style" w:cs="Arial"/>
          <w:color w:val="000000"/>
          <w:spacing w:val="-4"/>
          <w:sz w:val="24"/>
          <w:szCs w:val="24"/>
        </w:rPr>
        <w:t xml:space="preserve"> </w:t>
      </w:r>
      <w:r w:rsidRPr="000F4D2C">
        <w:rPr>
          <w:rFonts w:ascii="Bookman Old Style" w:hAnsi="Bookman Old Style" w:cs="Arial"/>
          <w:b w:val="0"/>
          <w:color w:val="000000"/>
          <w:spacing w:val="-4"/>
          <w:sz w:val="24"/>
          <w:szCs w:val="24"/>
        </w:rPr>
        <w:t>a la garantía que debe exigir la UPME dentro de los documentos de selección como uno de los requisitos para participar en un proceso de selección.</w:t>
      </w:r>
      <w:bookmarkEnd w:id="25"/>
      <w:r w:rsidRPr="000F4D2C">
        <w:rPr>
          <w:rFonts w:ascii="Bookman Old Style" w:hAnsi="Bookman Old Style" w:cs="Arial"/>
          <w:b w:val="0"/>
          <w:color w:val="000000"/>
          <w:spacing w:val="-4"/>
          <w:sz w:val="24"/>
          <w:szCs w:val="24"/>
        </w:rPr>
        <w:t xml:space="preserve"> Esta garantía se hará a favor de la UPME. </w:t>
      </w:r>
    </w:p>
    <w:p w14:paraId="51BD0DEB" w14:textId="77777777" w:rsidR="00CF5EFC" w:rsidRPr="000F4D2C"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cs="Arial"/>
          <w:color w:val="000000"/>
          <w:spacing w:val="-4"/>
          <w:sz w:val="24"/>
          <w:szCs w:val="24"/>
        </w:rPr>
      </w:pPr>
    </w:p>
    <w:p w14:paraId="11BD23EC" w14:textId="57F8C9CE" w:rsidR="00CF5EFC" w:rsidRPr="00EF42D7"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b w:val="0"/>
          <w:spacing w:val="-2"/>
          <w:sz w:val="24"/>
          <w:szCs w:val="24"/>
        </w:rPr>
      </w:pPr>
      <w:r w:rsidRPr="006F3407">
        <w:rPr>
          <w:rFonts w:ascii="Bookman Old Style" w:hAnsi="Bookman Old Style"/>
          <w:bCs/>
          <w:spacing w:val="-2"/>
          <w:sz w:val="24"/>
          <w:szCs w:val="24"/>
        </w:rPr>
        <w:t>Parágrafo.</w:t>
      </w:r>
      <w:r w:rsidRPr="000F4D2C">
        <w:rPr>
          <w:rFonts w:ascii="Bookman Old Style" w:hAnsi="Bookman Old Style"/>
          <w:b w:val="0"/>
          <w:spacing w:val="-2"/>
          <w:sz w:val="24"/>
          <w:szCs w:val="24"/>
        </w:rPr>
        <w:t xml:space="preserve"> </w:t>
      </w:r>
      <w:r w:rsidRPr="006F3407">
        <w:rPr>
          <w:rFonts w:ascii="Bookman Old Style" w:hAnsi="Bookman Old Style"/>
          <w:spacing w:val="-2"/>
          <w:sz w:val="24"/>
          <w:szCs w:val="24"/>
          <w:u w:val="single"/>
        </w:rPr>
        <w:t>Las condiciones generales de la garantía de seriedad las determinará la UPME</w:t>
      </w:r>
      <w:r w:rsidRPr="000F4D2C">
        <w:rPr>
          <w:rFonts w:ascii="Bookman Old Style" w:hAnsi="Bookman Old Style"/>
          <w:spacing w:val="-2"/>
          <w:sz w:val="24"/>
          <w:szCs w:val="24"/>
        </w:rPr>
        <w:t xml:space="preserve">. </w:t>
      </w:r>
    </w:p>
    <w:p w14:paraId="4AA23A36" w14:textId="0D4BA7CB" w:rsidR="00CF5EFC" w:rsidRPr="000F4D2C" w:rsidRDefault="00CF5EFC" w:rsidP="000F4D2C">
      <w:pPr>
        <w:pStyle w:val="Estilo5"/>
        <w:keepNext w:val="0"/>
        <w:widowControl w:val="0"/>
        <w:numPr>
          <w:ilvl w:val="0"/>
          <w:numId w:val="10"/>
        </w:numPr>
        <w:tabs>
          <w:tab w:val="left" w:pos="0"/>
          <w:tab w:val="left" w:pos="1560"/>
        </w:tabs>
        <w:spacing w:after="240"/>
        <w:rPr>
          <w:rFonts w:ascii="Bookman Old Style" w:hAnsi="Bookman Old Style"/>
          <w:sz w:val="24"/>
          <w:szCs w:val="24"/>
        </w:rPr>
      </w:pPr>
      <w:bookmarkStart w:id="27" w:name="_Ref472425357"/>
      <w:r w:rsidRPr="00F23AE8">
        <w:rPr>
          <w:rFonts w:ascii="Bookman Old Style" w:hAnsi="Bookman Old Style" w:cs="Arial"/>
          <w:color w:val="000000"/>
          <w:spacing w:val="-4"/>
          <w:sz w:val="24"/>
          <w:szCs w:val="24"/>
        </w:rPr>
        <w:t xml:space="preserve">Garantía de cumplimiento. </w:t>
      </w:r>
      <w:bookmarkStart w:id="28" w:name="_Ref309976736"/>
      <w:bookmarkEnd w:id="24"/>
      <w:r w:rsidRPr="00F23AE8">
        <w:rPr>
          <w:rFonts w:ascii="Bookman Old Style" w:hAnsi="Bookman Old Style"/>
          <w:b w:val="0"/>
          <w:sz w:val="24"/>
          <w:szCs w:val="24"/>
        </w:rPr>
        <w:t>El adjudicatario</w:t>
      </w:r>
      <w:r>
        <w:rPr>
          <w:rFonts w:ascii="Bookman Old Style" w:hAnsi="Bookman Old Style"/>
          <w:b w:val="0"/>
          <w:sz w:val="24"/>
          <w:szCs w:val="24"/>
        </w:rPr>
        <w:t>,</w:t>
      </w:r>
      <w:r w:rsidRPr="00F23AE8">
        <w:rPr>
          <w:rFonts w:ascii="Bookman Old Style" w:hAnsi="Bookman Old Style"/>
          <w:b w:val="0"/>
          <w:sz w:val="24"/>
          <w:szCs w:val="24"/>
        </w:rPr>
        <w:t xml:space="preserve"> </w:t>
      </w:r>
      <w:r>
        <w:rPr>
          <w:rFonts w:ascii="Bookman Old Style" w:hAnsi="Bookman Old Style"/>
          <w:b w:val="0"/>
          <w:sz w:val="24"/>
          <w:szCs w:val="24"/>
        </w:rPr>
        <w:t xml:space="preserve">o el </w:t>
      </w:r>
      <w:r w:rsidRPr="002A6FB4">
        <w:rPr>
          <w:rFonts w:ascii="Bookman Old Style" w:hAnsi="Bookman Old Style"/>
          <w:b w:val="0"/>
          <w:sz w:val="24"/>
          <w:szCs w:val="24"/>
        </w:rPr>
        <w:t>transportador incumbente que ejecute en primera instancia proyectos de</w:t>
      </w:r>
      <w:r>
        <w:rPr>
          <w:rFonts w:ascii="Bookman Old Style" w:hAnsi="Bookman Old Style"/>
          <w:b w:val="0"/>
          <w:sz w:val="24"/>
          <w:szCs w:val="24"/>
        </w:rPr>
        <w:t xml:space="preserve"> </w:t>
      </w:r>
      <m:oMath>
        <m:r>
          <m:rPr>
            <m:sty m:val="bi"/>
          </m:rPr>
          <w:rPr>
            <w:rFonts w:ascii="Cambria Math" w:hAnsi="Cambria Math"/>
            <w:color w:val="000000"/>
          </w:rPr>
          <m:t>IPAT</m:t>
        </m:r>
      </m:oMath>
      <w:r w:rsidRPr="002A6FB4">
        <w:rPr>
          <w:rFonts w:ascii="Bookman Old Style" w:hAnsi="Bookman Old Style"/>
          <w:b w:val="0"/>
          <w:iCs/>
          <w:sz w:val="24"/>
          <w:szCs w:val="24"/>
        </w:rPr>
        <w:t>,</w:t>
      </w:r>
      <w:r w:rsidRPr="00F23AE8">
        <w:rPr>
          <w:rFonts w:ascii="Bookman Old Style" w:hAnsi="Bookman Old Style" w:cs="Arial"/>
          <w:b w:val="0"/>
          <w:color w:val="000000"/>
          <w:sz w:val="24"/>
          <w:szCs w:val="24"/>
        </w:rPr>
        <w:t xml:space="preserve"> deberá constituir una garantía de cumplimiento a nombre del patrimonio autónomo, de conformidad con lo establecido en el </w:t>
      </w:r>
      <w:r w:rsidRPr="00F23AE8">
        <w:rPr>
          <w:rFonts w:ascii="Bookman Old Style" w:hAnsi="Bookman Old Style" w:cs="Arial"/>
          <w:b w:val="0"/>
          <w:color w:val="000000"/>
          <w:sz w:val="24"/>
          <w:szCs w:val="24"/>
        </w:rPr>
        <w:fldChar w:fldCharType="begin"/>
      </w:r>
      <w:r w:rsidRPr="00F23AE8">
        <w:rPr>
          <w:rFonts w:ascii="Bookman Old Style" w:hAnsi="Bookman Old Style" w:cs="Arial"/>
          <w:b w:val="0"/>
          <w:color w:val="000000"/>
          <w:sz w:val="24"/>
          <w:szCs w:val="24"/>
        </w:rPr>
        <w:instrText xml:space="preserve"> REF _Ref443495789 \h  \* MERGEFORMAT </w:instrText>
      </w:r>
      <w:r w:rsidRPr="00F23AE8">
        <w:rPr>
          <w:rFonts w:ascii="Bookman Old Style" w:hAnsi="Bookman Old Style" w:cs="Arial"/>
          <w:b w:val="0"/>
          <w:color w:val="000000"/>
          <w:sz w:val="24"/>
          <w:szCs w:val="24"/>
        </w:rPr>
      </w:r>
      <w:r w:rsidRPr="00F23AE8">
        <w:rPr>
          <w:rFonts w:ascii="Bookman Old Style" w:hAnsi="Bookman Old Style" w:cs="Arial"/>
          <w:b w:val="0"/>
          <w:color w:val="000000"/>
          <w:sz w:val="24"/>
          <w:szCs w:val="24"/>
        </w:rPr>
        <w:fldChar w:fldCharType="separate"/>
      </w:r>
      <w:r w:rsidR="000D7E7B" w:rsidRPr="000D7E7B">
        <w:rPr>
          <w:rFonts w:ascii="Bookman Old Style" w:hAnsi="Bookman Old Style"/>
          <w:b w:val="0"/>
          <w:sz w:val="24"/>
          <w:szCs w:val="24"/>
        </w:rPr>
        <w:t xml:space="preserve">Anexo </w:t>
      </w:r>
      <w:r w:rsidR="000D7E7B">
        <w:rPr>
          <w:rFonts w:ascii="Bookman Old Style" w:hAnsi="Bookman Old Style"/>
          <w:b w:val="0"/>
          <w:noProof/>
          <w:sz w:val="24"/>
          <w:szCs w:val="24"/>
        </w:rPr>
        <w:t>3</w:t>
      </w:r>
      <w:r w:rsidRPr="00F23AE8">
        <w:rPr>
          <w:rFonts w:ascii="Bookman Old Style" w:hAnsi="Bookman Old Style" w:cs="Arial"/>
          <w:b w:val="0"/>
          <w:color w:val="000000"/>
          <w:sz w:val="24"/>
          <w:szCs w:val="24"/>
        </w:rPr>
        <w:fldChar w:fldCharType="end"/>
      </w:r>
      <w:r w:rsidRPr="00F23AE8">
        <w:rPr>
          <w:rFonts w:ascii="Bookman Old Style" w:hAnsi="Bookman Old Style" w:cs="Arial"/>
          <w:b w:val="0"/>
          <w:color w:val="000000"/>
          <w:sz w:val="24"/>
          <w:szCs w:val="24"/>
        </w:rPr>
        <w:t xml:space="preserve"> de la presente Resolución</w:t>
      </w:r>
      <w:r w:rsidRPr="00F23AE8">
        <w:rPr>
          <w:rFonts w:ascii="Bookman Old Style" w:hAnsi="Bookman Old Style"/>
          <w:b w:val="0"/>
          <w:sz w:val="24"/>
          <w:szCs w:val="24"/>
        </w:rPr>
        <w:t>.</w:t>
      </w:r>
      <w:bookmarkEnd w:id="26"/>
      <w:bookmarkEnd w:id="27"/>
      <w:r w:rsidRPr="00571EE2">
        <w:rPr>
          <w:rFonts w:ascii="Bookman Old Style" w:hAnsi="Bookman Old Style"/>
        </w:rPr>
        <w:t xml:space="preserve"> </w:t>
      </w:r>
    </w:p>
    <w:p w14:paraId="33FEB6AA" w14:textId="6890B598" w:rsidR="00CF5EFC" w:rsidRPr="000F4D2C" w:rsidRDefault="00CF5EFC" w:rsidP="000F4D2C">
      <w:pPr>
        <w:spacing w:after="240"/>
        <w:jc w:val="both"/>
        <w:rPr>
          <w:rFonts w:ascii="Bookman Old Style" w:hAnsi="Bookman Old Style"/>
          <w:b/>
          <w:sz w:val="24"/>
          <w:szCs w:val="24"/>
          <w:lang w:val="es-ES_tradnl"/>
        </w:rPr>
      </w:pPr>
      <w:r w:rsidRPr="000F4D2C">
        <w:rPr>
          <w:rFonts w:ascii="Bookman Old Style" w:hAnsi="Bookman Old Style"/>
          <w:sz w:val="24"/>
          <w:szCs w:val="24"/>
          <w:lang w:val="es-ES_tradnl"/>
        </w:rPr>
        <w:t xml:space="preserve">Cuando ocurra alguno de los eventos de incumplimiento definidos en el numeral </w:t>
      </w:r>
      <w:r w:rsidRPr="000F4D2C">
        <w:rPr>
          <w:rFonts w:ascii="Bookman Old Style" w:hAnsi="Bookman Old Style"/>
          <w:sz w:val="24"/>
          <w:szCs w:val="24"/>
          <w:lang w:val="es-ES_tradnl"/>
        </w:rPr>
        <w:fldChar w:fldCharType="begin"/>
      </w:r>
      <w:r w:rsidRPr="000F4D2C">
        <w:rPr>
          <w:rFonts w:ascii="Bookman Old Style" w:hAnsi="Bookman Old Style"/>
          <w:sz w:val="24"/>
          <w:szCs w:val="24"/>
          <w:lang w:val="es-ES_tradnl"/>
        </w:rPr>
        <w:instrText xml:space="preserve"> REF _Ref476835994 \r \h </w:instrText>
      </w:r>
      <w:r w:rsidR="00A90625">
        <w:rPr>
          <w:rFonts w:ascii="Bookman Old Style" w:hAnsi="Bookman Old Style"/>
          <w:sz w:val="24"/>
          <w:szCs w:val="24"/>
          <w:lang w:val="es-ES_tradnl"/>
        </w:rPr>
        <w:instrText xml:space="preserve"> \* MERGEFORMAT </w:instrText>
      </w:r>
      <w:r w:rsidRPr="000F4D2C">
        <w:rPr>
          <w:rFonts w:ascii="Bookman Old Style" w:hAnsi="Bookman Old Style"/>
          <w:sz w:val="24"/>
          <w:szCs w:val="24"/>
          <w:lang w:val="es-ES_tradnl"/>
        </w:rPr>
      </w:r>
      <w:r w:rsidRPr="000F4D2C">
        <w:rPr>
          <w:rFonts w:ascii="Bookman Old Style" w:hAnsi="Bookman Old Style"/>
          <w:sz w:val="24"/>
          <w:szCs w:val="24"/>
          <w:lang w:val="es-ES_tradnl"/>
        </w:rPr>
        <w:fldChar w:fldCharType="separate"/>
      </w:r>
      <w:r w:rsidR="000D7E7B">
        <w:rPr>
          <w:rFonts w:ascii="Bookman Old Style" w:hAnsi="Bookman Old Style"/>
          <w:sz w:val="24"/>
          <w:szCs w:val="24"/>
          <w:lang w:val="es-ES_tradnl"/>
        </w:rPr>
        <w:t>3.6</w:t>
      </w:r>
      <w:r w:rsidRPr="000F4D2C">
        <w:rPr>
          <w:rFonts w:ascii="Bookman Old Style" w:hAnsi="Bookman Old Style"/>
          <w:sz w:val="24"/>
          <w:szCs w:val="24"/>
          <w:lang w:val="es-ES_tradnl"/>
        </w:rPr>
        <w:fldChar w:fldCharType="end"/>
      </w:r>
      <w:r w:rsidRPr="000F4D2C">
        <w:rPr>
          <w:rFonts w:ascii="Bookman Old Style" w:hAnsi="Bookman Old Style"/>
          <w:sz w:val="24"/>
          <w:szCs w:val="24"/>
          <w:lang w:val="es-ES_tradnl"/>
        </w:rPr>
        <w:t xml:space="preserve"> del </w:t>
      </w:r>
      <w:r w:rsidRPr="000F4D2C">
        <w:rPr>
          <w:rFonts w:ascii="Bookman Old Style" w:hAnsi="Bookman Old Style"/>
          <w:sz w:val="24"/>
          <w:szCs w:val="24"/>
          <w:lang w:val="es-ES_tradnl"/>
        </w:rPr>
        <w:fldChar w:fldCharType="begin"/>
      </w:r>
      <w:r w:rsidRPr="000F4D2C">
        <w:rPr>
          <w:rFonts w:ascii="Bookman Old Style" w:hAnsi="Bookman Old Style"/>
          <w:sz w:val="24"/>
          <w:szCs w:val="24"/>
          <w:lang w:val="es-ES_tradnl"/>
        </w:rPr>
        <w:instrText xml:space="preserve"> REF _Ref443495789 \h  \* MERGEFORMAT </w:instrText>
      </w:r>
      <w:r w:rsidRPr="000F4D2C">
        <w:rPr>
          <w:rFonts w:ascii="Bookman Old Style" w:hAnsi="Bookman Old Style"/>
          <w:sz w:val="24"/>
          <w:szCs w:val="24"/>
          <w:lang w:val="es-ES_tradnl"/>
        </w:rPr>
      </w:r>
      <w:r w:rsidRPr="000F4D2C">
        <w:rPr>
          <w:rFonts w:ascii="Bookman Old Style" w:hAnsi="Bookman Old Style"/>
          <w:sz w:val="24"/>
          <w:szCs w:val="24"/>
          <w:lang w:val="es-ES_tradnl"/>
        </w:rPr>
        <w:fldChar w:fldCharType="separate"/>
      </w:r>
      <w:r w:rsidR="000D7E7B" w:rsidRPr="000D7E7B">
        <w:rPr>
          <w:rFonts w:ascii="Bookman Old Style" w:hAnsi="Bookman Old Style"/>
          <w:sz w:val="24"/>
          <w:szCs w:val="24"/>
        </w:rPr>
        <w:t>Anexo 3</w:t>
      </w:r>
      <w:r w:rsidRPr="000F4D2C">
        <w:rPr>
          <w:rFonts w:ascii="Bookman Old Style" w:hAnsi="Bookman Old Style"/>
          <w:sz w:val="24"/>
          <w:szCs w:val="24"/>
          <w:lang w:val="es-ES_tradnl"/>
        </w:rPr>
        <w:fldChar w:fldCharType="end"/>
      </w:r>
      <w:r w:rsidRPr="000F4D2C">
        <w:rPr>
          <w:rFonts w:ascii="Bookman Old Style" w:hAnsi="Bookman Old Style"/>
          <w:sz w:val="24"/>
          <w:szCs w:val="24"/>
          <w:lang w:val="es-ES_tradnl"/>
        </w:rPr>
        <w:t xml:space="preserve"> de la presente Resolución, </w:t>
      </w:r>
      <w:r w:rsidRPr="000F4D2C">
        <w:rPr>
          <w:rFonts w:ascii="Bookman Old Style" w:hAnsi="Bookman Old Style"/>
          <w:sz w:val="24"/>
          <w:szCs w:val="24"/>
        </w:rPr>
        <w:t>sin perjuicio de las sanciones administrativas a que haya lugar,</w:t>
      </w:r>
      <w:r w:rsidRPr="000F4D2C">
        <w:rPr>
          <w:rFonts w:ascii="Bookman Old Style" w:hAnsi="Bookman Old Style"/>
          <w:sz w:val="24"/>
          <w:szCs w:val="24"/>
          <w:lang w:val="es-ES_tradnl"/>
        </w:rPr>
        <w:t xml:space="preserve"> el patrimonio autónomo ejecutará la garantía </w:t>
      </w:r>
      <w:r w:rsidRPr="000F4D2C">
        <w:rPr>
          <w:rFonts w:ascii="Bookman Old Style" w:hAnsi="Bookman Old Style"/>
          <w:sz w:val="24"/>
          <w:szCs w:val="24"/>
          <w:lang w:val="es-ES_tradnl"/>
        </w:rPr>
        <w:lastRenderedPageBreak/>
        <w:t xml:space="preserve">y transferirá los respectivos recursos conforme se indica en el </w:t>
      </w:r>
      <w:r w:rsidR="00257365">
        <w:rPr>
          <w:rFonts w:ascii="Bookman Old Style" w:hAnsi="Bookman Old Style"/>
          <w:sz w:val="24"/>
          <w:szCs w:val="24"/>
          <w:lang w:val="es-ES_tradnl"/>
        </w:rPr>
        <w:t>Artículo 31</w:t>
      </w:r>
      <w:r w:rsidRPr="000F4D2C">
        <w:rPr>
          <w:rFonts w:ascii="Bookman Old Style" w:hAnsi="Bookman Old Style"/>
          <w:sz w:val="24"/>
          <w:szCs w:val="24"/>
          <w:lang w:val="es-ES_tradnl"/>
        </w:rPr>
        <w:t xml:space="preserve"> de la presente Resolución. </w:t>
      </w:r>
      <w:bookmarkEnd w:id="28"/>
    </w:p>
    <w:p w14:paraId="2AD327B1" w14:textId="00ADA316" w:rsidR="00D974D9" w:rsidRDefault="00D974D9" w:rsidP="00D974D9">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bookmarkStart w:id="29" w:name="_Ref439268275"/>
      <w:r w:rsidRPr="00D974D9">
        <w:rPr>
          <w:rFonts w:ascii="Bookman Old Style" w:hAnsi="Bookman Old Style" w:cs="Arial"/>
          <w:color w:val="000000"/>
          <w:spacing w:val="-4"/>
          <w:sz w:val="24"/>
          <w:szCs w:val="24"/>
        </w:rPr>
        <w:t>Destino de los recursos provenientes de la ejecución de garantías de cumplimiento</w:t>
      </w:r>
      <w:r w:rsidR="00CF5EFC" w:rsidRPr="00F23AE8">
        <w:rPr>
          <w:rFonts w:ascii="Bookman Old Style" w:hAnsi="Bookman Old Style" w:cs="Arial"/>
          <w:color w:val="000000"/>
          <w:spacing w:val="-4"/>
          <w:sz w:val="24"/>
          <w:szCs w:val="24"/>
        </w:rPr>
        <w:t>.</w:t>
      </w:r>
      <w:bookmarkStart w:id="30" w:name="_Ref310103226"/>
      <w:r w:rsidR="00CF5EFC" w:rsidRPr="00F23AE8">
        <w:rPr>
          <w:rFonts w:ascii="Bookman Old Style" w:hAnsi="Bookman Old Style" w:cs="Arial"/>
          <w:b w:val="0"/>
          <w:color w:val="000000"/>
          <w:spacing w:val="-4"/>
          <w:sz w:val="24"/>
          <w:szCs w:val="24"/>
        </w:rPr>
        <w:t xml:space="preserve"> </w:t>
      </w:r>
      <w:r w:rsidRPr="000F4D2C">
        <w:rPr>
          <w:rFonts w:ascii="Bookman Old Style" w:hAnsi="Bookman Old Style" w:cs="Arial"/>
          <w:bCs/>
          <w:color w:val="000000"/>
          <w:spacing w:val="-4"/>
          <w:sz w:val="24"/>
          <w:szCs w:val="24"/>
          <w:u w:val="single"/>
        </w:rPr>
        <w:t>Cuando el patrimonio autónomo ejecute la garantía de cumplimiento conforme al contrato de fiducia descrito en el Anexo 2</w:t>
      </w:r>
      <w:r>
        <w:rPr>
          <w:rFonts w:ascii="Bookman Old Style" w:hAnsi="Bookman Old Style" w:cs="Arial"/>
          <w:bCs/>
          <w:color w:val="000000"/>
          <w:spacing w:val="-4"/>
          <w:sz w:val="24"/>
          <w:szCs w:val="24"/>
          <w:u w:val="single"/>
        </w:rPr>
        <w:t xml:space="preserve"> y lo establecido en el Anexo 3, ambos de la presente resolución</w:t>
      </w:r>
      <w:r w:rsidRPr="000F4D2C">
        <w:rPr>
          <w:rFonts w:ascii="Bookman Old Style" w:hAnsi="Bookman Old Style" w:cs="Arial"/>
          <w:bCs/>
          <w:color w:val="000000"/>
          <w:spacing w:val="-4"/>
          <w:sz w:val="24"/>
          <w:szCs w:val="24"/>
          <w:u w:val="single"/>
        </w:rPr>
        <w:t>, los respectivos recursos con sus rendimientos y descontados los respectivos costos de transacción, serán destinados al patrimonio autónomo que constituya el nuevo adjudicatario que la UPME seleccione para la terminación del proyecto.  Para efectos de la liquidación de la fiducia establecida en el Anexo 2 de la presente Resolución, el adjudicatario mantendrá sus obligaciones hasta tanto un nuevo adjudicatario que sea seleccionado por la UPME para la terminación de la ejecución del proyecto constituya el patrimonio autónomo establecido en el Artículo 27 de la presente resolución.</w:t>
      </w:r>
      <w:r w:rsidRPr="00D974D9">
        <w:rPr>
          <w:rFonts w:ascii="Bookman Old Style" w:hAnsi="Bookman Old Style" w:cs="Arial"/>
          <w:b w:val="0"/>
          <w:color w:val="000000"/>
          <w:spacing w:val="-4"/>
          <w:sz w:val="24"/>
          <w:szCs w:val="24"/>
        </w:rPr>
        <w:t xml:space="preserve"> </w:t>
      </w:r>
      <w:bookmarkEnd w:id="29"/>
      <w:bookmarkEnd w:id="30"/>
    </w:p>
    <w:p w14:paraId="6CF9B13B" w14:textId="77777777" w:rsidR="00CF5EFC" w:rsidRPr="003351B4" w:rsidRDefault="00CF5EFC" w:rsidP="000F4D2C">
      <w:pPr>
        <w:pStyle w:val="Estilo5"/>
        <w:keepNext w:val="0"/>
        <w:widowControl w:val="0"/>
        <w:numPr>
          <w:ilvl w:val="0"/>
          <w:numId w:val="0"/>
        </w:numPr>
        <w:tabs>
          <w:tab w:val="left" w:pos="0"/>
          <w:tab w:val="left" w:pos="1560"/>
        </w:tabs>
        <w:spacing w:before="0" w:after="0"/>
        <w:rPr>
          <w:rFonts w:ascii="Bookman Old Style" w:hAnsi="Bookman Old Style" w:cs="Arial"/>
          <w:b w:val="0"/>
          <w:color w:val="000000"/>
          <w:spacing w:val="-4"/>
          <w:sz w:val="24"/>
          <w:szCs w:val="24"/>
        </w:rPr>
      </w:pPr>
    </w:p>
    <w:p w14:paraId="421111F1" w14:textId="752D4714" w:rsidR="00CF5EFC" w:rsidRPr="000F4D2C" w:rsidRDefault="00CF5EFC" w:rsidP="00111780">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r w:rsidRPr="000F4D2C">
        <w:rPr>
          <w:rFonts w:ascii="Bookman Old Style" w:hAnsi="Bookman Old Style"/>
          <w:sz w:val="24"/>
          <w:szCs w:val="24"/>
        </w:rPr>
        <w:t>Efectos del incumplimiento.</w:t>
      </w:r>
      <w:r>
        <w:rPr>
          <w:rFonts w:ascii="Bookman Old Style" w:hAnsi="Bookman Old Style"/>
          <w:i/>
          <w:iCs/>
          <w:sz w:val="24"/>
          <w:szCs w:val="24"/>
        </w:rPr>
        <w:t xml:space="preserve"> </w:t>
      </w:r>
      <w:r w:rsidRPr="000F4D2C">
        <w:rPr>
          <w:rFonts w:ascii="Bookman Old Style" w:hAnsi="Bookman Old Style"/>
          <w:b w:val="0"/>
          <w:sz w:val="24"/>
          <w:szCs w:val="24"/>
        </w:rPr>
        <w:t xml:space="preserve">Cuando ocurra alguno de los eventos de incumplimiento definidos en el Anexo 3 de la presente Resolución, sin perjuicio de las sanciones administrativas a que haya lugar, el adjudicatario, o el transportador incumbente que ejecute en primera instancia proyectos </w:t>
      </w:r>
      <w:r w:rsidRPr="000F4D2C">
        <w:rPr>
          <w:rFonts w:ascii="Bookman Old Style" w:hAnsi="Bookman Old Style"/>
          <w:sz w:val="24"/>
          <w:szCs w:val="24"/>
        </w:rPr>
        <w:t>IPAT</w:t>
      </w:r>
      <w:r w:rsidRPr="000F4D2C">
        <w:rPr>
          <w:rFonts w:ascii="Bookman Old Style" w:hAnsi="Bookman Old Style"/>
          <w:b w:val="0"/>
          <w:sz w:val="24"/>
          <w:szCs w:val="24"/>
        </w:rPr>
        <w:t>, perderá el derecho a recibir el flujo de ingresos o remuneración por el proyecto</w:t>
      </w:r>
      <w:r w:rsidR="00111780">
        <w:rPr>
          <w:rFonts w:ascii="Bookman Old Style" w:hAnsi="Bookman Old Style"/>
          <w:b w:val="0"/>
          <w:sz w:val="24"/>
          <w:szCs w:val="24"/>
        </w:rPr>
        <w:t xml:space="preserve"> </w:t>
      </w:r>
      <w:r w:rsidR="00111780" w:rsidRPr="000F4D2C">
        <w:rPr>
          <w:rFonts w:ascii="Bookman Old Style" w:hAnsi="Bookman Old Style"/>
          <w:bCs/>
          <w:sz w:val="24"/>
          <w:szCs w:val="24"/>
          <w:u w:val="single"/>
        </w:rPr>
        <w:t>y a terminar la ejecución del proyecto</w:t>
      </w:r>
      <w:r w:rsidRPr="000F4D2C">
        <w:rPr>
          <w:rFonts w:ascii="Bookman Old Style" w:hAnsi="Bookman Old Style"/>
          <w:bCs/>
          <w:sz w:val="24"/>
          <w:szCs w:val="24"/>
          <w:u w:val="single"/>
        </w:rPr>
        <w:t>.</w:t>
      </w:r>
      <w:r w:rsidRPr="000F4D2C">
        <w:rPr>
          <w:rFonts w:ascii="Bookman Old Style" w:hAnsi="Bookman Old Style"/>
          <w:b w:val="0"/>
          <w:sz w:val="24"/>
          <w:szCs w:val="24"/>
        </w:rPr>
        <w:t xml:space="preserve"> Lo anterior aplica también en el caso de que se esté remunerando con ingreso regulado por operación parcial en fecha anticipada, de acuerdo con lo establecido en el Artículo 12 de la presente resolución.</w:t>
      </w:r>
    </w:p>
    <w:p w14:paraId="23EA2331" w14:textId="77777777" w:rsidR="00CF5EFC" w:rsidRPr="000F4D2C" w:rsidRDefault="00CF5EFC" w:rsidP="00111780">
      <w:pPr>
        <w:pStyle w:val="Ttulo1"/>
        <w:ind w:left="426"/>
        <w:jc w:val="both"/>
        <w:rPr>
          <w:rFonts w:ascii="Bookman Old Style" w:hAnsi="Bookman Old Style"/>
          <w:b w:val="0"/>
          <w:szCs w:val="24"/>
        </w:rPr>
      </w:pPr>
    </w:p>
    <w:p w14:paraId="6854E411" w14:textId="77777777" w:rsidR="00CF5EFC" w:rsidRPr="000F4D2C" w:rsidRDefault="00CF5EFC" w:rsidP="00111780">
      <w:pPr>
        <w:pStyle w:val="Ttulo1"/>
        <w:ind w:left="0"/>
        <w:jc w:val="both"/>
        <w:rPr>
          <w:rFonts w:ascii="Bookman Old Style" w:hAnsi="Bookman Old Style"/>
          <w:b w:val="0"/>
          <w:szCs w:val="24"/>
        </w:rPr>
      </w:pPr>
      <w:r w:rsidRPr="000F4D2C">
        <w:rPr>
          <w:rFonts w:ascii="Bookman Old Style" w:hAnsi="Bookman Old Style"/>
          <w:szCs w:val="24"/>
        </w:rPr>
        <w:t>Parágrafo 1</w:t>
      </w:r>
      <w:r w:rsidRPr="000F4D2C">
        <w:rPr>
          <w:rFonts w:ascii="Bookman Old Style" w:hAnsi="Bookman Old Style"/>
          <w:b w:val="0"/>
          <w:szCs w:val="24"/>
        </w:rPr>
        <w:t xml:space="preserve">. En el caso del incumplimiento </w:t>
      </w:r>
      <w:r w:rsidRPr="000F4D2C">
        <w:rPr>
          <w:rFonts w:ascii="Bookman Old Style" w:hAnsi="Bookman Old Style" w:cs="Arial"/>
          <w:b w:val="0"/>
          <w:color w:val="000000"/>
          <w:spacing w:val="-4"/>
          <w:szCs w:val="24"/>
        </w:rPr>
        <w:t>asociado a las situaciones establecidas en el Artículo 25 y el numeral 3.6 del anexo 3 de la presente resolución o aquellas que la modifiquen, adicionen o sustituyan</w:t>
      </w:r>
      <w:r w:rsidRPr="000F4D2C">
        <w:rPr>
          <w:rFonts w:ascii="Bookman Old Style" w:hAnsi="Bookman Old Style"/>
          <w:b w:val="0"/>
          <w:szCs w:val="24"/>
        </w:rPr>
        <w:t>, la CREG, con el propósito de establecer plenamente la existencia del incumplimiento, determinar sus consecuencias y garantizar el derecho de defensa de los afectados, agotará el trámite previsto en los Artículos 106 y ss. de la Ley 142 de 1994 y, en lo no previsto en ellos, aplicará las normas de la parte primera del Código de Procedimiento Administrativo y de lo Contencioso Administrativo que sean aplicables. En firme la decisión definitiva sobre la actuación, y determinada la existencia del incumplimiento, se comunicará la decisión al</w:t>
      </w:r>
      <w:r w:rsidRPr="000F4D2C">
        <w:rPr>
          <w:rFonts w:ascii="Bookman Old Style" w:hAnsi="Bookman Old Style"/>
          <w:b w:val="0"/>
          <w:color w:val="FF0000"/>
          <w:szCs w:val="24"/>
        </w:rPr>
        <w:t xml:space="preserve"> </w:t>
      </w:r>
      <w:r w:rsidRPr="000F4D2C">
        <w:rPr>
          <w:rFonts w:ascii="Bookman Old Style" w:hAnsi="Bookman Old Style"/>
          <w:b w:val="0"/>
          <w:szCs w:val="24"/>
        </w:rPr>
        <w:t xml:space="preserve">patrimonio autónomo para que proceda conforme con </w:t>
      </w:r>
      <w:r w:rsidRPr="000F4D2C">
        <w:rPr>
          <w:rFonts w:ascii="Bookman Old Style" w:hAnsi="Bookman Old Style" w:cs="Arial"/>
          <w:b w:val="0"/>
          <w:color w:val="000000"/>
          <w:spacing w:val="-4"/>
          <w:szCs w:val="24"/>
        </w:rPr>
        <w:t>lo establecido en el numeral 3.6 del Anexo 3 de la presente resolución o aquellas que la modifique, adicione o sustituya. Copia de esta decisión se informará a la UPME y al Ministerio de Minas y Energía.</w:t>
      </w:r>
    </w:p>
    <w:p w14:paraId="1BBE5524" w14:textId="77777777" w:rsidR="00CF5EFC" w:rsidRPr="000F4D2C" w:rsidRDefault="00CF5EFC" w:rsidP="000F4D2C">
      <w:pPr>
        <w:spacing w:after="0" w:line="240" w:lineRule="auto"/>
        <w:rPr>
          <w:sz w:val="24"/>
          <w:szCs w:val="24"/>
        </w:rPr>
      </w:pPr>
    </w:p>
    <w:p w14:paraId="57A149BE" w14:textId="7C3EBE41" w:rsidR="00111780" w:rsidRDefault="00CF5EFC" w:rsidP="000F4D2C">
      <w:pPr>
        <w:spacing w:after="0" w:line="240" w:lineRule="auto"/>
        <w:jc w:val="both"/>
        <w:rPr>
          <w:rFonts w:ascii="Bookman Old Style" w:hAnsi="Bookman Old Style"/>
          <w:sz w:val="24"/>
          <w:szCs w:val="24"/>
        </w:rPr>
      </w:pPr>
      <w:r w:rsidRPr="000F4D2C">
        <w:rPr>
          <w:rFonts w:ascii="Bookman Old Style" w:hAnsi="Bookman Old Style"/>
          <w:b/>
          <w:sz w:val="24"/>
          <w:szCs w:val="24"/>
        </w:rPr>
        <w:t>Parágrafo 2.</w:t>
      </w:r>
      <w:r w:rsidRPr="000F4D2C">
        <w:rPr>
          <w:rFonts w:ascii="Bookman Old Style" w:hAnsi="Bookman Old Style"/>
          <w:sz w:val="24"/>
          <w:szCs w:val="24"/>
        </w:rPr>
        <w:t xml:space="preserve"> Si el MME aprueba una solicitud del adjudicatario de no continuar con el proyecto por la ocurrencia de eventos irresistibles, imprevisibles y ajenos a su control, debidamente verificables, la CREG no iniciará la actuación administrativa o la dará por terminada, el adjudicatario perderá el derecho a cualquier ingreso regulado y el patrimonio autónomo se abstendrá de ejecutar la garantía de cumplimiento.</w:t>
      </w:r>
    </w:p>
    <w:p w14:paraId="0A4016DC" w14:textId="57A2F1A6" w:rsidR="00111780" w:rsidRDefault="00111780" w:rsidP="000F4D2C">
      <w:pPr>
        <w:spacing w:after="0" w:line="240" w:lineRule="auto"/>
        <w:jc w:val="both"/>
        <w:rPr>
          <w:rFonts w:ascii="Bookman Old Style" w:hAnsi="Bookman Old Style"/>
          <w:sz w:val="24"/>
          <w:szCs w:val="24"/>
        </w:rPr>
      </w:pPr>
    </w:p>
    <w:p w14:paraId="211D56A8" w14:textId="5BC35BB9" w:rsidR="00111780" w:rsidRPr="000F4D2C" w:rsidRDefault="00111780" w:rsidP="000F4D2C">
      <w:pPr>
        <w:spacing w:after="0" w:line="240" w:lineRule="auto"/>
        <w:jc w:val="both"/>
        <w:rPr>
          <w:rFonts w:ascii="Bookman Old Style" w:hAnsi="Bookman Old Style"/>
          <w:b/>
          <w:bCs/>
          <w:sz w:val="24"/>
          <w:szCs w:val="24"/>
          <w:u w:val="single"/>
        </w:rPr>
      </w:pPr>
      <w:r w:rsidRPr="000F4D2C">
        <w:rPr>
          <w:rFonts w:ascii="Bookman Old Style" w:hAnsi="Bookman Old Style"/>
          <w:b/>
          <w:bCs/>
          <w:sz w:val="24"/>
          <w:szCs w:val="24"/>
          <w:u w:val="single"/>
        </w:rPr>
        <w:lastRenderedPageBreak/>
        <w:t>Parágrafo 3. Dentro de los dos (2) meses siguientes a la declaración de incumplimiento por parte de la CREG, se abrirá un nuevo proceso de selección para efectos de terminar la ejecución del proyecto.</w:t>
      </w:r>
    </w:p>
    <w:p w14:paraId="5B92CA6F" w14:textId="77777777" w:rsidR="00CF5EFC" w:rsidRPr="003351B4" w:rsidRDefault="00CF5EFC" w:rsidP="000F4D2C">
      <w:pPr>
        <w:jc w:val="both"/>
      </w:pPr>
    </w:p>
    <w:p w14:paraId="296CE728" w14:textId="0E15C8C4" w:rsidR="00CF5EFC" w:rsidRPr="000F4D2C" w:rsidRDefault="00CF5EFC" w:rsidP="00CF5EFC">
      <w:pPr>
        <w:pStyle w:val="Prrafodelista"/>
        <w:numPr>
          <w:ilvl w:val="0"/>
          <w:numId w:val="10"/>
        </w:numPr>
        <w:jc w:val="both"/>
        <w:rPr>
          <w:rFonts w:ascii="Bookman Old Style" w:hAnsi="Bookman Old Style"/>
          <w:sz w:val="24"/>
          <w:szCs w:val="24"/>
        </w:rPr>
      </w:pPr>
      <w:r w:rsidRPr="000F4D2C">
        <w:rPr>
          <w:rFonts w:ascii="Bookman Old Style" w:hAnsi="Bookman Old Style"/>
          <w:b/>
          <w:sz w:val="24"/>
          <w:szCs w:val="24"/>
        </w:rPr>
        <w:t>Remuneración de los servicios adicionales.</w:t>
      </w:r>
      <w:r>
        <w:rPr>
          <w:rFonts w:ascii="Bookman Old Style" w:hAnsi="Bookman Old Style"/>
          <w:b/>
          <w:i/>
          <w:iCs/>
          <w:sz w:val="24"/>
          <w:szCs w:val="24"/>
        </w:rPr>
        <w:t xml:space="preserve"> </w:t>
      </w:r>
      <w:r w:rsidRPr="000F4D2C">
        <w:rPr>
          <w:rFonts w:ascii="Bookman Old Style" w:hAnsi="Bookman Old Style"/>
          <w:sz w:val="24"/>
          <w:szCs w:val="24"/>
        </w:rPr>
        <w:t xml:space="preserve">Los servicios adicionales que ofrezcan los transportadores incumbentes, en el caso de los proyectos </w:t>
      </w:r>
      <w:r w:rsidRPr="000F4D2C">
        <w:rPr>
          <w:rFonts w:ascii="Bookman Old Style" w:hAnsi="Bookman Old Style"/>
          <w:b/>
          <w:sz w:val="24"/>
          <w:szCs w:val="24"/>
        </w:rPr>
        <w:t>IPAT</w:t>
      </w:r>
      <w:r w:rsidRPr="000F4D2C">
        <w:rPr>
          <w:rFonts w:ascii="Bookman Old Style" w:hAnsi="Bookman Old Style"/>
          <w:sz w:val="24"/>
          <w:szCs w:val="24"/>
        </w:rPr>
        <w:t>, o los adjudicatarios, en el caso de proyectos adjudicados mediante procesos de selección, no tendrán un ingreso regulado y sólo podrán comercializarse después de que se hayan asignado la totalidad de los servicios adjudicados.</w:t>
      </w:r>
    </w:p>
    <w:p w14:paraId="51ECB369" w14:textId="77777777" w:rsidR="00CF5EFC" w:rsidRPr="000F4D2C" w:rsidRDefault="00CF5EFC" w:rsidP="00CF5EFC">
      <w:pPr>
        <w:pStyle w:val="Prrafodelista"/>
        <w:ind w:left="0"/>
        <w:jc w:val="both"/>
        <w:rPr>
          <w:rFonts w:ascii="Bookman Old Style" w:hAnsi="Bookman Old Style"/>
          <w:b/>
          <w:sz w:val="24"/>
          <w:szCs w:val="24"/>
        </w:rPr>
      </w:pPr>
    </w:p>
    <w:p w14:paraId="00ABA0BC" w14:textId="74C3B222" w:rsidR="00CF5EFC" w:rsidRDefault="00CF5EFC" w:rsidP="00CF5EFC">
      <w:pPr>
        <w:pStyle w:val="Prrafodelista"/>
        <w:ind w:left="0"/>
        <w:jc w:val="both"/>
        <w:rPr>
          <w:rFonts w:ascii="Bookman Old Style" w:hAnsi="Bookman Old Style"/>
          <w:sz w:val="24"/>
          <w:szCs w:val="24"/>
        </w:rPr>
      </w:pPr>
      <w:r w:rsidRPr="000F4D2C">
        <w:rPr>
          <w:rFonts w:ascii="Bookman Old Style" w:hAnsi="Bookman Old Style"/>
          <w:b/>
          <w:sz w:val="24"/>
          <w:szCs w:val="24"/>
        </w:rPr>
        <w:t>Parágrafo.</w:t>
      </w:r>
      <w:r w:rsidRPr="000F4D2C">
        <w:rPr>
          <w:rFonts w:ascii="Bookman Old Style" w:hAnsi="Bookman Old Style"/>
          <w:sz w:val="24"/>
          <w:szCs w:val="24"/>
        </w:rPr>
        <w:t xml:space="preserve"> El porcentaje del valor de los ingresos recibidos por los servicios adicionales que se asignará a los beneficiarios, según lo previsto en el Anexo 4 de la presente resolución, será determinado por la CREG en resolución aparte.</w:t>
      </w:r>
    </w:p>
    <w:p w14:paraId="5341FAC0" w14:textId="77777777" w:rsidR="00CF5EFC" w:rsidRPr="005D63D0" w:rsidRDefault="00CF5EFC" w:rsidP="00CF5EFC">
      <w:pPr>
        <w:pStyle w:val="Prrafodelista"/>
        <w:ind w:left="0"/>
        <w:jc w:val="both"/>
        <w:rPr>
          <w:rFonts w:ascii="Bookman Old Style" w:hAnsi="Bookman Old Style"/>
          <w:sz w:val="24"/>
          <w:szCs w:val="24"/>
        </w:rPr>
      </w:pPr>
    </w:p>
    <w:p w14:paraId="44C7E220" w14:textId="77777777" w:rsidR="00CF5EFC" w:rsidRPr="00F23AE8"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r>
        <w:rPr>
          <w:rFonts w:ascii="Bookman Old Style" w:hAnsi="Bookman Old Style" w:cs="Arial"/>
          <w:color w:val="000000"/>
          <w:spacing w:val="-4"/>
          <w:sz w:val="24"/>
          <w:szCs w:val="24"/>
        </w:rPr>
        <w:t xml:space="preserve">Vigencia. </w:t>
      </w:r>
      <w:r w:rsidRPr="00F23AE8">
        <w:rPr>
          <w:rFonts w:ascii="Bookman Old Style" w:hAnsi="Bookman Old Style" w:cs="Arial"/>
          <w:b w:val="0"/>
          <w:color w:val="000000"/>
          <w:spacing w:val="-4"/>
          <w:sz w:val="24"/>
          <w:szCs w:val="24"/>
        </w:rPr>
        <w:t xml:space="preserve">La presente resolución rige a partir de su publicación en el </w:t>
      </w:r>
      <w:r w:rsidRPr="00F23AE8">
        <w:rPr>
          <w:rFonts w:ascii="Bookman Old Style" w:hAnsi="Bookman Old Style" w:cs="Arial"/>
          <w:b w:val="0"/>
          <w:i/>
          <w:color w:val="000000"/>
          <w:spacing w:val="-4"/>
          <w:sz w:val="24"/>
          <w:szCs w:val="24"/>
        </w:rPr>
        <w:t>Diario Oficial</w:t>
      </w:r>
      <w:r w:rsidRPr="00F23AE8">
        <w:rPr>
          <w:rFonts w:ascii="Bookman Old Style" w:hAnsi="Bookman Old Style" w:cs="Arial"/>
          <w:b w:val="0"/>
          <w:color w:val="000000"/>
          <w:spacing w:val="-4"/>
          <w:sz w:val="24"/>
          <w:szCs w:val="24"/>
        </w:rPr>
        <w:t xml:space="preserve">. </w:t>
      </w:r>
    </w:p>
    <w:p w14:paraId="433AB918" w14:textId="77777777" w:rsidR="00CF5EFC" w:rsidRPr="00F23AE8" w:rsidRDefault="00CF5EFC" w:rsidP="00CF5EFC">
      <w:pPr>
        <w:pStyle w:val="Textoindependiente21"/>
        <w:widowControl w:val="0"/>
        <w:rPr>
          <w:rFonts w:cs="Arial"/>
          <w:color w:val="000000"/>
          <w:szCs w:val="24"/>
          <w:lang w:val="es-ES"/>
        </w:rPr>
      </w:pPr>
    </w:p>
    <w:p w14:paraId="3EDBB4E5" w14:textId="77777777" w:rsidR="00CF5EFC" w:rsidRPr="00F23AE8" w:rsidRDefault="00CF5EFC" w:rsidP="00CF5EFC">
      <w:pPr>
        <w:pStyle w:val="Estilo8"/>
        <w:widowControl w:val="0"/>
        <w:jc w:val="center"/>
        <w:rPr>
          <w:rFonts w:ascii="Bookman Old Style" w:hAnsi="Bookman Old Style"/>
          <w:b/>
          <w:color w:val="000000"/>
          <w:sz w:val="24"/>
          <w:szCs w:val="24"/>
        </w:rPr>
      </w:pPr>
    </w:p>
    <w:p w14:paraId="0DB7939B" w14:textId="77777777" w:rsidR="00CF5EFC" w:rsidRPr="00F23AE8" w:rsidRDefault="00CF5EFC" w:rsidP="00CF5EFC">
      <w:pPr>
        <w:pStyle w:val="Estilo8"/>
        <w:widowControl w:val="0"/>
        <w:jc w:val="center"/>
        <w:rPr>
          <w:rFonts w:ascii="Bookman Old Style" w:hAnsi="Bookman Old Style"/>
          <w:b/>
          <w:color w:val="000000"/>
          <w:sz w:val="24"/>
          <w:szCs w:val="24"/>
        </w:rPr>
      </w:pPr>
      <w:r w:rsidRPr="00F23AE8">
        <w:rPr>
          <w:rFonts w:ascii="Bookman Old Style" w:hAnsi="Bookman Old Style"/>
          <w:b/>
          <w:color w:val="000000"/>
          <w:sz w:val="24"/>
          <w:szCs w:val="24"/>
        </w:rPr>
        <w:t>PUBLÍQUESE Y CÚMPLASE</w:t>
      </w:r>
    </w:p>
    <w:p w14:paraId="56A64FB0" w14:textId="77777777" w:rsidR="00CF5EFC" w:rsidRPr="00F23AE8" w:rsidRDefault="00CF5EFC" w:rsidP="00CF5EFC">
      <w:pPr>
        <w:pStyle w:val="Textoindependiente"/>
        <w:rPr>
          <w:rFonts w:ascii="Bookman Old Style" w:hAnsi="Bookman Old Style"/>
          <w:color w:val="000000"/>
        </w:rPr>
      </w:pPr>
    </w:p>
    <w:p w14:paraId="454BFD7C" w14:textId="77DEC2BC" w:rsidR="00CF5EFC" w:rsidRPr="00F23AE8" w:rsidRDefault="00CF5EFC" w:rsidP="00CF5EFC">
      <w:pPr>
        <w:pStyle w:val="Estilo8"/>
        <w:widowControl w:val="0"/>
        <w:rPr>
          <w:rFonts w:ascii="Bookman Old Style" w:hAnsi="Bookman Old Style"/>
          <w:color w:val="000000"/>
          <w:sz w:val="24"/>
          <w:szCs w:val="24"/>
        </w:rPr>
      </w:pPr>
    </w:p>
    <w:p w14:paraId="0F486321" w14:textId="77777777" w:rsidR="00CF5EFC" w:rsidRPr="00F23AE8" w:rsidRDefault="00CF5EFC" w:rsidP="00CF5EFC">
      <w:pPr>
        <w:pStyle w:val="Textoindependiente"/>
        <w:rPr>
          <w:rFonts w:ascii="Bookman Old Style" w:hAnsi="Bookman Old Style"/>
          <w:color w:val="000000"/>
        </w:rPr>
      </w:pPr>
    </w:p>
    <w:p w14:paraId="670F9DBC" w14:textId="77777777" w:rsidR="00CF5EFC" w:rsidRDefault="00CF5EFC" w:rsidP="00CF5EFC">
      <w:pPr>
        <w:pStyle w:val="Textoindependiente"/>
        <w:rPr>
          <w:rFonts w:ascii="Bookman Old Style" w:hAnsi="Bookman Old Style"/>
          <w:color w:val="000000"/>
        </w:rPr>
      </w:pPr>
    </w:p>
    <w:p w14:paraId="5D2330B4" w14:textId="77777777" w:rsidR="00CF5EFC" w:rsidRDefault="00CF5EFC" w:rsidP="00CF5EFC">
      <w:pPr>
        <w:pStyle w:val="Textoindependiente"/>
        <w:rPr>
          <w:rFonts w:ascii="Bookman Old Style" w:hAnsi="Bookman Old Style"/>
          <w:color w:val="000000"/>
        </w:rPr>
      </w:pPr>
    </w:p>
    <w:p w14:paraId="2A104973" w14:textId="77777777" w:rsidR="00CF5EFC" w:rsidRDefault="00CF5EFC" w:rsidP="00CF5EFC">
      <w:pPr>
        <w:pStyle w:val="Textoindependiente"/>
        <w:rPr>
          <w:rFonts w:ascii="Bookman Old Style" w:hAnsi="Bookman Old Style"/>
          <w:color w:val="000000"/>
        </w:rPr>
      </w:pPr>
    </w:p>
    <w:tbl>
      <w:tblPr>
        <w:tblW w:w="9736" w:type="dxa"/>
        <w:tblInd w:w="35" w:type="dxa"/>
        <w:tblLayout w:type="fixed"/>
        <w:tblCellMar>
          <w:left w:w="35" w:type="dxa"/>
          <w:right w:w="35" w:type="dxa"/>
        </w:tblCellMar>
        <w:tblLook w:val="0000" w:firstRow="0" w:lastRow="0" w:firstColumn="0" w:lastColumn="0" w:noHBand="0" w:noVBand="0"/>
      </w:tblPr>
      <w:tblGrid>
        <w:gridCol w:w="5245"/>
        <w:gridCol w:w="4491"/>
      </w:tblGrid>
      <w:tr w:rsidR="00CF5EFC" w:rsidRPr="00F23AE8" w14:paraId="6C8A0622" w14:textId="77777777" w:rsidTr="001A39BF">
        <w:tc>
          <w:tcPr>
            <w:tcW w:w="5245" w:type="dxa"/>
            <w:tcBorders>
              <w:top w:val="nil"/>
              <w:left w:val="nil"/>
              <w:bottom w:val="nil"/>
              <w:right w:val="nil"/>
            </w:tcBorders>
            <w:vAlign w:val="center"/>
          </w:tcPr>
          <w:p w14:paraId="3B6CBEDA" w14:textId="77777777" w:rsidR="00CF5EFC" w:rsidRPr="00F23AE8" w:rsidRDefault="00CF5EFC" w:rsidP="000F4D2C">
            <w:pPr>
              <w:rPr>
                <w:rFonts w:ascii="Bookman Old Style" w:hAnsi="Bookman Old Style" w:cs="Arial"/>
                <w:color w:val="000000"/>
                <w:spacing w:val="-3"/>
              </w:rPr>
            </w:pPr>
          </w:p>
        </w:tc>
        <w:tc>
          <w:tcPr>
            <w:tcW w:w="4491" w:type="dxa"/>
            <w:tcBorders>
              <w:top w:val="nil"/>
              <w:left w:val="nil"/>
              <w:bottom w:val="nil"/>
              <w:right w:val="nil"/>
            </w:tcBorders>
            <w:vAlign w:val="center"/>
          </w:tcPr>
          <w:p w14:paraId="55E27AB3" w14:textId="77777777" w:rsidR="00CF5EFC" w:rsidRPr="00F23AE8" w:rsidRDefault="00CF5EFC" w:rsidP="001A39BF">
            <w:pPr>
              <w:tabs>
                <w:tab w:val="left" w:pos="-720"/>
              </w:tabs>
              <w:suppressAutoHyphens/>
              <w:jc w:val="center"/>
              <w:rPr>
                <w:rFonts w:ascii="Bookman Old Style" w:hAnsi="Bookman Old Style" w:cs="Arial"/>
                <w:color w:val="000000"/>
                <w:spacing w:val="-3"/>
              </w:rPr>
            </w:pPr>
          </w:p>
        </w:tc>
      </w:tr>
    </w:tbl>
    <w:p w14:paraId="061A2FC8" w14:textId="77777777" w:rsidR="00CF5EFC" w:rsidRPr="00F23AE8" w:rsidRDefault="00CF5EFC" w:rsidP="00CF5EFC">
      <w:pPr>
        <w:rPr>
          <w:rFonts w:ascii="Bookman Old Style" w:hAnsi="Bookman Old Style"/>
          <w:bCs/>
        </w:rPr>
      </w:pPr>
      <w:r w:rsidRPr="00F23AE8">
        <w:rPr>
          <w:rFonts w:ascii="Bookman Old Style" w:hAnsi="Bookman Old Style"/>
          <w:bCs/>
        </w:rPr>
        <w:br w:type="page"/>
      </w:r>
    </w:p>
    <w:p w14:paraId="4E80B89F" w14:textId="0EB4205E" w:rsidR="00CF5EFC" w:rsidRPr="000F4D2C" w:rsidRDefault="00CF5EFC" w:rsidP="000F4D2C">
      <w:pPr>
        <w:jc w:val="center"/>
        <w:rPr>
          <w:rFonts w:ascii="Bookman Old Style" w:hAnsi="Bookman Old Style" w:cs="Arial"/>
          <w:color w:val="000000"/>
          <w:sz w:val="24"/>
          <w:szCs w:val="24"/>
        </w:rPr>
      </w:pPr>
      <w:bookmarkStart w:id="31" w:name="_Ref443403110"/>
      <w:r w:rsidRPr="00F23AE8">
        <w:rPr>
          <w:rFonts w:ascii="Bookman Old Style" w:hAnsi="Bookman Old Style"/>
          <w:b/>
        </w:rPr>
        <w:lastRenderedPageBreak/>
        <w:t>A</w:t>
      </w:r>
      <w:r w:rsidRPr="000F4D2C">
        <w:rPr>
          <w:rFonts w:ascii="Bookman Old Style" w:hAnsi="Bookman Old Style"/>
          <w:b/>
          <w:sz w:val="24"/>
          <w:szCs w:val="24"/>
        </w:rPr>
        <w:t xml:space="preserve">nexo </w:t>
      </w:r>
      <w:r w:rsidRPr="000F4D2C">
        <w:rPr>
          <w:rFonts w:ascii="Bookman Old Style" w:hAnsi="Bookman Old Style"/>
          <w:b/>
          <w:sz w:val="24"/>
          <w:szCs w:val="24"/>
        </w:rPr>
        <w:fldChar w:fldCharType="begin"/>
      </w:r>
      <w:r w:rsidRPr="000F4D2C">
        <w:rPr>
          <w:rFonts w:ascii="Bookman Old Style" w:hAnsi="Bookman Old Style"/>
          <w:b/>
          <w:sz w:val="24"/>
          <w:szCs w:val="24"/>
        </w:rPr>
        <w:instrText xml:space="preserve"> SEQ Anexo \* ARABIC </w:instrText>
      </w:r>
      <w:r w:rsidRPr="000F4D2C">
        <w:rPr>
          <w:rFonts w:ascii="Bookman Old Style" w:hAnsi="Bookman Old Style"/>
          <w:b/>
          <w:sz w:val="24"/>
          <w:szCs w:val="24"/>
        </w:rPr>
        <w:fldChar w:fldCharType="separate"/>
      </w:r>
      <w:r w:rsidR="000D7E7B">
        <w:rPr>
          <w:rFonts w:ascii="Bookman Old Style" w:hAnsi="Bookman Old Style"/>
          <w:b/>
          <w:noProof/>
          <w:sz w:val="24"/>
          <w:szCs w:val="24"/>
        </w:rPr>
        <w:t>1</w:t>
      </w:r>
      <w:r w:rsidRPr="000F4D2C">
        <w:rPr>
          <w:rFonts w:ascii="Bookman Old Style" w:hAnsi="Bookman Old Style"/>
          <w:b/>
          <w:sz w:val="24"/>
          <w:szCs w:val="24"/>
        </w:rPr>
        <w:fldChar w:fldCharType="end"/>
      </w:r>
      <w:bookmarkEnd w:id="31"/>
      <w:r w:rsidRPr="000F4D2C">
        <w:rPr>
          <w:rFonts w:ascii="Bookman Old Style" w:hAnsi="Bookman Old Style"/>
          <w:b/>
          <w:sz w:val="24"/>
          <w:szCs w:val="24"/>
        </w:rPr>
        <w:t xml:space="preserve">. Criterios a tener en cuenta en los </w:t>
      </w:r>
      <w:r w:rsidRPr="000F4D2C">
        <w:rPr>
          <w:rFonts w:ascii="Bookman Old Style" w:hAnsi="Bookman Old Style" w:cs="Arial"/>
          <w:b/>
          <w:color w:val="000000"/>
          <w:sz w:val="24"/>
          <w:szCs w:val="24"/>
        </w:rPr>
        <w:t>procesos de selección</w:t>
      </w:r>
    </w:p>
    <w:p w14:paraId="5F37D225" w14:textId="2CAC3B07" w:rsidR="00CF5EFC" w:rsidRPr="000F4D2C" w:rsidRDefault="00CF5EFC" w:rsidP="00CF5EFC">
      <w:pPr>
        <w:autoSpaceDE w:val="0"/>
        <w:autoSpaceDN w:val="0"/>
        <w:adjustRightInd w:val="0"/>
        <w:jc w:val="both"/>
        <w:rPr>
          <w:rFonts w:ascii="Bookman Old Style" w:hAnsi="Bookman Old Style" w:cs="Verdana"/>
          <w:color w:val="000000"/>
          <w:sz w:val="24"/>
          <w:szCs w:val="24"/>
          <w:lang w:eastAsia="es-CO"/>
        </w:rPr>
      </w:pPr>
      <w:r w:rsidRPr="000F4D2C">
        <w:rPr>
          <w:rFonts w:ascii="Bookman Old Style" w:hAnsi="Bookman Old Style" w:cs="Verdana"/>
          <w:color w:val="000000"/>
          <w:sz w:val="24"/>
          <w:szCs w:val="24"/>
          <w:lang w:eastAsia="es-CO"/>
        </w:rPr>
        <w:t xml:space="preserve">Para el desarrollo de los procesos de selección se deberán tener presente los siguientes criterios: </w:t>
      </w:r>
    </w:p>
    <w:p w14:paraId="5E73E3F8" w14:textId="1EE693C1" w:rsidR="00F867DB" w:rsidRPr="00F23AE8" w:rsidRDefault="00CF5EFC" w:rsidP="00CF5EFC">
      <w:pPr>
        <w:pStyle w:val="Prrafodelista"/>
        <w:numPr>
          <w:ilvl w:val="5"/>
          <w:numId w:val="10"/>
        </w:numPr>
        <w:tabs>
          <w:tab w:val="left" w:pos="284"/>
        </w:tabs>
        <w:autoSpaceDE w:val="0"/>
        <w:autoSpaceDN w:val="0"/>
        <w:adjustRightInd w:val="0"/>
        <w:ind w:left="284" w:hanging="284"/>
        <w:jc w:val="both"/>
        <w:rPr>
          <w:rFonts w:ascii="Bookman Old Style" w:hAnsi="Bookman Old Style" w:cs="Verdana"/>
          <w:color w:val="000000"/>
          <w:sz w:val="24"/>
          <w:szCs w:val="24"/>
          <w:lang w:eastAsia="es-CO"/>
        </w:rPr>
      </w:pPr>
      <w:r w:rsidRPr="00F23AE8">
        <w:rPr>
          <w:rFonts w:ascii="Bookman Old Style" w:hAnsi="Bookman Old Style" w:cs="Verdana"/>
          <w:color w:val="000000"/>
          <w:sz w:val="24"/>
          <w:szCs w:val="24"/>
          <w:lang w:eastAsia="es-CO"/>
        </w:rPr>
        <w:t>Requisitos objetivos que permitan la participación plural de proponentes dentro del proceso de selección.</w:t>
      </w:r>
    </w:p>
    <w:p w14:paraId="56A180C9" w14:textId="77777777" w:rsidR="00CF5EFC" w:rsidRPr="000F4D2C" w:rsidRDefault="00CF5EFC" w:rsidP="000F4D2C">
      <w:pPr>
        <w:pStyle w:val="Prrafodelista"/>
        <w:tabs>
          <w:tab w:val="left" w:pos="284"/>
        </w:tabs>
        <w:autoSpaceDE w:val="0"/>
        <w:autoSpaceDN w:val="0"/>
        <w:adjustRightInd w:val="0"/>
        <w:ind w:left="284"/>
        <w:jc w:val="both"/>
        <w:rPr>
          <w:rFonts w:ascii="Bookman Old Style" w:hAnsi="Bookman Old Style" w:cs="Verdana"/>
          <w:color w:val="000000"/>
          <w:sz w:val="24"/>
          <w:szCs w:val="24"/>
          <w:lang w:eastAsia="es-CO"/>
        </w:rPr>
      </w:pPr>
    </w:p>
    <w:p w14:paraId="333DC564" w14:textId="42D5D616" w:rsidR="00F867DB" w:rsidRPr="00F23AE8" w:rsidRDefault="00CF5EFC" w:rsidP="00CF5EFC">
      <w:pPr>
        <w:pStyle w:val="Prrafodelista"/>
        <w:numPr>
          <w:ilvl w:val="5"/>
          <w:numId w:val="10"/>
        </w:numPr>
        <w:tabs>
          <w:tab w:val="left" w:pos="284"/>
        </w:tabs>
        <w:autoSpaceDE w:val="0"/>
        <w:autoSpaceDN w:val="0"/>
        <w:adjustRightInd w:val="0"/>
        <w:ind w:left="284" w:hanging="284"/>
        <w:jc w:val="both"/>
        <w:rPr>
          <w:rFonts w:ascii="Bookman Old Style" w:hAnsi="Bookman Old Style" w:cs="Verdana"/>
          <w:color w:val="000000"/>
          <w:sz w:val="24"/>
          <w:szCs w:val="24"/>
          <w:lang w:eastAsia="es-CO"/>
        </w:rPr>
      </w:pPr>
      <w:r w:rsidRPr="00F23AE8">
        <w:rPr>
          <w:rFonts w:ascii="Bookman Old Style" w:hAnsi="Bookman Old Style" w:cs="Verdana"/>
          <w:color w:val="000000"/>
          <w:sz w:val="24"/>
          <w:szCs w:val="24"/>
          <w:lang w:eastAsia="es-CO"/>
        </w:rPr>
        <w:t xml:space="preserve">Reglas objetivas, justas, claras y completas que permitan la confección de ofrecimientos de la misma índole, aseguren una escogencia objetiva y eviten las declaratorias de desierta del proceso de selección. </w:t>
      </w:r>
    </w:p>
    <w:p w14:paraId="1F372FEF" w14:textId="77777777" w:rsidR="00CF5EFC" w:rsidRPr="000F4D2C" w:rsidRDefault="00CF5EFC" w:rsidP="000F4D2C">
      <w:pPr>
        <w:pStyle w:val="Prrafodelista"/>
        <w:tabs>
          <w:tab w:val="left" w:pos="284"/>
        </w:tabs>
        <w:autoSpaceDE w:val="0"/>
        <w:autoSpaceDN w:val="0"/>
        <w:adjustRightInd w:val="0"/>
        <w:ind w:left="284"/>
        <w:jc w:val="both"/>
        <w:rPr>
          <w:rFonts w:ascii="Bookman Old Style" w:hAnsi="Bookman Old Style" w:cs="Verdana"/>
          <w:color w:val="000000"/>
          <w:sz w:val="24"/>
          <w:szCs w:val="24"/>
          <w:lang w:eastAsia="es-CO"/>
        </w:rPr>
      </w:pPr>
    </w:p>
    <w:p w14:paraId="59F4A3C8" w14:textId="7A146345" w:rsidR="00F867DB" w:rsidRPr="00F23AE8" w:rsidRDefault="00CF5EFC" w:rsidP="00CF5EFC">
      <w:pPr>
        <w:pStyle w:val="Prrafodelista"/>
        <w:numPr>
          <w:ilvl w:val="5"/>
          <w:numId w:val="10"/>
        </w:numPr>
        <w:tabs>
          <w:tab w:val="left" w:pos="284"/>
        </w:tabs>
        <w:autoSpaceDE w:val="0"/>
        <w:autoSpaceDN w:val="0"/>
        <w:adjustRightInd w:val="0"/>
        <w:ind w:left="284" w:hanging="284"/>
        <w:jc w:val="both"/>
        <w:rPr>
          <w:rFonts w:ascii="Bookman Old Style" w:hAnsi="Bookman Old Style" w:cs="Verdana"/>
          <w:color w:val="000000"/>
          <w:sz w:val="24"/>
          <w:szCs w:val="24"/>
          <w:lang w:eastAsia="es-CO"/>
        </w:rPr>
      </w:pPr>
      <w:r w:rsidRPr="00F23AE8">
        <w:rPr>
          <w:rFonts w:ascii="Bookman Old Style" w:hAnsi="Bookman Old Style" w:cs="Verdana"/>
          <w:color w:val="000000"/>
          <w:sz w:val="24"/>
          <w:szCs w:val="24"/>
          <w:lang w:eastAsia="es-CO"/>
        </w:rPr>
        <w:t>Transparencia: entendida como la definición previa y aplicación de reglas explícitas y públicas para las empresas interesadas en participar en el proceso de selección.</w:t>
      </w:r>
    </w:p>
    <w:p w14:paraId="0495C5C3" w14:textId="77777777" w:rsidR="00CF5EFC" w:rsidRPr="000F4D2C" w:rsidRDefault="00CF5EFC" w:rsidP="000F4D2C">
      <w:pPr>
        <w:pStyle w:val="Prrafodelista"/>
        <w:tabs>
          <w:tab w:val="left" w:pos="284"/>
        </w:tabs>
        <w:autoSpaceDE w:val="0"/>
        <w:autoSpaceDN w:val="0"/>
        <w:adjustRightInd w:val="0"/>
        <w:ind w:left="284"/>
        <w:jc w:val="both"/>
        <w:rPr>
          <w:rFonts w:ascii="Bookman Old Style" w:hAnsi="Bookman Old Style" w:cs="Verdana"/>
          <w:color w:val="000000"/>
          <w:sz w:val="24"/>
          <w:szCs w:val="24"/>
          <w:lang w:eastAsia="es-CO"/>
        </w:rPr>
      </w:pPr>
    </w:p>
    <w:p w14:paraId="17EAD6C5" w14:textId="13294C9B" w:rsidR="00F867DB" w:rsidRPr="00F23AE8" w:rsidRDefault="00CF5EFC" w:rsidP="00CF5EFC">
      <w:pPr>
        <w:pStyle w:val="Prrafodelista"/>
        <w:numPr>
          <w:ilvl w:val="5"/>
          <w:numId w:val="10"/>
        </w:numPr>
        <w:tabs>
          <w:tab w:val="left" w:pos="284"/>
        </w:tabs>
        <w:autoSpaceDE w:val="0"/>
        <w:autoSpaceDN w:val="0"/>
        <w:adjustRightInd w:val="0"/>
        <w:ind w:left="284" w:hanging="284"/>
        <w:jc w:val="both"/>
        <w:rPr>
          <w:rFonts w:ascii="Bookman Old Style" w:hAnsi="Bookman Old Style" w:cs="Verdana"/>
          <w:color w:val="000000"/>
          <w:sz w:val="24"/>
          <w:szCs w:val="24"/>
          <w:lang w:eastAsia="es-CO"/>
        </w:rPr>
      </w:pPr>
      <w:r w:rsidRPr="00F23AE8">
        <w:rPr>
          <w:rFonts w:ascii="Bookman Old Style" w:hAnsi="Bookman Old Style" w:cs="Verdana"/>
          <w:color w:val="000000"/>
          <w:sz w:val="24"/>
          <w:szCs w:val="24"/>
          <w:lang w:eastAsia="es-CO"/>
        </w:rPr>
        <w:t>Eficiencia económica: entendida como la escogencia de la propuesta de mínimo costo.</w:t>
      </w:r>
    </w:p>
    <w:p w14:paraId="5B97C4C0" w14:textId="77777777" w:rsidR="00CF5EFC" w:rsidRPr="000F4D2C" w:rsidRDefault="00CF5EFC" w:rsidP="000F4D2C">
      <w:pPr>
        <w:pStyle w:val="Prrafodelista"/>
        <w:tabs>
          <w:tab w:val="left" w:pos="284"/>
        </w:tabs>
        <w:autoSpaceDE w:val="0"/>
        <w:autoSpaceDN w:val="0"/>
        <w:adjustRightInd w:val="0"/>
        <w:ind w:left="284"/>
        <w:jc w:val="both"/>
        <w:rPr>
          <w:rFonts w:ascii="Bookman Old Style" w:hAnsi="Bookman Old Style" w:cs="Verdana"/>
          <w:color w:val="000000"/>
          <w:sz w:val="24"/>
          <w:szCs w:val="24"/>
          <w:lang w:eastAsia="es-CO"/>
        </w:rPr>
      </w:pPr>
    </w:p>
    <w:p w14:paraId="59B8FF21" w14:textId="09150131" w:rsidR="00F867DB" w:rsidRPr="00F23AE8" w:rsidRDefault="00CF5EFC" w:rsidP="00CF5EFC">
      <w:pPr>
        <w:pStyle w:val="Prrafodelista"/>
        <w:numPr>
          <w:ilvl w:val="5"/>
          <w:numId w:val="10"/>
        </w:numPr>
        <w:tabs>
          <w:tab w:val="left" w:pos="284"/>
        </w:tabs>
        <w:autoSpaceDE w:val="0"/>
        <w:autoSpaceDN w:val="0"/>
        <w:adjustRightInd w:val="0"/>
        <w:ind w:left="284" w:hanging="284"/>
        <w:jc w:val="both"/>
        <w:rPr>
          <w:rFonts w:ascii="Bookman Old Style" w:hAnsi="Bookman Old Style" w:cs="Verdana"/>
          <w:color w:val="000000"/>
          <w:sz w:val="24"/>
          <w:szCs w:val="24"/>
          <w:lang w:eastAsia="es-CO"/>
        </w:rPr>
      </w:pPr>
      <w:r w:rsidRPr="00F23AE8">
        <w:rPr>
          <w:rFonts w:ascii="Bookman Old Style" w:hAnsi="Bookman Old Style" w:cs="Verdana"/>
          <w:color w:val="000000"/>
          <w:sz w:val="24"/>
          <w:szCs w:val="24"/>
          <w:lang w:eastAsia="es-CO"/>
        </w:rPr>
        <w:t>Información relevante: se entenderá por información relevante la siguiente relacionada con las distintas actividades del proceso de selección:</w:t>
      </w:r>
    </w:p>
    <w:p w14:paraId="58576963" w14:textId="77777777" w:rsidR="00CF5EFC" w:rsidRPr="000F4D2C" w:rsidRDefault="00CF5EFC" w:rsidP="000F4D2C">
      <w:pPr>
        <w:pStyle w:val="Prrafodelista"/>
        <w:tabs>
          <w:tab w:val="left" w:pos="284"/>
        </w:tabs>
        <w:autoSpaceDE w:val="0"/>
        <w:autoSpaceDN w:val="0"/>
        <w:adjustRightInd w:val="0"/>
        <w:ind w:left="284"/>
        <w:jc w:val="both"/>
        <w:rPr>
          <w:rFonts w:ascii="Bookman Old Style" w:hAnsi="Bookman Old Style" w:cs="Verdana"/>
          <w:color w:val="000000"/>
          <w:sz w:val="24"/>
          <w:szCs w:val="24"/>
          <w:lang w:eastAsia="es-CO"/>
        </w:rPr>
      </w:pPr>
    </w:p>
    <w:p w14:paraId="4ED5F7ED" w14:textId="71A8C4FE" w:rsidR="00CF5EFC" w:rsidRPr="000F4D2C" w:rsidRDefault="00CF5EFC" w:rsidP="000F4D2C">
      <w:pPr>
        <w:autoSpaceDE w:val="0"/>
        <w:autoSpaceDN w:val="0"/>
        <w:adjustRightInd w:val="0"/>
        <w:ind w:left="567" w:hanging="283"/>
        <w:jc w:val="both"/>
        <w:rPr>
          <w:rFonts w:ascii="Bookman Old Style" w:hAnsi="Bookman Old Style" w:cs="Verdana"/>
          <w:color w:val="000000"/>
          <w:sz w:val="24"/>
          <w:szCs w:val="24"/>
          <w:lang w:eastAsia="es-CO"/>
        </w:rPr>
      </w:pPr>
      <w:r w:rsidRPr="000F4D2C">
        <w:rPr>
          <w:rFonts w:ascii="Bookman Old Style" w:hAnsi="Bookman Old Style" w:cs="Symbol"/>
          <w:color w:val="000000"/>
          <w:sz w:val="24"/>
          <w:szCs w:val="24"/>
          <w:lang w:eastAsia="es-CO"/>
        </w:rPr>
        <w:t>·</w:t>
      </w:r>
      <w:r w:rsidRPr="000F4D2C">
        <w:rPr>
          <w:rFonts w:ascii="Bookman Old Style" w:hAnsi="Bookman Old Style" w:cs="Symbol"/>
          <w:color w:val="000000"/>
          <w:sz w:val="24"/>
          <w:szCs w:val="24"/>
          <w:lang w:eastAsia="es-CO"/>
        </w:rPr>
        <w:tab/>
      </w:r>
      <w:r w:rsidRPr="000F4D2C">
        <w:rPr>
          <w:rFonts w:ascii="Bookman Old Style" w:hAnsi="Bookman Old Style" w:cs="Verdana"/>
          <w:color w:val="000000"/>
          <w:sz w:val="24"/>
          <w:szCs w:val="24"/>
          <w:lang w:eastAsia="es-CO"/>
        </w:rPr>
        <w:t>Documentos que evidencien la publicidad de las reglas del proceso de selección y de las eventuales modificaciones a las mismas.</w:t>
      </w:r>
    </w:p>
    <w:p w14:paraId="5157906F" w14:textId="1AE7E891" w:rsidR="00CF5EFC" w:rsidRPr="000F4D2C" w:rsidRDefault="00CF5EFC" w:rsidP="000F4D2C">
      <w:pPr>
        <w:autoSpaceDE w:val="0"/>
        <w:autoSpaceDN w:val="0"/>
        <w:adjustRightInd w:val="0"/>
        <w:ind w:left="567" w:hanging="283"/>
        <w:jc w:val="both"/>
        <w:rPr>
          <w:rFonts w:ascii="Bookman Old Style" w:hAnsi="Bookman Old Style" w:cs="Verdana"/>
          <w:color w:val="000000"/>
          <w:sz w:val="24"/>
          <w:szCs w:val="24"/>
          <w:lang w:eastAsia="es-CO"/>
        </w:rPr>
      </w:pPr>
      <w:r w:rsidRPr="000F4D2C">
        <w:rPr>
          <w:rFonts w:ascii="Bookman Old Style" w:hAnsi="Bookman Old Style" w:cs="Symbol"/>
          <w:color w:val="000000"/>
          <w:sz w:val="24"/>
          <w:szCs w:val="24"/>
          <w:lang w:eastAsia="es-CO"/>
        </w:rPr>
        <w:t>·</w:t>
      </w:r>
      <w:r w:rsidRPr="000F4D2C">
        <w:rPr>
          <w:rFonts w:ascii="Bookman Old Style" w:hAnsi="Bookman Old Style" w:cs="Symbol"/>
          <w:color w:val="000000"/>
          <w:sz w:val="24"/>
          <w:szCs w:val="24"/>
          <w:lang w:eastAsia="es-CO"/>
        </w:rPr>
        <w:tab/>
      </w:r>
      <w:r w:rsidRPr="000F4D2C">
        <w:rPr>
          <w:rFonts w:ascii="Bookman Old Style" w:hAnsi="Bookman Old Style" w:cs="Verdana"/>
          <w:color w:val="000000"/>
          <w:sz w:val="24"/>
          <w:szCs w:val="24"/>
          <w:lang w:eastAsia="es-CO"/>
        </w:rPr>
        <w:t>Descripción de las reglas utilizadas en el proceso de selección que evidencie que la escogencia del adjudicatario se basa en criterios de mínimo costo.</w:t>
      </w:r>
    </w:p>
    <w:p w14:paraId="4A3E0D81" w14:textId="62B41C6D" w:rsidR="00CF5EFC" w:rsidRPr="000F4D2C" w:rsidRDefault="00CF5EFC" w:rsidP="000F4D2C">
      <w:pPr>
        <w:autoSpaceDE w:val="0"/>
        <w:autoSpaceDN w:val="0"/>
        <w:adjustRightInd w:val="0"/>
        <w:ind w:left="567" w:hanging="283"/>
        <w:jc w:val="both"/>
        <w:rPr>
          <w:rFonts w:ascii="Bookman Old Style" w:hAnsi="Bookman Old Style" w:cs="Verdana"/>
          <w:color w:val="000000"/>
          <w:sz w:val="24"/>
          <w:szCs w:val="24"/>
          <w:lang w:eastAsia="es-CO"/>
        </w:rPr>
      </w:pPr>
      <w:r w:rsidRPr="000F4D2C">
        <w:rPr>
          <w:rFonts w:ascii="Bookman Old Style" w:hAnsi="Bookman Old Style" w:cs="Symbol"/>
          <w:color w:val="000000"/>
          <w:sz w:val="24"/>
          <w:szCs w:val="24"/>
          <w:lang w:eastAsia="es-CO"/>
        </w:rPr>
        <w:t>·</w:t>
      </w:r>
      <w:r w:rsidRPr="000F4D2C">
        <w:rPr>
          <w:rFonts w:ascii="Bookman Old Style" w:hAnsi="Bookman Old Style" w:cs="Symbol"/>
          <w:color w:val="000000"/>
          <w:sz w:val="24"/>
          <w:szCs w:val="24"/>
          <w:lang w:eastAsia="es-CO"/>
        </w:rPr>
        <w:tab/>
      </w:r>
      <w:r w:rsidRPr="000F4D2C">
        <w:rPr>
          <w:rFonts w:ascii="Bookman Old Style" w:hAnsi="Bookman Old Style" w:cs="Verdana"/>
          <w:color w:val="000000"/>
          <w:sz w:val="24"/>
          <w:szCs w:val="24"/>
          <w:lang w:eastAsia="es-CO"/>
        </w:rPr>
        <w:t>Descripción de los procedimientos de aplicación de las reglas de escogencia del adjudicatario.</w:t>
      </w:r>
    </w:p>
    <w:p w14:paraId="08A4C596" w14:textId="54EB2EFC" w:rsidR="00CF5EFC" w:rsidRPr="000F4D2C" w:rsidRDefault="00CF5EFC" w:rsidP="000F4D2C">
      <w:pPr>
        <w:autoSpaceDE w:val="0"/>
        <w:autoSpaceDN w:val="0"/>
        <w:adjustRightInd w:val="0"/>
        <w:ind w:left="567" w:hanging="283"/>
        <w:jc w:val="both"/>
        <w:rPr>
          <w:rFonts w:ascii="Bookman Old Style" w:hAnsi="Bookman Old Style" w:cs="Verdana"/>
          <w:color w:val="000000"/>
          <w:sz w:val="24"/>
          <w:szCs w:val="24"/>
          <w:lang w:eastAsia="es-CO"/>
        </w:rPr>
      </w:pPr>
      <w:r w:rsidRPr="000F4D2C">
        <w:rPr>
          <w:rFonts w:ascii="Bookman Old Style" w:hAnsi="Bookman Old Style" w:cs="Symbol"/>
          <w:color w:val="000000"/>
          <w:sz w:val="24"/>
          <w:szCs w:val="24"/>
          <w:lang w:eastAsia="es-CO"/>
        </w:rPr>
        <w:t>·</w:t>
      </w:r>
      <w:r w:rsidRPr="000F4D2C">
        <w:rPr>
          <w:rFonts w:ascii="Bookman Old Style" w:hAnsi="Bookman Old Style" w:cs="Symbol"/>
          <w:color w:val="000000"/>
          <w:sz w:val="24"/>
          <w:szCs w:val="24"/>
          <w:lang w:eastAsia="es-CO"/>
        </w:rPr>
        <w:tab/>
      </w:r>
      <w:r w:rsidRPr="000F4D2C">
        <w:rPr>
          <w:rFonts w:ascii="Bookman Old Style" w:hAnsi="Bookman Old Style" w:cs="Verdana"/>
          <w:color w:val="000000"/>
          <w:sz w:val="24"/>
          <w:szCs w:val="24"/>
          <w:lang w:eastAsia="es-CO"/>
        </w:rPr>
        <w:t xml:space="preserve">Valor resultante del proceso de adjudicación: valor que corresponde al valor presente del </w:t>
      </w:r>
      <m:oMath>
        <m:r>
          <w:rPr>
            <w:rFonts w:ascii="Cambria Math" w:hAnsi="Cambria Math"/>
            <w:sz w:val="24"/>
            <w:szCs w:val="24"/>
          </w:rPr>
          <m:t>IAE</m:t>
        </m:r>
      </m:oMath>
      <w:r w:rsidRPr="000F4D2C">
        <w:rPr>
          <w:rFonts w:ascii="Bookman Old Style" w:hAnsi="Bookman Old Style" w:cs="Verdana"/>
          <w:sz w:val="24"/>
          <w:szCs w:val="24"/>
        </w:rPr>
        <w:t xml:space="preserve"> como se establece en el </w:t>
      </w:r>
      <w:r w:rsidRPr="000F4D2C">
        <w:rPr>
          <w:rFonts w:ascii="Bookman Old Style" w:hAnsi="Bookman Old Style" w:cs="Verdana"/>
          <w:sz w:val="24"/>
          <w:szCs w:val="24"/>
        </w:rPr>
        <w:fldChar w:fldCharType="begin"/>
      </w:r>
      <w:r w:rsidRPr="000F4D2C">
        <w:rPr>
          <w:rFonts w:ascii="Bookman Old Style" w:hAnsi="Bookman Old Style" w:cs="Verdana"/>
          <w:sz w:val="24"/>
          <w:szCs w:val="24"/>
        </w:rPr>
        <w:instrText xml:space="preserve"> REF _Ref443472568 \r \h  \* MERGEFORMAT </w:instrText>
      </w:r>
      <w:r w:rsidRPr="000F4D2C">
        <w:rPr>
          <w:rFonts w:ascii="Bookman Old Style" w:hAnsi="Bookman Old Style" w:cs="Verdana"/>
          <w:sz w:val="24"/>
          <w:szCs w:val="24"/>
        </w:rPr>
      </w:r>
      <w:r w:rsidRPr="000F4D2C">
        <w:rPr>
          <w:rFonts w:ascii="Bookman Old Style" w:hAnsi="Bookman Old Style" w:cs="Verdana"/>
          <w:sz w:val="24"/>
          <w:szCs w:val="24"/>
        </w:rPr>
        <w:fldChar w:fldCharType="separate"/>
      </w:r>
      <w:r w:rsidR="000D7E7B">
        <w:rPr>
          <w:rFonts w:ascii="Bookman Old Style" w:hAnsi="Bookman Old Style" w:cs="Verdana"/>
          <w:sz w:val="24"/>
          <w:szCs w:val="24"/>
        </w:rPr>
        <w:t>Artículo 12</w:t>
      </w:r>
      <w:r w:rsidRPr="000F4D2C">
        <w:rPr>
          <w:rFonts w:ascii="Bookman Old Style" w:hAnsi="Bookman Old Style" w:cs="Verdana"/>
          <w:sz w:val="24"/>
          <w:szCs w:val="24"/>
        </w:rPr>
        <w:fldChar w:fldCharType="end"/>
      </w:r>
      <w:r w:rsidRPr="000F4D2C">
        <w:rPr>
          <w:rFonts w:ascii="Bookman Old Style" w:hAnsi="Bookman Old Style" w:cs="Verdana"/>
          <w:sz w:val="24"/>
          <w:szCs w:val="24"/>
        </w:rPr>
        <w:t xml:space="preserve"> de la presente Resolución</w:t>
      </w:r>
      <w:r w:rsidRPr="000F4D2C">
        <w:rPr>
          <w:rFonts w:ascii="Bookman Old Style" w:hAnsi="Bookman Old Style" w:cs="Verdana"/>
          <w:color w:val="000000"/>
          <w:sz w:val="24"/>
          <w:szCs w:val="24"/>
          <w:lang w:eastAsia="es-CO"/>
        </w:rPr>
        <w:t xml:space="preserve">. </w:t>
      </w:r>
    </w:p>
    <w:p w14:paraId="343CBA53" w14:textId="77777777" w:rsidR="00CF5EFC" w:rsidRPr="000F4D2C" w:rsidRDefault="00CF5EFC" w:rsidP="000F4D2C">
      <w:pPr>
        <w:autoSpaceDE w:val="0"/>
        <w:autoSpaceDN w:val="0"/>
        <w:adjustRightInd w:val="0"/>
        <w:ind w:left="567" w:hanging="283"/>
        <w:jc w:val="both"/>
        <w:rPr>
          <w:rFonts w:ascii="Bookman Old Style" w:hAnsi="Bookman Old Style" w:cs="Verdana"/>
          <w:color w:val="000000"/>
          <w:sz w:val="24"/>
          <w:szCs w:val="24"/>
          <w:lang w:eastAsia="es-CO"/>
        </w:rPr>
      </w:pPr>
      <w:r w:rsidRPr="000F4D2C">
        <w:rPr>
          <w:rFonts w:ascii="Bookman Old Style" w:hAnsi="Bookman Old Style" w:cs="Symbol"/>
          <w:color w:val="000000"/>
          <w:sz w:val="24"/>
          <w:szCs w:val="24"/>
          <w:lang w:eastAsia="es-CO"/>
        </w:rPr>
        <w:t>·</w:t>
      </w:r>
      <w:r w:rsidRPr="000F4D2C">
        <w:rPr>
          <w:rFonts w:ascii="Bookman Old Style" w:hAnsi="Bookman Old Style" w:cs="Symbol"/>
          <w:color w:val="000000"/>
          <w:sz w:val="24"/>
          <w:szCs w:val="24"/>
          <w:lang w:eastAsia="es-CO"/>
        </w:rPr>
        <w:tab/>
        <w:t xml:space="preserve">Descripción del proyecto que deberá corresponder con lo definido </w:t>
      </w:r>
      <w:r w:rsidRPr="000F4D2C">
        <w:rPr>
          <w:rFonts w:ascii="Bookman Old Style" w:hAnsi="Bookman Old Style" w:cs="Verdana"/>
          <w:color w:val="000000"/>
          <w:sz w:val="24"/>
          <w:szCs w:val="24"/>
          <w:lang w:eastAsia="es-CO"/>
        </w:rPr>
        <w:t xml:space="preserve">tanto por el plan transitorio de abastecimiento de gas natural como por el plan de abastecimiento de gas natural adoptado por el MME con base en el estudio técnico que efectúe la UPME, conforme a lo dispuesto por los Artículos 1 y 2 de la Resolución No. 4 0052 de 2016 del MME, o aquellas que la modifiquen o sustituyan. </w:t>
      </w:r>
    </w:p>
    <w:tbl>
      <w:tblPr>
        <w:tblW w:w="5681" w:type="pct"/>
        <w:jc w:val="center"/>
        <w:tblCellMar>
          <w:left w:w="70" w:type="dxa"/>
          <w:right w:w="70" w:type="dxa"/>
        </w:tblCellMar>
        <w:tblLook w:val="04A0" w:firstRow="1" w:lastRow="0" w:firstColumn="1" w:lastColumn="0" w:noHBand="0" w:noVBand="1"/>
      </w:tblPr>
      <w:tblGrid>
        <w:gridCol w:w="5102"/>
        <w:gridCol w:w="5528"/>
      </w:tblGrid>
      <w:tr w:rsidR="00343800" w:rsidRPr="00365A6A" w14:paraId="7B6103CB" w14:textId="77777777" w:rsidTr="000F4D2C">
        <w:trPr>
          <w:trHeight w:val="302"/>
          <w:jc w:val="center"/>
        </w:trPr>
        <w:tc>
          <w:tcPr>
            <w:tcW w:w="2400" w:type="pct"/>
          </w:tcPr>
          <w:p w14:paraId="2B9A97E4" w14:textId="0AF63C59" w:rsidR="00343800" w:rsidRPr="00365A6A" w:rsidRDefault="00343800" w:rsidP="0020151F">
            <w:pPr>
              <w:jc w:val="center"/>
              <w:rPr>
                <w:rFonts w:cs="Arial"/>
                <w:b/>
                <w:spacing w:val="-3"/>
                <w:lang w:val="es-ES_tradnl"/>
              </w:rPr>
            </w:pPr>
          </w:p>
        </w:tc>
        <w:tc>
          <w:tcPr>
            <w:tcW w:w="2600" w:type="pct"/>
          </w:tcPr>
          <w:p w14:paraId="64C1D6F9" w14:textId="3A478460" w:rsidR="00343800" w:rsidRPr="00365A6A" w:rsidRDefault="00343800" w:rsidP="0020151F">
            <w:pPr>
              <w:ind w:left="355" w:right="567"/>
              <w:jc w:val="center"/>
              <w:rPr>
                <w:rFonts w:cs="Arial"/>
                <w:b/>
                <w:spacing w:val="-3"/>
                <w:lang w:val="es-ES_tradnl"/>
              </w:rPr>
            </w:pPr>
          </w:p>
        </w:tc>
      </w:tr>
      <w:tr w:rsidR="00343800" w:rsidRPr="00365A6A" w14:paraId="1643B30F" w14:textId="77777777" w:rsidTr="000F4D2C">
        <w:trPr>
          <w:trHeight w:val="572"/>
          <w:jc w:val="center"/>
        </w:trPr>
        <w:tc>
          <w:tcPr>
            <w:tcW w:w="2400" w:type="pct"/>
          </w:tcPr>
          <w:p w14:paraId="2410DA7F" w14:textId="6325FEB0" w:rsidR="00343800" w:rsidRPr="00365A6A" w:rsidRDefault="00343800" w:rsidP="0020151F">
            <w:pPr>
              <w:jc w:val="center"/>
              <w:rPr>
                <w:rFonts w:cs="Arial"/>
                <w:spacing w:val="-3"/>
                <w:lang w:val="es-ES_tradnl"/>
              </w:rPr>
            </w:pPr>
          </w:p>
        </w:tc>
        <w:tc>
          <w:tcPr>
            <w:tcW w:w="2600" w:type="pct"/>
          </w:tcPr>
          <w:p w14:paraId="359AFF5F" w14:textId="64AE26AC" w:rsidR="00343800" w:rsidRPr="00365A6A" w:rsidRDefault="00343800" w:rsidP="0020151F">
            <w:pPr>
              <w:ind w:left="355"/>
              <w:jc w:val="center"/>
              <w:rPr>
                <w:rFonts w:cs="Arial"/>
                <w:spacing w:val="-3"/>
                <w:lang w:val="es-ES_tradnl"/>
              </w:rPr>
            </w:pPr>
          </w:p>
        </w:tc>
      </w:tr>
    </w:tbl>
    <w:p w14:paraId="7AD7EB09" w14:textId="77777777" w:rsidR="00CF5EFC" w:rsidRPr="000F4D2C" w:rsidRDefault="00CF5EFC" w:rsidP="00CF5EFC">
      <w:pPr>
        <w:rPr>
          <w:rFonts w:ascii="Bookman Old Style" w:hAnsi="Bookman Old Style" w:cs="Arial"/>
          <w:color w:val="000000"/>
          <w:sz w:val="24"/>
          <w:szCs w:val="24"/>
        </w:rPr>
      </w:pPr>
    </w:p>
    <w:p w14:paraId="4860BA45" w14:textId="77777777" w:rsidR="00CF5EFC" w:rsidRDefault="00CF5EFC" w:rsidP="00CF5EFC">
      <w:pPr>
        <w:pStyle w:val="Descripcin"/>
        <w:spacing w:line="240" w:lineRule="exact"/>
        <w:rPr>
          <w:rFonts w:ascii="Bookman Old Style" w:hAnsi="Bookman Old Style"/>
          <w:b/>
          <w:sz w:val="24"/>
          <w:szCs w:val="24"/>
        </w:rPr>
      </w:pPr>
      <w:bookmarkStart w:id="32" w:name="_Ref443495765"/>
    </w:p>
    <w:p w14:paraId="7BF519D7" w14:textId="77777777" w:rsidR="00D82B0A" w:rsidRDefault="00D82B0A" w:rsidP="00CF5EFC">
      <w:pPr>
        <w:pStyle w:val="Descripcin"/>
        <w:spacing w:line="240" w:lineRule="exact"/>
        <w:rPr>
          <w:rFonts w:ascii="Bookman Old Style" w:hAnsi="Bookman Old Style"/>
          <w:b/>
          <w:sz w:val="24"/>
          <w:szCs w:val="24"/>
        </w:rPr>
      </w:pPr>
      <w:r>
        <w:rPr>
          <w:rFonts w:ascii="Bookman Old Style" w:hAnsi="Bookman Old Style"/>
          <w:b/>
          <w:sz w:val="24"/>
          <w:szCs w:val="24"/>
        </w:rPr>
        <w:br w:type="page"/>
      </w:r>
    </w:p>
    <w:p w14:paraId="41D6C89A" w14:textId="2B28E6D2" w:rsidR="00CF5EFC" w:rsidRPr="00F23AE8" w:rsidRDefault="00CF5EFC" w:rsidP="00CF5EFC">
      <w:pPr>
        <w:pStyle w:val="Descripcin"/>
        <w:spacing w:line="240" w:lineRule="exact"/>
        <w:rPr>
          <w:rFonts w:ascii="Bookman Old Style" w:hAnsi="Bookman Old Style" w:cs="Arial"/>
          <w:b/>
          <w:color w:val="000000"/>
          <w:sz w:val="24"/>
          <w:szCs w:val="24"/>
          <w:lang w:val="es-CO"/>
        </w:rPr>
      </w:pPr>
      <w:r w:rsidRPr="00F23AE8">
        <w:rPr>
          <w:rFonts w:ascii="Bookman Old Style" w:hAnsi="Bookman Old Style"/>
          <w:b/>
          <w:sz w:val="24"/>
          <w:szCs w:val="24"/>
        </w:rPr>
        <w:lastRenderedPageBreak/>
        <w:t xml:space="preserve">Anexo </w:t>
      </w:r>
      <w:r w:rsidRPr="00F23AE8">
        <w:rPr>
          <w:rFonts w:ascii="Bookman Old Style" w:hAnsi="Bookman Old Style"/>
          <w:b/>
          <w:sz w:val="24"/>
          <w:szCs w:val="24"/>
        </w:rPr>
        <w:fldChar w:fldCharType="begin"/>
      </w:r>
      <w:r w:rsidRPr="00F23AE8">
        <w:rPr>
          <w:rFonts w:ascii="Bookman Old Style" w:hAnsi="Bookman Old Style"/>
          <w:b/>
          <w:sz w:val="24"/>
          <w:szCs w:val="24"/>
        </w:rPr>
        <w:instrText xml:space="preserve"> SEQ Anexo \* ARABIC </w:instrText>
      </w:r>
      <w:r w:rsidRPr="00F23AE8">
        <w:rPr>
          <w:rFonts w:ascii="Bookman Old Style" w:hAnsi="Bookman Old Style"/>
          <w:b/>
          <w:sz w:val="24"/>
          <w:szCs w:val="24"/>
        </w:rPr>
        <w:fldChar w:fldCharType="separate"/>
      </w:r>
      <w:r w:rsidR="000D7E7B">
        <w:rPr>
          <w:rFonts w:ascii="Bookman Old Style" w:hAnsi="Bookman Old Style"/>
          <w:b/>
          <w:noProof/>
          <w:sz w:val="24"/>
          <w:szCs w:val="24"/>
        </w:rPr>
        <w:t>2</w:t>
      </w:r>
      <w:r w:rsidRPr="00F23AE8">
        <w:rPr>
          <w:rFonts w:ascii="Bookman Old Style" w:hAnsi="Bookman Old Style"/>
          <w:b/>
          <w:sz w:val="24"/>
          <w:szCs w:val="24"/>
        </w:rPr>
        <w:fldChar w:fldCharType="end"/>
      </w:r>
      <w:bookmarkEnd w:id="32"/>
      <w:r w:rsidRPr="00F23AE8">
        <w:rPr>
          <w:rFonts w:ascii="Bookman Old Style" w:hAnsi="Bookman Old Style"/>
          <w:b/>
          <w:sz w:val="24"/>
          <w:szCs w:val="24"/>
        </w:rPr>
        <w:t xml:space="preserve">. </w:t>
      </w:r>
      <w:r w:rsidRPr="00F23AE8">
        <w:rPr>
          <w:rFonts w:ascii="Bookman Old Style" w:hAnsi="Bookman Old Style" w:cs="Arial"/>
          <w:b/>
          <w:color w:val="000000"/>
          <w:sz w:val="24"/>
          <w:szCs w:val="24"/>
          <w:lang w:val="es-CO"/>
        </w:rPr>
        <w:t xml:space="preserve">Fiducia mercantil para la administración de las garantías de cumplimiento </w:t>
      </w:r>
    </w:p>
    <w:p w14:paraId="67DA861F" w14:textId="77777777" w:rsidR="00CF5EFC" w:rsidRPr="000F4D2C" w:rsidRDefault="00CF5EFC" w:rsidP="00CF5EFC">
      <w:pPr>
        <w:tabs>
          <w:tab w:val="left" w:pos="6379"/>
        </w:tabs>
        <w:rPr>
          <w:rFonts w:ascii="Bookman Old Style" w:hAnsi="Bookman Old Style" w:cs="Arial"/>
          <w:color w:val="000000"/>
          <w:sz w:val="24"/>
          <w:szCs w:val="24"/>
        </w:rPr>
      </w:pPr>
    </w:p>
    <w:p w14:paraId="45584CB8" w14:textId="77777777" w:rsidR="00CF5EFC" w:rsidRPr="00F23AE8" w:rsidRDefault="00CF5EFC" w:rsidP="00CF5EFC">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Este anexo trata sobre las disposiciones que deben cumplir los adjudicatarios</w:t>
      </w:r>
      <w:r>
        <w:rPr>
          <w:rFonts w:ascii="Bookman Old Style" w:hAnsi="Bookman Old Style" w:cs="Arial"/>
          <w:color w:val="000000" w:themeColor="text1"/>
          <w:sz w:val="24"/>
          <w:szCs w:val="24"/>
        </w:rPr>
        <w:t xml:space="preserve">, </w:t>
      </w:r>
      <w:r w:rsidRPr="00A02CAD">
        <w:rPr>
          <w:rFonts w:ascii="Bookman Old Style" w:hAnsi="Bookman Old Style" w:cs="Arial"/>
          <w:color w:val="000000" w:themeColor="text1"/>
          <w:sz w:val="24"/>
          <w:szCs w:val="24"/>
        </w:rPr>
        <w:t xml:space="preserve">o </w:t>
      </w:r>
      <w:r>
        <w:rPr>
          <w:rFonts w:ascii="Bookman Old Style" w:hAnsi="Bookman Old Style" w:cs="Arial"/>
          <w:color w:val="000000" w:themeColor="text1"/>
          <w:sz w:val="24"/>
          <w:szCs w:val="24"/>
        </w:rPr>
        <w:t xml:space="preserve">los </w:t>
      </w:r>
      <w:r w:rsidRPr="00A02CAD">
        <w:rPr>
          <w:rFonts w:ascii="Bookman Old Style" w:hAnsi="Bookman Old Style" w:cs="Arial"/>
          <w:color w:val="000000" w:themeColor="text1"/>
          <w:sz w:val="24"/>
          <w:szCs w:val="24"/>
        </w:rPr>
        <w:t>transportador</w:t>
      </w:r>
      <w:r>
        <w:rPr>
          <w:rFonts w:ascii="Bookman Old Style" w:hAnsi="Bookman Old Style" w:cs="Arial"/>
          <w:color w:val="000000" w:themeColor="text1"/>
          <w:sz w:val="24"/>
          <w:szCs w:val="24"/>
        </w:rPr>
        <w:t>es</w:t>
      </w:r>
      <w:r w:rsidRPr="00A02CAD">
        <w:rPr>
          <w:rFonts w:ascii="Bookman Old Style" w:hAnsi="Bookman Old Style" w:cs="Arial"/>
          <w:color w:val="000000" w:themeColor="text1"/>
          <w:sz w:val="24"/>
          <w:szCs w:val="24"/>
        </w:rPr>
        <w:t xml:space="preserve"> incumbente</w:t>
      </w:r>
      <w:r>
        <w:rPr>
          <w:rFonts w:ascii="Bookman Old Style" w:hAnsi="Bookman Old Style" w:cs="Arial"/>
          <w:color w:val="000000" w:themeColor="text1"/>
          <w:sz w:val="24"/>
          <w:szCs w:val="24"/>
        </w:rPr>
        <w:t>s</w:t>
      </w:r>
      <w:r w:rsidRPr="00A02CAD">
        <w:rPr>
          <w:rFonts w:ascii="Bookman Old Style" w:hAnsi="Bookman Old Style" w:cs="Arial"/>
          <w:color w:val="000000" w:themeColor="text1"/>
          <w:sz w:val="24"/>
          <w:szCs w:val="24"/>
        </w:rPr>
        <w:t xml:space="preserve"> que ejecute</w:t>
      </w:r>
      <w:r>
        <w:rPr>
          <w:rFonts w:ascii="Bookman Old Style" w:hAnsi="Bookman Old Style" w:cs="Arial"/>
          <w:color w:val="000000" w:themeColor="text1"/>
          <w:sz w:val="24"/>
          <w:szCs w:val="24"/>
        </w:rPr>
        <w:t>n</w:t>
      </w:r>
      <w:r w:rsidRPr="00A02CAD">
        <w:rPr>
          <w:rFonts w:ascii="Bookman Old Style" w:hAnsi="Bookman Old Style" w:cs="Arial"/>
          <w:color w:val="000000" w:themeColor="text1"/>
          <w:sz w:val="24"/>
          <w:szCs w:val="24"/>
        </w:rPr>
        <w:t xml:space="preserve"> en primera instancia proyectos de </w:t>
      </w:r>
      <m:oMath>
        <m:r>
          <w:rPr>
            <w:rFonts w:ascii="Cambria Math" w:hAnsi="Cambria Math" w:cs="Arial"/>
            <w:color w:val="000000" w:themeColor="text1"/>
            <w:sz w:val="24"/>
            <w:szCs w:val="24"/>
          </w:rPr>
          <m:t>IPAT</m:t>
        </m:r>
      </m:oMath>
      <w:r>
        <w:rPr>
          <w:rFonts w:ascii="Bookman Old Style" w:hAnsi="Bookman Old Style" w:cs="Arial"/>
          <w:iCs/>
          <w:color w:val="000000" w:themeColor="text1"/>
          <w:sz w:val="24"/>
          <w:szCs w:val="24"/>
        </w:rPr>
        <w:t>,</w:t>
      </w:r>
      <w:r w:rsidRPr="00F23AE8">
        <w:rPr>
          <w:rFonts w:ascii="Bookman Old Style" w:hAnsi="Bookman Old Style" w:cs="Arial"/>
          <w:color w:val="000000" w:themeColor="text1"/>
          <w:sz w:val="24"/>
          <w:szCs w:val="24"/>
        </w:rPr>
        <w:t xml:space="preserve"> en materia de la constitución del patrimonio autónomo cuando ejecuten proyectos </w:t>
      </w:r>
      <w:r>
        <w:rPr>
          <w:rFonts w:ascii="Bookman Old Style" w:hAnsi="Bookman Old Style" w:cs="Arial"/>
          <w:color w:val="000000" w:themeColor="text1"/>
          <w:sz w:val="24"/>
          <w:szCs w:val="24"/>
        </w:rPr>
        <w:t xml:space="preserve">prioritarios </w:t>
      </w:r>
      <w:r w:rsidRPr="00F23AE8">
        <w:rPr>
          <w:rFonts w:ascii="Bookman Old Style" w:hAnsi="Bookman Old Style" w:cs="Arial"/>
          <w:color w:val="000000" w:themeColor="text1"/>
          <w:sz w:val="24"/>
          <w:szCs w:val="24"/>
        </w:rPr>
        <w:t>del plan de abastecimiento de gas natural</w:t>
      </w:r>
      <w:r>
        <w:rPr>
          <w:rFonts w:ascii="Bookman Old Style" w:hAnsi="Bookman Old Style" w:cs="Arial"/>
          <w:color w:val="000000" w:themeColor="text1"/>
          <w:sz w:val="24"/>
          <w:szCs w:val="24"/>
        </w:rPr>
        <w:t>, o del plan transitorio de abastecimiento de gas natural</w:t>
      </w:r>
      <w:r w:rsidRPr="00F23AE8">
        <w:rPr>
          <w:rFonts w:ascii="Bookman Old Style" w:hAnsi="Bookman Old Style" w:cs="Arial"/>
          <w:color w:val="000000" w:themeColor="text1"/>
          <w:sz w:val="24"/>
          <w:szCs w:val="24"/>
        </w:rPr>
        <w:t>.</w:t>
      </w:r>
    </w:p>
    <w:p w14:paraId="6784198A" w14:textId="77777777" w:rsidR="00CF5EFC" w:rsidRPr="00F23AE8" w:rsidRDefault="00CF5EFC" w:rsidP="00CF5EFC">
      <w:pPr>
        <w:pStyle w:val="Prrafodelista"/>
        <w:tabs>
          <w:tab w:val="left" w:pos="567"/>
        </w:tabs>
        <w:ind w:left="0"/>
        <w:jc w:val="both"/>
        <w:rPr>
          <w:rFonts w:ascii="Bookman Old Style" w:hAnsi="Bookman Old Style" w:cs="Arial"/>
          <w:b/>
          <w:color w:val="000000" w:themeColor="text1"/>
          <w:sz w:val="24"/>
          <w:szCs w:val="24"/>
        </w:rPr>
      </w:pPr>
    </w:p>
    <w:p w14:paraId="51D4B626" w14:textId="77777777" w:rsidR="00CF5EFC" w:rsidRPr="00F23AE8" w:rsidRDefault="00CF5EFC" w:rsidP="00CF5EFC">
      <w:pPr>
        <w:pStyle w:val="Prrafodelista"/>
        <w:numPr>
          <w:ilvl w:val="0"/>
          <w:numId w:val="25"/>
        </w:numPr>
        <w:tabs>
          <w:tab w:val="left" w:pos="567"/>
        </w:tabs>
        <w:ind w:left="0" w:firstLine="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Instrumento fiduciario</w:t>
      </w:r>
    </w:p>
    <w:p w14:paraId="685CA2AC" w14:textId="77777777" w:rsidR="00CF5EFC" w:rsidRPr="00F23AE8" w:rsidRDefault="00CF5EFC" w:rsidP="00CF5EFC">
      <w:pPr>
        <w:pStyle w:val="Prrafodelista"/>
        <w:tabs>
          <w:tab w:val="left" w:pos="567"/>
        </w:tabs>
        <w:ind w:left="0"/>
        <w:jc w:val="both"/>
        <w:rPr>
          <w:rFonts w:ascii="Bookman Old Style" w:hAnsi="Bookman Old Style" w:cs="Arial"/>
          <w:color w:val="000000" w:themeColor="text1"/>
          <w:sz w:val="24"/>
          <w:szCs w:val="24"/>
        </w:rPr>
      </w:pPr>
    </w:p>
    <w:p w14:paraId="44D99CA4" w14:textId="77777777" w:rsidR="00CF5EFC" w:rsidRPr="00F23AE8" w:rsidRDefault="00CF5EFC" w:rsidP="00CF5EFC">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La forma del instrumento fiduciario corresponde a la de una fiducia mercantil. En estos términos, el adjudicatario </w:t>
      </w:r>
      <w:r w:rsidRPr="00A02CAD">
        <w:rPr>
          <w:rFonts w:ascii="Bookman Old Style" w:hAnsi="Bookman Old Style" w:cs="Arial"/>
          <w:color w:val="000000" w:themeColor="text1"/>
          <w:sz w:val="24"/>
          <w:szCs w:val="24"/>
        </w:rPr>
        <w:t xml:space="preserve">o </w:t>
      </w:r>
      <w:r>
        <w:rPr>
          <w:rFonts w:ascii="Bookman Old Style" w:hAnsi="Bookman Old Style" w:cs="Arial"/>
          <w:color w:val="000000" w:themeColor="text1"/>
          <w:sz w:val="24"/>
          <w:szCs w:val="24"/>
        </w:rPr>
        <w:t xml:space="preserve">el </w:t>
      </w:r>
      <w:r w:rsidRPr="00A02CAD">
        <w:rPr>
          <w:rFonts w:ascii="Bookman Old Style" w:hAnsi="Bookman Old Style" w:cs="Arial"/>
          <w:color w:val="000000" w:themeColor="text1"/>
          <w:sz w:val="24"/>
          <w:szCs w:val="24"/>
        </w:rPr>
        <w:t xml:space="preserve">transportador incumbente que ejecute en primera instancia proyectos de </w:t>
      </w:r>
      <m:oMath>
        <m:r>
          <w:rPr>
            <w:rFonts w:ascii="Cambria Math" w:hAnsi="Cambria Math" w:cs="Arial"/>
            <w:color w:val="000000" w:themeColor="text1"/>
            <w:sz w:val="24"/>
            <w:szCs w:val="24"/>
          </w:rPr>
          <m:t>IPAT</m:t>
        </m:r>
      </m:oMath>
      <w:r w:rsidRPr="00F23AE8">
        <w:rPr>
          <w:rFonts w:ascii="Bookman Old Style" w:hAnsi="Bookman Old Style" w:cs="Arial"/>
          <w:color w:val="000000" w:themeColor="text1"/>
          <w:sz w:val="24"/>
          <w:szCs w:val="24"/>
        </w:rPr>
        <w:t xml:space="preserve"> deberá constituir un patrimonio autónomo a través de una sociedad fiduciaria legalmente establecida en Colombia.</w:t>
      </w:r>
    </w:p>
    <w:p w14:paraId="6B5B1897" w14:textId="77777777" w:rsidR="00CF5EFC" w:rsidRPr="00F23AE8" w:rsidRDefault="00CF5EFC" w:rsidP="00CF5EFC">
      <w:pPr>
        <w:pStyle w:val="Prrafodelista"/>
        <w:tabs>
          <w:tab w:val="left" w:pos="567"/>
        </w:tabs>
        <w:ind w:left="0"/>
        <w:jc w:val="both"/>
        <w:rPr>
          <w:rFonts w:ascii="Bookman Old Style" w:hAnsi="Bookman Old Style" w:cs="Arial"/>
          <w:color w:val="000000" w:themeColor="text1"/>
          <w:sz w:val="24"/>
          <w:szCs w:val="24"/>
        </w:rPr>
      </w:pPr>
    </w:p>
    <w:p w14:paraId="20CB50F8" w14:textId="77777777" w:rsidR="00CF5EFC" w:rsidRPr="00F23AE8" w:rsidRDefault="00CF5EFC" w:rsidP="00CF5EFC">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Esta disposición se refiere a la utilización de fiducias mercantiles en los términos del </w:t>
      </w:r>
      <w:r>
        <w:rPr>
          <w:rFonts w:ascii="Bookman Old Style" w:hAnsi="Bookman Old Style" w:cs="Arial"/>
          <w:color w:val="000000" w:themeColor="text1"/>
          <w:sz w:val="24"/>
          <w:szCs w:val="24"/>
        </w:rPr>
        <w:t>A</w:t>
      </w:r>
      <w:r w:rsidRPr="00F23AE8">
        <w:rPr>
          <w:rFonts w:ascii="Bookman Old Style" w:hAnsi="Bookman Old Style" w:cs="Arial"/>
          <w:color w:val="000000" w:themeColor="text1"/>
          <w:sz w:val="24"/>
          <w:szCs w:val="24"/>
        </w:rPr>
        <w:t>rtículo 1126 y siguientes del Código de Comercio, o aquellos que lo modifique</w:t>
      </w:r>
      <w:r>
        <w:rPr>
          <w:rFonts w:ascii="Bookman Old Style" w:hAnsi="Bookman Old Style" w:cs="Arial"/>
          <w:color w:val="000000" w:themeColor="text1"/>
          <w:sz w:val="24"/>
          <w:szCs w:val="24"/>
        </w:rPr>
        <w:t xml:space="preserve">n </w:t>
      </w:r>
      <w:r w:rsidRPr="00F23AE8">
        <w:rPr>
          <w:rFonts w:ascii="Bookman Old Style" w:hAnsi="Bookman Old Style" w:cs="Arial"/>
          <w:color w:val="000000" w:themeColor="text1"/>
          <w:sz w:val="24"/>
          <w:szCs w:val="24"/>
        </w:rPr>
        <w:t>o sustituyan.</w:t>
      </w:r>
    </w:p>
    <w:p w14:paraId="32EDF42A" w14:textId="77777777" w:rsidR="00CF5EFC" w:rsidRPr="00F23AE8" w:rsidRDefault="00CF5EFC" w:rsidP="00CF5EFC">
      <w:pPr>
        <w:pStyle w:val="Prrafodelista"/>
        <w:tabs>
          <w:tab w:val="left" w:pos="567"/>
        </w:tabs>
        <w:ind w:left="0"/>
        <w:jc w:val="both"/>
        <w:rPr>
          <w:rFonts w:ascii="Bookman Old Style" w:hAnsi="Bookman Old Style" w:cs="Arial"/>
          <w:b/>
          <w:color w:val="000000" w:themeColor="text1"/>
          <w:sz w:val="24"/>
          <w:szCs w:val="24"/>
        </w:rPr>
      </w:pPr>
    </w:p>
    <w:p w14:paraId="6DBCC054" w14:textId="77777777" w:rsidR="00CF5EFC" w:rsidRPr="000F4D2C" w:rsidRDefault="00CF5EFC" w:rsidP="00CF5EFC">
      <w:pPr>
        <w:pStyle w:val="Prrafodelista"/>
        <w:numPr>
          <w:ilvl w:val="0"/>
          <w:numId w:val="25"/>
        </w:numPr>
        <w:tabs>
          <w:tab w:val="left" w:pos="567"/>
        </w:tabs>
        <w:ind w:left="0" w:firstLine="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 xml:space="preserve">Objeto del patrimonio autónomo </w:t>
      </w:r>
    </w:p>
    <w:p w14:paraId="7D2B44E2" w14:textId="77777777" w:rsidR="00CF5EFC" w:rsidRPr="000F4D2C" w:rsidRDefault="00CF5EFC" w:rsidP="00CF5EFC">
      <w:pPr>
        <w:pStyle w:val="Prrafodelista"/>
        <w:tabs>
          <w:tab w:val="left" w:pos="567"/>
        </w:tabs>
        <w:ind w:left="0"/>
        <w:jc w:val="both"/>
        <w:rPr>
          <w:rFonts w:ascii="Bookman Old Style" w:hAnsi="Bookman Old Style" w:cs="Arial"/>
          <w:b/>
          <w:color w:val="000000" w:themeColor="text1"/>
          <w:sz w:val="24"/>
          <w:szCs w:val="24"/>
        </w:rPr>
      </w:pPr>
    </w:p>
    <w:p w14:paraId="7FFE815E" w14:textId="77777777" w:rsidR="00CF5EFC" w:rsidRPr="00F23AE8" w:rsidRDefault="00CF5EFC" w:rsidP="00CF5EFC">
      <w:pPr>
        <w:pStyle w:val="ARTICULOS"/>
        <w:numPr>
          <w:ilvl w:val="0"/>
          <w:numId w:val="0"/>
        </w:numPr>
        <w:tabs>
          <w:tab w:val="left" w:pos="1560"/>
        </w:tabs>
        <w:rPr>
          <w:rFonts w:cs="Arial"/>
          <w:color w:val="000000"/>
          <w:lang w:val="es-CO"/>
        </w:rPr>
      </w:pPr>
      <w:r w:rsidRPr="00F23AE8">
        <w:rPr>
          <w:rFonts w:cs="Arial"/>
          <w:color w:val="000000"/>
          <w:lang w:val="es-CO"/>
        </w:rPr>
        <w:t>El adjudicatario</w:t>
      </w:r>
      <w:r>
        <w:rPr>
          <w:rFonts w:cs="Arial"/>
          <w:color w:val="000000"/>
          <w:lang w:val="es-CO"/>
        </w:rPr>
        <w:t xml:space="preserve"> o </w:t>
      </w:r>
      <w:r>
        <w:t xml:space="preserve">el </w:t>
      </w:r>
      <w:r w:rsidRPr="00900D29">
        <w:t>transportador incumbente que ejecute en primera instancia proyectos de</w:t>
      </w:r>
      <w:r w:rsidRPr="00D54BBF">
        <w:t xml:space="preserve"> </w:t>
      </w:r>
      <m:oMath>
        <m:r>
          <w:rPr>
            <w:rFonts w:ascii="Cambria Math" w:hAnsi="Cambria Math"/>
          </w:rPr>
          <m:t>IPAT</m:t>
        </m:r>
      </m:oMath>
      <w:r w:rsidRPr="00F23AE8">
        <w:rPr>
          <w:rFonts w:cs="Arial"/>
          <w:color w:val="000000"/>
          <w:lang w:val="es-CO"/>
        </w:rPr>
        <w:t>, para cada proyecto deberá constituir un patrimonio autónomo con el objeto exclusivo de administrar la garantía de cumplimiento.</w:t>
      </w:r>
    </w:p>
    <w:p w14:paraId="61B5E94F" w14:textId="77777777" w:rsidR="00CF5EFC" w:rsidRPr="00F23AE8" w:rsidRDefault="00CF5EFC" w:rsidP="00CF5EFC">
      <w:pPr>
        <w:pStyle w:val="ARTICULOS"/>
        <w:numPr>
          <w:ilvl w:val="0"/>
          <w:numId w:val="0"/>
        </w:numPr>
        <w:tabs>
          <w:tab w:val="left" w:pos="1560"/>
        </w:tabs>
        <w:rPr>
          <w:rFonts w:cs="Arial"/>
          <w:color w:val="000000"/>
          <w:lang w:val="es-CO"/>
        </w:rPr>
      </w:pPr>
    </w:p>
    <w:p w14:paraId="1AC466C6" w14:textId="77777777" w:rsidR="00CF5EFC" w:rsidRPr="00F23AE8" w:rsidRDefault="00CF5EFC" w:rsidP="00CF5EFC">
      <w:pPr>
        <w:pStyle w:val="Prrafodelista"/>
        <w:jc w:val="center"/>
        <w:rPr>
          <w:rFonts w:ascii="Bookman Old Style" w:hAnsi="Bookman Old Style" w:cs="Arial"/>
          <w:b/>
          <w:color w:val="000000" w:themeColor="text1"/>
          <w:sz w:val="24"/>
          <w:szCs w:val="24"/>
        </w:rPr>
      </w:pPr>
    </w:p>
    <w:p w14:paraId="7BA7830E" w14:textId="77777777" w:rsidR="00CF5EFC" w:rsidRPr="00F23AE8" w:rsidRDefault="00CF5EFC" w:rsidP="00CF5EFC">
      <w:pPr>
        <w:pStyle w:val="Prrafodelista"/>
        <w:numPr>
          <w:ilvl w:val="0"/>
          <w:numId w:val="25"/>
        </w:numPr>
        <w:tabs>
          <w:tab w:val="left" w:pos="567"/>
        </w:tabs>
        <w:ind w:left="0" w:firstLine="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Principios en la constitución del patrimonio autónomo</w:t>
      </w:r>
    </w:p>
    <w:p w14:paraId="645BBB13" w14:textId="77777777" w:rsidR="00CF5EFC" w:rsidRPr="00F23AE8" w:rsidRDefault="00CF5EFC" w:rsidP="00CF5EFC">
      <w:pPr>
        <w:pStyle w:val="Prrafodelista"/>
        <w:tabs>
          <w:tab w:val="left" w:pos="567"/>
        </w:tabs>
        <w:ind w:left="0"/>
        <w:jc w:val="both"/>
        <w:rPr>
          <w:rFonts w:ascii="Bookman Old Style" w:hAnsi="Bookman Old Style" w:cs="Arial"/>
          <w:b/>
          <w:color w:val="000000" w:themeColor="text1"/>
          <w:sz w:val="24"/>
          <w:szCs w:val="24"/>
        </w:rPr>
      </w:pPr>
    </w:p>
    <w:tbl>
      <w:tblPr>
        <w:tblStyle w:val="Tablaconcuadrcula"/>
        <w:tblW w:w="0" w:type="auto"/>
        <w:tblLook w:val="04A0" w:firstRow="1" w:lastRow="0" w:firstColumn="1" w:lastColumn="0" w:noHBand="0" w:noVBand="1"/>
      </w:tblPr>
      <w:tblGrid>
        <w:gridCol w:w="2367"/>
        <w:gridCol w:w="6979"/>
      </w:tblGrid>
      <w:tr w:rsidR="00CF5EFC" w:rsidRPr="00F23AE8" w14:paraId="1456F17B" w14:textId="77777777" w:rsidTr="001A39BF">
        <w:tc>
          <w:tcPr>
            <w:tcW w:w="2376" w:type="dxa"/>
          </w:tcPr>
          <w:p w14:paraId="2E24C602"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53CD091A"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7BE30422"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4F227673"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7826FB68"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0A87B8A0"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13C27EB6"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Objeto exclusivo:</w:t>
            </w:r>
          </w:p>
        </w:tc>
        <w:tc>
          <w:tcPr>
            <w:tcW w:w="7125" w:type="dxa"/>
          </w:tcPr>
          <w:p w14:paraId="2783C284"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Administración de la garantía de cumplimiento del proyecto </w:t>
            </w:r>
            <w:r>
              <w:rPr>
                <w:rFonts w:ascii="Bookman Old Style" w:hAnsi="Bookman Old Style" w:cs="Arial"/>
                <w:color w:val="000000" w:themeColor="text1"/>
                <w:sz w:val="24"/>
                <w:szCs w:val="24"/>
              </w:rPr>
              <w:t xml:space="preserve">a ejecutar </w:t>
            </w:r>
            <w:r w:rsidRPr="00F23AE8">
              <w:rPr>
                <w:rFonts w:ascii="Bookman Old Style" w:hAnsi="Bookman Old Style" w:cs="Arial"/>
                <w:color w:val="000000" w:themeColor="text1"/>
                <w:sz w:val="24"/>
                <w:szCs w:val="24"/>
              </w:rPr>
              <w:t>mediante proceso de selección</w:t>
            </w:r>
            <w:r>
              <w:rPr>
                <w:rFonts w:ascii="Bookman Old Style" w:hAnsi="Bookman Old Style" w:cs="Arial"/>
                <w:color w:val="000000" w:themeColor="text1"/>
                <w:sz w:val="24"/>
                <w:szCs w:val="24"/>
              </w:rPr>
              <w:t xml:space="preserve"> o a través del transportador incumbente</w:t>
            </w:r>
            <w:r w:rsidRPr="00F23AE8">
              <w:rPr>
                <w:rFonts w:ascii="Bookman Old Style" w:hAnsi="Bookman Old Style" w:cs="Arial"/>
                <w:color w:val="000000" w:themeColor="text1"/>
                <w:sz w:val="24"/>
                <w:szCs w:val="24"/>
              </w:rPr>
              <w:t>.</w:t>
            </w:r>
          </w:p>
          <w:p w14:paraId="04CA16DA"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p>
          <w:p w14:paraId="57DB54F4" w14:textId="4C88E824"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Por administración se entenderá las labores de: i) recibir la garantía, ii) aprobar la garantía, iii) custodiar la garantía, iv) ejecutar la garantía cuando sea del caso y v) transferir los recursos de manera oportuna a los beneficiarios de los recursos provenientes de la ejecución de las garantías, que se indican en el </w:t>
            </w:r>
            <w:r w:rsidR="00DC16F9">
              <w:rPr>
                <w:rFonts w:ascii="Bookman Old Style" w:hAnsi="Bookman Old Style" w:cs="Arial"/>
                <w:color w:val="000000" w:themeColor="text1"/>
                <w:sz w:val="24"/>
                <w:szCs w:val="24"/>
              </w:rPr>
              <w:t>Artículo 31</w:t>
            </w:r>
            <w:r w:rsidRPr="00F23AE8">
              <w:rPr>
                <w:rFonts w:ascii="Bookman Old Style" w:hAnsi="Bookman Old Style" w:cs="Arial"/>
                <w:color w:val="000000" w:themeColor="text1"/>
                <w:sz w:val="24"/>
                <w:szCs w:val="24"/>
              </w:rPr>
              <w:t xml:space="preserve"> de la presente Resolución.</w:t>
            </w:r>
          </w:p>
        </w:tc>
      </w:tr>
      <w:tr w:rsidR="00CF5EFC" w:rsidRPr="00F23AE8" w14:paraId="71E3214F" w14:textId="77777777" w:rsidTr="001A39BF">
        <w:tc>
          <w:tcPr>
            <w:tcW w:w="2376" w:type="dxa"/>
          </w:tcPr>
          <w:p w14:paraId="667AB12E"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0BEC2614"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7D7D841C"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534224E0"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2B8D8536"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Continuidad:</w:t>
            </w:r>
          </w:p>
        </w:tc>
        <w:tc>
          <w:tcPr>
            <w:tcW w:w="7125" w:type="dxa"/>
          </w:tcPr>
          <w:p w14:paraId="6F3C284E"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El adjudicatario</w:t>
            </w:r>
            <w:r>
              <w:rPr>
                <w:rFonts w:ascii="Bookman Old Style" w:hAnsi="Bookman Old Style" w:cs="Arial"/>
                <w:color w:val="000000" w:themeColor="text1"/>
                <w:sz w:val="24"/>
                <w:szCs w:val="24"/>
              </w:rPr>
              <w:t xml:space="preserve"> o el </w:t>
            </w:r>
            <w:r w:rsidRPr="005C5015">
              <w:rPr>
                <w:rFonts w:ascii="Bookman Old Style" w:hAnsi="Bookman Old Style" w:cs="Arial"/>
                <w:color w:val="000000" w:themeColor="text1"/>
                <w:sz w:val="24"/>
                <w:szCs w:val="24"/>
              </w:rPr>
              <w:t xml:space="preserve">transportador incumbente que ejecute en primera instancia proyectos de </w:t>
            </w:r>
            <m:oMath>
              <m:r>
                <w:rPr>
                  <w:rFonts w:ascii="Cambria Math" w:hAnsi="Cambria Math" w:cs="Arial"/>
                  <w:color w:val="000000" w:themeColor="text1"/>
                  <w:sz w:val="24"/>
                  <w:szCs w:val="24"/>
                </w:rPr>
                <m:t>IPAT</m:t>
              </m:r>
            </m:oMath>
            <w:r w:rsidRPr="00F23AE8">
              <w:rPr>
                <w:rFonts w:ascii="Bookman Old Style" w:hAnsi="Bookman Old Style" w:cs="Arial"/>
                <w:color w:val="000000" w:themeColor="text1"/>
                <w:sz w:val="24"/>
                <w:szCs w:val="24"/>
              </w:rPr>
              <w:t xml:space="preserve"> garantizará que el patrimonio autónomo estará disponible desde su constitución hasta </w:t>
            </w:r>
            <w:r w:rsidRPr="00571EE2">
              <w:rPr>
                <w:rFonts w:ascii="Bookman Old Style" w:hAnsi="Bookman Old Style" w:cs="Arial"/>
                <w:color w:val="000000" w:themeColor="text1"/>
                <w:sz w:val="24"/>
                <w:szCs w:val="24"/>
              </w:rPr>
              <w:t>dos meses</w:t>
            </w:r>
            <w:r w:rsidRPr="00F23AE8">
              <w:rPr>
                <w:rFonts w:ascii="Bookman Old Style" w:hAnsi="Bookman Old Style" w:cs="Arial"/>
                <w:color w:val="000000" w:themeColor="text1"/>
                <w:sz w:val="24"/>
                <w:szCs w:val="24"/>
              </w:rPr>
              <w:t xml:space="preserve"> después de que el auditor certifique la entrada en operación del proyecto o hasta cuando se ejecute la garantía de cumplimiento y el patrimonio autónomo transfiera el 100% de los recursos, </w:t>
            </w:r>
            <w:r w:rsidRPr="00F23AE8">
              <w:rPr>
                <w:rFonts w:ascii="Bookman Old Style" w:hAnsi="Bookman Old Style" w:cs="Arial"/>
                <w:color w:val="000000" w:themeColor="text1"/>
                <w:sz w:val="24"/>
                <w:szCs w:val="24"/>
              </w:rPr>
              <w:lastRenderedPageBreak/>
              <w:t xml:space="preserve">con los respectivos rendimientos y descontando los respectivos costos de transacción a que haya lugar. </w:t>
            </w:r>
          </w:p>
        </w:tc>
      </w:tr>
      <w:tr w:rsidR="00CF5EFC" w:rsidRPr="00F23AE8" w14:paraId="0D8603A1" w14:textId="77777777" w:rsidTr="001A39BF">
        <w:tc>
          <w:tcPr>
            <w:tcW w:w="2376" w:type="dxa"/>
          </w:tcPr>
          <w:p w14:paraId="3181BFF9"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59AE7910"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15675134" w14:textId="77777777" w:rsidR="00CF5EFC" w:rsidRPr="00F23AE8" w:rsidDel="005B2D56" w:rsidRDefault="00CF5EFC" w:rsidP="001A39BF">
            <w:pPr>
              <w:pStyle w:val="Prrafodelista"/>
              <w:tabs>
                <w:tab w:val="left" w:pos="567"/>
              </w:tabs>
              <w:ind w:left="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Diligencia</w:t>
            </w:r>
          </w:p>
        </w:tc>
        <w:tc>
          <w:tcPr>
            <w:tcW w:w="7125" w:type="dxa"/>
          </w:tcPr>
          <w:p w14:paraId="37A2EB11"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El patrimonio autónomo deberá realizar diligentemente todos los actos necesarios para la consecución de su finalidad.</w:t>
            </w:r>
          </w:p>
          <w:p w14:paraId="0020C758"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p>
          <w:p w14:paraId="048C181F" w14:textId="3C7EAC74"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Durante la ejecución del proyecto, cuando el auditor reporte retrasos, conforme se indica en el </w:t>
            </w:r>
            <w:r w:rsidRPr="00EB412D">
              <w:rPr>
                <w:rFonts w:ascii="Bookman Old Style" w:hAnsi="Bookman Old Style" w:cs="Arial"/>
                <w:color w:val="000000" w:themeColor="text1"/>
                <w:sz w:val="24"/>
                <w:szCs w:val="24"/>
              </w:rPr>
              <w:fldChar w:fldCharType="begin"/>
            </w:r>
            <w:r w:rsidRPr="00EB412D">
              <w:rPr>
                <w:rFonts w:ascii="Bookman Old Style" w:hAnsi="Bookman Old Style" w:cs="Arial"/>
                <w:color w:val="000000" w:themeColor="text1"/>
                <w:sz w:val="24"/>
                <w:szCs w:val="24"/>
              </w:rPr>
              <w:instrText xml:space="preserve"> REF _Ref461097173 \r \h </w:instrText>
            </w:r>
            <w:r w:rsidR="00EB412D">
              <w:rPr>
                <w:rFonts w:ascii="Bookman Old Style" w:hAnsi="Bookman Old Style" w:cs="Arial"/>
                <w:color w:val="000000" w:themeColor="text1"/>
                <w:sz w:val="24"/>
                <w:szCs w:val="24"/>
              </w:rPr>
              <w:instrText xml:space="preserve"> \* MERGEFORMAT </w:instrText>
            </w:r>
            <w:r w:rsidRPr="00EB412D">
              <w:rPr>
                <w:rFonts w:ascii="Bookman Old Style" w:hAnsi="Bookman Old Style" w:cs="Arial"/>
                <w:color w:val="000000" w:themeColor="text1"/>
                <w:sz w:val="24"/>
                <w:szCs w:val="24"/>
              </w:rPr>
            </w:r>
            <w:r w:rsidRPr="00EB412D">
              <w:rPr>
                <w:rFonts w:ascii="Bookman Old Style" w:hAnsi="Bookman Old Style" w:cs="Arial"/>
                <w:color w:val="000000" w:themeColor="text1"/>
                <w:sz w:val="24"/>
                <w:szCs w:val="24"/>
              </w:rPr>
              <w:fldChar w:fldCharType="separate"/>
            </w:r>
            <w:r w:rsidR="000D7E7B">
              <w:rPr>
                <w:rFonts w:ascii="Bookman Old Style" w:hAnsi="Bookman Old Style" w:cs="Arial"/>
                <w:color w:val="000000" w:themeColor="text1"/>
                <w:sz w:val="24"/>
                <w:szCs w:val="24"/>
              </w:rPr>
              <w:t>Artículo 24</w:t>
            </w:r>
            <w:r w:rsidRPr="00EB412D">
              <w:rPr>
                <w:rFonts w:ascii="Bookman Old Style" w:hAnsi="Bookman Old Style" w:cs="Arial"/>
                <w:color w:val="000000" w:themeColor="text1"/>
                <w:sz w:val="24"/>
                <w:szCs w:val="24"/>
              </w:rPr>
              <w:fldChar w:fldCharType="end"/>
            </w:r>
            <w:r w:rsidRPr="00F23AE8">
              <w:rPr>
                <w:rFonts w:ascii="Bookman Old Style" w:hAnsi="Bookman Old Style" w:cs="Arial"/>
                <w:color w:val="000000" w:themeColor="text1"/>
                <w:sz w:val="24"/>
                <w:szCs w:val="24"/>
              </w:rPr>
              <w:t xml:space="preserve"> de la presente Resolución, exigirá al adjudicatario</w:t>
            </w:r>
            <w:r>
              <w:rPr>
                <w:rFonts w:ascii="Bookman Old Style" w:hAnsi="Bookman Old Style" w:cs="Arial"/>
                <w:color w:val="000000" w:themeColor="text1"/>
                <w:sz w:val="24"/>
                <w:szCs w:val="24"/>
              </w:rPr>
              <w:t>,</w:t>
            </w:r>
            <w:r w:rsidRPr="00F23AE8">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 xml:space="preserve">o al </w:t>
            </w:r>
            <w:r w:rsidRPr="00F34DA6">
              <w:rPr>
                <w:rFonts w:ascii="Bookman Old Style" w:hAnsi="Bookman Old Style" w:cs="Arial"/>
                <w:color w:val="000000" w:themeColor="text1"/>
                <w:sz w:val="24"/>
                <w:szCs w:val="24"/>
              </w:rPr>
              <w:t xml:space="preserve">transportador incumbente que ejecute en primera instancia proyectos de </w:t>
            </w:r>
            <m:oMath>
              <m:r>
                <w:rPr>
                  <w:rFonts w:ascii="Cambria Math" w:hAnsi="Cambria Math" w:cs="Arial"/>
                  <w:color w:val="000000" w:themeColor="text1"/>
                  <w:sz w:val="24"/>
                  <w:szCs w:val="24"/>
                </w:rPr>
                <m:t>IPAT</m:t>
              </m:r>
            </m:oMath>
            <w:r>
              <w:rPr>
                <w:rFonts w:ascii="Bookman Old Style" w:hAnsi="Bookman Old Style" w:cs="Arial"/>
                <w:color w:val="000000" w:themeColor="text1"/>
                <w:sz w:val="24"/>
                <w:szCs w:val="24"/>
              </w:rPr>
              <w:t>,</w:t>
            </w:r>
            <w:r w:rsidRPr="00F23AE8">
              <w:rPr>
                <w:rFonts w:ascii="Bookman Old Style" w:hAnsi="Bookman Old Style" w:cs="Arial"/>
                <w:color w:val="000000" w:themeColor="text1"/>
                <w:sz w:val="24"/>
                <w:szCs w:val="24"/>
              </w:rPr>
              <w:t xml:space="preserve"> el reajuste de la garantía de cumplimiento. </w:t>
            </w:r>
          </w:p>
        </w:tc>
      </w:tr>
      <w:tr w:rsidR="00CF5EFC" w:rsidRPr="00F23AE8" w14:paraId="6CA451BF" w14:textId="77777777" w:rsidTr="001A39BF">
        <w:tc>
          <w:tcPr>
            <w:tcW w:w="2376" w:type="dxa"/>
          </w:tcPr>
          <w:p w14:paraId="6945F956"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3C7B3498"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5D9D6D01"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Independencia</w:t>
            </w:r>
          </w:p>
        </w:tc>
        <w:tc>
          <w:tcPr>
            <w:tcW w:w="7125" w:type="dxa"/>
          </w:tcPr>
          <w:p w14:paraId="7B6BABA2"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El patrimonio autónomo mantendrá los recursos objeto de la fiducia separados de los suyos y de los que correspondan a otros negocios fiduciarios.</w:t>
            </w:r>
          </w:p>
        </w:tc>
      </w:tr>
      <w:tr w:rsidR="00CF5EFC" w:rsidRPr="00F23AE8" w14:paraId="65569E69" w14:textId="77777777" w:rsidTr="001A39BF">
        <w:tc>
          <w:tcPr>
            <w:tcW w:w="2376" w:type="dxa"/>
          </w:tcPr>
          <w:p w14:paraId="76E0FBCD"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3028EB93"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2CE222DF"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Eficiencia</w:t>
            </w:r>
          </w:p>
        </w:tc>
        <w:tc>
          <w:tcPr>
            <w:tcW w:w="7125" w:type="dxa"/>
          </w:tcPr>
          <w:p w14:paraId="7A608EE3"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El patrimonio autónomo se regirá por procesos eficientes que aseguren a las partes procesos óptimos en el recibo y revelación de información, recibo de garantías y transferencia de recursos, entre los más relevantes.</w:t>
            </w:r>
          </w:p>
        </w:tc>
      </w:tr>
    </w:tbl>
    <w:p w14:paraId="47081D67" w14:textId="77777777" w:rsidR="00CF5EFC" w:rsidRPr="00F23AE8" w:rsidRDefault="00CF5EFC" w:rsidP="00CF5EFC">
      <w:pPr>
        <w:pStyle w:val="Prrafodelista"/>
        <w:tabs>
          <w:tab w:val="left" w:pos="567"/>
        </w:tabs>
        <w:ind w:left="0"/>
        <w:jc w:val="both"/>
        <w:rPr>
          <w:rFonts w:ascii="Bookman Old Style" w:hAnsi="Bookman Old Style" w:cs="Arial"/>
          <w:b/>
          <w:color w:val="000000" w:themeColor="text1"/>
          <w:sz w:val="24"/>
          <w:szCs w:val="24"/>
        </w:rPr>
      </w:pPr>
    </w:p>
    <w:p w14:paraId="1D5CCA8B" w14:textId="77777777" w:rsidR="00CF5EFC" w:rsidRPr="000F4D2C" w:rsidRDefault="00CF5EFC" w:rsidP="00CF5EFC">
      <w:pPr>
        <w:jc w:val="both"/>
        <w:rPr>
          <w:rFonts w:ascii="Bookman Old Style" w:hAnsi="Bookman Old Style"/>
          <w:sz w:val="24"/>
          <w:szCs w:val="24"/>
        </w:rPr>
      </w:pPr>
    </w:p>
    <w:p w14:paraId="0BD2ECF9" w14:textId="77777777" w:rsidR="00CF5EFC" w:rsidRPr="00F23AE8" w:rsidRDefault="00CF5EFC" w:rsidP="00CF5EFC">
      <w:pPr>
        <w:pStyle w:val="Prrafodelista"/>
        <w:numPr>
          <w:ilvl w:val="0"/>
          <w:numId w:val="25"/>
        </w:numPr>
        <w:tabs>
          <w:tab w:val="left" w:pos="567"/>
        </w:tabs>
        <w:ind w:left="567" w:hanging="567"/>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Calidades de la sociedad fiduciaria que se utilice la para la constitución del patrimonio autónomo que se constituya</w:t>
      </w:r>
    </w:p>
    <w:p w14:paraId="35D9C1F5" w14:textId="77777777" w:rsidR="00CF5EFC" w:rsidRPr="00F23AE8" w:rsidRDefault="00CF5EFC" w:rsidP="00CF5EFC">
      <w:pPr>
        <w:pStyle w:val="ARTICULOS"/>
        <w:numPr>
          <w:ilvl w:val="0"/>
          <w:numId w:val="0"/>
        </w:numPr>
        <w:tabs>
          <w:tab w:val="left" w:pos="1560"/>
        </w:tabs>
        <w:rPr>
          <w:rFonts w:cs="Arial"/>
          <w:color w:val="000000"/>
          <w:lang w:val="es-CO"/>
        </w:rPr>
      </w:pPr>
    </w:p>
    <w:p w14:paraId="7DF2A200" w14:textId="77777777" w:rsidR="00CF5EFC" w:rsidRPr="00F23AE8" w:rsidRDefault="00CF5EFC" w:rsidP="00CF5EFC">
      <w:pPr>
        <w:pStyle w:val="ARTICULOS"/>
        <w:numPr>
          <w:ilvl w:val="0"/>
          <w:numId w:val="0"/>
        </w:numPr>
        <w:tabs>
          <w:tab w:val="left" w:pos="1560"/>
        </w:tabs>
        <w:rPr>
          <w:rFonts w:cs="Arial"/>
          <w:color w:val="000000"/>
          <w:lang w:val="es-CO"/>
        </w:rPr>
      </w:pPr>
      <w:r w:rsidRPr="00F23AE8">
        <w:rPr>
          <w:rFonts w:cs="Arial"/>
          <w:color w:val="000000"/>
          <w:lang w:val="es-CO"/>
        </w:rPr>
        <w:t>La sociedad fiduciaria deberá estar autorizada por la Superintendencia Financiera de Colombia, aspecto que deberá ser acreditado mediante el certificado de existencia y representación legal que para el efecto se expide y deberá comprometerse por escrito a actuar conforme a todas las disposiciones contenidas en la regulación vigente.</w:t>
      </w:r>
    </w:p>
    <w:p w14:paraId="603DDD93" w14:textId="77777777" w:rsidR="00CF5EFC" w:rsidRPr="000F4D2C" w:rsidRDefault="00CF5EFC" w:rsidP="00CF5EFC">
      <w:pPr>
        <w:ind w:left="993"/>
        <w:outlineLvl w:val="0"/>
        <w:rPr>
          <w:rFonts w:ascii="Bookman Old Style" w:hAnsi="Bookman Old Style" w:cs="Arial"/>
          <w:caps/>
          <w:color w:val="000000"/>
          <w:sz w:val="24"/>
          <w:szCs w:val="24"/>
        </w:rPr>
      </w:pPr>
    </w:p>
    <w:p w14:paraId="406A28BE" w14:textId="77777777" w:rsidR="00CF5EFC" w:rsidRPr="000F4D2C" w:rsidRDefault="00CF5EFC" w:rsidP="00CF5EFC">
      <w:pPr>
        <w:rPr>
          <w:rFonts w:ascii="Bookman Old Style" w:hAnsi="Bookman Old Style"/>
          <w:sz w:val="24"/>
          <w:szCs w:val="24"/>
        </w:rPr>
      </w:pPr>
    </w:p>
    <w:p w14:paraId="43A9E0C8" w14:textId="77777777" w:rsidR="00CF5EFC" w:rsidRPr="000F4D2C" w:rsidRDefault="00CF5EFC" w:rsidP="00CF5EFC">
      <w:pPr>
        <w:rPr>
          <w:rFonts w:ascii="Bookman Old Style" w:hAnsi="Bookman Old Style"/>
          <w:sz w:val="24"/>
          <w:szCs w:val="24"/>
        </w:rPr>
      </w:pPr>
    </w:p>
    <w:p w14:paraId="672137BD" w14:textId="77777777" w:rsidR="00CF5EFC" w:rsidRPr="000F4D2C" w:rsidRDefault="00CF5EFC" w:rsidP="00CF5EFC">
      <w:pPr>
        <w:rPr>
          <w:rFonts w:ascii="Bookman Old Style" w:hAnsi="Bookman Old Style"/>
          <w:sz w:val="24"/>
          <w:szCs w:val="24"/>
        </w:rPr>
      </w:pPr>
    </w:p>
    <w:p w14:paraId="00643AC3" w14:textId="77777777" w:rsidR="00CF5EFC" w:rsidRPr="000F4D2C" w:rsidRDefault="00CF5EFC" w:rsidP="00CF5EFC">
      <w:pPr>
        <w:rPr>
          <w:rFonts w:ascii="Bookman Old Style" w:hAnsi="Bookman Old Style"/>
          <w:sz w:val="24"/>
          <w:szCs w:val="24"/>
        </w:rPr>
      </w:pPr>
    </w:p>
    <w:p w14:paraId="202EE9F0" w14:textId="77777777" w:rsidR="00CF5EFC" w:rsidRPr="000F4D2C" w:rsidRDefault="00CF5EFC" w:rsidP="00CF5EFC">
      <w:pPr>
        <w:rPr>
          <w:rFonts w:ascii="Bookman Old Style" w:hAnsi="Bookman Old Style"/>
          <w:sz w:val="24"/>
          <w:szCs w:val="24"/>
        </w:rPr>
      </w:pPr>
    </w:p>
    <w:tbl>
      <w:tblPr>
        <w:tblW w:w="10475" w:type="dxa"/>
        <w:jc w:val="center"/>
        <w:tblLayout w:type="fixed"/>
        <w:tblCellMar>
          <w:left w:w="70" w:type="dxa"/>
          <w:right w:w="70" w:type="dxa"/>
        </w:tblCellMar>
        <w:tblLook w:val="04A0" w:firstRow="1" w:lastRow="0" w:firstColumn="1" w:lastColumn="0" w:noHBand="0" w:noVBand="1"/>
      </w:tblPr>
      <w:tblGrid>
        <w:gridCol w:w="5564"/>
        <w:gridCol w:w="4911"/>
      </w:tblGrid>
      <w:tr w:rsidR="0077173B" w:rsidRPr="00F23AE8" w14:paraId="179D2B34" w14:textId="77777777" w:rsidTr="000F4D2C">
        <w:trPr>
          <w:jc w:val="center"/>
        </w:trPr>
        <w:tc>
          <w:tcPr>
            <w:tcW w:w="5564" w:type="dxa"/>
          </w:tcPr>
          <w:p w14:paraId="42D15E47" w14:textId="2EC1EC23" w:rsidR="0077173B" w:rsidRPr="000F4D2C" w:rsidRDefault="0077173B" w:rsidP="0077173B">
            <w:pPr>
              <w:jc w:val="center"/>
              <w:rPr>
                <w:rFonts w:ascii="Bookman Old Style" w:hAnsi="Bookman Old Style" w:cs="Arial"/>
                <w:b/>
                <w:spacing w:val="-3"/>
                <w:sz w:val="24"/>
                <w:szCs w:val="24"/>
                <w:lang w:val="es-ES_tradnl"/>
              </w:rPr>
            </w:pPr>
          </w:p>
        </w:tc>
        <w:tc>
          <w:tcPr>
            <w:tcW w:w="4911" w:type="dxa"/>
          </w:tcPr>
          <w:p w14:paraId="751A9398" w14:textId="1516A505" w:rsidR="0077173B" w:rsidRPr="000F4D2C" w:rsidRDefault="0077173B" w:rsidP="0077173B">
            <w:pPr>
              <w:ind w:left="19" w:right="-142"/>
              <w:jc w:val="center"/>
              <w:rPr>
                <w:rFonts w:ascii="Bookman Old Style" w:hAnsi="Bookman Old Style" w:cs="Arial"/>
                <w:b/>
                <w:spacing w:val="-3"/>
                <w:sz w:val="24"/>
                <w:szCs w:val="24"/>
                <w:lang w:val="es-ES_tradnl"/>
              </w:rPr>
            </w:pPr>
          </w:p>
        </w:tc>
      </w:tr>
      <w:tr w:rsidR="0077173B" w:rsidRPr="00F23AE8" w14:paraId="2BD07C01" w14:textId="77777777" w:rsidTr="000F4D2C">
        <w:trPr>
          <w:jc w:val="center"/>
        </w:trPr>
        <w:tc>
          <w:tcPr>
            <w:tcW w:w="5564" w:type="dxa"/>
          </w:tcPr>
          <w:p w14:paraId="2443F260" w14:textId="2A7066B6" w:rsidR="0077173B" w:rsidRPr="000F4D2C" w:rsidRDefault="0077173B" w:rsidP="0077173B">
            <w:pPr>
              <w:jc w:val="center"/>
              <w:rPr>
                <w:rFonts w:ascii="Bookman Old Style" w:hAnsi="Bookman Old Style" w:cs="Arial"/>
                <w:spacing w:val="-3"/>
                <w:sz w:val="24"/>
                <w:szCs w:val="24"/>
                <w:lang w:val="es-ES_tradnl"/>
              </w:rPr>
            </w:pPr>
          </w:p>
        </w:tc>
        <w:tc>
          <w:tcPr>
            <w:tcW w:w="4911" w:type="dxa"/>
          </w:tcPr>
          <w:p w14:paraId="5DB60AFD" w14:textId="53DBCDF6" w:rsidR="0077173B" w:rsidRPr="000F4D2C" w:rsidRDefault="0077173B" w:rsidP="0077173B">
            <w:pPr>
              <w:jc w:val="center"/>
              <w:rPr>
                <w:rFonts w:ascii="Bookman Old Style" w:hAnsi="Bookman Old Style" w:cs="Arial"/>
                <w:spacing w:val="-3"/>
                <w:sz w:val="24"/>
                <w:szCs w:val="24"/>
                <w:lang w:val="es-ES_tradnl"/>
              </w:rPr>
            </w:pPr>
          </w:p>
        </w:tc>
      </w:tr>
    </w:tbl>
    <w:p w14:paraId="78320202" w14:textId="77777777" w:rsidR="00CF5EFC" w:rsidRPr="000F4D2C" w:rsidRDefault="00CF5EFC" w:rsidP="00CF5EFC">
      <w:pPr>
        <w:tabs>
          <w:tab w:val="left" w:pos="6379"/>
        </w:tabs>
        <w:rPr>
          <w:rFonts w:ascii="Bookman Old Style" w:hAnsi="Bookman Old Style" w:cs="Arial"/>
          <w:color w:val="000000"/>
          <w:sz w:val="24"/>
          <w:szCs w:val="24"/>
        </w:rPr>
      </w:pPr>
    </w:p>
    <w:p w14:paraId="31840A27" w14:textId="77777777" w:rsidR="00CF5EFC" w:rsidRPr="000F4D2C" w:rsidRDefault="00CF5EFC" w:rsidP="00CF5EFC">
      <w:pPr>
        <w:rPr>
          <w:rFonts w:ascii="Bookman Old Style" w:hAnsi="Bookman Old Style" w:cs="Arial"/>
          <w:color w:val="000000"/>
          <w:sz w:val="24"/>
          <w:szCs w:val="24"/>
        </w:rPr>
      </w:pPr>
      <w:r w:rsidRPr="000F4D2C">
        <w:rPr>
          <w:rFonts w:ascii="Bookman Old Style" w:hAnsi="Bookman Old Style" w:cs="Arial"/>
          <w:color w:val="000000"/>
          <w:sz w:val="24"/>
          <w:szCs w:val="24"/>
        </w:rPr>
        <w:br w:type="page"/>
      </w:r>
    </w:p>
    <w:p w14:paraId="318644B9" w14:textId="028E494B" w:rsidR="00CF5EFC" w:rsidRDefault="00CF5EFC" w:rsidP="00CF5EFC">
      <w:pPr>
        <w:pStyle w:val="Descripcin"/>
        <w:spacing w:line="240" w:lineRule="exact"/>
        <w:rPr>
          <w:rFonts w:ascii="Bookman Old Style" w:hAnsi="Bookman Old Style" w:cs="Arial"/>
          <w:b/>
          <w:color w:val="000000"/>
          <w:sz w:val="24"/>
          <w:szCs w:val="24"/>
          <w:lang w:val="es-CO"/>
        </w:rPr>
      </w:pPr>
      <w:bookmarkStart w:id="33" w:name="_Ref443472829"/>
      <w:bookmarkStart w:id="34" w:name="_Ref443495789"/>
      <w:r w:rsidRPr="00F23AE8">
        <w:rPr>
          <w:rFonts w:ascii="Bookman Old Style" w:hAnsi="Bookman Old Style"/>
          <w:b/>
          <w:sz w:val="24"/>
          <w:szCs w:val="24"/>
        </w:rPr>
        <w:lastRenderedPageBreak/>
        <w:t xml:space="preserve">Anexo </w:t>
      </w:r>
      <w:r w:rsidRPr="00F23AE8">
        <w:rPr>
          <w:rFonts w:ascii="Bookman Old Style" w:hAnsi="Bookman Old Style"/>
          <w:b/>
          <w:sz w:val="24"/>
          <w:szCs w:val="24"/>
        </w:rPr>
        <w:fldChar w:fldCharType="begin"/>
      </w:r>
      <w:r w:rsidRPr="00F23AE8">
        <w:rPr>
          <w:rFonts w:ascii="Bookman Old Style" w:hAnsi="Bookman Old Style"/>
          <w:b/>
          <w:sz w:val="24"/>
          <w:szCs w:val="24"/>
        </w:rPr>
        <w:instrText xml:space="preserve"> SEQ Anexo \* ARABIC </w:instrText>
      </w:r>
      <w:r w:rsidRPr="00F23AE8">
        <w:rPr>
          <w:rFonts w:ascii="Bookman Old Style" w:hAnsi="Bookman Old Style"/>
          <w:b/>
          <w:sz w:val="24"/>
          <w:szCs w:val="24"/>
        </w:rPr>
        <w:fldChar w:fldCharType="separate"/>
      </w:r>
      <w:r w:rsidR="000D7E7B">
        <w:rPr>
          <w:rFonts w:ascii="Bookman Old Style" w:hAnsi="Bookman Old Style"/>
          <w:b/>
          <w:noProof/>
          <w:sz w:val="24"/>
          <w:szCs w:val="24"/>
        </w:rPr>
        <w:t>3</w:t>
      </w:r>
      <w:r w:rsidRPr="00F23AE8">
        <w:rPr>
          <w:rFonts w:ascii="Bookman Old Style" w:hAnsi="Bookman Old Style"/>
          <w:b/>
          <w:sz w:val="24"/>
          <w:szCs w:val="24"/>
        </w:rPr>
        <w:fldChar w:fldCharType="end"/>
      </w:r>
      <w:bookmarkEnd w:id="33"/>
      <w:bookmarkEnd w:id="34"/>
      <w:r w:rsidRPr="00F23AE8">
        <w:rPr>
          <w:rFonts w:ascii="Bookman Old Style" w:hAnsi="Bookman Old Style"/>
          <w:b/>
          <w:sz w:val="24"/>
          <w:szCs w:val="24"/>
        </w:rPr>
        <w:t xml:space="preserve">. </w:t>
      </w:r>
      <w:r w:rsidRPr="00F23AE8">
        <w:rPr>
          <w:rFonts w:ascii="Bookman Old Style" w:hAnsi="Bookman Old Style" w:cs="Arial"/>
          <w:b/>
          <w:color w:val="000000"/>
          <w:sz w:val="24"/>
          <w:szCs w:val="24"/>
          <w:lang w:val="es-CO"/>
        </w:rPr>
        <w:t>Disposiciones generales de las garantías de cumplimiento</w:t>
      </w:r>
    </w:p>
    <w:p w14:paraId="574D308A" w14:textId="77777777" w:rsidR="00D82B0A" w:rsidRDefault="00D82B0A" w:rsidP="00CF5EFC">
      <w:pPr>
        <w:tabs>
          <w:tab w:val="left" w:pos="6379"/>
        </w:tabs>
        <w:jc w:val="both"/>
        <w:rPr>
          <w:rFonts w:ascii="Bookman Old Style" w:hAnsi="Bookman Old Style" w:cs="Arial"/>
          <w:color w:val="000000" w:themeColor="text1"/>
          <w:sz w:val="24"/>
          <w:szCs w:val="24"/>
        </w:rPr>
      </w:pPr>
    </w:p>
    <w:p w14:paraId="74448646" w14:textId="058841B3" w:rsidR="00CF5EFC" w:rsidRPr="000F4D2C" w:rsidRDefault="00CF5EFC" w:rsidP="00CF5EFC">
      <w:pPr>
        <w:tabs>
          <w:tab w:val="left" w:pos="6379"/>
        </w:tabs>
        <w:jc w:val="both"/>
        <w:rPr>
          <w:rFonts w:ascii="Bookman Old Style" w:hAnsi="Bookman Old Style" w:cs="Arial"/>
          <w:color w:val="000000"/>
          <w:sz w:val="24"/>
          <w:szCs w:val="24"/>
        </w:rPr>
      </w:pPr>
      <w:r w:rsidRPr="000F4D2C">
        <w:rPr>
          <w:rFonts w:ascii="Bookman Old Style" w:hAnsi="Bookman Old Style" w:cs="Arial"/>
          <w:color w:val="000000" w:themeColor="text1"/>
          <w:sz w:val="24"/>
          <w:szCs w:val="24"/>
        </w:rPr>
        <w:t xml:space="preserve">Este anexo trata sobre las disposiciones que deben cumplir los adjudicatarios, o los </w:t>
      </w:r>
      <w:r w:rsidRPr="000F4D2C">
        <w:rPr>
          <w:rFonts w:ascii="Bookman Old Style" w:hAnsi="Bookman Old Style"/>
          <w:sz w:val="24"/>
          <w:szCs w:val="24"/>
        </w:rPr>
        <w:t xml:space="preserve">transportadores incumbentes que ejecuten en primera instancia proyectos de </w:t>
      </w:r>
      <m:oMath>
        <m:r>
          <w:rPr>
            <w:rFonts w:ascii="Cambria Math" w:hAnsi="Cambria Math"/>
            <w:sz w:val="24"/>
            <w:szCs w:val="24"/>
          </w:rPr>
          <m:t>IPAT</m:t>
        </m:r>
      </m:oMath>
      <w:r w:rsidRPr="000F4D2C">
        <w:rPr>
          <w:rFonts w:ascii="Bookman Old Style" w:hAnsi="Bookman Old Style"/>
          <w:sz w:val="24"/>
          <w:szCs w:val="24"/>
        </w:rPr>
        <w:t>,</w:t>
      </w:r>
      <w:r w:rsidRPr="000F4D2C">
        <w:rPr>
          <w:rFonts w:ascii="Bookman Old Style" w:hAnsi="Bookman Old Style" w:cs="Arial"/>
          <w:color w:val="000000" w:themeColor="text1"/>
          <w:sz w:val="24"/>
          <w:szCs w:val="24"/>
        </w:rPr>
        <w:t xml:space="preserve"> en materia de la constitución de las garantías de cumplimiento cuando ejecuten proyectos prioritarios del plan de abastecimiento de gas natural, o del plan transitorio de abastecimiento de gas natural. </w:t>
      </w:r>
    </w:p>
    <w:p w14:paraId="03E0130F" w14:textId="77777777" w:rsidR="00CF5EFC" w:rsidRPr="000F4D2C" w:rsidRDefault="00CF5EFC" w:rsidP="00CF5EFC">
      <w:pPr>
        <w:tabs>
          <w:tab w:val="left" w:pos="6379"/>
        </w:tabs>
        <w:rPr>
          <w:rFonts w:ascii="Bookman Old Style" w:hAnsi="Bookman Old Style" w:cs="Arial"/>
          <w:color w:val="000000"/>
          <w:sz w:val="24"/>
          <w:szCs w:val="24"/>
        </w:rPr>
      </w:pPr>
    </w:p>
    <w:p w14:paraId="4647E204" w14:textId="77777777" w:rsidR="00CF5EFC" w:rsidRPr="00F23AE8" w:rsidRDefault="00CF5EFC" w:rsidP="00CF5EFC">
      <w:pPr>
        <w:pStyle w:val="Prrafodelista"/>
        <w:numPr>
          <w:ilvl w:val="0"/>
          <w:numId w:val="23"/>
        </w:numPr>
        <w:tabs>
          <w:tab w:val="left" w:pos="567"/>
          <w:tab w:val="left" w:pos="6379"/>
        </w:tabs>
        <w:ind w:left="357" w:hanging="357"/>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Criterios generales que deben cumplir las garantías</w:t>
      </w:r>
    </w:p>
    <w:p w14:paraId="4EB69CCD" w14:textId="77777777" w:rsidR="00CF5EFC" w:rsidRPr="00F23AE8" w:rsidRDefault="00CF5EFC" w:rsidP="00CF5EFC">
      <w:pPr>
        <w:pStyle w:val="Prrafodelista"/>
        <w:tabs>
          <w:tab w:val="left" w:pos="567"/>
          <w:tab w:val="left" w:pos="6379"/>
        </w:tabs>
        <w:ind w:left="0"/>
        <w:jc w:val="both"/>
        <w:rPr>
          <w:rFonts w:ascii="Bookman Old Style" w:hAnsi="Bookman Old Style" w:cs="Arial"/>
          <w:b/>
          <w:color w:val="000000" w:themeColor="text1"/>
          <w:sz w:val="24"/>
          <w:szCs w:val="24"/>
        </w:rPr>
      </w:pPr>
    </w:p>
    <w:p w14:paraId="4EAA4D26"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sz w:val="24"/>
          <w:szCs w:val="24"/>
        </w:rPr>
      </w:pPr>
      <w:bookmarkStart w:id="35" w:name="_Ref410653176"/>
      <w:r w:rsidRPr="00F23AE8">
        <w:rPr>
          <w:rFonts w:ascii="Bookman Old Style" w:hAnsi="Bookman Old Style" w:cs="Arial"/>
          <w:sz w:val="24"/>
          <w:szCs w:val="24"/>
        </w:rPr>
        <w:t>Cuando se trate de garantías otorgadas por una entidad financiera domiciliada en Colombia se deberá acreditar una calificación de riesgo crediticio de la deuda de largo plazo de grado de inversión por parte de una agencia calificadora de riesgos vigilada por la Superintendencia Financiera de Colombia.</w:t>
      </w:r>
      <w:bookmarkEnd w:id="35"/>
    </w:p>
    <w:p w14:paraId="765E7B20" w14:textId="77777777" w:rsidR="00CF5EFC" w:rsidRPr="00F23AE8" w:rsidRDefault="00CF5EFC" w:rsidP="00CF5EFC">
      <w:pPr>
        <w:pStyle w:val="Prrafodelista"/>
        <w:tabs>
          <w:tab w:val="left" w:pos="1478"/>
          <w:tab w:val="left" w:pos="6379"/>
        </w:tabs>
        <w:ind w:left="1430"/>
        <w:jc w:val="both"/>
        <w:rPr>
          <w:rFonts w:ascii="Bookman Old Style" w:hAnsi="Bookman Old Style" w:cs="Arial"/>
          <w:color w:val="000000" w:themeColor="text1"/>
          <w:sz w:val="24"/>
          <w:szCs w:val="24"/>
        </w:rPr>
      </w:pPr>
    </w:p>
    <w:p w14:paraId="21A6700A"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bookmarkStart w:id="36" w:name="_Ref410653183"/>
      <w:r w:rsidRPr="00F23AE8">
        <w:rPr>
          <w:rFonts w:ascii="Bookman Old Style" w:hAnsi="Bookman Old Style" w:cs="Arial"/>
          <w:color w:val="000000" w:themeColor="text1"/>
          <w:sz w:val="24"/>
          <w:szCs w:val="24"/>
        </w:rPr>
        <w:t>Cuando se trate de garantías otorgadas por una entidad financiera del exterior ésta deberá estar incluida en el listado de entidades financieras del exterior contenido en el anexo No. 1 de la Circular Reglamentaria Externa DCIN-83 de 2003 del Banco de la República o en las normas que lo modifiquen</w:t>
      </w:r>
      <w:r>
        <w:rPr>
          <w:rFonts w:ascii="Bookman Old Style" w:hAnsi="Bookman Old Style" w:cs="Arial"/>
          <w:color w:val="000000" w:themeColor="text1"/>
          <w:sz w:val="24"/>
          <w:szCs w:val="24"/>
        </w:rPr>
        <w:t xml:space="preserve"> </w:t>
      </w:r>
      <w:r w:rsidRPr="00F23AE8">
        <w:rPr>
          <w:rFonts w:ascii="Bookman Old Style" w:hAnsi="Bookman Old Style" w:cs="Arial"/>
          <w:color w:val="000000" w:themeColor="text1"/>
          <w:sz w:val="24"/>
          <w:szCs w:val="24"/>
        </w:rPr>
        <w:t>o sustituyan y acreditar una calificación de deuda de largo plazo de Standard &amp; Poor’s Corporation, Fitch Ratings o de Moody’s Investor’s Services Inc., de al menos grado de inversión.</w:t>
      </w:r>
      <w:bookmarkEnd w:id="36"/>
    </w:p>
    <w:p w14:paraId="0924FB64" w14:textId="77777777" w:rsidR="00CF5EFC" w:rsidRPr="00F23AE8" w:rsidRDefault="00CF5EFC" w:rsidP="00CF5EFC">
      <w:pPr>
        <w:pStyle w:val="Prrafodelista"/>
        <w:tabs>
          <w:tab w:val="left" w:pos="6379"/>
        </w:tabs>
        <w:ind w:left="0"/>
        <w:jc w:val="both"/>
        <w:rPr>
          <w:rFonts w:ascii="Bookman Old Style" w:hAnsi="Bookman Old Style" w:cs="Arial"/>
          <w:color w:val="000000" w:themeColor="text1"/>
          <w:sz w:val="24"/>
          <w:szCs w:val="24"/>
          <w:lang w:val="es-ES"/>
        </w:rPr>
      </w:pPr>
    </w:p>
    <w:p w14:paraId="6ACCD0F1"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La entidad financiera otorgante de la garantía deberá pagar al primer requerimiento del beneficiario (i.e. el patrimonio autónomo) los correspondientes recursos en la cuenta bancaria de la entidad financiera en Colombia que para tales efectos se haya constituido.</w:t>
      </w:r>
    </w:p>
    <w:p w14:paraId="4E788E6F" w14:textId="77777777" w:rsidR="00CF5EFC" w:rsidRPr="00F23AE8" w:rsidRDefault="00CF5EFC" w:rsidP="00CF5EFC">
      <w:pPr>
        <w:pStyle w:val="Prrafodelista"/>
        <w:tabs>
          <w:tab w:val="left" w:pos="6379"/>
        </w:tabs>
        <w:rPr>
          <w:rFonts w:ascii="Bookman Old Style" w:hAnsi="Bookman Old Style" w:cs="Arial"/>
          <w:color w:val="000000" w:themeColor="text1"/>
          <w:sz w:val="24"/>
          <w:szCs w:val="24"/>
        </w:rPr>
      </w:pPr>
    </w:p>
    <w:p w14:paraId="01FD0CEC"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Las garantías deben ser otorgadas de manera irrevocable e incondicional a la orden del patrimonio autónomo que se conforme.</w:t>
      </w:r>
    </w:p>
    <w:p w14:paraId="63E56FFB" w14:textId="77777777" w:rsidR="00CF5EFC" w:rsidRPr="00F23AE8" w:rsidRDefault="00CF5EFC" w:rsidP="00CF5EFC">
      <w:pPr>
        <w:pStyle w:val="Prrafodelista"/>
        <w:tabs>
          <w:tab w:val="left" w:pos="6379"/>
        </w:tabs>
        <w:rPr>
          <w:rFonts w:ascii="Bookman Old Style" w:hAnsi="Bookman Old Style" w:cs="Arial"/>
          <w:color w:val="000000" w:themeColor="text1"/>
          <w:sz w:val="24"/>
          <w:szCs w:val="24"/>
        </w:rPr>
      </w:pPr>
    </w:p>
    <w:p w14:paraId="7405DD81"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El patrimonio autónomo que se conforme debe tener la preferencia para obtener incondicionalmente y de manera inmediata el pago de la obligación garantizada en el momento de su ejecución, en la cuenta bancaria en Colombia que para tales efectos establezca el fideicomiso o patrimonio autónomo.</w:t>
      </w:r>
    </w:p>
    <w:p w14:paraId="200F8F3B" w14:textId="77777777" w:rsidR="00CF5EFC" w:rsidRPr="00F23AE8" w:rsidRDefault="00CF5EFC" w:rsidP="00CF5EFC">
      <w:pPr>
        <w:pStyle w:val="Prrafodelista"/>
        <w:tabs>
          <w:tab w:val="left" w:pos="6379"/>
        </w:tabs>
        <w:rPr>
          <w:rFonts w:ascii="Bookman Old Style" w:hAnsi="Bookman Old Style" w:cs="Arial"/>
          <w:color w:val="000000" w:themeColor="text1"/>
          <w:sz w:val="24"/>
          <w:szCs w:val="24"/>
        </w:rPr>
      </w:pPr>
    </w:p>
    <w:p w14:paraId="0FF69D88"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Las garantías deben ser líquidas y fácilmente realizables en el momento en que deban hacerse efectivas.</w:t>
      </w:r>
    </w:p>
    <w:p w14:paraId="03062EBF" w14:textId="77777777" w:rsidR="00CF5EFC" w:rsidRPr="00F23AE8" w:rsidRDefault="00CF5EFC" w:rsidP="00CF5EFC">
      <w:pPr>
        <w:pStyle w:val="Prrafodelista"/>
        <w:tabs>
          <w:tab w:val="left" w:pos="6379"/>
        </w:tabs>
        <w:rPr>
          <w:rFonts w:ascii="Bookman Old Style" w:hAnsi="Bookman Old Style" w:cs="Arial"/>
          <w:color w:val="000000" w:themeColor="text1"/>
          <w:sz w:val="24"/>
          <w:szCs w:val="24"/>
          <w:lang w:val="es-MX"/>
        </w:rPr>
      </w:pPr>
    </w:p>
    <w:p w14:paraId="1F3BFBAD"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La entidad financiera otorgante deberá pagar dentro de los </w:t>
      </w:r>
      <w:r>
        <w:rPr>
          <w:rFonts w:ascii="Bookman Old Style" w:hAnsi="Bookman Old Style" w:cs="Arial"/>
          <w:color w:val="000000" w:themeColor="text1"/>
          <w:sz w:val="24"/>
          <w:szCs w:val="24"/>
        </w:rPr>
        <w:t>cinco</w:t>
      </w:r>
      <w:r w:rsidRPr="00F23AE8">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5</w:t>
      </w:r>
      <w:r w:rsidRPr="00F23AE8">
        <w:rPr>
          <w:rFonts w:ascii="Bookman Old Style" w:hAnsi="Bookman Old Style" w:cs="Arial"/>
          <w:color w:val="000000" w:themeColor="text1"/>
          <w:sz w:val="24"/>
          <w:szCs w:val="24"/>
        </w:rPr>
        <w:t>) días hábiles siguientes a la fecha en que se realice el primer requerimiento siempre que se trate de una entidad financiera domiciliada en Colombia, o dentro de los quince (15) días calendario siguientes a la fecha en que se realice el primer requerimiento, siempre que se trate de una entidad financiera del exterior.</w:t>
      </w:r>
    </w:p>
    <w:p w14:paraId="5B32EEB8" w14:textId="77777777" w:rsidR="00CF5EFC" w:rsidRPr="00F23AE8" w:rsidRDefault="00CF5EFC" w:rsidP="00CF5EFC">
      <w:pPr>
        <w:pStyle w:val="Prrafodelista"/>
        <w:tabs>
          <w:tab w:val="left" w:pos="1478"/>
          <w:tab w:val="left" w:pos="6379"/>
        </w:tabs>
        <w:ind w:left="720"/>
        <w:jc w:val="both"/>
        <w:rPr>
          <w:rFonts w:ascii="Bookman Old Style" w:hAnsi="Bookman Old Style" w:cs="Arial"/>
          <w:color w:val="000000" w:themeColor="text1"/>
          <w:sz w:val="24"/>
          <w:szCs w:val="24"/>
        </w:rPr>
      </w:pPr>
    </w:p>
    <w:p w14:paraId="4BFCF5A4"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El valor pagado por la entidad financiera otorgante deberá ser igual al valor total de la cobertura conforme a lo indicado en el presente anexo.</w:t>
      </w:r>
    </w:p>
    <w:p w14:paraId="42686487" w14:textId="77777777" w:rsidR="00CF5EFC" w:rsidRPr="00F23AE8" w:rsidRDefault="00CF5EFC" w:rsidP="00CF5EFC">
      <w:pPr>
        <w:pStyle w:val="Prrafodelista"/>
        <w:rPr>
          <w:rFonts w:ascii="Bookman Old Style" w:hAnsi="Bookman Old Style" w:cs="Arial"/>
          <w:color w:val="000000" w:themeColor="text1"/>
          <w:sz w:val="24"/>
          <w:szCs w:val="24"/>
        </w:rPr>
      </w:pPr>
    </w:p>
    <w:p w14:paraId="39E5619D" w14:textId="77777777" w:rsidR="00CF5EFC" w:rsidRPr="00F23AE8" w:rsidRDefault="00CF5EFC" w:rsidP="00CF5EFC">
      <w:pPr>
        <w:pStyle w:val="Prrafodelista"/>
        <w:tabs>
          <w:tab w:val="left" w:pos="567"/>
          <w:tab w:val="left" w:pos="6379"/>
        </w:tabs>
        <w:ind w:left="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Por tanto, el valor pagado deberá ser neto, libre de cualquier tipo de deducción, depósito, comisión, encaje, impuesto, tasa, contribución, afectación o retención por parte de la entidad financiera otorgante y/o de las autoridades cambiarias, tributarias o de cualquier otra índole que pueda afectar el valor del desembolso de la garantía.</w:t>
      </w:r>
    </w:p>
    <w:p w14:paraId="2FDEA452" w14:textId="77777777" w:rsidR="00CF5EFC" w:rsidRPr="000F4D2C" w:rsidRDefault="00CF5EFC" w:rsidP="00CF5EFC">
      <w:pPr>
        <w:pStyle w:val="Prrafodelista"/>
        <w:tabs>
          <w:tab w:val="left" w:pos="6379"/>
        </w:tabs>
        <w:ind w:left="0"/>
        <w:jc w:val="both"/>
        <w:rPr>
          <w:rFonts w:ascii="Bookman Old Style" w:hAnsi="Bookman Old Style" w:cs="Arial"/>
          <w:color w:val="000000" w:themeColor="text1"/>
          <w:sz w:val="24"/>
          <w:szCs w:val="24"/>
          <w:lang w:val="es-ES"/>
        </w:rPr>
      </w:pPr>
    </w:p>
    <w:p w14:paraId="0B52A0EE"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La entidad financiera otorgante de la garantía deberá renunciar a requerimientos judiciales, extrajudiciales o de cualquier otro tipo, para el pago de la obligación garantizada, tanto en Colombia como en el exterior.</w:t>
      </w:r>
    </w:p>
    <w:p w14:paraId="7BF47458" w14:textId="77777777" w:rsidR="00CF5EFC" w:rsidRPr="000F4D2C" w:rsidRDefault="00CF5EFC" w:rsidP="00CF5EFC">
      <w:pPr>
        <w:pStyle w:val="Prrafodelista"/>
        <w:tabs>
          <w:tab w:val="left" w:pos="6379"/>
        </w:tabs>
        <w:ind w:left="0"/>
        <w:jc w:val="both"/>
        <w:rPr>
          <w:rFonts w:ascii="Bookman Old Style" w:hAnsi="Bookman Old Style" w:cs="Arial"/>
          <w:color w:val="000000" w:themeColor="text1"/>
          <w:sz w:val="24"/>
          <w:szCs w:val="24"/>
          <w:lang w:val="es-ES"/>
        </w:rPr>
      </w:pPr>
    </w:p>
    <w:p w14:paraId="6C204269"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Cuando se trate de garantías expedidas por entidades financieras domiciliadas en Colombia, el valor de la garantía constituida deberá estar calculado en moneda nacional.</w:t>
      </w:r>
    </w:p>
    <w:p w14:paraId="2CA0AC75" w14:textId="77777777" w:rsidR="00CF5EFC" w:rsidRPr="000F4D2C" w:rsidRDefault="00CF5EFC" w:rsidP="00CF5EFC">
      <w:pPr>
        <w:pStyle w:val="Prrafodelista"/>
        <w:tabs>
          <w:tab w:val="left" w:pos="6379"/>
        </w:tabs>
        <w:ind w:left="0"/>
        <w:jc w:val="both"/>
        <w:rPr>
          <w:rFonts w:ascii="Bookman Old Style" w:hAnsi="Bookman Old Style" w:cs="Arial"/>
          <w:color w:val="000000" w:themeColor="text1"/>
          <w:sz w:val="24"/>
          <w:szCs w:val="24"/>
          <w:lang w:val="es-ES"/>
        </w:rPr>
      </w:pPr>
    </w:p>
    <w:p w14:paraId="2B04D727"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Cuando se trate de garantías expedidas por entidades financieras del exterior, el valor de la garantía constituida deberá sin ninguna condición cubrir el valor en pesos de la garantía y ser exigible de acuerdo con las Normas RUU 600 de la Cámara de Comercio Internacional -CCI- (ICC Uniform Customs and Practice for Documentary Credits UCP 600) o aquellas Normas que las modifiquen</w:t>
      </w:r>
      <w:r>
        <w:rPr>
          <w:rFonts w:ascii="Bookman Old Style" w:hAnsi="Bookman Old Style" w:cs="Arial"/>
          <w:color w:val="000000" w:themeColor="text1"/>
          <w:sz w:val="24"/>
          <w:szCs w:val="24"/>
        </w:rPr>
        <w:t xml:space="preserve"> </w:t>
      </w:r>
      <w:r w:rsidRPr="00F23AE8">
        <w:rPr>
          <w:rFonts w:ascii="Bookman Old Style" w:hAnsi="Bookman Old Style" w:cs="Arial"/>
          <w:color w:val="000000" w:themeColor="text1"/>
          <w:sz w:val="24"/>
          <w:szCs w:val="24"/>
        </w:rPr>
        <w:t>o sustituyan y con las normas del estado Nueva York de los Estados Unidos de América. Estas garantías deberán prever mecanismos expeditos y eficaces para resolver definitivamente cualquier disputa que pueda surgir en relación con la garantía entre el beneficiario y el otorgante aplicando las normas que rigen su exigibilidad, tales como la decisión definitiva bajo las reglas de conciliación y arbitraje de la Cámara de Comercio Internacional, CCI, por uno o más árbitros designados según lo establecen las mencionadas reglas, o a través de los jueces del Estado de Nueva York.</w:t>
      </w:r>
    </w:p>
    <w:p w14:paraId="73BEB40E" w14:textId="77777777" w:rsidR="00CF5EFC" w:rsidRPr="000F4D2C" w:rsidRDefault="00CF5EFC" w:rsidP="00CF5EFC">
      <w:pPr>
        <w:pStyle w:val="ARTICULOS"/>
        <w:numPr>
          <w:ilvl w:val="0"/>
          <w:numId w:val="0"/>
        </w:numPr>
        <w:tabs>
          <w:tab w:val="left" w:pos="1560"/>
          <w:tab w:val="left" w:pos="6379"/>
        </w:tabs>
        <w:rPr>
          <w:rFonts w:cs="Arial"/>
          <w:color w:val="000000" w:themeColor="text1"/>
          <w:lang w:val="es-ES" w:eastAsia="es-ES"/>
        </w:rPr>
      </w:pPr>
    </w:p>
    <w:p w14:paraId="760E6276" w14:textId="2BA23729" w:rsidR="00CF5EFC" w:rsidRPr="00F23AE8" w:rsidRDefault="00CF5EFC" w:rsidP="00CF5EFC">
      <w:pPr>
        <w:pStyle w:val="ARTICULOS"/>
        <w:numPr>
          <w:ilvl w:val="0"/>
          <w:numId w:val="0"/>
        </w:numPr>
        <w:tabs>
          <w:tab w:val="left" w:pos="0"/>
          <w:tab w:val="left" w:pos="6379"/>
        </w:tabs>
        <w:rPr>
          <w:color w:val="000000" w:themeColor="text1"/>
          <w:lang w:val="es-ES"/>
        </w:rPr>
      </w:pPr>
      <w:r w:rsidRPr="00F23AE8">
        <w:rPr>
          <w:color w:val="000000" w:themeColor="text1"/>
          <w:lang w:val="es-ES"/>
        </w:rPr>
        <w:t xml:space="preserve">Para efectos de demostrar el cumplimiento de los criterios </w:t>
      </w:r>
      <w:r w:rsidRPr="00F23AE8">
        <w:rPr>
          <w:color w:val="000000" w:themeColor="text1"/>
          <w:lang w:val="es-ES"/>
        </w:rPr>
        <w:fldChar w:fldCharType="begin"/>
      </w:r>
      <w:r w:rsidRPr="00F23AE8">
        <w:rPr>
          <w:color w:val="000000" w:themeColor="text1"/>
          <w:lang w:val="es-ES"/>
        </w:rPr>
        <w:instrText xml:space="preserve"> REF _Ref410653176 \r \h </w:instrText>
      </w:r>
      <w:r>
        <w:rPr>
          <w:color w:val="000000" w:themeColor="text1"/>
          <w:lang w:val="es-ES"/>
        </w:rPr>
        <w:instrText xml:space="preserve"> \* MERGEFORMAT </w:instrText>
      </w:r>
      <w:r w:rsidRPr="00F23AE8">
        <w:rPr>
          <w:color w:val="000000" w:themeColor="text1"/>
          <w:lang w:val="es-ES"/>
        </w:rPr>
      </w:r>
      <w:r w:rsidRPr="00F23AE8">
        <w:rPr>
          <w:color w:val="000000" w:themeColor="text1"/>
          <w:lang w:val="es-ES"/>
        </w:rPr>
        <w:fldChar w:fldCharType="separate"/>
      </w:r>
      <w:r w:rsidR="000D7E7B">
        <w:rPr>
          <w:color w:val="000000" w:themeColor="text1"/>
          <w:lang w:val="es-ES"/>
        </w:rPr>
        <w:t>1.1</w:t>
      </w:r>
      <w:r w:rsidRPr="00F23AE8">
        <w:rPr>
          <w:color w:val="000000" w:themeColor="text1"/>
          <w:lang w:val="es-ES"/>
        </w:rPr>
        <w:fldChar w:fldCharType="end"/>
      </w:r>
      <w:r w:rsidRPr="00F23AE8">
        <w:rPr>
          <w:color w:val="000000" w:themeColor="text1"/>
          <w:lang w:val="es-ES"/>
        </w:rPr>
        <w:t xml:space="preserve"> y </w:t>
      </w:r>
      <w:r w:rsidRPr="00F23AE8">
        <w:rPr>
          <w:color w:val="000000" w:themeColor="text1"/>
          <w:lang w:val="es-ES"/>
        </w:rPr>
        <w:fldChar w:fldCharType="begin"/>
      </w:r>
      <w:r w:rsidRPr="00F23AE8">
        <w:rPr>
          <w:color w:val="000000" w:themeColor="text1"/>
          <w:lang w:val="es-ES"/>
        </w:rPr>
        <w:instrText xml:space="preserve"> REF _Ref410653183 \r \h </w:instrText>
      </w:r>
      <w:r>
        <w:rPr>
          <w:color w:val="000000" w:themeColor="text1"/>
          <w:lang w:val="es-ES"/>
        </w:rPr>
        <w:instrText xml:space="preserve"> \* MERGEFORMAT </w:instrText>
      </w:r>
      <w:r w:rsidRPr="00F23AE8">
        <w:rPr>
          <w:color w:val="000000" w:themeColor="text1"/>
          <w:lang w:val="es-ES"/>
        </w:rPr>
      </w:r>
      <w:r w:rsidRPr="00F23AE8">
        <w:rPr>
          <w:color w:val="000000" w:themeColor="text1"/>
          <w:lang w:val="es-ES"/>
        </w:rPr>
        <w:fldChar w:fldCharType="separate"/>
      </w:r>
      <w:r w:rsidR="000D7E7B">
        <w:rPr>
          <w:color w:val="000000" w:themeColor="text1"/>
          <w:lang w:val="es-ES"/>
        </w:rPr>
        <w:t>1.2</w:t>
      </w:r>
      <w:r w:rsidRPr="00F23AE8">
        <w:rPr>
          <w:color w:val="000000" w:themeColor="text1"/>
          <w:lang w:val="es-ES"/>
        </w:rPr>
        <w:fldChar w:fldCharType="end"/>
      </w:r>
      <w:r w:rsidRPr="00F23AE8">
        <w:rPr>
          <w:color w:val="000000" w:themeColor="text1"/>
          <w:lang w:val="es-ES"/>
        </w:rPr>
        <w:t xml:space="preserve"> del presente numeral, los </w:t>
      </w:r>
      <w:r>
        <w:rPr>
          <w:color w:val="000000" w:themeColor="text1"/>
          <w:lang w:val="es-ES"/>
        </w:rPr>
        <w:t>adjudicatarios</w:t>
      </w:r>
      <w:r w:rsidRPr="00F23AE8">
        <w:rPr>
          <w:color w:val="000000" w:themeColor="text1"/>
          <w:lang w:val="es-ES"/>
        </w:rPr>
        <w:t xml:space="preserve"> </w:t>
      </w:r>
      <w:r>
        <w:rPr>
          <w:rFonts w:cs="Arial"/>
          <w:color w:val="000000" w:themeColor="text1"/>
        </w:rPr>
        <w:t xml:space="preserve">o el </w:t>
      </w:r>
      <w:r w:rsidRPr="00F34DA6">
        <w:rPr>
          <w:rFonts w:cs="Arial"/>
          <w:color w:val="000000" w:themeColor="text1"/>
        </w:rPr>
        <w:t xml:space="preserve">transportador incumbente que ejecute en primera instancia proyectos de </w:t>
      </w:r>
      <m:oMath>
        <m:r>
          <w:rPr>
            <w:rFonts w:ascii="Cambria Math" w:hAnsi="Cambria Math" w:cs="Arial"/>
            <w:color w:val="000000" w:themeColor="text1"/>
          </w:rPr>
          <m:t>IPAT</m:t>
        </m:r>
      </m:oMath>
      <w:r w:rsidRPr="00F23AE8">
        <w:rPr>
          <w:color w:val="000000" w:themeColor="text1"/>
          <w:lang w:val="es-ES"/>
        </w:rPr>
        <w:t xml:space="preserve"> deberán acreditar al </w:t>
      </w:r>
      <w:r>
        <w:rPr>
          <w:color w:val="000000" w:themeColor="text1"/>
          <w:lang w:val="es-ES"/>
        </w:rPr>
        <w:t>patrimonio autónomo</w:t>
      </w:r>
      <w:r w:rsidRPr="00F23AE8">
        <w:rPr>
          <w:color w:val="000000" w:themeColor="text1"/>
          <w:lang w:val="es-ES"/>
        </w:rPr>
        <w:t>, al momento de presentación, ajuste o reposición de las garantías, que la entidad financiera otorgante satisface los requerimientos indicados en estos criterios.</w:t>
      </w:r>
    </w:p>
    <w:p w14:paraId="20E43FEE" w14:textId="77777777" w:rsidR="00CF5EFC" w:rsidRPr="000F4D2C" w:rsidRDefault="00CF5EFC" w:rsidP="00CF5EFC">
      <w:pPr>
        <w:pStyle w:val="Prrafodelista"/>
        <w:tabs>
          <w:tab w:val="left" w:pos="6379"/>
        </w:tabs>
        <w:ind w:left="0"/>
        <w:jc w:val="both"/>
        <w:rPr>
          <w:rFonts w:ascii="Bookman Old Style" w:hAnsi="Bookman Old Style" w:cs="Arial"/>
          <w:color w:val="000000" w:themeColor="text1"/>
          <w:sz w:val="24"/>
          <w:szCs w:val="24"/>
          <w:lang w:val="es-ES"/>
        </w:rPr>
      </w:pPr>
    </w:p>
    <w:p w14:paraId="6F755910" w14:textId="1881C377" w:rsidR="00CF5EFC" w:rsidRPr="00F23AE8" w:rsidRDefault="00CF5EFC" w:rsidP="00CF5EFC">
      <w:pPr>
        <w:pStyle w:val="ARTICULOS"/>
        <w:numPr>
          <w:ilvl w:val="0"/>
          <w:numId w:val="0"/>
        </w:numPr>
        <w:tabs>
          <w:tab w:val="left" w:pos="1560"/>
          <w:tab w:val="left" w:pos="6379"/>
        </w:tabs>
        <w:rPr>
          <w:color w:val="000000" w:themeColor="text1"/>
          <w:lang w:val="es-ES"/>
        </w:rPr>
      </w:pPr>
      <w:r w:rsidRPr="00F23AE8">
        <w:rPr>
          <w:color w:val="000000" w:themeColor="text1"/>
          <w:lang w:val="es-ES"/>
        </w:rPr>
        <w:t xml:space="preserve">Los agentes que utilicen garantías deben informar al </w:t>
      </w:r>
      <w:r>
        <w:rPr>
          <w:color w:val="000000" w:themeColor="text1"/>
          <w:lang w:val="es-ES"/>
        </w:rPr>
        <w:t xml:space="preserve">patrimonio autónomo </w:t>
      </w:r>
      <w:r w:rsidRPr="00F23AE8">
        <w:rPr>
          <w:color w:val="000000" w:themeColor="text1"/>
          <w:lang w:val="es-ES"/>
        </w:rPr>
        <w:t xml:space="preserve">cualquier modificación en la calificación de que tratan los numerales </w:t>
      </w:r>
      <w:r w:rsidRPr="00F23AE8">
        <w:rPr>
          <w:color w:val="000000" w:themeColor="text1"/>
          <w:lang w:val="es-ES"/>
        </w:rPr>
        <w:fldChar w:fldCharType="begin"/>
      </w:r>
      <w:r w:rsidRPr="00F23AE8">
        <w:rPr>
          <w:color w:val="000000" w:themeColor="text1"/>
          <w:lang w:val="es-ES"/>
        </w:rPr>
        <w:instrText xml:space="preserve"> REF _Ref410653176 \r \h </w:instrText>
      </w:r>
      <w:r>
        <w:rPr>
          <w:color w:val="000000" w:themeColor="text1"/>
          <w:lang w:val="es-ES"/>
        </w:rPr>
        <w:instrText xml:space="preserve"> \* MERGEFORMAT </w:instrText>
      </w:r>
      <w:r w:rsidRPr="00F23AE8">
        <w:rPr>
          <w:color w:val="000000" w:themeColor="text1"/>
          <w:lang w:val="es-ES"/>
        </w:rPr>
      </w:r>
      <w:r w:rsidRPr="00F23AE8">
        <w:rPr>
          <w:color w:val="000000" w:themeColor="text1"/>
          <w:lang w:val="es-ES"/>
        </w:rPr>
        <w:fldChar w:fldCharType="separate"/>
      </w:r>
      <w:r w:rsidR="000D7E7B">
        <w:rPr>
          <w:color w:val="000000" w:themeColor="text1"/>
          <w:lang w:val="es-ES"/>
        </w:rPr>
        <w:t>1.1</w:t>
      </w:r>
      <w:r w:rsidRPr="00F23AE8">
        <w:rPr>
          <w:color w:val="000000" w:themeColor="text1"/>
          <w:lang w:val="es-ES"/>
        </w:rPr>
        <w:fldChar w:fldCharType="end"/>
      </w:r>
      <w:r w:rsidRPr="00F23AE8">
        <w:rPr>
          <w:color w:val="000000" w:themeColor="text1"/>
          <w:lang w:val="es-ES"/>
        </w:rPr>
        <w:t xml:space="preserve"> y </w:t>
      </w:r>
      <w:r w:rsidRPr="00F23AE8">
        <w:rPr>
          <w:color w:val="000000" w:themeColor="text1"/>
          <w:lang w:val="es-ES"/>
        </w:rPr>
        <w:fldChar w:fldCharType="begin"/>
      </w:r>
      <w:r w:rsidRPr="00F23AE8">
        <w:rPr>
          <w:color w:val="000000" w:themeColor="text1"/>
          <w:lang w:val="es-ES"/>
        </w:rPr>
        <w:instrText xml:space="preserve"> REF _Ref410653183 \r \h </w:instrText>
      </w:r>
      <w:r>
        <w:rPr>
          <w:color w:val="000000" w:themeColor="text1"/>
          <w:lang w:val="es-ES"/>
        </w:rPr>
        <w:instrText xml:space="preserve"> \* MERGEFORMAT </w:instrText>
      </w:r>
      <w:r w:rsidRPr="00F23AE8">
        <w:rPr>
          <w:color w:val="000000" w:themeColor="text1"/>
          <w:lang w:val="es-ES"/>
        </w:rPr>
      </w:r>
      <w:r w:rsidRPr="00F23AE8">
        <w:rPr>
          <w:color w:val="000000" w:themeColor="text1"/>
          <w:lang w:val="es-ES"/>
        </w:rPr>
        <w:fldChar w:fldCharType="separate"/>
      </w:r>
      <w:r w:rsidR="000D7E7B">
        <w:rPr>
          <w:color w:val="000000" w:themeColor="text1"/>
          <w:lang w:val="es-ES"/>
        </w:rPr>
        <w:t>1.2</w:t>
      </w:r>
      <w:r w:rsidRPr="00F23AE8">
        <w:rPr>
          <w:color w:val="000000" w:themeColor="text1"/>
          <w:lang w:val="es-ES"/>
        </w:rPr>
        <w:fldChar w:fldCharType="end"/>
      </w:r>
      <w:r w:rsidRPr="00F23AE8">
        <w:rPr>
          <w:color w:val="000000" w:themeColor="text1"/>
          <w:lang w:val="es-ES"/>
        </w:rPr>
        <w:t xml:space="preserve"> del presente numeral, así como también toda circunstancia que afecte o pueda llegar a afectar en cualquier forma la garantía o la efectividad de la misma. Dicha información debe ser comunicada a más tardar cinco (5) días hábiles después de ocurrido el hecho.</w:t>
      </w:r>
    </w:p>
    <w:p w14:paraId="03E69F38" w14:textId="77777777" w:rsidR="00CF5EFC" w:rsidRPr="000F4D2C" w:rsidRDefault="00CF5EFC" w:rsidP="00CF5EFC">
      <w:pPr>
        <w:pStyle w:val="ARTICULOS"/>
        <w:numPr>
          <w:ilvl w:val="0"/>
          <w:numId w:val="0"/>
        </w:numPr>
        <w:tabs>
          <w:tab w:val="left" w:pos="1560"/>
          <w:tab w:val="left" w:pos="6379"/>
        </w:tabs>
        <w:ind w:left="360"/>
        <w:rPr>
          <w:rFonts w:cs="Arial"/>
          <w:b/>
          <w:color w:val="000000" w:themeColor="text1"/>
          <w:lang w:val="es-ES"/>
        </w:rPr>
      </w:pPr>
    </w:p>
    <w:p w14:paraId="4176EA1B" w14:textId="77777777" w:rsidR="00CF5EFC" w:rsidRPr="00F23AE8" w:rsidRDefault="00CF5EFC" w:rsidP="00CF5EFC">
      <w:pPr>
        <w:pStyle w:val="ARTICULOS"/>
        <w:numPr>
          <w:ilvl w:val="0"/>
          <w:numId w:val="0"/>
        </w:numPr>
        <w:tabs>
          <w:tab w:val="left" w:pos="1560"/>
          <w:tab w:val="left" w:pos="6379"/>
        </w:tabs>
        <w:rPr>
          <w:color w:val="000000" w:themeColor="text1"/>
          <w:lang w:val="es-ES"/>
        </w:rPr>
      </w:pPr>
      <w:r w:rsidRPr="00F23AE8">
        <w:rPr>
          <w:color w:val="000000" w:themeColor="text1"/>
          <w:lang w:val="es-ES"/>
        </w:rPr>
        <w:t xml:space="preserve">Para la aceptación de una garantía otorgada por una entidad financiera del exterior, el </w:t>
      </w:r>
      <w:r>
        <w:rPr>
          <w:color w:val="000000" w:themeColor="text1"/>
          <w:lang w:val="es-ES"/>
        </w:rPr>
        <w:t>adjudicatario</w:t>
      </w:r>
      <w:r w:rsidRPr="00F23AE8">
        <w:rPr>
          <w:color w:val="000000" w:themeColor="text1"/>
          <w:lang w:val="es-ES"/>
        </w:rPr>
        <w:t xml:space="preserve"> </w:t>
      </w:r>
      <w:r>
        <w:rPr>
          <w:rFonts w:cs="Arial"/>
          <w:color w:val="000000" w:themeColor="text1"/>
        </w:rPr>
        <w:t xml:space="preserve">o el </w:t>
      </w:r>
      <w:r w:rsidRPr="00F34DA6">
        <w:rPr>
          <w:rFonts w:cs="Arial"/>
          <w:color w:val="000000" w:themeColor="text1"/>
        </w:rPr>
        <w:t xml:space="preserve">transportador incumbente que ejecute en primera instancia proyectos de </w:t>
      </w:r>
      <m:oMath>
        <m:r>
          <w:rPr>
            <w:rFonts w:ascii="Cambria Math" w:hAnsi="Cambria Math" w:cs="Arial"/>
            <w:color w:val="000000" w:themeColor="text1"/>
          </w:rPr>
          <m:t>IPAT</m:t>
        </m:r>
      </m:oMath>
      <w:r w:rsidRPr="00F23AE8">
        <w:rPr>
          <w:color w:val="000000" w:themeColor="text1"/>
          <w:lang w:val="es-ES"/>
        </w:rPr>
        <w:t xml:space="preserve"> deberá adjuntar los formularios debidamente diligenciados y registrados ante el Banco de la República y que, de acuerdo con las normas del mismo, sean necesarios para el cobro de la garantía por parte del</w:t>
      </w:r>
      <w:r>
        <w:rPr>
          <w:color w:val="000000" w:themeColor="text1"/>
          <w:lang w:val="es-ES"/>
        </w:rPr>
        <w:t xml:space="preserve"> patrimonio autónomo</w:t>
      </w:r>
      <w:r w:rsidRPr="00F23AE8">
        <w:rPr>
          <w:color w:val="000000" w:themeColor="text1"/>
          <w:lang w:val="es-ES"/>
        </w:rPr>
        <w:t>.</w:t>
      </w:r>
    </w:p>
    <w:p w14:paraId="09FFE195" w14:textId="77777777" w:rsidR="00CF5EFC" w:rsidRPr="00F23AE8" w:rsidRDefault="00CF5EFC" w:rsidP="00CF5EFC">
      <w:pPr>
        <w:pStyle w:val="ARTICULOS"/>
        <w:numPr>
          <w:ilvl w:val="0"/>
          <w:numId w:val="0"/>
        </w:numPr>
        <w:tabs>
          <w:tab w:val="left" w:pos="1560"/>
          <w:tab w:val="left" w:pos="6379"/>
        </w:tabs>
        <w:rPr>
          <w:color w:val="000000" w:themeColor="text1"/>
          <w:lang w:val="es-ES"/>
        </w:rPr>
      </w:pPr>
    </w:p>
    <w:p w14:paraId="387DC774" w14:textId="77777777" w:rsidR="00CF5EFC" w:rsidRPr="00F23AE8" w:rsidRDefault="00CF5EFC" w:rsidP="00CF5EFC">
      <w:pPr>
        <w:pStyle w:val="Prrafodelista"/>
        <w:numPr>
          <w:ilvl w:val="0"/>
          <w:numId w:val="23"/>
        </w:numPr>
        <w:tabs>
          <w:tab w:val="left" w:pos="567"/>
          <w:tab w:val="left" w:pos="6379"/>
        </w:tabs>
        <w:ind w:left="357" w:hanging="357"/>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 xml:space="preserve">Tipos de garantías </w:t>
      </w:r>
    </w:p>
    <w:p w14:paraId="4C597B11" w14:textId="77777777" w:rsidR="00CF5EFC" w:rsidRPr="00F23AE8" w:rsidRDefault="00CF5EFC" w:rsidP="00CF5EFC">
      <w:pPr>
        <w:pStyle w:val="Prrafodelista"/>
        <w:tabs>
          <w:tab w:val="left" w:pos="567"/>
          <w:tab w:val="left" w:pos="6379"/>
        </w:tabs>
        <w:ind w:left="0"/>
        <w:jc w:val="both"/>
        <w:rPr>
          <w:rFonts w:ascii="Bookman Old Style" w:hAnsi="Bookman Old Style" w:cs="Arial"/>
          <w:b/>
          <w:color w:val="000000" w:themeColor="text1"/>
          <w:sz w:val="24"/>
          <w:szCs w:val="24"/>
        </w:rPr>
      </w:pPr>
    </w:p>
    <w:p w14:paraId="1FD3116C" w14:textId="77777777" w:rsidR="00CF5EFC" w:rsidRPr="000F4D2C" w:rsidRDefault="00CF5EFC" w:rsidP="00CF5EFC">
      <w:pPr>
        <w:tabs>
          <w:tab w:val="left" w:pos="567"/>
        </w:tabs>
        <w:jc w:val="both"/>
        <w:rPr>
          <w:rFonts w:ascii="Bookman Old Style" w:hAnsi="Bookman Old Style" w:cs="Arial"/>
          <w:color w:val="000000" w:themeColor="text1"/>
          <w:sz w:val="24"/>
          <w:szCs w:val="24"/>
        </w:rPr>
      </w:pPr>
      <w:r w:rsidRPr="000F4D2C">
        <w:rPr>
          <w:rFonts w:ascii="Bookman Old Style" w:hAnsi="Bookman Old Style" w:cs="Arial"/>
          <w:color w:val="000000" w:themeColor="text1"/>
          <w:sz w:val="24"/>
          <w:szCs w:val="24"/>
        </w:rPr>
        <w:t xml:space="preserve">Los tipos de garantías que serán aceptadas para los efectos de la presente Resolución son los siguientes: </w:t>
      </w:r>
    </w:p>
    <w:p w14:paraId="7F501254" w14:textId="77777777" w:rsidR="00CF5EFC" w:rsidRPr="000F4D2C" w:rsidRDefault="00CF5EFC" w:rsidP="00CF5EFC">
      <w:pPr>
        <w:tabs>
          <w:tab w:val="left" w:pos="567"/>
        </w:tabs>
        <w:jc w:val="both"/>
        <w:rPr>
          <w:rFonts w:ascii="Bookman Old Style" w:hAnsi="Bookman Old Style" w:cs="Arial"/>
          <w:color w:val="000000" w:themeColor="text1"/>
          <w:sz w:val="24"/>
          <w:szCs w:val="24"/>
        </w:rPr>
      </w:pPr>
    </w:p>
    <w:p w14:paraId="3DDC2643" w14:textId="77777777" w:rsidR="00CF5EFC" w:rsidRPr="00F23AE8" w:rsidRDefault="00CF5EFC" w:rsidP="00CF5EFC">
      <w:pPr>
        <w:pStyle w:val="Prrafodelista"/>
        <w:numPr>
          <w:ilvl w:val="1"/>
          <w:numId w:val="27"/>
        </w:numPr>
        <w:tabs>
          <w:tab w:val="left" w:pos="426"/>
        </w:tabs>
        <w:ind w:left="426" w:hanging="426"/>
        <w:jc w:val="both"/>
        <w:rPr>
          <w:rFonts w:ascii="Bookman Old Style" w:hAnsi="Bookman Old Style"/>
          <w:bCs/>
          <w:color w:val="000000" w:themeColor="text1"/>
          <w:sz w:val="24"/>
          <w:szCs w:val="24"/>
          <w:lang w:val="es-ES"/>
        </w:rPr>
      </w:pPr>
      <w:bookmarkStart w:id="37" w:name="_Ref410740570"/>
      <w:r w:rsidRPr="00F23AE8">
        <w:rPr>
          <w:rFonts w:ascii="Bookman Old Style" w:hAnsi="Bookman Old Style"/>
          <w:b/>
          <w:bCs/>
          <w:color w:val="000000" w:themeColor="text1"/>
          <w:sz w:val="24"/>
          <w:szCs w:val="24"/>
          <w:lang w:val="es-ES"/>
        </w:rPr>
        <w:t>Garantía bancaria de una entidad financiera en Colombia</w:t>
      </w:r>
      <w:r w:rsidRPr="00F23AE8">
        <w:rPr>
          <w:rFonts w:ascii="Bookman Old Style" w:hAnsi="Bookman Old Style"/>
          <w:bCs/>
          <w:color w:val="000000" w:themeColor="text1"/>
          <w:sz w:val="24"/>
          <w:szCs w:val="24"/>
          <w:lang w:val="es-ES"/>
        </w:rPr>
        <w:t>: Instrumento mediante el cual una institución financiera, debidamente autorizada por la Superintendencia Financiera, garantiza de forma incondicional e irrevocable el pago de las obligaciones indicadas en la presente Resolución. La forma y perfeccionamiento de esta garantía se regirá por las normas del Código de Comercio que regulan la materia y por las demás disposiciones aplicables o aquellas que las modifiquen</w:t>
      </w:r>
      <w:r>
        <w:rPr>
          <w:rFonts w:ascii="Bookman Old Style" w:hAnsi="Bookman Old Style"/>
          <w:bCs/>
          <w:color w:val="000000" w:themeColor="text1"/>
          <w:sz w:val="24"/>
          <w:szCs w:val="24"/>
          <w:lang w:val="es-ES"/>
        </w:rPr>
        <w:t xml:space="preserve"> </w:t>
      </w:r>
      <w:r w:rsidRPr="00F23AE8">
        <w:rPr>
          <w:rFonts w:ascii="Bookman Old Style" w:hAnsi="Bookman Old Style"/>
          <w:bCs/>
          <w:color w:val="000000" w:themeColor="text1"/>
          <w:sz w:val="24"/>
          <w:szCs w:val="24"/>
          <w:lang w:val="es-ES"/>
        </w:rPr>
        <w:t>o sustituyan.</w:t>
      </w:r>
      <w:bookmarkEnd w:id="37"/>
    </w:p>
    <w:p w14:paraId="41B4BB05" w14:textId="77777777" w:rsidR="00CF5EFC" w:rsidRPr="00F23AE8" w:rsidRDefault="00CF5EFC" w:rsidP="00CF5EFC">
      <w:pPr>
        <w:pStyle w:val="Prrafodelista"/>
        <w:tabs>
          <w:tab w:val="left" w:pos="1478"/>
        </w:tabs>
        <w:ind w:left="720"/>
        <w:jc w:val="both"/>
        <w:rPr>
          <w:rFonts w:ascii="Bookman Old Style" w:hAnsi="Bookman Old Style"/>
          <w:bCs/>
          <w:color w:val="000000" w:themeColor="text1"/>
          <w:sz w:val="24"/>
          <w:szCs w:val="24"/>
          <w:lang w:val="es-ES"/>
        </w:rPr>
      </w:pPr>
    </w:p>
    <w:p w14:paraId="4D77911F" w14:textId="77777777" w:rsidR="00CF5EFC" w:rsidRPr="00F23AE8" w:rsidRDefault="00CF5EFC" w:rsidP="00CF5EFC">
      <w:pPr>
        <w:pStyle w:val="Prrafodelista"/>
        <w:numPr>
          <w:ilvl w:val="1"/>
          <w:numId w:val="27"/>
        </w:numPr>
        <w:tabs>
          <w:tab w:val="left" w:pos="426"/>
        </w:tabs>
        <w:ind w:left="426" w:hanging="426"/>
        <w:jc w:val="both"/>
        <w:rPr>
          <w:rFonts w:ascii="Bookman Old Style" w:hAnsi="Bookman Old Style"/>
          <w:bCs/>
          <w:color w:val="000000" w:themeColor="text1"/>
          <w:sz w:val="24"/>
          <w:szCs w:val="24"/>
          <w:lang w:val="es-ES"/>
        </w:rPr>
      </w:pPr>
      <w:r w:rsidRPr="00F23AE8">
        <w:rPr>
          <w:rFonts w:ascii="Bookman Old Style" w:hAnsi="Bookman Old Style"/>
          <w:b/>
          <w:bCs/>
          <w:color w:val="000000" w:themeColor="text1"/>
          <w:sz w:val="24"/>
          <w:szCs w:val="24"/>
          <w:lang w:val="es-ES"/>
        </w:rPr>
        <w:t xml:space="preserve">Carta de crédito </w:t>
      </w:r>
      <w:r w:rsidRPr="00F23AE8">
        <w:rPr>
          <w:rFonts w:ascii="Bookman Old Style" w:hAnsi="Bookman Old Style"/>
          <w:b/>
          <w:bCs/>
          <w:i/>
          <w:color w:val="000000" w:themeColor="text1"/>
          <w:sz w:val="24"/>
          <w:szCs w:val="24"/>
          <w:lang w:val="es-ES"/>
        </w:rPr>
        <w:t>stand by</w:t>
      </w:r>
      <w:r w:rsidRPr="00F23AE8">
        <w:rPr>
          <w:rFonts w:ascii="Bookman Old Style" w:hAnsi="Bookman Old Style"/>
          <w:b/>
          <w:bCs/>
          <w:color w:val="000000" w:themeColor="text1"/>
          <w:sz w:val="24"/>
          <w:szCs w:val="24"/>
          <w:lang w:val="es-ES"/>
        </w:rPr>
        <w:t xml:space="preserve"> de una entidad financiera en Colombia</w:t>
      </w:r>
      <w:r w:rsidRPr="00F23AE8">
        <w:rPr>
          <w:rFonts w:ascii="Bookman Old Style" w:hAnsi="Bookman Old Style"/>
          <w:bCs/>
          <w:color w:val="000000" w:themeColor="text1"/>
          <w:sz w:val="24"/>
          <w:szCs w:val="24"/>
          <w:lang w:val="es-ES"/>
        </w:rPr>
        <w:t xml:space="preserve">: Crédito documental e irrevocable, mediante el cual una institución financiera, debidamente autorizada por la Superintendencia Financiera, se compromete directamente o por intermedio de un banco corresponsal, al pago de las obligaciones indicadas en la presente Resolución, contra la previa presentación de la carta de crédito </w:t>
      </w:r>
      <w:r w:rsidRPr="00F23AE8">
        <w:rPr>
          <w:rFonts w:ascii="Bookman Old Style" w:hAnsi="Bookman Old Style"/>
          <w:bCs/>
          <w:i/>
          <w:color w:val="000000" w:themeColor="text1"/>
          <w:sz w:val="24"/>
          <w:szCs w:val="24"/>
          <w:lang w:val="es-ES"/>
        </w:rPr>
        <w:t>stand by</w:t>
      </w:r>
      <w:r w:rsidRPr="00F23AE8">
        <w:rPr>
          <w:rFonts w:ascii="Bookman Old Style" w:hAnsi="Bookman Old Style"/>
          <w:bCs/>
          <w:color w:val="000000" w:themeColor="text1"/>
          <w:sz w:val="24"/>
          <w:szCs w:val="24"/>
          <w:lang w:val="es-ES"/>
        </w:rPr>
        <w:t>. La forma y perfeccionamiento de ésta se regirán por las normas del Código de Comercio que regulan la materia y por las demás disposiciones aplicables o aquellas que las modifiquen</w:t>
      </w:r>
      <w:r>
        <w:rPr>
          <w:rFonts w:ascii="Bookman Old Style" w:hAnsi="Bookman Old Style"/>
          <w:bCs/>
          <w:color w:val="000000" w:themeColor="text1"/>
          <w:sz w:val="24"/>
          <w:szCs w:val="24"/>
          <w:lang w:val="es-ES"/>
        </w:rPr>
        <w:t xml:space="preserve"> </w:t>
      </w:r>
      <w:r w:rsidRPr="00F23AE8">
        <w:rPr>
          <w:rFonts w:ascii="Bookman Old Style" w:hAnsi="Bookman Old Style"/>
          <w:bCs/>
          <w:color w:val="000000" w:themeColor="text1"/>
          <w:sz w:val="24"/>
          <w:szCs w:val="24"/>
          <w:lang w:val="es-ES"/>
        </w:rPr>
        <w:t>o sustituyan.</w:t>
      </w:r>
    </w:p>
    <w:p w14:paraId="7F073816" w14:textId="77777777" w:rsidR="00CF5EFC" w:rsidRPr="000F4D2C" w:rsidRDefault="00CF5EFC" w:rsidP="00CF5EFC">
      <w:pPr>
        <w:tabs>
          <w:tab w:val="left" w:pos="1478"/>
        </w:tabs>
        <w:jc w:val="both"/>
        <w:rPr>
          <w:rFonts w:ascii="Bookman Old Style" w:hAnsi="Bookman Old Style"/>
          <w:color w:val="000000" w:themeColor="text1"/>
          <w:sz w:val="24"/>
          <w:szCs w:val="24"/>
          <w:lang w:eastAsia="x-none"/>
        </w:rPr>
      </w:pPr>
    </w:p>
    <w:p w14:paraId="52FF9E6D" w14:textId="77777777" w:rsidR="00CF5EFC" w:rsidRPr="00F23AE8" w:rsidRDefault="00CF5EFC" w:rsidP="00CF5EFC">
      <w:pPr>
        <w:pStyle w:val="Prrafodelista"/>
        <w:numPr>
          <w:ilvl w:val="1"/>
          <w:numId w:val="27"/>
        </w:numPr>
        <w:tabs>
          <w:tab w:val="left" w:pos="426"/>
        </w:tabs>
        <w:ind w:left="426" w:hanging="426"/>
        <w:jc w:val="both"/>
        <w:rPr>
          <w:rFonts w:ascii="Bookman Old Style" w:hAnsi="Bookman Old Style"/>
          <w:bCs/>
          <w:color w:val="000000" w:themeColor="text1"/>
          <w:sz w:val="24"/>
          <w:szCs w:val="24"/>
          <w:lang w:val="es-ES"/>
        </w:rPr>
      </w:pPr>
      <w:r w:rsidRPr="00F23AE8">
        <w:rPr>
          <w:rFonts w:ascii="Bookman Old Style" w:hAnsi="Bookman Old Style"/>
          <w:b/>
          <w:bCs/>
          <w:color w:val="000000" w:themeColor="text1"/>
          <w:sz w:val="24"/>
          <w:szCs w:val="24"/>
          <w:lang w:val="es-ES"/>
        </w:rPr>
        <w:t xml:space="preserve">Carta de crédito </w:t>
      </w:r>
      <w:r w:rsidRPr="00F23AE8">
        <w:rPr>
          <w:rFonts w:ascii="Bookman Old Style" w:hAnsi="Bookman Old Style"/>
          <w:b/>
          <w:bCs/>
          <w:i/>
          <w:color w:val="000000" w:themeColor="text1"/>
          <w:sz w:val="24"/>
          <w:szCs w:val="24"/>
          <w:lang w:val="es-ES"/>
        </w:rPr>
        <w:t>stand by</w:t>
      </w:r>
      <w:r w:rsidRPr="00F23AE8">
        <w:rPr>
          <w:rFonts w:ascii="Bookman Old Style" w:hAnsi="Bookman Old Style"/>
          <w:b/>
          <w:bCs/>
          <w:color w:val="000000" w:themeColor="text1"/>
          <w:sz w:val="24"/>
          <w:szCs w:val="24"/>
          <w:lang w:val="es-ES"/>
        </w:rPr>
        <w:t xml:space="preserve"> de una entidad financiera del exterior</w:t>
      </w:r>
      <w:r w:rsidRPr="00F23AE8">
        <w:rPr>
          <w:rFonts w:ascii="Bookman Old Style" w:hAnsi="Bookman Old Style"/>
          <w:bCs/>
          <w:color w:val="000000" w:themeColor="text1"/>
          <w:sz w:val="24"/>
          <w:szCs w:val="24"/>
          <w:lang w:val="es-ES"/>
        </w:rPr>
        <w:t xml:space="preserve">: Crédito documental e irrevocable mediante el cual una institución financiera del exterior se compromete directamente o por intermedio de un banco corresponsal al pago de las obligaciones establecidas en la presente Resolución, contra la previa presentación de la carta de crédito </w:t>
      </w:r>
      <w:r w:rsidRPr="00F23AE8">
        <w:rPr>
          <w:rFonts w:ascii="Bookman Old Style" w:hAnsi="Bookman Old Style"/>
          <w:bCs/>
          <w:i/>
          <w:color w:val="000000" w:themeColor="text1"/>
          <w:sz w:val="24"/>
          <w:szCs w:val="24"/>
          <w:lang w:val="es-ES"/>
        </w:rPr>
        <w:t>stand by</w:t>
      </w:r>
      <w:r w:rsidRPr="00F23AE8">
        <w:rPr>
          <w:rFonts w:ascii="Bookman Old Style" w:hAnsi="Bookman Old Style"/>
          <w:bCs/>
          <w:color w:val="000000" w:themeColor="text1"/>
          <w:sz w:val="24"/>
          <w:szCs w:val="24"/>
          <w:lang w:val="es-ES"/>
        </w:rPr>
        <w:t>.</w:t>
      </w:r>
    </w:p>
    <w:p w14:paraId="336D8DF2" w14:textId="77777777" w:rsidR="00CF5EFC" w:rsidRPr="00F23AE8" w:rsidRDefault="00CF5EFC" w:rsidP="00CF5EFC">
      <w:pPr>
        <w:pStyle w:val="Prrafodelista"/>
        <w:rPr>
          <w:rFonts w:ascii="Bookman Old Style" w:hAnsi="Bookman Old Style"/>
          <w:bCs/>
          <w:color w:val="000000" w:themeColor="text1"/>
          <w:sz w:val="24"/>
          <w:szCs w:val="24"/>
          <w:lang w:val="es-ES"/>
        </w:rPr>
      </w:pPr>
    </w:p>
    <w:p w14:paraId="0CEB484C" w14:textId="77777777" w:rsidR="00CF5EFC" w:rsidRPr="00F23AE8" w:rsidRDefault="00CF5EFC" w:rsidP="00CF5EFC">
      <w:pPr>
        <w:pStyle w:val="Prrafodelista"/>
        <w:numPr>
          <w:ilvl w:val="1"/>
          <w:numId w:val="27"/>
        </w:numPr>
        <w:tabs>
          <w:tab w:val="left" w:pos="426"/>
        </w:tabs>
        <w:ind w:left="426" w:hanging="426"/>
        <w:jc w:val="both"/>
        <w:rPr>
          <w:rFonts w:ascii="Bookman Old Style" w:hAnsi="Bookman Old Style"/>
          <w:bCs/>
          <w:color w:val="000000" w:themeColor="text1"/>
          <w:sz w:val="24"/>
          <w:szCs w:val="24"/>
          <w:lang w:val="es-ES"/>
        </w:rPr>
      </w:pPr>
      <w:bookmarkStart w:id="38" w:name="_Ref410740577"/>
      <w:r w:rsidRPr="00F23AE8">
        <w:rPr>
          <w:rFonts w:ascii="Bookman Old Style" w:hAnsi="Bookman Old Style"/>
          <w:b/>
          <w:bCs/>
          <w:color w:val="000000" w:themeColor="text1"/>
          <w:sz w:val="24"/>
          <w:szCs w:val="24"/>
          <w:lang w:val="es-ES"/>
        </w:rPr>
        <w:t>Prepago</w:t>
      </w:r>
      <w:r w:rsidRPr="00F23AE8">
        <w:rPr>
          <w:rFonts w:ascii="Bookman Old Style" w:hAnsi="Bookman Old Style"/>
          <w:bCs/>
          <w:color w:val="000000" w:themeColor="text1"/>
          <w:sz w:val="24"/>
          <w:szCs w:val="24"/>
          <w:lang w:val="es-ES"/>
        </w:rPr>
        <w:t>: Recursos en moneda colombiana que cubren el 100% del valor de la garantía.</w:t>
      </w:r>
      <w:bookmarkEnd w:id="38"/>
    </w:p>
    <w:p w14:paraId="394134BF" w14:textId="77777777" w:rsidR="00CF5EFC" w:rsidRPr="00F23AE8" w:rsidRDefault="00CF5EFC" w:rsidP="00CF5EFC">
      <w:pPr>
        <w:pStyle w:val="Prrafodelista"/>
        <w:rPr>
          <w:rFonts w:ascii="Bookman Old Style" w:hAnsi="Bookman Old Style"/>
          <w:bCs/>
          <w:color w:val="000000" w:themeColor="text1"/>
          <w:sz w:val="24"/>
          <w:szCs w:val="24"/>
          <w:lang w:val="es-ES"/>
        </w:rPr>
      </w:pPr>
    </w:p>
    <w:p w14:paraId="15915284" w14:textId="77777777" w:rsidR="00CF5EFC" w:rsidRPr="000F4D2C" w:rsidRDefault="00CF5EFC" w:rsidP="00CF5EFC">
      <w:pPr>
        <w:tabs>
          <w:tab w:val="left" w:pos="1478"/>
        </w:tabs>
        <w:jc w:val="both"/>
        <w:rPr>
          <w:rFonts w:ascii="Bookman Old Style" w:hAnsi="Bookman Old Style" w:cs="Arial"/>
          <w:color w:val="000000" w:themeColor="text1"/>
          <w:sz w:val="24"/>
          <w:szCs w:val="24"/>
        </w:rPr>
      </w:pPr>
      <w:r w:rsidRPr="000F4D2C">
        <w:rPr>
          <w:rFonts w:ascii="Bookman Old Style" w:hAnsi="Bookman Old Style" w:cs="Arial"/>
          <w:color w:val="000000" w:themeColor="text1"/>
          <w:sz w:val="24"/>
          <w:szCs w:val="24"/>
        </w:rPr>
        <w:t xml:space="preserve">Los adjudicatarios, </w:t>
      </w:r>
      <w:r w:rsidRPr="000F4D2C">
        <w:rPr>
          <w:rFonts w:ascii="Bookman Old Style" w:hAnsi="Bookman Old Style"/>
          <w:sz w:val="24"/>
          <w:szCs w:val="24"/>
        </w:rPr>
        <w:t xml:space="preserve">o los transportadores incumbentes que ejecuten en primera instancia proyectos de </w:t>
      </w:r>
      <m:oMath>
        <m:r>
          <w:rPr>
            <w:rFonts w:ascii="Cambria Math" w:hAnsi="Cambria Math"/>
            <w:sz w:val="24"/>
            <w:szCs w:val="24"/>
          </w:rPr>
          <m:t>IPAT</m:t>
        </m:r>
      </m:oMath>
      <w:r w:rsidRPr="000F4D2C">
        <w:rPr>
          <w:rFonts w:ascii="Bookman Old Style" w:hAnsi="Bookman Old Style"/>
          <w:sz w:val="24"/>
          <w:szCs w:val="24"/>
        </w:rPr>
        <w:t>,</w:t>
      </w:r>
      <w:r w:rsidRPr="000F4D2C">
        <w:rPr>
          <w:rFonts w:ascii="Bookman Old Style" w:hAnsi="Bookman Old Style" w:cs="Arial"/>
          <w:color w:val="000000" w:themeColor="text1"/>
          <w:sz w:val="24"/>
          <w:szCs w:val="24"/>
          <w:lang w:eastAsia="es-CO"/>
        </w:rPr>
        <w:t xml:space="preserve"> podrán combinar los tipos de garantías mencionados anteriormente para cubrir el 100% del valor de las garantías de que trata este Anexo.</w:t>
      </w:r>
    </w:p>
    <w:p w14:paraId="03173E3D" w14:textId="77777777" w:rsidR="00CF5EFC" w:rsidRPr="000F4D2C" w:rsidRDefault="00CF5EFC" w:rsidP="00CF5EFC">
      <w:pPr>
        <w:tabs>
          <w:tab w:val="left" w:pos="6379"/>
        </w:tabs>
        <w:rPr>
          <w:rFonts w:ascii="Bookman Old Style" w:hAnsi="Bookman Old Style" w:cs="Arial"/>
          <w:color w:val="000000"/>
          <w:sz w:val="24"/>
          <w:szCs w:val="24"/>
        </w:rPr>
      </w:pPr>
    </w:p>
    <w:p w14:paraId="2DBB6B0D" w14:textId="77777777" w:rsidR="00CF5EFC" w:rsidRPr="00F23AE8" w:rsidRDefault="00CF5EFC" w:rsidP="00CF5EFC">
      <w:pPr>
        <w:pStyle w:val="Prrafodelista"/>
        <w:numPr>
          <w:ilvl w:val="0"/>
          <w:numId w:val="23"/>
        </w:numPr>
        <w:tabs>
          <w:tab w:val="left" w:pos="567"/>
          <w:tab w:val="left" w:pos="6379"/>
        </w:tabs>
        <w:ind w:left="357" w:hanging="357"/>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 xml:space="preserve">Garantía de cumplimiento </w:t>
      </w:r>
    </w:p>
    <w:p w14:paraId="0A0690BE" w14:textId="77777777" w:rsidR="00CF5EFC" w:rsidRPr="00F23AE8" w:rsidRDefault="00CF5EFC" w:rsidP="00CF5EFC">
      <w:pPr>
        <w:pStyle w:val="Prrafodelista"/>
        <w:tabs>
          <w:tab w:val="left" w:pos="567"/>
        </w:tabs>
        <w:ind w:left="0"/>
        <w:jc w:val="both"/>
        <w:rPr>
          <w:rFonts w:ascii="Bookman Old Style" w:hAnsi="Bookman Old Style" w:cs="Arial"/>
          <w:b/>
          <w:color w:val="000000" w:themeColor="text1"/>
          <w:sz w:val="24"/>
          <w:szCs w:val="24"/>
        </w:rPr>
      </w:pPr>
    </w:p>
    <w:p w14:paraId="3915A236" w14:textId="4B9A1900" w:rsidR="00D974D9" w:rsidRDefault="00CF5EFC" w:rsidP="00CF5EFC">
      <w:pPr>
        <w:pStyle w:val="Prrafodelista"/>
        <w:numPr>
          <w:ilvl w:val="1"/>
          <w:numId w:val="28"/>
        </w:numPr>
        <w:tabs>
          <w:tab w:val="left" w:pos="426"/>
        </w:tabs>
        <w:ind w:left="426" w:hanging="426"/>
        <w:jc w:val="both"/>
        <w:rPr>
          <w:rFonts w:ascii="Bookman Old Style" w:hAnsi="Bookman Old Style" w:cs="Arial"/>
          <w:color w:val="000000" w:themeColor="text1"/>
          <w:sz w:val="24"/>
          <w:szCs w:val="24"/>
        </w:rPr>
      </w:pPr>
      <w:r w:rsidRPr="00F23AE8">
        <w:rPr>
          <w:rFonts w:ascii="Bookman Old Style" w:hAnsi="Bookman Old Style" w:cs="Arial"/>
          <w:b/>
          <w:color w:val="000000" w:themeColor="text1"/>
          <w:sz w:val="24"/>
          <w:szCs w:val="24"/>
        </w:rPr>
        <w:t>Destino de los recursos</w:t>
      </w:r>
      <w:r w:rsidRPr="00F23AE8">
        <w:rPr>
          <w:rFonts w:ascii="Bookman Old Style" w:hAnsi="Bookman Old Style" w:cs="Arial"/>
          <w:color w:val="000000" w:themeColor="text1"/>
          <w:sz w:val="24"/>
          <w:szCs w:val="24"/>
        </w:rPr>
        <w:t xml:space="preserve">: Los recursos provenientes de la ejecución de la garantía de cumplimiento se destinarán </w:t>
      </w:r>
      <w:r>
        <w:rPr>
          <w:rFonts w:ascii="Bookman Old Style" w:hAnsi="Bookman Old Style" w:cs="Arial"/>
          <w:color w:val="000000" w:themeColor="text1"/>
          <w:sz w:val="24"/>
          <w:szCs w:val="24"/>
        </w:rPr>
        <w:t>a</w:t>
      </w:r>
      <w:r w:rsidR="00D974D9">
        <w:rPr>
          <w:rFonts w:ascii="Bookman Old Style" w:hAnsi="Bookman Old Style" w:cs="Arial"/>
          <w:color w:val="000000" w:themeColor="text1"/>
          <w:sz w:val="24"/>
          <w:szCs w:val="24"/>
        </w:rPr>
        <w:t>:</w:t>
      </w:r>
    </w:p>
    <w:p w14:paraId="71BDF0DC" w14:textId="77777777" w:rsidR="00D974D9" w:rsidRDefault="00D974D9" w:rsidP="000F4D2C">
      <w:pPr>
        <w:pStyle w:val="Prrafodelista"/>
        <w:tabs>
          <w:tab w:val="left" w:pos="426"/>
        </w:tabs>
        <w:ind w:left="426"/>
        <w:jc w:val="both"/>
        <w:rPr>
          <w:rFonts w:ascii="Bookman Old Style" w:hAnsi="Bookman Old Style" w:cs="Arial"/>
          <w:color w:val="000000" w:themeColor="text1"/>
          <w:sz w:val="24"/>
          <w:szCs w:val="24"/>
        </w:rPr>
      </w:pPr>
    </w:p>
    <w:p w14:paraId="38EB8A49" w14:textId="3E066318" w:rsidR="00CF5EFC" w:rsidRDefault="00D974D9" w:rsidP="00D974D9">
      <w:pPr>
        <w:pStyle w:val="Prrafodelista"/>
        <w:numPr>
          <w:ilvl w:val="2"/>
          <w:numId w:val="28"/>
        </w:numPr>
        <w:tabs>
          <w:tab w:val="left" w:pos="426"/>
        </w:tabs>
        <w:ind w:left="709"/>
        <w:jc w:val="both"/>
        <w:rPr>
          <w:rFonts w:ascii="Bookman Old Style" w:hAnsi="Bookman Old Style" w:cs="Arial"/>
          <w:b/>
          <w:bCs/>
          <w:color w:val="000000" w:themeColor="text1"/>
          <w:sz w:val="24"/>
          <w:szCs w:val="24"/>
          <w:u w:val="single"/>
        </w:rPr>
      </w:pPr>
      <w:r w:rsidRPr="000F4D2C">
        <w:rPr>
          <w:rFonts w:ascii="Bookman Old Style" w:hAnsi="Bookman Old Style" w:cs="Arial"/>
          <w:b/>
          <w:bCs/>
          <w:color w:val="000000" w:themeColor="text1"/>
          <w:sz w:val="24"/>
          <w:szCs w:val="24"/>
          <w:u w:val="single"/>
        </w:rPr>
        <w:t>Disminuir los pagos de los beneficiarios del proyecto durante los primeros meses de pago del proyecto por parte de un nuevo adjudicatario, como se indica en el Artículo 30 de la presente resolución</w:t>
      </w:r>
      <w:r w:rsidR="00CF5EFC" w:rsidRPr="000F4D2C">
        <w:rPr>
          <w:rFonts w:ascii="Bookman Old Style" w:hAnsi="Bookman Old Style" w:cs="Arial"/>
          <w:b/>
          <w:bCs/>
          <w:color w:val="000000" w:themeColor="text1"/>
          <w:sz w:val="24"/>
          <w:szCs w:val="24"/>
          <w:u w:val="single"/>
        </w:rPr>
        <w:t xml:space="preserve">. </w:t>
      </w:r>
    </w:p>
    <w:p w14:paraId="4C08A7CD" w14:textId="77777777" w:rsidR="0051426D" w:rsidRPr="000F4D2C" w:rsidRDefault="0051426D" w:rsidP="000F4D2C">
      <w:pPr>
        <w:pStyle w:val="Prrafodelista"/>
        <w:tabs>
          <w:tab w:val="left" w:pos="426"/>
        </w:tabs>
        <w:ind w:left="709"/>
        <w:jc w:val="both"/>
        <w:rPr>
          <w:rFonts w:ascii="Bookman Old Style" w:hAnsi="Bookman Old Style" w:cs="Arial"/>
          <w:b/>
          <w:bCs/>
          <w:color w:val="000000" w:themeColor="text1"/>
          <w:sz w:val="24"/>
          <w:szCs w:val="24"/>
          <w:u w:val="single"/>
        </w:rPr>
      </w:pPr>
    </w:p>
    <w:p w14:paraId="34E7A07B" w14:textId="6FBD37F9" w:rsidR="00D974D9" w:rsidRPr="000F4D2C" w:rsidRDefault="0051426D" w:rsidP="000F4D2C">
      <w:pPr>
        <w:pStyle w:val="Prrafodelista"/>
        <w:numPr>
          <w:ilvl w:val="2"/>
          <w:numId w:val="28"/>
        </w:numPr>
        <w:tabs>
          <w:tab w:val="left" w:pos="426"/>
        </w:tabs>
        <w:ind w:left="709"/>
        <w:jc w:val="both"/>
        <w:rPr>
          <w:rFonts w:ascii="Bookman Old Style" w:hAnsi="Bookman Old Style" w:cs="Arial"/>
          <w:b/>
          <w:bCs/>
          <w:color w:val="000000" w:themeColor="text1"/>
          <w:sz w:val="24"/>
          <w:szCs w:val="24"/>
          <w:u w:val="single"/>
        </w:rPr>
      </w:pPr>
      <w:r w:rsidRPr="000F4D2C">
        <w:rPr>
          <w:rFonts w:ascii="Bookman Old Style" w:hAnsi="Bookman Old Style" w:cs="Arial"/>
          <w:b/>
          <w:bCs/>
          <w:color w:val="000000" w:themeColor="text1"/>
          <w:sz w:val="24"/>
          <w:szCs w:val="24"/>
          <w:u w:val="single"/>
        </w:rPr>
        <w:t>En el caso de la ejecución de la garantía establecida en el numeral 3.5.3 del anexo 3 de la presente Resolución, los recursos de la garantía de cumplimiento se asignarán a favor de los beneficiarios del Proyecto, como un menor valor a pagar en un cincuenta por ciento (50%) en las tarifas del servicio de transporte de gas natural facturadas en los meses inmediatamente siguientes a los usuarios beneficiarios del proyecto, hasta la extinción de los recursos de la garantía</w:t>
      </w:r>
      <w:r>
        <w:rPr>
          <w:rFonts w:ascii="Bookman Old Style" w:hAnsi="Bookman Old Style" w:cs="Arial"/>
          <w:b/>
          <w:bCs/>
          <w:color w:val="000000" w:themeColor="text1"/>
          <w:sz w:val="24"/>
          <w:szCs w:val="24"/>
          <w:u w:val="single"/>
        </w:rPr>
        <w:t>.</w:t>
      </w:r>
    </w:p>
    <w:p w14:paraId="3F24F460" w14:textId="77777777" w:rsidR="00CF5EFC" w:rsidRPr="00F23AE8" w:rsidRDefault="00CF5EFC" w:rsidP="00CF5EFC">
      <w:pPr>
        <w:pStyle w:val="Prrafodelista"/>
        <w:tabs>
          <w:tab w:val="left" w:pos="1478"/>
        </w:tabs>
        <w:ind w:left="720"/>
        <w:jc w:val="both"/>
        <w:rPr>
          <w:rFonts w:ascii="Bookman Old Style" w:hAnsi="Bookman Old Style" w:cs="Arial"/>
          <w:color w:val="000000" w:themeColor="text1"/>
          <w:sz w:val="24"/>
          <w:szCs w:val="24"/>
        </w:rPr>
      </w:pPr>
    </w:p>
    <w:p w14:paraId="07BFE942" w14:textId="045CBF09" w:rsidR="00CF5EFC" w:rsidRDefault="00CF5EFC" w:rsidP="00CF5EFC">
      <w:pPr>
        <w:pStyle w:val="Prrafodelista"/>
        <w:numPr>
          <w:ilvl w:val="1"/>
          <w:numId w:val="28"/>
        </w:numPr>
        <w:tabs>
          <w:tab w:val="left" w:pos="426"/>
        </w:tabs>
        <w:ind w:left="426" w:hanging="426"/>
        <w:jc w:val="both"/>
        <w:rPr>
          <w:rFonts w:ascii="Bookman Old Style" w:hAnsi="Bookman Old Style" w:cs="Arial"/>
          <w:color w:val="000000" w:themeColor="text1"/>
          <w:sz w:val="24"/>
          <w:szCs w:val="24"/>
        </w:rPr>
      </w:pPr>
      <w:r w:rsidRPr="00F23AE8">
        <w:rPr>
          <w:rFonts w:ascii="Bookman Old Style" w:hAnsi="Bookman Old Style" w:cs="Arial"/>
          <w:b/>
          <w:color w:val="000000" w:themeColor="text1"/>
          <w:sz w:val="24"/>
          <w:szCs w:val="24"/>
        </w:rPr>
        <w:t>Fecha de aprobación</w:t>
      </w:r>
      <w:r w:rsidRPr="00F23AE8">
        <w:rPr>
          <w:rFonts w:ascii="Bookman Old Style" w:hAnsi="Bookman Old Style" w:cs="Arial"/>
          <w:color w:val="000000" w:themeColor="text1"/>
          <w:sz w:val="24"/>
          <w:szCs w:val="24"/>
        </w:rPr>
        <w:t>: El adjudicatario</w:t>
      </w:r>
      <w:r>
        <w:rPr>
          <w:rFonts w:ascii="Bookman Old Style" w:hAnsi="Bookman Old Style" w:cs="Arial"/>
          <w:color w:val="000000" w:themeColor="text1"/>
          <w:sz w:val="24"/>
          <w:szCs w:val="24"/>
        </w:rPr>
        <w:t xml:space="preserve"> </w:t>
      </w:r>
      <w:r w:rsidRPr="00F23AE8">
        <w:rPr>
          <w:rFonts w:ascii="Bookman Old Style" w:hAnsi="Bookman Old Style" w:cs="Arial"/>
          <w:color w:val="000000" w:themeColor="text1"/>
          <w:sz w:val="24"/>
          <w:szCs w:val="24"/>
        </w:rPr>
        <w:t>deberá obtener la aprobación de la garantía por parte del patrimonio autónomo hasta las 17:00 horas de los siguientes quince (15) días calendarios a la notificación del acto administrativo de la UPME mediante el cual adjudica el proyecto.</w:t>
      </w:r>
      <w:r>
        <w:rPr>
          <w:rFonts w:ascii="Bookman Old Style" w:hAnsi="Bookman Old Style" w:cs="Arial"/>
          <w:color w:val="000000" w:themeColor="text1"/>
          <w:sz w:val="24"/>
          <w:szCs w:val="24"/>
        </w:rPr>
        <w:t xml:space="preserve"> Para el caso del </w:t>
      </w:r>
      <w:r w:rsidRPr="00F34DA6">
        <w:rPr>
          <w:rFonts w:ascii="Bookman Old Style" w:hAnsi="Bookman Old Style" w:cs="Arial"/>
          <w:color w:val="000000" w:themeColor="text1"/>
          <w:sz w:val="24"/>
          <w:szCs w:val="24"/>
        </w:rPr>
        <w:t xml:space="preserve">transportador incumbente que ejecute en primera instancia proyectos de </w:t>
      </w:r>
      <m:oMath>
        <m:r>
          <w:rPr>
            <w:rFonts w:ascii="Cambria Math" w:hAnsi="Cambria Math" w:cs="Arial"/>
            <w:color w:val="000000" w:themeColor="text1"/>
            <w:sz w:val="24"/>
            <w:szCs w:val="24"/>
          </w:rPr>
          <m:t>IPAT</m:t>
        </m:r>
      </m:oMath>
      <w:r>
        <w:rPr>
          <w:rFonts w:ascii="Bookman Old Style" w:hAnsi="Bookman Old Style" w:cs="Arial"/>
          <w:color w:val="000000" w:themeColor="text1"/>
          <w:sz w:val="24"/>
          <w:szCs w:val="24"/>
        </w:rPr>
        <w:t xml:space="preserve"> la garantía deberá estar aprobada por el patrimonio autónomo dentro de los 45 días de que trata el literal</w:t>
      </w:r>
      <w:r w:rsidR="00D73631">
        <w:rPr>
          <w:rFonts w:ascii="Bookman Old Style" w:hAnsi="Bookman Old Style" w:cs="Arial"/>
          <w:color w:val="000000" w:themeColor="text1"/>
          <w:sz w:val="24"/>
          <w:szCs w:val="24"/>
        </w:rPr>
        <w:t xml:space="preserve"> c)</w:t>
      </w:r>
      <w:r w:rsidRPr="00EB412D">
        <w:rPr>
          <w:rFonts w:ascii="Bookman Old Style" w:hAnsi="Bookman Old Style" w:cs="Arial"/>
          <w:color w:val="000000" w:themeColor="text1"/>
          <w:sz w:val="24"/>
          <w:szCs w:val="24"/>
        </w:rPr>
        <w:t xml:space="preserve"> del </w:t>
      </w:r>
      <w:r w:rsidRPr="00EB412D">
        <w:rPr>
          <w:rFonts w:ascii="Bookman Old Style" w:hAnsi="Bookman Old Style" w:cs="Arial"/>
          <w:color w:val="000000" w:themeColor="text1"/>
          <w:sz w:val="24"/>
          <w:szCs w:val="24"/>
        </w:rPr>
        <w:fldChar w:fldCharType="begin"/>
      </w:r>
      <w:r w:rsidRPr="00EB412D">
        <w:rPr>
          <w:rFonts w:ascii="Bookman Old Style" w:hAnsi="Bookman Old Style" w:cs="Arial"/>
          <w:color w:val="000000" w:themeColor="text1"/>
          <w:sz w:val="24"/>
          <w:szCs w:val="24"/>
        </w:rPr>
        <w:instrText xml:space="preserve"> REF _Ref473021898 \r \h </w:instrText>
      </w:r>
      <w:r w:rsidR="00EB412D">
        <w:rPr>
          <w:rFonts w:ascii="Bookman Old Style" w:hAnsi="Bookman Old Style" w:cs="Arial"/>
          <w:color w:val="000000" w:themeColor="text1"/>
          <w:sz w:val="24"/>
          <w:szCs w:val="24"/>
        </w:rPr>
        <w:instrText xml:space="preserve"> \* MERGEFORMAT </w:instrText>
      </w:r>
      <w:r w:rsidRPr="00EB412D">
        <w:rPr>
          <w:rFonts w:ascii="Bookman Old Style" w:hAnsi="Bookman Old Style" w:cs="Arial"/>
          <w:color w:val="000000" w:themeColor="text1"/>
          <w:sz w:val="24"/>
          <w:szCs w:val="24"/>
        </w:rPr>
      </w:r>
      <w:r w:rsidRPr="00EB412D">
        <w:rPr>
          <w:rFonts w:ascii="Bookman Old Style" w:hAnsi="Bookman Old Style" w:cs="Arial"/>
          <w:color w:val="000000" w:themeColor="text1"/>
          <w:sz w:val="24"/>
          <w:szCs w:val="24"/>
        </w:rPr>
        <w:fldChar w:fldCharType="separate"/>
      </w:r>
      <w:r w:rsidR="000D7E7B">
        <w:rPr>
          <w:rFonts w:ascii="Bookman Old Style" w:hAnsi="Bookman Old Style" w:cs="Arial"/>
          <w:color w:val="000000" w:themeColor="text1"/>
          <w:sz w:val="24"/>
          <w:szCs w:val="24"/>
        </w:rPr>
        <w:t>Artículo 4</w:t>
      </w:r>
      <w:r w:rsidRPr="00EB412D">
        <w:rPr>
          <w:rFonts w:ascii="Bookman Old Style" w:hAnsi="Bookman Old Style" w:cs="Arial"/>
          <w:color w:val="000000" w:themeColor="text1"/>
          <w:sz w:val="24"/>
          <w:szCs w:val="24"/>
        </w:rPr>
        <w:fldChar w:fldCharType="end"/>
      </w:r>
      <w:r w:rsidRPr="00EB412D">
        <w:rPr>
          <w:rFonts w:ascii="Bookman Old Style" w:hAnsi="Bookman Old Style" w:cs="Arial"/>
          <w:color w:val="000000" w:themeColor="text1"/>
          <w:sz w:val="24"/>
          <w:szCs w:val="24"/>
        </w:rPr>
        <w:t xml:space="preserve"> de la presente Resolución.   </w:t>
      </w:r>
    </w:p>
    <w:p w14:paraId="68644F68" w14:textId="77777777" w:rsidR="00CF5EFC" w:rsidRPr="0051426D" w:rsidRDefault="00CF5EFC" w:rsidP="00CF5EFC">
      <w:pPr>
        <w:pStyle w:val="Prrafodelista"/>
        <w:rPr>
          <w:rFonts w:ascii="Bookman Old Style" w:hAnsi="Bookman Old Style" w:cs="Arial"/>
          <w:color w:val="000000" w:themeColor="text1"/>
          <w:sz w:val="24"/>
          <w:szCs w:val="24"/>
        </w:rPr>
      </w:pPr>
    </w:p>
    <w:p w14:paraId="274C4E4B" w14:textId="468E1BEB" w:rsidR="00CF5EFC" w:rsidRPr="000F4D2C" w:rsidRDefault="00CF5EFC" w:rsidP="000F4D2C">
      <w:pPr>
        <w:pStyle w:val="Prrafodelista"/>
        <w:numPr>
          <w:ilvl w:val="1"/>
          <w:numId w:val="28"/>
        </w:numPr>
        <w:tabs>
          <w:tab w:val="left" w:pos="426"/>
        </w:tabs>
        <w:ind w:left="425" w:hanging="426"/>
        <w:jc w:val="both"/>
        <w:rPr>
          <w:rFonts w:ascii="Bookman Old Style" w:hAnsi="Bookman Old Style"/>
          <w:sz w:val="24"/>
          <w:szCs w:val="24"/>
        </w:rPr>
      </w:pPr>
      <w:r w:rsidRPr="000F4D2C">
        <w:rPr>
          <w:rFonts w:ascii="Bookman Old Style" w:hAnsi="Bookman Old Style" w:cs="Arial"/>
          <w:b/>
          <w:color w:val="000000" w:themeColor="text1"/>
          <w:sz w:val="24"/>
          <w:szCs w:val="24"/>
        </w:rPr>
        <w:t>Vigencia de la garantía</w:t>
      </w:r>
      <w:r w:rsidRPr="000F4D2C">
        <w:rPr>
          <w:rFonts w:ascii="Bookman Old Style" w:hAnsi="Bookman Old Style" w:cs="Arial"/>
          <w:color w:val="000000" w:themeColor="text1"/>
          <w:sz w:val="24"/>
          <w:szCs w:val="24"/>
        </w:rPr>
        <w:t>:</w:t>
      </w:r>
      <w:r w:rsidRPr="00045215">
        <w:rPr>
          <w:rFonts w:ascii="Bookman Old Style" w:hAnsi="Bookman Old Style" w:cs="Arial"/>
          <w:i/>
          <w:iCs/>
          <w:color w:val="000000" w:themeColor="text1"/>
          <w:sz w:val="24"/>
          <w:szCs w:val="24"/>
        </w:rPr>
        <w:t xml:space="preserve"> </w:t>
      </w:r>
      <w:r w:rsidRPr="000F4D2C">
        <w:rPr>
          <w:rFonts w:ascii="Bookman Old Style" w:hAnsi="Bookman Old Style"/>
          <w:sz w:val="24"/>
          <w:szCs w:val="24"/>
        </w:rPr>
        <w:t xml:space="preserve">El plazo que cubre la garantía corresponderá al número de días calendario de duración del proyecto, según el cronograma y la curva S, </w:t>
      </w:r>
      <w:r w:rsidR="00984A42" w:rsidRPr="000F4D2C">
        <w:rPr>
          <w:rFonts w:ascii="Bookman Old Style" w:hAnsi="Bookman Old Style"/>
          <w:b/>
          <w:bCs/>
          <w:sz w:val="24"/>
          <w:szCs w:val="24"/>
          <w:u w:val="single"/>
        </w:rPr>
        <w:t xml:space="preserve">más el </w:t>
      </w:r>
      <w:r w:rsidR="00F34B0B" w:rsidRPr="000F4D2C">
        <w:rPr>
          <w:rFonts w:ascii="Bookman Old Style" w:hAnsi="Bookman Old Style"/>
          <w:b/>
          <w:bCs/>
          <w:sz w:val="24"/>
          <w:szCs w:val="24"/>
          <w:u w:val="single"/>
        </w:rPr>
        <w:t xml:space="preserve">PEP contado a partir de la puesta en operación del proyecto certificada por el auditor, más el período adicional de prestación del servicio de acuerdo con lo establecido en el </w:t>
      </w:r>
      <w:r w:rsidR="003020B7" w:rsidRPr="000F4D2C">
        <w:rPr>
          <w:rFonts w:ascii="Bookman Old Style" w:hAnsi="Bookman Old Style"/>
          <w:b/>
          <w:bCs/>
          <w:sz w:val="24"/>
          <w:szCs w:val="24"/>
          <w:u w:val="single"/>
        </w:rPr>
        <w:t>literal c. del Artículo 18 de la presente resolución</w:t>
      </w:r>
      <w:r w:rsidR="003020B7">
        <w:rPr>
          <w:rFonts w:ascii="Bookman Old Style" w:hAnsi="Bookman Old Style"/>
          <w:sz w:val="24"/>
          <w:szCs w:val="24"/>
        </w:rPr>
        <w:t xml:space="preserve">, </w:t>
      </w:r>
      <w:r w:rsidRPr="000F4D2C">
        <w:rPr>
          <w:rFonts w:ascii="Bookman Old Style" w:hAnsi="Bookman Old Style"/>
          <w:sz w:val="24"/>
          <w:szCs w:val="24"/>
        </w:rPr>
        <w:t xml:space="preserve">más </w:t>
      </w:r>
      <w:r w:rsidR="00420024">
        <w:rPr>
          <w:rFonts w:ascii="Bookman Old Style" w:hAnsi="Bookman Old Style"/>
          <w:sz w:val="24"/>
          <w:szCs w:val="24"/>
        </w:rPr>
        <w:t>sesenta (</w:t>
      </w:r>
      <w:r w:rsidRPr="000F4D2C">
        <w:rPr>
          <w:rFonts w:ascii="Bookman Old Style" w:hAnsi="Bookman Old Style"/>
          <w:sz w:val="24"/>
          <w:szCs w:val="24"/>
        </w:rPr>
        <w:t>60</w:t>
      </w:r>
      <w:r w:rsidR="00420024">
        <w:rPr>
          <w:rFonts w:ascii="Bookman Old Style" w:hAnsi="Bookman Old Style"/>
          <w:sz w:val="24"/>
          <w:szCs w:val="24"/>
        </w:rPr>
        <w:t>)</w:t>
      </w:r>
      <w:r w:rsidRPr="000F4D2C">
        <w:rPr>
          <w:rFonts w:ascii="Bookman Old Style" w:hAnsi="Bookman Old Style"/>
          <w:sz w:val="24"/>
          <w:szCs w:val="24"/>
        </w:rPr>
        <w:t xml:space="preserve"> días adicionales.</w:t>
      </w:r>
    </w:p>
    <w:p w14:paraId="422D06DA" w14:textId="77777777" w:rsidR="0051426D" w:rsidRDefault="0051426D" w:rsidP="0051426D">
      <w:pPr>
        <w:spacing w:after="0" w:line="240" w:lineRule="auto"/>
        <w:ind w:left="425"/>
        <w:jc w:val="both"/>
        <w:rPr>
          <w:rFonts w:ascii="Bookman Old Style" w:hAnsi="Bookman Old Style"/>
          <w:sz w:val="24"/>
          <w:szCs w:val="24"/>
        </w:rPr>
      </w:pPr>
    </w:p>
    <w:p w14:paraId="26F3FD7C" w14:textId="5F2CDE0B" w:rsidR="0051426D" w:rsidRPr="000F4D2C" w:rsidRDefault="00CF5EFC" w:rsidP="000F4D2C">
      <w:pPr>
        <w:spacing w:after="0" w:line="240" w:lineRule="auto"/>
        <w:ind w:left="425"/>
        <w:jc w:val="both"/>
        <w:rPr>
          <w:rFonts w:ascii="Bookman Old Style" w:hAnsi="Bookman Old Style"/>
          <w:sz w:val="24"/>
          <w:szCs w:val="24"/>
        </w:rPr>
      </w:pPr>
      <w:r w:rsidRPr="000F4D2C">
        <w:rPr>
          <w:rFonts w:ascii="Bookman Old Style" w:hAnsi="Bookman Old Style"/>
          <w:sz w:val="24"/>
          <w:szCs w:val="24"/>
        </w:rPr>
        <w:t xml:space="preserve">Se podrán aceptar garantías con plazos de cubrimiento de doce (12) meses, siempre y cuando </w:t>
      </w:r>
      <w:r w:rsidR="00420024" w:rsidRPr="000F4D2C">
        <w:rPr>
          <w:rFonts w:ascii="Bookman Old Style" w:hAnsi="Bookman Old Style"/>
          <w:b/>
          <w:bCs/>
          <w:sz w:val="24"/>
          <w:szCs w:val="24"/>
          <w:u w:val="single"/>
        </w:rPr>
        <w:t>quince (15) días hábiles</w:t>
      </w:r>
      <w:r w:rsidR="00420024">
        <w:rPr>
          <w:rFonts w:ascii="Bookman Old Style" w:hAnsi="Bookman Old Style"/>
          <w:sz w:val="24"/>
          <w:szCs w:val="24"/>
        </w:rPr>
        <w:t xml:space="preserve"> </w:t>
      </w:r>
      <w:r w:rsidRPr="000F4D2C">
        <w:rPr>
          <w:rFonts w:ascii="Bookman Old Style" w:hAnsi="Bookman Old Style"/>
          <w:sz w:val="24"/>
          <w:szCs w:val="24"/>
        </w:rPr>
        <w:t xml:space="preserve">antes de finalizar el período de cubrimiento se emita una nueva garantía, con las mismas condiciones. </w:t>
      </w:r>
    </w:p>
    <w:p w14:paraId="63F6ED7F" w14:textId="77777777" w:rsidR="00CF5EFC" w:rsidRPr="000F4D2C" w:rsidRDefault="00CF5EFC" w:rsidP="000F4D2C">
      <w:pPr>
        <w:spacing w:after="0" w:line="240" w:lineRule="auto"/>
        <w:ind w:left="425"/>
        <w:jc w:val="both"/>
        <w:rPr>
          <w:rFonts w:ascii="Bookman Old Style" w:hAnsi="Bookman Old Style"/>
          <w:sz w:val="24"/>
          <w:szCs w:val="24"/>
        </w:rPr>
      </w:pPr>
    </w:p>
    <w:p w14:paraId="3F959825" w14:textId="631E86C5" w:rsidR="0051426D" w:rsidRPr="000F4D2C" w:rsidRDefault="00CF5EFC" w:rsidP="000F4D2C">
      <w:pPr>
        <w:spacing w:after="0" w:line="240" w:lineRule="auto"/>
        <w:ind w:left="425"/>
        <w:jc w:val="both"/>
        <w:rPr>
          <w:rFonts w:ascii="Bookman Old Style" w:hAnsi="Bookman Old Style"/>
          <w:sz w:val="24"/>
          <w:szCs w:val="24"/>
        </w:rPr>
      </w:pPr>
      <w:r w:rsidRPr="000F4D2C">
        <w:rPr>
          <w:rFonts w:ascii="Bookman Old Style" w:hAnsi="Bookman Old Style"/>
          <w:sz w:val="24"/>
          <w:szCs w:val="24"/>
        </w:rPr>
        <w:t xml:space="preserve">En otras palabras, cuando el adjudicatario, o el transportador incumbente que ejecute en primera instancia proyectos de </w:t>
      </w:r>
      <m:oMath>
        <m:r>
          <m:rPr>
            <m:sty m:val="p"/>
          </m:rPr>
          <w:rPr>
            <w:rFonts w:ascii="Cambria Math" w:hAnsi="Cambria Math"/>
            <w:sz w:val="24"/>
            <w:szCs w:val="24"/>
          </w:rPr>
          <m:t>IPAT</m:t>
        </m:r>
      </m:oMath>
      <w:r w:rsidRPr="000F4D2C">
        <w:rPr>
          <w:rFonts w:ascii="Bookman Old Style" w:hAnsi="Bookman Old Style"/>
          <w:sz w:val="24"/>
          <w:szCs w:val="24"/>
        </w:rPr>
        <w:t xml:space="preserve">, decida poner garantías con vigencias menores al período de tiempo de duración del proyecto, según el cronograma y la curva S, más 60 días adicionales, la garantía deberá contener una disposición explícita de ejercicio, en caso de que antes de su vencimiento el adjudicatario o el transportador incumbente que ejecute en primera instancia proyectos de </w:t>
      </w:r>
      <m:oMath>
        <m:r>
          <m:rPr>
            <m:sty m:val="p"/>
          </m:rPr>
          <w:rPr>
            <w:rFonts w:ascii="Cambria Math" w:hAnsi="Cambria Math"/>
            <w:sz w:val="24"/>
            <w:szCs w:val="24"/>
          </w:rPr>
          <m:t>IPAT</m:t>
        </m:r>
      </m:oMath>
      <w:r w:rsidRPr="000F4D2C">
        <w:rPr>
          <w:rFonts w:ascii="Bookman Old Style" w:hAnsi="Bookman Old Style"/>
          <w:sz w:val="24"/>
          <w:szCs w:val="24"/>
        </w:rPr>
        <w:t xml:space="preserve"> no ponga la nueva garantía de cumplimiento.</w:t>
      </w:r>
    </w:p>
    <w:p w14:paraId="5119B70E" w14:textId="77777777" w:rsidR="00CF5EFC" w:rsidRPr="000F4D2C" w:rsidRDefault="00CF5EFC" w:rsidP="000F4D2C">
      <w:pPr>
        <w:spacing w:after="0" w:line="240" w:lineRule="auto"/>
        <w:ind w:left="425"/>
        <w:jc w:val="both"/>
        <w:rPr>
          <w:rFonts w:ascii="Bookman Old Style" w:hAnsi="Bookman Old Style"/>
          <w:sz w:val="24"/>
          <w:szCs w:val="24"/>
        </w:rPr>
      </w:pPr>
    </w:p>
    <w:p w14:paraId="29947A30" w14:textId="4309C8CC" w:rsidR="0051426D" w:rsidRPr="000F4D2C" w:rsidRDefault="00CF5EFC" w:rsidP="000F4D2C">
      <w:pPr>
        <w:spacing w:after="0" w:line="240" w:lineRule="auto"/>
        <w:ind w:left="425"/>
        <w:jc w:val="both"/>
        <w:rPr>
          <w:rFonts w:ascii="Bookman Old Style" w:hAnsi="Bookman Old Style"/>
          <w:sz w:val="24"/>
          <w:szCs w:val="24"/>
        </w:rPr>
      </w:pPr>
      <w:r w:rsidRPr="000F4D2C">
        <w:rPr>
          <w:rFonts w:ascii="Bookman Old Style" w:hAnsi="Bookman Old Style"/>
          <w:sz w:val="24"/>
          <w:szCs w:val="24"/>
        </w:rPr>
        <w:t>Adicionalmente, en la constitución de las garantías debe quedar explícito y sin ambigüedades que, cuando se active alguna de las causales de la ejecución de la garantía, la vigencia de ésta se ampliará hasta que se agote el procedimiento para determinar la existencia del incumplimiento, en concordancia con lo previsto en los artículos 106 y siguientes de la Ley 142 de 1994, y en las normas del Código Contencioso Administrativo y 6 meses más.</w:t>
      </w:r>
    </w:p>
    <w:p w14:paraId="5D064A0A" w14:textId="77777777" w:rsidR="00CF5EFC" w:rsidRPr="000F4D2C" w:rsidRDefault="00CF5EFC" w:rsidP="000F4D2C">
      <w:pPr>
        <w:spacing w:after="0" w:line="240" w:lineRule="auto"/>
        <w:ind w:left="425"/>
        <w:jc w:val="both"/>
        <w:rPr>
          <w:rFonts w:ascii="Bookman Old Style" w:hAnsi="Bookman Old Style"/>
          <w:sz w:val="24"/>
          <w:szCs w:val="24"/>
        </w:rPr>
      </w:pPr>
    </w:p>
    <w:p w14:paraId="55534DE7" w14:textId="69691CB6" w:rsidR="00CF5EFC" w:rsidRPr="000F4D2C" w:rsidRDefault="00CF5EFC" w:rsidP="000F4D2C">
      <w:pPr>
        <w:spacing w:after="0" w:line="240" w:lineRule="auto"/>
        <w:ind w:left="425"/>
        <w:jc w:val="both"/>
        <w:rPr>
          <w:rFonts w:ascii="Bookman Old Style" w:hAnsi="Bookman Old Style"/>
          <w:i/>
          <w:sz w:val="24"/>
          <w:szCs w:val="24"/>
        </w:rPr>
      </w:pPr>
      <w:r w:rsidRPr="000F4D2C">
        <w:rPr>
          <w:rFonts w:ascii="Bookman Old Style" w:hAnsi="Bookman Old Style"/>
          <w:sz w:val="24"/>
          <w:szCs w:val="24"/>
        </w:rPr>
        <w:t>Cuando se presentare una situación como la descrita en el párrafo anterior, la CREG, mediante resolución particular, notificará al responsable en cuánto tiempo ampliar la vigencia de la garantía, respetando siempre que en caso de determinarse el incumplimiento sea posible la ejecución de la garantía en forma inmediata</w:t>
      </w:r>
      <w:r w:rsidRPr="000F4D2C">
        <w:rPr>
          <w:rFonts w:ascii="Bookman Old Style" w:hAnsi="Bookman Old Style"/>
          <w:i/>
          <w:sz w:val="24"/>
          <w:szCs w:val="24"/>
        </w:rPr>
        <w:t>.</w:t>
      </w:r>
    </w:p>
    <w:p w14:paraId="77E082D0" w14:textId="77777777" w:rsidR="00CF5EFC" w:rsidRPr="00F23AE8" w:rsidRDefault="00CF5EFC" w:rsidP="00CF5EFC">
      <w:pPr>
        <w:pStyle w:val="Prrafodelista"/>
        <w:rPr>
          <w:rFonts w:ascii="Bookman Old Style" w:hAnsi="Bookman Old Style" w:cs="Arial"/>
          <w:color w:val="000000" w:themeColor="text1"/>
          <w:sz w:val="24"/>
          <w:szCs w:val="24"/>
        </w:rPr>
      </w:pPr>
    </w:p>
    <w:p w14:paraId="7B0754FA" w14:textId="6AB5D182" w:rsidR="00CF5EFC" w:rsidRPr="00F23AE8" w:rsidRDefault="00CF5EFC" w:rsidP="00CF5EFC">
      <w:pPr>
        <w:pStyle w:val="Prrafodelista"/>
        <w:numPr>
          <w:ilvl w:val="1"/>
          <w:numId w:val="28"/>
        </w:numPr>
        <w:tabs>
          <w:tab w:val="left" w:pos="426"/>
        </w:tabs>
        <w:ind w:left="426" w:hanging="426"/>
        <w:jc w:val="both"/>
        <w:rPr>
          <w:rFonts w:ascii="Bookman Old Style" w:hAnsi="Bookman Old Style" w:cs="Arial"/>
          <w:color w:val="000000" w:themeColor="text1"/>
          <w:sz w:val="24"/>
          <w:szCs w:val="24"/>
        </w:rPr>
      </w:pPr>
      <w:r w:rsidRPr="00F23AE8">
        <w:rPr>
          <w:rFonts w:ascii="Bookman Old Style" w:hAnsi="Bookman Old Style" w:cs="Arial"/>
          <w:b/>
          <w:color w:val="000000" w:themeColor="text1"/>
          <w:sz w:val="24"/>
          <w:szCs w:val="24"/>
        </w:rPr>
        <w:t xml:space="preserve">Valor </w:t>
      </w:r>
      <w:r>
        <w:rPr>
          <w:rFonts w:ascii="Bookman Old Style" w:hAnsi="Bookman Old Style" w:cs="Arial"/>
          <w:b/>
          <w:color w:val="000000" w:themeColor="text1"/>
          <w:sz w:val="24"/>
          <w:szCs w:val="24"/>
        </w:rPr>
        <w:t xml:space="preserve">inicial </w:t>
      </w:r>
      <w:r w:rsidRPr="00F23AE8">
        <w:rPr>
          <w:rFonts w:ascii="Bookman Old Style" w:hAnsi="Bookman Old Style" w:cs="Arial"/>
          <w:b/>
          <w:color w:val="000000" w:themeColor="text1"/>
          <w:sz w:val="24"/>
          <w:szCs w:val="24"/>
        </w:rPr>
        <w:t>de la garantía</w:t>
      </w:r>
      <w:r w:rsidRPr="00F23AE8">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Para los procesos de selección será del siete</w:t>
      </w:r>
      <w:r w:rsidRPr="00F23AE8">
        <w:rPr>
          <w:rFonts w:ascii="Bookman Old Style" w:hAnsi="Bookman Old Style" w:cs="Arial"/>
          <w:color w:val="000000" w:themeColor="text1"/>
          <w:sz w:val="24"/>
          <w:szCs w:val="24"/>
        </w:rPr>
        <w:t xml:space="preserve"> por ciento del valor de la oferta, expresado en pesos colombianos</w:t>
      </w:r>
      <w:r>
        <w:rPr>
          <w:rFonts w:ascii="Bookman Old Style" w:hAnsi="Bookman Old Style" w:cs="Arial"/>
          <w:color w:val="000000" w:themeColor="text1"/>
          <w:sz w:val="24"/>
          <w:szCs w:val="24"/>
        </w:rPr>
        <w:t xml:space="preserve"> </w:t>
      </w:r>
      <w:r w:rsidRPr="00F23AE8">
        <w:rPr>
          <w:rFonts w:ascii="Bookman Old Style" w:hAnsi="Bookman Old Style"/>
          <w:sz w:val="24"/>
          <w:szCs w:val="24"/>
        </w:rPr>
        <w:t xml:space="preserve">del 31 de diciembre del año anterior a la fecha de presentación de la </w:t>
      </w:r>
      <w:r>
        <w:rPr>
          <w:rFonts w:ascii="Bookman Old Style" w:hAnsi="Bookman Old Style"/>
          <w:sz w:val="24"/>
          <w:szCs w:val="24"/>
        </w:rPr>
        <w:t>oferta</w:t>
      </w:r>
      <w:r w:rsidRPr="00F23AE8">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 xml:space="preserve">Para el caso de los transportadores incumbentes que ejecuten en primera instancia proyectos de </w:t>
      </w:r>
      <m:oMath>
        <m:r>
          <w:rPr>
            <w:rFonts w:ascii="Cambria Math" w:hAnsi="Cambria Math" w:cs="Arial"/>
            <w:color w:val="000000" w:themeColor="text1"/>
            <w:sz w:val="24"/>
            <w:szCs w:val="24"/>
          </w:rPr>
          <m:t>IPAT</m:t>
        </m:r>
      </m:oMath>
      <w:r>
        <w:rPr>
          <w:rFonts w:ascii="Bookman Old Style" w:hAnsi="Bookman Old Style" w:cs="Arial"/>
          <w:color w:val="000000" w:themeColor="text1"/>
          <w:sz w:val="24"/>
          <w:szCs w:val="24"/>
        </w:rPr>
        <w:t xml:space="preserve"> será de diez por ciento del valor eficiente del activo adoptado por la CREG, según se establece en el literal </w:t>
      </w:r>
      <w:r w:rsidR="00A2017D">
        <w:rPr>
          <w:rFonts w:ascii="Bookman Old Style" w:hAnsi="Bookman Old Style" w:cs="Arial"/>
          <w:color w:val="000000" w:themeColor="text1"/>
          <w:sz w:val="24"/>
          <w:szCs w:val="24"/>
        </w:rPr>
        <w:t>c)</w:t>
      </w:r>
      <w:r w:rsidRPr="00EB412D">
        <w:rPr>
          <w:rFonts w:ascii="Bookman Old Style" w:hAnsi="Bookman Old Style" w:cs="Arial"/>
          <w:color w:val="000000" w:themeColor="text1"/>
          <w:sz w:val="24"/>
          <w:szCs w:val="24"/>
        </w:rPr>
        <w:t xml:space="preserve"> del </w:t>
      </w:r>
      <w:r w:rsidRPr="00EB412D">
        <w:rPr>
          <w:rFonts w:ascii="Bookman Old Style" w:hAnsi="Bookman Old Style" w:cs="Arial"/>
          <w:color w:val="000000" w:themeColor="text1"/>
          <w:sz w:val="24"/>
          <w:szCs w:val="24"/>
        </w:rPr>
        <w:fldChar w:fldCharType="begin"/>
      </w:r>
      <w:r w:rsidRPr="00EB412D">
        <w:rPr>
          <w:rFonts w:ascii="Bookman Old Style" w:hAnsi="Bookman Old Style" w:cs="Arial"/>
          <w:color w:val="000000" w:themeColor="text1"/>
          <w:sz w:val="24"/>
          <w:szCs w:val="24"/>
        </w:rPr>
        <w:instrText xml:space="preserve"> REF _Ref473021898 \r \h </w:instrText>
      </w:r>
      <w:r w:rsidR="00EB412D">
        <w:rPr>
          <w:rFonts w:ascii="Bookman Old Style" w:hAnsi="Bookman Old Style" w:cs="Arial"/>
          <w:color w:val="000000" w:themeColor="text1"/>
          <w:sz w:val="24"/>
          <w:szCs w:val="24"/>
        </w:rPr>
        <w:instrText xml:space="preserve"> \* MERGEFORMAT </w:instrText>
      </w:r>
      <w:r w:rsidRPr="00EB412D">
        <w:rPr>
          <w:rFonts w:ascii="Bookman Old Style" w:hAnsi="Bookman Old Style" w:cs="Arial"/>
          <w:color w:val="000000" w:themeColor="text1"/>
          <w:sz w:val="24"/>
          <w:szCs w:val="24"/>
        </w:rPr>
      </w:r>
      <w:r w:rsidRPr="00EB412D">
        <w:rPr>
          <w:rFonts w:ascii="Bookman Old Style" w:hAnsi="Bookman Old Style" w:cs="Arial"/>
          <w:color w:val="000000" w:themeColor="text1"/>
          <w:sz w:val="24"/>
          <w:szCs w:val="24"/>
        </w:rPr>
        <w:fldChar w:fldCharType="separate"/>
      </w:r>
      <w:r w:rsidR="000D7E7B">
        <w:rPr>
          <w:rFonts w:ascii="Bookman Old Style" w:hAnsi="Bookman Old Style" w:cs="Arial"/>
          <w:color w:val="000000" w:themeColor="text1"/>
          <w:sz w:val="24"/>
          <w:szCs w:val="24"/>
        </w:rPr>
        <w:t>Artículo 4</w:t>
      </w:r>
      <w:r w:rsidRPr="00EB412D">
        <w:rPr>
          <w:rFonts w:ascii="Bookman Old Style" w:hAnsi="Bookman Old Style" w:cs="Arial"/>
          <w:color w:val="000000" w:themeColor="text1"/>
          <w:sz w:val="24"/>
          <w:szCs w:val="24"/>
        </w:rPr>
        <w:fldChar w:fldCharType="end"/>
      </w:r>
      <w:r w:rsidRPr="00EB412D">
        <w:rPr>
          <w:rFonts w:ascii="Bookman Old Style" w:hAnsi="Bookman Old Style" w:cs="Arial"/>
          <w:color w:val="000000" w:themeColor="text1"/>
          <w:sz w:val="24"/>
          <w:szCs w:val="24"/>
        </w:rPr>
        <w:t xml:space="preserve"> de la presente Resolución, expresado en pesos colombianos. </w:t>
      </w:r>
    </w:p>
    <w:p w14:paraId="6353FEEB" w14:textId="77777777" w:rsidR="00CF5EFC" w:rsidRPr="00F23AE8" w:rsidRDefault="00CF5EFC" w:rsidP="00CF5EFC">
      <w:pPr>
        <w:pStyle w:val="Prrafodelista"/>
        <w:rPr>
          <w:rFonts w:ascii="Bookman Old Style" w:hAnsi="Bookman Old Style" w:cs="Arial"/>
          <w:color w:val="000000" w:themeColor="text1"/>
          <w:sz w:val="24"/>
          <w:szCs w:val="24"/>
        </w:rPr>
      </w:pPr>
    </w:p>
    <w:p w14:paraId="28676034" w14:textId="348B02E0" w:rsidR="00CF5EFC" w:rsidRPr="00F23AE8" w:rsidRDefault="00CF5EFC" w:rsidP="00CF5EFC">
      <w:pPr>
        <w:pStyle w:val="Prrafodelista"/>
        <w:numPr>
          <w:ilvl w:val="1"/>
          <w:numId w:val="28"/>
        </w:numPr>
        <w:tabs>
          <w:tab w:val="left" w:pos="426"/>
        </w:tabs>
        <w:ind w:left="426" w:hanging="426"/>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Ajustes</w:t>
      </w:r>
      <w:r>
        <w:rPr>
          <w:rFonts w:ascii="Bookman Old Style" w:hAnsi="Bookman Old Style" w:cs="Arial"/>
          <w:b/>
          <w:color w:val="000000" w:themeColor="text1"/>
          <w:sz w:val="24"/>
          <w:szCs w:val="24"/>
        </w:rPr>
        <w:t xml:space="preserve"> </w:t>
      </w:r>
      <w:r w:rsidRPr="00F23AE8">
        <w:rPr>
          <w:rFonts w:ascii="Bookman Old Style" w:hAnsi="Bookman Old Style" w:cs="Arial"/>
          <w:b/>
          <w:color w:val="000000" w:themeColor="text1"/>
          <w:sz w:val="24"/>
          <w:szCs w:val="24"/>
        </w:rPr>
        <w:t>al valor de la garantía</w:t>
      </w:r>
      <w:r>
        <w:rPr>
          <w:rFonts w:ascii="Bookman Old Style" w:hAnsi="Bookman Old Style" w:cs="Arial"/>
          <w:b/>
          <w:color w:val="000000" w:themeColor="text1"/>
          <w:sz w:val="24"/>
          <w:szCs w:val="24"/>
        </w:rPr>
        <w:t xml:space="preserve"> </w:t>
      </w:r>
    </w:p>
    <w:p w14:paraId="20E274C6" w14:textId="77777777" w:rsidR="00CF5EFC" w:rsidRPr="00F23AE8" w:rsidRDefault="00CF5EFC" w:rsidP="00CF5EFC">
      <w:pPr>
        <w:pStyle w:val="Prrafodelista"/>
        <w:rPr>
          <w:rFonts w:ascii="Bookman Old Style" w:hAnsi="Bookman Old Style" w:cs="Arial"/>
          <w:color w:val="000000" w:themeColor="text1"/>
          <w:sz w:val="24"/>
          <w:szCs w:val="24"/>
        </w:rPr>
      </w:pPr>
    </w:p>
    <w:p w14:paraId="1D8E7F0E" w14:textId="04C720E6" w:rsidR="00CF5EFC" w:rsidRPr="000F4D2C" w:rsidRDefault="00CF5EFC" w:rsidP="000F4D2C">
      <w:pPr>
        <w:tabs>
          <w:tab w:val="left" w:pos="1478"/>
        </w:tabs>
        <w:ind w:left="567" w:hanging="567"/>
        <w:jc w:val="both"/>
        <w:rPr>
          <w:rFonts w:ascii="Bookman Old Style" w:hAnsi="Bookman Old Style" w:cs="Arial"/>
          <w:color w:val="000000" w:themeColor="text1"/>
          <w:sz w:val="24"/>
          <w:szCs w:val="24"/>
        </w:rPr>
      </w:pPr>
      <w:r w:rsidRPr="000F4D2C">
        <w:rPr>
          <w:rFonts w:ascii="Bookman Old Style" w:hAnsi="Bookman Old Style" w:cs="Arial"/>
          <w:b/>
          <w:bCs/>
          <w:color w:val="000000" w:themeColor="text1"/>
          <w:sz w:val="24"/>
          <w:szCs w:val="24"/>
          <w:u w:val="single"/>
        </w:rPr>
        <w:t>3.5.1</w:t>
      </w:r>
      <w:r w:rsidRPr="000F4D2C">
        <w:rPr>
          <w:rFonts w:ascii="Bookman Old Style" w:hAnsi="Bookman Old Style" w:cs="Arial"/>
          <w:b/>
          <w:bCs/>
          <w:color w:val="000000" w:themeColor="text1"/>
          <w:sz w:val="24"/>
          <w:szCs w:val="24"/>
        </w:rPr>
        <w:t xml:space="preserve"> </w:t>
      </w:r>
      <w:r w:rsidR="00002174" w:rsidRPr="000F4D2C">
        <w:rPr>
          <w:rFonts w:ascii="Bookman Old Style" w:hAnsi="Bookman Old Style" w:cs="Arial"/>
          <w:color w:val="000000" w:themeColor="text1"/>
          <w:sz w:val="24"/>
          <w:szCs w:val="24"/>
        </w:rPr>
        <w:t>El</w:t>
      </w:r>
      <w:r w:rsidRPr="000F4D2C">
        <w:rPr>
          <w:rFonts w:ascii="Bookman Old Style" w:hAnsi="Bookman Old Style" w:cs="Arial"/>
          <w:color w:val="000000" w:themeColor="text1"/>
          <w:sz w:val="24"/>
          <w:szCs w:val="24"/>
        </w:rPr>
        <w:t xml:space="preserve"> valor de la garantía será objeto de ajustes cuando el auditor identifique en su reporte retrasos en la ejecución del proyecto,</w:t>
      </w:r>
      <w:r w:rsidR="000164E2" w:rsidRPr="000164E2">
        <w:t xml:space="preserve"> </w:t>
      </w:r>
      <w:r w:rsidR="000164E2" w:rsidRPr="000F4D2C">
        <w:rPr>
          <w:rFonts w:ascii="Bookman Old Style" w:hAnsi="Bookman Old Style" w:cs="Arial"/>
          <w:b/>
          <w:bCs/>
          <w:color w:val="000000" w:themeColor="text1"/>
          <w:sz w:val="24"/>
          <w:szCs w:val="24"/>
          <w:u w:val="single"/>
        </w:rPr>
        <w:t>cada vez que se actualiza la curva S y el cronograma de ejecución real. Para ello cada tres (3) meses debe ser actualizada la curva S y el cronograma de ejecución real, que servirán de referencia para obtener el porcentaje de avance de la construcción del Proyecto. El porcentaje de retraso obtenido por el auditor, de verá ser informado por el auditor al adjudicatario  o al agente incumbente que ejecute en primera instancia el Proyecto, en los siguientes tres (3) días hábiles y este último</w:t>
      </w:r>
      <w:r w:rsidR="000164E2">
        <w:rPr>
          <w:rFonts w:ascii="Bookman Old Style" w:hAnsi="Bookman Old Style" w:cs="Arial"/>
          <w:color w:val="000000" w:themeColor="text1"/>
          <w:sz w:val="24"/>
          <w:szCs w:val="24"/>
        </w:rPr>
        <w:t xml:space="preserve"> </w:t>
      </w:r>
      <w:r w:rsidRPr="000F4D2C">
        <w:rPr>
          <w:rFonts w:ascii="Bookman Old Style" w:hAnsi="Bookman Old Style" w:cs="Arial"/>
          <w:color w:val="000000" w:themeColor="text1"/>
          <w:sz w:val="24"/>
          <w:szCs w:val="24"/>
        </w:rPr>
        <w:t xml:space="preserve">deberá ajustar en un plazo máximo de 15 días calendario el valor de la garantía conforme la siguiente </w:t>
      </w:r>
      <w:r w:rsidR="00843A04" w:rsidRPr="000F4D2C">
        <w:rPr>
          <w:rFonts w:ascii="Bookman Old Style" w:hAnsi="Bookman Old Style" w:cs="Arial"/>
          <w:b/>
          <w:bCs/>
          <w:color w:val="000000" w:themeColor="text1"/>
          <w:sz w:val="24"/>
          <w:szCs w:val="24"/>
          <w:u w:val="single"/>
        </w:rPr>
        <w:t>tabla</w:t>
      </w:r>
      <w:r w:rsidRPr="000F4D2C">
        <w:rPr>
          <w:rFonts w:ascii="Bookman Old Style" w:hAnsi="Bookman Old Style" w:cs="Arial"/>
          <w:color w:val="000000" w:themeColor="text1"/>
          <w:sz w:val="24"/>
          <w:szCs w:val="24"/>
        </w:rPr>
        <w:t>:</w:t>
      </w:r>
    </w:p>
    <w:tbl>
      <w:tblPr>
        <w:tblStyle w:val="Tablaconcuadrcula"/>
        <w:tblpPr w:leftFromText="141" w:rightFromText="141" w:vertAnchor="text" w:horzAnchor="page" w:tblpX="2499" w:tblpY="197"/>
        <w:tblW w:w="4547" w:type="pct"/>
        <w:tblLook w:val="04A0" w:firstRow="1" w:lastRow="0" w:firstColumn="1" w:lastColumn="0" w:noHBand="0" w:noVBand="1"/>
      </w:tblPr>
      <w:tblGrid>
        <w:gridCol w:w="4107"/>
        <w:gridCol w:w="4392"/>
      </w:tblGrid>
      <w:tr w:rsidR="0047062E" w:rsidRPr="00E86A75" w14:paraId="668FF99E" w14:textId="77777777" w:rsidTr="0020151F">
        <w:tc>
          <w:tcPr>
            <w:tcW w:w="2416" w:type="pct"/>
            <w:vAlign w:val="center"/>
          </w:tcPr>
          <w:p w14:paraId="16204555" w14:textId="77777777" w:rsidR="0047062E" w:rsidRPr="000F4D2C" w:rsidRDefault="0047062E" w:rsidP="0020151F">
            <w:pPr>
              <w:jc w:val="center"/>
              <w:rPr>
                <w:rFonts w:ascii="Bookman Old Style" w:hAnsi="Bookman Old Style" w:cs="Arial"/>
                <w:b/>
                <w:bCs/>
                <w:color w:val="000000" w:themeColor="text1"/>
                <w:sz w:val="24"/>
                <w:szCs w:val="24"/>
                <w:u w:val="single"/>
              </w:rPr>
            </w:pPr>
            <w:r w:rsidRPr="000F4D2C">
              <w:rPr>
                <w:rFonts w:ascii="Bookman Old Style" w:hAnsi="Bookman Old Style" w:cs="Arial"/>
                <w:b/>
                <w:bCs/>
                <w:color w:val="000000" w:themeColor="text1"/>
                <w:sz w:val="24"/>
                <w:szCs w:val="24"/>
                <w:u w:val="single"/>
              </w:rPr>
              <w:t>Porcentaje de retraso</w:t>
            </w:r>
          </w:p>
        </w:tc>
        <w:tc>
          <w:tcPr>
            <w:tcW w:w="2584" w:type="pct"/>
            <w:vAlign w:val="center"/>
          </w:tcPr>
          <w:p w14:paraId="6F107CC8" w14:textId="77777777" w:rsidR="0047062E" w:rsidRPr="000F4D2C" w:rsidRDefault="0047062E" w:rsidP="0020151F">
            <w:pPr>
              <w:jc w:val="center"/>
              <w:rPr>
                <w:rFonts w:ascii="Bookman Old Style" w:hAnsi="Bookman Old Style" w:cs="Arial"/>
                <w:b/>
                <w:color w:val="000000" w:themeColor="text1"/>
                <w:sz w:val="24"/>
                <w:szCs w:val="24"/>
                <w:u w:val="single"/>
              </w:rPr>
            </w:pPr>
            <w:r w:rsidRPr="000F4D2C">
              <w:rPr>
                <w:rFonts w:ascii="Bookman Old Style" w:hAnsi="Bookman Old Style" w:cs="Arial"/>
                <w:b/>
                <w:color w:val="000000" w:themeColor="text1"/>
                <w:sz w:val="24"/>
                <w:szCs w:val="24"/>
                <w:u w:val="single"/>
              </w:rPr>
              <w:t>Porcentaje de incremento en el valor de la garantía de cumplimiento</w:t>
            </w:r>
          </w:p>
        </w:tc>
      </w:tr>
      <w:tr w:rsidR="0047062E" w:rsidRPr="00E86A75" w14:paraId="2BAC9F60" w14:textId="77777777" w:rsidTr="0020151F">
        <w:tc>
          <w:tcPr>
            <w:tcW w:w="2416" w:type="pct"/>
            <w:vAlign w:val="center"/>
          </w:tcPr>
          <w:p w14:paraId="3C681111" w14:textId="77777777" w:rsidR="0047062E" w:rsidRPr="000F4D2C" w:rsidRDefault="0047062E" w:rsidP="0020151F">
            <w:pPr>
              <w:jc w:val="center"/>
              <w:rPr>
                <w:rFonts w:ascii="Bookman Old Style" w:hAnsi="Bookman Old Style" w:cs="Arial"/>
                <w:b/>
                <w:bCs/>
                <w:color w:val="000000" w:themeColor="text1"/>
                <w:sz w:val="24"/>
                <w:szCs w:val="24"/>
                <w:u w:val="single"/>
              </w:rPr>
            </w:pPr>
            <w:r w:rsidRPr="000F4D2C">
              <w:rPr>
                <w:rFonts w:ascii="Bookman Old Style" w:hAnsi="Bookman Old Style" w:cs="Arial"/>
                <w:b/>
                <w:bCs/>
                <w:color w:val="000000" w:themeColor="text1"/>
                <w:sz w:val="24"/>
                <w:szCs w:val="24"/>
                <w:u w:val="single"/>
              </w:rPr>
              <w:t>0%&lt; retraso &lt; 12,5%</w:t>
            </w:r>
          </w:p>
        </w:tc>
        <w:tc>
          <w:tcPr>
            <w:tcW w:w="2584" w:type="pct"/>
            <w:vAlign w:val="center"/>
          </w:tcPr>
          <w:p w14:paraId="7F639DE0" w14:textId="77777777" w:rsidR="0047062E" w:rsidRPr="000F4D2C" w:rsidRDefault="0047062E" w:rsidP="0020151F">
            <w:pPr>
              <w:jc w:val="center"/>
              <w:rPr>
                <w:rFonts w:ascii="Bookman Old Style" w:hAnsi="Bookman Old Style" w:cs="Arial"/>
                <w:b/>
                <w:bCs/>
                <w:color w:val="000000" w:themeColor="text1"/>
                <w:sz w:val="24"/>
                <w:szCs w:val="24"/>
                <w:u w:val="single"/>
              </w:rPr>
            </w:pPr>
            <w:r w:rsidRPr="000F4D2C">
              <w:rPr>
                <w:rFonts w:ascii="Bookman Old Style" w:hAnsi="Bookman Old Style" w:cs="Arial"/>
                <w:b/>
                <w:bCs/>
                <w:color w:val="000000" w:themeColor="text1"/>
                <w:sz w:val="24"/>
                <w:szCs w:val="24"/>
                <w:u w:val="single"/>
              </w:rPr>
              <w:t>50%</w:t>
            </w:r>
          </w:p>
        </w:tc>
      </w:tr>
      <w:tr w:rsidR="0047062E" w:rsidRPr="00E86A75" w14:paraId="22A6575C" w14:textId="77777777" w:rsidTr="0020151F">
        <w:tc>
          <w:tcPr>
            <w:tcW w:w="2416" w:type="pct"/>
            <w:vAlign w:val="center"/>
          </w:tcPr>
          <w:p w14:paraId="186AE93D" w14:textId="77777777" w:rsidR="0047062E" w:rsidRPr="000F4D2C" w:rsidRDefault="0047062E" w:rsidP="0020151F">
            <w:pPr>
              <w:jc w:val="center"/>
              <w:rPr>
                <w:rFonts w:ascii="Bookman Old Style" w:hAnsi="Bookman Old Style" w:cs="Arial"/>
                <w:b/>
                <w:bCs/>
                <w:color w:val="000000" w:themeColor="text1"/>
                <w:sz w:val="24"/>
                <w:szCs w:val="24"/>
                <w:u w:val="single"/>
              </w:rPr>
            </w:pPr>
            <w:r w:rsidRPr="000F4D2C">
              <w:rPr>
                <w:rFonts w:ascii="Bookman Old Style" w:hAnsi="Bookman Old Style" w:cs="Arial"/>
                <w:b/>
                <w:bCs/>
                <w:color w:val="000000" w:themeColor="text1"/>
                <w:sz w:val="24"/>
                <w:szCs w:val="24"/>
                <w:u w:val="single"/>
              </w:rPr>
              <w:t>12,5%&lt;= retraso &lt; 25,0%</w:t>
            </w:r>
          </w:p>
        </w:tc>
        <w:tc>
          <w:tcPr>
            <w:tcW w:w="2584" w:type="pct"/>
            <w:vAlign w:val="center"/>
          </w:tcPr>
          <w:p w14:paraId="588287F3" w14:textId="77777777" w:rsidR="0047062E" w:rsidRPr="000F4D2C" w:rsidRDefault="0047062E" w:rsidP="0020151F">
            <w:pPr>
              <w:jc w:val="center"/>
              <w:rPr>
                <w:rFonts w:ascii="Bookman Old Style" w:hAnsi="Bookman Old Style" w:cs="Arial"/>
                <w:b/>
                <w:bCs/>
                <w:color w:val="000000" w:themeColor="text1"/>
                <w:sz w:val="24"/>
                <w:szCs w:val="24"/>
                <w:u w:val="single"/>
              </w:rPr>
            </w:pPr>
            <w:r w:rsidRPr="000F4D2C">
              <w:rPr>
                <w:rFonts w:ascii="Bookman Old Style" w:hAnsi="Bookman Old Style" w:cs="Arial"/>
                <w:b/>
                <w:bCs/>
                <w:color w:val="000000" w:themeColor="text1"/>
                <w:sz w:val="24"/>
                <w:szCs w:val="24"/>
                <w:u w:val="single"/>
              </w:rPr>
              <w:t>100%</w:t>
            </w:r>
          </w:p>
        </w:tc>
      </w:tr>
      <w:tr w:rsidR="0047062E" w:rsidRPr="00E86A75" w14:paraId="79C0AD7D" w14:textId="77777777" w:rsidTr="0020151F">
        <w:tc>
          <w:tcPr>
            <w:tcW w:w="2416" w:type="pct"/>
            <w:vAlign w:val="center"/>
          </w:tcPr>
          <w:p w14:paraId="62723558" w14:textId="77777777" w:rsidR="0047062E" w:rsidRPr="000F4D2C" w:rsidRDefault="0047062E" w:rsidP="0020151F">
            <w:pPr>
              <w:jc w:val="center"/>
              <w:rPr>
                <w:rFonts w:ascii="Bookman Old Style" w:hAnsi="Bookman Old Style" w:cs="Arial"/>
                <w:b/>
                <w:bCs/>
                <w:color w:val="000000" w:themeColor="text1"/>
                <w:sz w:val="24"/>
                <w:szCs w:val="24"/>
                <w:u w:val="single"/>
              </w:rPr>
            </w:pPr>
            <w:r w:rsidRPr="000F4D2C">
              <w:rPr>
                <w:rFonts w:ascii="Bookman Old Style" w:hAnsi="Bookman Old Style" w:cs="Arial"/>
                <w:b/>
                <w:bCs/>
                <w:color w:val="000000" w:themeColor="text1"/>
                <w:sz w:val="24"/>
                <w:szCs w:val="24"/>
                <w:u w:val="single"/>
              </w:rPr>
              <w:t>25,0%&lt;= retraso &lt; 37,5%</w:t>
            </w:r>
          </w:p>
        </w:tc>
        <w:tc>
          <w:tcPr>
            <w:tcW w:w="2584" w:type="pct"/>
            <w:vAlign w:val="center"/>
          </w:tcPr>
          <w:p w14:paraId="52755167" w14:textId="77777777" w:rsidR="0047062E" w:rsidRPr="000F4D2C" w:rsidRDefault="0047062E" w:rsidP="0020151F">
            <w:pPr>
              <w:jc w:val="center"/>
              <w:rPr>
                <w:rFonts w:ascii="Bookman Old Style" w:hAnsi="Bookman Old Style" w:cs="Arial"/>
                <w:b/>
                <w:bCs/>
                <w:color w:val="000000" w:themeColor="text1"/>
                <w:sz w:val="24"/>
                <w:szCs w:val="24"/>
                <w:u w:val="single"/>
              </w:rPr>
            </w:pPr>
            <w:r w:rsidRPr="000F4D2C">
              <w:rPr>
                <w:rFonts w:ascii="Bookman Old Style" w:hAnsi="Bookman Old Style" w:cs="Arial"/>
                <w:b/>
                <w:bCs/>
                <w:color w:val="000000" w:themeColor="text1"/>
                <w:sz w:val="24"/>
                <w:szCs w:val="24"/>
                <w:u w:val="single"/>
              </w:rPr>
              <w:t>150%</w:t>
            </w:r>
          </w:p>
        </w:tc>
      </w:tr>
      <w:tr w:rsidR="0047062E" w:rsidRPr="00E86A75" w14:paraId="13DC931D" w14:textId="77777777" w:rsidTr="0020151F">
        <w:tc>
          <w:tcPr>
            <w:tcW w:w="2416" w:type="pct"/>
            <w:vAlign w:val="center"/>
          </w:tcPr>
          <w:p w14:paraId="6FCC82C7" w14:textId="77777777" w:rsidR="0047062E" w:rsidRPr="000F4D2C" w:rsidRDefault="0047062E" w:rsidP="0020151F">
            <w:pPr>
              <w:jc w:val="center"/>
              <w:rPr>
                <w:rFonts w:ascii="Bookman Old Style" w:hAnsi="Bookman Old Style" w:cs="Arial"/>
                <w:b/>
                <w:bCs/>
                <w:color w:val="000000" w:themeColor="text1"/>
                <w:sz w:val="24"/>
                <w:szCs w:val="24"/>
                <w:u w:val="single"/>
              </w:rPr>
            </w:pPr>
            <w:r w:rsidRPr="000F4D2C">
              <w:rPr>
                <w:rFonts w:ascii="Bookman Old Style" w:hAnsi="Bookman Old Style" w:cs="Arial"/>
                <w:b/>
                <w:bCs/>
                <w:color w:val="000000" w:themeColor="text1"/>
                <w:sz w:val="24"/>
                <w:szCs w:val="24"/>
                <w:u w:val="single"/>
              </w:rPr>
              <w:t>37,5%&lt;= retraso &lt; 50,0%</w:t>
            </w:r>
          </w:p>
        </w:tc>
        <w:tc>
          <w:tcPr>
            <w:tcW w:w="2584" w:type="pct"/>
            <w:vAlign w:val="center"/>
          </w:tcPr>
          <w:p w14:paraId="13C1FB91" w14:textId="77777777" w:rsidR="0047062E" w:rsidRPr="000F4D2C" w:rsidRDefault="0047062E" w:rsidP="0020151F">
            <w:pPr>
              <w:jc w:val="center"/>
              <w:rPr>
                <w:rFonts w:ascii="Bookman Old Style" w:hAnsi="Bookman Old Style" w:cs="Arial"/>
                <w:b/>
                <w:bCs/>
                <w:color w:val="000000" w:themeColor="text1"/>
                <w:sz w:val="24"/>
                <w:szCs w:val="24"/>
                <w:u w:val="single"/>
              </w:rPr>
            </w:pPr>
            <w:r w:rsidRPr="000F4D2C">
              <w:rPr>
                <w:rFonts w:ascii="Bookman Old Style" w:hAnsi="Bookman Old Style" w:cs="Arial"/>
                <w:b/>
                <w:bCs/>
                <w:color w:val="000000" w:themeColor="text1"/>
                <w:sz w:val="24"/>
                <w:szCs w:val="24"/>
                <w:u w:val="single"/>
              </w:rPr>
              <w:t>200%</w:t>
            </w:r>
          </w:p>
        </w:tc>
      </w:tr>
    </w:tbl>
    <w:p w14:paraId="7EAD0D9B" w14:textId="77777777" w:rsidR="00CF5EFC" w:rsidRPr="00F23AE8" w:rsidRDefault="00CF5EFC" w:rsidP="00CF5EFC">
      <w:pPr>
        <w:pStyle w:val="Prrafodelista"/>
        <w:tabs>
          <w:tab w:val="left" w:pos="1478"/>
        </w:tabs>
        <w:ind w:left="1080"/>
        <w:jc w:val="both"/>
        <w:rPr>
          <w:rFonts w:ascii="Bookman Old Style" w:hAnsi="Bookman Old Style" w:cs="Arial"/>
          <w:color w:val="000000" w:themeColor="text1"/>
          <w:sz w:val="24"/>
          <w:szCs w:val="24"/>
        </w:rPr>
      </w:pPr>
    </w:p>
    <w:p w14:paraId="48CF0A7F" w14:textId="77777777" w:rsidR="003C282F" w:rsidRPr="000F4D2C" w:rsidRDefault="003C282F" w:rsidP="000F4D2C">
      <w:pPr>
        <w:pStyle w:val="Prrafodelista"/>
        <w:tabs>
          <w:tab w:val="left" w:pos="1478"/>
        </w:tabs>
        <w:jc w:val="both"/>
        <w:rPr>
          <w:rFonts w:ascii="Bookman Old Style" w:hAnsi="Bookman Old Style" w:cs="Arial"/>
          <w:b/>
          <w:bCs/>
          <w:color w:val="000000" w:themeColor="text1"/>
          <w:sz w:val="24"/>
          <w:szCs w:val="24"/>
          <w:u w:val="single"/>
          <w:lang w:eastAsia="en-US"/>
        </w:rPr>
      </w:pPr>
      <w:bookmarkStart w:id="39" w:name="_Ref460831684"/>
      <w:r w:rsidRPr="000F4D2C">
        <w:rPr>
          <w:rFonts w:ascii="Bookman Old Style" w:hAnsi="Bookman Old Style" w:cs="Arial"/>
          <w:b/>
          <w:bCs/>
          <w:color w:val="000000" w:themeColor="text1"/>
          <w:sz w:val="24"/>
          <w:szCs w:val="24"/>
          <w:u w:val="single"/>
          <w:lang w:eastAsia="en-US"/>
        </w:rPr>
        <w:t>En caso de que en una siguiente revisión del auditor de la curva S y del cronograma de ejecución real se observe una reducción del porcentaje de retraso, el adjudicatario o el agente incumbente que ejecute en primera instancia el Proyecto podrá reducir el valor de la garantía de cumplimiento, de acuerdo con la tabla anterior y el nuevo porcentaje de retraso informado por el auditor del proyecto.</w:t>
      </w:r>
    </w:p>
    <w:p w14:paraId="49D28B05" w14:textId="77777777" w:rsidR="003C282F" w:rsidRPr="000F4D2C" w:rsidRDefault="003C282F" w:rsidP="000F4D2C">
      <w:pPr>
        <w:pStyle w:val="Prrafodelista"/>
        <w:tabs>
          <w:tab w:val="left" w:pos="1478"/>
        </w:tabs>
        <w:jc w:val="both"/>
        <w:rPr>
          <w:rFonts w:ascii="Bookman Old Style" w:hAnsi="Bookman Old Style" w:cs="Arial"/>
          <w:b/>
          <w:bCs/>
          <w:color w:val="000000" w:themeColor="text1"/>
          <w:sz w:val="24"/>
          <w:szCs w:val="24"/>
          <w:u w:val="single"/>
          <w:lang w:eastAsia="en-US"/>
        </w:rPr>
      </w:pPr>
    </w:p>
    <w:p w14:paraId="2D2C1356" w14:textId="77777777" w:rsidR="003C282F" w:rsidRPr="000F4D2C" w:rsidRDefault="003C282F" w:rsidP="000F4D2C">
      <w:pPr>
        <w:pStyle w:val="Prrafodelista"/>
        <w:tabs>
          <w:tab w:val="left" w:pos="1478"/>
        </w:tabs>
        <w:jc w:val="both"/>
        <w:rPr>
          <w:rFonts w:ascii="Bookman Old Style" w:hAnsi="Bookman Old Style" w:cs="Arial"/>
          <w:b/>
          <w:bCs/>
          <w:color w:val="000000" w:themeColor="text1"/>
          <w:sz w:val="24"/>
          <w:szCs w:val="24"/>
          <w:u w:val="single"/>
          <w:lang w:eastAsia="en-US"/>
        </w:rPr>
      </w:pPr>
      <w:r w:rsidRPr="000F4D2C">
        <w:rPr>
          <w:rFonts w:ascii="Bookman Old Style" w:hAnsi="Bookman Old Style" w:cs="Arial"/>
          <w:b/>
          <w:bCs/>
          <w:color w:val="000000" w:themeColor="text1"/>
          <w:sz w:val="24"/>
          <w:szCs w:val="24"/>
          <w:u w:val="single"/>
          <w:lang w:eastAsia="en-US"/>
        </w:rPr>
        <w:t>El retraso será calculado por el auditor de la siguiente manera:</w:t>
      </w:r>
    </w:p>
    <w:p w14:paraId="0EEE9FE3" w14:textId="77777777" w:rsidR="003C282F" w:rsidRPr="000F4D2C" w:rsidRDefault="003C282F" w:rsidP="000F4D2C">
      <w:pPr>
        <w:pStyle w:val="Prrafodelista"/>
        <w:tabs>
          <w:tab w:val="left" w:pos="1478"/>
        </w:tabs>
        <w:jc w:val="both"/>
        <w:rPr>
          <w:rFonts w:ascii="Bookman Old Style" w:hAnsi="Bookman Old Style" w:cs="Arial"/>
          <w:b/>
          <w:bCs/>
          <w:color w:val="000000" w:themeColor="text1"/>
          <w:sz w:val="24"/>
          <w:szCs w:val="24"/>
          <w:u w:val="single"/>
          <w:lang w:eastAsia="en-US"/>
        </w:rPr>
      </w:pPr>
    </w:p>
    <w:p w14:paraId="7378928A" w14:textId="77777777" w:rsidR="003C282F" w:rsidRPr="000F4D2C" w:rsidRDefault="003C282F" w:rsidP="000F4D2C">
      <w:pPr>
        <w:pStyle w:val="Prrafodelista"/>
        <w:tabs>
          <w:tab w:val="left" w:pos="1478"/>
        </w:tabs>
        <w:jc w:val="center"/>
        <w:rPr>
          <w:rFonts w:ascii="Bookman Old Style" w:hAnsi="Bookman Old Style" w:cs="Arial"/>
          <w:b/>
          <w:bCs/>
          <w:color w:val="000000" w:themeColor="text1"/>
          <w:sz w:val="24"/>
          <w:szCs w:val="24"/>
          <w:u w:val="single"/>
          <w:lang w:eastAsia="en-US"/>
        </w:rPr>
      </w:pPr>
      <w:r w:rsidRPr="000F4D2C">
        <w:rPr>
          <w:rFonts w:ascii="Bookman Old Style" w:hAnsi="Bookman Old Style" w:cs="Arial"/>
          <w:b/>
          <w:bCs/>
          <w:color w:val="000000" w:themeColor="text1"/>
          <w:sz w:val="24"/>
          <w:szCs w:val="24"/>
          <w:u w:val="single"/>
          <w:lang w:eastAsia="en-US"/>
        </w:rPr>
        <w:t>Retraso = NDR / NDFPO</w:t>
      </w:r>
    </w:p>
    <w:p w14:paraId="739AB87B" w14:textId="77777777" w:rsidR="003C282F" w:rsidRPr="000F4D2C" w:rsidRDefault="003C282F" w:rsidP="000F4D2C">
      <w:pPr>
        <w:pStyle w:val="Prrafodelista"/>
        <w:tabs>
          <w:tab w:val="left" w:pos="1478"/>
        </w:tabs>
        <w:jc w:val="both"/>
        <w:rPr>
          <w:rFonts w:ascii="Bookman Old Style" w:hAnsi="Bookman Old Style" w:cs="Arial"/>
          <w:b/>
          <w:bCs/>
          <w:color w:val="000000" w:themeColor="text1"/>
          <w:sz w:val="24"/>
          <w:szCs w:val="24"/>
          <w:u w:val="single"/>
          <w:lang w:eastAsia="en-US"/>
        </w:rPr>
      </w:pPr>
      <w:r w:rsidRPr="000F4D2C">
        <w:rPr>
          <w:rFonts w:ascii="Bookman Old Style" w:hAnsi="Bookman Old Style" w:cs="Arial"/>
          <w:b/>
          <w:bCs/>
          <w:color w:val="000000" w:themeColor="text1"/>
          <w:sz w:val="24"/>
          <w:szCs w:val="24"/>
          <w:u w:val="single"/>
          <w:lang w:eastAsia="en-US"/>
        </w:rPr>
        <w:t>Donde:</w:t>
      </w:r>
    </w:p>
    <w:p w14:paraId="11A44CBC" w14:textId="77777777" w:rsidR="003C282F" w:rsidRPr="000F4D2C" w:rsidRDefault="003C282F" w:rsidP="000F4D2C">
      <w:pPr>
        <w:pStyle w:val="Prrafodelista"/>
        <w:tabs>
          <w:tab w:val="left" w:pos="1478"/>
        </w:tabs>
        <w:jc w:val="both"/>
        <w:rPr>
          <w:rFonts w:ascii="Bookman Old Style" w:hAnsi="Bookman Old Style" w:cs="Arial"/>
          <w:b/>
          <w:bCs/>
          <w:color w:val="000000" w:themeColor="text1"/>
          <w:sz w:val="24"/>
          <w:szCs w:val="24"/>
          <w:u w:val="single"/>
          <w:lang w:eastAsia="en-US"/>
        </w:rPr>
      </w:pPr>
    </w:p>
    <w:p w14:paraId="67207A1F" w14:textId="07AE8CB9" w:rsidR="003C282F" w:rsidRPr="000F4D2C" w:rsidRDefault="003C282F" w:rsidP="000F4D2C">
      <w:pPr>
        <w:pStyle w:val="Prrafodelista"/>
        <w:tabs>
          <w:tab w:val="left" w:pos="1478"/>
        </w:tabs>
        <w:jc w:val="both"/>
        <w:rPr>
          <w:rFonts w:ascii="Bookman Old Style" w:hAnsi="Bookman Old Style" w:cs="Arial"/>
          <w:b/>
          <w:bCs/>
          <w:color w:val="000000" w:themeColor="text1"/>
          <w:sz w:val="24"/>
          <w:szCs w:val="24"/>
          <w:u w:val="single"/>
          <w:lang w:eastAsia="en-US"/>
        </w:rPr>
      </w:pPr>
      <w:r w:rsidRPr="000F4D2C">
        <w:rPr>
          <w:rFonts w:ascii="Bookman Old Style" w:hAnsi="Bookman Old Style" w:cs="Arial"/>
          <w:b/>
          <w:bCs/>
          <w:color w:val="000000" w:themeColor="text1"/>
          <w:sz w:val="24"/>
          <w:szCs w:val="24"/>
          <w:u w:val="single"/>
          <w:lang w:eastAsia="en-US"/>
        </w:rPr>
        <w:t>NDR: Número de meses contados entre: a.) La fecha proyectada de puesta en operación del proyecto, de acuerdo con el cronograma actualizado revisado por el auditor; y, b.) LA FPO inicial adoptada por el MME o la ajustada por el MME de acuerdo con lo establecido en el Artículo 22 de la presente resolución.</w:t>
      </w:r>
    </w:p>
    <w:p w14:paraId="63F9EF72" w14:textId="77777777" w:rsidR="003C282F" w:rsidRPr="003C282F" w:rsidRDefault="003C282F" w:rsidP="008B057E">
      <w:pPr>
        <w:pStyle w:val="Prrafodelista"/>
        <w:tabs>
          <w:tab w:val="left" w:pos="1478"/>
        </w:tabs>
        <w:ind w:left="1080"/>
        <w:jc w:val="both"/>
        <w:rPr>
          <w:rFonts w:ascii="Bookman Old Style" w:hAnsi="Bookman Old Style" w:cs="Arial"/>
          <w:color w:val="000000" w:themeColor="text1"/>
          <w:sz w:val="24"/>
          <w:szCs w:val="24"/>
          <w:lang w:eastAsia="en-US"/>
        </w:rPr>
      </w:pPr>
    </w:p>
    <w:p w14:paraId="3C0C4563" w14:textId="2941EFF5" w:rsidR="008B057E" w:rsidRPr="000F4D2C" w:rsidRDefault="003C282F" w:rsidP="000F4D2C">
      <w:pPr>
        <w:pStyle w:val="Descripcin"/>
        <w:spacing w:after="0" w:line="240" w:lineRule="auto"/>
        <w:ind w:left="708"/>
        <w:jc w:val="both"/>
        <w:rPr>
          <w:rFonts w:ascii="Bookman Old Style" w:hAnsi="Bookman Old Style"/>
          <w:b/>
          <w:bCs/>
          <w:sz w:val="24"/>
          <w:szCs w:val="24"/>
          <w:u w:val="single"/>
        </w:rPr>
      </w:pPr>
      <w:r w:rsidRPr="000F4D2C">
        <w:rPr>
          <w:rFonts w:ascii="Bookman Old Style" w:hAnsi="Bookman Old Style" w:cs="Arial"/>
          <w:b/>
          <w:bCs/>
          <w:color w:val="000000" w:themeColor="text1"/>
          <w:sz w:val="24"/>
          <w:szCs w:val="24"/>
          <w:u w:val="single"/>
        </w:rPr>
        <w:t>NDFPO: Número de meses contados entre: a.) La fecha de adjudicación del proceso o de la publicación de la resolución en firme de la CREG en la que adopta el valor eficiente y la remuneración de la inversión y de los gastos de AOM correspondientes al transportador incumbente que ejecuta en primera instancia un proyecto IPAT; y, b.) La FPO</w:t>
      </w:r>
      <w:r w:rsidR="008B057E">
        <w:rPr>
          <w:rFonts w:ascii="Bookman Old Style" w:hAnsi="Bookman Old Style" w:cs="Arial"/>
          <w:b/>
          <w:bCs/>
          <w:color w:val="000000" w:themeColor="text1"/>
          <w:sz w:val="24"/>
          <w:szCs w:val="24"/>
          <w:u w:val="single"/>
        </w:rPr>
        <w:t xml:space="preserve"> </w:t>
      </w:r>
      <w:r w:rsidRPr="000F4D2C">
        <w:rPr>
          <w:rFonts w:ascii="Bookman Old Style" w:hAnsi="Bookman Old Style" w:cs="Arial"/>
          <w:b/>
          <w:bCs/>
          <w:color w:val="000000" w:themeColor="text1"/>
          <w:sz w:val="24"/>
          <w:szCs w:val="24"/>
          <w:u w:val="single"/>
        </w:rPr>
        <w:t>inicial adoptada por el MME, sin modificaciones.</w:t>
      </w:r>
      <w:bookmarkEnd w:id="39"/>
    </w:p>
    <w:p w14:paraId="77D44C4F" w14:textId="77777777" w:rsidR="0047062E" w:rsidRDefault="0047062E" w:rsidP="000F4D2C">
      <w:pPr>
        <w:spacing w:after="0" w:line="240" w:lineRule="auto"/>
        <w:ind w:left="708"/>
        <w:jc w:val="both"/>
        <w:rPr>
          <w:rFonts w:ascii="Bookman Old Style" w:eastAsia="Bookman Old Style" w:hAnsi="Bookman Old Style" w:cs="Bookman Old Style"/>
          <w:b/>
          <w:color w:val="000000" w:themeColor="text1"/>
          <w:sz w:val="24"/>
          <w:szCs w:val="24"/>
          <w:u w:val="single"/>
        </w:rPr>
      </w:pPr>
    </w:p>
    <w:p w14:paraId="3DEB3960" w14:textId="0C7D0650" w:rsidR="00CF5EFC" w:rsidRDefault="707D70D2" w:rsidP="008B057E">
      <w:pPr>
        <w:spacing w:after="0" w:line="240" w:lineRule="auto"/>
        <w:ind w:left="708" w:hanging="708"/>
        <w:jc w:val="both"/>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 xml:space="preserve">3.5.2. </w:t>
      </w:r>
      <w:r w:rsidR="00CF5EFC" w:rsidRPr="000F4D2C">
        <w:rPr>
          <w:rFonts w:ascii="Bookman Old Style" w:eastAsia="Bookman Old Style" w:hAnsi="Bookman Old Style" w:cs="Bookman Old Style"/>
          <w:b/>
          <w:color w:val="000000" w:themeColor="text1"/>
          <w:sz w:val="24"/>
          <w:szCs w:val="24"/>
          <w:u w:val="single"/>
        </w:rPr>
        <w:t>Ajustes mensuales al valor de la garantía por cumplimiento:</w:t>
      </w:r>
      <w:r w:rsidRPr="000F4D2C">
        <w:rPr>
          <w:rFonts w:ascii="Bookman Old Style" w:eastAsia="Bookman Old Style" w:hAnsi="Bookman Old Style" w:cs="Bookman Old Style"/>
          <w:b/>
          <w:color w:val="000000" w:themeColor="text1"/>
          <w:sz w:val="24"/>
          <w:szCs w:val="24"/>
          <w:u w:val="single"/>
        </w:rPr>
        <w:t xml:space="preserve"> Cuando se dé cumplimiento a un Hito de la curva S en una fecha previa a la estipulada en el cronograma presentado por el adjudicatario o transportador incumbente que ejecute en primea instancia proyectos IPAT, </w:t>
      </w:r>
      <w:r w:rsidR="00116EA1">
        <w:rPr>
          <w:rFonts w:ascii="Bookman Old Style" w:eastAsia="Bookman Old Style" w:hAnsi="Bookman Old Style" w:cs="Bookman Old Style"/>
          <w:b/>
          <w:color w:val="000000" w:themeColor="text1"/>
          <w:sz w:val="24"/>
          <w:szCs w:val="24"/>
          <w:u w:val="single"/>
        </w:rPr>
        <w:t xml:space="preserve">éste </w:t>
      </w:r>
      <w:r w:rsidRPr="000F4D2C">
        <w:rPr>
          <w:rFonts w:ascii="Bookman Old Style" w:eastAsia="Bookman Old Style" w:hAnsi="Bookman Old Style" w:cs="Bookman Old Style"/>
          <w:b/>
          <w:color w:val="000000" w:themeColor="text1"/>
          <w:sz w:val="24"/>
          <w:szCs w:val="24"/>
          <w:u w:val="single"/>
        </w:rPr>
        <w:t>podrá reducir el valor de la garantía en los siguientes porcentajes a aplicar sobre el valor de la garantía vigente</w:t>
      </w:r>
      <w:r w:rsidR="00D17CDE">
        <w:rPr>
          <w:rFonts w:ascii="Bookman Old Style" w:eastAsia="Bookman Old Style" w:hAnsi="Bookman Old Style" w:cs="Bookman Old Style"/>
          <w:b/>
          <w:color w:val="000000" w:themeColor="text1"/>
          <w:sz w:val="24"/>
          <w:szCs w:val="24"/>
          <w:u w:val="single"/>
        </w:rPr>
        <w:t xml:space="preserve">. </w:t>
      </w:r>
      <w:r w:rsidR="00D17CDE" w:rsidRPr="00D17CDE">
        <w:rPr>
          <w:rFonts w:ascii="Bookman Old Style" w:eastAsia="Bookman Old Style" w:hAnsi="Bookman Old Style" w:cs="Bookman Old Style"/>
          <w:b/>
          <w:color w:val="000000" w:themeColor="text1"/>
          <w:sz w:val="24"/>
          <w:szCs w:val="24"/>
          <w:u w:val="single"/>
        </w:rPr>
        <w:t xml:space="preserve">En </w:t>
      </w:r>
      <w:r w:rsidR="00D17CDE">
        <w:rPr>
          <w:rFonts w:ascii="Bookman Old Style" w:eastAsia="Bookman Old Style" w:hAnsi="Bookman Old Style" w:cs="Bookman Old Style"/>
          <w:b/>
          <w:color w:val="000000" w:themeColor="text1"/>
          <w:sz w:val="24"/>
          <w:szCs w:val="24"/>
          <w:u w:val="single"/>
        </w:rPr>
        <w:t>ningún</w:t>
      </w:r>
      <w:r w:rsidR="00D17CDE" w:rsidRPr="00D17CDE">
        <w:rPr>
          <w:rFonts w:ascii="Bookman Old Style" w:eastAsia="Bookman Old Style" w:hAnsi="Bookman Old Style" w:cs="Bookman Old Style"/>
          <w:b/>
          <w:color w:val="000000" w:themeColor="text1"/>
          <w:sz w:val="24"/>
          <w:szCs w:val="24"/>
          <w:u w:val="single"/>
        </w:rPr>
        <w:t xml:space="preserve"> caso, el valor máximo acumulado de reducción de porcentaje </w:t>
      </w:r>
      <w:r w:rsidR="00456DB0">
        <w:rPr>
          <w:rFonts w:ascii="Bookman Old Style" w:eastAsia="Bookman Old Style" w:hAnsi="Bookman Old Style" w:cs="Bookman Old Style"/>
          <w:b/>
          <w:color w:val="000000" w:themeColor="text1"/>
          <w:sz w:val="24"/>
          <w:szCs w:val="24"/>
          <w:u w:val="single"/>
        </w:rPr>
        <w:t xml:space="preserve">por estos ajustes </w:t>
      </w:r>
      <w:r w:rsidR="00D17CDE">
        <w:rPr>
          <w:rFonts w:ascii="Bookman Old Style" w:eastAsia="Bookman Old Style" w:hAnsi="Bookman Old Style" w:cs="Bookman Old Style"/>
          <w:b/>
          <w:color w:val="000000" w:themeColor="text1"/>
          <w:sz w:val="24"/>
          <w:szCs w:val="24"/>
          <w:u w:val="single"/>
        </w:rPr>
        <w:t xml:space="preserve">podrá superar </w:t>
      </w:r>
      <w:r w:rsidR="00D17CDE" w:rsidRPr="00D17CDE">
        <w:rPr>
          <w:rFonts w:ascii="Bookman Old Style" w:eastAsia="Bookman Old Style" w:hAnsi="Bookman Old Style" w:cs="Bookman Old Style"/>
          <w:b/>
          <w:color w:val="000000" w:themeColor="text1"/>
          <w:sz w:val="24"/>
          <w:szCs w:val="24"/>
          <w:u w:val="single"/>
        </w:rPr>
        <w:t>el quince por ciento (15%)</w:t>
      </w:r>
      <w:r w:rsidRPr="000F4D2C">
        <w:rPr>
          <w:rFonts w:ascii="Bookman Old Style" w:eastAsia="Bookman Old Style" w:hAnsi="Bookman Old Style" w:cs="Bookman Old Style"/>
          <w:b/>
          <w:color w:val="000000" w:themeColor="text1"/>
          <w:sz w:val="24"/>
          <w:szCs w:val="24"/>
          <w:u w:val="single"/>
        </w:rPr>
        <w:t>:</w:t>
      </w:r>
    </w:p>
    <w:p w14:paraId="1A449479" w14:textId="77777777" w:rsidR="008B50FF" w:rsidRDefault="008B50FF" w:rsidP="008B057E">
      <w:pPr>
        <w:spacing w:after="0" w:line="240" w:lineRule="auto"/>
        <w:ind w:left="708" w:hanging="708"/>
        <w:jc w:val="both"/>
        <w:rPr>
          <w:rFonts w:ascii="Bookman Old Style" w:eastAsia="Bookman Old Style" w:hAnsi="Bookman Old Style" w:cs="Bookman Old Style"/>
          <w:b/>
          <w:color w:val="000000" w:themeColor="text1"/>
          <w:sz w:val="24"/>
          <w:szCs w:val="24"/>
          <w:u w:val="single"/>
        </w:rPr>
      </w:pPr>
    </w:p>
    <w:p w14:paraId="3B02DDAA" w14:textId="77777777" w:rsidR="008B50FF" w:rsidRPr="000F4D2C" w:rsidRDefault="008B50FF" w:rsidP="000F4D2C">
      <w:pPr>
        <w:spacing w:after="0" w:line="240" w:lineRule="auto"/>
        <w:ind w:left="708" w:hanging="708"/>
        <w:jc w:val="both"/>
        <w:rPr>
          <w:rFonts w:ascii="Bookman Old Style" w:eastAsia="Bookman Old Style" w:hAnsi="Bookman Old Style" w:cs="Bookman Old Style"/>
          <w:b/>
          <w:color w:val="000000" w:themeColor="text1"/>
          <w:sz w:val="24"/>
          <w:szCs w:val="24"/>
          <w:u w:val="single"/>
        </w:rPr>
      </w:pPr>
    </w:p>
    <w:tbl>
      <w:tblPr>
        <w:tblStyle w:val="Tablaconcuadrcula"/>
        <w:tblW w:w="0" w:type="auto"/>
        <w:tblInd w:w="720" w:type="dxa"/>
        <w:tblLayout w:type="fixed"/>
        <w:tblLook w:val="04A0" w:firstRow="1" w:lastRow="0" w:firstColumn="1" w:lastColumn="0" w:noHBand="0" w:noVBand="1"/>
      </w:tblPr>
      <w:tblGrid>
        <w:gridCol w:w="4680"/>
        <w:gridCol w:w="3960"/>
      </w:tblGrid>
      <w:tr w:rsidR="707D70D2" w:rsidRPr="00116EA1" w14:paraId="5ADB6482" w14:textId="77777777" w:rsidTr="000F4D2C">
        <w:tc>
          <w:tcPr>
            <w:tcW w:w="4680" w:type="dxa"/>
            <w:tcBorders>
              <w:top w:val="single" w:sz="8" w:space="0" w:color="auto"/>
              <w:left w:val="single" w:sz="8" w:space="0" w:color="auto"/>
              <w:bottom w:val="single" w:sz="8" w:space="0" w:color="auto"/>
              <w:right w:val="single" w:sz="8" w:space="0" w:color="auto"/>
            </w:tcBorders>
          </w:tcPr>
          <w:p w14:paraId="6459C578" w14:textId="2D93C6AE" w:rsidR="707D70D2" w:rsidRPr="000F4D2C" w:rsidRDefault="707D70D2" w:rsidP="707D70D2">
            <w:pPr>
              <w:tabs>
                <w:tab w:val="left" w:pos="1478"/>
              </w:tabs>
              <w:jc w:val="center"/>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Porcentaje de anticipación a la fecha establecida en el cronograma del adjudicatario</w:t>
            </w:r>
          </w:p>
        </w:tc>
        <w:tc>
          <w:tcPr>
            <w:tcW w:w="3960" w:type="dxa"/>
            <w:tcBorders>
              <w:top w:val="single" w:sz="8" w:space="0" w:color="auto"/>
              <w:left w:val="single" w:sz="8" w:space="0" w:color="auto"/>
              <w:bottom w:val="single" w:sz="8" w:space="0" w:color="auto"/>
              <w:right w:val="single" w:sz="8" w:space="0" w:color="auto"/>
            </w:tcBorders>
          </w:tcPr>
          <w:p w14:paraId="7D89EF5E" w14:textId="59EEE854" w:rsidR="707D70D2" w:rsidRPr="000F4D2C" w:rsidRDefault="707D70D2" w:rsidP="707D70D2">
            <w:pPr>
              <w:tabs>
                <w:tab w:val="left" w:pos="1478"/>
              </w:tabs>
              <w:jc w:val="center"/>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 xml:space="preserve">Porcentaje de reducción en el valor vigente de la garantía de cumplimiento </w:t>
            </w:r>
          </w:p>
        </w:tc>
      </w:tr>
      <w:tr w:rsidR="707D70D2" w:rsidRPr="00116EA1" w14:paraId="1643D775" w14:textId="77777777" w:rsidTr="000F4D2C">
        <w:tc>
          <w:tcPr>
            <w:tcW w:w="4680" w:type="dxa"/>
            <w:tcBorders>
              <w:top w:val="single" w:sz="8" w:space="0" w:color="auto"/>
              <w:left w:val="single" w:sz="8" w:space="0" w:color="auto"/>
              <w:bottom w:val="single" w:sz="8" w:space="0" w:color="auto"/>
              <w:right w:val="single" w:sz="8" w:space="0" w:color="auto"/>
            </w:tcBorders>
          </w:tcPr>
          <w:p w14:paraId="5A295A3B" w14:textId="25A64F21" w:rsidR="707D70D2" w:rsidRPr="000F4D2C" w:rsidRDefault="707D70D2" w:rsidP="707D70D2">
            <w:pPr>
              <w:tabs>
                <w:tab w:val="left" w:pos="1478"/>
              </w:tabs>
              <w:jc w:val="center"/>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PA &gt; 30%</w:t>
            </w:r>
          </w:p>
        </w:tc>
        <w:tc>
          <w:tcPr>
            <w:tcW w:w="3960" w:type="dxa"/>
            <w:tcBorders>
              <w:top w:val="single" w:sz="8" w:space="0" w:color="auto"/>
              <w:left w:val="single" w:sz="8" w:space="0" w:color="auto"/>
              <w:bottom w:val="single" w:sz="8" w:space="0" w:color="auto"/>
              <w:right w:val="single" w:sz="8" w:space="0" w:color="auto"/>
            </w:tcBorders>
          </w:tcPr>
          <w:p w14:paraId="76E5E3F1" w14:textId="370C86D1" w:rsidR="707D70D2" w:rsidRPr="000F4D2C" w:rsidRDefault="707D70D2" w:rsidP="707D70D2">
            <w:pPr>
              <w:tabs>
                <w:tab w:val="left" w:pos="1478"/>
              </w:tabs>
              <w:jc w:val="center"/>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5%</w:t>
            </w:r>
          </w:p>
        </w:tc>
      </w:tr>
      <w:tr w:rsidR="707D70D2" w:rsidRPr="00116EA1" w14:paraId="44D5DC11" w14:textId="77777777" w:rsidTr="000F4D2C">
        <w:tc>
          <w:tcPr>
            <w:tcW w:w="4680" w:type="dxa"/>
            <w:tcBorders>
              <w:top w:val="single" w:sz="8" w:space="0" w:color="auto"/>
              <w:left w:val="single" w:sz="8" w:space="0" w:color="auto"/>
              <w:bottom w:val="single" w:sz="8" w:space="0" w:color="auto"/>
              <w:right w:val="single" w:sz="8" w:space="0" w:color="auto"/>
            </w:tcBorders>
          </w:tcPr>
          <w:p w14:paraId="4A2A0A87" w14:textId="5D6F5560" w:rsidR="707D70D2" w:rsidRPr="000F4D2C" w:rsidRDefault="707D70D2" w:rsidP="707D70D2">
            <w:pPr>
              <w:tabs>
                <w:tab w:val="left" w:pos="1478"/>
              </w:tabs>
              <w:jc w:val="center"/>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PA &gt; 20%</w:t>
            </w:r>
          </w:p>
        </w:tc>
        <w:tc>
          <w:tcPr>
            <w:tcW w:w="3960" w:type="dxa"/>
            <w:tcBorders>
              <w:top w:val="single" w:sz="8" w:space="0" w:color="auto"/>
              <w:left w:val="single" w:sz="8" w:space="0" w:color="auto"/>
              <w:bottom w:val="single" w:sz="8" w:space="0" w:color="auto"/>
              <w:right w:val="single" w:sz="8" w:space="0" w:color="auto"/>
            </w:tcBorders>
          </w:tcPr>
          <w:p w14:paraId="083D820B" w14:textId="52A0DA14" w:rsidR="707D70D2" w:rsidRPr="000F4D2C" w:rsidRDefault="707D70D2" w:rsidP="707D70D2">
            <w:pPr>
              <w:tabs>
                <w:tab w:val="left" w:pos="1478"/>
              </w:tabs>
              <w:jc w:val="center"/>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4%</w:t>
            </w:r>
          </w:p>
        </w:tc>
      </w:tr>
      <w:tr w:rsidR="707D70D2" w:rsidRPr="00116EA1" w14:paraId="16788B8A" w14:textId="77777777" w:rsidTr="000F4D2C">
        <w:tc>
          <w:tcPr>
            <w:tcW w:w="4680" w:type="dxa"/>
            <w:tcBorders>
              <w:top w:val="single" w:sz="8" w:space="0" w:color="auto"/>
              <w:left w:val="single" w:sz="8" w:space="0" w:color="auto"/>
              <w:bottom w:val="single" w:sz="8" w:space="0" w:color="auto"/>
              <w:right w:val="single" w:sz="8" w:space="0" w:color="auto"/>
            </w:tcBorders>
          </w:tcPr>
          <w:p w14:paraId="2541628A" w14:textId="48964E1F" w:rsidR="707D70D2" w:rsidRPr="000F4D2C" w:rsidRDefault="707D70D2" w:rsidP="707D70D2">
            <w:pPr>
              <w:tabs>
                <w:tab w:val="left" w:pos="1478"/>
              </w:tabs>
              <w:jc w:val="center"/>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PA &gt; 10%</w:t>
            </w:r>
          </w:p>
        </w:tc>
        <w:tc>
          <w:tcPr>
            <w:tcW w:w="3960" w:type="dxa"/>
            <w:tcBorders>
              <w:top w:val="single" w:sz="8" w:space="0" w:color="auto"/>
              <w:left w:val="single" w:sz="8" w:space="0" w:color="auto"/>
              <w:bottom w:val="single" w:sz="8" w:space="0" w:color="auto"/>
              <w:right w:val="single" w:sz="8" w:space="0" w:color="auto"/>
            </w:tcBorders>
          </w:tcPr>
          <w:p w14:paraId="11A5459F" w14:textId="46D4E3DE" w:rsidR="707D70D2" w:rsidRPr="000F4D2C" w:rsidRDefault="707D70D2" w:rsidP="707D70D2">
            <w:pPr>
              <w:tabs>
                <w:tab w:val="left" w:pos="1478"/>
              </w:tabs>
              <w:jc w:val="center"/>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3%</w:t>
            </w:r>
          </w:p>
        </w:tc>
      </w:tr>
    </w:tbl>
    <w:p w14:paraId="437840A4" w14:textId="618AEA2D" w:rsidR="00CF5EFC" w:rsidRPr="000F4D2C" w:rsidRDefault="00CF5EFC" w:rsidP="707D70D2">
      <w:pPr>
        <w:ind w:left="426"/>
        <w:jc w:val="both"/>
        <w:rPr>
          <w:rFonts w:ascii="Bookman Old Style" w:eastAsia="Bookman Old Style" w:hAnsi="Bookman Old Style" w:cs="Bookman Old Style"/>
          <w:b/>
          <w:color w:val="000000" w:themeColor="text1"/>
          <w:sz w:val="24"/>
          <w:szCs w:val="24"/>
          <w:u w:val="single"/>
        </w:rPr>
      </w:pPr>
    </w:p>
    <w:p w14:paraId="1B4A975D" w14:textId="563C6E5C" w:rsidR="00CF5EFC" w:rsidRPr="000F4D2C" w:rsidRDefault="707D70D2" w:rsidP="000F4D2C">
      <w:pPr>
        <w:tabs>
          <w:tab w:val="left" w:pos="1478"/>
        </w:tabs>
        <w:spacing w:before="120"/>
        <w:ind w:left="708"/>
        <w:jc w:val="both"/>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 xml:space="preserve">El porcentaje de anticipación se calcula de la siguiente manera: </w:t>
      </w:r>
    </w:p>
    <w:p w14:paraId="1C562A73" w14:textId="4C1B63F6" w:rsidR="00CF5EFC" w:rsidRPr="000F4D2C" w:rsidRDefault="707D70D2" w:rsidP="000F4D2C">
      <w:pPr>
        <w:tabs>
          <w:tab w:val="left" w:pos="1478"/>
        </w:tabs>
        <w:spacing w:before="120"/>
        <w:ind w:left="708"/>
        <w:jc w:val="center"/>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 xml:space="preserve">PA = 1 – ( Hr / Hc ) </w:t>
      </w:r>
    </w:p>
    <w:p w14:paraId="11423471" w14:textId="103B4506" w:rsidR="00CF5EFC" w:rsidRPr="000F4D2C" w:rsidRDefault="707D70D2" w:rsidP="000F4D2C">
      <w:pPr>
        <w:tabs>
          <w:tab w:val="left" w:pos="1478"/>
        </w:tabs>
        <w:spacing w:before="120"/>
        <w:ind w:left="708"/>
        <w:jc w:val="both"/>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Donde:</w:t>
      </w:r>
    </w:p>
    <w:p w14:paraId="20BBF20A" w14:textId="3BB48F3B" w:rsidR="00CF5EFC" w:rsidRPr="000F4D2C" w:rsidRDefault="707D70D2" w:rsidP="000F4D2C">
      <w:pPr>
        <w:spacing w:before="120"/>
        <w:ind w:left="708"/>
        <w:jc w:val="both"/>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 xml:space="preserve">PA: </w:t>
      </w:r>
      <w:r w:rsidR="00CF5EFC" w:rsidRPr="000F4D2C">
        <w:rPr>
          <w:b/>
          <w:sz w:val="24"/>
          <w:szCs w:val="24"/>
          <w:u w:val="single"/>
        </w:rPr>
        <w:tab/>
      </w:r>
      <w:r w:rsidRPr="000F4D2C">
        <w:rPr>
          <w:rFonts w:ascii="Bookman Old Style" w:eastAsia="Bookman Old Style" w:hAnsi="Bookman Old Style" w:cs="Bookman Old Style"/>
          <w:b/>
          <w:color w:val="000000" w:themeColor="text1"/>
          <w:sz w:val="24"/>
          <w:szCs w:val="24"/>
          <w:u w:val="single"/>
        </w:rPr>
        <w:t>Porcentaje de anticipación del Hito de la curva S.</w:t>
      </w:r>
    </w:p>
    <w:p w14:paraId="18FB2B80" w14:textId="7BA07D06" w:rsidR="00CF5EFC" w:rsidRPr="000F4D2C" w:rsidRDefault="707D70D2" w:rsidP="000F4D2C">
      <w:pPr>
        <w:spacing w:before="120"/>
        <w:ind w:left="1414" w:hanging="623"/>
        <w:jc w:val="both"/>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 xml:space="preserve">Hr: </w:t>
      </w:r>
      <w:r w:rsidR="00CF5EFC" w:rsidRPr="000F4D2C">
        <w:rPr>
          <w:b/>
          <w:sz w:val="24"/>
          <w:szCs w:val="24"/>
          <w:u w:val="single"/>
        </w:rPr>
        <w:tab/>
      </w:r>
      <w:r w:rsidRPr="000F4D2C">
        <w:rPr>
          <w:rFonts w:ascii="Bookman Old Style" w:eastAsia="Bookman Old Style" w:hAnsi="Bookman Old Style" w:cs="Bookman Old Style"/>
          <w:b/>
          <w:color w:val="000000" w:themeColor="text1"/>
          <w:sz w:val="24"/>
          <w:szCs w:val="24"/>
          <w:u w:val="single"/>
        </w:rPr>
        <w:t xml:space="preserve">Número de días que transcurren entre la fecha de inicio de la construcción del proyecto y la fecha de cumplimiento del hito de la curva S. </w:t>
      </w:r>
    </w:p>
    <w:p w14:paraId="48D74E33" w14:textId="54E8DAD2" w:rsidR="00CF5EFC" w:rsidRPr="000F4D2C" w:rsidRDefault="707D70D2" w:rsidP="000F4D2C">
      <w:pPr>
        <w:tabs>
          <w:tab w:val="left" w:pos="1478"/>
        </w:tabs>
        <w:spacing w:before="120"/>
        <w:ind w:left="1417" w:hanging="709"/>
        <w:jc w:val="both"/>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Hc:</w:t>
      </w:r>
      <w:r w:rsidR="00CF5EFC" w:rsidRPr="000F4D2C">
        <w:rPr>
          <w:b/>
          <w:sz w:val="24"/>
          <w:szCs w:val="24"/>
          <w:u w:val="single"/>
        </w:rPr>
        <w:tab/>
      </w:r>
      <w:r w:rsidRPr="000F4D2C">
        <w:rPr>
          <w:rFonts w:ascii="Bookman Old Style" w:eastAsia="Bookman Old Style" w:hAnsi="Bookman Old Style" w:cs="Bookman Old Style"/>
          <w:b/>
          <w:color w:val="000000" w:themeColor="text1"/>
          <w:sz w:val="24"/>
          <w:szCs w:val="24"/>
          <w:u w:val="single"/>
        </w:rPr>
        <w:t>Número de días que transcurren entre la fecha de inicio de la construcción del proyecto y la fecha establecida en el cronograma presentado en la oferta del adjudicatario para el cumplimiento del Hito de la curva S.</w:t>
      </w:r>
    </w:p>
    <w:p w14:paraId="743A3EAE" w14:textId="6EF6AB32" w:rsidR="004F49DF" w:rsidRDefault="707D70D2" w:rsidP="000F4D2C">
      <w:pPr>
        <w:tabs>
          <w:tab w:val="left" w:pos="1478"/>
        </w:tabs>
        <w:spacing w:before="120"/>
        <w:ind w:left="708"/>
        <w:jc w:val="both"/>
        <w:rPr>
          <w:rFonts w:ascii="Bookman Old Style" w:eastAsia="Bookman Old Style" w:hAnsi="Bookman Old Style" w:cs="Bookman Old Style"/>
          <w:b/>
          <w:color w:val="000000" w:themeColor="text1"/>
          <w:sz w:val="24"/>
          <w:szCs w:val="24"/>
          <w:u w:val="single"/>
        </w:rPr>
      </w:pPr>
      <w:r w:rsidRPr="000F4D2C">
        <w:rPr>
          <w:rFonts w:ascii="Bookman Old Style" w:eastAsia="Bookman Old Style" w:hAnsi="Bookman Old Style" w:cs="Bookman Old Style"/>
          <w:b/>
          <w:color w:val="000000" w:themeColor="text1"/>
          <w:sz w:val="24"/>
          <w:szCs w:val="24"/>
          <w:u w:val="single"/>
        </w:rPr>
        <w:t xml:space="preserve">Como condición para el ajuste de la garantía, el adjudicatario deberá presentar al Patrimonio </w:t>
      </w:r>
      <w:r w:rsidR="008F500B">
        <w:rPr>
          <w:rFonts w:ascii="Bookman Old Style" w:eastAsia="Bookman Old Style" w:hAnsi="Bookman Old Style" w:cs="Bookman Old Style"/>
          <w:b/>
          <w:color w:val="000000" w:themeColor="text1"/>
          <w:sz w:val="24"/>
          <w:szCs w:val="24"/>
          <w:u w:val="single"/>
        </w:rPr>
        <w:t>A</w:t>
      </w:r>
      <w:r w:rsidRPr="000F4D2C">
        <w:rPr>
          <w:rFonts w:ascii="Bookman Old Style" w:eastAsia="Bookman Old Style" w:hAnsi="Bookman Old Style" w:cs="Bookman Old Style"/>
          <w:b/>
          <w:color w:val="000000" w:themeColor="text1"/>
          <w:sz w:val="24"/>
          <w:szCs w:val="24"/>
          <w:u w:val="single"/>
        </w:rPr>
        <w:t xml:space="preserve">utónomo una certificación del auditor del proyecto de que el Hito de la curva S lo considera cumplido </w:t>
      </w:r>
      <w:r w:rsidR="008F500B">
        <w:rPr>
          <w:rFonts w:ascii="Bookman Old Style" w:eastAsia="Bookman Old Style" w:hAnsi="Bookman Old Style" w:cs="Bookman Old Style"/>
          <w:b/>
          <w:color w:val="000000" w:themeColor="text1"/>
          <w:sz w:val="24"/>
          <w:szCs w:val="24"/>
          <w:u w:val="single"/>
        </w:rPr>
        <w:t>especificando</w:t>
      </w:r>
      <w:r w:rsidRPr="000F4D2C">
        <w:rPr>
          <w:rFonts w:ascii="Bookman Old Style" w:eastAsia="Bookman Old Style" w:hAnsi="Bookman Old Style" w:cs="Bookman Old Style"/>
          <w:b/>
          <w:color w:val="000000" w:themeColor="text1"/>
          <w:sz w:val="24"/>
          <w:szCs w:val="24"/>
          <w:u w:val="single"/>
        </w:rPr>
        <w:t xml:space="preserve"> la fecha de dicho cumplimiento. En consecuencia, el auditor del proyecto deberá informar la ocurrencia de dicha situación y la fecha de actualización de la garantía de cumplimiento, en el siguiente informe periódico que presente, de acuerdo con lo señalado en el Artículo 24 de la presente Resolución.</w:t>
      </w:r>
    </w:p>
    <w:p w14:paraId="0D7C47E6" w14:textId="4A52FFE7" w:rsidR="004F49DF" w:rsidRDefault="004F49DF" w:rsidP="000F4D2C">
      <w:pPr>
        <w:tabs>
          <w:tab w:val="left" w:pos="1478"/>
        </w:tabs>
        <w:spacing w:before="120"/>
        <w:ind w:left="708" w:hanging="708"/>
        <w:jc w:val="both"/>
        <w:rPr>
          <w:rFonts w:ascii="Bookman Old Style" w:eastAsia="Bookman Old Style" w:hAnsi="Bookman Old Style" w:cs="Bookman Old Style"/>
          <w:b/>
          <w:color w:val="000000" w:themeColor="text1"/>
          <w:sz w:val="24"/>
          <w:szCs w:val="24"/>
          <w:u w:val="single"/>
        </w:rPr>
      </w:pPr>
      <w:r w:rsidRPr="004F49DF">
        <w:rPr>
          <w:rFonts w:ascii="Bookman Old Style" w:eastAsia="Bookman Old Style" w:hAnsi="Bookman Old Style" w:cs="Bookman Old Style"/>
          <w:b/>
          <w:color w:val="000000" w:themeColor="text1"/>
          <w:sz w:val="24"/>
          <w:szCs w:val="24"/>
          <w:u w:val="single"/>
        </w:rPr>
        <w:t>3.5.3</w:t>
      </w:r>
      <w:r w:rsidRPr="004F49DF">
        <w:rPr>
          <w:rFonts w:ascii="Bookman Old Style" w:eastAsia="Bookman Old Style" w:hAnsi="Bookman Old Style" w:cs="Bookman Old Style"/>
          <w:b/>
          <w:color w:val="000000" w:themeColor="text1"/>
          <w:sz w:val="24"/>
          <w:szCs w:val="24"/>
          <w:u w:val="single"/>
        </w:rPr>
        <w:tab/>
      </w:r>
      <w:r w:rsidR="009F0509" w:rsidRPr="007D5C77">
        <w:rPr>
          <w:rFonts w:ascii="Bookman Old Style" w:eastAsia="Bookman Old Style" w:hAnsi="Bookman Old Style" w:cs="Bookman Old Style"/>
          <w:b/>
          <w:color w:val="000000" w:themeColor="text1"/>
          <w:sz w:val="24"/>
          <w:szCs w:val="24"/>
          <w:u w:val="single"/>
        </w:rPr>
        <w:t>C</w:t>
      </w:r>
      <w:r w:rsidRPr="007D5C77">
        <w:rPr>
          <w:rFonts w:ascii="Bookman Old Style" w:eastAsia="Bookman Old Style" w:hAnsi="Bookman Old Style" w:cs="Bookman Old Style"/>
          <w:b/>
          <w:color w:val="000000" w:themeColor="text1"/>
          <w:sz w:val="24"/>
          <w:szCs w:val="24"/>
          <w:u w:val="single"/>
        </w:rPr>
        <w:t xml:space="preserve">uando se inicie la remuneración del Proyecto en </w:t>
      </w:r>
      <w:r w:rsidR="009F0509" w:rsidRPr="007D5C77">
        <w:rPr>
          <w:rFonts w:ascii="Bookman Old Style" w:eastAsia="Bookman Old Style" w:hAnsi="Bookman Old Style" w:cs="Bookman Old Style"/>
          <w:b/>
          <w:color w:val="000000" w:themeColor="text1"/>
          <w:sz w:val="24"/>
          <w:szCs w:val="24"/>
          <w:u w:val="single"/>
        </w:rPr>
        <w:t xml:space="preserve">las condiciones establecidas en el literal </w:t>
      </w:r>
      <w:r w:rsidR="007D5C77" w:rsidRPr="000F4D2C">
        <w:rPr>
          <w:rFonts w:ascii="Bookman Old Style" w:eastAsia="Bookman Old Style" w:hAnsi="Bookman Old Style" w:cs="Bookman Old Style"/>
          <w:b/>
          <w:color w:val="000000" w:themeColor="text1"/>
          <w:sz w:val="24"/>
          <w:szCs w:val="24"/>
          <w:u w:val="single"/>
        </w:rPr>
        <w:t xml:space="preserve">b) </w:t>
      </w:r>
      <w:r w:rsidR="009F0509" w:rsidRPr="007D5C77">
        <w:rPr>
          <w:rFonts w:ascii="Bookman Old Style" w:eastAsia="Bookman Old Style" w:hAnsi="Bookman Old Style" w:cs="Bookman Old Style"/>
          <w:b/>
          <w:color w:val="000000" w:themeColor="text1"/>
          <w:sz w:val="24"/>
          <w:szCs w:val="24"/>
          <w:u w:val="single"/>
        </w:rPr>
        <w:t>del Artículo 12 de la presente resolución</w:t>
      </w:r>
      <w:r w:rsidRPr="007D5C77">
        <w:rPr>
          <w:rFonts w:ascii="Bookman Old Style" w:eastAsia="Bookman Old Style" w:hAnsi="Bookman Old Style" w:cs="Bookman Old Style"/>
          <w:b/>
          <w:color w:val="000000" w:themeColor="text1"/>
          <w:sz w:val="24"/>
          <w:szCs w:val="24"/>
          <w:u w:val="single"/>
        </w:rPr>
        <w:t>, el valor de la garantía de cumplimiento</w:t>
      </w:r>
      <w:r w:rsidRPr="004F49DF">
        <w:rPr>
          <w:rFonts w:ascii="Bookman Old Style" w:eastAsia="Bookman Old Style" w:hAnsi="Bookman Old Style" w:cs="Bookman Old Style"/>
          <w:b/>
          <w:color w:val="000000" w:themeColor="text1"/>
          <w:sz w:val="24"/>
          <w:szCs w:val="24"/>
          <w:u w:val="single"/>
        </w:rPr>
        <w:t xml:space="preserve"> se actualizará añadiendo al valor garantizado vigente, el mismo valor de los ingresos provenientes de los pagos de los beneficiaries que se realicen en el mes anterior, hasta tanto el Proyecto entra en operación. </w:t>
      </w:r>
    </w:p>
    <w:p w14:paraId="4B21479F" w14:textId="77777777" w:rsidR="004F49DF" w:rsidRDefault="004F49DF" w:rsidP="000F4D2C">
      <w:pPr>
        <w:tabs>
          <w:tab w:val="left" w:pos="1478"/>
        </w:tabs>
        <w:spacing w:after="0" w:line="240" w:lineRule="auto"/>
        <w:ind w:left="708"/>
        <w:jc w:val="both"/>
        <w:rPr>
          <w:rFonts w:ascii="Bookman Old Style" w:eastAsia="Bookman Old Style" w:hAnsi="Bookman Old Style" w:cs="Bookman Old Style"/>
          <w:b/>
          <w:color w:val="000000" w:themeColor="text1"/>
          <w:sz w:val="24"/>
          <w:szCs w:val="24"/>
          <w:u w:val="single"/>
        </w:rPr>
      </w:pPr>
      <w:r w:rsidRPr="004F49DF">
        <w:rPr>
          <w:rFonts w:ascii="Bookman Old Style" w:eastAsia="Bookman Old Style" w:hAnsi="Bookman Old Style" w:cs="Bookman Old Style"/>
          <w:b/>
          <w:color w:val="000000" w:themeColor="text1"/>
          <w:sz w:val="24"/>
          <w:szCs w:val="24"/>
          <w:u w:val="single"/>
        </w:rPr>
        <w:t xml:space="preserve">Una vez puesto en operación el Proyecto, el patrimonio autónomo se mantendrá vigente con un valor de garantía que cubra los valores de los pagos realizados por los beneficiarios entre la fecha en que se hayan iniciado los pagos al adjudicatario o transportador incumbente que ejecute en primera instancia el proyecto IPAT y la fecha de puesta en operación del Proyecto certificada por el auditor del proyecto. Lo anterior, hasta que se complete la prestación del servicio en forma continua por un período de duración igual al período del PEP, contado a partir de dicha fecha de puesta en operación del Proyecto. </w:t>
      </w:r>
    </w:p>
    <w:p w14:paraId="2209157E" w14:textId="77777777" w:rsidR="004F49DF" w:rsidRPr="004F49DF" w:rsidRDefault="004F49DF" w:rsidP="000F4D2C">
      <w:pPr>
        <w:tabs>
          <w:tab w:val="left" w:pos="1478"/>
        </w:tabs>
        <w:spacing w:after="0" w:line="240" w:lineRule="auto"/>
        <w:ind w:left="708"/>
        <w:jc w:val="both"/>
        <w:rPr>
          <w:rFonts w:ascii="Bookman Old Style" w:eastAsia="Bookman Old Style" w:hAnsi="Bookman Old Style" w:cs="Bookman Old Style"/>
          <w:b/>
          <w:color w:val="000000" w:themeColor="text1"/>
          <w:sz w:val="24"/>
          <w:szCs w:val="24"/>
          <w:u w:val="single"/>
        </w:rPr>
      </w:pPr>
    </w:p>
    <w:p w14:paraId="71B8F1B7" w14:textId="0217E2A4" w:rsidR="004F49DF" w:rsidRDefault="00F40E4F" w:rsidP="000F4D2C">
      <w:pPr>
        <w:tabs>
          <w:tab w:val="left" w:pos="1478"/>
        </w:tabs>
        <w:spacing w:after="0" w:line="240" w:lineRule="auto"/>
        <w:ind w:left="708"/>
        <w:jc w:val="both"/>
        <w:rPr>
          <w:rFonts w:ascii="Bookman Old Style" w:eastAsia="Bookman Old Style" w:hAnsi="Bookman Old Style" w:cs="Bookman Old Style"/>
          <w:b/>
          <w:color w:val="000000" w:themeColor="text1"/>
          <w:sz w:val="24"/>
          <w:szCs w:val="24"/>
          <w:u w:val="single"/>
        </w:rPr>
      </w:pPr>
      <w:r>
        <w:rPr>
          <w:rFonts w:ascii="Bookman Old Style" w:eastAsia="Bookman Old Style" w:hAnsi="Bookman Old Style" w:cs="Bookman Old Style"/>
          <w:b/>
          <w:color w:val="000000" w:themeColor="text1"/>
          <w:sz w:val="24"/>
          <w:szCs w:val="24"/>
          <w:u w:val="single"/>
        </w:rPr>
        <w:t>Adicionalmente, e</w:t>
      </w:r>
      <w:r w:rsidR="004F49DF" w:rsidRPr="004F49DF">
        <w:rPr>
          <w:rFonts w:ascii="Bookman Old Style" w:eastAsia="Bookman Old Style" w:hAnsi="Bookman Old Style" w:cs="Bookman Old Style"/>
          <w:b/>
          <w:color w:val="000000" w:themeColor="text1"/>
          <w:sz w:val="24"/>
          <w:szCs w:val="24"/>
          <w:u w:val="single"/>
        </w:rPr>
        <w:t>l valor de la garantía de cumplimiento, una vez puesto en operación el proyecto, deberá incrementarse de acuerdo con lo establecido en el literal c) del Artículo 18 de la presente resolución en un valor igual al valor del IMT calculado en forma proporcional al número de días de duración de la indisponibilidad.</w:t>
      </w:r>
    </w:p>
    <w:p w14:paraId="3DC9A418" w14:textId="77777777" w:rsidR="004F49DF" w:rsidRPr="004F49DF" w:rsidRDefault="004F49DF" w:rsidP="000F4D2C">
      <w:pPr>
        <w:tabs>
          <w:tab w:val="left" w:pos="1478"/>
        </w:tabs>
        <w:spacing w:after="0" w:line="240" w:lineRule="auto"/>
        <w:ind w:left="708"/>
        <w:jc w:val="both"/>
        <w:rPr>
          <w:rFonts w:ascii="Bookman Old Style" w:eastAsia="Bookman Old Style" w:hAnsi="Bookman Old Style" w:cs="Bookman Old Style"/>
          <w:b/>
          <w:color w:val="000000" w:themeColor="text1"/>
          <w:sz w:val="24"/>
          <w:szCs w:val="24"/>
          <w:u w:val="single"/>
        </w:rPr>
      </w:pPr>
    </w:p>
    <w:p w14:paraId="1C9BB957" w14:textId="638F2F43" w:rsidR="004F49DF" w:rsidRDefault="004F49DF" w:rsidP="000F4D2C">
      <w:pPr>
        <w:tabs>
          <w:tab w:val="left" w:pos="1478"/>
        </w:tabs>
        <w:spacing w:after="0" w:line="240" w:lineRule="auto"/>
        <w:ind w:left="708"/>
        <w:jc w:val="both"/>
        <w:rPr>
          <w:rFonts w:ascii="Bookman Old Style" w:eastAsia="Bookman Old Style" w:hAnsi="Bookman Old Style" w:cs="Bookman Old Style"/>
          <w:b/>
          <w:color w:val="000000" w:themeColor="text1"/>
          <w:sz w:val="24"/>
          <w:szCs w:val="24"/>
          <w:u w:val="single"/>
        </w:rPr>
      </w:pPr>
      <w:r w:rsidRPr="004F49DF">
        <w:rPr>
          <w:rFonts w:ascii="Bookman Old Style" w:eastAsia="Bookman Old Style" w:hAnsi="Bookman Old Style" w:cs="Bookman Old Style"/>
          <w:b/>
          <w:color w:val="000000" w:themeColor="text1"/>
          <w:sz w:val="24"/>
          <w:szCs w:val="24"/>
          <w:u w:val="single"/>
        </w:rPr>
        <w:t xml:space="preserve">A partir de lo anterior, </w:t>
      </w:r>
      <w:r w:rsidR="00517702">
        <w:rPr>
          <w:rFonts w:ascii="Bookman Old Style" w:eastAsia="Bookman Old Style" w:hAnsi="Bookman Old Style" w:cs="Bookman Old Style"/>
          <w:b/>
          <w:color w:val="000000" w:themeColor="text1"/>
          <w:sz w:val="24"/>
          <w:szCs w:val="24"/>
          <w:u w:val="single"/>
        </w:rPr>
        <w:t xml:space="preserve">después de cumplido el PEP contado a partir del inicio de los pagos del IAE INVERSIÓN ajustado, </w:t>
      </w:r>
      <w:r w:rsidRPr="004F49DF">
        <w:rPr>
          <w:rFonts w:ascii="Bookman Old Style" w:eastAsia="Bookman Old Style" w:hAnsi="Bookman Old Style" w:cs="Bookman Old Style"/>
          <w:b/>
          <w:color w:val="000000" w:themeColor="text1"/>
          <w:sz w:val="24"/>
          <w:szCs w:val="24"/>
          <w:u w:val="single"/>
        </w:rPr>
        <w:t xml:space="preserve">el valor de la garantía se podrá reducir </w:t>
      </w:r>
      <w:r w:rsidR="00517702">
        <w:rPr>
          <w:rFonts w:ascii="Bookman Old Style" w:eastAsia="Bookman Old Style" w:hAnsi="Bookman Old Style" w:cs="Bookman Old Style"/>
          <w:b/>
          <w:color w:val="000000" w:themeColor="text1"/>
          <w:sz w:val="24"/>
          <w:szCs w:val="24"/>
          <w:u w:val="single"/>
        </w:rPr>
        <w:t xml:space="preserve">mensualmente </w:t>
      </w:r>
      <w:r w:rsidRPr="004F49DF">
        <w:rPr>
          <w:rFonts w:ascii="Bookman Old Style" w:eastAsia="Bookman Old Style" w:hAnsi="Bookman Old Style" w:cs="Bookman Old Style"/>
          <w:b/>
          <w:color w:val="000000" w:themeColor="text1"/>
          <w:sz w:val="24"/>
          <w:szCs w:val="24"/>
          <w:u w:val="single"/>
        </w:rPr>
        <w:t xml:space="preserve">a medida que el adjudicatario o transportador incumbente que ejecuta en primera instancia un proyecto IPAT, </w:t>
      </w:r>
      <w:r w:rsidR="00517702">
        <w:rPr>
          <w:rFonts w:ascii="Bookman Old Style" w:eastAsia="Bookman Old Style" w:hAnsi="Bookman Old Style" w:cs="Bookman Old Style"/>
          <w:b/>
          <w:color w:val="000000" w:themeColor="text1"/>
          <w:sz w:val="24"/>
          <w:szCs w:val="24"/>
          <w:u w:val="single"/>
        </w:rPr>
        <w:t xml:space="preserve">continúa </w:t>
      </w:r>
      <w:r w:rsidRPr="004F49DF">
        <w:rPr>
          <w:rFonts w:ascii="Bookman Old Style" w:eastAsia="Bookman Old Style" w:hAnsi="Bookman Old Style" w:cs="Bookman Old Style"/>
          <w:b/>
          <w:color w:val="000000" w:themeColor="text1"/>
          <w:sz w:val="24"/>
          <w:szCs w:val="24"/>
          <w:u w:val="single"/>
        </w:rPr>
        <w:t>presta</w:t>
      </w:r>
      <w:r w:rsidR="00517702">
        <w:rPr>
          <w:rFonts w:ascii="Bookman Old Style" w:eastAsia="Bookman Old Style" w:hAnsi="Bookman Old Style" w:cs="Bookman Old Style"/>
          <w:b/>
          <w:color w:val="000000" w:themeColor="text1"/>
          <w:sz w:val="24"/>
          <w:szCs w:val="24"/>
          <w:u w:val="single"/>
        </w:rPr>
        <w:t>ndo</w:t>
      </w:r>
      <w:r w:rsidRPr="004F49DF">
        <w:rPr>
          <w:rFonts w:ascii="Bookman Old Style" w:eastAsia="Bookman Old Style" w:hAnsi="Bookman Old Style" w:cs="Bookman Old Style"/>
          <w:b/>
          <w:color w:val="000000" w:themeColor="text1"/>
          <w:sz w:val="24"/>
          <w:szCs w:val="24"/>
          <w:u w:val="single"/>
        </w:rPr>
        <w:t xml:space="preserve"> el servicio. </w:t>
      </w:r>
    </w:p>
    <w:p w14:paraId="60AC0966" w14:textId="77777777" w:rsidR="004F49DF" w:rsidRPr="004F49DF" w:rsidRDefault="004F49DF" w:rsidP="000F4D2C">
      <w:pPr>
        <w:tabs>
          <w:tab w:val="left" w:pos="1478"/>
        </w:tabs>
        <w:spacing w:after="0" w:line="240" w:lineRule="auto"/>
        <w:ind w:left="708"/>
        <w:jc w:val="both"/>
        <w:rPr>
          <w:rFonts w:ascii="Bookman Old Style" w:eastAsia="Bookman Old Style" w:hAnsi="Bookman Old Style" w:cs="Bookman Old Style"/>
          <w:b/>
          <w:color w:val="000000" w:themeColor="text1"/>
          <w:sz w:val="24"/>
          <w:szCs w:val="24"/>
          <w:u w:val="single"/>
        </w:rPr>
      </w:pPr>
    </w:p>
    <w:p w14:paraId="7F978862" w14:textId="1B7FCBB5" w:rsidR="00D86489" w:rsidRDefault="004F49DF" w:rsidP="008B057E">
      <w:pPr>
        <w:tabs>
          <w:tab w:val="left" w:pos="1478"/>
        </w:tabs>
        <w:spacing w:after="0" w:line="240" w:lineRule="auto"/>
        <w:ind w:left="708"/>
        <w:jc w:val="both"/>
        <w:rPr>
          <w:rFonts w:ascii="Bookman Old Style" w:eastAsia="Bookman Old Style" w:hAnsi="Bookman Old Style" w:cs="Bookman Old Style"/>
          <w:b/>
          <w:color w:val="000000" w:themeColor="text1"/>
          <w:sz w:val="24"/>
          <w:szCs w:val="24"/>
          <w:u w:val="single"/>
        </w:rPr>
      </w:pPr>
      <w:r w:rsidRPr="004F49DF">
        <w:rPr>
          <w:rFonts w:ascii="Bookman Old Style" w:eastAsia="Bookman Old Style" w:hAnsi="Bookman Old Style" w:cs="Bookman Old Style"/>
          <w:b/>
          <w:color w:val="000000" w:themeColor="text1"/>
          <w:sz w:val="24"/>
          <w:szCs w:val="24"/>
          <w:u w:val="single"/>
        </w:rPr>
        <w:t xml:space="preserve">Una vez puesto en operación el proyecto, la garantía </w:t>
      </w:r>
      <w:r w:rsidR="00CB53DE">
        <w:rPr>
          <w:rFonts w:ascii="Bookman Old Style" w:eastAsia="Bookman Old Style" w:hAnsi="Bookman Old Style" w:cs="Bookman Old Style"/>
          <w:b/>
          <w:color w:val="000000" w:themeColor="text1"/>
          <w:sz w:val="24"/>
          <w:szCs w:val="24"/>
          <w:u w:val="single"/>
        </w:rPr>
        <w:t xml:space="preserve">de cumplimiento </w:t>
      </w:r>
      <w:r w:rsidRPr="004F49DF">
        <w:rPr>
          <w:rFonts w:ascii="Bookman Old Style" w:eastAsia="Bookman Old Style" w:hAnsi="Bookman Old Style" w:cs="Bookman Old Style"/>
          <w:b/>
          <w:color w:val="000000" w:themeColor="text1"/>
          <w:sz w:val="24"/>
          <w:szCs w:val="24"/>
          <w:u w:val="single"/>
        </w:rPr>
        <w:t>podrá ser de duración anual, en cuyo caso se deberá renovar en cada año, de acuerdo con lo establecido en este artículo, como máximo 15 días hábiles antes del vencimiento de la garantía vigente</w:t>
      </w:r>
      <w:r>
        <w:rPr>
          <w:rFonts w:ascii="Bookman Old Style" w:eastAsia="Bookman Old Style" w:hAnsi="Bookman Old Style" w:cs="Bookman Old Style"/>
          <w:b/>
          <w:color w:val="000000" w:themeColor="text1"/>
          <w:sz w:val="24"/>
          <w:szCs w:val="24"/>
          <w:u w:val="single"/>
        </w:rPr>
        <w:t>.</w:t>
      </w:r>
    </w:p>
    <w:p w14:paraId="4A7DCFD3" w14:textId="77777777" w:rsidR="008B057E" w:rsidRDefault="008B057E" w:rsidP="008B057E">
      <w:pPr>
        <w:tabs>
          <w:tab w:val="left" w:pos="1478"/>
        </w:tabs>
        <w:spacing w:after="0" w:line="240" w:lineRule="auto"/>
        <w:ind w:left="708"/>
        <w:jc w:val="both"/>
        <w:rPr>
          <w:rFonts w:ascii="Bookman Old Style" w:eastAsia="Bookman Old Style" w:hAnsi="Bookman Old Style" w:cs="Bookman Old Style"/>
          <w:b/>
          <w:color w:val="000000" w:themeColor="text1"/>
          <w:sz w:val="24"/>
          <w:szCs w:val="24"/>
          <w:u w:val="single"/>
        </w:rPr>
      </w:pPr>
    </w:p>
    <w:p w14:paraId="55775AC6" w14:textId="60B8E1A3" w:rsidR="008B057E" w:rsidRDefault="008B057E" w:rsidP="000F4D2C">
      <w:pPr>
        <w:tabs>
          <w:tab w:val="left" w:pos="1478"/>
        </w:tabs>
        <w:spacing w:after="0" w:line="240" w:lineRule="auto"/>
        <w:ind w:left="708" w:hanging="708"/>
        <w:jc w:val="both"/>
        <w:rPr>
          <w:rFonts w:ascii="Bookman Old Style" w:eastAsia="Bookman Old Style" w:hAnsi="Bookman Old Style" w:cs="Bookman Old Style"/>
          <w:b/>
          <w:color w:val="000000" w:themeColor="text1"/>
          <w:sz w:val="24"/>
          <w:szCs w:val="24"/>
          <w:u w:val="single"/>
        </w:rPr>
      </w:pPr>
      <w:r>
        <w:rPr>
          <w:rFonts w:ascii="Bookman Old Style" w:eastAsia="Bookman Old Style" w:hAnsi="Bookman Old Style" w:cs="Bookman Old Style"/>
          <w:b/>
          <w:color w:val="000000" w:themeColor="text1"/>
          <w:sz w:val="24"/>
          <w:szCs w:val="24"/>
          <w:u w:val="single"/>
        </w:rPr>
        <w:t xml:space="preserve">3.5.4 </w:t>
      </w:r>
      <w:r w:rsidR="00FE4EF0">
        <w:rPr>
          <w:rFonts w:ascii="Bookman Old Style" w:eastAsia="Bookman Old Style" w:hAnsi="Bookman Old Style" w:cs="Bookman Old Style"/>
          <w:b/>
          <w:color w:val="000000" w:themeColor="text1"/>
          <w:sz w:val="24"/>
          <w:szCs w:val="24"/>
          <w:u w:val="single"/>
        </w:rPr>
        <w:t>El valor de la garantía correspondiente a lo establecido en el numeral 3.5.3 anterior, deberá ser actualizado adicionalmente, en cada año del PEP ajustado</w:t>
      </w:r>
      <w:r w:rsidR="00A718FD">
        <w:rPr>
          <w:rFonts w:ascii="Bookman Old Style" w:eastAsia="Bookman Old Style" w:hAnsi="Bookman Old Style" w:cs="Bookman Old Style"/>
          <w:b/>
          <w:color w:val="000000" w:themeColor="text1"/>
          <w:sz w:val="24"/>
          <w:szCs w:val="24"/>
          <w:u w:val="single"/>
        </w:rPr>
        <w:t>, con base en el incremento del índice IPC</w:t>
      </w:r>
      <w:r w:rsidR="00E23FA3">
        <w:rPr>
          <w:rFonts w:ascii="Bookman Old Style" w:eastAsia="Bookman Old Style" w:hAnsi="Bookman Old Style" w:cs="Bookman Old Style"/>
          <w:b/>
          <w:color w:val="000000" w:themeColor="text1"/>
          <w:sz w:val="24"/>
          <w:szCs w:val="24"/>
          <w:u w:val="single"/>
        </w:rPr>
        <w:t xml:space="preserve"> obtenido en el año calendario anterior.</w:t>
      </w:r>
    </w:p>
    <w:p w14:paraId="0B652FF6" w14:textId="77777777" w:rsidR="004F49DF" w:rsidRPr="000F4D2C" w:rsidRDefault="004F49DF" w:rsidP="000F4D2C">
      <w:pPr>
        <w:tabs>
          <w:tab w:val="left" w:pos="1478"/>
        </w:tabs>
        <w:spacing w:after="0" w:line="240" w:lineRule="auto"/>
        <w:jc w:val="both"/>
        <w:rPr>
          <w:rFonts w:ascii="Bookman Old Style" w:eastAsia="Bookman Old Style" w:hAnsi="Bookman Old Style" w:cs="Bookman Old Style"/>
          <w:b/>
          <w:color w:val="000000" w:themeColor="text1"/>
          <w:sz w:val="24"/>
          <w:szCs w:val="24"/>
          <w:u w:val="single"/>
        </w:rPr>
      </w:pPr>
    </w:p>
    <w:p w14:paraId="29862D48" w14:textId="40253A13" w:rsidR="00CF5EFC" w:rsidRPr="000F4D2C" w:rsidRDefault="00CF5EFC" w:rsidP="004F49DF">
      <w:pPr>
        <w:pStyle w:val="Prrafodelista"/>
        <w:numPr>
          <w:ilvl w:val="1"/>
          <w:numId w:val="28"/>
        </w:numPr>
        <w:tabs>
          <w:tab w:val="left" w:pos="426"/>
        </w:tabs>
        <w:ind w:left="426" w:hanging="426"/>
        <w:jc w:val="both"/>
        <w:rPr>
          <w:rFonts w:ascii="Bookman Old Style" w:hAnsi="Bookman Old Style" w:cs="Arial"/>
          <w:b/>
          <w:color w:val="000000" w:themeColor="text1"/>
          <w:sz w:val="24"/>
          <w:szCs w:val="24"/>
        </w:rPr>
      </w:pPr>
      <w:r w:rsidRPr="000F4D2C">
        <w:rPr>
          <w:rFonts w:ascii="Bookman Old Style" w:hAnsi="Bookman Old Style" w:cs="Arial"/>
          <w:b/>
          <w:bCs/>
          <w:color w:val="000000" w:themeColor="text1"/>
          <w:sz w:val="24"/>
          <w:szCs w:val="24"/>
        </w:rPr>
        <w:t xml:space="preserve">. </w:t>
      </w:r>
      <w:bookmarkStart w:id="40" w:name="_Ref476835994"/>
      <w:r w:rsidRPr="000F4D2C">
        <w:rPr>
          <w:rFonts w:ascii="Bookman Old Style" w:hAnsi="Bookman Old Style" w:cs="Arial"/>
          <w:b/>
          <w:color w:val="000000" w:themeColor="text1"/>
          <w:sz w:val="24"/>
          <w:szCs w:val="24"/>
        </w:rPr>
        <w:t>Ejecución de la garantía de cumplimiento</w:t>
      </w:r>
      <w:bookmarkEnd w:id="40"/>
      <w:r w:rsidR="00D86489">
        <w:rPr>
          <w:rFonts w:ascii="Bookman Old Style" w:hAnsi="Bookman Old Style" w:cs="Arial"/>
          <w:b/>
          <w:color w:val="000000" w:themeColor="text1"/>
          <w:sz w:val="24"/>
          <w:szCs w:val="24"/>
        </w:rPr>
        <w:t>.</w:t>
      </w:r>
    </w:p>
    <w:p w14:paraId="1B83FDBF" w14:textId="77777777" w:rsidR="00CF5EFC" w:rsidRPr="00BE2C32" w:rsidRDefault="00CF5EFC" w:rsidP="00CF5EFC">
      <w:pPr>
        <w:pStyle w:val="Prrafodelista"/>
        <w:tabs>
          <w:tab w:val="left" w:pos="1478"/>
        </w:tabs>
        <w:ind w:left="720"/>
        <w:jc w:val="both"/>
        <w:rPr>
          <w:rFonts w:ascii="Bookman Old Style" w:hAnsi="Bookman Old Style" w:cs="Arial"/>
          <w:b/>
          <w:i/>
          <w:iCs/>
          <w:color w:val="000000" w:themeColor="text1"/>
          <w:sz w:val="24"/>
          <w:szCs w:val="24"/>
        </w:rPr>
      </w:pPr>
    </w:p>
    <w:p w14:paraId="5195EEC8" w14:textId="32DA6145" w:rsidR="004629CB" w:rsidRPr="000F4D2C" w:rsidRDefault="00CF5EFC" w:rsidP="000F4D2C">
      <w:pPr>
        <w:tabs>
          <w:tab w:val="left" w:pos="1478"/>
        </w:tabs>
        <w:jc w:val="both"/>
        <w:rPr>
          <w:rFonts w:ascii="Bookman Old Style" w:hAnsi="Bookman Old Style" w:cs="Arial"/>
          <w:color w:val="000000" w:themeColor="text1"/>
          <w:sz w:val="24"/>
          <w:szCs w:val="24"/>
        </w:rPr>
      </w:pPr>
      <w:r w:rsidRPr="000F4D2C">
        <w:rPr>
          <w:rFonts w:ascii="Bookman Old Style" w:hAnsi="Bookman Old Style" w:cs="Arial"/>
          <w:color w:val="000000" w:themeColor="text1"/>
          <w:sz w:val="24"/>
          <w:szCs w:val="24"/>
        </w:rPr>
        <w:t xml:space="preserve">El patrimonio autónomo encargado de la administración de la garantía de cumplimiento debe ejecutar la garantía bajo su custodia cuando, en aplicación del parágrafo del Artículo 31 de la presente resolución o aquellas que la modifiquen, adicionen o sustituyan, se determine la ocurrencia de alguno de los siguientes eventos de incumplimiento: </w:t>
      </w:r>
    </w:p>
    <w:p w14:paraId="6A19A9B3" w14:textId="77777777" w:rsidR="00B13A84" w:rsidRPr="00791515" w:rsidRDefault="00B13A84" w:rsidP="000F4D2C">
      <w:pPr>
        <w:ind w:left="851" w:hanging="851"/>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3.6.1 </w:t>
      </w:r>
      <w:r w:rsidRPr="00791515">
        <w:rPr>
          <w:rFonts w:ascii="Bookman Old Style" w:hAnsi="Bookman Old Style" w:cs="Arial"/>
          <w:color w:val="000000" w:themeColor="text1"/>
          <w:sz w:val="24"/>
          <w:szCs w:val="24"/>
        </w:rPr>
        <w:t xml:space="preserve">Cuando dentro del plazo máximo previsto el adjudicatario o el transportador incumbente que ejecute en primera instancia proyectos de </w:t>
      </w:r>
      <m:oMath>
        <m:r>
          <m:rPr>
            <m:sty m:val="p"/>
          </m:rPr>
          <w:rPr>
            <w:rFonts w:ascii="Cambria Math" w:hAnsi="Cambria Math" w:cs="Arial"/>
            <w:color w:val="000000" w:themeColor="text1"/>
            <w:sz w:val="24"/>
            <w:szCs w:val="24"/>
          </w:rPr>
          <m:t>IPAT</m:t>
        </m:r>
      </m:oMath>
      <w:r w:rsidRPr="00791515">
        <w:rPr>
          <w:rFonts w:ascii="Bookman Old Style" w:hAnsi="Bookman Old Style" w:cs="Arial"/>
          <w:color w:val="000000" w:themeColor="text1"/>
          <w:sz w:val="24"/>
          <w:szCs w:val="24"/>
        </w:rPr>
        <w:t xml:space="preserve"> no actualice el valor de la garantía por retrasos debidos a modificación de la FPO debidamente aprobada por el MME o por retrasos identificados en el informe del auditor.</w:t>
      </w:r>
    </w:p>
    <w:p w14:paraId="7590377A" w14:textId="77777777" w:rsidR="00B13A84" w:rsidRPr="0020151F" w:rsidRDefault="00B13A84" w:rsidP="000F4D2C">
      <w:pPr>
        <w:pStyle w:val="Prrafodelista"/>
        <w:tabs>
          <w:tab w:val="left" w:pos="0"/>
        </w:tabs>
        <w:ind w:left="851" w:hanging="851"/>
        <w:jc w:val="both"/>
        <w:rPr>
          <w:rFonts w:ascii="Bookman Old Style" w:hAnsi="Bookman Old Style" w:cs="Arial"/>
          <w:color w:val="000000" w:themeColor="text1"/>
          <w:sz w:val="24"/>
          <w:szCs w:val="24"/>
        </w:rPr>
      </w:pPr>
    </w:p>
    <w:p w14:paraId="38AD4266" w14:textId="77777777" w:rsidR="00B13A84" w:rsidRPr="00791515" w:rsidRDefault="00B13A84" w:rsidP="00B13A84">
      <w:pPr>
        <w:tabs>
          <w:tab w:val="left" w:pos="284"/>
        </w:tabs>
        <w:ind w:left="851" w:hanging="851"/>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3.6.2 </w:t>
      </w:r>
      <w:r w:rsidRPr="00791515">
        <w:rPr>
          <w:rFonts w:ascii="Bookman Old Style" w:hAnsi="Bookman Old Style" w:cs="Arial"/>
          <w:color w:val="000000" w:themeColor="text1"/>
          <w:sz w:val="24"/>
          <w:szCs w:val="24"/>
        </w:rPr>
        <w:t xml:space="preserve">Cuando el retraso en la ejecución del proyecto, informado por el auditor, sea mayor o igual al cincuenta por ciento (50%) del plazo previsto en el cronograma de ejecución del proyecto. </w:t>
      </w:r>
      <w:r w:rsidRPr="00791515">
        <w:rPr>
          <w:rFonts w:ascii="Bookman Old Style" w:hAnsi="Bookman Old Style" w:cs="Arial"/>
          <w:b/>
          <w:bCs/>
          <w:color w:val="000000" w:themeColor="text1"/>
          <w:sz w:val="24"/>
          <w:szCs w:val="24"/>
          <w:u w:val="single"/>
        </w:rPr>
        <w:t>Para calcular el retraso el auditor debe realizar el siguiente cálculo:</w:t>
      </w:r>
    </w:p>
    <w:p w14:paraId="69D91F4A" w14:textId="77777777" w:rsidR="00B13A84" w:rsidRPr="0020151F" w:rsidRDefault="00B13A84" w:rsidP="00B13A84">
      <w:pPr>
        <w:pStyle w:val="Prrafodelista"/>
        <w:tabs>
          <w:tab w:val="left" w:pos="284"/>
        </w:tabs>
        <w:ind w:left="851" w:hanging="709"/>
        <w:rPr>
          <w:rFonts w:ascii="Bookman Old Style" w:hAnsi="Bookman Old Style" w:cs="Arial"/>
          <w:color w:val="000000" w:themeColor="text1"/>
          <w:sz w:val="24"/>
          <w:szCs w:val="24"/>
        </w:rPr>
      </w:pPr>
    </w:p>
    <w:p w14:paraId="49924AB9" w14:textId="77777777" w:rsidR="00B13A84" w:rsidRPr="00791515" w:rsidRDefault="00B13A84" w:rsidP="00B13A84">
      <w:pPr>
        <w:tabs>
          <w:tab w:val="left" w:pos="284"/>
        </w:tabs>
        <w:ind w:left="851" w:hanging="709"/>
        <w:jc w:val="center"/>
        <w:rPr>
          <w:rFonts w:ascii="Bookman Old Style" w:hAnsi="Bookman Old Style" w:cs="Arial"/>
          <w:b/>
          <w:bCs/>
          <w:color w:val="000000" w:themeColor="text1"/>
          <w:sz w:val="24"/>
          <w:szCs w:val="24"/>
          <w:u w:val="single"/>
        </w:rPr>
      </w:pPr>
      <w:r w:rsidRPr="00791515">
        <w:rPr>
          <w:rFonts w:ascii="Bookman Old Style" w:hAnsi="Bookman Old Style" w:cs="Arial"/>
          <w:b/>
          <w:bCs/>
          <w:color w:val="000000" w:themeColor="text1"/>
          <w:sz w:val="24"/>
          <w:szCs w:val="24"/>
          <w:u w:val="single"/>
        </w:rPr>
        <w:t>Retraso = NDR / NDFPO</w:t>
      </w:r>
    </w:p>
    <w:p w14:paraId="0C498A2E" w14:textId="77777777" w:rsidR="00B13A84" w:rsidRDefault="00B13A84" w:rsidP="00B13A84">
      <w:pPr>
        <w:pStyle w:val="Prrafodelista"/>
        <w:tabs>
          <w:tab w:val="left" w:pos="284"/>
        </w:tabs>
        <w:ind w:left="851" w:hanging="709"/>
        <w:jc w:val="center"/>
        <w:rPr>
          <w:rFonts w:ascii="Bookman Old Style" w:hAnsi="Bookman Old Style" w:cs="Arial"/>
          <w:b/>
          <w:bCs/>
          <w:color w:val="000000" w:themeColor="text1"/>
          <w:sz w:val="24"/>
          <w:szCs w:val="24"/>
          <w:u w:val="single"/>
        </w:rPr>
      </w:pPr>
    </w:p>
    <w:p w14:paraId="7C46BA8F" w14:textId="77777777" w:rsidR="00B13A84" w:rsidRPr="00791515" w:rsidRDefault="00B13A84" w:rsidP="00B13A84">
      <w:pPr>
        <w:tabs>
          <w:tab w:val="left" w:pos="284"/>
        </w:tabs>
        <w:ind w:left="1560" w:hanging="709"/>
        <w:rPr>
          <w:rFonts w:ascii="Bookman Old Style" w:hAnsi="Bookman Old Style" w:cs="Arial"/>
          <w:b/>
          <w:bCs/>
          <w:color w:val="000000" w:themeColor="text1"/>
          <w:sz w:val="24"/>
          <w:szCs w:val="24"/>
          <w:u w:val="single"/>
        </w:rPr>
      </w:pPr>
      <w:r w:rsidRPr="00791515">
        <w:rPr>
          <w:rFonts w:ascii="Bookman Old Style" w:hAnsi="Bookman Old Style" w:cs="Arial"/>
          <w:b/>
          <w:bCs/>
          <w:color w:val="000000" w:themeColor="text1"/>
          <w:sz w:val="24"/>
          <w:szCs w:val="24"/>
          <w:u w:val="single"/>
        </w:rPr>
        <w:t>Donde:</w:t>
      </w:r>
    </w:p>
    <w:p w14:paraId="406FF477" w14:textId="77777777" w:rsidR="00B13A84" w:rsidRPr="0020151F" w:rsidRDefault="00B13A84" w:rsidP="00B13A84">
      <w:pPr>
        <w:pStyle w:val="Prrafodelista"/>
        <w:tabs>
          <w:tab w:val="left" w:pos="284"/>
        </w:tabs>
        <w:ind w:left="1560" w:hanging="709"/>
        <w:jc w:val="center"/>
        <w:rPr>
          <w:rFonts w:ascii="Bookman Old Style" w:hAnsi="Bookman Old Style" w:cs="Arial"/>
          <w:b/>
          <w:bCs/>
          <w:color w:val="000000" w:themeColor="text1"/>
          <w:sz w:val="24"/>
          <w:szCs w:val="24"/>
          <w:u w:val="single"/>
        </w:rPr>
      </w:pPr>
    </w:p>
    <w:p w14:paraId="22023E17" w14:textId="77777777" w:rsidR="00B13A84" w:rsidRPr="00791515" w:rsidRDefault="00B13A84" w:rsidP="00B13A84">
      <w:pPr>
        <w:tabs>
          <w:tab w:val="left" w:pos="284"/>
        </w:tabs>
        <w:ind w:left="1560" w:hanging="709"/>
        <w:jc w:val="both"/>
        <w:rPr>
          <w:rFonts w:ascii="Bookman Old Style" w:hAnsi="Bookman Old Style" w:cs="Arial"/>
          <w:b/>
          <w:bCs/>
          <w:color w:val="000000" w:themeColor="text1"/>
          <w:sz w:val="24"/>
          <w:szCs w:val="24"/>
          <w:u w:val="single"/>
        </w:rPr>
      </w:pPr>
      <w:r w:rsidRPr="00791515">
        <w:rPr>
          <w:rFonts w:ascii="Bookman Old Style" w:hAnsi="Bookman Old Style" w:cs="Arial"/>
          <w:b/>
          <w:bCs/>
          <w:color w:val="000000" w:themeColor="text1"/>
          <w:sz w:val="24"/>
          <w:szCs w:val="24"/>
          <w:u w:val="single"/>
        </w:rPr>
        <w:t>NDR: Número de meses contados entre: a.) La fecha proyectada de puesta en operación del proyecto, de acuerdo con el cronograma actualizado revisado por el auditor; y, b.) LA FPO inicial adoptada por el MME o la ajustada por el MME de acuerdo con lo establecido en el Artículo 22 de la presente resolución.</w:t>
      </w:r>
    </w:p>
    <w:p w14:paraId="4B14CF6C" w14:textId="77777777" w:rsidR="00B13A84" w:rsidRPr="00791515" w:rsidRDefault="00B13A84" w:rsidP="00B13A84">
      <w:pPr>
        <w:tabs>
          <w:tab w:val="left" w:pos="284"/>
        </w:tabs>
        <w:ind w:left="1560" w:hanging="709"/>
        <w:jc w:val="both"/>
        <w:rPr>
          <w:rFonts w:ascii="Bookman Old Style" w:hAnsi="Bookman Old Style" w:cs="Arial"/>
          <w:b/>
          <w:bCs/>
          <w:color w:val="000000" w:themeColor="text1"/>
          <w:sz w:val="24"/>
          <w:szCs w:val="24"/>
          <w:u w:val="single"/>
        </w:rPr>
      </w:pPr>
    </w:p>
    <w:p w14:paraId="78663E9E" w14:textId="77777777" w:rsidR="00B13A84" w:rsidRPr="00791515" w:rsidRDefault="00B13A84" w:rsidP="00B13A84">
      <w:pPr>
        <w:tabs>
          <w:tab w:val="left" w:pos="284"/>
        </w:tabs>
        <w:ind w:left="1560" w:hanging="709"/>
        <w:jc w:val="both"/>
        <w:rPr>
          <w:rFonts w:ascii="Bookman Old Style" w:hAnsi="Bookman Old Style" w:cs="Arial"/>
          <w:b/>
          <w:bCs/>
          <w:color w:val="000000" w:themeColor="text1"/>
          <w:sz w:val="24"/>
          <w:szCs w:val="24"/>
          <w:u w:val="single"/>
        </w:rPr>
      </w:pPr>
      <w:r w:rsidRPr="00791515">
        <w:rPr>
          <w:rFonts w:ascii="Bookman Old Style" w:hAnsi="Bookman Old Style" w:cs="Arial"/>
          <w:b/>
          <w:bCs/>
          <w:color w:val="000000" w:themeColor="text1"/>
          <w:sz w:val="24"/>
          <w:szCs w:val="24"/>
          <w:u w:val="single"/>
        </w:rPr>
        <w:t>NDFPO: Número de meses contados entre: a.) La fecha de adjudicación del proceso o de la publicación de la resolución en firme de la CREG en la que adopta el valor eficiente y la remuneración de la inversión y de los gastos de AOM correspondientes al transportador incumbente que ejecuta en primera instancia un proyecto IPAT; y, b.) La FPO inicial adoptada por el MME, sin modificaciones.</w:t>
      </w:r>
    </w:p>
    <w:p w14:paraId="057D322E" w14:textId="77777777" w:rsidR="00B13A84" w:rsidRPr="0020151F" w:rsidRDefault="00B13A84" w:rsidP="00B13A84">
      <w:pPr>
        <w:pStyle w:val="Prrafodelista"/>
        <w:tabs>
          <w:tab w:val="left" w:pos="0"/>
        </w:tabs>
        <w:ind w:left="1146"/>
        <w:jc w:val="both"/>
        <w:rPr>
          <w:rFonts w:ascii="Bookman Old Style" w:hAnsi="Bookman Old Style" w:cs="Arial"/>
          <w:color w:val="000000" w:themeColor="text1"/>
          <w:sz w:val="24"/>
          <w:szCs w:val="24"/>
        </w:rPr>
      </w:pPr>
    </w:p>
    <w:p w14:paraId="2EFACF13" w14:textId="77777777" w:rsidR="00B13A84" w:rsidRPr="00791515" w:rsidRDefault="00B13A84" w:rsidP="00B13A84">
      <w:pPr>
        <w:ind w:left="709" w:hanging="709"/>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3.6.3 </w:t>
      </w:r>
      <w:r w:rsidRPr="00791515">
        <w:rPr>
          <w:rFonts w:ascii="Bookman Old Style" w:hAnsi="Bookman Old Style" w:cs="Arial"/>
          <w:color w:val="000000" w:themeColor="text1"/>
          <w:sz w:val="24"/>
          <w:szCs w:val="24"/>
        </w:rPr>
        <w:t xml:space="preserve">Cuando el auditor concluya que el adjudicatario o el transportador incumbente que ejecute en primera instancia proyectos de </w:t>
      </w:r>
      <m:oMath>
        <m:r>
          <m:rPr>
            <m:sty m:val="p"/>
          </m:rPr>
          <w:rPr>
            <w:rFonts w:ascii="Cambria Math" w:hAnsi="Cambria Math" w:cs="Arial"/>
            <w:color w:val="000000" w:themeColor="text1"/>
            <w:sz w:val="24"/>
            <w:szCs w:val="24"/>
          </w:rPr>
          <m:t>IPAT</m:t>
        </m:r>
      </m:oMath>
      <w:r w:rsidRPr="00791515">
        <w:rPr>
          <w:rFonts w:ascii="Bookman Old Style" w:hAnsi="Bookman Old Style" w:cs="Arial"/>
          <w:color w:val="000000" w:themeColor="text1"/>
          <w:sz w:val="24"/>
          <w:szCs w:val="24"/>
        </w:rPr>
        <w:t xml:space="preserve"> abandonó el proyecto objeto de la auditoría.</w:t>
      </w:r>
    </w:p>
    <w:p w14:paraId="66E6E6DD" w14:textId="77777777" w:rsidR="00B13A84" w:rsidRPr="0020151F" w:rsidRDefault="00B13A84" w:rsidP="00B13A84">
      <w:pPr>
        <w:pStyle w:val="Prrafodelista"/>
        <w:ind w:left="709" w:hanging="709"/>
        <w:jc w:val="both"/>
        <w:rPr>
          <w:rFonts w:ascii="Bookman Old Style" w:hAnsi="Bookman Old Style" w:cs="Arial"/>
          <w:color w:val="000000" w:themeColor="text1"/>
          <w:sz w:val="24"/>
          <w:szCs w:val="24"/>
        </w:rPr>
      </w:pPr>
    </w:p>
    <w:p w14:paraId="433399C1" w14:textId="77777777" w:rsidR="00B13A84" w:rsidRPr="00791515" w:rsidRDefault="00B13A84" w:rsidP="00B13A84">
      <w:pPr>
        <w:ind w:left="709" w:hanging="709"/>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3.6.4 </w:t>
      </w:r>
      <w:r w:rsidRPr="00791515">
        <w:rPr>
          <w:rFonts w:ascii="Bookman Old Style" w:hAnsi="Bookman Old Style" w:cs="Arial"/>
          <w:color w:val="000000" w:themeColor="text1"/>
          <w:sz w:val="24"/>
          <w:szCs w:val="24"/>
        </w:rPr>
        <w:t xml:space="preserve">Cuando el auditor concluya que el adjudicatario o el transportador incumbente que ejecute en primera instancia proyectos de </w:t>
      </w:r>
      <m:oMath>
        <m:r>
          <m:rPr>
            <m:sty m:val="p"/>
          </m:rPr>
          <w:rPr>
            <w:rFonts w:ascii="Cambria Math" w:hAnsi="Cambria Math" w:cs="Arial"/>
            <w:color w:val="000000" w:themeColor="text1"/>
            <w:sz w:val="24"/>
            <w:szCs w:val="24"/>
          </w:rPr>
          <m:t>IPAT</m:t>
        </m:r>
      </m:oMath>
      <w:r w:rsidRPr="00791515">
        <w:rPr>
          <w:rFonts w:ascii="Bookman Old Style" w:hAnsi="Bookman Old Style" w:cs="Arial"/>
          <w:color w:val="000000" w:themeColor="text1"/>
          <w:sz w:val="24"/>
          <w:szCs w:val="24"/>
        </w:rPr>
        <w:t xml:space="preserve"> no corrigió las desviaciones de que trata el literal b) del Artículo 25 de la presente Resolución.</w:t>
      </w:r>
    </w:p>
    <w:p w14:paraId="2D9E696A" w14:textId="77777777" w:rsidR="00B13A84" w:rsidRPr="0020151F" w:rsidRDefault="00B13A84" w:rsidP="00B13A84">
      <w:pPr>
        <w:pStyle w:val="Prrafodelista"/>
        <w:ind w:left="709" w:hanging="709"/>
        <w:rPr>
          <w:rFonts w:ascii="Bookman Old Style" w:hAnsi="Bookman Old Style" w:cs="Arial"/>
          <w:color w:val="000000" w:themeColor="text1"/>
          <w:sz w:val="24"/>
          <w:szCs w:val="24"/>
        </w:rPr>
      </w:pPr>
    </w:p>
    <w:p w14:paraId="313EDB5B" w14:textId="1236287F" w:rsidR="00B13A84" w:rsidRPr="00791515" w:rsidRDefault="00B13A84" w:rsidP="00B13A84">
      <w:pPr>
        <w:ind w:left="709" w:hanging="709"/>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3.6.5 </w:t>
      </w:r>
      <w:r w:rsidRPr="00791515">
        <w:rPr>
          <w:rFonts w:ascii="Bookman Old Style" w:hAnsi="Bookman Old Style" w:cs="Arial"/>
          <w:color w:val="000000" w:themeColor="text1"/>
          <w:sz w:val="24"/>
          <w:szCs w:val="24"/>
        </w:rPr>
        <w:t xml:space="preserve">Cuando el auditor concluya que el adjudicatario o el transportador incumbente que ejecute en primera instancia proyectos de </w:t>
      </w:r>
      <m:oMath>
        <m:r>
          <m:rPr>
            <m:sty m:val="p"/>
          </m:rPr>
          <w:rPr>
            <w:rFonts w:ascii="Cambria Math" w:hAnsi="Cambria Math" w:cs="Arial"/>
            <w:color w:val="000000" w:themeColor="text1"/>
            <w:sz w:val="24"/>
            <w:szCs w:val="24"/>
          </w:rPr>
          <m:t>IPAT</m:t>
        </m:r>
      </m:oMath>
      <w:r w:rsidRPr="00791515">
        <w:rPr>
          <w:rFonts w:ascii="Bookman Old Style" w:hAnsi="Bookman Old Style" w:cs="Arial"/>
          <w:color w:val="000000" w:themeColor="text1"/>
          <w:sz w:val="24"/>
          <w:szCs w:val="24"/>
        </w:rPr>
        <w:t xml:space="preserve"> no corrigió las desviaciones de que trata el literal </w:t>
      </w:r>
      <w:r w:rsidR="00A2017D">
        <w:rPr>
          <w:rFonts w:ascii="Bookman Old Style" w:hAnsi="Bookman Old Style" w:cs="Arial"/>
          <w:color w:val="000000" w:themeColor="text1"/>
          <w:sz w:val="24"/>
          <w:szCs w:val="24"/>
        </w:rPr>
        <w:t>c</w:t>
      </w:r>
      <w:r w:rsidRPr="00791515">
        <w:rPr>
          <w:rFonts w:ascii="Bookman Old Style" w:hAnsi="Bookman Old Style" w:cs="Arial"/>
          <w:color w:val="000000" w:themeColor="text1"/>
          <w:sz w:val="24"/>
          <w:szCs w:val="24"/>
        </w:rPr>
        <w:t>) del Artículo 25 de la presente Resolución.</w:t>
      </w:r>
    </w:p>
    <w:p w14:paraId="5371EF59" w14:textId="77777777" w:rsidR="00B13A84" w:rsidRPr="0020151F" w:rsidRDefault="00B13A84" w:rsidP="00B13A84">
      <w:pPr>
        <w:pStyle w:val="Prrafodelista"/>
        <w:ind w:left="709" w:hanging="709"/>
        <w:jc w:val="both"/>
        <w:rPr>
          <w:rFonts w:ascii="Bookman Old Style" w:hAnsi="Bookman Old Style" w:cs="Arial"/>
          <w:color w:val="000000" w:themeColor="text1"/>
          <w:sz w:val="24"/>
          <w:szCs w:val="24"/>
        </w:rPr>
      </w:pPr>
    </w:p>
    <w:p w14:paraId="54F81980" w14:textId="5BE4AF7F" w:rsidR="00B13A84" w:rsidRDefault="00B13A84" w:rsidP="00B13A84">
      <w:pPr>
        <w:ind w:left="709" w:hanging="709"/>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3.6.6 </w:t>
      </w:r>
      <w:r w:rsidRPr="00791515">
        <w:rPr>
          <w:rFonts w:ascii="Bookman Old Style" w:hAnsi="Bookman Old Style" w:cs="Arial"/>
          <w:color w:val="000000" w:themeColor="text1"/>
          <w:sz w:val="24"/>
          <w:szCs w:val="24"/>
        </w:rPr>
        <w:t>Cuando a la terminación del proyecto el auditor identifique que el proyecto ejecutado no coincide con las características técnicas exigidas en el plan de abastecimiento de gas natural y en los documentos de selección.</w:t>
      </w:r>
    </w:p>
    <w:p w14:paraId="6F2D8CF3" w14:textId="6CDC2729" w:rsidR="007C370D" w:rsidRPr="005D485C" w:rsidRDefault="007C370D" w:rsidP="00B13A84">
      <w:pPr>
        <w:ind w:left="709" w:hanging="709"/>
        <w:jc w:val="both"/>
        <w:rPr>
          <w:rFonts w:ascii="Bookman Old Style" w:hAnsi="Bookman Old Style" w:cs="Arial"/>
          <w:b/>
          <w:bCs/>
          <w:color w:val="000000" w:themeColor="text1"/>
          <w:sz w:val="24"/>
          <w:szCs w:val="24"/>
          <w:u w:val="single"/>
        </w:rPr>
      </w:pPr>
      <w:r w:rsidRPr="005D485C">
        <w:rPr>
          <w:rFonts w:ascii="Bookman Old Style" w:hAnsi="Bookman Old Style" w:cs="Arial"/>
          <w:b/>
          <w:bCs/>
          <w:color w:val="000000" w:themeColor="text1"/>
          <w:sz w:val="24"/>
          <w:szCs w:val="24"/>
          <w:u w:val="single"/>
        </w:rPr>
        <w:t>3.6.7 Cuando el adjudicatario incumpla el período de duración de la operación del proyecto y prestación del servicio</w:t>
      </w:r>
      <w:r w:rsidR="005D485C" w:rsidRPr="005D485C">
        <w:rPr>
          <w:rFonts w:ascii="Bookman Old Style" w:hAnsi="Bookman Old Style" w:cs="Arial"/>
          <w:b/>
          <w:bCs/>
          <w:color w:val="000000" w:themeColor="text1"/>
          <w:sz w:val="24"/>
          <w:szCs w:val="24"/>
          <w:u w:val="single"/>
        </w:rPr>
        <w:t>, en los términos establecidos en la presente resolución o aquellas que la modifiquen o sustituyan, una vez puesto en operación el proyecto.</w:t>
      </w:r>
    </w:p>
    <w:p w14:paraId="42E635DF" w14:textId="24DDB545" w:rsidR="00CF5EFC" w:rsidRPr="000F4D2C" w:rsidRDefault="00CF5EFC" w:rsidP="000F4D2C">
      <w:pPr>
        <w:ind w:left="851" w:hanging="709"/>
        <w:rPr>
          <w:b/>
          <w:vanish/>
        </w:rPr>
      </w:pPr>
    </w:p>
    <w:p w14:paraId="7EE658FC" w14:textId="77777777" w:rsidR="00CF5EFC" w:rsidRPr="000F4D2C" w:rsidRDefault="00CF5EFC" w:rsidP="000F4D2C">
      <w:pPr>
        <w:tabs>
          <w:tab w:val="left" w:pos="1478"/>
        </w:tabs>
        <w:spacing w:after="0" w:line="240" w:lineRule="auto"/>
        <w:ind w:left="426" w:hanging="426"/>
        <w:jc w:val="both"/>
        <w:rPr>
          <w:rFonts w:ascii="Bookman Old Style" w:hAnsi="Bookman Old Style" w:cs="Arial"/>
          <w:color w:val="000000" w:themeColor="text1"/>
          <w:sz w:val="24"/>
          <w:szCs w:val="24"/>
        </w:rPr>
      </w:pPr>
    </w:p>
    <w:p w14:paraId="3F8A175C" w14:textId="77777777" w:rsidR="00111780" w:rsidRDefault="003F04E9" w:rsidP="000F4D2C">
      <w:pPr>
        <w:pStyle w:val="Prrafodelista"/>
        <w:numPr>
          <w:ilvl w:val="1"/>
          <w:numId w:val="28"/>
        </w:numPr>
        <w:tabs>
          <w:tab w:val="left" w:pos="709"/>
        </w:tabs>
        <w:ind w:left="567" w:hanging="567"/>
        <w:jc w:val="both"/>
        <w:rPr>
          <w:rFonts w:ascii="Bookman Old Style" w:hAnsi="Bookman Old Style" w:cs="Arial"/>
          <w:b/>
          <w:color w:val="000000" w:themeColor="text1"/>
          <w:sz w:val="24"/>
          <w:szCs w:val="24"/>
          <w:u w:val="single"/>
        </w:rPr>
      </w:pPr>
      <w:r w:rsidRPr="000F4D2C">
        <w:rPr>
          <w:rFonts w:ascii="Bookman Old Style" w:hAnsi="Bookman Old Style" w:cs="Arial"/>
          <w:b/>
          <w:bCs/>
          <w:color w:val="000000" w:themeColor="text1"/>
          <w:sz w:val="24"/>
          <w:szCs w:val="24"/>
          <w:u w:val="single"/>
        </w:rPr>
        <w:t>A</w:t>
      </w:r>
      <w:r w:rsidRPr="000F4D2C">
        <w:rPr>
          <w:rFonts w:ascii="Bookman Old Style" w:hAnsi="Bookman Old Style" w:cs="Arial"/>
          <w:b/>
          <w:color w:val="000000" w:themeColor="text1"/>
          <w:sz w:val="24"/>
          <w:szCs w:val="24"/>
          <w:u w:val="single"/>
        </w:rPr>
        <w:t>pertura de cuenta específica para manejo de los recursos provenientes de la ejecución de la garantía de cumplimiento.</w:t>
      </w:r>
    </w:p>
    <w:p w14:paraId="6F3BEC22" w14:textId="77777777" w:rsidR="00111780" w:rsidRDefault="00111780" w:rsidP="000F4D2C">
      <w:pPr>
        <w:tabs>
          <w:tab w:val="left" w:pos="426"/>
        </w:tabs>
        <w:spacing w:after="0" w:line="240" w:lineRule="auto"/>
        <w:ind w:left="426"/>
        <w:jc w:val="both"/>
        <w:rPr>
          <w:rFonts w:ascii="Bookman Old Style" w:hAnsi="Bookman Old Style" w:cs="Arial"/>
          <w:b/>
          <w:color w:val="000000" w:themeColor="text1"/>
          <w:sz w:val="24"/>
          <w:szCs w:val="24"/>
          <w:u w:val="single"/>
        </w:rPr>
      </w:pPr>
    </w:p>
    <w:p w14:paraId="11C7829E" w14:textId="2AA74CD9" w:rsidR="003F04E9" w:rsidRDefault="003F04E9" w:rsidP="00956281">
      <w:pPr>
        <w:tabs>
          <w:tab w:val="left" w:pos="0"/>
        </w:tabs>
        <w:spacing w:after="0" w:line="240" w:lineRule="auto"/>
        <w:jc w:val="both"/>
        <w:rPr>
          <w:rFonts w:ascii="Bookman Old Style" w:hAnsi="Bookman Old Style" w:cs="Arial"/>
          <w:b/>
          <w:color w:val="000000" w:themeColor="text1"/>
          <w:sz w:val="24"/>
          <w:szCs w:val="24"/>
          <w:u w:val="single"/>
        </w:rPr>
      </w:pPr>
      <w:r w:rsidRPr="000F4D2C">
        <w:rPr>
          <w:rFonts w:ascii="Bookman Old Style" w:hAnsi="Bookman Old Style" w:cs="Arial"/>
          <w:b/>
          <w:color w:val="000000" w:themeColor="text1"/>
          <w:sz w:val="24"/>
          <w:szCs w:val="24"/>
          <w:u w:val="single"/>
        </w:rPr>
        <w:t xml:space="preserve">Cuando el proyecto hubiese sido inicialmente desarrollado por un adjudicatario o transportador incumbente que ejecuta en primera instancia el proyecto, al cual se le declaró el incumplimiento del mismo, el adjudicatario que sea seleccionado mediante un nuevo proceso que se adelante con el fin de terminar la ejecución y prestación del servicio del mismo proyecto, deberá incluir en el patrimonio autónomo que debe constituir, según lo establecido en el Artículo 27 de la presente Resolución, una cuenta específica en la que se deben depositar los recursos provenientes de la ejecución de la garantía de cumplimiento del anterior ejecutor del proyecto que incumplió. </w:t>
      </w:r>
    </w:p>
    <w:p w14:paraId="30C2BD54" w14:textId="77777777" w:rsidR="00956281" w:rsidRPr="000F4D2C" w:rsidRDefault="00956281" w:rsidP="000F4D2C">
      <w:pPr>
        <w:tabs>
          <w:tab w:val="left" w:pos="0"/>
        </w:tabs>
        <w:spacing w:after="0" w:line="240" w:lineRule="auto"/>
        <w:jc w:val="both"/>
        <w:rPr>
          <w:rFonts w:ascii="Bookman Old Style" w:hAnsi="Bookman Old Style" w:cs="Arial"/>
          <w:b/>
          <w:color w:val="000000" w:themeColor="text1"/>
          <w:sz w:val="24"/>
          <w:szCs w:val="24"/>
          <w:u w:val="single"/>
        </w:rPr>
      </w:pPr>
    </w:p>
    <w:p w14:paraId="699B68BD" w14:textId="12CF0936" w:rsidR="003F04E9" w:rsidRPr="000F4D2C" w:rsidRDefault="003F04E9" w:rsidP="000F4D2C">
      <w:pPr>
        <w:tabs>
          <w:tab w:val="left" w:pos="0"/>
        </w:tabs>
        <w:spacing w:after="0" w:line="240" w:lineRule="auto"/>
        <w:jc w:val="both"/>
        <w:rPr>
          <w:rFonts w:ascii="Bookman Old Style" w:hAnsi="Bookman Old Style" w:cs="Arial"/>
          <w:b/>
          <w:color w:val="000000" w:themeColor="text1"/>
          <w:sz w:val="24"/>
          <w:szCs w:val="24"/>
          <w:u w:val="single"/>
        </w:rPr>
      </w:pPr>
      <w:r w:rsidRPr="000F4D2C">
        <w:rPr>
          <w:rFonts w:ascii="Bookman Old Style" w:hAnsi="Bookman Old Style" w:cs="Arial"/>
          <w:b/>
          <w:color w:val="000000" w:themeColor="text1"/>
          <w:sz w:val="24"/>
          <w:szCs w:val="24"/>
          <w:u w:val="single"/>
        </w:rPr>
        <w:t>Dichos recursos deberán ser destinados para cubrir el cincuenta por ciento (50%) de los pagos de los primeros meses que les corresponden efectuar a los beneficiarios del proyecto, de acuerdo con la aplicación de lo establecido en el Anexo 4</w:t>
      </w:r>
      <w:r w:rsidR="00111780" w:rsidRPr="000F4D2C">
        <w:rPr>
          <w:rFonts w:ascii="Bookman Old Style" w:hAnsi="Bookman Old Style" w:cs="Arial"/>
          <w:b/>
          <w:color w:val="000000" w:themeColor="text1"/>
          <w:sz w:val="24"/>
          <w:szCs w:val="24"/>
          <w:u w:val="single"/>
        </w:rPr>
        <w:t xml:space="preserve"> de la presente resolución</w:t>
      </w:r>
      <w:r w:rsidRPr="000F4D2C">
        <w:rPr>
          <w:rFonts w:ascii="Bookman Old Style" w:hAnsi="Bookman Old Style" w:cs="Arial"/>
          <w:b/>
          <w:color w:val="000000" w:themeColor="text1"/>
          <w:sz w:val="24"/>
          <w:szCs w:val="24"/>
          <w:u w:val="single"/>
        </w:rPr>
        <w:t>, hasta la extinción de los recursos depositados.</w:t>
      </w:r>
    </w:p>
    <w:p w14:paraId="65F0A6C4" w14:textId="77777777" w:rsidR="00CF5EFC" w:rsidRPr="00F23AE8" w:rsidRDefault="00CF5EFC" w:rsidP="00956281">
      <w:pPr>
        <w:pStyle w:val="Prrafodelista"/>
        <w:tabs>
          <w:tab w:val="left" w:pos="567"/>
        </w:tabs>
        <w:ind w:left="1430"/>
        <w:jc w:val="both"/>
        <w:rPr>
          <w:rFonts w:ascii="Bookman Old Style" w:hAnsi="Bookman Old Style" w:cs="Arial"/>
          <w:sz w:val="24"/>
          <w:szCs w:val="24"/>
        </w:rPr>
      </w:pPr>
    </w:p>
    <w:p w14:paraId="5C3AAAB5" w14:textId="77777777" w:rsidR="00CF5EFC" w:rsidRPr="000F4D2C" w:rsidRDefault="00CF5EFC" w:rsidP="000F4D2C">
      <w:pPr>
        <w:spacing w:after="0" w:line="240" w:lineRule="auto"/>
        <w:ind w:left="993"/>
        <w:outlineLvl w:val="0"/>
        <w:rPr>
          <w:rFonts w:ascii="Bookman Old Style" w:hAnsi="Bookman Old Style" w:cs="Arial"/>
          <w:caps/>
          <w:color w:val="000000"/>
          <w:sz w:val="24"/>
          <w:szCs w:val="24"/>
        </w:rPr>
      </w:pPr>
    </w:p>
    <w:p w14:paraId="51B3C51C" w14:textId="77777777" w:rsidR="00CF5EFC" w:rsidRPr="000F4D2C" w:rsidRDefault="00CF5EFC" w:rsidP="000F4D2C">
      <w:pPr>
        <w:spacing w:after="0" w:line="240" w:lineRule="auto"/>
        <w:rPr>
          <w:rFonts w:ascii="Bookman Old Style" w:hAnsi="Bookman Old Style"/>
          <w:sz w:val="24"/>
          <w:szCs w:val="24"/>
        </w:rPr>
      </w:pPr>
    </w:p>
    <w:p w14:paraId="057C6050" w14:textId="77777777" w:rsidR="00CF5EFC" w:rsidRPr="000F4D2C" w:rsidRDefault="00CF5EFC" w:rsidP="000F4D2C">
      <w:pPr>
        <w:spacing w:after="0" w:line="240" w:lineRule="auto"/>
        <w:rPr>
          <w:rFonts w:ascii="Bookman Old Style" w:hAnsi="Bookman Old Style"/>
          <w:sz w:val="24"/>
          <w:szCs w:val="24"/>
          <w:lang w:val="es-ES_tradnl"/>
        </w:rPr>
      </w:pPr>
      <w:bookmarkStart w:id="41" w:name="_Toc350860306"/>
      <w:bookmarkStart w:id="42" w:name="_Toc351401374"/>
      <w:bookmarkStart w:id="43" w:name="_Toc351403978"/>
      <w:bookmarkStart w:id="44" w:name="_Toc351404108"/>
      <w:bookmarkStart w:id="45" w:name="_Toc350860307"/>
      <w:bookmarkStart w:id="46" w:name="_Toc351401375"/>
      <w:bookmarkStart w:id="47" w:name="_Toc351403979"/>
      <w:bookmarkStart w:id="48" w:name="_Toc351404109"/>
      <w:bookmarkStart w:id="49" w:name="_Toc350860308"/>
      <w:bookmarkStart w:id="50" w:name="_Toc351401376"/>
      <w:bookmarkStart w:id="51" w:name="_Toc351403980"/>
      <w:bookmarkStart w:id="52" w:name="_Toc351404110"/>
      <w:bookmarkStart w:id="53" w:name="_Toc350860309"/>
      <w:bookmarkStart w:id="54" w:name="_Toc351401377"/>
      <w:bookmarkStart w:id="55" w:name="_Toc351403981"/>
      <w:bookmarkStart w:id="56" w:name="_Toc351404111"/>
      <w:bookmarkStart w:id="57" w:name="_Toc351403984"/>
      <w:bookmarkStart w:id="58" w:name="_Toc351404114"/>
      <w:bookmarkStart w:id="59" w:name="_Toc351403985"/>
      <w:bookmarkStart w:id="60" w:name="_Toc351404115"/>
      <w:bookmarkStart w:id="61" w:name="_Toc351403987"/>
      <w:bookmarkStart w:id="62" w:name="_Toc351404117"/>
      <w:bookmarkStart w:id="63" w:name="_Toc351403988"/>
      <w:bookmarkStart w:id="64" w:name="_Toc351404118"/>
      <w:bookmarkStart w:id="65" w:name="_Toc351403989"/>
      <w:bookmarkStart w:id="66" w:name="_Toc351404119"/>
      <w:bookmarkStart w:id="67" w:name="_Toc351403990"/>
      <w:bookmarkStart w:id="68" w:name="_Toc351404120"/>
      <w:bookmarkStart w:id="69" w:name="_Toc351403991"/>
      <w:bookmarkStart w:id="70" w:name="_Toc351404121"/>
      <w:bookmarkStart w:id="71" w:name="_Toc350860319"/>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r w:rsidRPr="000F4D2C">
        <w:rPr>
          <w:rFonts w:ascii="Bookman Old Style" w:hAnsi="Bookman Old Style"/>
          <w:sz w:val="24"/>
          <w:szCs w:val="24"/>
          <w:lang w:val="es-ES_tradnl"/>
        </w:rPr>
        <w:br w:type="page"/>
      </w:r>
    </w:p>
    <w:tbl>
      <w:tblPr>
        <w:tblW w:w="10064" w:type="dxa"/>
        <w:tblCellMar>
          <w:left w:w="70" w:type="dxa"/>
          <w:right w:w="70" w:type="dxa"/>
        </w:tblCellMar>
        <w:tblLook w:val="0000" w:firstRow="0" w:lastRow="0" w:firstColumn="0" w:lastColumn="0" w:noHBand="0" w:noVBand="0"/>
      </w:tblPr>
      <w:tblGrid>
        <w:gridCol w:w="9356"/>
        <w:gridCol w:w="708"/>
      </w:tblGrid>
      <w:tr w:rsidR="00CF5EFC" w:rsidRPr="00A8052F" w14:paraId="08E0ED0E" w14:textId="77777777" w:rsidTr="001A39BF">
        <w:trPr>
          <w:trHeight w:val="356"/>
        </w:trPr>
        <w:tc>
          <w:tcPr>
            <w:tcW w:w="9356" w:type="dxa"/>
          </w:tcPr>
          <w:p w14:paraId="5F92A65D" w14:textId="1BFC7D54" w:rsidR="00CF5EFC" w:rsidRPr="000F4D2C" w:rsidRDefault="00CF5EFC" w:rsidP="000F4D2C">
            <w:pPr>
              <w:spacing w:after="0" w:line="240" w:lineRule="auto"/>
              <w:jc w:val="center"/>
              <w:rPr>
                <w:rFonts w:ascii="Bookman Old Style" w:hAnsi="Bookman Old Style" w:cs="Arial"/>
                <w:b/>
                <w:spacing w:val="-3"/>
                <w:sz w:val="24"/>
                <w:szCs w:val="24"/>
              </w:rPr>
            </w:pPr>
            <w:r w:rsidRPr="000F4D2C">
              <w:rPr>
                <w:rFonts w:ascii="Bookman Old Style" w:hAnsi="Bookman Old Style" w:cs="Arial"/>
                <w:b/>
                <w:spacing w:val="-3"/>
                <w:sz w:val="24"/>
                <w:szCs w:val="24"/>
              </w:rPr>
              <w:t>A</w:t>
            </w:r>
            <w:r w:rsidR="00D82B0A">
              <w:rPr>
                <w:rFonts w:ascii="Bookman Old Style" w:hAnsi="Bookman Old Style" w:cs="Arial"/>
                <w:b/>
                <w:spacing w:val="-3"/>
                <w:sz w:val="24"/>
                <w:szCs w:val="24"/>
              </w:rPr>
              <w:t xml:space="preserve">nexo </w:t>
            </w:r>
            <w:r w:rsidRPr="000F4D2C">
              <w:rPr>
                <w:rFonts w:ascii="Bookman Old Style" w:hAnsi="Bookman Old Style" w:cs="Arial"/>
                <w:b/>
                <w:spacing w:val="-3"/>
                <w:sz w:val="24"/>
                <w:szCs w:val="24"/>
              </w:rPr>
              <w:t>4. Cálculo de los montos a facturar a los beneficiarios</w:t>
            </w:r>
          </w:p>
          <w:p w14:paraId="173FBD1A" w14:textId="77777777" w:rsidR="00CF5EFC" w:rsidRPr="000F4D2C" w:rsidRDefault="00CF5EFC" w:rsidP="000F4D2C">
            <w:pPr>
              <w:spacing w:after="0" w:line="240" w:lineRule="auto"/>
              <w:jc w:val="both"/>
              <w:rPr>
                <w:rFonts w:ascii="Bookman Old Style" w:hAnsi="Bookman Old Style" w:cs="Arial"/>
                <w:b/>
                <w:spacing w:val="-3"/>
                <w:sz w:val="24"/>
                <w:szCs w:val="24"/>
              </w:rPr>
            </w:pPr>
          </w:p>
          <w:p w14:paraId="03463F4D" w14:textId="77777777" w:rsidR="00CF5EFC" w:rsidRPr="000F4D2C" w:rsidRDefault="00CF5EFC" w:rsidP="000F4D2C">
            <w:pPr>
              <w:spacing w:after="0" w:line="240" w:lineRule="auto"/>
              <w:jc w:val="both"/>
              <w:rPr>
                <w:rFonts w:ascii="Bookman Old Style" w:hAnsi="Bookman Old Style" w:cs="Arial"/>
                <w:spacing w:val="-3"/>
                <w:sz w:val="24"/>
                <w:szCs w:val="24"/>
              </w:rPr>
            </w:pPr>
            <w:r w:rsidRPr="000F4D2C">
              <w:rPr>
                <w:rFonts w:ascii="Bookman Old Style" w:hAnsi="Bookman Old Style" w:cs="Arial"/>
                <w:spacing w:val="-3"/>
                <w:sz w:val="24"/>
                <w:szCs w:val="24"/>
              </w:rPr>
              <w:t>Con el fin de realizarse los pagos por parte de los beneficiarios de los proyectos, se desarrollarán los siguientes cálculos para la facturación del servicio:</w:t>
            </w:r>
          </w:p>
          <w:p w14:paraId="38F730EF" w14:textId="77777777" w:rsidR="00CF5EFC" w:rsidRPr="000F4D2C" w:rsidRDefault="00CF5EFC" w:rsidP="000F4D2C">
            <w:pPr>
              <w:spacing w:after="0" w:line="240" w:lineRule="auto"/>
              <w:jc w:val="both"/>
              <w:rPr>
                <w:rFonts w:ascii="Bookman Old Style" w:hAnsi="Bookman Old Style" w:cs="Arial"/>
                <w:b/>
                <w:spacing w:val="-3"/>
                <w:sz w:val="24"/>
                <w:szCs w:val="24"/>
              </w:rPr>
            </w:pPr>
          </w:p>
          <w:p w14:paraId="7E1D10FF" w14:textId="77777777" w:rsidR="00CF5EFC" w:rsidRPr="000F4D2C" w:rsidRDefault="00CF5EFC" w:rsidP="0077173B">
            <w:pPr>
              <w:pStyle w:val="Prrafodelista"/>
              <w:numPr>
                <w:ilvl w:val="0"/>
                <w:numId w:val="40"/>
              </w:numPr>
              <w:ind w:left="644" w:hanging="644"/>
              <w:jc w:val="both"/>
              <w:rPr>
                <w:rFonts w:ascii="Bookman Old Style" w:hAnsi="Bookman Old Style" w:cs="Arial"/>
                <w:b/>
                <w:spacing w:val="-3"/>
                <w:sz w:val="24"/>
                <w:szCs w:val="24"/>
              </w:rPr>
            </w:pPr>
            <w:r w:rsidRPr="000F4D2C">
              <w:rPr>
                <w:rFonts w:ascii="Bookman Old Style" w:hAnsi="Bookman Old Style" w:cs="Arial"/>
                <w:b/>
                <w:spacing w:val="-3"/>
                <w:sz w:val="24"/>
                <w:szCs w:val="24"/>
              </w:rPr>
              <w:t>Facturación a los transportadores por parte del adjudicatario o del transportador incumbente que desarrolle proyectos IPAT</w:t>
            </w:r>
          </w:p>
          <w:p w14:paraId="3C22051E" w14:textId="77777777" w:rsidR="00CF5EFC" w:rsidRPr="000F4D2C" w:rsidRDefault="00CF5EFC" w:rsidP="000F4D2C">
            <w:pPr>
              <w:spacing w:after="0" w:line="240" w:lineRule="auto"/>
              <w:jc w:val="both"/>
              <w:rPr>
                <w:rFonts w:ascii="Bookman Old Style" w:hAnsi="Bookman Old Style" w:cs="Arial"/>
                <w:b/>
                <w:spacing w:val="-3"/>
                <w:sz w:val="24"/>
                <w:szCs w:val="24"/>
              </w:rPr>
            </w:pPr>
          </w:p>
          <w:p w14:paraId="002B1AC2" w14:textId="0A7E96FC" w:rsidR="00CF5EFC" w:rsidRDefault="00CF5EFC" w:rsidP="0077173B">
            <w:pPr>
              <w:tabs>
                <w:tab w:val="left" w:pos="4140"/>
              </w:tabs>
              <w:spacing w:after="0" w:line="240" w:lineRule="auto"/>
              <w:jc w:val="both"/>
              <w:rPr>
                <w:rFonts w:ascii="Bookman Old Style" w:hAnsi="Bookman Old Style"/>
                <w:sz w:val="24"/>
                <w:szCs w:val="24"/>
                <w:lang w:val="es-ES_tradnl"/>
              </w:rPr>
            </w:pPr>
            <w:r w:rsidRPr="000F4D2C">
              <w:rPr>
                <w:rFonts w:ascii="Bookman Old Style" w:hAnsi="Bookman Old Style"/>
                <w:sz w:val="24"/>
                <w:szCs w:val="24"/>
                <w:lang w:val="es-ES_tradnl"/>
              </w:rPr>
              <w:t xml:space="preserve">El adjudicatario o el transportador incumbente que desarrolle proyectos </w:t>
            </w:r>
            <w:r w:rsidRPr="000F4D2C">
              <w:rPr>
                <w:rFonts w:ascii="Bookman Old Style" w:hAnsi="Bookman Old Style"/>
                <w:b/>
                <w:sz w:val="24"/>
                <w:szCs w:val="24"/>
                <w:lang w:val="es-ES_tradnl"/>
              </w:rPr>
              <w:t>IPAT</w:t>
            </w:r>
            <w:r w:rsidRPr="000F4D2C">
              <w:rPr>
                <w:rFonts w:ascii="Bookman Old Style" w:hAnsi="Bookman Old Style"/>
                <w:sz w:val="24"/>
                <w:szCs w:val="24"/>
                <w:lang w:val="es-ES_tradnl"/>
              </w:rPr>
              <w:t xml:space="preserve"> desarrollará los siguientes cálculos, con el fin de facturar el valor que le corresponde recaudar a cada transportador que atiende beneficiarios del proyecto PAGN en el sistema de transporte que opera:   </w:t>
            </w:r>
          </w:p>
          <w:p w14:paraId="3572ED4E" w14:textId="77777777" w:rsidR="0077173B" w:rsidRPr="000F4D2C" w:rsidRDefault="0077173B" w:rsidP="000F4D2C">
            <w:pPr>
              <w:tabs>
                <w:tab w:val="left" w:pos="4140"/>
              </w:tabs>
              <w:spacing w:after="0" w:line="240" w:lineRule="auto"/>
              <w:jc w:val="both"/>
              <w:rPr>
                <w:rFonts w:ascii="Bookman Old Style" w:hAnsi="Bookman Old Style"/>
                <w:sz w:val="24"/>
                <w:szCs w:val="24"/>
                <w:lang w:val="es-ES_tradnl"/>
              </w:rPr>
            </w:pPr>
          </w:p>
          <w:p w14:paraId="10AE2333" w14:textId="2C750F54" w:rsidR="00CF5EFC" w:rsidRPr="000F4D2C" w:rsidRDefault="00B560EE" w:rsidP="000F4D2C">
            <w:pPr>
              <w:tabs>
                <w:tab w:val="left" w:pos="4140"/>
              </w:tabs>
              <w:spacing w:after="0" w:line="240" w:lineRule="auto"/>
              <w:ind w:left="1560" w:hanging="632"/>
              <w:jc w:val="center"/>
              <w:rPr>
                <w:rFonts w:ascii="Bookman Old Style" w:hAnsi="Bookman Old Style" w:cs="Cambria Math"/>
                <w:sz w:val="24"/>
                <w:szCs w:val="24"/>
                <w:vertAlign w:val="subscript"/>
              </w:rPr>
            </w:pPr>
            <m:oMath>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A</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IMT</m:t>
                  </m:r>
                </m:e>
                <m:sub>
                  <m:r>
                    <m:rPr>
                      <m:sty m:val="p"/>
                    </m:rPr>
                    <w:rPr>
                      <w:rFonts w:ascii="Cambria Math" w:hAnsi="Cambria Math" w:cs="Cambria Math"/>
                      <w:sz w:val="24"/>
                      <w:szCs w:val="24"/>
                      <w:lang w:val="es-ES_tradnl"/>
                    </w:rPr>
                    <m:t>PAGN,m,t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COP</m:t>
                  </m:r>
                </m:e>
                <m:sub>
                  <m:r>
                    <m:rPr>
                      <m:sty m:val="p"/>
                    </m:rPr>
                    <w:rPr>
                      <w:rFonts w:ascii="Cambria Math" w:hAnsi="Cambria Math" w:cs="Cambria Math"/>
                      <w:sz w:val="24"/>
                      <w:szCs w:val="24"/>
                      <w:lang w:val="es-ES_tradnl"/>
                    </w:rPr>
                    <m:t>PAGN,m,t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ICC</m:t>
                  </m:r>
                </m:e>
                <m:sub>
                  <m:r>
                    <m:rPr>
                      <m:sty m:val="p"/>
                    </m:rPr>
                    <w:rPr>
                      <w:rFonts w:ascii="Cambria Math" w:hAnsi="Cambria Math" w:cs="Cambria Math"/>
                      <w:sz w:val="24"/>
                      <w:szCs w:val="24"/>
                      <w:lang w:val="es-ES_tradnl"/>
                    </w:rPr>
                    <m:t>PAGN,m,t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SAL</m:t>
                  </m:r>
                </m:e>
                <m:sub>
                  <m:r>
                    <m:rPr>
                      <m:sty m:val="p"/>
                    </m:rPr>
                    <w:rPr>
                      <w:rFonts w:ascii="Cambria Math" w:hAnsi="Cambria Math" w:cs="Cambria Math"/>
                      <w:sz w:val="24"/>
                      <w:szCs w:val="24"/>
                      <w:lang w:val="es-ES_tradnl"/>
                    </w:rPr>
                    <m:t>PAGN,m,t</m:t>
                  </m:r>
                </m:sub>
              </m:sSub>
              <m:r>
                <m:rPr>
                  <m:sty m:val="p"/>
                </m:rPr>
                <w:rPr>
                  <w:rFonts w:ascii="Cambria Math" w:hAnsi="Cambria Math" w:cs="Cambria Math"/>
                  <w:sz w:val="24"/>
                  <w:szCs w:val="24"/>
                  <w:lang w:val="es-ES_tradnl"/>
                </w:rPr>
                <m:t xml:space="preserve"> </m:t>
              </m:r>
              <m:r>
                <m:rPr>
                  <m:sty m:val="p"/>
                </m:rPr>
                <w:rPr>
                  <w:rFonts w:ascii="Cambria Math" w:hAnsi="Cambria Math"/>
                  <w:sz w:val="24"/>
                  <w:szCs w:val="24"/>
                </w:rPr>
                <m:t xml:space="preserve">- </m:t>
              </m:r>
              <m:d>
                <m:dPr>
                  <m:ctrlPr>
                    <w:rPr>
                      <w:rFonts w:ascii="Cambria Math" w:hAnsi="Cambria Math"/>
                      <w:sz w:val="24"/>
                      <w:szCs w:val="24"/>
                    </w:rPr>
                  </m:ctrlPr>
                </m:dPr>
                <m:e>
                  <m:r>
                    <m:rPr>
                      <m:sty m:val="p"/>
                    </m:rPr>
                    <w:rPr>
                      <w:rFonts w:ascii="Cambria Math" w:hAnsi="Cambria Math"/>
                      <w:sz w:val="24"/>
                      <w:szCs w:val="24"/>
                    </w:rPr>
                    <m:t>PSA ×</m:t>
                  </m:r>
                  <m:sSub>
                    <m:sSubPr>
                      <m:ctrlPr>
                        <w:rPr>
                          <w:rFonts w:ascii="Cambria Math" w:hAnsi="Cambria Math"/>
                          <w:sz w:val="24"/>
                          <w:szCs w:val="24"/>
                        </w:rPr>
                      </m:ctrlPr>
                    </m:sSubPr>
                    <m:e>
                      <m:r>
                        <m:rPr>
                          <m:sty m:val="p"/>
                        </m:rPr>
                        <w:rPr>
                          <w:rFonts w:ascii="Cambria Math" w:hAnsi="Cambria Math"/>
                          <w:sz w:val="24"/>
                          <w:szCs w:val="24"/>
                        </w:rPr>
                        <m:t>SA</m:t>
                      </m:r>
                    </m:e>
                    <m:sub>
                      <m:r>
                        <m:rPr>
                          <m:sty m:val="p"/>
                        </m:rPr>
                        <w:rPr>
                          <w:rFonts w:ascii="Cambria Math" w:hAnsi="Cambria Math"/>
                          <w:sz w:val="24"/>
                          <w:szCs w:val="24"/>
                        </w:rPr>
                        <m:t>PAGNm,t</m:t>
                      </m:r>
                    </m:sub>
                  </m:sSub>
                </m:e>
              </m:d>
            </m:oMath>
            <w:r w:rsidR="00CF5EFC" w:rsidRPr="000F4D2C">
              <w:rPr>
                <w:rFonts w:ascii="Bookman Old Style" w:hAnsi="Bookman Old Style" w:cs="Cambria Math"/>
                <w:sz w:val="24"/>
                <w:szCs w:val="24"/>
              </w:rPr>
              <w:t xml:space="preserve"> – </w:t>
            </w:r>
            <m:oMath>
              <m:sSub>
                <m:sSubPr>
                  <m:ctrlPr>
                    <w:rPr>
                      <w:rFonts w:ascii="Cambria Math" w:hAnsi="Cambria Math"/>
                      <w:sz w:val="24"/>
                      <w:szCs w:val="24"/>
                    </w:rPr>
                  </m:ctrlPr>
                </m:sSubPr>
                <m:e>
                  <m:r>
                    <m:rPr>
                      <m:sty m:val="p"/>
                    </m:rPr>
                    <w:rPr>
                      <w:rFonts w:ascii="Cambria Math" w:hAnsi="Cambria Math"/>
                      <w:sz w:val="24"/>
                      <w:szCs w:val="24"/>
                    </w:rPr>
                    <m:t>CPG</m:t>
                  </m:r>
                </m:e>
                <m:sub>
                  <m:r>
                    <m:rPr>
                      <m:sty m:val="p"/>
                    </m:rPr>
                    <w:rPr>
                      <w:rFonts w:ascii="Cambria Math" w:hAnsi="Cambria Math"/>
                      <w:sz w:val="24"/>
                      <w:szCs w:val="24"/>
                    </w:rPr>
                    <m:t>PAGN,m,t</m:t>
                  </m:r>
                </m:sub>
              </m:sSub>
            </m:oMath>
          </w:p>
          <w:p w14:paraId="2EDCC367" w14:textId="77777777" w:rsidR="0077173B" w:rsidRDefault="0077173B" w:rsidP="0077173B">
            <w:pPr>
              <w:tabs>
                <w:tab w:val="left" w:pos="4140"/>
              </w:tabs>
              <w:spacing w:after="0" w:line="240" w:lineRule="auto"/>
              <w:ind w:left="1560" w:hanging="1560"/>
              <w:jc w:val="both"/>
              <w:rPr>
                <w:rFonts w:ascii="Bookman Old Style" w:hAnsi="Bookman Old Style" w:cs="Cambria Math"/>
                <w:sz w:val="24"/>
                <w:szCs w:val="24"/>
                <w:lang w:val="es-ES_tradnl"/>
              </w:rPr>
            </w:pPr>
          </w:p>
          <w:p w14:paraId="03892124" w14:textId="33D9BEAB" w:rsidR="00CF5EFC" w:rsidRDefault="00CF5EFC" w:rsidP="0077173B">
            <w:pPr>
              <w:tabs>
                <w:tab w:val="left" w:pos="4140"/>
              </w:tabs>
              <w:spacing w:after="0" w:line="240" w:lineRule="auto"/>
              <w:ind w:left="1560" w:hanging="1560"/>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Con:</w:t>
            </w:r>
          </w:p>
          <w:p w14:paraId="43746A15" w14:textId="77777777" w:rsidR="0077173B" w:rsidRPr="000F4D2C" w:rsidRDefault="0077173B" w:rsidP="000F4D2C">
            <w:pPr>
              <w:tabs>
                <w:tab w:val="left" w:pos="4140"/>
              </w:tabs>
              <w:spacing w:after="0" w:line="240" w:lineRule="auto"/>
              <w:ind w:left="1560" w:hanging="1560"/>
              <w:jc w:val="both"/>
              <w:rPr>
                <w:rFonts w:ascii="Bookman Old Style" w:hAnsi="Bookman Old Style" w:cs="Cambria Math"/>
                <w:sz w:val="24"/>
                <w:szCs w:val="24"/>
                <w:lang w:val="es-ES_tradnl"/>
              </w:rPr>
            </w:pPr>
          </w:p>
          <w:p w14:paraId="3EC91A1B" w14:textId="4E1E96BA" w:rsidR="00CF5EFC" w:rsidRPr="000F4D2C" w:rsidRDefault="00B560EE" w:rsidP="000F4D2C">
            <w:pPr>
              <w:tabs>
                <w:tab w:val="left" w:pos="4140"/>
              </w:tabs>
              <w:spacing w:after="0" w:line="240" w:lineRule="auto"/>
              <w:jc w:val="both"/>
              <w:rPr>
                <w:rFonts w:ascii="Bookman Old Style" w:hAnsi="Bookman Old Style" w:cs="Cambria Math"/>
                <w:sz w:val="24"/>
                <w:szCs w:val="24"/>
                <w:lang w:val="es-ES_tradnl"/>
              </w:rPr>
            </w:pPr>
            <m:oMathPara>
              <m:oMathParaPr>
                <m:jc m:val="center"/>
              </m:oMathParaPr>
              <m:oMath>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SAL</m:t>
                    </m:r>
                  </m:e>
                  <m:sub>
                    <m:r>
                      <m:rPr>
                        <m:sty m:val="p"/>
                      </m:rPr>
                      <w:rPr>
                        <w:rFonts w:ascii="Cambria Math" w:hAnsi="Cambria Math" w:cs="Cambria Math"/>
                        <w:sz w:val="24"/>
                        <w:szCs w:val="24"/>
                        <w:lang w:val="es-ES_tradnl"/>
                      </w:rPr>
                      <m:t>PAGN,m,t</m:t>
                    </m:r>
                  </m:sub>
                </m:sSub>
                <m:r>
                  <m:rPr>
                    <m:sty m:val="p"/>
                  </m:rPr>
                  <w:rPr>
                    <w:rFonts w:ascii="Cambria Math" w:hAnsi="Cambria Math" w:cs="Cambria Math"/>
                    <w:sz w:val="24"/>
                    <w:szCs w:val="24"/>
                    <w:lang w:val="es-ES_tradnl"/>
                  </w:rPr>
                  <m:t xml:space="preserve">= </m:t>
                </m:r>
                <m:d>
                  <m:dPr>
                    <m:begChr m:val="|"/>
                    <m:endChr m:val="|"/>
                    <m:ctrlPr>
                      <w:rPr>
                        <w:rFonts w:ascii="Cambria Math" w:hAnsi="Cambria Math" w:cs="Cambria Math"/>
                        <w:sz w:val="24"/>
                        <w:szCs w:val="24"/>
                        <w:lang w:val="es-ES_tradnl"/>
                      </w:rPr>
                    </m:ctrlPr>
                  </m:dPr>
                  <m:e>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IMT</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COP</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ICC</m:t>
                        </m:r>
                      </m:e>
                      <m:sub>
                        <m:r>
                          <m:rPr>
                            <m:sty m:val="p"/>
                          </m:rPr>
                          <w:rPr>
                            <w:rFonts w:ascii="Cambria Math" w:hAnsi="Cambria Math" w:cs="Cambria Math"/>
                            <w:sz w:val="24"/>
                            <w:szCs w:val="24"/>
                            <w:lang w:val="es-ES_tradnl"/>
                          </w:rPr>
                          <m:t>PAG,m-1,t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SAL</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 xml:space="preserve"> </m:t>
                    </m:r>
                    <m:r>
                      <m:rPr>
                        <m:sty m:val="p"/>
                      </m:rPr>
                      <w:rPr>
                        <w:rFonts w:ascii="Cambria Math" w:hAnsi="Cambria Math"/>
                        <w:sz w:val="24"/>
                        <w:szCs w:val="24"/>
                      </w:rPr>
                      <m:t xml:space="preserve">- </m:t>
                    </m:r>
                    <m:d>
                      <m:dPr>
                        <m:ctrlPr>
                          <w:rPr>
                            <w:rFonts w:ascii="Cambria Math" w:hAnsi="Cambria Math"/>
                            <w:sz w:val="24"/>
                            <w:szCs w:val="24"/>
                          </w:rPr>
                        </m:ctrlPr>
                      </m:dPr>
                      <m:e>
                        <m:r>
                          <m:rPr>
                            <m:sty m:val="p"/>
                          </m:rPr>
                          <w:rPr>
                            <w:rFonts w:ascii="Cambria Math" w:hAnsi="Cambria Math"/>
                            <w:sz w:val="24"/>
                            <w:szCs w:val="24"/>
                          </w:rPr>
                          <m:t>PSA ×</m:t>
                        </m:r>
                        <m:sSub>
                          <m:sSubPr>
                            <m:ctrlPr>
                              <w:rPr>
                                <w:rFonts w:ascii="Cambria Math" w:hAnsi="Cambria Math"/>
                                <w:sz w:val="24"/>
                                <w:szCs w:val="24"/>
                              </w:rPr>
                            </m:ctrlPr>
                          </m:sSubPr>
                          <m:e>
                            <m:r>
                              <m:rPr>
                                <m:sty m:val="p"/>
                              </m:rPr>
                              <w:rPr>
                                <w:rFonts w:ascii="Cambria Math" w:hAnsi="Cambria Math"/>
                                <w:sz w:val="24"/>
                                <w:szCs w:val="24"/>
                              </w:rPr>
                              <m:t>SA</m:t>
                            </m:r>
                          </m:e>
                          <m:sub>
                            <m:r>
                              <m:rPr>
                                <m:sty m:val="p"/>
                              </m:rPr>
                              <w:rPr>
                                <w:rFonts w:ascii="Cambria Math" w:hAnsi="Cambria Math"/>
                                <w:sz w:val="24"/>
                                <w:szCs w:val="24"/>
                              </w:rPr>
                              <m:t>PAGN,m-1,t</m:t>
                            </m:r>
                          </m:sub>
                        </m:sSub>
                      </m:e>
                    </m:d>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CPG</m:t>
                        </m:r>
                      </m:e>
                      <m:sub>
                        <m:r>
                          <m:rPr>
                            <m:sty m:val="p"/>
                          </m:rPr>
                          <w:rPr>
                            <w:rFonts w:ascii="Cambria Math" w:hAnsi="Cambria Math"/>
                            <w:sz w:val="24"/>
                            <w:szCs w:val="24"/>
                          </w:rPr>
                          <m:t>PAGN,m-1</m:t>
                        </m:r>
                      </m:sub>
                    </m:sSub>
                  </m:e>
                </m:d>
                <m:r>
                  <m:rPr>
                    <m:sty m:val="p"/>
                  </m:rPr>
                  <w:rPr>
                    <w:rFonts w:ascii="Cambria Math" w:hAnsi="Cambria Math" w:cs="Cambria Math"/>
                    <w:sz w:val="24"/>
                    <w:szCs w:val="24"/>
                    <w:lang w:val="es-ES_tradnl"/>
                  </w:rPr>
                  <m:t xml:space="preserve">,  </m:t>
                </m:r>
                <m:r>
                  <m:rPr>
                    <m:sty m:val="p"/>
                  </m:rPr>
                  <w:rPr>
                    <w:rFonts w:ascii="Cambria Math" w:hAnsi="Cambria Math"/>
                    <w:sz w:val="24"/>
                    <w:szCs w:val="24"/>
                    <w:lang w:val="es-ES_tradnl"/>
                  </w:rPr>
                  <m:t xml:space="preserve">solo si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A</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 xml:space="preserve">≤0    </m:t>
                </m:r>
              </m:oMath>
            </m:oMathPara>
          </w:p>
          <w:p w14:paraId="629EDB3F" w14:textId="77777777" w:rsidR="0077173B" w:rsidRDefault="0077173B" w:rsidP="0077173B">
            <w:pPr>
              <w:tabs>
                <w:tab w:val="left" w:pos="4140"/>
              </w:tabs>
              <w:spacing w:after="0" w:line="240" w:lineRule="auto"/>
              <w:jc w:val="both"/>
              <w:rPr>
                <w:rFonts w:ascii="Bookman Old Style" w:hAnsi="Bookman Old Style"/>
                <w:sz w:val="24"/>
                <w:szCs w:val="24"/>
              </w:rPr>
            </w:pPr>
          </w:p>
          <w:p w14:paraId="43FB5A67" w14:textId="3952AE73" w:rsidR="00CF5EFC" w:rsidRDefault="00CF5EFC" w:rsidP="0077173B">
            <w:pPr>
              <w:tabs>
                <w:tab w:val="left" w:pos="4140"/>
              </w:tabs>
              <w:spacing w:after="0" w:line="240" w:lineRule="auto"/>
              <w:jc w:val="both"/>
              <w:rPr>
                <w:rFonts w:ascii="Bookman Old Style" w:hAnsi="Bookman Old Style"/>
                <w:sz w:val="24"/>
                <w:szCs w:val="24"/>
              </w:rPr>
            </w:pPr>
            <w:r w:rsidRPr="000F4D2C">
              <w:rPr>
                <w:rFonts w:ascii="Bookman Old Style" w:hAnsi="Bookman Old Style"/>
                <w:sz w:val="24"/>
                <w:szCs w:val="24"/>
              </w:rPr>
              <w:t>Donde:</w:t>
            </w:r>
          </w:p>
          <w:p w14:paraId="33FB4B05" w14:textId="77777777" w:rsidR="0077173B" w:rsidRPr="000F4D2C" w:rsidRDefault="0077173B" w:rsidP="000F4D2C">
            <w:pPr>
              <w:tabs>
                <w:tab w:val="left" w:pos="4140"/>
              </w:tabs>
              <w:spacing w:after="0" w:line="240" w:lineRule="auto"/>
              <w:jc w:val="both"/>
              <w:rPr>
                <w:rFonts w:ascii="Bookman Old Style" w:hAnsi="Bookman Old Style" w:cs="Cambria Math"/>
                <w:sz w:val="24"/>
                <w:szCs w:val="24"/>
              </w:rPr>
            </w:pPr>
          </w:p>
          <w:p w14:paraId="1CC7F03F" w14:textId="73B88CDF" w:rsidR="00CF5EFC" w:rsidRDefault="00B560EE" w:rsidP="0077173B">
            <w:pPr>
              <w:spacing w:after="0" w:line="240" w:lineRule="auto"/>
              <w:ind w:left="1560" w:hanging="1560"/>
              <w:jc w:val="both"/>
              <w:rPr>
                <w:rFonts w:ascii="Bookman Old Style" w:hAnsi="Bookman Old Style"/>
                <w:sz w:val="24"/>
                <w:szCs w:val="24"/>
                <w:lang w:val="es-ES_tradnl"/>
              </w:rPr>
            </w:pPr>
            <m:oMath>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A</m:t>
                  </m:r>
                </m:e>
                <m:sub>
                  <m:r>
                    <m:rPr>
                      <m:sty m:val="p"/>
                    </m:rPr>
                    <w:rPr>
                      <w:rFonts w:ascii="Cambria Math" w:hAnsi="Cambria Math" w:cs="Cambria Math"/>
                      <w:sz w:val="24"/>
                      <w:szCs w:val="24"/>
                      <w:lang w:val="es-ES_tradnl"/>
                    </w:rPr>
                    <m:t>PAGN,m+1,t</m:t>
                  </m:r>
                </m:sub>
              </m:sSub>
            </m:oMath>
            <w:r w:rsidR="00CF5EFC" w:rsidRPr="000F4D2C">
              <w:rPr>
                <w:rFonts w:ascii="Bookman Old Style" w:hAnsi="Bookman Old Style"/>
                <w:sz w:val="24"/>
                <w:szCs w:val="24"/>
                <w:lang w:val="es-ES_tradnl"/>
              </w:rPr>
              <w:t>:</w:t>
            </w:r>
            <w:r w:rsidR="00CF5EFC" w:rsidRPr="000F4D2C">
              <w:rPr>
                <w:rFonts w:ascii="Bookman Old Style" w:hAnsi="Bookman Old Style"/>
                <w:sz w:val="24"/>
                <w:szCs w:val="24"/>
                <w:lang w:val="es-ES_tradnl"/>
              </w:rPr>
              <w:tab/>
              <w:t xml:space="preserve">Valor a facturar por el adjudicatario, al transportador del sistema de transporte t, por el servicio prestado en el mes m por el proyecto PAGN. </w:t>
            </w:r>
          </w:p>
          <w:p w14:paraId="0A012F9D" w14:textId="77777777" w:rsidR="0077173B" w:rsidRPr="000F4D2C" w:rsidRDefault="0077173B" w:rsidP="000F4D2C">
            <w:pPr>
              <w:spacing w:after="0" w:line="240" w:lineRule="auto"/>
              <w:ind w:left="1560" w:hanging="1560"/>
              <w:jc w:val="both"/>
              <w:rPr>
                <w:rFonts w:ascii="Bookman Old Style" w:hAnsi="Bookman Old Style"/>
                <w:sz w:val="24"/>
                <w:szCs w:val="24"/>
                <w:lang w:val="es-ES_tradnl"/>
              </w:rPr>
            </w:pPr>
          </w:p>
          <w:p w14:paraId="3D5857A9" w14:textId="2DC61DF3" w:rsidR="00CF5EFC" w:rsidRDefault="00B560EE" w:rsidP="0077173B">
            <w:pPr>
              <w:spacing w:after="0" w:line="240" w:lineRule="auto"/>
              <w:ind w:left="1560" w:hanging="1560"/>
              <w:jc w:val="both"/>
              <w:rPr>
                <w:rFonts w:ascii="Bookman Old Style" w:hAnsi="Bookman Old Style"/>
                <w:sz w:val="24"/>
                <w:szCs w:val="24"/>
                <w:lang w:val="es-ES_tradnl"/>
              </w:rPr>
            </w:pPr>
            <m:oMath>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IMT</m:t>
                  </m:r>
                </m:e>
                <m:sub>
                  <m:r>
                    <m:rPr>
                      <m:sty m:val="p"/>
                    </m:rPr>
                    <w:rPr>
                      <w:rFonts w:ascii="Cambria Math" w:hAnsi="Cambria Math" w:cs="Cambria Math"/>
                      <w:sz w:val="24"/>
                      <w:szCs w:val="24"/>
                      <w:lang w:val="es-ES_tradnl"/>
                    </w:rPr>
                    <m:t>PAGN,m,t</m:t>
                  </m:r>
                </m:sub>
              </m:sSub>
              <m:r>
                <w:rPr>
                  <w:rFonts w:ascii="Cambria Math" w:hAnsi="Cambria Math" w:cs="Cambria Math"/>
                  <w:sz w:val="24"/>
                  <w:szCs w:val="24"/>
                  <w:lang w:val="es-ES_tradnl"/>
                </w:rPr>
                <m:t>:</m:t>
              </m:r>
            </m:oMath>
            <w:r w:rsidR="00CF5EFC" w:rsidRPr="000F4D2C">
              <w:rPr>
                <w:rFonts w:ascii="Bookman Old Style" w:hAnsi="Bookman Old Style"/>
                <w:sz w:val="24"/>
                <w:szCs w:val="24"/>
                <w:lang w:val="es-ES_tradnl"/>
              </w:rPr>
              <w:t xml:space="preserve"> </w:t>
            </w:r>
            <w:r w:rsidR="00CF5EFC" w:rsidRPr="000F4D2C">
              <w:rPr>
                <w:rFonts w:ascii="Bookman Old Style" w:hAnsi="Bookman Old Style"/>
                <w:sz w:val="24"/>
                <w:szCs w:val="24"/>
                <w:lang w:val="es-ES_tradnl"/>
              </w:rPr>
              <w:tab/>
              <w:t xml:space="preserve">Ingreso mensual a pagar por parte de los beneficiarios en el sistema de transporte t, calculado como se expresa en el Artículo 17, por el servicio prestado en el mes m por el proyecto PAGN. </w:t>
            </w:r>
          </w:p>
          <w:p w14:paraId="2477D01E" w14:textId="77777777" w:rsidR="00AD431F" w:rsidRPr="000F4D2C" w:rsidRDefault="00AD431F" w:rsidP="000F4D2C">
            <w:pPr>
              <w:spacing w:after="0" w:line="240" w:lineRule="auto"/>
              <w:ind w:left="1560" w:hanging="1560"/>
              <w:jc w:val="both"/>
              <w:rPr>
                <w:rFonts w:ascii="Bookman Old Style" w:hAnsi="Bookman Old Style" w:cs="Arial"/>
                <w:b/>
                <w:spacing w:val="-3"/>
                <w:sz w:val="24"/>
                <w:szCs w:val="24"/>
              </w:rPr>
            </w:pPr>
          </w:p>
          <w:p w14:paraId="0127BFC5" w14:textId="3665AAC9" w:rsidR="00CF5EFC" w:rsidRDefault="00B560EE" w:rsidP="0077173B">
            <w:pPr>
              <w:spacing w:after="0" w:line="240" w:lineRule="auto"/>
              <w:ind w:left="1560" w:hanging="1560"/>
              <w:jc w:val="both"/>
              <w:rPr>
                <w:rFonts w:ascii="Bookman Old Style" w:hAnsi="Bookman Old Style"/>
                <w:sz w:val="24"/>
                <w:szCs w:val="24"/>
                <w:lang w:val="es-ES_tradnl"/>
              </w:rPr>
            </w:pPr>
            <m:oMath>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COP</m:t>
                  </m:r>
                </m:e>
                <m:sub>
                  <m:r>
                    <m:rPr>
                      <m:sty m:val="p"/>
                    </m:rPr>
                    <w:rPr>
                      <w:rFonts w:ascii="Cambria Math" w:hAnsi="Cambria Math" w:cs="Cambria Math"/>
                      <w:sz w:val="24"/>
                      <w:szCs w:val="24"/>
                      <w:lang w:val="es-ES_tradnl"/>
                    </w:rPr>
                    <m:t>PAGN,m,t</m:t>
                  </m:r>
                </m:sub>
              </m:sSub>
            </m:oMath>
            <w:r w:rsidR="00CF5EFC" w:rsidRPr="000F4D2C">
              <w:rPr>
                <w:rFonts w:ascii="Bookman Old Style" w:hAnsi="Bookman Old Style"/>
                <w:sz w:val="24"/>
                <w:szCs w:val="24"/>
                <w:lang w:val="es-ES_tradnl"/>
              </w:rPr>
              <w:t>:</w:t>
            </w:r>
            <w:r w:rsidR="00CF5EFC" w:rsidRPr="000F4D2C">
              <w:rPr>
                <w:rFonts w:ascii="Bookman Old Style" w:hAnsi="Bookman Old Style"/>
                <w:sz w:val="24"/>
                <w:szCs w:val="24"/>
                <w:lang w:val="es-ES_tradnl"/>
              </w:rPr>
              <w:tab/>
              <w:t>Valor de las compensaciones por indisponibilidad, asignadas a los beneficiarios en el sistema de transporte t, por el servicio prestado en el mes m por el proyecto PAGN.</w:t>
            </w:r>
            <w:r w:rsidR="00CF5EFC" w:rsidRPr="000F4D2C">
              <w:rPr>
                <w:rFonts w:ascii="Bookman Old Style" w:hAnsi="Bookman Old Style"/>
                <w:sz w:val="24"/>
                <w:szCs w:val="24"/>
                <w:lang w:val="es-ES_tradnl"/>
              </w:rPr>
              <w:tab/>
            </w:r>
          </w:p>
          <w:p w14:paraId="7555C20C"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6CF4A615" w14:textId="4A66C098" w:rsidR="00CF5EFC" w:rsidRDefault="00B560EE" w:rsidP="0077173B">
            <w:pPr>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ICC</m:t>
                  </m:r>
                </m:e>
                <m:sub>
                  <m:r>
                    <m:rPr>
                      <m:sty m:val="p"/>
                    </m:rPr>
                    <w:rPr>
                      <w:rFonts w:ascii="Cambria Math" w:hAnsi="Cambria Math"/>
                      <w:sz w:val="24"/>
                      <w:szCs w:val="24"/>
                    </w:rPr>
                    <m:t>PAGN,m,t</m:t>
                  </m:r>
                </m:sub>
              </m:sSub>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Ingresos de corto plazo obtenidos por la prestación de servicios asociados al proyecto PAGN, facturados en el mes m por el adjudicatario o el transportador incumbente que ejecuta proyectos </w:t>
            </w:r>
            <w:r w:rsidR="00CF5EFC" w:rsidRPr="000F4D2C">
              <w:rPr>
                <w:rFonts w:ascii="Bookman Old Style" w:hAnsi="Bookman Old Style"/>
                <w:b/>
                <w:sz w:val="24"/>
                <w:szCs w:val="24"/>
              </w:rPr>
              <w:t>IPAT</w:t>
            </w:r>
            <w:r w:rsidR="00CF5EFC" w:rsidRPr="000F4D2C">
              <w:rPr>
                <w:rFonts w:ascii="Bookman Old Style" w:hAnsi="Bookman Old Style"/>
                <w:sz w:val="24"/>
                <w:szCs w:val="24"/>
              </w:rPr>
              <w:t xml:space="preserve">. Estos ingresos corresponderán a los asignados al respectivo sistema de transporte t. El valor de los ingresos de corto plazo para este cálculo deberá corresponder al valor a pagar al adjudicatario por parte de los agentes, según los contratos suscritos para prestar los servicios del proyecto, antes de aplicarse cualquier tipo de compensación pactada en favor de los agentes contratantes, excepto las correspondientes a indisponibilidades a las que haya lugar. </w:t>
            </w:r>
          </w:p>
          <w:p w14:paraId="62F762DB" w14:textId="77777777" w:rsidR="0077173B" w:rsidRPr="000F4D2C" w:rsidRDefault="0077173B" w:rsidP="000F4D2C">
            <w:pPr>
              <w:spacing w:after="0" w:line="240" w:lineRule="auto"/>
              <w:ind w:left="1560" w:hanging="1560"/>
              <w:jc w:val="both"/>
              <w:rPr>
                <w:rFonts w:ascii="Bookman Old Style" w:hAnsi="Bookman Old Style"/>
                <w:b/>
                <w:sz w:val="24"/>
                <w:szCs w:val="24"/>
              </w:rPr>
            </w:pPr>
          </w:p>
          <w:p w14:paraId="00945258" w14:textId="0F11CE4B" w:rsidR="00CF5EFC" w:rsidRDefault="00B560EE" w:rsidP="0077173B">
            <w:pPr>
              <w:spacing w:after="0" w:line="240" w:lineRule="auto"/>
              <w:ind w:left="1560" w:hanging="1560"/>
              <w:jc w:val="both"/>
              <w:rPr>
                <w:rFonts w:ascii="Bookman Old Style" w:hAnsi="Bookman Old Style"/>
                <w:sz w:val="24"/>
                <w:szCs w:val="24"/>
              </w:rPr>
            </w:pPr>
            <m:oMath>
              <m:sSub>
                <m:sSubPr>
                  <m:ctrlPr>
                    <w:rPr>
                      <w:rFonts w:ascii="Cambria Math" w:hAnsi="Cambria Math"/>
                      <w:color w:val="000000"/>
                      <w:sz w:val="24"/>
                      <w:szCs w:val="24"/>
                    </w:rPr>
                  </m:ctrlPr>
                </m:sSubPr>
                <m:e>
                  <m:r>
                    <m:rPr>
                      <m:sty m:val="p"/>
                    </m:rPr>
                    <w:rPr>
                      <w:rFonts w:ascii="Cambria Math" w:hAnsi="Cambria Math"/>
                      <w:color w:val="000000"/>
                      <w:sz w:val="24"/>
                      <w:szCs w:val="24"/>
                    </w:rPr>
                    <m:t>CPG</m:t>
                  </m:r>
                </m:e>
                <m:sub>
                  <m:r>
                    <m:rPr>
                      <m:sty m:val="p"/>
                    </m:rPr>
                    <w:rPr>
                      <w:rFonts w:ascii="Cambria Math" w:hAnsi="Cambria Math"/>
                      <w:color w:val="000000"/>
                      <w:sz w:val="24"/>
                      <w:szCs w:val="24"/>
                    </w:rPr>
                    <m:t>PAGN,m,t</m:t>
                  </m:r>
                </m:sub>
              </m:sSub>
              <m:r>
                <w:rPr>
                  <w:rFonts w:ascii="Cambria Math" w:hAnsi="Cambria Math"/>
                  <w:color w:val="000000"/>
                  <w:sz w:val="24"/>
                  <w:szCs w:val="24"/>
                </w:rPr>
                <m:t>:</m:t>
              </m:r>
            </m:oMath>
            <w:r w:rsidR="00CF5EFC" w:rsidRPr="000F4D2C">
              <w:rPr>
                <w:rFonts w:ascii="Bookman Old Style" w:hAnsi="Bookman Old Style" w:cs="Arial"/>
                <w:color w:val="000000"/>
                <w:sz w:val="24"/>
                <w:szCs w:val="24"/>
              </w:rPr>
              <w:t xml:space="preserve"> </w:t>
            </w:r>
            <w:r w:rsidR="00CF5EFC" w:rsidRPr="000F4D2C">
              <w:rPr>
                <w:rFonts w:ascii="Bookman Old Style" w:hAnsi="Bookman Old Style" w:cs="Arial"/>
                <w:color w:val="000000"/>
                <w:sz w:val="24"/>
                <w:szCs w:val="24"/>
              </w:rPr>
              <w:tab/>
            </w:r>
            <w:r w:rsidR="00CF5EFC" w:rsidRPr="000F4D2C">
              <w:rPr>
                <w:rFonts w:ascii="Bookman Old Style" w:hAnsi="Bookman Old Style"/>
                <w:sz w:val="24"/>
                <w:szCs w:val="24"/>
              </w:rPr>
              <w:t xml:space="preserve">Recursos provenientes en el mes m, asignados al sistema de transporte t, de la ejecución de garantías asociadas a proyectos ejecutados mediante procesos de selección y proyectos del </w:t>
            </w:r>
            <m:oMath>
              <m:r>
                <m:rPr>
                  <m:sty m:val="b"/>
                </m:rPr>
                <w:rPr>
                  <w:rFonts w:ascii="Cambria Math" w:hAnsi="Cambria Math"/>
                  <w:sz w:val="24"/>
                  <w:szCs w:val="24"/>
                </w:rPr>
                <m:t>IPAT</m:t>
              </m:r>
              <m:r>
                <w:rPr>
                  <w:rFonts w:ascii="Cambria Math" w:hAnsi="Cambria Math"/>
                  <w:sz w:val="24"/>
                  <w:szCs w:val="24"/>
                </w:rPr>
                <m:t xml:space="preserve"> </m:t>
              </m:r>
            </m:oMath>
            <w:r w:rsidR="00CF5EFC" w:rsidRPr="000F4D2C">
              <w:rPr>
                <w:rFonts w:ascii="Bookman Old Style" w:hAnsi="Bookman Old Style"/>
                <w:sz w:val="24"/>
                <w:szCs w:val="24"/>
              </w:rPr>
              <w:t xml:space="preserve">ejecutados por transportador incumbente, según se establece en el artículo 30 de la Resolución CREG 107 de 2017, o aquellas que la modifiquen o sustituyan. </w:t>
            </w:r>
          </w:p>
          <w:p w14:paraId="3923D017"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5527A966" w14:textId="08EAE030" w:rsidR="00CF5EFC" w:rsidRDefault="00B560EE" w:rsidP="0077173B">
            <w:pPr>
              <w:spacing w:after="0" w:line="240" w:lineRule="auto"/>
              <w:ind w:left="1560" w:hanging="1560"/>
              <w:jc w:val="both"/>
              <w:rPr>
                <w:rFonts w:ascii="Bookman Old Style" w:hAnsi="Bookman Old Style" w:cs="Cambria Math"/>
                <w:sz w:val="24"/>
                <w:szCs w:val="24"/>
                <w:lang w:val="es-ES_tradnl"/>
              </w:rPr>
            </w:pPr>
            <m:oMath>
              <m:sSub>
                <m:sSubPr>
                  <m:ctrlPr>
                    <w:rPr>
                      <w:rFonts w:ascii="Cambria Math" w:hAnsi="Cambria Math"/>
                      <w:sz w:val="24"/>
                      <w:szCs w:val="24"/>
                    </w:rPr>
                  </m:ctrlPr>
                </m:sSubPr>
                <m:e>
                  <m:r>
                    <m:rPr>
                      <m:sty m:val="p"/>
                    </m:rPr>
                    <w:rPr>
                      <w:rFonts w:ascii="Cambria Math" w:hAnsi="Cambria Math"/>
                      <w:sz w:val="24"/>
                      <w:szCs w:val="24"/>
                    </w:rPr>
                    <m:t>SAL</m:t>
                  </m:r>
                </m:e>
                <m:sub>
                  <m:r>
                    <m:rPr>
                      <m:sty m:val="p"/>
                    </m:rPr>
                    <w:rPr>
                      <w:rFonts w:ascii="Cambria Math" w:hAnsi="Cambria Math"/>
                      <w:sz w:val="24"/>
                      <w:szCs w:val="24"/>
                    </w:rPr>
                    <m:t>PAGN,m,t</m:t>
                  </m:r>
                </m:sub>
              </m:sSub>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Saldo de ingresos en el mes m, asignados al sistema de transporte t por el proyecto </w:t>
            </w:r>
            <w:r w:rsidR="00CF5EFC" w:rsidRPr="000F4D2C">
              <w:rPr>
                <w:rFonts w:ascii="Bookman Old Style" w:hAnsi="Bookman Old Style" w:cs="Cambria Math"/>
                <w:sz w:val="24"/>
                <w:szCs w:val="24"/>
                <w:lang w:val="es-ES_tradnl"/>
              </w:rPr>
              <w:t>PAGN.</w:t>
            </w:r>
          </w:p>
          <w:p w14:paraId="35A75819" w14:textId="77777777" w:rsidR="00AD431F" w:rsidRPr="000F4D2C" w:rsidRDefault="00AD431F" w:rsidP="000F4D2C">
            <w:pPr>
              <w:spacing w:after="0" w:line="240" w:lineRule="auto"/>
              <w:ind w:left="1560" w:hanging="1560"/>
              <w:jc w:val="both"/>
              <w:rPr>
                <w:rFonts w:ascii="Bookman Old Style" w:hAnsi="Bookman Old Style" w:cs="Cambria Math"/>
                <w:sz w:val="24"/>
                <w:szCs w:val="24"/>
                <w:lang w:val="es-ES_tradnl"/>
              </w:rPr>
            </w:pPr>
          </w:p>
          <w:p w14:paraId="6D9A8711" w14:textId="170C2E9A" w:rsidR="00CF5EFC" w:rsidRDefault="00CF5EFC" w:rsidP="0077173B">
            <w:pPr>
              <w:spacing w:after="0" w:line="240" w:lineRule="auto"/>
              <w:ind w:left="1560" w:right="-73" w:hanging="1560"/>
              <w:jc w:val="both"/>
              <w:rPr>
                <w:rFonts w:ascii="Bookman Old Style" w:hAnsi="Bookman Old Style"/>
                <w:sz w:val="24"/>
                <w:szCs w:val="24"/>
              </w:rPr>
            </w:pPr>
            <w:r w:rsidRPr="000F4D2C">
              <w:rPr>
                <w:rFonts w:ascii="Bookman Old Style" w:hAnsi="Bookman Old Style"/>
                <w:sz w:val="24"/>
                <w:szCs w:val="24"/>
              </w:rPr>
              <w:t xml:space="preserve">PSA: </w:t>
            </w:r>
            <w:r w:rsidRPr="000F4D2C">
              <w:rPr>
                <w:rFonts w:ascii="Bookman Old Style" w:hAnsi="Bookman Old Style"/>
                <w:sz w:val="24"/>
                <w:szCs w:val="24"/>
              </w:rPr>
              <w:tab/>
              <w:t xml:space="preserve">Porcentaje del </w:t>
            </w:r>
            <m:oMath>
              <m:sSub>
                <m:sSubPr>
                  <m:ctrlPr>
                    <w:rPr>
                      <w:rFonts w:ascii="Cambria Math" w:hAnsi="Cambria Math"/>
                      <w:sz w:val="24"/>
                      <w:szCs w:val="24"/>
                    </w:rPr>
                  </m:ctrlPr>
                </m:sSubPr>
                <m:e>
                  <m:r>
                    <m:rPr>
                      <m:sty m:val="p"/>
                    </m:rPr>
                    <w:rPr>
                      <w:rFonts w:ascii="Cambria Math" w:hAnsi="Cambria Math"/>
                      <w:sz w:val="24"/>
                      <w:szCs w:val="24"/>
                    </w:rPr>
                    <m:t>SA</m:t>
                  </m:r>
                </m:e>
                <m:sub>
                  <m:r>
                    <m:rPr>
                      <m:sty m:val="p"/>
                    </m:rPr>
                    <w:rPr>
                      <w:rFonts w:ascii="Cambria Math" w:hAnsi="Cambria Math"/>
                      <w:sz w:val="24"/>
                      <w:szCs w:val="24"/>
                    </w:rPr>
                    <m:t>PAGN,m</m:t>
                  </m:r>
                </m:sub>
              </m:sSub>
            </m:oMath>
            <w:r w:rsidRPr="000F4D2C">
              <w:rPr>
                <w:rFonts w:ascii="Bookman Old Style" w:hAnsi="Bookman Old Style"/>
                <w:sz w:val="24"/>
                <w:szCs w:val="24"/>
              </w:rPr>
              <w:t>. Se definirá en resolución aparte para cada proyecto PAGN, si es del caso.</w:t>
            </w:r>
          </w:p>
          <w:p w14:paraId="49647F4B" w14:textId="77777777" w:rsidR="0077173B" w:rsidRPr="000F4D2C" w:rsidRDefault="0077173B" w:rsidP="000F4D2C">
            <w:pPr>
              <w:spacing w:after="0" w:line="240" w:lineRule="auto"/>
              <w:ind w:left="1560" w:right="-73" w:hanging="1560"/>
              <w:jc w:val="both"/>
              <w:rPr>
                <w:rFonts w:ascii="Bookman Old Style" w:hAnsi="Bookman Old Style"/>
                <w:sz w:val="24"/>
                <w:szCs w:val="24"/>
              </w:rPr>
            </w:pPr>
          </w:p>
          <w:p w14:paraId="5C3C9AC0" w14:textId="5AA3E5FF" w:rsidR="00CF5EFC" w:rsidRDefault="00B560EE" w:rsidP="0077173B">
            <w:pPr>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SA</m:t>
                  </m:r>
                </m:e>
                <m:sub>
                  <m:r>
                    <m:rPr>
                      <m:sty m:val="p"/>
                    </m:rPr>
                    <w:rPr>
                      <w:rFonts w:ascii="Cambria Math" w:hAnsi="Cambria Math"/>
                      <w:sz w:val="24"/>
                      <w:szCs w:val="24"/>
                    </w:rPr>
                    <m:t>PAGN,m,t</m:t>
                  </m:r>
                </m:sub>
              </m:sSub>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 xml:space="preserve">Ingresos obtenidos por el adjudicatario, asignados al sistema de transporte t, por la prestación de servicios adicionales durante el mes m por el proyecto PAGN.  </w:t>
            </w:r>
          </w:p>
          <w:p w14:paraId="5CBB52DC"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1C099018" w14:textId="5EE2FD44" w:rsidR="00CF5EFC" w:rsidRPr="000F4D2C" w:rsidRDefault="000D6E79" w:rsidP="000F4D2C">
            <w:pPr>
              <w:spacing w:after="0" w:line="240" w:lineRule="auto"/>
              <w:ind w:left="1560" w:hanging="1560"/>
              <w:jc w:val="both"/>
              <w:rPr>
                <w:rFonts w:ascii="Bookman Old Style" w:hAnsi="Bookman Old Style"/>
                <w:sz w:val="24"/>
                <w:szCs w:val="24"/>
              </w:rPr>
            </w:pPr>
            <m:oMath>
              <m:r>
                <m:rPr>
                  <m:sty m:val="p"/>
                </m:rPr>
                <w:rPr>
                  <w:rFonts w:ascii="Cambria Math" w:hAnsi="Cambria Math"/>
                  <w:sz w:val="24"/>
                  <w:szCs w:val="24"/>
                </w:rPr>
                <m:t>m</m:t>
              </m:r>
            </m:oMath>
            <w:r w:rsidR="00CF5EFC" w:rsidRPr="000F4D2C">
              <w:rPr>
                <w:rFonts w:ascii="Bookman Old Style" w:hAnsi="Bookman Old Style"/>
                <w:sz w:val="24"/>
                <w:szCs w:val="24"/>
              </w:rPr>
              <w:t>:</w:t>
            </w:r>
            <w:r w:rsidR="00CF5EFC" w:rsidRPr="000F4D2C">
              <w:rPr>
                <w:rFonts w:ascii="Bookman Old Style" w:hAnsi="Bookman Old Style"/>
                <w:sz w:val="24"/>
                <w:szCs w:val="24"/>
              </w:rPr>
              <w:tab/>
              <w:t>Corresponde al mes calendario en que se realiza la prestación del servicio.</w:t>
            </w:r>
          </w:p>
          <w:p w14:paraId="35E9A21D" w14:textId="77777777" w:rsidR="00CF5EFC" w:rsidRPr="000F4D2C" w:rsidRDefault="00CF5EFC" w:rsidP="000F4D2C">
            <w:pPr>
              <w:spacing w:after="0" w:line="240" w:lineRule="auto"/>
              <w:ind w:left="1560" w:hanging="1560"/>
              <w:jc w:val="both"/>
              <w:rPr>
                <w:rFonts w:ascii="Bookman Old Style" w:hAnsi="Bookman Old Style" w:cs="Arial"/>
                <w:b/>
                <w:spacing w:val="-3"/>
                <w:sz w:val="24"/>
                <w:szCs w:val="24"/>
              </w:rPr>
            </w:pPr>
          </w:p>
        </w:tc>
        <w:tc>
          <w:tcPr>
            <w:tcW w:w="708" w:type="dxa"/>
          </w:tcPr>
          <w:p w14:paraId="5EFD119E" w14:textId="77777777" w:rsidR="00CF5EFC" w:rsidRPr="000F4D2C" w:rsidRDefault="00CF5EFC" w:rsidP="000F4D2C">
            <w:pPr>
              <w:spacing w:after="0" w:line="240" w:lineRule="auto"/>
              <w:jc w:val="center"/>
              <w:rPr>
                <w:rFonts w:ascii="Bookman Old Style" w:hAnsi="Bookman Old Style" w:cs="Arial"/>
                <w:b/>
                <w:spacing w:val="-3"/>
                <w:sz w:val="24"/>
                <w:szCs w:val="24"/>
              </w:rPr>
            </w:pPr>
          </w:p>
          <w:p w14:paraId="2D99C77F" w14:textId="77777777" w:rsidR="00CF5EFC" w:rsidRPr="000F4D2C" w:rsidRDefault="00CF5EFC" w:rsidP="000F4D2C">
            <w:pPr>
              <w:spacing w:after="0" w:line="240" w:lineRule="auto"/>
              <w:rPr>
                <w:rFonts w:ascii="Bookman Old Style" w:hAnsi="Bookman Old Style" w:cs="Arial"/>
                <w:sz w:val="24"/>
                <w:szCs w:val="24"/>
              </w:rPr>
            </w:pPr>
          </w:p>
          <w:p w14:paraId="7F871897" w14:textId="77777777" w:rsidR="00CF5EFC" w:rsidRPr="000F4D2C" w:rsidRDefault="00CF5EFC" w:rsidP="000F4D2C">
            <w:pPr>
              <w:spacing w:after="0" w:line="240" w:lineRule="auto"/>
              <w:rPr>
                <w:rFonts w:ascii="Bookman Old Style" w:hAnsi="Bookman Old Style" w:cs="Arial"/>
                <w:b/>
                <w:spacing w:val="-3"/>
                <w:sz w:val="24"/>
                <w:szCs w:val="24"/>
              </w:rPr>
            </w:pPr>
          </w:p>
          <w:p w14:paraId="7CC767AA" w14:textId="77777777" w:rsidR="00CF5EFC" w:rsidRPr="000F4D2C" w:rsidRDefault="00CF5EFC" w:rsidP="000F4D2C">
            <w:pPr>
              <w:spacing w:after="0" w:line="240" w:lineRule="auto"/>
              <w:rPr>
                <w:rFonts w:ascii="Bookman Old Style" w:hAnsi="Bookman Old Style" w:cs="Arial"/>
                <w:sz w:val="24"/>
                <w:szCs w:val="24"/>
              </w:rPr>
            </w:pPr>
          </w:p>
        </w:tc>
      </w:tr>
    </w:tbl>
    <w:p w14:paraId="37F2F526" w14:textId="77777777" w:rsidR="00CF5EFC" w:rsidRPr="000F4D2C" w:rsidRDefault="00CF5EFC" w:rsidP="0077173B">
      <w:pPr>
        <w:pStyle w:val="Prrafodelista"/>
        <w:numPr>
          <w:ilvl w:val="0"/>
          <w:numId w:val="40"/>
        </w:numPr>
        <w:ind w:left="644" w:hanging="644"/>
        <w:jc w:val="both"/>
        <w:rPr>
          <w:rFonts w:ascii="Bookman Old Style" w:hAnsi="Bookman Old Style" w:cs="Arial"/>
          <w:b/>
          <w:spacing w:val="-3"/>
          <w:sz w:val="24"/>
          <w:szCs w:val="24"/>
        </w:rPr>
      </w:pPr>
      <w:r w:rsidRPr="000F4D2C">
        <w:rPr>
          <w:rFonts w:ascii="Bookman Old Style" w:hAnsi="Bookman Old Style" w:cs="Arial"/>
          <w:b/>
          <w:spacing w:val="-3"/>
          <w:sz w:val="24"/>
          <w:szCs w:val="24"/>
        </w:rPr>
        <w:t xml:space="preserve">Facturación a los beneficiarios por parte del transportador </w:t>
      </w:r>
    </w:p>
    <w:p w14:paraId="7EB37C15" w14:textId="77777777" w:rsidR="00CF5EFC" w:rsidRPr="000F4D2C" w:rsidRDefault="00CF5EFC" w:rsidP="000F4D2C">
      <w:pPr>
        <w:spacing w:after="0" w:line="240" w:lineRule="auto"/>
        <w:jc w:val="both"/>
        <w:rPr>
          <w:rFonts w:ascii="Bookman Old Style" w:hAnsi="Bookman Old Style" w:cs="Arial"/>
          <w:b/>
          <w:spacing w:val="-3"/>
          <w:sz w:val="24"/>
          <w:szCs w:val="24"/>
        </w:rPr>
      </w:pPr>
    </w:p>
    <w:p w14:paraId="46AC2432" w14:textId="77777777" w:rsidR="00CF5EFC" w:rsidRPr="000F4D2C" w:rsidRDefault="00CF5EFC" w:rsidP="000F4D2C">
      <w:pPr>
        <w:tabs>
          <w:tab w:val="left" w:pos="4140"/>
        </w:tabs>
        <w:spacing w:after="0" w:line="240" w:lineRule="auto"/>
        <w:jc w:val="both"/>
        <w:rPr>
          <w:rFonts w:ascii="Bookman Old Style" w:hAnsi="Bookman Old Style" w:cs="Arial"/>
          <w:b/>
          <w:spacing w:val="-3"/>
          <w:sz w:val="24"/>
          <w:szCs w:val="24"/>
        </w:rPr>
      </w:pPr>
      <w:r w:rsidRPr="000F4D2C">
        <w:rPr>
          <w:rFonts w:ascii="Bookman Old Style" w:hAnsi="Bookman Old Style"/>
          <w:sz w:val="24"/>
          <w:szCs w:val="24"/>
          <w:lang w:val="es-ES_tradnl"/>
        </w:rPr>
        <w:t xml:space="preserve">Cada transportador que atiende beneficiarios desarrollará los siguientes cálculos con el fin de facturar el valor que le corresponde recaudar de cada beneficiario del proyecto PAGN en el sistema de transporte que opera: </w:t>
      </w:r>
    </w:p>
    <w:p w14:paraId="54F561A9" w14:textId="77777777" w:rsidR="00CF5EFC" w:rsidRPr="000F4D2C" w:rsidRDefault="00CF5EFC" w:rsidP="000F4D2C">
      <w:pPr>
        <w:tabs>
          <w:tab w:val="left" w:pos="4140"/>
        </w:tabs>
        <w:spacing w:after="0" w:line="240" w:lineRule="auto"/>
        <w:jc w:val="center"/>
        <w:rPr>
          <w:rFonts w:ascii="Bookman Old Style" w:hAnsi="Bookman Old Style"/>
          <w:b/>
          <w:sz w:val="24"/>
          <w:szCs w:val="24"/>
          <w:lang w:val="es-ES_tradnl"/>
        </w:rPr>
      </w:pPr>
    </w:p>
    <w:p w14:paraId="64B085E1" w14:textId="2FFD9A90" w:rsidR="00CF5EFC" w:rsidRPr="000F4D2C" w:rsidRDefault="00B560EE" w:rsidP="000F4D2C">
      <w:pPr>
        <w:tabs>
          <w:tab w:val="left" w:pos="4140"/>
        </w:tabs>
        <w:spacing w:after="0" w:line="240" w:lineRule="auto"/>
        <w:jc w:val="center"/>
        <w:rPr>
          <w:rFonts w:ascii="Bookman Old Style" w:hAnsi="Bookman Old Style"/>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PBaT</m:t>
            </m:r>
          </m:e>
          <m:sub>
            <m:r>
              <m:rPr>
                <m:sty m:val="p"/>
              </m:rPr>
              <w:rPr>
                <w:rFonts w:ascii="Cambria Math" w:hAnsi="Cambria Math"/>
                <w:sz w:val="24"/>
                <w:szCs w:val="24"/>
                <w:lang w:val="es-ES_tradnl"/>
              </w:rPr>
              <m:t xml:space="preserve">PAGN,m+1,t,j </m:t>
            </m:r>
          </m:sub>
        </m:sSub>
      </m:oMath>
      <w:r w:rsidR="00CF5EFC" w:rsidRPr="000F4D2C">
        <w:rPr>
          <w:rFonts w:ascii="Bookman Old Style" w:hAnsi="Bookman Old Style"/>
          <w:sz w:val="24"/>
          <w:szCs w:val="24"/>
          <w:lang w:val="es-ES_tradnl"/>
        </w:rPr>
        <w:t xml:space="preserve">= </w:t>
      </w:r>
      <m:oMath>
        <m:d>
          <m:dPr>
            <m:begChr m:val="["/>
            <m:endChr m:val="]"/>
            <m:ctrlPr>
              <w:rPr>
                <w:rFonts w:ascii="Cambria Math" w:hAnsi="Cambria Math"/>
                <w:sz w:val="24"/>
                <w:szCs w:val="24"/>
                <w:lang w:val="es-ES_tradnl"/>
              </w:rPr>
            </m:ctrlPr>
          </m:dPr>
          <m:e>
            <m:sSub>
              <m:sSubPr>
                <m:ctrlPr>
                  <w:rPr>
                    <w:rFonts w:ascii="Cambria Math" w:hAnsi="Cambria Math"/>
                    <w:sz w:val="24"/>
                    <w:szCs w:val="24"/>
                    <w:lang w:val="es-ES_tradnl"/>
                  </w:rPr>
                </m:ctrlPr>
              </m:sSubPr>
              <m:e>
                <m:r>
                  <m:rPr>
                    <m:sty m:val="p"/>
                  </m:rPr>
                  <w:rPr>
                    <w:rFonts w:ascii="Cambria Math" w:hAnsi="Cambria Math"/>
                    <w:sz w:val="24"/>
                    <w:szCs w:val="24"/>
                    <w:lang w:val="es-ES_tradnl"/>
                  </w:rPr>
                  <m:t>PS</m:t>
                </m:r>
              </m:e>
              <m:sub>
                <m:r>
                  <m:rPr>
                    <m:sty m:val="p"/>
                  </m:rPr>
                  <w:rPr>
                    <w:rFonts w:ascii="Cambria Math" w:hAnsi="Cambria Math"/>
                    <w:sz w:val="24"/>
                    <w:szCs w:val="24"/>
                    <w:lang w:val="es-ES_tradnl"/>
                  </w:rPr>
                  <m:t>PAGN,m,t,j</m:t>
                </m:r>
              </m:sub>
            </m:sSub>
            <m:r>
              <m:rPr>
                <m:sty m:val="p"/>
              </m:rPr>
              <w:rPr>
                <w:rFonts w:ascii="Cambria Math" w:hAnsi="Cambria Math"/>
                <w:sz w:val="24"/>
                <w:szCs w:val="24"/>
                <w:lang w:val="es-ES_tradnl"/>
              </w:rPr>
              <m:t xml:space="preserve">× </m:t>
            </m:r>
            <m:d>
              <m:dPr>
                <m:ctrlPr>
                  <w:rPr>
                    <w:rFonts w:ascii="Cambria Math" w:hAnsi="Cambria Math"/>
                    <w:sz w:val="24"/>
                    <w:szCs w:val="24"/>
                    <w:lang w:val="es-ES_tradnl"/>
                  </w:rPr>
                </m:ctrlPr>
              </m:dPr>
              <m:e>
                <m:r>
                  <m:rPr>
                    <m:sty m:val="p"/>
                  </m:rPr>
                  <w:rPr>
                    <w:rFonts w:ascii="Cambria Math" w:hAnsi="Cambria Math"/>
                    <w:sz w:val="24"/>
                    <w:szCs w:val="24"/>
                    <w:lang w:val="es-ES_tradnl"/>
                  </w:rPr>
                  <m:t>1+RC</m:t>
                </m:r>
              </m:e>
            </m:d>
          </m:e>
        </m:d>
        <m:r>
          <m:rPr>
            <m:sty m:val="p"/>
          </m:rPr>
          <w:rPr>
            <w:rFonts w:ascii="Cambria Math" w:hAnsi="Cambria Math"/>
            <w:sz w:val="24"/>
            <w:szCs w:val="24"/>
            <w:lang w:val="es-ES_tradnl"/>
          </w:rPr>
          <m:t>+</m:t>
        </m:r>
        <m:r>
          <m:rPr>
            <m:sty m:val="p"/>
          </m:rPr>
          <w:rPr>
            <w:rFonts w:ascii="Cambria Math" w:hAnsi="Cambria Math"/>
            <w:sz w:val="24"/>
            <w:szCs w:val="24"/>
          </w:rPr>
          <m:t xml:space="preserve"> </m:t>
        </m:r>
        <m:sSub>
          <m:sSubPr>
            <m:ctrlPr>
              <w:rPr>
                <w:rFonts w:ascii="Cambria Math" w:hAnsi="Cambria Math"/>
                <w:sz w:val="24"/>
                <w:szCs w:val="24"/>
              </w:rPr>
            </m:ctrlPr>
          </m:sSubPr>
          <m:e>
            <m:r>
              <m:rPr>
                <m:sty m:val="p"/>
              </m:rPr>
              <w:rPr>
                <w:rFonts w:ascii="Cambria Math" w:hAnsi="Cambria Math"/>
                <w:sz w:val="24"/>
                <w:szCs w:val="24"/>
              </w:rPr>
              <m:t>CT</m:t>
            </m:r>
          </m:e>
          <m:sub>
            <m:r>
              <m:rPr>
                <m:sty m:val="p"/>
              </m:rPr>
              <w:rPr>
                <w:rFonts w:ascii="Cambria Math" w:hAnsi="Cambria Math"/>
                <w:sz w:val="24"/>
                <w:szCs w:val="24"/>
              </w:rPr>
              <m:t>m+1,t,j</m:t>
            </m:r>
          </m:sub>
        </m:sSub>
      </m:oMath>
      <w:r w:rsidR="00CF5EFC" w:rsidRPr="000F4D2C">
        <w:rPr>
          <w:rFonts w:ascii="Cambria Math" w:hAnsi="Cambria Math" w:cs="Cambria Math"/>
          <w:sz w:val="24"/>
          <w:szCs w:val="24"/>
          <w:lang w:val="es-ES_tradnl"/>
        </w:rPr>
        <w:t xml:space="preserve"> </w:t>
      </w:r>
    </w:p>
    <w:p w14:paraId="759CC284" w14:textId="77777777" w:rsidR="0077173B" w:rsidRDefault="0077173B" w:rsidP="0077173B">
      <w:pPr>
        <w:tabs>
          <w:tab w:val="left" w:pos="4140"/>
        </w:tabs>
        <w:spacing w:after="0" w:line="240" w:lineRule="auto"/>
        <w:jc w:val="both"/>
        <w:rPr>
          <w:rFonts w:ascii="Bookman Old Style" w:hAnsi="Bookman Old Style" w:cs="Cambria Math"/>
          <w:sz w:val="24"/>
          <w:szCs w:val="24"/>
          <w:lang w:val="es-ES_tradnl"/>
        </w:rPr>
      </w:pPr>
    </w:p>
    <w:p w14:paraId="0508E3A4" w14:textId="601D927D" w:rsidR="00CF5EFC" w:rsidRDefault="00CF5EFC" w:rsidP="0077173B">
      <w:pPr>
        <w:tabs>
          <w:tab w:val="left" w:pos="4140"/>
        </w:tabs>
        <w:spacing w:after="0" w:line="240" w:lineRule="auto"/>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Donde:</w:t>
      </w:r>
    </w:p>
    <w:p w14:paraId="6989B188" w14:textId="77777777" w:rsidR="0077173B" w:rsidRPr="000F4D2C" w:rsidRDefault="0077173B" w:rsidP="000F4D2C">
      <w:pPr>
        <w:tabs>
          <w:tab w:val="left" w:pos="4140"/>
        </w:tabs>
        <w:spacing w:after="0" w:line="240" w:lineRule="auto"/>
        <w:jc w:val="both"/>
        <w:rPr>
          <w:rFonts w:ascii="Bookman Old Style" w:hAnsi="Bookman Old Style" w:cs="Cambria Math"/>
          <w:sz w:val="24"/>
          <w:szCs w:val="24"/>
          <w:lang w:val="es-ES_tradnl"/>
        </w:rPr>
      </w:pPr>
    </w:p>
    <w:p w14:paraId="6E6C1DD8" w14:textId="77777777" w:rsidR="0077173B" w:rsidRDefault="00B560EE" w:rsidP="0077173B">
      <w:pPr>
        <w:tabs>
          <w:tab w:val="left" w:pos="4140"/>
        </w:tabs>
        <w:spacing w:after="0" w:line="240" w:lineRule="auto"/>
        <w:ind w:left="1843" w:hanging="1843"/>
        <w:jc w:val="both"/>
        <w:rPr>
          <w:rFonts w:ascii="Bookman Old Style" w:hAnsi="Bookman Old Style" w:cs="Cambria Math"/>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PBaT</m:t>
            </m:r>
          </m:e>
          <m:sub>
            <m:r>
              <m:rPr>
                <m:sty m:val="p"/>
              </m:rPr>
              <w:rPr>
                <w:rFonts w:ascii="Cambria Math" w:hAnsi="Cambria Math"/>
                <w:sz w:val="24"/>
                <w:szCs w:val="24"/>
                <w:lang w:val="es-ES_tradnl"/>
              </w:rPr>
              <m:t>PAGN,m+1,t,j</m:t>
            </m:r>
          </m:sub>
        </m:sSub>
      </m:oMath>
      <w:r w:rsidR="00CF5EFC" w:rsidRPr="000F4D2C">
        <w:rPr>
          <w:rFonts w:ascii="Cambria Math" w:hAnsi="Cambria Math" w:cs="Cambria Math"/>
          <w:sz w:val="24"/>
          <w:szCs w:val="24"/>
          <w:lang w:val="es-ES_tradnl"/>
        </w:rPr>
        <w:t>:</w:t>
      </w:r>
      <w:r w:rsidR="00CF5EFC" w:rsidRPr="000F4D2C">
        <w:rPr>
          <w:rFonts w:ascii="Cambria Math" w:hAnsi="Cambria Math" w:cs="Cambria Math"/>
          <w:sz w:val="24"/>
          <w:szCs w:val="24"/>
          <w:vertAlign w:val="subscript"/>
          <w:lang w:val="es-ES_tradnl"/>
        </w:rPr>
        <w:t xml:space="preserve"> </w:t>
      </w:r>
      <w:r w:rsidR="00CF5EFC" w:rsidRPr="000F4D2C">
        <w:rPr>
          <w:rFonts w:ascii="Bookman Old Style" w:hAnsi="Bookman Old Style" w:cs="Cambria Math"/>
          <w:sz w:val="24"/>
          <w:szCs w:val="24"/>
          <w:lang w:val="es-ES_tradnl"/>
        </w:rPr>
        <w:t>Valor a facturar</w:t>
      </w:r>
      <w:r w:rsidR="00CF5EFC" w:rsidRPr="000F4D2C">
        <w:rPr>
          <w:rFonts w:ascii="Bookman Old Style" w:hAnsi="Bookman Old Style"/>
          <w:sz w:val="24"/>
          <w:szCs w:val="24"/>
        </w:rPr>
        <w:t xml:space="preserve"> </w:t>
      </w:r>
      <w:r w:rsidR="00CF5EFC" w:rsidRPr="000F4D2C">
        <w:rPr>
          <w:rFonts w:ascii="Bookman Old Style" w:hAnsi="Bookman Old Style" w:cs="Cambria Math"/>
          <w:sz w:val="24"/>
          <w:szCs w:val="24"/>
          <w:lang w:val="es-ES_tradnl"/>
        </w:rPr>
        <w:t xml:space="preserve">al beneficiario j, en el sistema de transporte t, en el mes </w:t>
      </w:r>
      <w:r w:rsidR="00CF5EFC" w:rsidRPr="000F4D2C">
        <w:rPr>
          <w:rFonts w:ascii="Cambria Math" w:hAnsi="Cambria Math" w:cs="Cambria Math"/>
          <w:sz w:val="24"/>
          <w:szCs w:val="24"/>
          <w:lang w:val="es-ES_tradnl"/>
        </w:rPr>
        <w:t>𝑚+1,</w:t>
      </w:r>
      <w:r w:rsidR="00CF5EFC" w:rsidRPr="000F4D2C">
        <w:rPr>
          <w:rFonts w:ascii="Bookman Old Style" w:hAnsi="Bookman Old Style" w:cs="Cambria Math"/>
          <w:sz w:val="24"/>
          <w:szCs w:val="24"/>
          <w:lang w:val="es-ES_tradnl"/>
        </w:rPr>
        <w:t xml:space="preserve"> por el servicio prestado por confiabilidad en el mes m por el proyecto PAGN y por los servicios comerciales prestados por el transportador del sistema de transporte t en el mes m+1.</w:t>
      </w:r>
    </w:p>
    <w:p w14:paraId="4111C998" w14:textId="46B6D091" w:rsidR="00CF5EFC" w:rsidRPr="000F4D2C" w:rsidRDefault="00CF5EFC" w:rsidP="000F4D2C">
      <w:pPr>
        <w:tabs>
          <w:tab w:val="left" w:pos="4140"/>
        </w:tabs>
        <w:spacing w:after="0" w:line="240" w:lineRule="auto"/>
        <w:ind w:left="1843" w:hanging="1843"/>
        <w:jc w:val="both"/>
        <w:rPr>
          <w:rFonts w:ascii="Cambria Math" w:hAnsi="Cambria Math" w:cs="Cambria Math"/>
          <w:sz w:val="24"/>
          <w:szCs w:val="24"/>
          <w:vertAlign w:val="subscript"/>
          <w:lang w:val="es-ES_tradnl"/>
        </w:rPr>
      </w:pPr>
      <w:r w:rsidRPr="000F4D2C">
        <w:rPr>
          <w:rFonts w:ascii="Bookman Old Style" w:hAnsi="Bookman Old Style" w:cs="Cambria Math"/>
          <w:sz w:val="24"/>
          <w:szCs w:val="24"/>
          <w:lang w:val="es-ES_tradnl"/>
        </w:rPr>
        <w:t xml:space="preserve"> </w:t>
      </w:r>
    </w:p>
    <w:p w14:paraId="626F9CD7" w14:textId="751F0165" w:rsidR="00CF5EFC" w:rsidRDefault="00B560EE" w:rsidP="0077173B">
      <w:pPr>
        <w:tabs>
          <w:tab w:val="left" w:pos="4140"/>
        </w:tabs>
        <w:spacing w:after="0" w:line="240" w:lineRule="auto"/>
        <w:ind w:left="1843" w:hanging="1843"/>
        <w:jc w:val="both"/>
        <w:rPr>
          <w:rFonts w:ascii="Bookman Old Style" w:hAnsi="Bookman Old Style"/>
          <w:sz w:val="24"/>
          <w:szCs w:val="24"/>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PS</m:t>
            </m:r>
          </m:e>
          <m:sub>
            <m:r>
              <m:rPr>
                <m:sty m:val="p"/>
              </m:rPr>
              <w:rPr>
                <w:rFonts w:ascii="Cambria Math" w:hAnsi="Cambria Math"/>
                <w:sz w:val="24"/>
                <w:szCs w:val="24"/>
                <w:lang w:val="es-ES_tradnl"/>
              </w:rPr>
              <m:t>sPAG,m,t,j</m:t>
            </m:r>
          </m:sub>
        </m:sSub>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 xml:space="preserve">Valor a facturar al beneficiario j en el sistema de transporte t, por el servicio prestado por confiabilidad en el mes m por el proyecto PAGN. </w:t>
      </w:r>
    </w:p>
    <w:p w14:paraId="418581C4" w14:textId="77777777" w:rsidR="0077173B" w:rsidRPr="000F4D2C" w:rsidRDefault="0077173B" w:rsidP="000F4D2C">
      <w:pPr>
        <w:tabs>
          <w:tab w:val="left" w:pos="4140"/>
        </w:tabs>
        <w:spacing w:after="0" w:line="240" w:lineRule="auto"/>
        <w:ind w:left="1843" w:hanging="1843"/>
        <w:jc w:val="both"/>
        <w:rPr>
          <w:rFonts w:ascii="Bookman Old Style" w:hAnsi="Bookman Old Style"/>
          <w:sz w:val="24"/>
          <w:szCs w:val="24"/>
        </w:rPr>
      </w:pPr>
    </w:p>
    <w:p w14:paraId="6EE0CF07" w14:textId="362B00EE" w:rsidR="00CF5EFC" w:rsidRDefault="000D6E79" w:rsidP="0077173B">
      <w:pPr>
        <w:tabs>
          <w:tab w:val="left" w:pos="4140"/>
        </w:tabs>
        <w:spacing w:after="0" w:line="240" w:lineRule="auto"/>
        <w:ind w:left="1843" w:hanging="1843"/>
        <w:jc w:val="both"/>
        <w:rPr>
          <w:rFonts w:ascii="Bookman Old Style" w:hAnsi="Bookman Old Style"/>
          <w:sz w:val="24"/>
          <w:szCs w:val="24"/>
        </w:rPr>
      </w:pPr>
      <m:oMath>
        <m:r>
          <m:rPr>
            <m:sty m:val="p"/>
          </m:rPr>
          <w:rPr>
            <w:rFonts w:ascii="Cambria Math" w:hAnsi="Cambria Math"/>
            <w:sz w:val="24"/>
            <w:szCs w:val="24"/>
          </w:rPr>
          <m:t>PAGN</m:t>
        </m:r>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Cada uno de los proyectos del Plan de Abastecimiento de Gas Natural.</w:t>
      </w:r>
    </w:p>
    <w:p w14:paraId="2ACF8281" w14:textId="77777777" w:rsidR="0077173B" w:rsidRPr="000F4D2C" w:rsidRDefault="0077173B" w:rsidP="000F4D2C">
      <w:pPr>
        <w:tabs>
          <w:tab w:val="left" w:pos="4140"/>
        </w:tabs>
        <w:spacing w:after="0" w:line="240" w:lineRule="auto"/>
        <w:ind w:left="1843" w:hanging="1843"/>
        <w:jc w:val="both"/>
        <w:rPr>
          <w:rFonts w:ascii="Cambria Math" w:hAnsi="Cambria Math" w:cs="Cambria Math"/>
          <w:sz w:val="24"/>
          <w:szCs w:val="24"/>
          <w:vertAlign w:val="subscript"/>
          <w:lang w:val="es-ES_tradnl"/>
        </w:rPr>
      </w:pPr>
    </w:p>
    <w:p w14:paraId="4173211A" w14:textId="5A0BB4C5" w:rsidR="00CF5EFC" w:rsidRDefault="00CF5EFC" w:rsidP="0077173B">
      <w:pPr>
        <w:tabs>
          <w:tab w:val="left" w:pos="4140"/>
        </w:tabs>
        <w:spacing w:after="0" w:line="240" w:lineRule="auto"/>
        <w:ind w:left="1843" w:hanging="1843"/>
        <w:jc w:val="both"/>
        <w:rPr>
          <w:rFonts w:ascii="Bookman Old Style" w:hAnsi="Bookman Old Style" w:cs="Cambria Math"/>
          <w:sz w:val="24"/>
          <w:szCs w:val="24"/>
          <w:lang w:val="es-ES_tradnl"/>
        </w:rPr>
      </w:pPr>
      <w:r w:rsidRPr="000F4D2C">
        <w:rPr>
          <w:rFonts w:ascii="Cambria Math" w:hAnsi="Cambria Math" w:cs="Cambria Math"/>
          <w:sz w:val="24"/>
          <w:szCs w:val="24"/>
          <w:lang w:val="es-ES_tradnl"/>
        </w:rPr>
        <w:t xml:space="preserve">RC: </w:t>
      </w:r>
      <w:r w:rsidRPr="000F4D2C">
        <w:rPr>
          <w:rFonts w:ascii="Cambria Math" w:hAnsi="Cambria Math" w:cs="Cambria Math"/>
          <w:sz w:val="24"/>
          <w:szCs w:val="24"/>
          <w:lang w:val="es-ES_tradnl"/>
        </w:rPr>
        <w:tab/>
      </w:r>
      <w:r w:rsidRPr="000F4D2C">
        <w:rPr>
          <w:rFonts w:ascii="Bookman Old Style" w:hAnsi="Bookman Old Style" w:cs="Cambria Math"/>
          <w:sz w:val="24"/>
          <w:szCs w:val="24"/>
          <w:lang w:val="es-ES_tradnl"/>
        </w:rPr>
        <w:t>Riesgo de cartera que asume el transportador que recauda los valores facturados a los beneficiarios. Su valor es de 0.071%.</w:t>
      </w:r>
    </w:p>
    <w:p w14:paraId="0E22DEE8" w14:textId="2DC523B0" w:rsidR="0077173B" w:rsidRDefault="0077173B" w:rsidP="0077173B">
      <w:pPr>
        <w:tabs>
          <w:tab w:val="left" w:pos="4140"/>
        </w:tabs>
        <w:spacing w:after="0" w:line="240" w:lineRule="auto"/>
        <w:ind w:left="1843" w:hanging="1843"/>
        <w:jc w:val="both"/>
        <w:rPr>
          <w:rFonts w:ascii="Bookman Old Style" w:hAnsi="Bookman Old Style" w:cs="Cambria Math"/>
          <w:sz w:val="24"/>
          <w:szCs w:val="24"/>
          <w:lang w:val="es-ES_tradnl"/>
        </w:rPr>
      </w:pPr>
    </w:p>
    <w:p w14:paraId="78C9A919" w14:textId="5640D7A0" w:rsidR="00CF5EFC" w:rsidRDefault="00B560EE" w:rsidP="0077173B">
      <w:pPr>
        <w:tabs>
          <w:tab w:val="left" w:pos="4140"/>
        </w:tabs>
        <w:spacing w:after="0" w:line="240" w:lineRule="auto"/>
        <w:ind w:left="1843" w:hanging="1843"/>
        <w:jc w:val="both"/>
        <w:rPr>
          <w:rFonts w:ascii="Cambria Math" w:hAnsi="Cambria Math" w:cs="Cambria Math"/>
          <w:sz w:val="24"/>
          <w:szCs w:val="24"/>
        </w:rPr>
      </w:pPr>
      <m:oMath>
        <m:sSub>
          <m:sSubPr>
            <m:ctrlPr>
              <w:rPr>
                <w:rFonts w:ascii="Cambria Math" w:hAnsi="Cambria Math"/>
                <w:sz w:val="24"/>
                <w:szCs w:val="24"/>
              </w:rPr>
            </m:ctrlPr>
          </m:sSubPr>
          <m:e>
            <m:r>
              <m:rPr>
                <m:sty m:val="p"/>
              </m:rPr>
              <w:rPr>
                <w:rFonts w:ascii="Cambria Math" w:hAnsi="Cambria Math"/>
                <w:sz w:val="24"/>
                <w:szCs w:val="24"/>
              </w:rPr>
              <m:t>CT</m:t>
            </m:r>
          </m:e>
          <m:sub>
            <m:r>
              <m:rPr>
                <m:sty m:val="p"/>
              </m:rPr>
              <w:rPr>
                <w:rFonts w:ascii="Cambria Math" w:hAnsi="Cambria Math"/>
                <w:sz w:val="24"/>
                <w:szCs w:val="24"/>
              </w:rPr>
              <m:t>m+1,t,j</m:t>
            </m:r>
          </m:sub>
        </m:sSub>
      </m:oMath>
      <w:r w:rsidR="00CF5EFC" w:rsidRPr="000F4D2C">
        <w:rPr>
          <w:rFonts w:ascii="Bookman Old Style" w:hAnsi="Bookman Old Style" w:cs="Cambria Math"/>
          <w:sz w:val="24"/>
          <w:szCs w:val="24"/>
        </w:rPr>
        <w:t>:</w:t>
      </w:r>
      <w:r w:rsidR="00CF5EFC" w:rsidRPr="000F4D2C">
        <w:rPr>
          <w:rFonts w:ascii="Bookman Old Style" w:hAnsi="Bookman Old Style" w:cs="Cambria Math"/>
          <w:sz w:val="24"/>
          <w:szCs w:val="24"/>
        </w:rPr>
        <w:tab/>
        <w:t xml:space="preserve">Fracción del costo total mensual aprobado por la CREG, a pagar por el beneficiario </w:t>
      </w:r>
      <w:r w:rsidR="00CF5EFC" w:rsidRPr="000F4D2C">
        <w:rPr>
          <w:rFonts w:ascii="Cambria Math" w:hAnsi="Cambria Math" w:cs="Cambria Math"/>
          <w:sz w:val="24"/>
          <w:szCs w:val="24"/>
        </w:rPr>
        <w:t>𝑗</w:t>
      </w:r>
      <w:r w:rsidR="00CF5EFC" w:rsidRPr="000F4D2C">
        <w:rPr>
          <w:rFonts w:ascii="Bookman Old Style" w:hAnsi="Bookman Old Style" w:cs="Cambria Math"/>
          <w:sz w:val="24"/>
          <w:szCs w:val="24"/>
        </w:rPr>
        <w:t>, que remunera los servicios comerciales prestados por el transportador del sistema de transporte t en el mes m+1</w:t>
      </w:r>
      <w:r w:rsidR="00CF5EFC" w:rsidRPr="000F4D2C">
        <w:rPr>
          <w:rFonts w:ascii="Cambria Math" w:hAnsi="Cambria Math" w:cs="Cambria Math"/>
          <w:sz w:val="24"/>
          <w:szCs w:val="24"/>
        </w:rPr>
        <w:t>,</w:t>
      </w:r>
      <w:r w:rsidR="00CF5EFC" w:rsidRPr="000F4D2C">
        <w:rPr>
          <w:rFonts w:ascii="Bookman Old Style" w:hAnsi="Bookman Old Style" w:cs="Cambria Math"/>
          <w:sz w:val="24"/>
          <w:szCs w:val="24"/>
        </w:rPr>
        <w:t xml:space="preserve"> relacionados con la liquidación, facturación, recaudo y transferencia al adjudicatario del</w:t>
      </w:r>
      <w:r w:rsidR="00CF5EFC" w:rsidRPr="000F4D2C">
        <w:rPr>
          <w:rFonts w:ascii="Bookman Old Style" w:hAnsi="Bookman Old Style" w:cs="Cambria Math"/>
          <w:sz w:val="24"/>
          <w:szCs w:val="24"/>
          <w:lang w:val="es-ES_tradnl"/>
        </w:rPr>
        <w:t xml:space="preserve"> proyecto PAGN</w:t>
      </w:r>
      <w:r w:rsidR="00CF5EFC" w:rsidRPr="000F4D2C">
        <w:rPr>
          <w:rFonts w:ascii="Cambria Math" w:hAnsi="Cambria Math" w:cs="Cambria Math"/>
          <w:sz w:val="24"/>
          <w:szCs w:val="24"/>
        </w:rPr>
        <w:t xml:space="preserve">. </w:t>
      </w:r>
    </w:p>
    <w:p w14:paraId="109CFB41" w14:textId="77777777" w:rsidR="0077173B" w:rsidRPr="000F4D2C" w:rsidRDefault="0077173B" w:rsidP="000F4D2C">
      <w:pPr>
        <w:tabs>
          <w:tab w:val="left" w:pos="4140"/>
        </w:tabs>
        <w:spacing w:after="0" w:line="240" w:lineRule="auto"/>
        <w:ind w:left="1843" w:hanging="1843"/>
        <w:jc w:val="both"/>
        <w:rPr>
          <w:rFonts w:ascii="Cambria Math" w:hAnsi="Cambria Math" w:cs="Cambria Math"/>
          <w:sz w:val="24"/>
          <w:szCs w:val="24"/>
        </w:rPr>
      </w:pPr>
    </w:p>
    <w:p w14:paraId="6B692F4C" w14:textId="77777777" w:rsidR="00CF5EFC" w:rsidRPr="000F4D2C" w:rsidRDefault="00CF5EFC" w:rsidP="000F4D2C">
      <w:pPr>
        <w:tabs>
          <w:tab w:val="left" w:pos="4140"/>
        </w:tabs>
        <w:spacing w:after="0" w:line="240" w:lineRule="auto"/>
        <w:ind w:left="1843" w:hanging="1843"/>
        <w:jc w:val="both"/>
        <w:rPr>
          <w:rFonts w:ascii="Bookman Old Style" w:hAnsi="Bookman Old Style" w:cs="Cambria Math"/>
          <w:sz w:val="24"/>
          <w:szCs w:val="24"/>
          <w:lang w:val="es-ES_tradnl"/>
        </w:rPr>
      </w:pPr>
      <w:r w:rsidRPr="000F4D2C">
        <w:rPr>
          <w:rFonts w:ascii="Cambria Math" w:hAnsi="Cambria Math" w:cs="Cambria Math"/>
          <w:sz w:val="24"/>
          <w:szCs w:val="24"/>
          <w:lang w:val="es-ES_tradnl"/>
        </w:rPr>
        <w:t xml:space="preserve">m: </w:t>
      </w:r>
      <w:r w:rsidRPr="000F4D2C">
        <w:rPr>
          <w:rFonts w:ascii="Cambria Math" w:hAnsi="Cambria Math" w:cs="Cambria Math"/>
          <w:sz w:val="24"/>
          <w:szCs w:val="24"/>
          <w:lang w:val="es-ES_tradnl"/>
        </w:rPr>
        <w:tab/>
      </w:r>
      <w:r w:rsidRPr="000F4D2C">
        <w:rPr>
          <w:rFonts w:ascii="Bookman Old Style" w:hAnsi="Bookman Old Style" w:cs="Cambria Math"/>
          <w:sz w:val="24"/>
          <w:szCs w:val="24"/>
          <w:lang w:val="es-ES_tradnl"/>
        </w:rPr>
        <w:t>Mes de prestación del servicio del proyecto PAGN.</w:t>
      </w:r>
    </w:p>
    <w:p w14:paraId="6982F609" w14:textId="77777777" w:rsidR="0077173B" w:rsidRDefault="0077173B" w:rsidP="0077173B">
      <w:pPr>
        <w:tabs>
          <w:tab w:val="left" w:pos="4140"/>
        </w:tabs>
        <w:spacing w:after="0" w:line="240" w:lineRule="auto"/>
        <w:ind w:left="1560" w:hanging="1560"/>
        <w:jc w:val="both"/>
        <w:rPr>
          <w:rFonts w:ascii="Bookman Old Style" w:hAnsi="Bookman Old Style" w:cs="Cambria Math"/>
          <w:sz w:val="24"/>
          <w:szCs w:val="24"/>
          <w:lang w:val="es-ES_tradnl"/>
        </w:rPr>
      </w:pPr>
    </w:p>
    <w:p w14:paraId="3D486355" w14:textId="21A59CF4" w:rsidR="00CF5EFC" w:rsidRPr="000F4D2C" w:rsidRDefault="00CF5EFC" w:rsidP="000F4D2C">
      <w:pPr>
        <w:tabs>
          <w:tab w:val="left" w:pos="4140"/>
        </w:tabs>
        <w:spacing w:after="0" w:line="240" w:lineRule="auto"/>
        <w:ind w:left="1560" w:hanging="1560"/>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Con:</w:t>
      </w:r>
    </w:p>
    <w:p w14:paraId="1D177CF0" w14:textId="08279449" w:rsidR="00CF5EFC" w:rsidRPr="000F4D2C" w:rsidRDefault="00B560EE" w:rsidP="000F4D2C">
      <w:pPr>
        <w:tabs>
          <w:tab w:val="left" w:pos="4140"/>
        </w:tabs>
        <w:spacing w:after="0" w:line="240" w:lineRule="auto"/>
        <w:jc w:val="both"/>
        <w:rPr>
          <w:rFonts w:ascii="Bookman Old Style" w:hAnsi="Bookman Old Style" w:cs="Cambria Math"/>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PS</m:t>
              </m:r>
            </m:e>
            <m:sub>
              <m:r>
                <m:rPr>
                  <m:sty m:val="p"/>
                </m:rPr>
                <w:rPr>
                  <w:rFonts w:ascii="Cambria Math" w:hAnsi="Cambria Math"/>
                  <w:sz w:val="24"/>
                  <w:szCs w:val="24"/>
                  <w:lang w:val="es-ES_tradnl"/>
                </w:rPr>
                <m:t>PAGN,m+1,t,j</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PN</m:t>
              </m:r>
            </m:e>
            <m:sub>
              <m:r>
                <m:rPr>
                  <m:sty m:val="p"/>
                </m:rPr>
                <w:rPr>
                  <w:rFonts w:ascii="Cambria Math" w:hAnsi="Cambria Math"/>
                  <w:sz w:val="24"/>
                  <w:szCs w:val="24"/>
                  <w:lang w:val="es-ES_tradnl"/>
                </w:rPr>
                <m:t>PAGN,m+1,t,j</m:t>
              </m:r>
            </m:sub>
          </m:sSub>
          <m:r>
            <m:rPr>
              <m:sty m:val="p"/>
            </m:rPr>
            <w:rPr>
              <w:rFonts w:ascii="Cambria Math" w:hAnsi="Cambria Math"/>
              <w:sz w:val="24"/>
              <w:szCs w:val="24"/>
              <w:lang w:val="es-ES_tradnl"/>
            </w:rPr>
            <m:t xml:space="preserve">+ </m:t>
          </m:r>
          <m:nary>
            <m:naryPr>
              <m:chr m:val="∑"/>
              <m:limLoc m:val="undOvr"/>
              <m:ctrlPr>
                <w:rPr>
                  <w:rFonts w:ascii="Cambria Math" w:hAnsi="Cambria Math"/>
                  <w:sz w:val="24"/>
                  <w:szCs w:val="24"/>
                  <w:lang w:val="es-ES_tradnl"/>
                </w:rPr>
              </m:ctrlPr>
            </m:naryPr>
            <m:sub>
              <m:r>
                <m:rPr>
                  <m:sty m:val="p"/>
                </m:rPr>
                <w:rPr>
                  <w:rFonts w:ascii="Cambria Math" w:hAnsi="Cambria Math"/>
                  <w:sz w:val="24"/>
                  <w:szCs w:val="24"/>
                  <w:lang w:val="es-ES_tradnl"/>
                </w:rPr>
                <m:t>p=1</m:t>
              </m:r>
            </m:sub>
            <m:sup>
              <m:r>
                <m:rPr>
                  <m:sty m:val="p"/>
                </m:rPr>
                <w:rPr>
                  <w:rFonts w:ascii="Cambria Math" w:hAnsi="Cambria Math"/>
                  <w:sz w:val="24"/>
                  <w:szCs w:val="24"/>
                  <w:lang w:val="es-ES_tradnl"/>
                </w:rPr>
                <m:t>P</m:t>
              </m:r>
            </m:sup>
            <m:e>
              <m:sSub>
                <m:sSubPr>
                  <m:ctrlPr>
                    <w:rPr>
                      <w:rFonts w:ascii="Cambria Math" w:hAnsi="Cambria Math"/>
                      <w:sz w:val="24"/>
                      <w:szCs w:val="24"/>
                      <w:lang w:val="es-ES_tradnl"/>
                    </w:rPr>
                  </m:ctrlPr>
                </m:sSubPr>
                <m:e>
                  <m:r>
                    <m:rPr>
                      <m:sty m:val="p"/>
                    </m:rPr>
                    <w:rPr>
                      <w:rFonts w:ascii="Cambria Math" w:hAnsi="Cambria Math"/>
                      <w:sz w:val="24"/>
                      <w:szCs w:val="24"/>
                      <w:lang w:val="es-ES_tradnl"/>
                    </w:rPr>
                    <m:t>IMP</m:t>
                  </m:r>
                </m:e>
                <m:sub>
                  <m:r>
                    <m:rPr>
                      <m:sty m:val="p"/>
                    </m:rPr>
                    <w:rPr>
                      <w:rFonts w:ascii="Cambria Math" w:hAnsi="Cambria Math"/>
                      <w:sz w:val="24"/>
                      <w:szCs w:val="24"/>
                      <w:lang w:val="es-ES_tradnl"/>
                    </w:rPr>
                    <m:t>PAGN,m+1,t,p,j</m:t>
                  </m:r>
                </m:sub>
              </m:sSub>
            </m:e>
          </m:nary>
        </m:oMath>
      </m:oMathPara>
    </w:p>
    <w:p w14:paraId="2920BA7C" w14:textId="77777777" w:rsidR="00CF5EFC" w:rsidRPr="000F4D2C" w:rsidRDefault="00CF5EFC" w:rsidP="000F4D2C">
      <w:pPr>
        <w:tabs>
          <w:tab w:val="left" w:pos="4140"/>
        </w:tabs>
        <w:spacing w:after="0" w:line="240" w:lineRule="auto"/>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Y:</w:t>
      </w:r>
    </w:p>
    <w:p w14:paraId="679F02D5" w14:textId="5C6C83F7" w:rsidR="00CF5EFC" w:rsidRPr="000F4D2C" w:rsidRDefault="00B560EE" w:rsidP="000F4D2C">
      <w:pPr>
        <w:tabs>
          <w:tab w:val="left" w:pos="4140"/>
        </w:tabs>
        <w:spacing w:after="0" w:line="240" w:lineRule="auto"/>
        <w:jc w:val="both"/>
        <w:rPr>
          <w:rFonts w:ascii="Bookman Old Style" w:hAnsi="Bookman Old Style" w:cs="Cambria Math"/>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PN</m:t>
              </m:r>
            </m:e>
            <m:sub>
              <m:r>
                <m:rPr>
                  <m:sty m:val="p"/>
                </m:rPr>
                <w:rPr>
                  <w:rFonts w:ascii="Cambria Math" w:hAnsi="Cambria Math"/>
                  <w:sz w:val="24"/>
                  <w:szCs w:val="24"/>
                  <w:lang w:val="es-ES_tradnl"/>
                </w:rPr>
                <m:t>PAGN,m+1,t,j</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A</m:t>
              </m:r>
            </m:e>
            <m:sub>
              <m:r>
                <m:rPr>
                  <m:sty m:val="p"/>
                </m:rPr>
                <w:rPr>
                  <w:rFonts w:ascii="Cambria Math" w:hAnsi="Cambria Math"/>
                  <w:sz w:val="24"/>
                  <w:szCs w:val="24"/>
                  <w:lang w:val="es-ES_tradnl"/>
                </w:rPr>
                <m:t>PAGN,m+1,t</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PP</m:t>
              </m:r>
            </m:e>
            <m:sub>
              <m:r>
                <m:rPr>
                  <m:sty m:val="p"/>
                </m:rPr>
                <w:rPr>
                  <w:rFonts w:ascii="Cambria Math" w:hAnsi="Cambria Math"/>
                  <w:sz w:val="24"/>
                  <w:szCs w:val="24"/>
                  <w:lang w:val="es-ES_tradnl"/>
                </w:rPr>
                <m:t>UPME</m:t>
              </m:r>
            </m:sub>
          </m:sSub>
          <m:r>
            <m:rPr>
              <m:sty m:val="p"/>
            </m:rPr>
            <w:rPr>
              <w:rFonts w:ascii="Cambria Math" w:hAnsi="Cambria Math"/>
              <w:sz w:val="24"/>
              <w:szCs w:val="24"/>
              <w:lang w:val="es-ES_tradnl"/>
            </w:rPr>
            <m:t xml:space="preserve"> ×</m:t>
          </m:r>
          <m:f>
            <m:fPr>
              <m:ctrlPr>
                <w:rPr>
                  <w:rFonts w:ascii="Cambria Math" w:hAnsi="Cambria Math"/>
                  <w:sz w:val="24"/>
                  <w:szCs w:val="24"/>
                  <w:lang w:val="es-ES_tradnl"/>
                </w:rPr>
              </m:ctrlPr>
            </m:fPr>
            <m:num>
              <m:nary>
                <m:naryPr>
                  <m:chr m:val="∑"/>
                  <m:limLoc m:val="undOvr"/>
                  <m:ctrlPr>
                    <w:rPr>
                      <w:rFonts w:ascii="Cambria Math" w:hAnsi="Cambria Math"/>
                      <w:sz w:val="24"/>
                      <w:szCs w:val="24"/>
                      <w:lang w:val="es-ES_tradnl"/>
                    </w:rPr>
                  </m:ctrlPr>
                </m:naryPr>
                <m:sub>
                  <m:r>
                    <m:rPr>
                      <m:sty m:val="p"/>
                    </m:rPr>
                    <w:rPr>
                      <w:rFonts w:ascii="Cambria Math" w:hAnsi="Cambria Math"/>
                      <w:sz w:val="24"/>
                      <w:szCs w:val="24"/>
                      <w:lang w:val="es-ES_tradnl"/>
                    </w:rPr>
                    <m:t>p=1</m:t>
                  </m:r>
                </m:sub>
                <m:sup>
                  <m:r>
                    <m:rPr>
                      <m:sty m:val="p"/>
                    </m:rPr>
                    <w:rPr>
                      <w:rFonts w:ascii="Cambria Math" w:hAnsi="Cambria Math"/>
                      <w:sz w:val="24"/>
                      <w:szCs w:val="24"/>
                      <w:lang w:val="es-ES_tradnl"/>
                    </w:rPr>
                    <m:t>P</m:t>
                  </m:r>
                </m:sup>
                <m:e>
                  <m:sSub>
                    <m:sSubPr>
                      <m:ctrlPr>
                        <w:rPr>
                          <w:rFonts w:ascii="Cambria Math" w:hAnsi="Cambria Math"/>
                          <w:sz w:val="24"/>
                          <w:szCs w:val="24"/>
                          <w:lang w:val="es-ES_tradnl"/>
                        </w:rPr>
                      </m:ctrlPr>
                    </m:sSubPr>
                    <m:e>
                      <m:r>
                        <m:rPr>
                          <m:sty m:val="p"/>
                        </m:rPr>
                        <w:rPr>
                          <w:rFonts w:ascii="Cambria Math" w:hAnsi="Cambria Math"/>
                          <w:sz w:val="24"/>
                          <w:szCs w:val="24"/>
                          <w:lang w:val="es-ES_tradnl"/>
                        </w:rPr>
                        <m:t>KR</m:t>
                      </m:r>
                    </m:e>
                    <m:sub>
                      <m:r>
                        <m:rPr>
                          <m:sty m:val="p"/>
                        </m:rPr>
                        <w:rPr>
                          <w:rFonts w:ascii="Cambria Math" w:hAnsi="Cambria Math"/>
                          <w:sz w:val="24"/>
                          <w:szCs w:val="24"/>
                          <w:lang w:val="es-ES_tradnl"/>
                        </w:rPr>
                        <m:t>PAGN,m,t,j,p</m:t>
                      </m:r>
                    </m:sub>
                  </m:sSub>
                </m:e>
              </m:nary>
            </m:num>
            <m:den>
              <m:nary>
                <m:naryPr>
                  <m:chr m:val="∑"/>
                  <m:limLoc m:val="undOvr"/>
                  <m:ctrlPr>
                    <w:rPr>
                      <w:rFonts w:ascii="Cambria Math" w:hAnsi="Cambria Math"/>
                      <w:sz w:val="24"/>
                      <w:szCs w:val="24"/>
                      <w:lang w:val="es-ES_tradnl"/>
                    </w:rPr>
                  </m:ctrlPr>
                </m:naryPr>
                <m:sub>
                  <m:r>
                    <m:rPr>
                      <m:sty m:val="p"/>
                    </m:rPr>
                    <w:rPr>
                      <w:rFonts w:ascii="Cambria Math" w:hAnsi="Cambria Math"/>
                      <w:sz w:val="24"/>
                      <w:szCs w:val="24"/>
                      <w:lang w:val="es-ES_tradnl"/>
                    </w:rPr>
                    <m:t>j=1</m:t>
                  </m:r>
                </m:sub>
                <m:sup>
                  <m:r>
                    <m:rPr>
                      <m:sty m:val="p"/>
                    </m:rPr>
                    <w:rPr>
                      <w:rFonts w:ascii="Cambria Math" w:hAnsi="Cambria Math"/>
                      <w:sz w:val="24"/>
                      <w:szCs w:val="24"/>
                      <w:lang w:val="es-ES_tradnl"/>
                    </w:rPr>
                    <m:t>J</m:t>
                  </m:r>
                </m:sup>
                <m:e>
                  <m:sSub>
                    <m:sSubPr>
                      <m:ctrlPr>
                        <w:rPr>
                          <w:rFonts w:ascii="Cambria Math" w:hAnsi="Cambria Math"/>
                          <w:sz w:val="24"/>
                          <w:szCs w:val="24"/>
                          <w:lang w:val="es-ES_tradnl"/>
                        </w:rPr>
                      </m:ctrlPr>
                    </m:sSubPr>
                    <m:e>
                      <m:nary>
                        <m:naryPr>
                          <m:chr m:val="∑"/>
                          <m:limLoc m:val="undOvr"/>
                          <m:ctrlPr>
                            <w:rPr>
                              <w:rFonts w:ascii="Cambria Math" w:hAnsi="Cambria Math"/>
                              <w:sz w:val="24"/>
                              <w:szCs w:val="24"/>
                              <w:lang w:val="es-ES_tradnl"/>
                            </w:rPr>
                          </m:ctrlPr>
                        </m:naryPr>
                        <m:sub>
                          <m:r>
                            <m:rPr>
                              <m:sty m:val="p"/>
                            </m:rPr>
                            <w:rPr>
                              <w:rFonts w:ascii="Cambria Math" w:hAnsi="Cambria Math"/>
                              <w:sz w:val="24"/>
                              <w:szCs w:val="24"/>
                              <w:lang w:val="es-ES_tradnl"/>
                            </w:rPr>
                            <m:t>p=1</m:t>
                          </m:r>
                        </m:sub>
                        <m:sup>
                          <m:r>
                            <m:rPr>
                              <m:sty m:val="p"/>
                            </m:rPr>
                            <w:rPr>
                              <w:rFonts w:ascii="Cambria Math" w:hAnsi="Cambria Math"/>
                              <w:sz w:val="24"/>
                              <w:szCs w:val="24"/>
                              <w:lang w:val="es-ES_tradnl"/>
                            </w:rPr>
                            <m:t>P</m:t>
                          </m:r>
                        </m:sup>
                        <m:e>
                          <m:r>
                            <m:rPr>
                              <m:sty m:val="p"/>
                            </m:rPr>
                            <w:rPr>
                              <w:rFonts w:ascii="Cambria Math" w:hAnsi="Cambria Math"/>
                              <w:sz w:val="24"/>
                              <w:szCs w:val="24"/>
                              <w:lang w:val="es-ES_tradnl"/>
                            </w:rPr>
                            <m:t>KR</m:t>
                          </m:r>
                        </m:e>
                      </m:nary>
                    </m:e>
                    <m:sub>
                      <m:r>
                        <m:rPr>
                          <m:sty m:val="p"/>
                        </m:rPr>
                        <w:rPr>
                          <w:rFonts w:ascii="Cambria Math" w:hAnsi="Cambria Math"/>
                          <w:sz w:val="24"/>
                          <w:szCs w:val="24"/>
                          <w:lang w:val="es-ES_tradnl"/>
                        </w:rPr>
                        <m:t>PAGN,m,t,j,p</m:t>
                      </m:r>
                    </m:sub>
                  </m:sSub>
                </m:e>
              </m:nary>
            </m:den>
          </m:f>
          <m:r>
            <m:rPr>
              <m:sty m:val="p"/>
            </m:rPr>
            <w:rPr>
              <w:rFonts w:ascii="Cambria Math" w:hAnsi="Cambria Math"/>
              <w:sz w:val="24"/>
              <w:szCs w:val="24"/>
              <w:lang w:val="es-ES_tradnl"/>
            </w:rPr>
            <m:t xml:space="preserve">  </m:t>
          </m:r>
        </m:oMath>
      </m:oMathPara>
    </w:p>
    <w:p w14:paraId="5A3C92C6" w14:textId="77777777" w:rsidR="00CF5EFC" w:rsidRPr="000F4D2C" w:rsidRDefault="00CF5EFC" w:rsidP="000F4D2C">
      <w:pPr>
        <w:tabs>
          <w:tab w:val="left" w:pos="4140"/>
        </w:tabs>
        <w:spacing w:after="0" w:line="240" w:lineRule="auto"/>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Con:</w:t>
      </w:r>
    </w:p>
    <w:p w14:paraId="60D79743" w14:textId="5FC4BB72" w:rsidR="00CF5EFC" w:rsidRPr="000F4D2C" w:rsidRDefault="00B560EE" w:rsidP="000F4D2C">
      <w:pPr>
        <w:tabs>
          <w:tab w:val="left" w:pos="4140"/>
        </w:tabs>
        <w:spacing w:after="0" w:line="240" w:lineRule="auto"/>
        <w:jc w:val="both"/>
        <w:rPr>
          <w:rFonts w:ascii="Bookman Old Style" w:hAnsi="Bookman Old Style" w:cs="Cambria Math"/>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PN</m:t>
              </m:r>
            </m:e>
            <m:sub>
              <m:r>
                <m:rPr>
                  <m:sty m:val="p"/>
                </m:rPr>
                <w:rPr>
                  <w:rFonts w:ascii="Cambria Math" w:hAnsi="Cambria Math"/>
                  <w:sz w:val="24"/>
                  <w:szCs w:val="24"/>
                  <w:lang w:val="es-ES_tradnl"/>
                </w:rPr>
                <m:t>PAGN,m+1,t,j</m:t>
              </m:r>
            </m:sub>
          </m:sSub>
          <m:r>
            <m:rPr>
              <m:sty m:val="p"/>
            </m:rPr>
            <w:rPr>
              <w:rFonts w:ascii="Cambria Math" w:hAnsi="Cambria Math"/>
              <w:sz w:val="24"/>
              <w:szCs w:val="24"/>
              <w:lang w:val="es-ES_tradnl"/>
            </w:rPr>
            <m:t xml:space="preserve">=0,  solo si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A</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≤0</m:t>
          </m:r>
        </m:oMath>
      </m:oMathPara>
    </w:p>
    <w:p w14:paraId="6F8372C4" w14:textId="77777777" w:rsidR="0077173B" w:rsidRDefault="0077173B" w:rsidP="0077173B">
      <w:pPr>
        <w:tabs>
          <w:tab w:val="left" w:pos="4140"/>
        </w:tabs>
        <w:spacing w:after="0" w:line="240" w:lineRule="auto"/>
        <w:jc w:val="both"/>
        <w:rPr>
          <w:rFonts w:ascii="Bookman Old Style" w:hAnsi="Bookman Old Style" w:cs="Cambria Math"/>
          <w:sz w:val="24"/>
          <w:szCs w:val="24"/>
          <w:lang w:val="es-ES_tradnl"/>
        </w:rPr>
      </w:pPr>
    </w:p>
    <w:p w14:paraId="49D2BD4E" w14:textId="2658BD08" w:rsidR="00CF5EFC" w:rsidRDefault="00CF5EFC" w:rsidP="0077173B">
      <w:pPr>
        <w:tabs>
          <w:tab w:val="left" w:pos="4140"/>
        </w:tabs>
        <w:spacing w:after="0" w:line="240" w:lineRule="auto"/>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Donde:</w:t>
      </w:r>
    </w:p>
    <w:p w14:paraId="3558AFD4" w14:textId="77777777" w:rsidR="0077173B" w:rsidRPr="000F4D2C" w:rsidRDefault="0077173B" w:rsidP="000F4D2C">
      <w:pPr>
        <w:tabs>
          <w:tab w:val="left" w:pos="4140"/>
        </w:tabs>
        <w:spacing w:after="0" w:line="240" w:lineRule="auto"/>
        <w:jc w:val="both"/>
        <w:rPr>
          <w:rFonts w:ascii="Bookman Old Style" w:hAnsi="Bookman Old Style" w:cs="Cambria Math"/>
          <w:sz w:val="24"/>
          <w:szCs w:val="24"/>
          <w:lang w:val="es-ES_tradnl"/>
        </w:rPr>
      </w:pPr>
    </w:p>
    <w:p w14:paraId="34B53C9E" w14:textId="15B44D32" w:rsidR="00CF5EFC" w:rsidRDefault="00B560EE" w:rsidP="0077173B">
      <w:pPr>
        <w:tabs>
          <w:tab w:val="left" w:pos="4140"/>
        </w:tabs>
        <w:spacing w:after="0" w:line="240" w:lineRule="auto"/>
        <w:ind w:left="1560" w:hanging="1560"/>
        <w:jc w:val="both"/>
        <w:rPr>
          <w:rFonts w:ascii="Bookman Old Style" w:hAnsi="Bookman Old Style" w:cs="Cambria Math"/>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PN</m:t>
            </m:r>
          </m:e>
          <m:sub>
            <m:r>
              <m:rPr>
                <m:sty m:val="p"/>
              </m:rPr>
              <w:rPr>
                <w:rFonts w:ascii="Cambria Math" w:hAnsi="Cambria Math"/>
                <w:sz w:val="24"/>
                <w:szCs w:val="24"/>
                <w:lang w:val="es-ES_tradnl"/>
              </w:rPr>
              <m:t>PAGN,m+1,t,j</m:t>
            </m:r>
          </m:sub>
        </m:sSub>
      </m:oMath>
      <w:r w:rsidR="00CF5EFC" w:rsidRPr="000F4D2C">
        <w:rPr>
          <w:rFonts w:ascii="Bookman Old Style" w:hAnsi="Bookman Old Style" w:cs="Cambria Math"/>
          <w:sz w:val="24"/>
          <w:szCs w:val="24"/>
          <w:lang w:val="es-ES_tradnl"/>
        </w:rPr>
        <w:t>: Valor a facturar por el servicio prestado por confiabilidad al beneficiario j, en el sistema de transporte t, en el mes siguiente al mes de prestación m, por el proyecto PAGN.</w:t>
      </w:r>
    </w:p>
    <w:p w14:paraId="4102477D" w14:textId="77777777" w:rsidR="0077173B" w:rsidRPr="000F4D2C" w:rsidRDefault="0077173B" w:rsidP="000F4D2C">
      <w:pPr>
        <w:tabs>
          <w:tab w:val="left" w:pos="4140"/>
        </w:tabs>
        <w:spacing w:after="0" w:line="240" w:lineRule="auto"/>
        <w:ind w:left="1560" w:hanging="1560"/>
        <w:jc w:val="both"/>
        <w:rPr>
          <w:rFonts w:ascii="Bookman Old Style" w:hAnsi="Bookman Old Style" w:cs="Cambria Math"/>
          <w:sz w:val="24"/>
          <w:szCs w:val="24"/>
          <w:lang w:val="es-ES_tradnl"/>
        </w:rPr>
      </w:pPr>
    </w:p>
    <w:p w14:paraId="27E346BA" w14:textId="4E603142" w:rsidR="00CF5EFC" w:rsidRDefault="00B560EE" w:rsidP="0077173B">
      <w:pPr>
        <w:tabs>
          <w:tab w:val="left" w:pos="4140"/>
        </w:tabs>
        <w:spacing w:after="0" w:line="240" w:lineRule="auto"/>
        <w:ind w:left="1560" w:hanging="1560"/>
        <w:jc w:val="both"/>
        <w:rPr>
          <w:rFonts w:ascii="Bookman Old Style" w:hAnsi="Bookman Old Style" w:cs="Cambria Math"/>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PP</m:t>
            </m:r>
          </m:e>
          <m:sub>
            <m:r>
              <m:rPr>
                <m:sty m:val="p"/>
              </m:rPr>
              <w:rPr>
                <w:rFonts w:ascii="Cambria Math" w:hAnsi="Cambria Math"/>
                <w:sz w:val="24"/>
                <w:szCs w:val="24"/>
                <w:lang w:val="es-ES_tradnl"/>
              </w:rPr>
              <m:t>UPME</m:t>
            </m:r>
          </m:sub>
        </m:sSub>
      </m:oMath>
      <w:r w:rsidR="00CF5EFC" w:rsidRPr="000F4D2C">
        <w:rPr>
          <w:rFonts w:ascii="Bookman Old Style" w:hAnsi="Bookman Old Style" w:cs="Cambria Math"/>
          <w:sz w:val="24"/>
          <w:szCs w:val="24"/>
          <w:lang w:val="es-ES_tradnl"/>
        </w:rPr>
        <w:t xml:space="preserve">: </w:t>
      </w:r>
      <w:r w:rsidR="00CF5EFC" w:rsidRPr="000F4D2C">
        <w:rPr>
          <w:rFonts w:ascii="Bookman Old Style" w:hAnsi="Bookman Old Style" w:cs="Cambria Math"/>
          <w:sz w:val="24"/>
          <w:szCs w:val="24"/>
          <w:lang w:val="es-ES_tradnl"/>
        </w:rPr>
        <w:tab/>
        <w:t>Porcentaje de participación obtenido de acuerdo con lo establecido en el numeral (iii) del literal a) del Artículo 17 de la presente resolución.</w:t>
      </w:r>
    </w:p>
    <w:p w14:paraId="5B4E8E56" w14:textId="77777777" w:rsidR="0077173B" w:rsidRPr="000F4D2C" w:rsidRDefault="0077173B" w:rsidP="000F4D2C">
      <w:pPr>
        <w:tabs>
          <w:tab w:val="left" w:pos="4140"/>
        </w:tabs>
        <w:spacing w:after="0" w:line="240" w:lineRule="auto"/>
        <w:ind w:left="1560" w:hanging="1560"/>
        <w:jc w:val="both"/>
        <w:rPr>
          <w:rFonts w:ascii="Bookman Old Style" w:hAnsi="Bookman Old Style" w:cs="Cambria Math"/>
          <w:sz w:val="24"/>
          <w:szCs w:val="24"/>
          <w:lang w:val="es-ES_tradnl"/>
        </w:rPr>
      </w:pPr>
    </w:p>
    <w:p w14:paraId="551D126E" w14:textId="5D746536" w:rsidR="00CF5EFC" w:rsidRDefault="00B560EE" w:rsidP="0077173B">
      <w:pPr>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KR</m:t>
            </m:r>
          </m:e>
          <m:sub>
            <m:r>
              <m:rPr>
                <m:sty m:val="p"/>
              </m:rPr>
              <w:rPr>
                <w:rFonts w:ascii="Cambria Math" w:hAnsi="Cambria Math"/>
                <w:sz w:val="24"/>
                <w:szCs w:val="24"/>
              </w:rPr>
              <m:t>PAGN,m,t,j,p</m:t>
            </m:r>
          </m:sub>
        </m:sSub>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Capacidad contratada en el nodo de referencia p identificado por la UPME según lo establecido en los numerales i) y ii) del literal a) del Artículo 17 de la presente resolución, por el beneficiario j del proyecto </w:t>
      </w:r>
      <m:oMath>
        <m:r>
          <m:rPr>
            <m:sty m:val="p"/>
          </m:rPr>
          <w:rPr>
            <w:rFonts w:ascii="Cambria Math" w:hAnsi="Cambria Math"/>
            <w:sz w:val="24"/>
            <w:szCs w:val="24"/>
          </w:rPr>
          <m:t>PAGN</m:t>
        </m:r>
      </m:oMath>
      <w:r w:rsidR="00CF5EFC" w:rsidRPr="000F4D2C">
        <w:rPr>
          <w:rFonts w:ascii="Bookman Old Style" w:hAnsi="Bookman Old Style"/>
          <w:sz w:val="24"/>
          <w:szCs w:val="24"/>
        </w:rPr>
        <w:t>, en el sistema de transporte t, bajo cualquier modalidad contractual en el mercado primario, en el mes m. Cuando en el mes m haya contratos cuya duración sea menor a la mensual se deberá incluir en la capacidad contratada la prorrata equivalente mensual correspondiente. Valor expresado en KPCD.</w:t>
      </w:r>
    </w:p>
    <w:p w14:paraId="555BACCC"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5758DD07" w14:textId="70AE63E2" w:rsidR="00CF5EFC" w:rsidRDefault="000D6E79" w:rsidP="0077173B">
      <w:pPr>
        <w:spacing w:after="0" w:line="240" w:lineRule="auto"/>
        <w:ind w:left="1560" w:hanging="1560"/>
        <w:jc w:val="both"/>
        <w:rPr>
          <w:rFonts w:ascii="Bookman Old Style" w:hAnsi="Bookman Old Style"/>
          <w:sz w:val="24"/>
          <w:szCs w:val="24"/>
        </w:rPr>
      </w:pPr>
      <m:oMath>
        <m:r>
          <m:rPr>
            <m:sty m:val="p"/>
          </m:rPr>
          <w:rPr>
            <w:rFonts w:ascii="Cambria Math" w:hAnsi="Cambria Math"/>
            <w:sz w:val="24"/>
            <w:szCs w:val="24"/>
          </w:rPr>
          <m:t>p</m:t>
        </m:r>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Nodo de referencia</w:t>
      </w:r>
      <w:r w:rsidR="00CF5EFC" w:rsidRPr="000F4D2C">
        <w:rPr>
          <w:rFonts w:ascii="Bookman Old Style" w:hAnsi="Bookman Old Style" w:cs="Cambria Math"/>
          <w:sz w:val="24"/>
          <w:szCs w:val="24"/>
        </w:rPr>
        <w:t>, utilizado por la UPME de acuerdo con lo establecido en los numerales i) y ii) del literal a) del Artículo 17 de la presente resolución</w:t>
      </w:r>
      <w:r w:rsidR="00CF5EFC" w:rsidRPr="000F4D2C">
        <w:rPr>
          <w:rFonts w:ascii="Bookman Old Style" w:hAnsi="Bookman Old Style"/>
          <w:sz w:val="24"/>
          <w:szCs w:val="24"/>
        </w:rPr>
        <w:t xml:space="preserve">. </w:t>
      </w:r>
    </w:p>
    <w:p w14:paraId="6D3AC113"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072431EF" w14:textId="35C7EE2E" w:rsidR="00CF5EFC" w:rsidRDefault="00B560EE" w:rsidP="0077173B">
      <w:pPr>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IMP</m:t>
            </m:r>
          </m:e>
          <m:sub>
            <m:r>
              <m:rPr>
                <m:sty m:val="p"/>
              </m:rPr>
              <w:rPr>
                <w:rFonts w:ascii="Cambria Math" w:hAnsi="Cambria Math"/>
                <w:sz w:val="24"/>
                <w:szCs w:val="24"/>
              </w:rPr>
              <m:t>PAGN,m+1,t</m:t>
            </m:r>
          </m:sub>
        </m:sSub>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Impuestos y costos generados por transferencia de recursos recaudados por el transportador del sistema de transporte t, en el mes m+1, al adjudicatario del proyecto PAGN o al transportador incumbente que ejecuta proyectos </w:t>
      </w:r>
      <w:r w:rsidR="00CF5EFC" w:rsidRPr="000F4D2C">
        <w:rPr>
          <w:rFonts w:ascii="Bookman Old Style" w:hAnsi="Bookman Old Style"/>
          <w:b/>
          <w:sz w:val="24"/>
          <w:szCs w:val="24"/>
        </w:rPr>
        <w:t>IPAT</w:t>
      </w:r>
      <w:r w:rsidR="00CF5EFC" w:rsidRPr="000F4D2C">
        <w:rPr>
          <w:rFonts w:ascii="Bookman Old Style" w:hAnsi="Bookman Old Style"/>
          <w:sz w:val="24"/>
          <w:szCs w:val="24"/>
        </w:rPr>
        <w:t xml:space="preserve">. </w:t>
      </w:r>
    </w:p>
    <w:p w14:paraId="52093719"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129C4FE1"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r w:rsidRPr="000F4D2C">
        <w:rPr>
          <w:rFonts w:ascii="Cambria Math" w:hAnsi="Cambria Math" w:cs="Cambria Math"/>
          <w:sz w:val="24"/>
          <w:szCs w:val="24"/>
          <w:lang w:val="es-ES_tradnl"/>
        </w:rPr>
        <w:t>𝐶𝑇</w:t>
      </w:r>
      <w:r w:rsidRPr="000F4D2C">
        <w:rPr>
          <w:rFonts w:ascii="Cambria Math" w:hAnsi="Cambria Math" w:cs="Cambria Math"/>
          <w:sz w:val="24"/>
          <w:szCs w:val="24"/>
          <w:vertAlign w:val="subscript"/>
          <w:lang w:val="es-ES_tradnl"/>
        </w:rPr>
        <w:t>𝑚+1,t,j</w:t>
      </w:r>
      <w:r w:rsidRPr="000F4D2C">
        <w:rPr>
          <w:rFonts w:ascii="Cambria Math" w:hAnsi="Cambria Math" w:cs="Cambria Math"/>
          <w:sz w:val="24"/>
          <w:szCs w:val="24"/>
          <w:lang w:val="es-ES_tradnl"/>
        </w:rPr>
        <w:t xml:space="preserve">: </w:t>
      </w:r>
      <w:r w:rsidRPr="000F4D2C">
        <w:rPr>
          <w:rFonts w:ascii="Bookman Old Style" w:hAnsi="Bookman Old Style"/>
          <w:sz w:val="24"/>
          <w:szCs w:val="24"/>
          <w:lang w:val="es-ES_tradnl"/>
        </w:rPr>
        <w:t xml:space="preserve"> </w:t>
      </w:r>
      <w:r w:rsidRPr="000F4D2C">
        <w:rPr>
          <w:rFonts w:ascii="Bookman Old Style" w:hAnsi="Bookman Old Style"/>
          <w:sz w:val="24"/>
          <w:szCs w:val="24"/>
          <w:lang w:val="es-ES_tradnl"/>
        </w:rPr>
        <w:tab/>
        <w:t>Costo fijo y costo variable mensual que reconoce los servicios comerciales prestados por el transportador del sistema de transporte t, asignados al beneficiario j, en el mes m+1para el recaudo y pago del proyecto  PAGN.</w:t>
      </w:r>
      <w:r w:rsidRPr="000F4D2C">
        <w:rPr>
          <w:rFonts w:ascii="Bookman Old Style" w:hAnsi="Bookman Old Style"/>
          <w:sz w:val="24"/>
          <w:szCs w:val="24"/>
        </w:rPr>
        <w:t xml:space="preserve"> </w:t>
      </w:r>
    </w:p>
    <w:p w14:paraId="11B12B1B" w14:textId="77777777" w:rsidR="00CF5EFC" w:rsidRPr="000F4D2C" w:rsidRDefault="00CF5EFC" w:rsidP="000F4D2C">
      <w:pPr>
        <w:tabs>
          <w:tab w:val="left" w:pos="4140"/>
        </w:tabs>
        <w:spacing w:after="0" w:line="240" w:lineRule="auto"/>
        <w:jc w:val="center"/>
        <w:rPr>
          <w:rFonts w:ascii="Bookman Old Style" w:hAnsi="Bookman Old Style"/>
          <w:b/>
          <w:sz w:val="24"/>
          <w:szCs w:val="24"/>
          <w:lang w:val="es-ES_tradnl"/>
        </w:rPr>
      </w:pPr>
    </w:p>
    <w:p w14:paraId="54CF5F68" w14:textId="77777777" w:rsidR="00CF5EFC" w:rsidRPr="000F4D2C" w:rsidRDefault="00CF5EFC" w:rsidP="000F4D2C">
      <w:pPr>
        <w:tabs>
          <w:tab w:val="left" w:pos="4140"/>
        </w:tabs>
        <w:spacing w:after="0" w:line="240" w:lineRule="auto"/>
        <w:jc w:val="both"/>
        <w:rPr>
          <w:rFonts w:ascii="Bookman Old Style" w:hAnsi="Bookman Old Style"/>
          <w:sz w:val="24"/>
          <w:szCs w:val="24"/>
          <w:lang w:val="es-ES_tradnl"/>
        </w:rPr>
      </w:pPr>
      <w:r w:rsidRPr="000F4D2C">
        <w:rPr>
          <w:rFonts w:ascii="Bookman Old Style" w:hAnsi="Bookman Old Style"/>
          <w:sz w:val="24"/>
          <w:szCs w:val="24"/>
          <w:lang w:val="es-ES_tradnl"/>
        </w:rPr>
        <w:t>Con:</w:t>
      </w:r>
    </w:p>
    <w:p w14:paraId="328C0641" w14:textId="273023B5" w:rsidR="00CF5EFC" w:rsidRPr="000F4D2C" w:rsidRDefault="00B560EE" w:rsidP="000F4D2C">
      <w:pPr>
        <w:tabs>
          <w:tab w:val="left" w:pos="4140"/>
        </w:tabs>
        <w:spacing w:after="0" w:line="240" w:lineRule="auto"/>
        <w:jc w:val="center"/>
        <w:rPr>
          <w:sz w:val="24"/>
          <w:szCs w:val="24"/>
        </w:rPr>
      </w:pPr>
      <m:oMath>
        <m:sSub>
          <m:sSubPr>
            <m:ctrlPr>
              <w:rPr>
                <w:rFonts w:ascii="Cambria Math" w:hAnsi="Cambria Math"/>
                <w:sz w:val="24"/>
                <w:szCs w:val="24"/>
              </w:rPr>
            </m:ctrlPr>
          </m:sSubPr>
          <m:e>
            <m:r>
              <m:rPr>
                <m:sty m:val="p"/>
              </m:rPr>
              <w:rPr>
                <w:rFonts w:ascii="Cambria Math" w:hAnsi="Cambria Math"/>
                <w:sz w:val="24"/>
                <w:szCs w:val="24"/>
              </w:rPr>
              <m:t>CT</m:t>
            </m:r>
          </m:e>
          <m:sub>
            <m:r>
              <m:rPr>
                <m:sty m:val="p"/>
              </m:rPr>
              <w:rPr>
                <w:rFonts w:ascii="Cambria Math" w:hAnsi="Cambria Math"/>
                <w:sz w:val="24"/>
                <w:szCs w:val="24"/>
              </w:rPr>
              <m:t>m+1,t,j</m:t>
            </m:r>
          </m:sub>
        </m:sSub>
        <m:r>
          <m:rPr>
            <m:sty m:val="p"/>
          </m:rPr>
          <w:rPr>
            <w:rFonts w:ascii="Cambria Math" w:hAnsi="Cambria Math"/>
            <w:sz w:val="24"/>
            <w:szCs w:val="24"/>
          </w:rPr>
          <m:t xml:space="preserve">= </m:t>
        </m:r>
        <m:d>
          <m:dPr>
            <m:begChr m:val="["/>
            <m:endChr m:val="]"/>
            <m:ctrlPr>
              <w:rPr>
                <w:rFonts w:ascii="Cambria Math" w:hAnsi="Cambria Math"/>
                <w:sz w:val="24"/>
                <w:szCs w:val="24"/>
              </w:rPr>
            </m:ctrlPr>
          </m:dPr>
          <m:e>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CF</m:t>
                    </m:r>
                  </m:e>
                  <m:sub>
                    <m:r>
                      <m:rPr>
                        <m:sty m:val="p"/>
                      </m:rPr>
                      <w:rPr>
                        <w:rFonts w:ascii="Cambria Math" w:hAnsi="Cambria Math"/>
                        <w:sz w:val="24"/>
                        <w:szCs w:val="24"/>
                      </w:rPr>
                      <m:t>m+1,t</m:t>
                    </m:r>
                  </m:sub>
                </m:sSub>
                <m:r>
                  <m:rPr>
                    <m:sty m:val="p"/>
                  </m:rPr>
                  <w:rPr>
                    <w:rFonts w:ascii="Cambria Math" w:hAnsi="Cambria Math"/>
                    <w:sz w:val="24"/>
                    <w:szCs w:val="24"/>
                  </w:rPr>
                  <m:t xml:space="preserve">× </m:t>
                </m:r>
                <m:sSub>
                  <m:sSubPr>
                    <m:ctrlPr>
                      <w:rPr>
                        <w:rFonts w:ascii="Cambria Math" w:hAnsi="Cambria Math"/>
                        <w:sz w:val="24"/>
                        <w:szCs w:val="24"/>
                      </w:rPr>
                    </m:ctrlPr>
                  </m:sSubPr>
                  <m:e>
                    <m:r>
                      <m:rPr>
                        <m:sty m:val="p"/>
                      </m:rPr>
                      <w:rPr>
                        <w:rFonts w:ascii="Cambria Math" w:hAnsi="Cambria Math"/>
                        <w:sz w:val="24"/>
                        <w:szCs w:val="24"/>
                      </w:rPr>
                      <m:t>PP</m:t>
                    </m:r>
                  </m:e>
                  <m:sub>
                    <m:r>
                      <m:rPr>
                        <m:sty m:val="p"/>
                      </m:rPr>
                      <w:rPr>
                        <w:rFonts w:ascii="Cambria Math" w:hAnsi="Cambria Math"/>
                        <w:sz w:val="24"/>
                        <w:szCs w:val="24"/>
                      </w:rPr>
                      <m:t>UPME</m:t>
                    </m:r>
                  </m:sub>
                </m:sSub>
                <m:r>
                  <m:rPr>
                    <m:sty m:val="p"/>
                  </m:rPr>
                  <w:rPr>
                    <w:rFonts w:ascii="Cambria Math" w:hAnsi="Cambria Math"/>
                    <w:sz w:val="24"/>
                    <w:szCs w:val="24"/>
                  </w:rPr>
                  <m:t>×</m:t>
                </m:r>
                <m:f>
                  <m:fPr>
                    <m:ctrlPr>
                      <w:rPr>
                        <w:rFonts w:ascii="Cambria Math" w:hAnsi="Cambria Math"/>
                        <w:sz w:val="24"/>
                        <w:szCs w:val="24"/>
                      </w:rPr>
                    </m:ctrlPr>
                  </m:fPr>
                  <m:num>
                    <m:nary>
                      <m:naryPr>
                        <m:chr m:val="∑"/>
                        <m:limLoc m:val="undOvr"/>
                        <m:ctrlPr>
                          <w:rPr>
                            <w:rFonts w:ascii="Cambria Math" w:hAnsi="Cambria Math"/>
                            <w:sz w:val="24"/>
                            <w:szCs w:val="24"/>
                          </w:rPr>
                        </m:ctrlPr>
                      </m:naryPr>
                      <m:sub>
                        <m:r>
                          <m:rPr>
                            <m:sty m:val="p"/>
                          </m:rPr>
                          <w:rPr>
                            <w:rFonts w:ascii="Cambria Math" w:hAnsi="Cambria Math"/>
                            <w:sz w:val="24"/>
                            <w:szCs w:val="24"/>
                          </w:rPr>
                          <m:t>p=1</m:t>
                        </m:r>
                      </m:sub>
                      <m:sup>
                        <m:r>
                          <m:rPr>
                            <m:sty m:val="p"/>
                          </m:rPr>
                          <w:rPr>
                            <w:rFonts w:ascii="Cambria Math" w:hAnsi="Cambria Math"/>
                            <w:sz w:val="24"/>
                            <w:szCs w:val="24"/>
                          </w:rPr>
                          <m:t>P</m:t>
                        </m:r>
                      </m:sup>
                      <m:e>
                        <m:sSub>
                          <m:sSubPr>
                            <m:ctrlPr>
                              <w:rPr>
                                <w:rFonts w:ascii="Cambria Math" w:hAnsi="Cambria Math"/>
                                <w:sz w:val="24"/>
                                <w:szCs w:val="24"/>
                              </w:rPr>
                            </m:ctrlPr>
                          </m:sSubPr>
                          <m:e>
                            <m:r>
                              <m:rPr>
                                <m:sty m:val="p"/>
                              </m:rPr>
                              <w:rPr>
                                <w:rFonts w:ascii="Cambria Math" w:hAnsi="Cambria Math"/>
                                <w:sz w:val="24"/>
                                <w:szCs w:val="24"/>
                              </w:rPr>
                              <m:t>KR</m:t>
                            </m:r>
                          </m:e>
                          <m:sub>
                            <m:r>
                              <m:rPr>
                                <m:sty m:val="p"/>
                              </m:rPr>
                              <w:rPr>
                                <w:rFonts w:ascii="Cambria Math" w:hAnsi="Cambria Math"/>
                                <w:sz w:val="24"/>
                                <w:szCs w:val="24"/>
                              </w:rPr>
                              <m:t>PAGN,m,t,p,j</m:t>
                            </m:r>
                          </m:sub>
                        </m:sSub>
                      </m:e>
                    </m:nary>
                  </m:num>
                  <m:den>
                    <m:nary>
                      <m:naryPr>
                        <m:chr m:val="∑"/>
                        <m:limLoc m:val="undOvr"/>
                        <m:ctrlPr>
                          <w:rPr>
                            <w:rFonts w:ascii="Cambria Math" w:hAnsi="Cambria Math"/>
                            <w:sz w:val="24"/>
                            <w:szCs w:val="24"/>
                          </w:rPr>
                        </m:ctrlPr>
                      </m:naryPr>
                      <m:sub>
                        <m:r>
                          <m:rPr>
                            <m:sty m:val="p"/>
                          </m:rPr>
                          <w:rPr>
                            <w:rFonts w:ascii="Cambria Math" w:hAnsi="Cambria Math"/>
                            <w:sz w:val="24"/>
                            <w:szCs w:val="24"/>
                          </w:rPr>
                          <m:t>j=1</m:t>
                        </m:r>
                      </m:sub>
                      <m:sup>
                        <m:r>
                          <m:rPr>
                            <m:sty m:val="p"/>
                          </m:rPr>
                          <w:rPr>
                            <w:rFonts w:ascii="Cambria Math" w:hAnsi="Cambria Math"/>
                            <w:sz w:val="24"/>
                            <w:szCs w:val="24"/>
                          </w:rPr>
                          <m:t>J</m:t>
                        </m:r>
                      </m:sup>
                      <m:e>
                        <m:nary>
                          <m:naryPr>
                            <m:chr m:val="∑"/>
                            <m:limLoc m:val="undOvr"/>
                            <m:ctrlPr>
                              <w:rPr>
                                <w:rFonts w:ascii="Cambria Math" w:hAnsi="Cambria Math"/>
                                <w:sz w:val="24"/>
                                <w:szCs w:val="24"/>
                              </w:rPr>
                            </m:ctrlPr>
                          </m:naryPr>
                          <m:sub>
                            <m:r>
                              <m:rPr>
                                <m:sty m:val="p"/>
                              </m:rPr>
                              <w:rPr>
                                <w:rFonts w:ascii="Cambria Math" w:hAnsi="Cambria Math"/>
                                <w:sz w:val="24"/>
                                <w:szCs w:val="24"/>
                              </w:rPr>
                              <m:t>p=1</m:t>
                            </m:r>
                          </m:sub>
                          <m:sup>
                            <m:r>
                              <m:rPr>
                                <m:sty m:val="p"/>
                              </m:rPr>
                              <w:rPr>
                                <w:rFonts w:ascii="Cambria Math" w:hAnsi="Cambria Math"/>
                                <w:sz w:val="24"/>
                                <w:szCs w:val="24"/>
                              </w:rPr>
                              <m:t>P</m:t>
                            </m:r>
                          </m:sup>
                          <m:e>
                            <m:sSub>
                              <m:sSubPr>
                                <m:ctrlPr>
                                  <w:rPr>
                                    <w:rFonts w:ascii="Cambria Math" w:hAnsi="Cambria Math"/>
                                    <w:sz w:val="24"/>
                                    <w:szCs w:val="24"/>
                                  </w:rPr>
                                </m:ctrlPr>
                              </m:sSubPr>
                              <m:e>
                                <m:r>
                                  <m:rPr>
                                    <m:sty m:val="p"/>
                                  </m:rPr>
                                  <w:rPr>
                                    <w:rFonts w:ascii="Cambria Math" w:hAnsi="Cambria Math"/>
                                    <w:sz w:val="24"/>
                                    <w:szCs w:val="24"/>
                                  </w:rPr>
                                  <m:t>KR</m:t>
                                </m:r>
                              </m:e>
                              <m:sub>
                                <m:r>
                                  <m:rPr>
                                    <m:sty m:val="p"/>
                                  </m:rPr>
                                  <w:rPr>
                                    <w:rFonts w:ascii="Cambria Math" w:hAnsi="Cambria Math"/>
                                    <w:sz w:val="24"/>
                                    <w:szCs w:val="24"/>
                                  </w:rPr>
                                  <m:t>PAGN,m,t,p,j</m:t>
                                </m:r>
                              </m:sub>
                            </m:sSub>
                          </m:e>
                        </m:nary>
                      </m:e>
                    </m:nary>
                  </m:den>
                </m:f>
              </m:e>
            </m:d>
            <m:r>
              <m:rPr>
                <m:sty m:val="p"/>
              </m:rPr>
              <w:rPr>
                <w:rFonts w:ascii="Cambria Math" w:hAnsi="Cambria Math"/>
                <w:sz w:val="24"/>
                <w:szCs w:val="24"/>
              </w:rPr>
              <m:t xml:space="preserve">+ </m:t>
            </m:r>
            <m:sSub>
              <m:sSubPr>
                <m:ctrlPr>
                  <w:rPr>
                    <w:rFonts w:ascii="Cambria Math" w:hAnsi="Cambria Math"/>
                    <w:sz w:val="24"/>
                    <w:szCs w:val="24"/>
                  </w:rPr>
                </m:ctrlPr>
              </m:sSubPr>
              <m:e>
                <m:r>
                  <m:rPr>
                    <m:sty m:val="p"/>
                  </m:rPr>
                  <w:rPr>
                    <w:rFonts w:ascii="Cambria Math" w:hAnsi="Cambria Math"/>
                    <w:sz w:val="24"/>
                    <w:szCs w:val="24"/>
                  </w:rPr>
                  <m:t>CV</m:t>
                </m:r>
              </m:e>
              <m:sub>
                <m:r>
                  <m:rPr>
                    <m:sty m:val="p"/>
                  </m:rPr>
                  <w:rPr>
                    <w:rFonts w:ascii="Cambria Math" w:hAnsi="Cambria Math"/>
                    <w:sz w:val="24"/>
                    <w:szCs w:val="24"/>
                  </w:rPr>
                  <m:t>m+1,t,j</m:t>
                </m:r>
              </m:sub>
            </m:sSub>
          </m:e>
        </m:d>
        <m:r>
          <m:rPr>
            <m:sty m:val="p"/>
          </m:rPr>
          <w:rPr>
            <w:rFonts w:ascii="Cambria Math" w:hAnsi="Cambria Math"/>
            <w:sz w:val="24"/>
            <w:szCs w:val="24"/>
          </w:rPr>
          <m:t xml:space="preserve"> × </m:t>
        </m:r>
        <m:d>
          <m:dPr>
            <m:ctrlPr>
              <w:rPr>
                <w:rFonts w:ascii="Cambria Math" w:hAnsi="Cambria Math"/>
                <w:sz w:val="24"/>
                <w:szCs w:val="24"/>
              </w:rPr>
            </m:ctrlPr>
          </m:dPr>
          <m:e>
            <m:r>
              <m:rPr>
                <m:sty m:val="p"/>
              </m:rPr>
              <w:rPr>
                <w:rFonts w:ascii="Cambria Math" w:hAnsi="Cambria Math"/>
                <w:sz w:val="24"/>
                <w:szCs w:val="24"/>
              </w:rPr>
              <m:t>1+ MO</m:t>
            </m:r>
          </m:e>
        </m:d>
      </m:oMath>
      <w:r w:rsidR="00CF5EFC" w:rsidRPr="000F4D2C">
        <w:rPr>
          <w:sz w:val="24"/>
          <w:szCs w:val="24"/>
        </w:rPr>
        <w:t xml:space="preserve"> </w:t>
      </w:r>
    </w:p>
    <w:p w14:paraId="3152AD2B" w14:textId="77777777" w:rsidR="0077173B" w:rsidRDefault="0077173B" w:rsidP="0077173B">
      <w:pPr>
        <w:tabs>
          <w:tab w:val="left" w:pos="4140"/>
        </w:tabs>
        <w:spacing w:after="0" w:line="240" w:lineRule="auto"/>
        <w:jc w:val="both"/>
        <w:rPr>
          <w:rFonts w:ascii="Bookman Old Style" w:hAnsi="Bookman Old Style"/>
          <w:sz w:val="24"/>
          <w:szCs w:val="24"/>
        </w:rPr>
      </w:pPr>
    </w:p>
    <w:p w14:paraId="40D8AD8D" w14:textId="48F4EDD6" w:rsidR="00CF5EFC" w:rsidRDefault="00CF5EFC" w:rsidP="0077173B">
      <w:pPr>
        <w:tabs>
          <w:tab w:val="left" w:pos="4140"/>
        </w:tabs>
        <w:spacing w:after="0" w:line="240" w:lineRule="auto"/>
        <w:jc w:val="both"/>
        <w:rPr>
          <w:rFonts w:ascii="Bookman Old Style" w:hAnsi="Bookman Old Style"/>
          <w:sz w:val="24"/>
          <w:szCs w:val="24"/>
        </w:rPr>
      </w:pPr>
      <w:r w:rsidRPr="000F4D2C">
        <w:rPr>
          <w:rFonts w:ascii="Bookman Old Style" w:hAnsi="Bookman Old Style"/>
          <w:sz w:val="24"/>
          <w:szCs w:val="24"/>
        </w:rPr>
        <w:t>Donde:</w:t>
      </w:r>
    </w:p>
    <w:p w14:paraId="775504E1" w14:textId="77777777" w:rsidR="0077173B" w:rsidRPr="000F4D2C" w:rsidRDefault="0077173B" w:rsidP="000F4D2C">
      <w:pPr>
        <w:tabs>
          <w:tab w:val="left" w:pos="4140"/>
        </w:tabs>
        <w:spacing w:after="0" w:line="240" w:lineRule="auto"/>
        <w:jc w:val="both"/>
        <w:rPr>
          <w:rFonts w:ascii="Bookman Old Style" w:hAnsi="Bookman Old Style"/>
          <w:sz w:val="24"/>
          <w:szCs w:val="24"/>
        </w:rPr>
      </w:pPr>
    </w:p>
    <w:p w14:paraId="5386CE11" w14:textId="0EECA6E6" w:rsidR="00CF5EFC" w:rsidRDefault="00B560EE" w:rsidP="0077173B">
      <w:pPr>
        <w:tabs>
          <w:tab w:val="left" w:pos="4140"/>
        </w:tabs>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CF</m:t>
            </m:r>
          </m:e>
          <m:sub>
            <m:r>
              <m:rPr>
                <m:sty m:val="p"/>
              </m:rPr>
              <w:rPr>
                <w:rFonts w:ascii="Cambria Math" w:hAnsi="Cambria Math"/>
                <w:sz w:val="24"/>
                <w:szCs w:val="24"/>
              </w:rPr>
              <m:t>m+1,t</m:t>
            </m:r>
          </m:sub>
        </m:sSub>
        <m:r>
          <w:rPr>
            <w:rFonts w:ascii="Cambria Math" w:hAnsi="Cambria Math"/>
            <w:sz w:val="24"/>
            <w:szCs w:val="24"/>
          </w:rPr>
          <m:t>:</m:t>
        </m:r>
      </m:oMath>
      <w:r w:rsidR="00CF5EFC" w:rsidRPr="000F4D2C">
        <w:rPr>
          <w:rFonts w:ascii="Bookman Old Style" w:hAnsi="Bookman Old Style"/>
          <w:sz w:val="24"/>
          <w:szCs w:val="24"/>
        </w:rPr>
        <w:tab/>
        <w:t xml:space="preserve">Costo fijo incurrido por el transportador del sistema de transporte t, por los servicios prestados en el mes m+1. </w:t>
      </w:r>
    </w:p>
    <w:p w14:paraId="27CB8C83" w14:textId="77777777" w:rsidR="0077173B" w:rsidRPr="000F4D2C" w:rsidRDefault="0077173B" w:rsidP="000F4D2C">
      <w:pPr>
        <w:tabs>
          <w:tab w:val="left" w:pos="4140"/>
        </w:tabs>
        <w:spacing w:after="0" w:line="240" w:lineRule="auto"/>
        <w:ind w:left="1560" w:hanging="1560"/>
        <w:jc w:val="both"/>
        <w:rPr>
          <w:rFonts w:ascii="Bookman Old Style" w:hAnsi="Bookman Old Style"/>
          <w:sz w:val="24"/>
          <w:szCs w:val="24"/>
        </w:rPr>
      </w:pPr>
    </w:p>
    <w:p w14:paraId="759C45D4" w14:textId="7DAA40AD" w:rsidR="00CF5EFC" w:rsidRDefault="00B560EE" w:rsidP="0077173B">
      <w:pPr>
        <w:tabs>
          <w:tab w:val="left" w:pos="4140"/>
        </w:tabs>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CV</m:t>
            </m:r>
          </m:e>
          <m:sub>
            <m:r>
              <m:rPr>
                <m:sty m:val="p"/>
              </m:rPr>
              <w:rPr>
                <w:rFonts w:ascii="Cambria Math" w:hAnsi="Cambria Math"/>
                <w:sz w:val="24"/>
                <w:szCs w:val="24"/>
              </w:rPr>
              <m:t>m+1,t,j</m:t>
            </m:r>
          </m:sub>
        </m:sSub>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Costo variable, asignado al beneficiario j, incurrido por el transportador del sistema de transporte t, ocasionado en el mes m+1. </w:t>
      </w:r>
    </w:p>
    <w:p w14:paraId="07802077" w14:textId="77777777" w:rsidR="0077173B" w:rsidRPr="000F4D2C" w:rsidRDefault="0077173B" w:rsidP="000F4D2C">
      <w:pPr>
        <w:tabs>
          <w:tab w:val="left" w:pos="4140"/>
        </w:tabs>
        <w:spacing w:after="0" w:line="240" w:lineRule="auto"/>
        <w:ind w:left="1560" w:hanging="1560"/>
        <w:jc w:val="both"/>
        <w:rPr>
          <w:rFonts w:ascii="Bookman Old Style" w:hAnsi="Bookman Old Style"/>
          <w:sz w:val="24"/>
          <w:szCs w:val="24"/>
        </w:rPr>
      </w:pPr>
    </w:p>
    <w:p w14:paraId="072FC630" w14:textId="70FEB94A" w:rsidR="00CF5EFC" w:rsidRPr="000F4D2C" w:rsidRDefault="000D6E79" w:rsidP="000F4D2C">
      <w:pPr>
        <w:tabs>
          <w:tab w:val="left" w:pos="4140"/>
        </w:tabs>
        <w:spacing w:after="0" w:line="240" w:lineRule="auto"/>
        <w:ind w:left="1560" w:hanging="1560"/>
        <w:jc w:val="both"/>
        <w:rPr>
          <w:rFonts w:ascii="Bookman Old Style" w:hAnsi="Bookman Old Style"/>
          <w:sz w:val="24"/>
          <w:szCs w:val="24"/>
        </w:rPr>
      </w:pPr>
      <m:oMath>
        <m:r>
          <m:rPr>
            <m:sty m:val="p"/>
          </m:rPr>
          <w:rPr>
            <w:rFonts w:ascii="Cambria Math" w:hAnsi="Cambria Math"/>
            <w:sz w:val="24"/>
            <w:szCs w:val="24"/>
          </w:rPr>
          <m:t>MO</m:t>
        </m:r>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Margen operativo por las actividades establecidas en el artículo 17 de la presente Resolución, en el sistema de transporte </w:t>
      </w:r>
      <w:r w:rsidR="00CF5EFC" w:rsidRPr="000F4D2C">
        <w:rPr>
          <w:rFonts w:ascii="Cambria Math" w:hAnsi="Cambria Math" w:cs="Cambria Math"/>
          <w:sz w:val="24"/>
          <w:szCs w:val="24"/>
        </w:rPr>
        <w:t>t</w:t>
      </w:r>
      <w:r w:rsidR="00CF5EFC" w:rsidRPr="000F4D2C">
        <w:rPr>
          <w:rFonts w:ascii="Bookman Old Style" w:hAnsi="Bookman Old Style"/>
          <w:sz w:val="24"/>
          <w:szCs w:val="24"/>
        </w:rPr>
        <w:t>. Su valor es de 1,60%.</w:t>
      </w:r>
    </w:p>
    <w:p w14:paraId="4ED2CFC4" w14:textId="77777777" w:rsidR="00CF5EFC" w:rsidRPr="000F4D2C" w:rsidRDefault="00CF5EFC" w:rsidP="000F4D2C">
      <w:pPr>
        <w:tabs>
          <w:tab w:val="left" w:pos="4140"/>
        </w:tabs>
        <w:spacing w:after="0" w:line="240" w:lineRule="auto"/>
        <w:jc w:val="center"/>
        <w:rPr>
          <w:sz w:val="24"/>
          <w:szCs w:val="24"/>
        </w:rPr>
      </w:pPr>
    </w:p>
    <w:p w14:paraId="0879721D" w14:textId="44FB788A" w:rsidR="00CF5EFC" w:rsidRPr="000F4D2C" w:rsidRDefault="00CF5EFC" w:rsidP="000F4D2C">
      <w:pPr>
        <w:tabs>
          <w:tab w:val="left" w:pos="4140"/>
        </w:tabs>
        <w:spacing w:after="0" w:line="240" w:lineRule="auto"/>
        <w:ind w:left="1560" w:hanging="1560"/>
        <w:jc w:val="both"/>
        <w:rPr>
          <w:rFonts w:ascii="Bookman Old Style" w:hAnsi="Bookman Old Style" w:cs="Cambria Math"/>
          <w:sz w:val="24"/>
          <w:szCs w:val="24"/>
          <w:lang w:val="es-ES_tradnl"/>
        </w:rPr>
      </w:pPr>
      <w:r w:rsidRPr="000F4D2C">
        <w:rPr>
          <w:rFonts w:ascii="Bookman Old Style" w:hAnsi="Bookman Old Style" w:cs="Cambria Math"/>
          <w:b/>
          <w:sz w:val="24"/>
          <w:szCs w:val="24"/>
          <w:u w:val="single"/>
          <w:lang w:val="es-ES_tradnl"/>
        </w:rPr>
        <w:t>COSTOS FIJOS</w:t>
      </w:r>
      <w:r w:rsidRPr="000F4D2C">
        <w:rPr>
          <w:rFonts w:ascii="Bookman Old Style" w:hAnsi="Bookman Old Style" w:cs="Cambria Math"/>
          <w:sz w:val="24"/>
          <w:szCs w:val="24"/>
          <w:lang w:val="es-ES_tradnl"/>
        </w:rPr>
        <w:t>:</w:t>
      </w:r>
    </w:p>
    <w:p w14:paraId="361B8932" w14:textId="77777777" w:rsidR="00CF5EFC" w:rsidRPr="000F4D2C" w:rsidRDefault="00CF5EFC" w:rsidP="000F4D2C">
      <w:pPr>
        <w:tabs>
          <w:tab w:val="left" w:pos="4140"/>
        </w:tabs>
        <w:spacing w:after="0" w:line="240" w:lineRule="auto"/>
        <w:ind w:left="1560" w:hanging="1560"/>
        <w:jc w:val="both"/>
        <w:rPr>
          <w:rFonts w:ascii="Bookman Old Style" w:hAnsi="Bookman Old Style"/>
          <w:b/>
          <w:sz w:val="24"/>
          <w:szCs w:val="24"/>
          <w:u w:val="single"/>
          <w:lang w:val="es-ES_tradnl"/>
        </w:rPr>
      </w:pPr>
    </w:p>
    <w:p w14:paraId="596B01A7" w14:textId="7640D994" w:rsidR="00CF5EFC" w:rsidRPr="000F4D2C" w:rsidRDefault="00CF5EFC" w:rsidP="000F4D2C">
      <w:pPr>
        <w:tabs>
          <w:tab w:val="left" w:pos="4140"/>
        </w:tabs>
        <w:spacing w:after="0" w:line="240" w:lineRule="auto"/>
        <w:ind w:left="1560" w:hanging="1560"/>
        <w:jc w:val="center"/>
        <w:rPr>
          <w:rFonts w:ascii="Cambria Math" w:hAnsi="Cambria Math" w:cs="Cambria Math"/>
          <w:sz w:val="24"/>
          <w:szCs w:val="24"/>
          <w:lang w:val="es-ES_tradnl"/>
        </w:rPr>
      </w:pPr>
      <w:r w:rsidRPr="000F4D2C">
        <w:rPr>
          <w:rFonts w:ascii="Cambria Math" w:hAnsi="Cambria Math" w:cs="Cambria Math"/>
          <w:sz w:val="24"/>
          <w:szCs w:val="24"/>
          <w:lang w:val="es-ES_tradnl"/>
        </w:rPr>
        <w:t>𝐶𝐹</w:t>
      </w:r>
      <w:r w:rsidRPr="000F4D2C">
        <w:rPr>
          <w:rFonts w:ascii="Cambria Math" w:hAnsi="Cambria Math" w:cs="Cambria Math"/>
          <w:sz w:val="24"/>
          <w:szCs w:val="24"/>
          <w:vertAlign w:val="subscript"/>
          <w:lang w:val="es-ES_tradnl"/>
        </w:rPr>
        <w:t>𝑚+1,t</w:t>
      </w:r>
      <w:r w:rsidRPr="000F4D2C">
        <w:rPr>
          <w:rFonts w:ascii="Cambria Math" w:hAnsi="Cambria Math" w:cs="Cambria Math"/>
          <w:sz w:val="24"/>
          <w:szCs w:val="24"/>
          <w:lang w:val="es-ES_tradnl"/>
        </w:rPr>
        <w:t xml:space="preserve"> </w:t>
      </w:r>
      <w:r w:rsidRPr="000F4D2C">
        <w:rPr>
          <w:rFonts w:ascii="Bookman Old Style" w:hAnsi="Bookman Old Style"/>
          <w:sz w:val="24"/>
          <w:szCs w:val="24"/>
          <w:lang w:val="es-ES_tradnl"/>
        </w:rPr>
        <w:t xml:space="preserve">=  </w:t>
      </w: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LC</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CS</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PG</m:t>
            </m:r>
          </m:e>
          <m:sub>
            <m:r>
              <m:rPr>
                <m:sty m:val="p"/>
              </m:rPr>
              <w:rPr>
                <w:rFonts w:ascii="Cambria Math" w:hAnsi="Cambria Math"/>
                <w:sz w:val="24"/>
                <w:szCs w:val="24"/>
                <w:lang w:val="es-ES_tradnl"/>
              </w:rPr>
              <m:t>m+1,t</m:t>
            </m:r>
          </m:sub>
        </m:sSub>
      </m:oMath>
      <w:r w:rsidRPr="000F4D2C">
        <w:rPr>
          <w:rFonts w:ascii="Cambria Math" w:hAnsi="Cambria Math" w:cs="Cambria Math"/>
          <w:sz w:val="24"/>
          <w:szCs w:val="24"/>
          <w:lang w:val="es-ES_tradnl"/>
        </w:rPr>
        <w:t xml:space="preserve"> </w:t>
      </w:r>
    </w:p>
    <w:p w14:paraId="792B503C" w14:textId="77777777" w:rsidR="00CF5EFC" w:rsidRPr="000F4D2C" w:rsidRDefault="00CF5EFC" w:rsidP="000F4D2C">
      <w:pPr>
        <w:tabs>
          <w:tab w:val="left" w:pos="4140"/>
        </w:tabs>
        <w:spacing w:after="0" w:line="240" w:lineRule="auto"/>
        <w:ind w:left="1560" w:hanging="1560"/>
        <w:jc w:val="center"/>
        <w:rPr>
          <w:rFonts w:ascii="Cambria Math" w:hAnsi="Cambria Math" w:cs="Cambria Math"/>
          <w:sz w:val="24"/>
          <w:szCs w:val="24"/>
          <w:lang w:val="es-ES_tradnl"/>
        </w:rPr>
      </w:pPr>
    </w:p>
    <w:p w14:paraId="0DB21592"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r w:rsidRPr="000F4D2C">
        <w:rPr>
          <w:rFonts w:ascii="Bookman Old Style" w:hAnsi="Bookman Old Style"/>
          <w:sz w:val="24"/>
          <w:szCs w:val="24"/>
          <w:lang w:val="es-ES_tradnl"/>
        </w:rPr>
        <w:t>Donde:</w:t>
      </w:r>
    </w:p>
    <w:p w14:paraId="03F23A9D"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p>
    <w:p w14:paraId="7EBF51D4" w14:textId="77777777" w:rsidR="00CF5EFC" w:rsidRPr="000F4D2C" w:rsidRDefault="00CF5EFC" w:rsidP="0077173B">
      <w:pPr>
        <w:pStyle w:val="Prrafodelista"/>
        <w:numPr>
          <w:ilvl w:val="0"/>
          <w:numId w:val="39"/>
        </w:numPr>
        <w:tabs>
          <w:tab w:val="left" w:pos="4140"/>
        </w:tabs>
        <w:jc w:val="both"/>
        <w:rPr>
          <w:rFonts w:ascii="Bookman Old Style" w:hAnsi="Bookman Old Style"/>
          <w:sz w:val="24"/>
          <w:szCs w:val="24"/>
          <w:lang w:val="es-ES_tradnl"/>
        </w:rPr>
      </w:pPr>
      <w:r w:rsidRPr="000F4D2C">
        <w:rPr>
          <w:rFonts w:ascii="Bookman Old Style" w:hAnsi="Bookman Old Style" w:cs="Cambria Math"/>
          <w:b/>
          <w:sz w:val="24"/>
          <w:szCs w:val="24"/>
          <w:lang w:val="es-ES_tradnl"/>
        </w:rPr>
        <w:t>Licenciamiento:</w:t>
      </w:r>
    </w:p>
    <w:p w14:paraId="0CB32615" w14:textId="662314C3" w:rsidR="00CF5EFC" w:rsidRPr="000F4D2C" w:rsidRDefault="00B560EE" w:rsidP="000F4D2C">
      <w:pPr>
        <w:tabs>
          <w:tab w:val="left" w:pos="4140"/>
        </w:tabs>
        <w:spacing w:after="0" w:line="240" w:lineRule="auto"/>
        <w:ind w:left="1560" w:hanging="1560"/>
        <w:jc w:val="both"/>
        <w:rPr>
          <w:rFonts w:ascii="Bookman Old Style" w:hAnsi="Bookman Old Style"/>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LC</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m:t>
          </m:r>
          <m:f>
            <m:fPr>
              <m:ctrlPr>
                <w:rPr>
                  <w:rFonts w:ascii="Cambria Math" w:hAnsi="Cambria Math"/>
                  <w:sz w:val="24"/>
                  <w:szCs w:val="24"/>
                  <w:lang w:val="es-ES_tradnl"/>
                </w:rPr>
              </m:ctrlPr>
            </m:fPr>
            <m:num>
              <m:sSub>
                <m:sSubPr>
                  <m:ctrlPr>
                    <w:rPr>
                      <w:rFonts w:ascii="Cambria Math" w:hAnsi="Cambria Math"/>
                      <w:sz w:val="24"/>
                      <w:szCs w:val="24"/>
                      <w:lang w:val="es-ES_tradnl"/>
                    </w:rPr>
                  </m:ctrlPr>
                </m:sSubPr>
                <m:e>
                  <m:r>
                    <m:rPr>
                      <m:sty m:val="p"/>
                    </m:rPr>
                    <w:rPr>
                      <w:rFonts w:ascii="Cambria Math" w:hAnsi="Cambria Math"/>
                      <w:sz w:val="24"/>
                      <w:szCs w:val="24"/>
                      <w:lang w:val="es-ES_tradnl"/>
                    </w:rPr>
                    <m:t>LC</m:t>
                  </m:r>
                </m:e>
                <m:sub>
                  <m:r>
                    <m:rPr>
                      <m:sty m:val="p"/>
                    </m:rPr>
                    <w:rPr>
                      <w:rFonts w:ascii="Cambria Math" w:hAnsi="Cambria Math"/>
                      <w:sz w:val="24"/>
                      <w:szCs w:val="24"/>
                      <w:lang w:val="es-ES_tradnl"/>
                    </w:rPr>
                    <m:t>t</m:t>
                  </m:r>
                </m:sub>
              </m:sSub>
            </m:num>
            <m:den>
              <m:r>
                <m:rPr>
                  <m:sty m:val="p"/>
                </m:rPr>
                <w:rPr>
                  <w:rFonts w:ascii="Cambria Math" w:hAnsi="Cambria Math"/>
                  <w:sz w:val="24"/>
                  <w:szCs w:val="24"/>
                  <w:lang w:val="es-ES_tradnl"/>
                </w:rPr>
                <m:t>12</m:t>
              </m:r>
            </m:den>
          </m:f>
        </m:oMath>
      </m:oMathPara>
    </w:p>
    <w:p w14:paraId="4FC8B50A"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p>
    <w:p w14:paraId="61D6306D"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r w:rsidRPr="000F4D2C">
        <w:rPr>
          <w:rFonts w:ascii="Cambria Math" w:hAnsi="Cambria Math" w:cs="Cambria Math"/>
          <w:sz w:val="24"/>
          <w:szCs w:val="24"/>
          <w:lang w:val="es-ES_tradnl"/>
        </w:rPr>
        <w:t>𝐿𝐶</w:t>
      </w:r>
      <w:r w:rsidRPr="000F4D2C">
        <w:rPr>
          <w:rFonts w:ascii="Cambria Math" w:hAnsi="Cambria Math" w:cs="Cambria Math"/>
          <w:sz w:val="24"/>
          <w:szCs w:val="24"/>
          <w:vertAlign w:val="subscript"/>
          <w:lang w:val="es-ES_tradnl"/>
        </w:rPr>
        <w:t>t</w:t>
      </w:r>
      <w:r w:rsidRPr="000F4D2C">
        <w:rPr>
          <w:rFonts w:ascii="Cambria Math" w:hAnsi="Cambria Math" w:cs="Cambria Math"/>
          <w:sz w:val="24"/>
          <w:szCs w:val="24"/>
          <w:lang w:val="es-ES_tradnl"/>
        </w:rPr>
        <w:t>:</w:t>
      </w:r>
      <w:r w:rsidRPr="000F4D2C">
        <w:rPr>
          <w:rFonts w:ascii="Bookman Old Style" w:hAnsi="Bookman Old Style"/>
          <w:sz w:val="24"/>
          <w:szCs w:val="24"/>
          <w:lang w:val="es-ES_tradnl"/>
        </w:rPr>
        <w:t xml:space="preserve"> </w:t>
      </w:r>
      <w:r w:rsidRPr="000F4D2C">
        <w:rPr>
          <w:rFonts w:ascii="Bookman Old Style" w:hAnsi="Bookman Old Style"/>
          <w:sz w:val="24"/>
          <w:szCs w:val="24"/>
          <w:lang w:val="es-ES_tradnl"/>
        </w:rPr>
        <w:tab/>
        <w:t>Licenciamiento y/o desarrollo de software en los sistemas de cómputo (ERP), del sistema de transporte t, reportado anualmente.</w:t>
      </w:r>
    </w:p>
    <w:p w14:paraId="0C58DCD8" w14:textId="77777777" w:rsidR="00CF5EFC" w:rsidRPr="000F4D2C" w:rsidRDefault="00CF5EFC" w:rsidP="000F4D2C">
      <w:pPr>
        <w:tabs>
          <w:tab w:val="left" w:pos="4140"/>
        </w:tabs>
        <w:spacing w:after="0" w:line="240" w:lineRule="auto"/>
        <w:jc w:val="both"/>
        <w:rPr>
          <w:rFonts w:ascii="Bookman Old Style" w:hAnsi="Bookman Old Style"/>
          <w:sz w:val="24"/>
          <w:szCs w:val="24"/>
          <w:lang w:val="es-ES_tradnl"/>
        </w:rPr>
      </w:pPr>
    </w:p>
    <w:p w14:paraId="481D1386" w14:textId="77777777" w:rsidR="00CF5EFC" w:rsidRPr="000F4D2C" w:rsidRDefault="00CF5EFC" w:rsidP="0077173B">
      <w:pPr>
        <w:pStyle w:val="Prrafodelista"/>
        <w:numPr>
          <w:ilvl w:val="0"/>
          <w:numId w:val="39"/>
        </w:numPr>
        <w:tabs>
          <w:tab w:val="left" w:pos="4140"/>
        </w:tabs>
        <w:jc w:val="both"/>
        <w:rPr>
          <w:rFonts w:ascii="Bookman Old Style" w:hAnsi="Bookman Old Style"/>
          <w:sz w:val="24"/>
          <w:szCs w:val="24"/>
          <w:lang w:val="es-ES_tradnl"/>
        </w:rPr>
      </w:pPr>
      <w:r w:rsidRPr="000F4D2C">
        <w:rPr>
          <w:rFonts w:ascii="Bookman Old Style" w:hAnsi="Bookman Old Style" w:cs="Cambria Math"/>
          <w:b/>
          <w:sz w:val="24"/>
          <w:szCs w:val="24"/>
          <w:lang w:val="es-ES_tradnl"/>
        </w:rPr>
        <w:t>Compensación gestión humana:</w:t>
      </w:r>
    </w:p>
    <w:p w14:paraId="1E82D958"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p>
    <w:p w14:paraId="1CD8BA65" w14:textId="39F53524" w:rsidR="00CF5EFC" w:rsidRPr="000F4D2C" w:rsidRDefault="00B560EE" w:rsidP="000F4D2C">
      <w:pPr>
        <w:tabs>
          <w:tab w:val="left" w:pos="4140"/>
        </w:tabs>
        <w:spacing w:after="0" w:line="240" w:lineRule="auto"/>
        <w:ind w:left="1560" w:hanging="1560"/>
        <w:jc w:val="center"/>
        <w:rPr>
          <w:rFonts w:ascii="Cambria Math" w:hAnsi="Cambria Math" w:cs="Cambria Math"/>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CS</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CM</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m:t>
          </m:r>
          <m:box>
            <m:boxPr>
              <m:ctrlPr>
                <w:rPr>
                  <w:rFonts w:ascii="Cambria Math" w:hAnsi="Cambria Math"/>
                  <w:sz w:val="24"/>
                  <w:szCs w:val="24"/>
                  <w:lang w:val="es-ES_tradnl"/>
                </w:rPr>
              </m:ctrlPr>
            </m:boxPr>
            <m:e>
              <m:argPr>
                <m:argSz m:val="-1"/>
              </m:argPr>
              <m:f>
                <m:fPr>
                  <m:ctrlPr>
                    <w:rPr>
                      <w:rFonts w:ascii="Cambria Math" w:hAnsi="Cambria Math"/>
                      <w:sz w:val="24"/>
                      <w:szCs w:val="24"/>
                      <w:lang w:val="es-ES_tradnl"/>
                    </w:rPr>
                  </m:ctrlPr>
                </m:fPr>
                <m:num>
                  <m:r>
                    <m:rPr>
                      <m:sty m:val="p"/>
                    </m:rPr>
                    <w:rPr>
                      <w:rFonts w:ascii="Cambria Math" w:hAnsi="Cambria Math"/>
                      <w:sz w:val="24"/>
                      <w:szCs w:val="24"/>
                      <w:lang w:val="es-ES_tradnl"/>
                    </w:rPr>
                    <m:t>d</m:t>
                  </m:r>
                </m:num>
                <m:den>
                  <m:r>
                    <m:rPr>
                      <m:sty m:val="p"/>
                    </m:rPr>
                    <w:rPr>
                      <w:rFonts w:ascii="Cambria Math" w:hAnsi="Cambria Math"/>
                      <w:sz w:val="24"/>
                      <w:szCs w:val="24"/>
                      <w:lang w:val="es-ES_tradnl"/>
                    </w:rPr>
                    <m:t>D</m:t>
                  </m:r>
                </m:den>
              </m:f>
            </m:e>
          </m:box>
          <m:r>
            <m:rPr>
              <m:sty m:val="p"/>
            </m:rPr>
            <w:rPr>
              <w:rFonts w:ascii="Cambria Math" w:hAnsi="Cambria Math"/>
              <w:sz w:val="24"/>
              <w:szCs w:val="24"/>
              <w:lang w:val="es-ES_tradnl"/>
            </w:rPr>
            <m:t xml:space="preserve"> </m:t>
          </m:r>
        </m:oMath>
      </m:oMathPara>
    </w:p>
    <w:p w14:paraId="41737BB9" w14:textId="4EB851AE" w:rsidR="00CF5EFC" w:rsidRPr="000F4D2C" w:rsidRDefault="00B560EE" w:rsidP="000F4D2C">
      <w:pPr>
        <w:tabs>
          <w:tab w:val="left" w:pos="4140"/>
        </w:tabs>
        <w:spacing w:after="0" w:line="240" w:lineRule="auto"/>
        <w:ind w:left="1559" w:hanging="1559"/>
        <w:jc w:val="center"/>
        <w:rPr>
          <w:rFonts w:ascii="Cambria Math" w:hAnsi="Cambria Math" w:cs="Cambria Math"/>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CM</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 </m:t>
          </m:r>
          <m:f>
            <m:fPr>
              <m:ctrlPr>
                <w:rPr>
                  <w:rFonts w:ascii="Cambria Math" w:hAnsi="Cambria Math"/>
                  <w:sz w:val="24"/>
                  <w:szCs w:val="24"/>
                  <w:lang w:val="es-ES_tradnl"/>
                </w:rPr>
              </m:ctrlPr>
            </m:fPr>
            <m:num>
              <m:sSub>
                <m:sSubPr>
                  <m:ctrlPr>
                    <w:rPr>
                      <w:rFonts w:ascii="Cambria Math" w:hAnsi="Cambria Math"/>
                      <w:sz w:val="24"/>
                      <w:szCs w:val="24"/>
                      <w:lang w:val="es-ES_tradnl"/>
                    </w:rPr>
                  </m:ctrlPr>
                </m:sSubPr>
                <m:e>
                  <m:r>
                    <m:rPr>
                      <m:sty m:val="p"/>
                    </m:rPr>
                    <w:rPr>
                      <w:rFonts w:ascii="Cambria Math" w:hAnsi="Cambria Math"/>
                      <w:sz w:val="24"/>
                      <w:szCs w:val="24"/>
                      <w:lang w:val="es-ES_tradnl"/>
                    </w:rPr>
                    <m:t>CA</m:t>
                  </m:r>
                </m:e>
                <m:sub>
                  <m:r>
                    <m:rPr>
                      <m:sty m:val="p"/>
                    </m:rPr>
                    <w:rPr>
                      <w:rFonts w:ascii="Cambria Math" w:hAnsi="Cambria Math"/>
                      <w:sz w:val="24"/>
                      <w:szCs w:val="24"/>
                      <w:lang w:val="es-ES_tradnl"/>
                    </w:rPr>
                    <m:t>t</m:t>
                  </m:r>
                </m:sub>
              </m:sSub>
            </m:num>
            <m:den>
              <m:r>
                <m:rPr>
                  <m:sty m:val="p"/>
                </m:rPr>
                <w:rPr>
                  <w:rFonts w:ascii="Cambria Math" w:hAnsi="Cambria Math"/>
                  <w:sz w:val="24"/>
                  <w:szCs w:val="24"/>
                  <w:lang w:val="es-ES_tradnl"/>
                </w:rPr>
                <m:t>12</m:t>
              </m:r>
            </m:den>
          </m:f>
        </m:oMath>
      </m:oMathPara>
    </w:p>
    <w:p w14:paraId="065E498B" w14:textId="77777777" w:rsidR="00CF5EFC" w:rsidRPr="000F4D2C" w:rsidRDefault="00CF5EFC" w:rsidP="000F4D2C">
      <w:pPr>
        <w:tabs>
          <w:tab w:val="left" w:pos="4140"/>
        </w:tabs>
        <w:spacing w:after="0" w:line="240" w:lineRule="auto"/>
        <w:ind w:left="1559" w:hanging="1559"/>
        <w:jc w:val="both"/>
        <w:rPr>
          <w:rFonts w:ascii="Cambria Math" w:hAnsi="Cambria Math" w:cs="Cambria Math"/>
          <w:sz w:val="24"/>
          <w:szCs w:val="24"/>
          <w:lang w:val="es-ES_tradnl"/>
        </w:rPr>
      </w:pPr>
      <w:r w:rsidRPr="000F4D2C">
        <w:rPr>
          <w:rFonts w:ascii="Bookman Old Style" w:hAnsi="Bookman Old Style" w:cs="Cambria Math"/>
          <w:sz w:val="24"/>
          <w:szCs w:val="24"/>
          <w:lang w:val="es-ES_tradnl"/>
        </w:rPr>
        <w:t>Donde:</w:t>
      </w:r>
    </w:p>
    <w:p w14:paraId="6A380B19" w14:textId="77777777" w:rsidR="00CF5EFC" w:rsidRPr="000F4D2C" w:rsidRDefault="00CF5EFC" w:rsidP="000F4D2C">
      <w:pPr>
        <w:tabs>
          <w:tab w:val="left" w:pos="4140"/>
        </w:tabs>
        <w:spacing w:after="0" w:line="240" w:lineRule="auto"/>
        <w:ind w:left="1559" w:hanging="1559"/>
        <w:jc w:val="both"/>
        <w:rPr>
          <w:rFonts w:ascii="Cambria Math" w:hAnsi="Cambria Math" w:cs="Cambria Math"/>
          <w:sz w:val="24"/>
          <w:szCs w:val="24"/>
          <w:lang w:val="es-ES_tradnl"/>
        </w:rPr>
      </w:pPr>
      <w:r w:rsidRPr="000F4D2C">
        <w:rPr>
          <w:rFonts w:ascii="Cambria Math" w:hAnsi="Cambria Math" w:cs="Cambria Math"/>
          <w:sz w:val="24"/>
          <w:szCs w:val="24"/>
          <w:lang w:val="es-ES_tradnl"/>
        </w:rPr>
        <w:t>𝐶𝑆</w:t>
      </w:r>
      <w:r w:rsidRPr="000F4D2C">
        <w:rPr>
          <w:rFonts w:ascii="Cambria Math" w:hAnsi="Cambria Math" w:cs="Cambria Math"/>
          <w:sz w:val="24"/>
          <w:szCs w:val="24"/>
          <w:vertAlign w:val="subscript"/>
          <w:lang w:val="es-ES_tradnl"/>
        </w:rPr>
        <w:t>𝑚+1</w:t>
      </w:r>
      <w:r w:rsidRPr="000F4D2C">
        <w:rPr>
          <w:rFonts w:ascii="Cambria Math" w:hAnsi="Cambria Math" w:cs="Cambria Math"/>
          <w:sz w:val="24"/>
          <w:szCs w:val="24"/>
          <w:lang w:val="es-ES_tradnl"/>
        </w:rPr>
        <w:t>:</w:t>
      </w:r>
      <w:r w:rsidRPr="000F4D2C">
        <w:rPr>
          <w:rFonts w:ascii="Cambria Math" w:hAnsi="Cambria Math" w:cs="Cambria Math"/>
          <w:sz w:val="24"/>
          <w:szCs w:val="24"/>
          <w:lang w:val="es-ES_tradnl"/>
        </w:rPr>
        <w:tab/>
      </w:r>
      <w:r w:rsidRPr="000F4D2C">
        <w:rPr>
          <w:rFonts w:ascii="Bookman Old Style" w:hAnsi="Bookman Old Style"/>
          <w:sz w:val="24"/>
          <w:szCs w:val="24"/>
          <w:lang w:val="es-ES_tradnl"/>
        </w:rPr>
        <w:t xml:space="preserve">Compensación por la gestión humana para el mes </w:t>
      </w:r>
      <w:r w:rsidRPr="000F4D2C">
        <w:rPr>
          <w:rFonts w:ascii="Cambria Math" w:hAnsi="Cambria Math" w:cs="Cambria Math"/>
          <w:sz w:val="24"/>
          <w:szCs w:val="24"/>
          <w:lang w:val="es-ES_tradnl"/>
        </w:rPr>
        <w:t>𝑚+1</w:t>
      </w:r>
      <w:r w:rsidRPr="000F4D2C">
        <w:rPr>
          <w:rFonts w:ascii="Bookman Old Style" w:hAnsi="Bookman Old Style" w:cs="Cambria Math"/>
          <w:sz w:val="24"/>
          <w:szCs w:val="24"/>
          <w:lang w:val="es-ES_tradnl"/>
        </w:rPr>
        <w:t xml:space="preserve">, por las actividades de liquidación, facturación, recaudo y transferencia de recursos asociados a proyectos </w:t>
      </w:r>
      <w:r w:rsidRPr="000F4D2C">
        <w:rPr>
          <w:rFonts w:ascii="Cambria Math" w:hAnsi="Cambria Math" w:cs="Cambria Math"/>
          <w:sz w:val="24"/>
          <w:szCs w:val="24"/>
          <w:lang w:val="es-ES_tradnl"/>
        </w:rPr>
        <w:t>𝑃𝐴𝐺N</w:t>
      </w:r>
      <w:r w:rsidRPr="000F4D2C">
        <w:rPr>
          <w:rFonts w:ascii="Bookman Old Style" w:hAnsi="Bookman Old Style" w:cs="Cambria Math"/>
          <w:sz w:val="24"/>
          <w:szCs w:val="24"/>
          <w:lang w:val="es-ES_tradnl"/>
        </w:rPr>
        <w:t xml:space="preserve">. </w:t>
      </w:r>
    </w:p>
    <w:p w14:paraId="030EA15E" w14:textId="7AE990C3" w:rsidR="00CF5EFC" w:rsidRPr="000F4D2C" w:rsidRDefault="00B560EE" w:rsidP="000F4D2C">
      <w:pPr>
        <w:tabs>
          <w:tab w:val="left" w:pos="4140"/>
        </w:tabs>
        <w:spacing w:after="0" w:line="240" w:lineRule="auto"/>
        <w:ind w:left="1559" w:hanging="1559"/>
        <w:jc w:val="both"/>
        <w:rPr>
          <w:rFonts w:ascii="Bookman Old Style" w:hAnsi="Bookman Old Style"/>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CA</m:t>
            </m:r>
          </m:e>
          <m:sub>
            <m:r>
              <m:rPr>
                <m:sty m:val="p"/>
              </m:rPr>
              <w:rPr>
                <w:rFonts w:ascii="Cambria Math" w:hAnsi="Cambria Math"/>
                <w:sz w:val="24"/>
                <w:szCs w:val="24"/>
                <w:lang w:val="es-ES_tradnl"/>
              </w:rPr>
              <m:t>t</m:t>
            </m:r>
          </m:sub>
        </m:sSub>
      </m:oMath>
      <w:r w:rsidR="00CF5EFC" w:rsidRPr="000F4D2C">
        <w:rPr>
          <w:rFonts w:ascii="Cambria Math" w:hAnsi="Cambria Math" w:cs="Cambria Math"/>
          <w:sz w:val="24"/>
          <w:szCs w:val="24"/>
          <w:lang w:val="es-ES_tradnl"/>
        </w:rPr>
        <w:t xml:space="preserve">: </w:t>
      </w:r>
      <w:r w:rsidR="00CF5EFC" w:rsidRPr="000F4D2C">
        <w:rPr>
          <w:rFonts w:ascii="Cambria Math" w:hAnsi="Cambria Math" w:cs="Cambria Math"/>
          <w:sz w:val="24"/>
          <w:szCs w:val="24"/>
          <w:lang w:val="es-ES_tradnl"/>
        </w:rPr>
        <w:tab/>
      </w:r>
      <w:r w:rsidR="00CF5EFC" w:rsidRPr="000F4D2C">
        <w:rPr>
          <w:rFonts w:ascii="Bookman Old Style" w:hAnsi="Bookman Old Style"/>
          <w:sz w:val="24"/>
          <w:szCs w:val="24"/>
          <w:lang w:val="es-ES_tradnl"/>
        </w:rPr>
        <w:t xml:space="preserve">Costo promedio anual para el empleador por el talento humano capacitado para la función requerida, en tiempo completo, </w:t>
      </w:r>
      <w:r w:rsidR="00CF5EFC" w:rsidRPr="000F4D2C">
        <w:rPr>
          <w:rFonts w:ascii="Bookman Old Style" w:hAnsi="Bookman Old Style"/>
          <w:sz w:val="24"/>
          <w:szCs w:val="24"/>
        </w:rPr>
        <w:t xml:space="preserve">en el sistema de transporte </w:t>
      </w:r>
      <w:r w:rsidR="00CF5EFC" w:rsidRPr="000F4D2C">
        <w:rPr>
          <w:rFonts w:ascii="Cambria Math" w:hAnsi="Cambria Math" w:cs="Cambria Math"/>
          <w:sz w:val="24"/>
          <w:szCs w:val="24"/>
        </w:rPr>
        <w:t>t</w:t>
      </w:r>
      <w:r w:rsidR="00CF5EFC" w:rsidRPr="000F4D2C">
        <w:rPr>
          <w:rFonts w:ascii="Bookman Old Style" w:hAnsi="Bookman Old Style"/>
          <w:sz w:val="24"/>
          <w:szCs w:val="24"/>
          <w:lang w:val="es-ES_tradnl"/>
        </w:rPr>
        <w:t xml:space="preserve">. </w:t>
      </w:r>
    </w:p>
    <w:p w14:paraId="63513A1C" w14:textId="1A834FD3" w:rsidR="00CF5EFC" w:rsidRPr="000F4D2C" w:rsidRDefault="00B560EE" w:rsidP="000F4D2C">
      <w:pPr>
        <w:tabs>
          <w:tab w:val="left" w:pos="4140"/>
        </w:tabs>
        <w:spacing w:after="0" w:line="240" w:lineRule="auto"/>
        <w:ind w:left="1559" w:hanging="1559"/>
        <w:jc w:val="both"/>
        <w:rPr>
          <w:rFonts w:ascii="Bookman Old Style" w:hAnsi="Bookman Old Style"/>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CM</m:t>
            </m:r>
          </m:e>
          <m:sub>
            <m:r>
              <m:rPr>
                <m:sty m:val="p"/>
              </m:rPr>
              <w:rPr>
                <w:rFonts w:ascii="Cambria Math" w:hAnsi="Cambria Math"/>
                <w:sz w:val="24"/>
                <w:szCs w:val="24"/>
                <w:lang w:val="es-ES_tradnl"/>
              </w:rPr>
              <m:t>m+1,t</m:t>
            </m:r>
          </m:sub>
        </m:sSub>
      </m:oMath>
      <w:r w:rsidR="00CF5EFC" w:rsidRPr="000F4D2C">
        <w:rPr>
          <w:rFonts w:ascii="Cambria Math" w:hAnsi="Cambria Math" w:cs="Cambria Math"/>
          <w:sz w:val="24"/>
          <w:szCs w:val="24"/>
          <w:lang w:val="es-ES_tradnl"/>
        </w:rPr>
        <w:t xml:space="preserve">: </w:t>
      </w:r>
      <w:r w:rsidR="00CF5EFC" w:rsidRPr="000F4D2C">
        <w:rPr>
          <w:rFonts w:ascii="Cambria Math" w:hAnsi="Cambria Math" w:cs="Cambria Math"/>
          <w:sz w:val="24"/>
          <w:szCs w:val="24"/>
          <w:lang w:val="es-ES_tradnl"/>
        </w:rPr>
        <w:tab/>
      </w:r>
      <w:r w:rsidR="00CF5EFC" w:rsidRPr="000F4D2C">
        <w:rPr>
          <w:rFonts w:ascii="Bookman Old Style" w:hAnsi="Bookman Old Style"/>
          <w:sz w:val="24"/>
          <w:szCs w:val="24"/>
          <w:lang w:val="es-ES_tradnl"/>
        </w:rPr>
        <w:t xml:space="preserve">Costo promedio mensual para el empleador del recurso humano capacitado para la función requerida, en tiempo completo, </w:t>
      </w:r>
      <w:r w:rsidR="00CF5EFC" w:rsidRPr="000F4D2C">
        <w:rPr>
          <w:rFonts w:ascii="Bookman Old Style" w:hAnsi="Bookman Old Style"/>
          <w:sz w:val="24"/>
          <w:szCs w:val="24"/>
        </w:rPr>
        <w:t xml:space="preserve">en el sistema de transporte </w:t>
      </w:r>
      <w:r w:rsidR="00CF5EFC" w:rsidRPr="000F4D2C">
        <w:rPr>
          <w:rFonts w:ascii="Cambria Math" w:hAnsi="Cambria Math" w:cs="Cambria Math"/>
          <w:sz w:val="24"/>
          <w:szCs w:val="24"/>
        </w:rPr>
        <w:t>t</w:t>
      </w:r>
      <w:r w:rsidR="00CF5EFC" w:rsidRPr="000F4D2C">
        <w:rPr>
          <w:rFonts w:ascii="Bookman Old Style" w:hAnsi="Bookman Old Style"/>
          <w:sz w:val="24"/>
          <w:szCs w:val="24"/>
          <w:lang w:val="es-ES_tradnl"/>
        </w:rPr>
        <w:t xml:space="preserve">. </w:t>
      </w:r>
    </w:p>
    <w:p w14:paraId="3E2F2F66" w14:textId="77777777" w:rsidR="00CF5EFC" w:rsidRPr="000F4D2C" w:rsidRDefault="00CF5EFC" w:rsidP="000F4D2C">
      <w:pPr>
        <w:tabs>
          <w:tab w:val="left" w:pos="4140"/>
        </w:tabs>
        <w:spacing w:after="0" w:line="240" w:lineRule="auto"/>
        <w:ind w:left="1559" w:hanging="1559"/>
        <w:jc w:val="both"/>
        <w:rPr>
          <w:rFonts w:ascii="Bookman Old Style" w:hAnsi="Bookman Old Style"/>
          <w:sz w:val="24"/>
          <w:szCs w:val="24"/>
          <w:lang w:val="es-ES_tradnl"/>
        </w:rPr>
      </w:pPr>
      <w:r w:rsidRPr="000F4D2C">
        <w:rPr>
          <w:rFonts w:ascii="Cambria Math" w:hAnsi="Cambria Math" w:cs="Cambria Math"/>
          <w:sz w:val="24"/>
          <w:szCs w:val="24"/>
          <w:lang w:val="es-ES_tradnl"/>
        </w:rPr>
        <w:t>𝑑</w:t>
      </w:r>
      <w:r w:rsidRPr="000F4D2C">
        <w:rPr>
          <w:rFonts w:ascii="Bookman Old Style" w:hAnsi="Bookman Old Style"/>
          <w:sz w:val="24"/>
          <w:szCs w:val="24"/>
          <w:lang w:val="es-ES_tradnl"/>
        </w:rPr>
        <w:t xml:space="preserve">: </w:t>
      </w:r>
      <w:r w:rsidRPr="000F4D2C">
        <w:rPr>
          <w:rFonts w:ascii="Bookman Old Style" w:hAnsi="Bookman Old Style"/>
          <w:sz w:val="24"/>
          <w:szCs w:val="24"/>
          <w:lang w:val="es-ES_tradnl"/>
        </w:rPr>
        <w:tab/>
        <w:t>Días del mes por el talento humano dedicado para la función requerida.</w:t>
      </w:r>
    </w:p>
    <w:p w14:paraId="587AC329" w14:textId="6F207B8C" w:rsidR="00CF5EFC" w:rsidRPr="000F4D2C" w:rsidRDefault="00CF5EFC" w:rsidP="000F4D2C">
      <w:pPr>
        <w:tabs>
          <w:tab w:val="left" w:pos="4140"/>
        </w:tabs>
        <w:spacing w:after="0" w:line="240" w:lineRule="auto"/>
        <w:ind w:left="1559" w:hanging="1559"/>
        <w:jc w:val="both"/>
        <w:rPr>
          <w:rFonts w:ascii="Bookman Old Style" w:hAnsi="Bookman Old Style"/>
          <w:sz w:val="24"/>
          <w:szCs w:val="24"/>
        </w:rPr>
      </w:pPr>
      <w:r w:rsidRPr="000F4D2C">
        <w:rPr>
          <w:rFonts w:ascii="Cambria Math" w:hAnsi="Cambria Math" w:cs="Cambria Math"/>
          <w:sz w:val="24"/>
          <w:szCs w:val="24"/>
          <w:lang w:val="es-ES_tradnl"/>
        </w:rPr>
        <w:t xml:space="preserve">𝐷: </w:t>
      </w:r>
      <w:r w:rsidRPr="000F4D2C">
        <w:rPr>
          <w:rFonts w:ascii="Cambria Math" w:hAnsi="Cambria Math" w:cs="Cambria Math"/>
          <w:sz w:val="24"/>
          <w:szCs w:val="24"/>
          <w:lang w:val="es-ES_tradnl"/>
        </w:rPr>
        <w:tab/>
      </w:r>
      <w:r w:rsidRPr="000F4D2C">
        <w:rPr>
          <w:rFonts w:ascii="Bookman Old Style" w:hAnsi="Bookman Old Style"/>
          <w:sz w:val="24"/>
          <w:szCs w:val="24"/>
          <w:lang w:val="es-ES_tradnl"/>
        </w:rPr>
        <w:t>Días laborales por mes</w:t>
      </w:r>
    </w:p>
    <w:p w14:paraId="789DD522" w14:textId="77777777" w:rsidR="00CF5EFC" w:rsidRPr="000F4D2C" w:rsidRDefault="00CF5EFC" w:rsidP="000F4D2C">
      <w:pPr>
        <w:spacing w:after="0" w:line="240" w:lineRule="auto"/>
        <w:rPr>
          <w:rFonts w:ascii="Bookman Old Style" w:hAnsi="Bookman Old Style"/>
          <w:sz w:val="24"/>
          <w:szCs w:val="24"/>
        </w:rPr>
      </w:pPr>
    </w:p>
    <w:p w14:paraId="5A066001" w14:textId="77777777" w:rsidR="00CF5EFC" w:rsidRPr="000F4D2C" w:rsidRDefault="00CF5EFC" w:rsidP="0077173B">
      <w:pPr>
        <w:pStyle w:val="Prrafodelista"/>
        <w:numPr>
          <w:ilvl w:val="0"/>
          <w:numId w:val="39"/>
        </w:numPr>
        <w:tabs>
          <w:tab w:val="left" w:pos="4140"/>
        </w:tabs>
        <w:jc w:val="both"/>
        <w:rPr>
          <w:rFonts w:ascii="Bookman Old Style" w:hAnsi="Bookman Old Style"/>
          <w:sz w:val="24"/>
          <w:szCs w:val="24"/>
          <w:lang w:val="es-ES_tradnl"/>
        </w:rPr>
      </w:pPr>
      <w:r w:rsidRPr="000F4D2C">
        <w:rPr>
          <w:rFonts w:ascii="Bookman Old Style" w:hAnsi="Bookman Old Style" w:cs="Cambria Math"/>
          <w:b/>
          <w:sz w:val="24"/>
          <w:szCs w:val="24"/>
          <w:lang w:val="es-ES_tradnl"/>
        </w:rPr>
        <w:t>Costo financiero de la garantía:</w:t>
      </w:r>
    </w:p>
    <w:p w14:paraId="419DDA82" w14:textId="77777777" w:rsidR="00CF5EFC" w:rsidRPr="000F4D2C" w:rsidRDefault="00CF5EFC" w:rsidP="000F4D2C">
      <w:pPr>
        <w:spacing w:after="0" w:line="240" w:lineRule="auto"/>
        <w:rPr>
          <w:rFonts w:ascii="Bookman Old Style" w:hAnsi="Bookman Old Style"/>
          <w:sz w:val="24"/>
          <w:szCs w:val="24"/>
        </w:rPr>
      </w:pPr>
    </w:p>
    <w:p w14:paraId="5FD48664" w14:textId="6F1D79AC" w:rsidR="00CF5EFC" w:rsidRPr="000F4D2C" w:rsidRDefault="00B560EE" w:rsidP="000F4D2C">
      <w:pPr>
        <w:spacing w:after="0" w:line="240" w:lineRule="auto"/>
        <w:jc w:val="center"/>
        <w:rPr>
          <w:rFonts w:ascii="Bookman Old Style" w:hAnsi="Bookman Old Style"/>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PG</m:t>
              </m:r>
            </m:e>
            <m:sub>
              <m:r>
                <m:rPr>
                  <m:sty m:val="p"/>
                </m:rPr>
                <w:rPr>
                  <w:rFonts w:ascii="Cambria Math" w:hAnsi="Cambria Math"/>
                  <w:sz w:val="24"/>
                  <w:szCs w:val="24"/>
                </w:rPr>
                <m:t>m+1,t</m:t>
              </m:r>
            </m:sub>
          </m:sSub>
          <m:r>
            <m:rPr>
              <m:sty m:val="p"/>
            </m:rPr>
            <w:rPr>
              <w:rFonts w:ascii="Cambria Math" w:hAnsi="Cambria Math"/>
              <w:sz w:val="24"/>
              <w:szCs w:val="24"/>
            </w:rPr>
            <m:t xml:space="preserve">= </m:t>
          </m:r>
          <m:sSub>
            <m:sSubPr>
              <m:ctrlPr>
                <w:rPr>
                  <w:rFonts w:ascii="Cambria Math" w:hAnsi="Cambria Math"/>
                  <w:sz w:val="24"/>
                  <w:szCs w:val="24"/>
                </w:rPr>
              </m:ctrlPr>
            </m:sSubPr>
            <m:e>
              <m:r>
                <m:rPr>
                  <m:sty m:val="p"/>
                </m:rPr>
                <w:rPr>
                  <w:rFonts w:ascii="Cambria Math" w:hAnsi="Cambria Math"/>
                  <w:sz w:val="24"/>
                  <w:szCs w:val="24"/>
                </w:rPr>
                <m:t>x</m:t>
              </m:r>
            </m:e>
            <m:sub>
              <m:r>
                <m:rPr>
                  <m:sty m:val="p"/>
                </m:rPr>
                <w:rPr>
                  <w:rFonts w:ascii="Cambria Math" w:hAnsi="Cambria Math"/>
                  <w:sz w:val="24"/>
                  <w:szCs w:val="24"/>
                </w:rPr>
                <m:t>m,t</m:t>
              </m:r>
            </m:sub>
          </m:sSub>
          <m:r>
            <m:rPr>
              <m:sty m:val="p"/>
            </m:rPr>
            <w:rPr>
              <w:rFonts w:ascii="Cambria Math" w:hAnsi="Cambria Math"/>
              <w:sz w:val="24"/>
              <w:szCs w:val="24"/>
            </w:rPr>
            <m:t xml:space="preserve"> × </m:t>
          </m:r>
          <m:sSub>
            <m:sSubPr>
              <m:ctrlPr>
                <w:rPr>
                  <w:rFonts w:ascii="Cambria Math" w:hAnsi="Cambria Math"/>
                  <w:sz w:val="24"/>
                  <w:szCs w:val="24"/>
                </w:rPr>
              </m:ctrlPr>
            </m:sSubPr>
            <m:e>
              <m:r>
                <m:rPr>
                  <m:sty m:val="p"/>
                </m:rPr>
                <w:rPr>
                  <w:rFonts w:ascii="Cambria Math" w:hAnsi="Cambria Math"/>
                  <w:sz w:val="24"/>
                  <w:szCs w:val="24"/>
                </w:rPr>
                <m:t>IMT</m:t>
              </m:r>
            </m:e>
            <m:sub>
              <m:r>
                <m:rPr>
                  <m:sty m:val="p"/>
                </m:rPr>
                <w:rPr>
                  <w:rFonts w:ascii="Cambria Math" w:hAnsi="Cambria Math"/>
                  <w:sz w:val="24"/>
                  <w:szCs w:val="24"/>
                </w:rPr>
                <m:t>m,t</m:t>
              </m:r>
            </m:sub>
          </m:sSub>
        </m:oMath>
      </m:oMathPara>
    </w:p>
    <w:p w14:paraId="77348A02" w14:textId="77777777" w:rsidR="00CF5EFC" w:rsidRPr="000F4D2C" w:rsidRDefault="00CF5EFC" w:rsidP="000F4D2C">
      <w:pPr>
        <w:spacing w:after="0" w:line="240" w:lineRule="auto"/>
        <w:rPr>
          <w:rFonts w:ascii="Bookman Old Style" w:hAnsi="Bookman Old Style"/>
          <w:sz w:val="24"/>
          <w:szCs w:val="24"/>
        </w:rPr>
      </w:pPr>
      <w:r w:rsidRPr="000F4D2C">
        <w:rPr>
          <w:rFonts w:ascii="Bookman Old Style" w:hAnsi="Bookman Old Style"/>
          <w:sz w:val="24"/>
          <w:szCs w:val="24"/>
        </w:rPr>
        <w:t>Donde:</w:t>
      </w:r>
    </w:p>
    <w:p w14:paraId="359F6D35" w14:textId="2532002E" w:rsidR="00CF5EFC" w:rsidRPr="000F4D2C" w:rsidRDefault="00B560EE" w:rsidP="000F4D2C">
      <w:pPr>
        <w:spacing w:after="0" w:line="240" w:lineRule="auto"/>
        <w:ind w:left="1410" w:hanging="141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PG</m:t>
            </m:r>
          </m:e>
          <m:sub>
            <m:r>
              <m:rPr>
                <m:sty m:val="p"/>
              </m:rPr>
              <w:rPr>
                <w:rFonts w:ascii="Cambria Math" w:hAnsi="Cambria Math"/>
                <w:sz w:val="24"/>
                <w:szCs w:val="24"/>
              </w:rPr>
              <m:t>m+1,t</m:t>
            </m:r>
          </m:sub>
        </m:sSub>
        <m:r>
          <w:rPr>
            <w:rFonts w:ascii="Cambria Math" w:hAnsi="Cambria Math"/>
            <w:sz w:val="24"/>
            <w:szCs w:val="24"/>
          </w:rPr>
          <m:t>:</m:t>
        </m:r>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r>
      <w:r w:rsidR="00CF5EFC" w:rsidRPr="000F4D2C">
        <w:rPr>
          <w:rFonts w:ascii="Bookman Old Style" w:hAnsi="Bookman Old Style"/>
          <w:sz w:val="24"/>
          <w:szCs w:val="24"/>
        </w:rPr>
        <w:tab/>
        <w:t xml:space="preserve">Costo financiero por la constitución de la garantía de pago incurrido por el transportador del sistema de transporte t, en el mes m+1, a favor del adjudicatario del proyecto PAGN. </w:t>
      </w:r>
    </w:p>
    <w:p w14:paraId="402D551C" w14:textId="78FD88B4" w:rsidR="00CF5EFC" w:rsidRPr="000F4D2C" w:rsidRDefault="00B560EE" w:rsidP="000F4D2C">
      <w:pPr>
        <w:spacing w:after="0" w:line="240" w:lineRule="auto"/>
        <w:ind w:left="1410" w:hanging="1410"/>
        <w:jc w:val="both"/>
        <w:rPr>
          <w:rFonts w:ascii="Bookman Old Style" w:hAnsi="Bookman Old Style" w:cs="Cambria Math"/>
          <w:sz w:val="24"/>
          <w:szCs w:val="24"/>
        </w:rPr>
      </w:pPr>
      <m:oMath>
        <m:sSub>
          <m:sSubPr>
            <m:ctrlPr>
              <w:rPr>
                <w:rFonts w:ascii="Cambria Math" w:hAnsi="Cambria Math"/>
                <w:sz w:val="24"/>
                <w:szCs w:val="24"/>
              </w:rPr>
            </m:ctrlPr>
          </m:sSubPr>
          <m:e>
            <m:r>
              <m:rPr>
                <m:sty m:val="p"/>
              </m:rPr>
              <w:rPr>
                <w:rFonts w:ascii="Cambria Math" w:hAnsi="Cambria Math"/>
                <w:sz w:val="24"/>
                <w:szCs w:val="24"/>
              </w:rPr>
              <m:t>x</m:t>
            </m:r>
          </m:e>
          <m:sub>
            <m:r>
              <m:rPr>
                <m:sty m:val="p"/>
              </m:rPr>
              <w:rPr>
                <w:rFonts w:ascii="Cambria Math" w:hAnsi="Cambria Math"/>
                <w:sz w:val="24"/>
                <w:szCs w:val="24"/>
              </w:rPr>
              <m:t>m+1,t</m:t>
            </m:r>
          </m:sub>
        </m:sSub>
      </m:oMath>
      <w:r w:rsidR="00CF5EFC" w:rsidRPr="000F4D2C">
        <w:rPr>
          <w:rFonts w:ascii="Bookman Old Style" w:hAnsi="Bookman Old Style" w:cs="Cambria Math"/>
          <w:sz w:val="24"/>
          <w:szCs w:val="24"/>
        </w:rPr>
        <w:t xml:space="preserve">: </w:t>
      </w:r>
      <w:r w:rsidR="00CF5EFC" w:rsidRPr="000F4D2C">
        <w:rPr>
          <w:rFonts w:ascii="Bookman Old Style" w:hAnsi="Bookman Old Style" w:cs="Cambria Math"/>
          <w:sz w:val="24"/>
          <w:szCs w:val="24"/>
        </w:rPr>
        <w:tab/>
      </w:r>
      <w:r w:rsidR="00CF5EFC" w:rsidRPr="000F4D2C">
        <w:rPr>
          <w:rFonts w:ascii="Bookman Old Style" w:hAnsi="Bookman Old Style" w:cs="Cambria Math"/>
          <w:sz w:val="24"/>
          <w:szCs w:val="24"/>
        </w:rPr>
        <w:tab/>
        <w:t>Tasa de interés efectiva mensual a aplicar por el transportador del sistema de transporte t, en el mes m+1, que refleja el costo financiero de la garantía de pago a favor del adjudicatario del proyecto PAGN.</w:t>
      </w:r>
    </w:p>
    <w:p w14:paraId="2626D842" w14:textId="77777777" w:rsidR="00CF5EFC" w:rsidRPr="000F4D2C" w:rsidRDefault="00CF5EFC" w:rsidP="000F4D2C">
      <w:pPr>
        <w:spacing w:after="0" w:line="240" w:lineRule="auto"/>
        <w:rPr>
          <w:rFonts w:ascii="Bookman Old Style" w:hAnsi="Bookman Old Style"/>
          <w:sz w:val="24"/>
          <w:szCs w:val="24"/>
        </w:rPr>
      </w:pPr>
    </w:p>
    <w:p w14:paraId="3B432196" w14:textId="77777777" w:rsidR="00CF5EFC" w:rsidRPr="000F4D2C" w:rsidRDefault="00CF5EFC" w:rsidP="000F4D2C">
      <w:pPr>
        <w:spacing w:after="0" w:line="240" w:lineRule="auto"/>
        <w:jc w:val="both"/>
        <w:rPr>
          <w:rFonts w:ascii="Bookman Old Style" w:hAnsi="Bookman Old Style"/>
          <w:sz w:val="24"/>
          <w:szCs w:val="24"/>
        </w:rPr>
      </w:pPr>
      <w:r w:rsidRPr="000F4D2C">
        <w:rPr>
          <w:rFonts w:ascii="Bookman Old Style" w:hAnsi="Bookman Old Style"/>
          <w:sz w:val="24"/>
          <w:szCs w:val="24"/>
        </w:rPr>
        <w:t xml:space="preserve">El costo de la garantía para el mes </w:t>
      </w:r>
      <w:r w:rsidRPr="000F4D2C">
        <w:rPr>
          <w:rFonts w:ascii="Cambria Math" w:hAnsi="Cambria Math" w:cs="Cambria Math"/>
          <w:sz w:val="24"/>
          <w:szCs w:val="24"/>
        </w:rPr>
        <w:t>𝑚+1</w:t>
      </w:r>
      <w:r w:rsidRPr="000F4D2C">
        <w:rPr>
          <w:rFonts w:ascii="Bookman Old Style" w:hAnsi="Bookman Old Style"/>
          <w:sz w:val="24"/>
          <w:szCs w:val="24"/>
        </w:rPr>
        <w:t xml:space="preserve"> equivale al costo financiero expresado como el interés efectivo mensual. El valor a ser considerado como costo financiero deberá ser informado a la CREG de acuerdo con el formato de reporte de información que se publicará mediante circular de la dirección ejecutiva. El transportador deberá reportar en dicho formato, el costo financiero a ser reconocido en el siguiente año calendario. Dicho valor será verificado en el año de aplicación, sustentado con la presentación de la garantía constituida.</w:t>
      </w:r>
    </w:p>
    <w:p w14:paraId="196C4785" w14:textId="77777777" w:rsidR="00CF5EFC" w:rsidRPr="000F4D2C" w:rsidRDefault="00CF5EFC" w:rsidP="000F4D2C">
      <w:pPr>
        <w:spacing w:after="0" w:line="240" w:lineRule="auto"/>
        <w:jc w:val="both"/>
        <w:rPr>
          <w:rFonts w:ascii="Bookman Old Style" w:hAnsi="Bookman Old Style"/>
          <w:sz w:val="24"/>
          <w:szCs w:val="24"/>
        </w:rPr>
      </w:pPr>
    </w:p>
    <w:p w14:paraId="6A006C7D" w14:textId="038B46BF" w:rsidR="00CF5EFC" w:rsidRPr="000F4D2C" w:rsidRDefault="00CF5EFC" w:rsidP="000F4D2C">
      <w:pPr>
        <w:tabs>
          <w:tab w:val="left" w:pos="4140"/>
        </w:tabs>
        <w:spacing w:after="0" w:line="240" w:lineRule="auto"/>
        <w:jc w:val="both"/>
        <w:rPr>
          <w:rFonts w:ascii="Bookman Old Style" w:hAnsi="Bookman Old Style"/>
          <w:sz w:val="24"/>
          <w:szCs w:val="24"/>
          <w:u w:val="single"/>
          <w:lang w:val="es-ES_tradnl"/>
        </w:rPr>
      </w:pPr>
      <w:r w:rsidRPr="000F4D2C">
        <w:rPr>
          <w:rFonts w:ascii="Bookman Old Style" w:hAnsi="Bookman Old Style" w:cs="Cambria Math"/>
          <w:b/>
          <w:sz w:val="24"/>
          <w:szCs w:val="24"/>
          <w:u w:val="single"/>
          <w:lang w:val="es-ES_tradnl"/>
        </w:rPr>
        <w:t>COSTOS VARIABLES</w:t>
      </w:r>
    </w:p>
    <w:p w14:paraId="2D4EF9F0" w14:textId="77777777" w:rsidR="00CF5EFC" w:rsidRPr="000F4D2C" w:rsidRDefault="00CF5EFC" w:rsidP="000F4D2C">
      <w:pPr>
        <w:spacing w:after="0" w:line="240" w:lineRule="auto"/>
        <w:jc w:val="both"/>
        <w:rPr>
          <w:rFonts w:ascii="Bookman Old Style" w:hAnsi="Bookman Old Style"/>
          <w:sz w:val="24"/>
          <w:szCs w:val="24"/>
        </w:rPr>
      </w:pPr>
    </w:p>
    <w:p w14:paraId="49D72FB3" w14:textId="3DFBB108" w:rsidR="00CF5EFC" w:rsidRPr="000F4D2C" w:rsidRDefault="00B560EE" w:rsidP="000F4D2C">
      <w:pPr>
        <w:spacing w:after="0" w:line="240" w:lineRule="auto"/>
        <w:jc w:val="both"/>
        <w:rPr>
          <w:rFonts w:ascii="Bookman Old Style" w:hAnsi="Bookman Old Style"/>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CV</m:t>
              </m:r>
            </m:e>
            <m:sub>
              <m:r>
                <m:rPr>
                  <m:sty m:val="p"/>
                </m:rPr>
                <w:rPr>
                  <w:rFonts w:ascii="Cambria Math" w:hAnsi="Cambria Math"/>
                  <w:sz w:val="24"/>
                  <w:szCs w:val="24"/>
                </w:rPr>
                <m:t>m+1,t,j</m:t>
              </m:r>
            </m:sub>
          </m:sSub>
          <m:r>
            <m:rPr>
              <m:sty m:val="p"/>
            </m:rPr>
            <w:rPr>
              <w:rFonts w:ascii="Cambria Math" w:hAnsi="Cambria Math"/>
              <w:sz w:val="24"/>
              <w:szCs w:val="24"/>
            </w:rPr>
            <m:t xml:space="preserve"> = </m:t>
          </m:r>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Rm</m:t>
                  </m:r>
                </m:e>
                <m:sub>
                  <m:r>
                    <m:rPr>
                      <m:sty m:val="p"/>
                    </m:rPr>
                    <w:rPr>
                      <w:rFonts w:ascii="Cambria Math" w:hAnsi="Cambria Math"/>
                      <w:sz w:val="24"/>
                      <w:szCs w:val="24"/>
                    </w:rPr>
                    <m:t>m,t</m:t>
                  </m:r>
                </m:sub>
              </m:sSub>
              <m:r>
                <m:rPr>
                  <m:sty m:val="p"/>
                </m:rPr>
                <w:rPr>
                  <w:rFonts w:ascii="Cambria Math" w:hAnsi="Cambria Math"/>
                  <w:sz w:val="24"/>
                  <w:szCs w:val="24"/>
                </w:rPr>
                <m:t xml:space="preserve"> × </m:t>
              </m:r>
              <m:sSub>
                <m:sSubPr>
                  <m:ctrlPr>
                    <w:rPr>
                      <w:rFonts w:ascii="Cambria Math" w:hAnsi="Cambria Math"/>
                      <w:sz w:val="24"/>
                      <w:szCs w:val="24"/>
                    </w:rPr>
                  </m:ctrlPr>
                </m:sSubPr>
                <m:e>
                  <m:r>
                    <m:rPr>
                      <m:sty m:val="p"/>
                    </m:rPr>
                    <w:rPr>
                      <w:rFonts w:ascii="Cambria Math" w:hAnsi="Cambria Math"/>
                      <w:sz w:val="24"/>
                      <w:szCs w:val="24"/>
                    </w:rPr>
                    <m:t>dm</m:t>
                  </m:r>
                </m:e>
                <m:sub>
                  <m:r>
                    <m:rPr>
                      <m:sty m:val="p"/>
                    </m:rPr>
                    <w:rPr>
                      <w:rFonts w:ascii="Cambria Math" w:hAnsi="Cambria Math"/>
                      <w:sz w:val="24"/>
                      <w:szCs w:val="24"/>
                    </w:rPr>
                    <m:t>m+1,t,j</m:t>
                  </m:r>
                </m:sub>
              </m:sSub>
              <m:r>
                <m:rPr>
                  <m:sty m:val="p"/>
                </m:rPr>
                <w:rPr>
                  <w:rFonts w:ascii="Cambria Math" w:hAnsi="Cambria Math"/>
                  <w:sz w:val="24"/>
                  <w:szCs w:val="24"/>
                </w:rPr>
                <m:t xml:space="preserve"> × </m:t>
              </m:r>
              <m:sSub>
                <m:sSubPr>
                  <m:ctrlPr>
                    <w:rPr>
                      <w:rFonts w:ascii="Cambria Math" w:hAnsi="Cambria Math"/>
                      <w:sz w:val="24"/>
                      <w:szCs w:val="24"/>
                    </w:rPr>
                  </m:ctrlPr>
                </m:sSubPr>
                <m:e>
                  <m:r>
                    <m:rPr>
                      <m:sty m:val="p"/>
                    </m:rPr>
                    <w:rPr>
                      <w:rFonts w:ascii="Cambria Math" w:hAnsi="Cambria Math"/>
                      <w:sz w:val="24"/>
                      <w:szCs w:val="24"/>
                    </w:rPr>
                    <m:t>SP</m:t>
                  </m:r>
                </m:e>
                <m:sub>
                  <m:r>
                    <m:rPr>
                      <m:sty m:val="p"/>
                    </m:rPr>
                    <w:rPr>
                      <w:rFonts w:ascii="Cambria Math" w:hAnsi="Cambria Math"/>
                      <w:sz w:val="24"/>
                      <w:szCs w:val="24"/>
                    </w:rPr>
                    <m:t>PAGN,m+1,t,j</m:t>
                  </m:r>
                </m:sub>
              </m:sSub>
            </m:e>
          </m:d>
        </m:oMath>
      </m:oMathPara>
    </w:p>
    <w:p w14:paraId="5F4DB2C1" w14:textId="77777777" w:rsidR="00CF5EFC" w:rsidRPr="000F4D2C" w:rsidRDefault="00CF5EFC" w:rsidP="000F4D2C">
      <w:pPr>
        <w:spacing w:after="0" w:line="240" w:lineRule="auto"/>
        <w:jc w:val="center"/>
        <w:rPr>
          <w:rFonts w:ascii="Bookman Old Style" w:hAnsi="Bookman Old Style"/>
          <w:sz w:val="24"/>
          <w:szCs w:val="24"/>
        </w:rPr>
      </w:pPr>
    </w:p>
    <w:p w14:paraId="42CF6FF4" w14:textId="77777777" w:rsidR="00CF5EFC" w:rsidRPr="000F4D2C" w:rsidRDefault="00CF5EFC" w:rsidP="000F4D2C">
      <w:pPr>
        <w:spacing w:after="0" w:line="240" w:lineRule="auto"/>
        <w:jc w:val="both"/>
        <w:rPr>
          <w:rFonts w:ascii="Bookman Old Style" w:hAnsi="Bookman Old Style"/>
          <w:sz w:val="24"/>
          <w:szCs w:val="24"/>
        </w:rPr>
      </w:pPr>
      <w:r w:rsidRPr="000F4D2C">
        <w:rPr>
          <w:rFonts w:ascii="Bookman Old Style" w:hAnsi="Bookman Old Style"/>
          <w:sz w:val="24"/>
          <w:szCs w:val="24"/>
        </w:rPr>
        <w:t>Donde:</w:t>
      </w:r>
    </w:p>
    <w:p w14:paraId="2B06B550" w14:textId="537B8D42" w:rsidR="00CF5EFC" w:rsidRPr="000F4D2C" w:rsidRDefault="00B560EE" w:rsidP="000F4D2C">
      <w:pPr>
        <w:spacing w:after="0" w:line="240" w:lineRule="auto"/>
        <w:ind w:left="1701" w:hanging="1701"/>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Rm</m:t>
            </m:r>
          </m:e>
          <m:sub>
            <m:r>
              <m:rPr>
                <m:sty m:val="p"/>
              </m:rPr>
              <w:rPr>
                <w:rFonts w:ascii="Cambria Math" w:hAnsi="Cambria Math"/>
                <w:sz w:val="24"/>
                <w:szCs w:val="24"/>
              </w:rPr>
              <m:t>m,t</m:t>
            </m:r>
          </m:sub>
        </m:sSub>
        <m:r>
          <w:rPr>
            <w:rFonts w:ascii="Cambria Math" w:hAnsi="Cambria Math"/>
            <w:sz w:val="24"/>
            <w:szCs w:val="24"/>
          </w:rPr>
          <m:t>:</m:t>
        </m:r>
      </m:oMath>
      <w:r w:rsidR="00CF5EFC" w:rsidRPr="000F4D2C">
        <w:rPr>
          <w:rFonts w:ascii="Bookman Old Style" w:hAnsi="Bookman Old Style"/>
          <w:sz w:val="24"/>
          <w:szCs w:val="24"/>
        </w:rPr>
        <w:tab/>
        <w:t xml:space="preserve">Tasa de interés moratoria diaria vigente en el mes </w:t>
      </w:r>
      <w:r w:rsidR="00CF5EFC" w:rsidRPr="000F4D2C">
        <w:rPr>
          <w:rFonts w:ascii="Cambria Math" w:hAnsi="Cambria Math" w:cs="Cambria Math"/>
          <w:sz w:val="24"/>
          <w:szCs w:val="24"/>
        </w:rPr>
        <w:t>𝑚</w:t>
      </w:r>
      <w:r w:rsidR="00CF5EFC" w:rsidRPr="000F4D2C">
        <w:rPr>
          <w:rFonts w:ascii="Bookman Old Style" w:hAnsi="Bookman Old Style"/>
          <w:sz w:val="24"/>
          <w:szCs w:val="24"/>
        </w:rPr>
        <w:t xml:space="preserve">, en el sistema de transporte </w:t>
      </w:r>
      <w:r w:rsidR="00CF5EFC" w:rsidRPr="000F4D2C">
        <w:rPr>
          <w:rFonts w:ascii="Cambria Math" w:hAnsi="Cambria Math" w:cs="Cambria Math"/>
          <w:sz w:val="24"/>
          <w:szCs w:val="24"/>
        </w:rPr>
        <w:t xml:space="preserve">t, </w:t>
      </w:r>
      <w:r w:rsidR="00CF5EFC" w:rsidRPr="000F4D2C">
        <w:rPr>
          <w:rFonts w:ascii="Bookman Old Style" w:hAnsi="Bookman Old Style"/>
          <w:sz w:val="24"/>
          <w:szCs w:val="24"/>
        </w:rPr>
        <w:t>publicada por la Superintendencia Financiera de Colombia.</w:t>
      </w:r>
    </w:p>
    <w:p w14:paraId="3B669774" w14:textId="693849AB" w:rsidR="00CF5EFC" w:rsidRPr="000F4D2C" w:rsidRDefault="00B560EE" w:rsidP="000F4D2C">
      <w:pPr>
        <w:spacing w:after="0" w:line="240" w:lineRule="auto"/>
        <w:ind w:left="1701" w:hanging="1701"/>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dm</m:t>
            </m:r>
          </m:e>
          <m:sub>
            <m:r>
              <m:rPr>
                <m:sty m:val="p"/>
              </m:rPr>
              <w:rPr>
                <w:rFonts w:ascii="Cambria Math" w:hAnsi="Cambria Math"/>
                <w:sz w:val="24"/>
                <w:szCs w:val="24"/>
              </w:rPr>
              <m:t>m+1,t,j</m:t>
            </m:r>
          </m:sub>
        </m:sSub>
        <m:r>
          <w:rPr>
            <w:rFonts w:ascii="Cambria Math" w:hAnsi="Cambria Math"/>
            <w:sz w:val="24"/>
            <w:szCs w:val="24"/>
          </w:rPr>
          <m:t>:</m:t>
        </m:r>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 xml:space="preserve">Días de mora del pago del beneficiario j, al transportador del sistema de transporte </w:t>
      </w:r>
      <w:r w:rsidR="00CF5EFC" w:rsidRPr="000F4D2C">
        <w:rPr>
          <w:rFonts w:ascii="Cambria Math" w:hAnsi="Cambria Math" w:cs="Cambria Math"/>
          <w:sz w:val="24"/>
          <w:szCs w:val="24"/>
        </w:rPr>
        <w:t xml:space="preserve">t, </w:t>
      </w:r>
      <w:r w:rsidR="00CF5EFC" w:rsidRPr="000F4D2C">
        <w:rPr>
          <w:rFonts w:ascii="Bookman Old Style" w:hAnsi="Bookman Old Style"/>
          <w:sz w:val="24"/>
          <w:szCs w:val="24"/>
        </w:rPr>
        <w:t xml:space="preserve"> en el mes m+1.</w:t>
      </w:r>
    </w:p>
    <w:p w14:paraId="69CD0B5D" w14:textId="6A98B616" w:rsidR="00CF5EFC" w:rsidRPr="000F4D2C" w:rsidRDefault="00B560EE" w:rsidP="000F4D2C">
      <w:pPr>
        <w:spacing w:after="0" w:line="240" w:lineRule="auto"/>
        <w:ind w:left="1701" w:hanging="1701"/>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SP</m:t>
            </m:r>
          </m:e>
          <m:sub>
            <m:r>
              <m:rPr>
                <m:sty m:val="p"/>
              </m:rPr>
              <w:rPr>
                <w:rFonts w:ascii="Cambria Math" w:hAnsi="Cambria Math"/>
                <w:sz w:val="24"/>
                <w:szCs w:val="24"/>
              </w:rPr>
              <m:t>PAGN,m+1,t,j</m:t>
            </m:r>
          </m:sub>
        </m:sSub>
        <m:r>
          <w:rPr>
            <w:rFonts w:ascii="Cambria Math" w:hAnsi="Cambria Math"/>
            <w:sz w:val="24"/>
            <w:szCs w:val="24"/>
          </w:rPr>
          <m:t>:</m:t>
        </m:r>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 xml:space="preserve">Saldo pendiente por pagar por el beneficiario j, por los servicios comerciales prestados por el transportador del sistema de transporte t, en el mes </w:t>
      </w:r>
      <w:r w:rsidR="00CF5EFC" w:rsidRPr="000F4D2C">
        <w:rPr>
          <w:rFonts w:ascii="Cambria Math" w:hAnsi="Cambria Math" w:cs="Cambria Math"/>
          <w:sz w:val="24"/>
          <w:szCs w:val="24"/>
        </w:rPr>
        <w:t>𝑚+1</w:t>
      </w:r>
      <w:r w:rsidR="00CF5EFC" w:rsidRPr="000F4D2C">
        <w:rPr>
          <w:rFonts w:ascii="Bookman Old Style" w:hAnsi="Bookman Old Style"/>
          <w:sz w:val="24"/>
          <w:szCs w:val="24"/>
        </w:rPr>
        <w:t xml:space="preserve">, por el proyecto </w:t>
      </w:r>
      <w:r w:rsidR="00CF5EFC" w:rsidRPr="000F4D2C">
        <w:rPr>
          <w:rFonts w:ascii="Cambria Math" w:hAnsi="Cambria Math" w:cs="Cambria Math"/>
          <w:sz w:val="24"/>
          <w:szCs w:val="24"/>
        </w:rPr>
        <w:t>𝑃𝐴𝐺N</w:t>
      </w:r>
      <w:r w:rsidR="00CF5EFC" w:rsidRPr="000F4D2C">
        <w:rPr>
          <w:rFonts w:ascii="Bookman Old Style" w:hAnsi="Bookman Old Style"/>
          <w:sz w:val="24"/>
          <w:szCs w:val="24"/>
        </w:rPr>
        <w:t xml:space="preserve">. </w:t>
      </w:r>
    </w:p>
    <w:p w14:paraId="7A39E0E6" w14:textId="77777777" w:rsidR="00CF5EFC" w:rsidRPr="000F4D2C" w:rsidRDefault="00CF5EFC" w:rsidP="000F4D2C">
      <w:pPr>
        <w:spacing w:after="0" w:line="240" w:lineRule="auto"/>
        <w:rPr>
          <w:rFonts w:ascii="Bookman Old Style" w:hAnsi="Bookman Old Style"/>
          <w:sz w:val="24"/>
          <w:szCs w:val="24"/>
        </w:rPr>
      </w:pPr>
    </w:p>
    <w:p w14:paraId="52E58E12" w14:textId="77777777" w:rsidR="00CF5EFC" w:rsidRPr="000F4D2C" w:rsidRDefault="00CF5EFC" w:rsidP="000F4D2C">
      <w:pPr>
        <w:tabs>
          <w:tab w:val="left" w:pos="4140"/>
        </w:tabs>
        <w:spacing w:after="0" w:line="240" w:lineRule="auto"/>
        <w:rPr>
          <w:rFonts w:ascii="Bookman Old Style" w:hAnsi="Bookman Old Style"/>
          <w:sz w:val="24"/>
          <w:szCs w:val="24"/>
          <w:lang w:val="es-ES_tradnl"/>
        </w:rPr>
      </w:pPr>
    </w:p>
    <w:p w14:paraId="0B149085" w14:textId="77777777" w:rsidR="00485198" w:rsidRPr="000F4D2C" w:rsidRDefault="00485198" w:rsidP="000F4D2C">
      <w:pPr>
        <w:spacing w:after="0" w:line="240" w:lineRule="auto"/>
        <w:rPr>
          <w:sz w:val="24"/>
          <w:szCs w:val="24"/>
        </w:rPr>
      </w:pPr>
    </w:p>
    <w:sectPr w:rsidR="00485198" w:rsidRPr="000F4D2C" w:rsidSect="00CF5EFC">
      <w:headerReference w:type="default" r:id="rId15"/>
      <w:headerReference w:type="first" r:id="rId16"/>
      <w:pgSz w:w="12242" w:h="18722" w:code="123"/>
      <w:pgMar w:top="2341" w:right="1185" w:bottom="1758" w:left="1701" w:header="709" w:footer="709" w:gutter="0"/>
      <w:pgBorders w:offsetFrom="page">
        <w:top w:val="single" w:sz="4" w:space="24" w:color="FFFFFF" w:themeColor="background1"/>
        <w:left w:val="single" w:sz="4" w:space="24" w:color="FFFFFF" w:themeColor="background1"/>
        <w:bottom w:val="single" w:sz="4" w:space="24" w:color="FFFFFF" w:themeColor="background1"/>
        <w:right w:val="single" w:sz="4" w:space="24" w:color="FFFFFF" w:themeColor="background1"/>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9824C" w14:textId="77777777" w:rsidR="005F40C3" w:rsidRDefault="005F40C3">
      <w:pPr>
        <w:spacing w:after="0" w:line="240" w:lineRule="auto"/>
      </w:pPr>
      <w:r>
        <w:separator/>
      </w:r>
    </w:p>
  </w:endnote>
  <w:endnote w:type="continuationSeparator" w:id="0">
    <w:p w14:paraId="1B837A6A" w14:textId="77777777" w:rsidR="005F40C3" w:rsidRDefault="005F40C3">
      <w:pPr>
        <w:spacing w:after="0" w:line="240" w:lineRule="auto"/>
      </w:pPr>
      <w:r>
        <w:continuationSeparator/>
      </w:r>
    </w:p>
  </w:endnote>
  <w:endnote w:type="continuationNotice" w:id="1">
    <w:p w14:paraId="65A8ED14" w14:textId="77777777" w:rsidR="005F40C3" w:rsidRDefault="005F40C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alatino">
    <w:altName w:val="Book Antiqua"/>
    <w:charset w:val="4D"/>
    <w:family w:val="auto"/>
    <w:pitch w:val="variable"/>
    <w:sig w:usb0="A00002FF" w:usb1="7800205A" w:usb2="14600000" w:usb3="00000000" w:csb0="00000193" w:csb1="00000000"/>
  </w:font>
  <w:font w:name="Times">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F00497" w14:textId="77777777" w:rsidR="005F40C3" w:rsidRDefault="005F40C3">
      <w:pPr>
        <w:spacing w:after="0" w:line="240" w:lineRule="auto"/>
      </w:pPr>
      <w:r>
        <w:separator/>
      </w:r>
    </w:p>
  </w:footnote>
  <w:footnote w:type="continuationSeparator" w:id="0">
    <w:p w14:paraId="512C643E" w14:textId="77777777" w:rsidR="005F40C3" w:rsidRDefault="005F40C3">
      <w:pPr>
        <w:spacing w:after="0" w:line="240" w:lineRule="auto"/>
      </w:pPr>
      <w:r>
        <w:continuationSeparator/>
      </w:r>
    </w:p>
  </w:footnote>
  <w:footnote w:type="continuationNotice" w:id="1">
    <w:p w14:paraId="5A546C23" w14:textId="77777777" w:rsidR="005F40C3" w:rsidRDefault="005F40C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EE05D" w14:textId="77777777" w:rsidR="001A39BF" w:rsidRDefault="001A39BF" w:rsidP="001A39BF">
    <w:pPr>
      <w:pStyle w:val="Ttulo1"/>
      <w:ind w:right="6"/>
      <w:jc w:val="left"/>
      <w:rPr>
        <w:rFonts w:ascii="Bookman Old Style" w:hAnsi="Bookman Old Style" w:cs="Arial"/>
        <w:b w:val="0"/>
        <w:sz w:val="22"/>
        <w:szCs w:val="22"/>
      </w:rPr>
    </w:pPr>
  </w:p>
  <w:p w14:paraId="36022A73" w14:textId="6BB17E65" w:rsidR="001A39BF" w:rsidRPr="00951F79" w:rsidRDefault="00CF5EFC" w:rsidP="001A39BF">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sidRPr="006708E7">
      <w:rPr>
        <w:rFonts w:ascii="Bookman Old Style" w:hAnsi="Bookman Old Style" w:cs="Arial"/>
        <w:bCs/>
        <w:szCs w:val="24"/>
        <w:u w:val="single"/>
      </w:rPr>
      <w:t xml:space="preserve">.  </w:t>
    </w:r>
    <w:r w:rsidR="006708E7" w:rsidRPr="006708E7">
      <w:rPr>
        <w:rFonts w:ascii="Bookman Old Style" w:hAnsi="Bookman Old Style" w:cs="Arial"/>
        <w:bCs/>
        <w:szCs w:val="24"/>
        <w:u w:val="single"/>
      </w:rPr>
      <w:t>702 005</w:t>
    </w:r>
    <w:r w:rsidRPr="00654384">
      <w:rPr>
        <w:rFonts w:ascii="Bookman Old Style" w:hAnsi="Bookman Old Style" w:cs="Arial"/>
        <w:b w:val="0"/>
        <w:sz w:val="22"/>
        <w:szCs w:val="22"/>
      </w:rPr>
      <w:tab/>
    </w:r>
    <w:r>
      <w:rPr>
        <w:rFonts w:ascii="Bookman Old Style" w:hAnsi="Bookman Old Style" w:cs="Arial"/>
        <w:b w:val="0"/>
        <w:sz w:val="22"/>
        <w:szCs w:val="22"/>
      </w:rPr>
      <w:t xml:space="preserve">DE </w:t>
    </w:r>
    <w:r w:rsidR="006708E7" w:rsidRPr="006708E7">
      <w:rPr>
        <w:rFonts w:ascii="Bookman Old Style" w:hAnsi="Bookman Old Style" w:cs="Arial"/>
        <w:bCs/>
        <w:szCs w:val="24"/>
        <w:u w:val="single"/>
      </w:rPr>
      <w:t>31 MAY. 2022</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Pr>
        <w:rFonts w:ascii="Bookman Old Style" w:hAnsi="Bookman Old Style" w:cs="Arial"/>
        <w:b w:val="0"/>
        <w:noProof/>
        <w:sz w:val="22"/>
        <w:szCs w:val="22"/>
      </w:rPr>
      <w:t>21</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Pr="004748BF">
        <w:rPr>
          <w:rFonts w:ascii="Bookman Old Style" w:hAnsi="Bookman Old Style" w:cs="Arial"/>
          <w:b w:val="0"/>
          <w:noProof/>
          <w:sz w:val="22"/>
          <w:szCs w:val="22"/>
        </w:rPr>
        <w:t>38</w:t>
      </w:r>
    </w:fldSimple>
  </w:p>
  <w:p w14:paraId="0C234F61" w14:textId="77777777" w:rsidR="001A39BF" w:rsidRDefault="00CF5EFC" w:rsidP="001A39BF">
    <w:pPr>
      <w:ind w:left="142" w:right="148"/>
      <w:rPr>
        <w:rFonts w:ascii="Bookman Old Style" w:hAnsi="Bookman Old Style" w:cs="Arial"/>
      </w:rPr>
    </w:pPr>
    <w:r>
      <w:rPr>
        <w:noProof/>
        <w:lang w:eastAsia="es-CO"/>
      </w:rPr>
      <mc:AlternateContent>
        <mc:Choice Requires="wps">
          <w:drawing>
            <wp:anchor distT="0" distB="0" distL="114300" distR="114300" simplePos="0" relativeHeight="251658240" behindDoc="0" locked="0" layoutInCell="1" allowOverlap="1" wp14:anchorId="02357109" wp14:editId="573E1087">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6BF6AC" id="Rectangle 1" o:spid="_x0000_s1026" style="position:absolute;margin-left:-13.8pt;margin-top:10.95pt;width:493.5pt;height:779.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" filled="f" strokeweight="1.5pt"/>
          </w:pict>
        </mc:Fallback>
      </mc:AlternateContent>
    </w:r>
  </w:p>
  <w:p w14:paraId="41A8E84C" w14:textId="190C421F" w:rsidR="001A39BF" w:rsidRPr="00EE3B0C" w:rsidRDefault="004B5EDD" w:rsidP="001A39BF">
    <w:pPr>
      <w:jc w:val="both"/>
      <w:rPr>
        <w:rFonts w:ascii="Bookman Old Style" w:hAnsi="Bookman Old Style"/>
      </w:rPr>
    </w:pPr>
    <w:r w:rsidRPr="004B5EDD">
      <w:rPr>
        <w:rFonts w:ascii="Bookman Old Style" w:hAnsi="Bookman Old Style" w:cs="Arial"/>
        <w:sz w:val="24"/>
        <w:szCs w:val="24"/>
      </w:rPr>
      <w:t>Proyecto de Resolución</w:t>
    </w:r>
    <w:r>
      <w:rPr>
        <w:rFonts w:ascii="Bookman Old Style" w:hAnsi="Bookman Old Style" w:cs="Arial"/>
        <w:i/>
        <w:iCs/>
        <w:sz w:val="24"/>
        <w:szCs w:val="24"/>
      </w:rPr>
      <w:t xml:space="preserve"> </w:t>
    </w:r>
    <w:r w:rsidR="006708E7" w:rsidRPr="000F4D2C">
      <w:rPr>
        <w:rFonts w:ascii="Bookman Old Style" w:hAnsi="Bookman Old Style" w:cs="Arial"/>
        <w:i/>
        <w:iCs/>
        <w:sz w:val="24"/>
        <w:szCs w:val="24"/>
      </w:rPr>
      <w:t>Por la cual se hacen unos ajustes y se compila la Resolución CREG 107 de 2017</w:t>
    </w:r>
  </w:p>
  <w:p w14:paraId="07E47DF6" w14:textId="77777777" w:rsidR="001A39BF" w:rsidRPr="00CB5DD0" w:rsidRDefault="001A39BF" w:rsidP="001A39BF">
    <w:pPr>
      <w:pBdr>
        <w:bottom w:val="single" w:sz="4" w:space="1" w:color="auto"/>
      </w:pBdr>
      <w:ind w:left="142" w:right="148"/>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2DE19" w14:textId="77777777" w:rsidR="001A39BF" w:rsidRDefault="00CF5EFC" w:rsidP="001A39BF">
    <w:pPr>
      <w:pStyle w:val="Encabezado"/>
      <w:jc w:val="both"/>
      <w:rPr>
        <w:rFonts w:ascii="Arial" w:hAnsi="Arial" w:cs="Arial"/>
        <w:spacing w:val="20"/>
        <w:sz w:val="20"/>
      </w:rPr>
    </w:pPr>
    <w:r>
      <w:rPr>
        <w:rFonts w:ascii="Arial" w:hAnsi="Arial" w:cs="Arial"/>
        <w:spacing w:val="20"/>
        <w:sz w:val="20"/>
      </w:rPr>
      <w:t xml:space="preserve">                                   República de Colombia</w:t>
    </w:r>
  </w:p>
  <w:p w14:paraId="1DDF5A92" w14:textId="77777777" w:rsidR="001A39BF" w:rsidRDefault="001A39BF">
    <w:pPr>
      <w:pStyle w:val="Encabezado"/>
      <w:jc w:val="center"/>
      <w:rPr>
        <w:rFonts w:ascii="Arial" w:hAnsi="Arial" w:cs="Arial"/>
        <w:spacing w:val="20"/>
        <w:sz w:val="20"/>
      </w:rPr>
    </w:pPr>
  </w:p>
  <w:p w14:paraId="1CA265B0" w14:textId="77777777" w:rsidR="001A39BF" w:rsidRDefault="00CF5EFC" w:rsidP="001A39BF">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030CF5F9" wp14:editId="2344FD4B">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608864" id="Rectangle 2" o:spid="_x0000_s1026" style="position:absolute;margin-left:-16.8pt;margin-top:29.7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15:restartNumberingAfterBreak="0">
    <w:nsid w:val="0000001F"/>
    <w:multiLevelType w:val="multilevel"/>
    <w:tmpl w:val="0000001F"/>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0EA3779"/>
    <w:multiLevelType w:val="hybridMultilevel"/>
    <w:tmpl w:val="D68E9794"/>
    <w:lvl w:ilvl="0" w:tplc="C2B8B2C4">
      <w:start w:val="1"/>
      <w:numFmt w:val="bullet"/>
      <w:lvlText w:val="-"/>
      <w:lvlJc w:val="left"/>
      <w:pPr>
        <w:ind w:left="720" w:hanging="360"/>
      </w:pPr>
      <w:rPr>
        <w:rFonts w:ascii="Bookman Old Style" w:eastAsia="Times New Roman" w:hAnsi="Bookman Old Style"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1D27438"/>
    <w:multiLevelType w:val="hybridMultilevel"/>
    <w:tmpl w:val="B3B6BCB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029B2E36"/>
    <w:multiLevelType w:val="multilevel"/>
    <w:tmpl w:val="C1AA0D6C"/>
    <w:lvl w:ilvl="0">
      <w:start w:val="2"/>
      <w:numFmt w:val="decimal"/>
      <w:lvlText w:val="Artículo %1."/>
      <w:lvlJc w:val="left"/>
      <w:pPr>
        <w:ind w:left="0" w:firstLine="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szCs w:val="24"/>
      </w:rPr>
    </w:lvl>
    <w:lvl w:ilvl="2">
      <w:start w:val="1"/>
      <w:numFmt w:val="decimal"/>
      <w:suff w:val="nothing"/>
      <w:lvlText w:val="%1.%2.%3. "/>
      <w:lvlJc w:val="left"/>
      <w:pPr>
        <w:ind w:left="0" w:firstLine="0"/>
      </w:pPr>
      <w:rPr>
        <w:rFonts w:ascii="Bookman Old Style" w:hAnsi="Bookman Old Style" w:hint="default"/>
        <w:b/>
        <w:i w:val="0"/>
        <w:sz w:val="24"/>
      </w:rPr>
    </w:lvl>
    <w:lvl w:ilvl="3">
      <w:start w:val="1"/>
      <w:numFmt w:val="lowerRoman"/>
      <w:lvlText w:val="(%4)"/>
      <w:lvlJc w:val="right"/>
      <w:pPr>
        <w:ind w:left="-1135" w:firstLine="0"/>
      </w:pPr>
      <w:rPr>
        <w:rFonts w:hint="default"/>
      </w:rPr>
    </w:lvl>
    <w:lvl w:ilvl="4">
      <w:start w:val="1"/>
      <w:numFmt w:val="decimal"/>
      <w:lvlText w:val="%5)"/>
      <w:lvlJc w:val="left"/>
      <w:pPr>
        <w:ind w:left="-1135" w:firstLine="0"/>
      </w:pPr>
      <w:rPr>
        <w:rFonts w:hint="default"/>
      </w:rPr>
    </w:lvl>
    <w:lvl w:ilvl="5">
      <w:start w:val="1"/>
      <w:numFmt w:val="lowerLetter"/>
      <w:lvlText w:val="%6)"/>
      <w:lvlJc w:val="left"/>
      <w:pPr>
        <w:ind w:left="-1135" w:firstLine="0"/>
      </w:pPr>
      <w:rPr>
        <w:rFonts w:hint="default"/>
      </w:rPr>
    </w:lvl>
    <w:lvl w:ilvl="6">
      <w:start w:val="1"/>
      <w:numFmt w:val="lowerRoman"/>
      <w:lvlText w:val="%7)"/>
      <w:lvlJc w:val="right"/>
      <w:pPr>
        <w:ind w:left="-1135" w:firstLine="0"/>
      </w:pPr>
      <w:rPr>
        <w:rFonts w:hint="default"/>
      </w:rPr>
    </w:lvl>
    <w:lvl w:ilvl="7">
      <w:start w:val="1"/>
      <w:numFmt w:val="lowerLetter"/>
      <w:lvlText w:val="%8."/>
      <w:lvlJc w:val="left"/>
      <w:pPr>
        <w:ind w:left="-1135" w:firstLine="0"/>
      </w:pPr>
      <w:rPr>
        <w:rFonts w:hint="default"/>
      </w:rPr>
    </w:lvl>
    <w:lvl w:ilvl="8">
      <w:start w:val="1"/>
      <w:numFmt w:val="lowerRoman"/>
      <w:lvlText w:val="%9."/>
      <w:lvlJc w:val="right"/>
      <w:pPr>
        <w:ind w:left="-1135" w:firstLine="0"/>
      </w:pPr>
      <w:rPr>
        <w:rFonts w:hint="default"/>
      </w:rPr>
    </w:lvl>
  </w:abstractNum>
  <w:abstractNum w:abstractNumId="5" w15:restartNumberingAfterBreak="0">
    <w:nsid w:val="04931845"/>
    <w:multiLevelType w:val="multilevel"/>
    <w:tmpl w:val="8634074A"/>
    <w:lvl w:ilvl="0">
      <w:start w:val="6"/>
      <w:numFmt w:val="decimal"/>
      <w:pStyle w:val="Estilo2"/>
      <w:lvlText w:val="%1"/>
      <w:lvlJc w:val="left"/>
      <w:pPr>
        <w:tabs>
          <w:tab w:val="num" w:pos="525"/>
        </w:tabs>
        <w:ind w:left="525" w:hanging="525"/>
      </w:pPr>
      <w:rPr>
        <w:rFonts w:hint="default"/>
      </w:rPr>
    </w:lvl>
    <w:lvl w:ilvl="1">
      <w:start w:val="2"/>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05362898"/>
    <w:multiLevelType w:val="hybridMultilevel"/>
    <w:tmpl w:val="088EB12C"/>
    <w:name w:val="WW8Num6423223"/>
    <w:lvl w:ilvl="0" w:tplc="2A7C39E8">
      <w:start w:val="1"/>
      <w:numFmt w:val="decimal"/>
      <w:lvlText w:val="%1."/>
      <w:lvlJc w:val="left"/>
      <w:pPr>
        <w:ind w:left="1146"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6B34277"/>
    <w:multiLevelType w:val="hybridMultilevel"/>
    <w:tmpl w:val="116A9350"/>
    <w:lvl w:ilvl="0" w:tplc="240A0001">
      <w:start w:val="1"/>
      <w:numFmt w:val="bullet"/>
      <w:lvlText w:val=""/>
      <w:lvlJc w:val="left"/>
      <w:pPr>
        <w:ind w:left="1287" w:hanging="360"/>
      </w:pPr>
      <w:rPr>
        <w:rFonts w:ascii="Symbol" w:hAnsi="Symbol" w:hint="default"/>
      </w:rPr>
    </w:lvl>
    <w:lvl w:ilvl="1" w:tplc="240A0003" w:tentative="1">
      <w:start w:val="1"/>
      <w:numFmt w:val="bullet"/>
      <w:lvlText w:val="o"/>
      <w:lvlJc w:val="left"/>
      <w:pPr>
        <w:ind w:left="2007" w:hanging="360"/>
      </w:pPr>
      <w:rPr>
        <w:rFonts w:ascii="Courier New" w:hAnsi="Courier New" w:cs="Courier New" w:hint="default"/>
      </w:rPr>
    </w:lvl>
    <w:lvl w:ilvl="2" w:tplc="240A0005" w:tentative="1">
      <w:start w:val="1"/>
      <w:numFmt w:val="bullet"/>
      <w:lvlText w:val=""/>
      <w:lvlJc w:val="left"/>
      <w:pPr>
        <w:ind w:left="2727" w:hanging="360"/>
      </w:pPr>
      <w:rPr>
        <w:rFonts w:ascii="Wingdings" w:hAnsi="Wingdings" w:hint="default"/>
      </w:rPr>
    </w:lvl>
    <w:lvl w:ilvl="3" w:tplc="240A0001" w:tentative="1">
      <w:start w:val="1"/>
      <w:numFmt w:val="bullet"/>
      <w:lvlText w:val=""/>
      <w:lvlJc w:val="left"/>
      <w:pPr>
        <w:ind w:left="3447" w:hanging="360"/>
      </w:pPr>
      <w:rPr>
        <w:rFonts w:ascii="Symbol" w:hAnsi="Symbol" w:hint="default"/>
      </w:rPr>
    </w:lvl>
    <w:lvl w:ilvl="4" w:tplc="240A0003" w:tentative="1">
      <w:start w:val="1"/>
      <w:numFmt w:val="bullet"/>
      <w:lvlText w:val="o"/>
      <w:lvlJc w:val="left"/>
      <w:pPr>
        <w:ind w:left="4167" w:hanging="360"/>
      </w:pPr>
      <w:rPr>
        <w:rFonts w:ascii="Courier New" w:hAnsi="Courier New" w:cs="Courier New" w:hint="default"/>
      </w:rPr>
    </w:lvl>
    <w:lvl w:ilvl="5" w:tplc="240A0005" w:tentative="1">
      <w:start w:val="1"/>
      <w:numFmt w:val="bullet"/>
      <w:lvlText w:val=""/>
      <w:lvlJc w:val="left"/>
      <w:pPr>
        <w:ind w:left="4887" w:hanging="360"/>
      </w:pPr>
      <w:rPr>
        <w:rFonts w:ascii="Wingdings" w:hAnsi="Wingdings" w:hint="default"/>
      </w:rPr>
    </w:lvl>
    <w:lvl w:ilvl="6" w:tplc="240A0001" w:tentative="1">
      <w:start w:val="1"/>
      <w:numFmt w:val="bullet"/>
      <w:lvlText w:val=""/>
      <w:lvlJc w:val="left"/>
      <w:pPr>
        <w:ind w:left="5607" w:hanging="360"/>
      </w:pPr>
      <w:rPr>
        <w:rFonts w:ascii="Symbol" w:hAnsi="Symbol" w:hint="default"/>
      </w:rPr>
    </w:lvl>
    <w:lvl w:ilvl="7" w:tplc="240A0003" w:tentative="1">
      <w:start w:val="1"/>
      <w:numFmt w:val="bullet"/>
      <w:lvlText w:val="o"/>
      <w:lvlJc w:val="left"/>
      <w:pPr>
        <w:ind w:left="6327" w:hanging="360"/>
      </w:pPr>
      <w:rPr>
        <w:rFonts w:ascii="Courier New" w:hAnsi="Courier New" w:cs="Courier New" w:hint="default"/>
      </w:rPr>
    </w:lvl>
    <w:lvl w:ilvl="8" w:tplc="240A0005" w:tentative="1">
      <w:start w:val="1"/>
      <w:numFmt w:val="bullet"/>
      <w:lvlText w:val=""/>
      <w:lvlJc w:val="left"/>
      <w:pPr>
        <w:ind w:left="7047" w:hanging="360"/>
      </w:pPr>
      <w:rPr>
        <w:rFonts w:ascii="Wingdings" w:hAnsi="Wingdings" w:hint="default"/>
      </w:rPr>
    </w:lvl>
  </w:abstractNum>
  <w:abstractNum w:abstractNumId="8" w15:restartNumberingAfterBreak="0">
    <w:nsid w:val="12591B89"/>
    <w:multiLevelType w:val="hybridMultilevel"/>
    <w:tmpl w:val="30BAA2EE"/>
    <w:lvl w:ilvl="0" w:tplc="7A56DACA">
      <w:start w:val="1"/>
      <w:numFmt w:val="decimal"/>
      <w:pStyle w:val="articulo"/>
      <w:lvlText w:val="Artículo %1."/>
      <w:lvlJc w:val="left"/>
      <w:pPr>
        <w:tabs>
          <w:tab w:val="num" w:pos="1440"/>
        </w:tabs>
        <w:ind w:left="0" w:firstLine="0"/>
      </w:pPr>
      <w:rPr>
        <w:b/>
        <w:i w:val="0"/>
        <w:sz w:val="24"/>
      </w:rPr>
    </w:lvl>
    <w:lvl w:ilvl="1" w:tplc="240A0019">
      <w:numFmt w:val="bullet"/>
      <w:lvlText w:val="-"/>
      <w:lvlJc w:val="left"/>
      <w:pPr>
        <w:tabs>
          <w:tab w:val="num" w:pos="1440"/>
        </w:tabs>
        <w:ind w:left="1440" w:hanging="360"/>
      </w:pPr>
      <w:rPr>
        <w:rFonts w:ascii="Times New Roman" w:eastAsia="Times New Roman" w:hAnsi="Times New Roman" w:cs="Times New Roman" w:hint="default"/>
      </w:rPr>
    </w:lvl>
    <w:lvl w:ilvl="2" w:tplc="240A001B">
      <w:start w:val="1"/>
      <w:numFmt w:val="bullet"/>
      <w:lvlText w:val=""/>
      <w:lvlJc w:val="left"/>
      <w:pPr>
        <w:tabs>
          <w:tab w:val="num" w:pos="2340"/>
        </w:tabs>
        <w:ind w:left="2340" w:hanging="360"/>
      </w:pPr>
      <w:rPr>
        <w:rFonts w:ascii="Symbol" w:hAnsi="Symbol" w:hint="default"/>
      </w:r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9" w15:restartNumberingAfterBreak="0">
    <w:nsid w:val="142164A6"/>
    <w:multiLevelType w:val="multilevel"/>
    <w:tmpl w:val="CDFCF54A"/>
    <w:styleLink w:val="Estilo16"/>
    <w:lvl w:ilvl="0">
      <w:start w:val="1"/>
      <w:numFmt w:val="decimal"/>
      <w:lvlText w:val="Anexo %1"/>
      <w:lvlJc w:val="center"/>
      <w:pPr>
        <w:tabs>
          <w:tab w:val="num" w:pos="705"/>
        </w:tabs>
        <w:ind w:left="705" w:hanging="417"/>
      </w:pPr>
      <w:rPr>
        <w:rFonts w:ascii="Bookman Old Style" w:hAnsi="Bookman Old Style" w:hint="default"/>
        <w:b/>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1BA4267A"/>
    <w:multiLevelType w:val="hybridMultilevel"/>
    <w:tmpl w:val="D200D5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5E5F49"/>
    <w:multiLevelType w:val="hybridMultilevel"/>
    <w:tmpl w:val="3768220E"/>
    <w:lvl w:ilvl="0" w:tplc="FFFFFFFF">
      <w:start w:val="1"/>
      <w:numFmt w:val="bullet"/>
      <w:lvlText w:val=""/>
      <w:lvlJc w:val="left"/>
      <w:pPr>
        <w:ind w:left="720" w:hanging="360"/>
      </w:pPr>
      <w:rPr>
        <w:rFonts w:ascii="Symbol" w:hAnsi="Symbol" w:hint="default"/>
      </w:rPr>
    </w:lvl>
    <w:lvl w:ilvl="1" w:tplc="0000000F">
      <w:numFmt w:val="bullet"/>
      <w:lvlText w:val="-"/>
      <w:lvlJc w:val="left"/>
      <w:pPr>
        <w:ind w:left="1440" w:hanging="360"/>
      </w:pPr>
      <w:rPr>
        <w:rFonts w:ascii="Times New Roman" w:hAnsi="Times New Roman" w:cs="Times New Roman"/>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1806C67"/>
    <w:multiLevelType w:val="hybridMultilevel"/>
    <w:tmpl w:val="EEC2163E"/>
    <w:lvl w:ilvl="0" w:tplc="240A0017">
      <w:start w:val="1"/>
      <w:numFmt w:val="lowerLetter"/>
      <w:lvlText w:val="%1)"/>
      <w:lvlJc w:val="left"/>
      <w:pPr>
        <w:ind w:left="786"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27440DF6"/>
    <w:multiLevelType w:val="multilevel"/>
    <w:tmpl w:val="1828FA58"/>
    <w:styleLink w:val="Estilo15"/>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360" w:hanging="360"/>
      </w:pPr>
      <w:rPr>
        <w:rFonts w:ascii="Bookman Old Style" w:hAnsi="Bookman Old Style" w:hint="default"/>
        <w:b/>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8260717"/>
    <w:multiLevelType w:val="multilevel"/>
    <w:tmpl w:val="207EFA8E"/>
    <w:styleLink w:val="Estilo12"/>
    <w:lvl w:ilvl="0">
      <w:start w:val="1"/>
      <w:numFmt w:val="decimal"/>
      <w:lvlText w:val="Artículo %1. "/>
      <w:lvlJc w:val="left"/>
      <w:pPr>
        <w:ind w:left="360" w:hanging="360"/>
      </w:pPr>
      <w:rPr>
        <w:rFonts w:ascii="Bookman Old Style" w:hAnsi="Bookman Old Style" w:hint="default"/>
        <w:b/>
        <w:i w:val="0"/>
        <w:sz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8DE0117"/>
    <w:multiLevelType w:val="multilevel"/>
    <w:tmpl w:val="75E2DACC"/>
    <w:styleLink w:val="TGas"/>
    <w:lvl w:ilvl="0">
      <w:start w:val="1"/>
      <w:numFmt w:val="decimal"/>
      <w:lvlText w:val="Artículo %1."/>
      <w:lvlJc w:val="left"/>
      <w:pPr>
        <w:ind w:left="360" w:hanging="36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BE2326B"/>
    <w:multiLevelType w:val="multilevel"/>
    <w:tmpl w:val="9DA42E1E"/>
    <w:lvl w:ilvl="0">
      <w:start w:val="2"/>
      <w:numFmt w:val="decimal"/>
      <w:lvlText w:val="%1"/>
      <w:lvlJc w:val="left"/>
      <w:pPr>
        <w:ind w:left="405" w:hanging="405"/>
      </w:pPr>
      <w:rPr>
        <w:rFonts w:hint="default"/>
        <w:b/>
      </w:rPr>
    </w:lvl>
    <w:lvl w:ilvl="1">
      <w:start w:val="1"/>
      <w:numFmt w:val="decimal"/>
      <w:lvlText w:val="%1.%2"/>
      <w:lvlJc w:val="left"/>
      <w:pPr>
        <w:ind w:left="1146" w:hanging="720"/>
      </w:pPr>
      <w:rPr>
        <w:rFonts w:hint="default"/>
        <w:b/>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4782" w:hanging="1800"/>
      </w:pPr>
      <w:rPr>
        <w:rFonts w:hint="default"/>
        <w:b/>
      </w:rPr>
    </w:lvl>
    <w:lvl w:ilvl="8">
      <w:start w:val="1"/>
      <w:numFmt w:val="decimal"/>
      <w:lvlText w:val="%1.%2.%3.%4.%5.%6.%7.%8.%9"/>
      <w:lvlJc w:val="left"/>
      <w:pPr>
        <w:ind w:left="5568" w:hanging="2160"/>
      </w:pPr>
      <w:rPr>
        <w:rFonts w:hint="default"/>
        <w:b/>
      </w:rPr>
    </w:lvl>
  </w:abstractNum>
  <w:abstractNum w:abstractNumId="17" w15:restartNumberingAfterBreak="0">
    <w:nsid w:val="2CFA29FA"/>
    <w:multiLevelType w:val="hybridMultilevel"/>
    <w:tmpl w:val="28828664"/>
    <w:lvl w:ilvl="0" w:tplc="1F2429B0">
      <w:numFmt w:val="none"/>
      <w:lvlText w:val=""/>
      <w:lvlJc w:val="left"/>
      <w:pPr>
        <w:tabs>
          <w:tab w:val="num" w:pos="360"/>
        </w:tabs>
      </w:pPr>
    </w:lvl>
    <w:lvl w:ilvl="1" w:tplc="C5D2872E">
      <w:start w:val="1"/>
      <w:numFmt w:val="lowerLetter"/>
      <w:lvlText w:val="%2."/>
      <w:lvlJc w:val="left"/>
      <w:pPr>
        <w:ind w:left="1440" w:hanging="360"/>
      </w:pPr>
    </w:lvl>
    <w:lvl w:ilvl="2" w:tplc="7DB4E27E">
      <w:start w:val="1"/>
      <w:numFmt w:val="lowerRoman"/>
      <w:lvlText w:val="%3."/>
      <w:lvlJc w:val="right"/>
      <w:pPr>
        <w:ind w:left="2160" w:hanging="180"/>
      </w:pPr>
    </w:lvl>
    <w:lvl w:ilvl="3" w:tplc="AE98A0FC">
      <w:start w:val="1"/>
      <w:numFmt w:val="decimal"/>
      <w:lvlText w:val="%4."/>
      <w:lvlJc w:val="left"/>
      <w:pPr>
        <w:ind w:left="2880" w:hanging="360"/>
      </w:pPr>
    </w:lvl>
    <w:lvl w:ilvl="4" w:tplc="78221B78">
      <w:start w:val="1"/>
      <w:numFmt w:val="lowerLetter"/>
      <w:lvlText w:val="%5."/>
      <w:lvlJc w:val="left"/>
      <w:pPr>
        <w:ind w:left="3600" w:hanging="360"/>
      </w:pPr>
    </w:lvl>
    <w:lvl w:ilvl="5" w:tplc="4282C0A8">
      <w:start w:val="1"/>
      <w:numFmt w:val="lowerRoman"/>
      <w:lvlText w:val="%6."/>
      <w:lvlJc w:val="right"/>
      <w:pPr>
        <w:ind w:left="4320" w:hanging="180"/>
      </w:pPr>
    </w:lvl>
    <w:lvl w:ilvl="6" w:tplc="A7586AF0">
      <w:start w:val="1"/>
      <w:numFmt w:val="decimal"/>
      <w:lvlText w:val="%7."/>
      <w:lvlJc w:val="left"/>
      <w:pPr>
        <w:ind w:left="5040" w:hanging="360"/>
      </w:pPr>
    </w:lvl>
    <w:lvl w:ilvl="7" w:tplc="E4CAC540">
      <w:start w:val="1"/>
      <w:numFmt w:val="lowerLetter"/>
      <w:lvlText w:val="%8."/>
      <w:lvlJc w:val="left"/>
      <w:pPr>
        <w:ind w:left="5760" w:hanging="360"/>
      </w:pPr>
    </w:lvl>
    <w:lvl w:ilvl="8" w:tplc="BC267516">
      <w:start w:val="1"/>
      <w:numFmt w:val="lowerRoman"/>
      <w:lvlText w:val="%9."/>
      <w:lvlJc w:val="right"/>
      <w:pPr>
        <w:ind w:left="6480" w:hanging="180"/>
      </w:pPr>
    </w:lvl>
  </w:abstractNum>
  <w:abstractNum w:abstractNumId="18" w15:restartNumberingAfterBreak="0">
    <w:nsid w:val="2E1E7587"/>
    <w:multiLevelType w:val="hybridMultilevel"/>
    <w:tmpl w:val="3A900A08"/>
    <w:lvl w:ilvl="0" w:tplc="5016BFE8">
      <w:start w:val="1"/>
      <w:numFmt w:val="lowerLetter"/>
      <w:lvlText w:val="%1)"/>
      <w:lvlJc w:val="left"/>
      <w:pPr>
        <w:ind w:left="360" w:hanging="360"/>
      </w:pPr>
      <w:rPr>
        <w:rFonts w:hint="default"/>
        <w:sz w:val="24"/>
        <w:szCs w:val="24"/>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2EBD41D8"/>
    <w:multiLevelType w:val="hybridMultilevel"/>
    <w:tmpl w:val="7C80A05A"/>
    <w:lvl w:ilvl="0" w:tplc="9C341D64">
      <w:numFmt w:val="bullet"/>
      <w:lvlText w:val="-"/>
      <w:lvlJc w:val="left"/>
      <w:pPr>
        <w:ind w:left="720" w:hanging="360"/>
      </w:pPr>
      <w:rPr>
        <w:rFonts w:ascii="Arial" w:eastAsia="Calibri" w:hAnsi="Arial" w:cs="Arial" w:hint="default"/>
        <w:color w:val="000000"/>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3484628C"/>
    <w:multiLevelType w:val="multilevel"/>
    <w:tmpl w:val="863871F6"/>
    <w:lvl w:ilvl="0">
      <w:start w:val="1"/>
      <w:numFmt w:val="decimal"/>
      <w:lvlText w:val="%1"/>
      <w:lvlJc w:val="left"/>
      <w:pPr>
        <w:ind w:left="375" w:hanging="375"/>
      </w:pPr>
      <w:rPr>
        <w:rFonts w:hint="default"/>
      </w:rPr>
    </w:lvl>
    <w:lvl w:ilvl="1">
      <w:start w:val="1"/>
      <w:numFmt w:val="decimal"/>
      <w:lvlText w:val="%1.%2"/>
      <w:lvlJc w:val="left"/>
      <w:pPr>
        <w:ind w:left="1146" w:hanging="720"/>
      </w:pPr>
      <w:rPr>
        <w:rFonts w:hint="default"/>
        <w:b/>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1" w15:restartNumberingAfterBreak="0">
    <w:nsid w:val="348F13D4"/>
    <w:multiLevelType w:val="multilevel"/>
    <w:tmpl w:val="9A18168C"/>
    <w:lvl w:ilvl="0">
      <w:start w:val="2"/>
      <w:numFmt w:val="decimal"/>
      <w:lvlText w:val="Artículo %1."/>
      <w:lvlJc w:val="left"/>
      <w:pPr>
        <w:ind w:left="0" w:firstLine="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szCs w:val="24"/>
      </w:rPr>
    </w:lvl>
    <w:lvl w:ilvl="2">
      <w:start w:val="1"/>
      <w:numFmt w:val="decimal"/>
      <w:suff w:val="nothing"/>
      <w:lvlText w:val="%1.%2.%3. "/>
      <w:lvlJc w:val="left"/>
      <w:pPr>
        <w:ind w:left="0" w:firstLine="0"/>
      </w:pPr>
      <w:rPr>
        <w:rFonts w:ascii="Bookman Old Style" w:hAnsi="Bookman Old Style" w:hint="default"/>
        <w:b/>
        <w:i w:val="0"/>
        <w:sz w:val="24"/>
      </w:rPr>
    </w:lvl>
    <w:lvl w:ilvl="3">
      <w:start w:val="1"/>
      <w:numFmt w:val="lowerRoman"/>
      <w:lvlText w:val="(%4)"/>
      <w:lvlJc w:val="right"/>
      <w:pPr>
        <w:ind w:left="-1135" w:firstLine="0"/>
      </w:pPr>
      <w:rPr>
        <w:rFonts w:hint="default"/>
      </w:rPr>
    </w:lvl>
    <w:lvl w:ilvl="4">
      <w:start w:val="1"/>
      <w:numFmt w:val="decimal"/>
      <w:lvlText w:val="%5)"/>
      <w:lvlJc w:val="left"/>
      <w:pPr>
        <w:ind w:left="-1135" w:firstLine="0"/>
      </w:pPr>
      <w:rPr>
        <w:rFonts w:hint="default"/>
      </w:rPr>
    </w:lvl>
    <w:lvl w:ilvl="5">
      <w:start w:val="1"/>
      <w:numFmt w:val="lowerLetter"/>
      <w:lvlText w:val="%6)"/>
      <w:lvlJc w:val="left"/>
      <w:pPr>
        <w:ind w:left="-1135" w:firstLine="0"/>
      </w:pPr>
      <w:rPr>
        <w:rFonts w:hint="default"/>
      </w:rPr>
    </w:lvl>
    <w:lvl w:ilvl="6">
      <w:start w:val="1"/>
      <w:numFmt w:val="lowerRoman"/>
      <w:lvlText w:val="%7)"/>
      <w:lvlJc w:val="right"/>
      <w:pPr>
        <w:ind w:left="-1135" w:firstLine="0"/>
      </w:pPr>
      <w:rPr>
        <w:rFonts w:hint="default"/>
      </w:rPr>
    </w:lvl>
    <w:lvl w:ilvl="7">
      <w:start w:val="1"/>
      <w:numFmt w:val="lowerLetter"/>
      <w:lvlText w:val="%8."/>
      <w:lvlJc w:val="left"/>
      <w:pPr>
        <w:ind w:left="-775" w:hanging="360"/>
      </w:pPr>
    </w:lvl>
    <w:lvl w:ilvl="8">
      <w:start w:val="1"/>
      <w:numFmt w:val="lowerRoman"/>
      <w:lvlText w:val="%9."/>
      <w:lvlJc w:val="right"/>
      <w:pPr>
        <w:ind w:left="-1135" w:firstLine="0"/>
      </w:pPr>
      <w:rPr>
        <w:rFonts w:hint="default"/>
      </w:rPr>
    </w:lvl>
  </w:abstractNum>
  <w:abstractNum w:abstractNumId="22" w15:restartNumberingAfterBreak="0">
    <w:nsid w:val="363D7D23"/>
    <w:multiLevelType w:val="hybridMultilevel"/>
    <w:tmpl w:val="DC5C6FD8"/>
    <w:lvl w:ilvl="0" w:tplc="240A0017">
      <w:start w:val="1"/>
      <w:numFmt w:val="lowerLetter"/>
      <w:lvlText w:val="%1)"/>
      <w:lvlJc w:val="left"/>
      <w:pPr>
        <w:ind w:left="428" w:hanging="360"/>
      </w:pPr>
    </w:lvl>
    <w:lvl w:ilvl="1" w:tplc="240A0019" w:tentative="1">
      <w:start w:val="1"/>
      <w:numFmt w:val="lowerLetter"/>
      <w:lvlText w:val="%2."/>
      <w:lvlJc w:val="left"/>
      <w:pPr>
        <w:ind w:left="1148" w:hanging="360"/>
      </w:pPr>
    </w:lvl>
    <w:lvl w:ilvl="2" w:tplc="240A001B" w:tentative="1">
      <w:start w:val="1"/>
      <w:numFmt w:val="lowerRoman"/>
      <w:lvlText w:val="%3."/>
      <w:lvlJc w:val="right"/>
      <w:pPr>
        <w:ind w:left="1868" w:hanging="180"/>
      </w:pPr>
    </w:lvl>
    <w:lvl w:ilvl="3" w:tplc="240A000F" w:tentative="1">
      <w:start w:val="1"/>
      <w:numFmt w:val="decimal"/>
      <w:lvlText w:val="%4."/>
      <w:lvlJc w:val="left"/>
      <w:pPr>
        <w:ind w:left="2588" w:hanging="360"/>
      </w:pPr>
    </w:lvl>
    <w:lvl w:ilvl="4" w:tplc="240A0019" w:tentative="1">
      <w:start w:val="1"/>
      <w:numFmt w:val="lowerLetter"/>
      <w:lvlText w:val="%5."/>
      <w:lvlJc w:val="left"/>
      <w:pPr>
        <w:ind w:left="3308" w:hanging="360"/>
      </w:pPr>
    </w:lvl>
    <w:lvl w:ilvl="5" w:tplc="240A001B" w:tentative="1">
      <w:start w:val="1"/>
      <w:numFmt w:val="lowerRoman"/>
      <w:lvlText w:val="%6."/>
      <w:lvlJc w:val="right"/>
      <w:pPr>
        <w:ind w:left="4028" w:hanging="180"/>
      </w:pPr>
    </w:lvl>
    <w:lvl w:ilvl="6" w:tplc="240A000F" w:tentative="1">
      <w:start w:val="1"/>
      <w:numFmt w:val="decimal"/>
      <w:lvlText w:val="%7."/>
      <w:lvlJc w:val="left"/>
      <w:pPr>
        <w:ind w:left="4748" w:hanging="360"/>
      </w:pPr>
    </w:lvl>
    <w:lvl w:ilvl="7" w:tplc="240A0019" w:tentative="1">
      <w:start w:val="1"/>
      <w:numFmt w:val="lowerLetter"/>
      <w:lvlText w:val="%8."/>
      <w:lvlJc w:val="left"/>
      <w:pPr>
        <w:ind w:left="5468" w:hanging="360"/>
      </w:pPr>
    </w:lvl>
    <w:lvl w:ilvl="8" w:tplc="240A001B" w:tentative="1">
      <w:start w:val="1"/>
      <w:numFmt w:val="lowerRoman"/>
      <w:lvlText w:val="%9."/>
      <w:lvlJc w:val="right"/>
      <w:pPr>
        <w:ind w:left="6188" w:hanging="180"/>
      </w:pPr>
    </w:lvl>
  </w:abstractNum>
  <w:abstractNum w:abstractNumId="23" w15:restartNumberingAfterBreak="0">
    <w:nsid w:val="3A9E7053"/>
    <w:multiLevelType w:val="hybridMultilevel"/>
    <w:tmpl w:val="1584BDBC"/>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4" w15:restartNumberingAfterBreak="0">
    <w:nsid w:val="3BAF6561"/>
    <w:multiLevelType w:val="multilevel"/>
    <w:tmpl w:val="7AE67022"/>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5" w15:restartNumberingAfterBreak="0">
    <w:nsid w:val="3CB81FEB"/>
    <w:multiLevelType w:val="hybridMultilevel"/>
    <w:tmpl w:val="9EC0B1CE"/>
    <w:lvl w:ilvl="0" w:tplc="C41C0BF0">
      <w:start w:val="1"/>
      <w:numFmt w:val="upperLetter"/>
      <w:pStyle w:val="Ttulo2"/>
      <w:lvlText w:val="%1."/>
      <w:lvlJc w:val="left"/>
      <w:pPr>
        <w:tabs>
          <w:tab w:val="num" w:pos="502"/>
        </w:tabs>
        <w:ind w:left="502" w:hanging="360"/>
      </w:pPr>
      <w:rPr>
        <w:rFonts w:hint="default"/>
        <w:b/>
      </w:rPr>
    </w:lvl>
    <w:lvl w:ilvl="1" w:tplc="0C0A0019" w:tentative="1">
      <w:start w:val="1"/>
      <w:numFmt w:val="lowerLetter"/>
      <w:lvlText w:val="%2."/>
      <w:lvlJc w:val="left"/>
      <w:pPr>
        <w:tabs>
          <w:tab w:val="num" w:pos="1222"/>
        </w:tabs>
        <w:ind w:left="1222" w:hanging="360"/>
      </w:pPr>
    </w:lvl>
    <w:lvl w:ilvl="2" w:tplc="0C0A001B" w:tentative="1">
      <w:start w:val="1"/>
      <w:numFmt w:val="lowerRoman"/>
      <w:lvlText w:val="%3."/>
      <w:lvlJc w:val="right"/>
      <w:pPr>
        <w:tabs>
          <w:tab w:val="num" w:pos="1942"/>
        </w:tabs>
        <w:ind w:left="1942" w:hanging="180"/>
      </w:pPr>
    </w:lvl>
    <w:lvl w:ilvl="3" w:tplc="0C0A000F" w:tentative="1">
      <w:start w:val="1"/>
      <w:numFmt w:val="decimal"/>
      <w:lvlText w:val="%4."/>
      <w:lvlJc w:val="left"/>
      <w:pPr>
        <w:tabs>
          <w:tab w:val="num" w:pos="2662"/>
        </w:tabs>
        <w:ind w:left="2662" w:hanging="360"/>
      </w:pPr>
    </w:lvl>
    <w:lvl w:ilvl="4" w:tplc="0C0A0019" w:tentative="1">
      <w:start w:val="1"/>
      <w:numFmt w:val="lowerLetter"/>
      <w:lvlText w:val="%5."/>
      <w:lvlJc w:val="left"/>
      <w:pPr>
        <w:tabs>
          <w:tab w:val="num" w:pos="3382"/>
        </w:tabs>
        <w:ind w:left="3382" w:hanging="360"/>
      </w:pPr>
    </w:lvl>
    <w:lvl w:ilvl="5" w:tplc="0C0A001B" w:tentative="1">
      <w:start w:val="1"/>
      <w:numFmt w:val="lowerRoman"/>
      <w:lvlText w:val="%6."/>
      <w:lvlJc w:val="right"/>
      <w:pPr>
        <w:tabs>
          <w:tab w:val="num" w:pos="4102"/>
        </w:tabs>
        <w:ind w:left="4102" w:hanging="180"/>
      </w:pPr>
    </w:lvl>
    <w:lvl w:ilvl="6" w:tplc="0C0A000F" w:tentative="1">
      <w:start w:val="1"/>
      <w:numFmt w:val="decimal"/>
      <w:lvlText w:val="%7."/>
      <w:lvlJc w:val="left"/>
      <w:pPr>
        <w:tabs>
          <w:tab w:val="num" w:pos="4822"/>
        </w:tabs>
        <w:ind w:left="4822" w:hanging="360"/>
      </w:pPr>
    </w:lvl>
    <w:lvl w:ilvl="7" w:tplc="0C0A0019" w:tentative="1">
      <w:start w:val="1"/>
      <w:numFmt w:val="lowerLetter"/>
      <w:lvlText w:val="%8."/>
      <w:lvlJc w:val="left"/>
      <w:pPr>
        <w:tabs>
          <w:tab w:val="num" w:pos="5542"/>
        </w:tabs>
        <w:ind w:left="5542" w:hanging="360"/>
      </w:pPr>
    </w:lvl>
    <w:lvl w:ilvl="8" w:tplc="0C0A001B" w:tentative="1">
      <w:start w:val="1"/>
      <w:numFmt w:val="lowerRoman"/>
      <w:lvlText w:val="%9."/>
      <w:lvlJc w:val="right"/>
      <w:pPr>
        <w:tabs>
          <w:tab w:val="num" w:pos="6262"/>
        </w:tabs>
        <w:ind w:left="6262" w:hanging="180"/>
      </w:pPr>
    </w:lvl>
  </w:abstractNum>
  <w:abstractNum w:abstractNumId="26" w15:restartNumberingAfterBreak="0">
    <w:nsid w:val="3D6508EF"/>
    <w:multiLevelType w:val="hybridMultilevel"/>
    <w:tmpl w:val="CB2CFAB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3FBC48F0"/>
    <w:multiLevelType w:val="hybridMultilevel"/>
    <w:tmpl w:val="0E961662"/>
    <w:lvl w:ilvl="0" w:tplc="5DCA7F1E">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40D44A35"/>
    <w:multiLevelType w:val="multilevel"/>
    <w:tmpl w:val="C36C83EA"/>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9" w15:restartNumberingAfterBreak="0">
    <w:nsid w:val="47A242CB"/>
    <w:multiLevelType w:val="multilevel"/>
    <w:tmpl w:val="CD641A08"/>
    <w:lvl w:ilvl="0">
      <w:start w:val="1"/>
      <w:numFmt w:val="decimal"/>
      <w:lvlText w:val="%1."/>
      <w:lvlJc w:val="left"/>
      <w:pPr>
        <w:ind w:left="720" w:hanging="360"/>
      </w:pPr>
      <w:rPr>
        <w:rFonts w:hint="default"/>
        <w:sz w:val="24"/>
        <w:szCs w:val="24"/>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0" w15:restartNumberingAfterBreak="0">
    <w:nsid w:val="4B984A20"/>
    <w:multiLevelType w:val="hybridMultilevel"/>
    <w:tmpl w:val="04E297D8"/>
    <w:lvl w:ilvl="0" w:tplc="240A0019">
      <w:start w:val="1"/>
      <w:numFmt w:val="lowerLetter"/>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4DE5197A"/>
    <w:multiLevelType w:val="hybridMultilevel"/>
    <w:tmpl w:val="2F868936"/>
    <w:lvl w:ilvl="0" w:tplc="0000000F">
      <w:numFmt w:val="bullet"/>
      <w:lvlText w:val="-"/>
      <w:lvlJc w:val="left"/>
      <w:pPr>
        <w:ind w:left="720" w:hanging="360"/>
      </w:pPr>
      <w:rPr>
        <w:rFonts w:ascii="Times New Roman" w:hAnsi="Times New Roman" w:cs="Times New Roman"/>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4E2D527A"/>
    <w:multiLevelType w:val="hybridMultilevel"/>
    <w:tmpl w:val="0D7A70EC"/>
    <w:lvl w:ilvl="0" w:tplc="240A0017">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4F8F54DC"/>
    <w:multiLevelType w:val="hybridMultilevel"/>
    <w:tmpl w:val="ABF8C2F8"/>
    <w:lvl w:ilvl="0" w:tplc="51B29F90">
      <w:start w:val="1"/>
      <w:numFmt w:val="decimal"/>
      <w:lvlText w:val="%1."/>
      <w:lvlJc w:val="left"/>
      <w:pPr>
        <w:ind w:left="720" w:hanging="360"/>
      </w:pPr>
    </w:lvl>
    <w:lvl w:ilvl="1" w:tplc="ECCCD2EA">
      <w:start w:val="1"/>
      <w:numFmt w:val="lowerLetter"/>
      <w:lvlText w:val="%2."/>
      <w:lvlJc w:val="left"/>
      <w:pPr>
        <w:ind w:left="1440" w:hanging="360"/>
      </w:pPr>
    </w:lvl>
    <w:lvl w:ilvl="2" w:tplc="EA8476FC">
      <w:start w:val="1"/>
      <w:numFmt w:val="lowerRoman"/>
      <w:lvlText w:val="%3."/>
      <w:lvlJc w:val="right"/>
      <w:pPr>
        <w:ind w:left="2160" w:hanging="180"/>
      </w:pPr>
    </w:lvl>
    <w:lvl w:ilvl="3" w:tplc="2FA42432">
      <w:start w:val="1"/>
      <w:numFmt w:val="decimal"/>
      <w:lvlText w:val="%4."/>
      <w:lvlJc w:val="left"/>
      <w:pPr>
        <w:ind w:left="2880" w:hanging="360"/>
      </w:pPr>
    </w:lvl>
    <w:lvl w:ilvl="4" w:tplc="1E18DEB2">
      <w:start w:val="1"/>
      <w:numFmt w:val="lowerLetter"/>
      <w:lvlText w:val="%5."/>
      <w:lvlJc w:val="left"/>
      <w:pPr>
        <w:ind w:left="3600" w:hanging="360"/>
      </w:pPr>
    </w:lvl>
    <w:lvl w:ilvl="5" w:tplc="064ABA98">
      <w:start w:val="1"/>
      <w:numFmt w:val="lowerRoman"/>
      <w:lvlText w:val="%6."/>
      <w:lvlJc w:val="right"/>
      <w:pPr>
        <w:ind w:left="4320" w:hanging="180"/>
      </w:pPr>
    </w:lvl>
    <w:lvl w:ilvl="6" w:tplc="E4E26592">
      <w:start w:val="1"/>
      <w:numFmt w:val="decimal"/>
      <w:lvlText w:val="%7."/>
      <w:lvlJc w:val="left"/>
      <w:pPr>
        <w:ind w:left="5040" w:hanging="360"/>
      </w:pPr>
    </w:lvl>
    <w:lvl w:ilvl="7" w:tplc="E758B01E">
      <w:start w:val="1"/>
      <w:numFmt w:val="lowerLetter"/>
      <w:lvlText w:val="%8."/>
      <w:lvlJc w:val="left"/>
      <w:pPr>
        <w:ind w:left="5760" w:hanging="360"/>
      </w:pPr>
    </w:lvl>
    <w:lvl w:ilvl="8" w:tplc="0C84A2FC">
      <w:start w:val="1"/>
      <w:numFmt w:val="lowerRoman"/>
      <w:lvlText w:val="%9."/>
      <w:lvlJc w:val="right"/>
      <w:pPr>
        <w:ind w:left="6480" w:hanging="180"/>
      </w:pPr>
    </w:lvl>
  </w:abstractNum>
  <w:abstractNum w:abstractNumId="34" w15:restartNumberingAfterBreak="0">
    <w:nsid w:val="5065759D"/>
    <w:multiLevelType w:val="multilevel"/>
    <w:tmpl w:val="0C0A001D"/>
    <w:styleLink w:val="Transporte"/>
    <w:lvl w:ilvl="0">
      <w:start w:val="4"/>
      <w:numFmt w:val="decimal"/>
      <w:lvlText w:val="%1)"/>
      <w:lvlJc w:val="left"/>
      <w:pPr>
        <w:ind w:left="360" w:hanging="360"/>
      </w:pPr>
      <w:rPr>
        <w:rFonts w:ascii="Bookman Old Style" w:hAnsi="Bookman Old Style"/>
        <w:b/>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526952DA"/>
    <w:multiLevelType w:val="multilevel"/>
    <w:tmpl w:val="66BA8E9E"/>
    <w:styleLink w:val="Estilo13"/>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53547EF6"/>
    <w:multiLevelType w:val="hybridMultilevel"/>
    <w:tmpl w:val="C130BF9C"/>
    <w:lvl w:ilvl="0" w:tplc="C2B8B2C4">
      <w:start w:val="1"/>
      <w:numFmt w:val="bullet"/>
      <w:lvlText w:val="-"/>
      <w:lvlJc w:val="left"/>
      <w:pPr>
        <w:ind w:left="1080" w:hanging="360"/>
      </w:pPr>
      <w:rPr>
        <w:rFonts w:ascii="Bookman Old Style" w:eastAsia="Times New Roman" w:hAnsi="Bookman Old Style" w:cs="Times New Roman"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37" w15:restartNumberingAfterBreak="0">
    <w:nsid w:val="53884FB5"/>
    <w:multiLevelType w:val="multilevel"/>
    <w:tmpl w:val="2F32099E"/>
    <w:lvl w:ilvl="0">
      <w:start w:val="15"/>
      <w:numFmt w:val="decimal"/>
      <w:lvlText w:val="%1."/>
      <w:lvlJc w:val="left"/>
      <w:pPr>
        <w:ind w:left="360" w:hanging="360"/>
      </w:pPr>
      <w:rPr>
        <w:rFonts w:hint="default"/>
      </w:rPr>
    </w:lvl>
    <w:lvl w:ilvl="1">
      <w:start w:val="1"/>
      <w:numFmt w:val="decimal"/>
      <w:pStyle w:val="Estilo10"/>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618319D6"/>
    <w:multiLevelType w:val="hybridMultilevel"/>
    <w:tmpl w:val="AF086868"/>
    <w:lvl w:ilvl="0" w:tplc="6B32D8B8">
      <w:start w:val="1"/>
      <w:numFmt w:val="decimal"/>
      <w:lvlText w:val="%1."/>
      <w:lvlJc w:val="left"/>
      <w:pPr>
        <w:ind w:left="1068" w:hanging="36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39" w15:restartNumberingAfterBreak="0">
    <w:nsid w:val="61A84524"/>
    <w:multiLevelType w:val="multilevel"/>
    <w:tmpl w:val="73666B2A"/>
    <w:name w:val="WW8Num642322322"/>
    <w:styleLink w:val="Estilo14"/>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Restart w:val="0"/>
      <w:lvlText w:val="%1.%2. "/>
      <w:lvlJc w:val="left"/>
      <w:pPr>
        <w:ind w:left="720" w:hanging="360"/>
      </w:pPr>
      <w:rPr>
        <w:rFonts w:ascii="Bookman Old Style" w:hAnsi="Bookman Old Style" w:hint="default"/>
        <w:b/>
        <w:i w:val="0"/>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62F06B4A"/>
    <w:multiLevelType w:val="hybridMultilevel"/>
    <w:tmpl w:val="FF445EA4"/>
    <w:lvl w:ilvl="0" w:tplc="8AFEA4C8">
      <w:start w:val="1"/>
      <w:numFmt w:val="decimal"/>
      <w:lvlText w:val="%1.)"/>
      <w:lvlJc w:val="left"/>
      <w:pPr>
        <w:ind w:left="1288" w:hanging="360"/>
      </w:pPr>
      <w:rPr>
        <w:rFonts w:hint="default"/>
      </w:rPr>
    </w:lvl>
    <w:lvl w:ilvl="1" w:tplc="240A0019" w:tentative="1">
      <w:start w:val="1"/>
      <w:numFmt w:val="lowerLetter"/>
      <w:lvlText w:val="%2."/>
      <w:lvlJc w:val="left"/>
      <w:pPr>
        <w:ind w:left="2008" w:hanging="360"/>
      </w:pPr>
    </w:lvl>
    <w:lvl w:ilvl="2" w:tplc="240A001B" w:tentative="1">
      <w:start w:val="1"/>
      <w:numFmt w:val="lowerRoman"/>
      <w:lvlText w:val="%3."/>
      <w:lvlJc w:val="right"/>
      <w:pPr>
        <w:ind w:left="2728" w:hanging="180"/>
      </w:pPr>
    </w:lvl>
    <w:lvl w:ilvl="3" w:tplc="240A000F" w:tentative="1">
      <w:start w:val="1"/>
      <w:numFmt w:val="decimal"/>
      <w:lvlText w:val="%4."/>
      <w:lvlJc w:val="left"/>
      <w:pPr>
        <w:ind w:left="3448" w:hanging="360"/>
      </w:pPr>
    </w:lvl>
    <w:lvl w:ilvl="4" w:tplc="240A0019" w:tentative="1">
      <w:start w:val="1"/>
      <w:numFmt w:val="lowerLetter"/>
      <w:lvlText w:val="%5."/>
      <w:lvlJc w:val="left"/>
      <w:pPr>
        <w:ind w:left="4168" w:hanging="360"/>
      </w:pPr>
    </w:lvl>
    <w:lvl w:ilvl="5" w:tplc="240A001B" w:tentative="1">
      <w:start w:val="1"/>
      <w:numFmt w:val="lowerRoman"/>
      <w:lvlText w:val="%6."/>
      <w:lvlJc w:val="right"/>
      <w:pPr>
        <w:ind w:left="4888" w:hanging="180"/>
      </w:pPr>
    </w:lvl>
    <w:lvl w:ilvl="6" w:tplc="240A000F" w:tentative="1">
      <w:start w:val="1"/>
      <w:numFmt w:val="decimal"/>
      <w:lvlText w:val="%7."/>
      <w:lvlJc w:val="left"/>
      <w:pPr>
        <w:ind w:left="5608" w:hanging="360"/>
      </w:pPr>
    </w:lvl>
    <w:lvl w:ilvl="7" w:tplc="240A0019" w:tentative="1">
      <w:start w:val="1"/>
      <w:numFmt w:val="lowerLetter"/>
      <w:lvlText w:val="%8."/>
      <w:lvlJc w:val="left"/>
      <w:pPr>
        <w:ind w:left="6328" w:hanging="360"/>
      </w:pPr>
    </w:lvl>
    <w:lvl w:ilvl="8" w:tplc="240A001B" w:tentative="1">
      <w:start w:val="1"/>
      <w:numFmt w:val="lowerRoman"/>
      <w:lvlText w:val="%9."/>
      <w:lvlJc w:val="right"/>
      <w:pPr>
        <w:ind w:left="7048" w:hanging="180"/>
      </w:pPr>
    </w:lvl>
  </w:abstractNum>
  <w:abstractNum w:abstractNumId="41" w15:restartNumberingAfterBreak="0">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42" w15:restartNumberingAfterBreak="0">
    <w:nsid w:val="6820619E"/>
    <w:multiLevelType w:val="hybridMultilevel"/>
    <w:tmpl w:val="4762DA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3" w15:restartNumberingAfterBreak="0">
    <w:nsid w:val="6A7D066F"/>
    <w:multiLevelType w:val="multilevel"/>
    <w:tmpl w:val="4ED84208"/>
    <w:lvl w:ilvl="0">
      <w:start w:val="3"/>
      <w:numFmt w:val="decimal"/>
      <w:lvlText w:val="%1"/>
      <w:lvlJc w:val="left"/>
      <w:pPr>
        <w:ind w:left="405" w:hanging="405"/>
      </w:pPr>
      <w:rPr>
        <w:rFonts w:hint="default"/>
        <w:b/>
      </w:rPr>
    </w:lvl>
    <w:lvl w:ilvl="1">
      <w:start w:val="1"/>
      <w:numFmt w:val="decimal"/>
      <w:lvlText w:val="%1.%2"/>
      <w:lvlJc w:val="left"/>
      <w:pPr>
        <w:ind w:left="1146" w:hanging="720"/>
      </w:pPr>
      <w:rPr>
        <w:b/>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4782" w:hanging="1800"/>
      </w:pPr>
      <w:rPr>
        <w:rFonts w:hint="default"/>
        <w:b/>
      </w:rPr>
    </w:lvl>
    <w:lvl w:ilvl="8">
      <w:start w:val="1"/>
      <w:numFmt w:val="decimal"/>
      <w:lvlText w:val="%1.%2.%3.%4.%5.%6.%7.%8.%9"/>
      <w:lvlJc w:val="left"/>
      <w:pPr>
        <w:ind w:left="5568" w:hanging="2160"/>
      </w:pPr>
      <w:rPr>
        <w:rFonts w:hint="default"/>
        <w:b/>
      </w:rPr>
    </w:lvl>
  </w:abstractNum>
  <w:abstractNum w:abstractNumId="44" w15:restartNumberingAfterBreak="0">
    <w:nsid w:val="6D330801"/>
    <w:multiLevelType w:val="hybridMultilevel"/>
    <w:tmpl w:val="1FCC1BDE"/>
    <w:lvl w:ilvl="0" w:tplc="B536619A">
      <w:start w:val="1"/>
      <w:numFmt w:val="none"/>
      <w:pStyle w:val="Estilo6"/>
      <w:lvlText w:val="a)"/>
      <w:lvlJc w:val="left"/>
      <w:pPr>
        <w:tabs>
          <w:tab w:val="num" w:pos="0"/>
        </w:tabs>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5" w15:restartNumberingAfterBreak="0">
    <w:nsid w:val="6E004CD6"/>
    <w:multiLevelType w:val="hybridMultilevel"/>
    <w:tmpl w:val="E920FDCE"/>
    <w:lvl w:ilvl="0" w:tplc="7196191E">
      <w:start w:val="1"/>
      <w:numFmt w:val="lowerLetter"/>
      <w:lvlText w:val="%1)"/>
      <w:lvlJc w:val="left"/>
      <w:pPr>
        <w:ind w:left="1068" w:hanging="360"/>
      </w:pPr>
      <w:rPr>
        <w:rFonts w:hint="default"/>
        <w:b w:val="0"/>
        <w:bCs/>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6" w15:restartNumberingAfterBreak="0">
    <w:nsid w:val="70344F17"/>
    <w:multiLevelType w:val="hybridMultilevel"/>
    <w:tmpl w:val="E0A48196"/>
    <w:lvl w:ilvl="0" w:tplc="0000000F">
      <w:numFmt w:val="bullet"/>
      <w:lvlText w:val="-"/>
      <w:lvlJc w:val="left"/>
      <w:pPr>
        <w:ind w:left="720" w:hanging="360"/>
      </w:pPr>
      <w:rPr>
        <w:rFonts w:ascii="Times New Roman" w:hAnsi="Times New Roman" w:cs="Times New Roman"/>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13C6790"/>
    <w:multiLevelType w:val="hybridMultilevel"/>
    <w:tmpl w:val="765281D2"/>
    <w:lvl w:ilvl="0" w:tplc="0000000F">
      <w:numFmt w:val="bullet"/>
      <w:lvlText w:val="-"/>
      <w:lvlJc w:val="left"/>
      <w:pPr>
        <w:ind w:left="1428" w:hanging="360"/>
      </w:pPr>
      <w:rPr>
        <w:rFonts w:ascii="Times New Roman" w:hAnsi="Times New Roman" w:cs="Times New Roman"/>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48" w15:restartNumberingAfterBreak="0">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specVanish w: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49" w15:restartNumberingAfterBreak="0">
    <w:nsid w:val="73A01BEB"/>
    <w:multiLevelType w:val="hybridMultilevel"/>
    <w:tmpl w:val="78ACCD0A"/>
    <w:lvl w:ilvl="0" w:tplc="0000000F">
      <w:numFmt w:val="bullet"/>
      <w:lvlText w:val="-"/>
      <w:lvlJc w:val="left"/>
      <w:pPr>
        <w:ind w:left="720" w:hanging="360"/>
      </w:pPr>
      <w:rPr>
        <w:rFonts w:ascii="Times New Roman" w:hAnsi="Times New Roman" w:cs="Times New Roman"/>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0" w15:restartNumberingAfterBreak="0">
    <w:nsid w:val="765B4485"/>
    <w:multiLevelType w:val="multilevel"/>
    <w:tmpl w:val="4ED84208"/>
    <w:lvl w:ilvl="0">
      <w:start w:val="3"/>
      <w:numFmt w:val="decimal"/>
      <w:lvlText w:val="%1"/>
      <w:lvlJc w:val="left"/>
      <w:pPr>
        <w:ind w:left="405" w:hanging="405"/>
      </w:pPr>
      <w:rPr>
        <w:rFonts w:hint="default"/>
        <w:b/>
      </w:rPr>
    </w:lvl>
    <w:lvl w:ilvl="1">
      <w:start w:val="1"/>
      <w:numFmt w:val="decimal"/>
      <w:lvlText w:val="%1.%2"/>
      <w:lvlJc w:val="left"/>
      <w:pPr>
        <w:ind w:left="1146" w:hanging="720"/>
      </w:pPr>
      <w:rPr>
        <w:rFonts w:hint="default"/>
        <w:b/>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4782" w:hanging="1800"/>
      </w:pPr>
      <w:rPr>
        <w:rFonts w:hint="default"/>
        <w:b/>
      </w:rPr>
    </w:lvl>
    <w:lvl w:ilvl="8">
      <w:start w:val="1"/>
      <w:numFmt w:val="decimal"/>
      <w:lvlText w:val="%1.%2.%3.%4.%5.%6.%7.%8.%9"/>
      <w:lvlJc w:val="left"/>
      <w:pPr>
        <w:ind w:left="5568" w:hanging="2160"/>
      </w:pPr>
      <w:rPr>
        <w:rFonts w:hint="default"/>
        <w:b/>
      </w:rPr>
    </w:lvl>
  </w:abstractNum>
  <w:abstractNum w:abstractNumId="51" w15:restartNumberingAfterBreak="0">
    <w:nsid w:val="7765326B"/>
    <w:multiLevelType w:val="multilevel"/>
    <w:tmpl w:val="E1F8A976"/>
    <w:styleLink w:val="Estilo11"/>
    <w:lvl w:ilvl="0">
      <w:start w:val="1"/>
      <w:numFmt w:val="decimal"/>
      <w:lvlText w:val="Artículo %1."/>
      <w:lvlJc w:val="left"/>
      <w:pPr>
        <w:ind w:left="720" w:hanging="360"/>
      </w:pPr>
      <w:rPr>
        <w:rFonts w:ascii="Bookman Old Style" w:hAnsi="Bookman Old Style" w:hint="default"/>
        <w:b/>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794E003A"/>
    <w:multiLevelType w:val="hybridMultilevel"/>
    <w:tmpl w:val="AC7C971A"/>
    <w:lvl w:ilvl="0" w:tplc="7B3E5642">
      <w:numFmt w:val="bullet"/>
      <w:lvlText w:val="-"/>
      <w:lvlJc w:val="left"/>
      <w:pPr>
        <w:ind w:left="720" w:hanging="360"/>
      </w:pPr>
      <w:rPr>
        <w:rFonts w:ascii="Bookman Old Style" w:eastAsia="Times New Roman" w:hAnsi="Bookman Old Style" w:cs="Times New Roman" w:hint="default"/>
        <w:color w:val="auto"/>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3" w15:restartNumberingAfterBreak="0">
    <w:nsid w:val="7A8055BA"/>
    <w:multiLevelType w:val="hybridMultilevel"/>
    <w:tmpl w:val="32DC6814"/>
    <w:lvl w:ilvl="0" w:tplc="633A0688">
      <w:start w:val="1"/>
      <w:numFmt w:val="decimal"/>
      <w:lvlText w:val="%1."/>
      <w:lvlJc w:val="left"/>
      <w:pPr>
        <w:ind w:left="720" w:hanging="360"/>
      </w:pPr>
    </w:lvl>
    <w:lvl w:ilvl="1" w:tplc="E65607D0">
      <w:start w:val="1"/>
      <w:numFmt w:val="lowerLetter"/>
      <w:lvlText w:val="%2."/>
      <w:lvlJc w:val="left"/>
      <w:pPr>
        <w:ind w:left="1440" w:hanging="360"/>
      </w:pPr>
    </w:lvl>
    <w:lvl w:ilvl="2" w:tplc="2AD6A3DE">
      <w:start w:val="3"/>
      <w:numFmt w:val="decimal"/>
      <w:lvlText w:val="%3."/>
      <w:lvlJc w:val="left"/>
      <w:pPr>
        <w:ind w:left="2160" w:hanging="180"/>
      </w:pPr>
    </w:lvl>
    <w:lvl w:ilvl="3" w:tplc="EFA08DBC">
      <w:start w:val="1"/>
      <w:numFmt w:val="decimal"/>
      <w:lvlText w:val="%4."/>
      <w:lvlJc w:val="left"/>
      <w:pPr>
        <w:ind w:left="2880" w:hanging="360"/>
      </w:pPr>
    </w:lvl>
    <w:lvl w:ilvl="4" w:tplc="CA8260A2">
      <w:start w:val="1"/>
      <w:numFmt w:val="lowerLetter"/>
      <w:lvlText w:val="%5."/>
      <w:lvlJc w:val="left"/>
      <w:pPr>
        <w:ind w:left="3600" w:hanging="360"/>
      </w:pPr>
    </w:lvl>
    <w:lvl w:ilvl="5" w:tplc="8CAC20C0">
      <w:start w:val="1"/>
      <w:numFmt w:val="lowerRoman"/>
      <w:lvlText w:val="%6."/>
      <w:lvlJc w:val="right"/>
      <w:pPr>
        <w:ind w:left="4320" w:hanging="180"/>
      </w:pPr>
    </w:lvl>
    <w:lvl w:ilvl="6" w:tplc="DDD48FAC">
      <w:start w:val="1"/>
      <w:numFmt w:val="decimal"/>
      <w:lvlText w:val="%7."/>
      <w:lvlJc w:val="left"/>
      <w:pPr>
        <w:ind w:left="5040" w:hanging="360"/>
      </w:pPr>
    </w:lvl>
    <w:lvl w:ilvl="7" w:tplc="334E9C90">
      <w:start w:val="1"/>
      <w:numFmt w:val="lowerLetter"/>
      <w:lvlText w:val="%8."/>
      <w:lvlJc w:val="left"/>
      <w:pPr>
        <w:ind w:left="5760" w:hanging="360"/>
      </w:pPr>
    </w:lvl>
    <w:lvl w:ilvl="8" w:tplc="CCBCF88A">
      <w:start w:val="1"/>
      <w:numFmt w:val="lowerRoman"/>
      <w:lvlText w:val="%9."/>
      <w:lvlJc w:val="right"/>
      <w:pPr>
        <w:ind w:left="6480" w:hanging="180"/>
      </w:pPr>
    </w:lvl>
  </w:abstractNum>
  <w:num w:numId="1" w16cid:durableId="872572305">
    <w:abstractNumId w:val="25"/>
  </w:num>
  <w:num w:numId="2" w16cid:durableId="1014839162">
    <w:abstractNumId w:val="28"/>
  </w:num>
  <w:num w:numId="3" w16cid:durableId="268393889">
    <w:abstractNumId w:val="0"/>
  </w:num>
  <w:num w:numId="4" w16cid:durableId="1167672085">
    <w:abstractNumId w:val="1"/>
  </w:num>
  <w:num w:numId="5" w16cid:durableId="1231236663">
    <w:abstractNumId w:val="41"/>
  </w:num>
  <w:num w:numId="6" w16cid:durableId="602230662">
    <w:abstractNumId w:val="5"/>
  </w:num>
  <w:num w:numId="7" w16cid:durableId="602809234">
    <w:abstractNumId w:val="44"/>
    <w:lvlOverride w:ilvl="0">
      <w:startOverride w:val="1"/>
    </w:lvlOverride>
  </w:num>
  <w:num w:numId="8" w16cid:durableId="1374962630">
    <w:abstractNumId w:val="37"/>
  </w:num>
  <w:num w:numId="9" w16cid:durableId="1237402671">
    <w:abstractNumId w:val="8"/>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34757769">
    <w:abstractNumId w:val="21"/>
  </w:num>
  <w:num w:numId="11" w16cid:durableId="670063170">
    <w:abstractNumId w:val="51"/>
  </w:num>
  <w:num w:numId="12" w16cid:durableId="1637881235">
    <w:abstractNumId w:val="34"/>
  </w:num>
  <w:num w:numId="13" w16cid:durableId="1677225736">
    <w:abstractNumId w:val="14"/>
  </w:num>
  <w:num w:numId="14" w16cid:durableId="1365907034">
    <w:abstractNumId w:val="35"/>
  </w:num>
  <w:num w:numId="15" w16cid:durableId="716004997">
    <w:abstractNumId w:val="39"/>
  </w:num>
  <w:num w:numId="16" w16cid:durableId="1713072496">
    <w:abstractNumId w:val="13"/>
  </w:num>
  <w:num w:numId="17" w16cid:durableId="950939361">
    <w:abstractNumId w:val="15"/>
  </w:num>
  <w:num w:numId="18" w16cid:durableId="642927409">
    <w:abstractNumId w:val="9"/>
  </w:num>
  <w:num w:numId="19" w16cid:durableId="1394697318">
    <w:abstractNumId w:val="48"/>
  </w:num>
  <w:num w:numId="20" w16cid:durableId="203757324">
    <w:abstractNumId w:val="18"/>
  </w:num>
  <w:num w:numId="21" w16cid:durableId="1661498184">
    <w:abstractNumId w:val="12"/>
  </w:num>
  <w:num w:numId="22" w16cid:durableId="609241811">
    <w:abstractNumId w:val="22"/>
  </w:num>
  <w:num w:numId="23" w16cid:durableId="1033387424">
    <w:abstractNumId w:val="24"/>
  </w:num>
  <w:num w:numId="24" w16cid:durableId="92478403">
    <w:abstractNumId w:val="36"/>
  </w:num>
  <w:num w:numId="25" w16cid:durableId="1330795003">
    <w:abstractNumId w:val="29"/>
  </w:num>
  <w:num w:numId="26" w16cid:durableId="744379382">
    <w:abstractNumId w:val="20"/>
  </w:num>
  <w:num w:numId="27" w16cid:durableId="1425372128">
    <w:abstractNumId w:val="16"/>
  </w:num>
  <w:num w:numId="28" w16cid:durableId="773211968">
    <w:abstractNumId w:val="43"/>
  </w:num>
  <w:num w:numId="29" w16cid:durableId="561254776">
    <w:abstractNumId w:val="2"/>
  </w:num>
  <w:num w:numId="30" w16cid:durableId="1663385332">
    <w:abstractNumId w:val="3"/>
  </w:num>
  <w:num w:numId="31" w16cid:durableId="292487775">
    <w:abstractNumId w:val="42"/>
  </w:num>
  <w:num w:numId="32" w16cid:durableId="1468472862">
    <w:abstractNumId w:val="10"/>
  </w:num>
  <w:num w:numId="33" w16cid:durableId="619842301">
    <w:abstractNumId w:val="32"/>
  </w:num>
  <w:num w:numId="34" w16cid:durableId="1139760452">
    <w:abstractNumId w:val="38"/>
  </w:num>
  <w:num w:numId="35" w16cid:durableId="1373457969">
    <w:abstractNumId w:val="4"/>
  </w:num>
  <w:num w:numId="36" w16cid:durableId="1848981033">
    <w:abstractNumId w:val="27"/>
  </w:num>
  <w:num w:numId="37" w16cid:durableId="47463239">
    <w:abstractNumId w:val="45"/>
  </w:num>
  <w:num w:numId="38" w16cid:durableId="2016610746">
    <w:abstractNumId w:val="50"/>
  </w:num>
  <w:num w:numId="39" w16cid:durableId="1455320742">
    <w:abstractNumId w:val="23"/>
  </w:num>
  <w:num w:numId="40" w16cid:durableId="501431989">
    <w:abstractNumId w:val="40"/>
  </w:num>
  <w:num w:numId="41" w16cid:durableId="1201822163">
    <w:abstractNumId w:val="52"/>
  </w:num>
  <w:num w:numId="42" w16cid:durableId="694964388">
    <w:abstractNumId w:val="17"/>
  </w:num>
  <w:num w:numId="43" w16cid:durableId="2040086091">
    <w:abstractNumId w:val="53"/>
  </w:num>
  <w:num w:numId="44" w16cid:durableId="2034651280">
    <w:abstractNumId w:val="33"/>
  </w:num>
  <w:num w:numId="45" w16cid:durableId="620770336">
    <w:abstractNumId w:val="8"/>
  </w:num>
  <w:num w:numId="46" w16cid:durableId="487400383">
    <w:abstractNumId w:val="7"/>
  </w:num>
  <w:num w:numId="47" w16cid:durableId="1716854061">
    <w:abstractNumId w:val="46"/>
  </w:num>
  <w:num w:numId="48" w16cid:durableId="2001034495">
    <w:abstractNumId w:val="49"/>
  </w:num>
  <w:num w:numId="49" w16cid:durableId="256790063">
    <w:abstractNumId w:val="19"/>
  </w:num>
  <w:num w:numId="50" w16cid:durableId="1404449863">
    <w:abstractNumId w:val="31"/>
  </w:num>
  <w:num w:numId="51" w16cid:durableId="828446088">
    <w:abstractNumId w:val="26"/>
  </w:num>
  <w:num w:numId="52" w16cid:durableId="919633143">
    <w:abstractNumId w:val="47"/>
  </w:num>
  <w:num w:numId="53" w16cid:durableId="776753481">
    <w:abstractNumId w:val="11"/>
  </w:num>
  <w:num w:numId="54" w16cid:durableId="1600991003">
    <w:abstractNumId w:val="3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EFC"/>
    <w:rsid w:val="000008F9"/>
    <w:rsid w:val="00002174"/>
    <w:rsid w:val="00004DF5"/>
    <w:rsid w:val="0001433F"/>
    <w:rsid w:val="00016326"/>
    <w:rsid w:val="000164E2"/>
    <w:rsid w:val="000177C0"/>
    <w:rsid w:val="0002104A"/>
    <w:rsid w:val="00026982"/>
    <w:rsid w:val="0003297E"/>
    <w:rsid w:val="00034173"/>
    <w:rsid w:val="00037167"/>
    <w:rsid w:val="00040593"/>
    <w:rsid w:val="000567F9"/>
    <w:rsid w:val="00062089"/>
    <w:rsid w:val="00063A5E"/>
    <w:rsid w:val="000709F8"/>
    <w:rsid w:val="00091300"/>
    <w:rsid w:val="00092E90"/>
    <w:rsid w:val="00096B85"/>
    <w:rsid w:val="0009750C"/>
    <w:rsid w:val="000B1443"/>
    <w:rsid w:val="000B6679"/>
    <w:rsid w:val="000D4FE1"/>
    <w:rsid w:val="000D5D11"/>
    <w:rsid w:val="000D6D87"/>
    <w:rsid w:val="000D6E79"/>
    <w:rsid w:val="000D7E7B"/>
    <w:rsid w:val="000F3704"/>
    <w:rsid w:val="000F4D2C"/>
    <w:rsid w:val="00100767"/>
    <w:rsid w:val="0010085F"/>
    <w:rsid w:val="0010173F"/>
    <w:rsid w:val="0010272B"/>
    <w:rsid w:val="00103699"/>
    <w:rsid w:val="00111780"/>
    <w:rsid w:val="001142E7"/>
    <w:rsid w:val="00116EA1"/>
    <w:rsid w:val="0012061B"/>
    <w:rsid w:val="00120CE8"/>
    <w:rsid w:val="001300C8"/>
    <w:rsid w:val="001364A7"/>
    <w:rsid w:val="00137F16"/>
    <w:rsid w:val="00140DD8"/>
    <w:rsid w:val="0014185B"/>
    <w:rsid w:val="0014432E"/>
    <w:rsid w:val="001461AF"/>
    <w:rsid w:val="00146AFA"/>
    <w:rsid w:val="001502BC"/>
    <w:rsid w:val="001542B3"/>
    <w:rsid w:val="0015575F"/>
    <w:rsid w:val="001632CA"/>
    <w:rsid w:val="00172961"/>
    <w:rsid w:val="00173786"/>
    <w:rsid w:val="00176C87"/>
    <w:rsid w:val="001A2929"/>
    <w:rsid w:val="001A2B5C"/>
    <w:rsid w:val="001A33F0"/>
    <w:rsid w:val="001A39BF"/>
    <w:rsid w:val="001A7E0B"/>
    <w:rsid w:val="001C1A89"/>
    <w:rsid w:val="001D112E"/>
    <w:rsid w:val="001D2E3D"/>
    <w:rsid w:val="001D6B2E"/>
    <w:rsid w:val="001D6EF4"/>
    <w:rsid w:val="001F173A"/>
    <w:rsid w:val="001F1901"/>
    <w:rsid w:val="001F762A"/>
    <w:rsid w:val="0020135A"/>
    <w:rsid w:val="0020377A"/>
    <w:rsid w:val="00205A51"/>
    <w:rsid w:val="00206AE1"/>
    <w:rsid w:val="00215BDC"/>
    <w:rsid w:val="0021779A"/>
    <w:rsid w:val="00217CF3"/>
    <w:rsid w:val="00226339"/>
    <w:rsid w:val="00232833"/>
    <w:rsid w:val="00235A93"/>
    <w:rsid w:val="00243E94"/>
    <w:rsid w:val="00250ABC"/>
    <w:rsid w:val="00256FF2"/>
    <w:rsid w:val="00257365"/>
    <w:rsid w:val="0026043C"/>
    <w:rsid w:val="00265B3A"/>
    <w:rsid w:val="0026686F"/>
    <w:rsid w:val="002710B7"/>
    <w:rsid w:val="00272507"/>
    <w:rsid w:val="0028360C"/>
    <w:rsid w:val="00283CE6"/>
    <w:rsid w:val="002852E3"/>
    <w:rsid w:val="00290E1D"/>
    <w:rsid w:val="0029236D"/>
    <w:rsid w:val="00296CE4"/>
    <w:rsid w:val="00297445"/>
    <w:rsid w:val="002A331F"/>
    <w:rsid w:val="002B7C57"/>
    <w:rsid w:val="002C13E1"/>
    <w:rsid w:val="002D0CD9"/>
    <w:rsid w:val="002E31D1"/>
    <w:rsid w:val="002E3EA0"/>
    <w:rsid w:val="002E4077"/>
    <w:rsid w:val="002F166B"/>
    <w:rsid w:val="002F7C58"/>
    <w:rsid w:val="003020B7"/>
    <w:rsid w:val="00305723"/>
    <w:rsid w:val="00320CA0"/>
    <w:rsid w:val="0032503A"/>
    <w:rsid w:val="003351B4"/>
    <w:rsid w:val="0033552B"/>
    <w:rsid w:val="00343800"/>
    <w:rsid w:val="003447C3"/>
    <w:rsid w:val="00346B38"/>
    <w:rsid w:val="00371129"/>
    <w:rsid w:val="00371A68"/>
    <w:rsid w:val="00374854"/>
    <w:rsid w:val="00374DAA"/>
    <w:rsid w:val="00376CA4"/>
    <w:rsid w:val="00387ACD"/>
    <w:rsid w:val="00387FF6"/>
    <w:rsid w:val="0039158C"/>
    <w:rsid w:val="003B5C00"/>
    <w:rsid w:val="003C282F"/>
    <w:rsid w:val="003C417B"/>
    <w:rsid w:val="003E0382"/>
    <w:rsid w:val="003F04E9"/>
    <w:rsid w:val="003F698B"/>
    <w:rsid w:val="00414FB3"/>
    <w:rsid w:val="00415A0C"/>
    <w:rsid w:val="00420024"/>
    <w:rsid w:val="004233E9"/>
    <w:rsid w:val="00431F4E"/>
    <w:rsid w:val="004438DD"/>
    <w:rsid w:val="00445A3B"/>
    <w:rsid w:val="00445E57"/>
    <w:rsid w:val="00450EF8"/>
    <w:rsid w:val="00455DDE"/>
    <w:rsid w:val="00456290"/>
    <w:rsid w:val="0045649F"/>
    <w:rsid w:val="00456DB0"/>
    <w:rsid w:val="00460677"/>
    <w:rsid w:val="0046265F"/>
    <w:rsid w:val="004629CB"/>
    <w:rsid w:val="0047062E"/>
    <w:rsid w:val="00470E6A"/>
    <w:rsid w:val="004724EC"/>
    <w:rsid w:val="00475935"/>
    <w:rsid w:val="00476DBD"/>
    <w:rsid w:val="00484C98"/>
    <w:rsid w:val="00485198"/>
    <w:rsid w:val="00494A2D"/>
    <w:rsid w:val="00497425"/>
    <w:rsid w:val="004A11FA"/>
    <w:rsid w:val="004A4367"/>
    <w:rsid w:val="004B0C78"/>
    <w:rsid w:val="004B5EDD"/>
    <w:rsid w:val="004C3B3B"/>
    <w:rsid w:val="004D00E4"/>
    <w:rsid w:val="004E0CE8"/>
    <w:rsid w:val="004E36E3"/>
    <w:rsid w:val="004F2E1F"/>
    <w:rsid w:val="004F49DF"/>
    <w:rsid w:val="00500AB2"/>
    <w:rsid w:val="00504530"/>
    <w:rsid w:val="0050718A"/>
    <w:rsid w:val="0051426D"/>
    <w:rsid w:val="00515F4C"/>
    <w:rsid w:val="00517702"/>
    <w:rsid w:val="00522FB2"/>
    <w:rsid w:val="005245E2"/>
    <w:rsid w:val="0052746C"/>
    <w:rsid w:val="00527AF5"/>
    <w:rsid w:val="00536A78"/>
    <w:rsid w:val="00560D5D"/>
    <w:rsid w:val="00564E78"/>
    <w:rsid w:val="00565CDC"/>
    <w:rsid w:val="0056667F"/>
    <w:rsid w:val="005711B4"/>
    <w:rsid w:val="00572B5C"/>
    <w:rsid w:val="00582BEB"/>
    <w:rsid w:val="00584EA8"/>
    <w:rsid w:val="00585E90"/>
    <w:rsid w:val="0058646D"/>
    <w:rsid w:val="005879D1"/>
    <w:rsid w:val="00592D22"/>
    <w:rsid w:val="00597110"/>
    <w:rsid w:val="005A24FC"/>
    <w:rsid w:val="005A5FE3"/>
    <w:rsid w:val="005B0CB7"/>
    <w:rsid w:val="005B1AF0"/>
    <w:rsid w:val="005B62BE"/>
    <w:rsid w:val="005D485C"/>
    <w:rsid w:val="005E382B"/>
    <w:rsid w:val="005E74C1"/>
    <w:rsid w:val="005F40C3"/>
    <w:rsid w:val="006008CD"/>
    <w:rsid w:val="0060409A"/>
    <w:rsid w:val="00607541"/>
    <w:rsid w:val="00615BB6"/>
    <w:rsid w:val="006163A3"/>
    <w:rsid w:val="006277EA"/>
    <w:rsid w:val="006333D4"/>
    <w:rsid w:val="0063539E"/>
    <w:rsid w:val="00645095"/>
    <w:rsid w:val="00646805"/>
    <w:rsid w:val="00646DBF"/>
    <w:rsid w:val="00651A76"/>
    <w:rsid w:val="006542C3"/>
    <w:rsid w:val="00664875"/>
    <w:rsid w:val="0066564A"/>
    <w:rsid w:val="00667EE0"/>
    <w:rsid w:val="006708E7"/>
    <w:rsid w:val="00672A1D"/>
    <w:rsid w:val="00680ED1"/>
    <w:rsid w:val="00691BDB"/>
    <w:rsid w:val="006A4763"/>
    <w:rsid w:val="006A516C"/>
    <w:rsid w:val="006A7BFE"/>
    <w:rsid w:val="006C2F40"/>
    <w:rsid w:val="006C53FC"/>
    <w:rsid w:val="006D04E8"/>
    <w:rsid w:val="006D0F8B"/>
    <w:rsid w:val="006F3407"/>
    <w:rsid w:val="006F762D"/>
    <w:rsid w:val="00700EB4"/>
    <w:rsid w:val="00711042"/>
    <w:rsid w:val="00711CC7"/>
    <w:rsid w:val="00714020"/>
    <w:rsid w:val="0071530B"/>
    <w:rsid w:val="007174F7"/>
    <w:rsid w:val="00723F1D"/>
    <w:rsid w:val="00740C36"/>
    <w:rsid w:val="007450DE"/>
    <w:rsid w:val="00747A83"/>
    <w:rsid w:val="0075495A"/>
    <w:rsid w:val="00761367"/>
    <w:rsid w:val="007643EE"/>
    <w:rsid w:val="00766315"/>
    <w:rsid w:val="00771324"/>
    <w:rsid w:val="0077173B"/>
    <w:rsid w:val="00795685"/>
    <w:rsid w:val="00795A8D"/>
    <w:rsid w:val="007A6518"/>
    <w:rsid w:val="007B1A5C"/>
    <w:rsid w:val="007B2C38"/>
    <w:rsid w:val="007B4A6A"/>
    <w:rsid w:val="007C0109"/>
    <w:rsid w:val="007C370D"/>
    <w:rsid w:val="007C578E"/>
    <w:rsid w:val="007D17AF"/>
    <w:rsid w:val="007D5C77"/>
    <w:rsid w:val="007E346C"/>
    <w:rsid w:val="007E6226"/>
    <w:rsid w:val="007F24F6"/>
    <w:rsid w:val="00800F34"/>
    <w:rsid w:val="00810200"/>
    <w:rsid w:val="008151FF"/>
    <w:rsid w:val="00825428"/>
    <w:rsid w:val="00827C3A"/>
    <w:rsid w:val="008371EE"/>
    <w:rsid w:val="00843A04"/>
    <w:rsid w:val="00847598"/>
    <w:rsid w:val="0084783A"/>
    <w:rsid w:val="0084796E"/>
    <w:rsid w:val="008510C0"/>
    <w:rsid w:val="008618D5"/>
    <w:rsid w:val="00861BDB"/>
    <w:rsid w:val="00867081"/>
    <w:rsid w:val="00880009"/>
    <w:rsid w:val="00885E71"/>
    <w:rsid w:val="00886A63"/>
    <w:rsid w:val="008927E1"/>
    <w:rsid w:val="00897DF5"/>
    <w:rsid w:val="008A074A"/>
    <w:rsid w:val="008A1382"/>
    <w:rsid w:val="008B057E"/>
    <w:rsid w:val="008B082F"/>
    <w:rsid w:val="008B34B6"/>
    <w:rsid w:val="008B50FF"/>
    <w:rsid w:val="008B5535"/>
    <w:rsid w:val="008B759B"/>
    <w:rsid w:val="008B75F8"/>
    <w:rsid w:val="008C73F9"/>
    <w:rsid w:val="008D28DA"/>
    <w:rsid w:val="008E6154"/>
    <w:rsid w:val="008F500B"/>
    <w:rsid w:val="0090342F"/>
    <w:rsid w:val="00916DB8"/>
    <w:rsid w:val="0092205D"/>
    <w:rsid w:val="00922737"/>
    <w:rsid w:val="00925121"/>
    <w:rsid w:val="00930B6D"/>
    <w:rsid w:val="009339AD"/>
    <w:rsid w:val="00943D7B"/>
    <w:rsid w:val="00945510"/>
    <w:rsid w:val="00946C5B"/>
    <w:rsid w:val="00951EED"/>
    <w:rsid w:val="0095202F"/>
    <w:rsid w:val="00953909"/>
    <w:rsid w:val="00953B09"/>
    <w:rsid w:val="00955096"/>
    <w:rsid w:val="00956281"/>
    <w:rsid w:val="00963D0B"/>
    <w:rsid w:val="009678C4"/>
    <w:rsid w:val="00970CAB"/>
    <w:rsid w:val="00984A42"/>
    <w:rsid w:val="0099298F"/>
    <w:rsid w:val="00994479"/>
    <w:rsid w:val="009C2F11"/>
    <w:rsid w:val="009C5FA4"/>
    <w:rsid w:val="009D175F"/>
    <w:rsid w:val="009D40A1"/>
    <w:rsid w:val="009D7C42"/>
    <w:rsid w:val="009DB3AD"/>
    <w:rsid w:val="009E5D35"/>
    <w:rsid w:val="009E73BD"/>
    <w:rsid w:val="009F0509"/>
    <w:rsid w:val="009F069D"/>
    <w:rsid w:val="009F3502"/>
    <w:rsid w:val="009F6D50"/>
    <w:rsid w:val="009F78DF"/>
    <w:rsid w:val="00A00B50"/>
    <w:rsid w:val="00A11503"/>
    <w:rsid w:val="00A12E1B"/>
    <w:rsid w:val="00A134FB"/>
    <w:rsid w:val="00A2017D"/>
    <w:rsid w:val="00A22120"/>
    <w:rsid w:val="00A2570F"/>
    <w:rsid w:val="00A47C3C"/>
    <w:rsid w:val="00A5287C"/>
    <w:rsid w:val="00A53575"/>
    <w:rsid w:val="00A60B11"/>
    <w:rsid w:val="00A718FD"/>
    <w:rsid w:val="00A74FC1"/>
    <w:rsid w:val="00A80088"/>
    <w:rsid w:val="00A8445D"/>
    <w:rsid w:val="00A87489"/>
    <w:rsid w:val="00A90625"/>
    <w:rsid w:val="00AA0C8C"/>
    <w:rsid w:val="00AA3477"/>
    <w:rsid w:val="00AA6119"/>
    <w:rsid w:val="00AA61F4"/>
    <w:rsid w:val="00AA6EF4"/>
    <w:rsid w:val="00AB6896"/>
    <w:rsid w:val="00AC35F9"/>
    <w:rsid w:val="00AC668B"/>
    <w:rsid w:val="00AD08A9"/>
    <w:rsid w:val="00AD2F9B"/>
    <w:rsid w:val="00AD431F"/>
    <w:rsid w:val="00AD7EA5"/>
    <w:rsid w:val="00AE5112"/>
    <w:rsid w:val="00AE676E"/>
    <w:rsid w:val="00AE7771"/>
    <w:rsid w:val="00AF0741"/>
    <w:rsid w:val="00AF2950"/>
    <w:rsid w:val="00AF6FBE"/>
    <w:rsid w:val="00B06BC9"/>
    <w:rsid w:val="00B11209"/>
    <w:rsid w:val="00B13A84"/>
    <w:rsid w:val="00B16184"/>
    <w:rsid w:val="00B23BB8"/>
    <w:rsid w:val="00B27A3A"/>
    <w:rsid w:val="00B35859"/>
    <w:rsid w:val="00B37A21"/>
    <w:rsid w:val="00B40D27"/>
    <w:rsid w:val="00B43774"/>
    <w:rsid w:val="00B51769"/>
    <w:rsid w:val="00B560EE"/>
    <w:rsid w:val="00B651B0"/>
    <w:rsid w:val="00B70D77"/>
    <w:rsid w:val="00B856C8"/>
    <w:rsid w:val="00B87D4F"/>
    <w:rsid w:val="00BA4358"/>
    <w:rsid w:val="00BA4549"/>
    <w:rsid w:val="00BA5C64"/>
    <w:rsid w:val="00BA6B0F"/>
    <w:rsid w:val="00BB345A"/>
    <w:rsid w:val="00BB4E9B"/>
    <w:rsid w:val="00BB68F1"/>
    <w:rsid w:val="00BC112F"/>
    <w:rsid w:val="00BD4ACC"/>
    <w:rsid w:val="00BE0941"/>
    <w:rsid w:val="00BE1417"/>
    <w:rsid w:val="00BE603D"/>
    <w:rsid w:val="00C020E4"/>
    <w:rsid w:val="00C1000B"/>
    <w:rsid w:val="00C15C81"/>
    <w:rsid w:val="00C21AA6"/>
    <w:rsid w:val="00C24077"/>
    <w:rsid w:val="00C257B6"/>
    <w:rsid w:val="00C31BCA"/>
    <w:rsid w:val="00C31BED"/>
    <w:rsid w:val="00C35608"/>
    <w:rsid w:val="00C36302"/>
    <w:rsid w:val="00C369F4"/>
    <w:rsid w:val="00C43B7A"/>
    <w:rsid w:val="00C45EF4"/>
    <w:rsid w:val="00C52974"/>
    <w:rsid w:val="00C614B4"/>
    <w:rsid w:val="00C61535"/>
    <w:rsid w:val="00C62D0B"/>
    <w:rsid w:val="00C70243"/>
    <w:rsid w:val="00C81A69"/>
    <w:rsid w:val="00C84D85"/>
    <w:rsid w:val="00C86A17"/>
    <w:rsid w:val="00C87DFC"/>
    <w:rsid w:val="00C972BE"/>
    <w:rsid w:val="00CB0185"/>
    <w:rsid w:val="00CB16CC"/>
    <w:rsid w:val="00CB53DE"/>
    <w:rsid w:val="00CC538D"/>
    <w:rsid w:val="00CC6F4B"/>
    <w:rsid w:val="00CD125C"/>
    <w:rsid w:val="00CD26B7"/>
    <w:rsid w:val="00CD29EA"/>
    <w:rsid w:val="00CE77C1"/>
    <w:rsid w:val="00CF3B0F"/>
    <w:rsid w:val="00CF5EFC"/>
    <w:rsid w:val="00CF64AC"/>
    <w:rsid w:val="00D17CDE"/>
    <w:rsid w:val="00D221D4"/>
    <w:rsid w:val="00D2527C"/>
    <w:rsid w:val="00D32855"/>
    <w:rsid w:val="00D36390"/>
    <w:rsid w:val="00D443C0"/>
    <w:rsid w:val="00D55FD2"/>
    <w:rsid w:val="00D61830"/>
    <w:rsid w:val="00D638C7"/>
    <w:rsid w:val="00D709D9"/>
    <w:rsid w:val="00D725F6"/>
    <w:rsid w:val="00D7297B"/>
    <w:rsid w:val="00D732C1"/>
    <w:rsid w:val="00D73631"/>
    <w:rsid w:val="00D75C21"/>
    <w:rsid w:val="00D82B0A"/>
    <w:rsid w:val="00D86489"/>
    <w:rsid w:val="00D93296"/>
    <w:rsid w:val="00D93474"/>
    <w:rsid w:val="00D96EFA"/>
    <w:rsid w:val="00D974D9"/>
    <w:rsid w:val="00DA0BBD"/>
    <w:rsid w:val="00DA3FA9"/>
    <w:rsid w:val="00DB012E"/>
    <w:rsid w:val="00DC16F9"/>
    <w:rsid w:val="00DD0483"/>
    <w:rsid w:val="00DD2EA0"/>
    <w:rsid w:val="00DD578A"/>
    <w:rsid w:val="00DD7054"/>
    <w:rsid w:val="00DE0F73"/>
    <w:rsid w:val="00DE2BE3"/>
    <w:rsid w:val="00DF28C4"/>
    <w:rsid w:val="00E03518"/>
    <w:rsid w:val="00E036BC"/>
    <w:rsid w:val="00E05C26"/>
    <w:rsid w:val="00E07565"/>
    <w:rsid w:val="00E07B36"/>
    <w:rsid w:val="00E12E55"/>
    <w:rsid w:val="00E23FA3"/>
    <w:rsid w:val="00E35632"/>
    <w:rsid w:val="00E53B73"/>
    <w:rsid w:val="00E56D87"/>
    <w:rsid w:val="00E65EE8"/>
    <w:rsid w:val="00E72B68"/>
    <w:rsid w:val="00E75985"/>
    <w:rsid w:val="00E76C98"/>
    <w:rsid w:val="00E86C96"/>
    <w:rsid w:val="00E9038D"/>
    <w:rsid w:val="00E9399E"/>
    <w:rsid w:val="00E942BD"/>
    <w:rsid w:val="00E96508"/>
    <w:rsid w:val="00EA0691"/>
    <w:rsid w:val="00EA214F"/>
    <w:rsid w:val="00EB0658"/>
    <w:rsid w:val="00EB1C59"/>
    <w:rsid w:val="00EB1D27"/>
    <w:rsid w:val="00EB412D"/>
    <w:rsid w:val="00EC1C0E"/>
    <w:rsid w:val="00EC62A8"/>
    <w:rsid w:val="00ED270A"/>
    <w:rsid w:val="00EF5F16"/>
    <w:rsid w:val="00F0368D"/>
    <w:rsid w:val="00F05A91"/>
    <w:rsid w:val="00F108F1"/>
    <w:rsid w:val="00F10A2A"/>
    <w:rsid w:val="00F11953"/>
    <w:rsid w:val="00F1579C"/>
    <w:rsid w:val="00F34B0B"/>
    <w:rsid w:val="00F35C4D"/>
    <w:rsid w:val="00F40E4F"/>
    <w:rsid w:val="00F42C2B"/>
    <w:rsid w:val="00F44201"/>
    <w:rsid w:val="00F45769"/>
    <w:rsid w:val="00F45DB8"/>
    <w:rsid w:val="00F516D8"/>
    <w:rsid w:val="00F53BA2"/>
    <w:rsid w:val="00F54E6D"/>
    <w:rsid w:val="00F56B5D"/>
    <w:rsid w:val="00F60C74"/>
    <w:rsid w:val="00F62975"/>
    <w:rsid w:val="00F66A42"/>
    <w:rsid w:val="00F7104A"/>
    <w:rsid w:val="00F73B46"/>
    <w:rsid w:val="00F75A6F"/>
    <w:rsid w:val="00F7643B"/>
    <w:rsid w:val="00F768E9"/>
    <w:rsid w:val="00F8058D"/>
    <w:rsid w:val="00F861E2"/>
    <w:rsid w:val="00F867DB"/>
    <w:rsid w:val="00F90A76"/>
    <w:rsid w:val="00F938C1"/>
    <w:rsid w:val="00F97BEF"/>
    <w:rsid w:val="00FA2BA3"/>
    <w:rsid w:val="00FA2BAA"/>
    <w:rsid w:val="00FC0CB6"/>
    <w:rsid w:val="00FC36A9"/>
    <w:rsid w:val="00FC4C47"/>
    <w:rsid w:val="00FD1DEA"/>
    <w:rsid w:val="00FD2324"/>
    <w:rsid w:val="00FD48B5"/>
    <w:rsid w:val="00FD7906"/>
    <w:rsid w:val="00FE106D"/>
    <w:rsid w:val="00FE4EF0"/>
    <w:rsid w:val="00FE6572"/>
    <w:rsid w:val="00FF103C"/>
    <w:rsid w:val="00FF5990"/>
    <w:rsid w:val="00FF6639"/>
    <w:rsid w:val="00FF6FD0"/>
    <w:rsid w:val="04565CC5"/>
    <w:rsid w:val="095F5068"/>
    <w:rsid w:val="09E9D4C3"/>
    <w:rsid w:val="0A1D90DB"/>
    <w:rsid w:val="0AC59E49"/>
    <w:rsid w:val="0ADEC6A6"/>
    <w:rsid w:val="1098B6DC"/>
    <w:rsid w:val="13DF9A37"/>
    <w:rsid w:val="16103E76"/>
    <w:rsid w:val="1799AE1C"/>
    <w:rsid w:val="17AC0ED7"/>
    <w:rsid w:val="17BBB1FA"/>
    <w:rsid w:val="17BD49AE"/>
    <w:rsid w:val="18493645"/>
    <w:rsid w:val="18F93139"/>
    <w:rsid w:val="1983B9B1"/>
    <w:rsid w:val="1AE3AF99"/>
    <w:rsid w:val="1D847DC4"/>
    <w:rsid w:val="1E9F4F6C"/>
    <w:rsid w:val="1FAF3336"/>
    <w:rsid w:val="23A7555F"/>
    <w:rsid w:val="261CDD06"/>
    <w:rsid w:val="2803CB74"/>
    <w:rsid w:val="2934A73A"/>
    <w:rsid w:val="30F983D6"/>
    <w:rsid w:val="363C860A"/>
    <w:rsid w:val="39E6EB06"/>
    <w:rsid w:val="3D7CDCEA"/>
    <w:rsid w:val="40562C8A"/>
    <w:rsid w:val="40DA5D09"/>
    <w:rsid w:val="447380B3"/>
    <w:rsid w:val="466C0E9F"/>
    <w:rsid w:val="476EDD3D"/>
    <w:rsid w:val="48A5066E"/>
    <w:rsid w:val="48BD71D4"/>
    <w:rsid w:val="4ABC45E2"/>
    <w:rsid w:val="4AD044EB"/>
    <w:rsid w:val="4D835D91"/>
    <w:rsid w:val="4D9AEE3A"/>
    <w:rsid w:val="50743DDA"/>
    <w:rsid w:val="5728A823"/>
    <w:rsid w:val="5BD38097"/>
    <w:rsid w:val="5C059E80"/>
    <w:rsid w:val="6355127A"/>
    <w:rsid w:val="64EB4AFB"/>
    <w:rsid w:val="65047358"/>
    <w:rsid w:val="673CAE30"/>
    <w:rsid w:val="683C141A"/>
    <w:rsid w:val="6B0980A0"/>
    <w:rsid w:val="6B73B4DC"/>
    <w:rsid w:val="707D70D2"/>
    <w:rsid w:val="7119D30F"/>
    <w:rsid w:val="735C192A"/>
    <w:rsid w:val="737EC6C1"/>
    <w:rsid w:val="74930CA4"/>
    <w:rsid w:val="751A9722"/>
    <w:rsid w:val="77CAAD66"/>
    <w:rsid w:val="7C64733C"/>
    <w:rsid w:val="7D4E197D"/>
    <w:rsid w:val="7DF8561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FB9E669"/>
  <w15:chartTrackingRefBased/>
  <w15:docId w15:val="{79153FDF-388B-4E27-8A24-EFEEA57C1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qFormat/>
    <w:rsid w:val="00CF5EFC"/>
    <w:pPr>
      <w:keepNext/>
      <w:spacing w:after="0" w:line="240" w:lineRule="auto"/>
      <w:ind w:left="567"/>
      <w:jc w:val="center"/>
      <w:outlineLvl w:val="0"/>
    </w:pPr>
    <w:rPr>
      <w:rFonts w:ascii="CG Times" w:eastAsia="Times New Roman" w:hAnsi="CG Times" w:cs="Times New Roman"/>
      <w:b/>
      <w:sz w:val="24"/>
      <w:szCs w:val="20"/>
      <w:lang w:eastAsia="es-ES"/>
    </w:rPr>
  </w:style>
  <w:style w:type="paragraph" w:styleId="Ttulo2">
    <w:name w:val="heading 2"/>
    <w:aliases w:val="Neg"/>
    <w:basedOn w:val="Normal"/>
    <w:next w:val="Normal"/>
    <w:link w:val="Ttulo2Car"/>
    <w:qFormat/>
    <w:rsid w:val="00CF5EFC"/>
    <w:pPr>
      <w:keepNext/>
      <w:widowControl w:val="0"/>
      <w:numPr>
        <w:numId w:val="1"/>
      </w:numPr>
      <w:adjustRightInd w:val="0"/>
      <w:spacing w:after="0" w:line="360" w:lineRule="auto"/>
      <w:jc w:val="both"/>
      <w:textAlignment w:val="baseline"/>
      <w:outlineLvl w:val="1"/>
    </w:pPr>
    <w:rPr>
      <w:rFonts w:ascii="Times New Roman" w:eastAsia="Times New Roman" w:hAnsi="Times New Roman" w:cs="Times New Roman"/>
      <w:b/>
      <w:bCs/>
      <w:sz w:val="24"/>
      <w:szCs w:val="24"/>
      <w:lang w:val="es-ES" w:eastAsia="es-ES"/>
    </w:rPr>
  </w:style>
  <w:style w:type="paragraph" w:styleId="Ttulo3">
    <w:name w:val="heading 3"/>
    <w:basedOn w:val="Normal"/>
    <w:next w:val="Normal"/>
    <w:link w:val="Ttulo3Car"/>
    <w:qFormat/>
    <w:rsid w:val="00CF5EFC"/>
    <w:pPr>
      <w:keepNext/>
      <w:spacing w:after="0" w:line="240" w:lineRule="auto"/>
      <w:ind w:left="567"/>
      <w:jc w:val="center"/>
      <w:outlineLvl w:val="2"/>
    </w:pPr>
    <w:rPr>
      <w:rFonts w:ascii="CG Times" w:eastAsia="Times New Roman" w:hAnsi="CG Times" w:cs="Times New Roman"/>
      <w:b/>
      <w:snapToGrid w:val="0"/>
      <w:color w:val="000000"/>
      <w:sz w:val="24"/>
      <w:szCs w:val="20"/>
      <w:lang w:val="es-ES_tradnl" w:eastAsia="es-ES"/>
    </w:rPr>
  </w:style>
  <w:style w:type="paragraph" w:styleId="Ttulo4">
    <w:name w:val="heading 4"/>
    <w:basedOn w:val="Normal"/>
    <w:next w:val="Normal"/>
    <w:link w:val="Ttulo4Car"/>
    <w:qFormat/>
    <w:rsid w:val="00CF5EFC"/>
    <w:pPr>
      <w:keepNext/>
      <w:spacing w:after="0" w:line="240" w:lineRule="auto"/>
      <w:ind w:left="567"/>
      <w:jc w:val="center"/>
      <w:outlineLvl w:val="3"/>
    </w:pPr>
    <w:rPr>
      <w:rFonts w:ascii="Arial" w:eastAsia="Times New Roman" w:hAnsi="Arial" w:cs="Arial"/>
      <w:b/>
      <w:snapToGrid w:val="0"/>
      <w:color w:val="000000"/>
      <w:spacing w:val="20"/>
      <w:sz w:val="20"/>
      <w:szCs w:val="20"/>
      <w:lang w:val="es-ES_tradnl" w:eastAsia="es-ES"/>
    </w:rPr>
  </w:style>
  <w:style w:type="paragraph" w:styleId="Ttulo5">
    <w:name w:val="heading 5"/>
    <w:basedOn w:val="Normal"/>
    <w:next w:val="Normal"/>
    <w:link w:val="Ttulo5Car"/>
    <w:qFormat/>
    <w:rsid w:val="00CF5EFC"/>
    <w:pPr>
      <w:keepNext/>
      <w:spacing w:after="0" w:line="240" w:lineRule="auto"/>
      <w:ind w:left="567"/>
      <w:jc w:val="center"/>
      <w:outlineLvl w:val="4"/>
    </w:pPr>
    <w:rPr>
      <w:rFonts w:ascii="Arial" w:eastAsia="Times New Roman" w:hAnsi="Arial" w:cs="Arial"/>
      <w:b/>
      <w:snapToGrid w:val="0"/>
      <w:color w:val="000000"/>
      <w:spacing w:val="20"/>
      <w:sz w:val="28"/>
      <w:szCs w:val="20"/>
      <w:lang w:val="es-ES_tradnl" w:eastAsia="es-ES"/>
    </w:rPr>
  </w:style>
  <w:style w:type="paragraph" w:styleId="Ttulo6">
    <w:name w:val="heading 6"/>
    <w:basedOn w:val="Normal"/>
    <w:next w:val="Normal"/>
    <w:link w:val="Ttulo6Car"/>
    <w:unhideWhenUsed/>
    <w:qFormat/>
    <w:rsid w:val="00CF5EFC"/>
    <w:pPr>
      <w:spacing w:before="240" w:after="60" w:line="240" w:lineRule="auto"/>
      <w:ind w:left="567"/>
      <w:outlineLvl w:val="5"/>
    </w:pPr>
    <w:rPr>
      <w:rFonts w:ascii="Calibri" w:eastAsia="Times New Roman" w:hAnsi="Calibri" w:cs="Times New Roman"/>
      <w:b/>
      <w:bCs/>
      <w:lang w:val="es-ES" w:eastAsia="es-ES"/>
    </w:rPr>
  </w:style>
  <w:style w:type="paragraph" w:styleId="Ttulo7">
    <w:name w:val="heading 7"/>
    <w:basedOn w:val="Normal"/>
    <w:next w:val="Normal"/>
    <w:link w:val="Ttulo7Car"/>
    <w:uiPriority w:val="9"/>
    <w:qFormat/>
    <w:rsid w:val="00CF5EFC"/>
    <w:pPr>
      <w:keepNext/>
      <w:widowControl w:val="0"/>
      <w:adjustRightInd w:val="0"/>
      <w:spacing w:after="0" w:line="360" w:lineRule="atLeast"/>
      <w:jc w:val="center"/>
      <w:textAlignment w:val="baseline"/>
      <w:outlineLvl w:val="6"/>
    </w:pPr>
    <w:rPr>
      <w:rFonts w:ascii="Arial" w:eastAsia="Times New Roman" w:hAnsi="Arial" w:cs="Arial"/>
      <w:b/>
      <w:bCs/>
      <w:sz w:val="48"/>
      <w:szCs w:val="24"/>
      <w:lang w:val="es-ES" w:eastAsia="es-ES"/>
    </w:rPr>
  </w:style>
  <w:style w:type="paragraph" w:styleId="Ttulo8">
    <w:name w:val="heading 8"/>
    <w:basedOn w:val="Normal"/>
    <w:next w:val="Normal"/>
    <w:link w:val="Ttulo8Car"/>
    <w:qFormat/>
    <w:rsid w:val="00CF5EFC"/>
    <w:pPr>
      <w:keepNext/>
      <w:widowControl w:val="0"/>
      <w:adjustRightInd w:val="0"/>
      <w:spacing w:after="0" w:line="360" w:lineRule="atLeast"/>
      <w:jc w:val="both"/>
      <w:textAlignment w:val="baseline"/>
      <w:outlineLvl w:val="7"/>
    </w:pPr>
    <w:rPr>
      <w:rFonts w:ascii="Arial" w:eastAsia="Times New Roman" w:hAnsi="Arial" w:cs="Arial"/>
      <w:b/>
      <w:sz w:val="44"/>
      <w:szCs w:val="24"/>
      <w:lang w:val="es-ES" w:eastAsia="es-ES"/>
    </w:rPr>
  </w:style>
  <w:style w:type="paragraph" w:styleId="Ttulo9">
    <w:name w:val="heading 9"/>
    <w:basedOn w:val="Normal"/>
    <w:next w:val="Normal"/>
    <w:link w:val="Ttulo9Car"/>
    <w:qFormat/>
    <w:rsid w:val="00CF5EFC"/>
    <w:pPr>
      <w:widowControl w:val="0"/>
      <w:adjustRightInd w:val="0"/>
      <w:spacing w:before="120" w:after="120" w:line="360" w:lineRule="atLeast"/>
      <w:jc w:val="center"/>
      <w:textAlignment w:val="baseline"/>
      <w:outlineLvl w:val="8"/>
    </w:pPr>
    <w:rPr>
      <w:rFonts w:ascii="Arial" w:eastAsia="Times New Roman" w:hAnsi="Arial" w:cs="Times New Roman"/>
      <w:b/>
      <w:i/>
      <w:sz w:val="28"/>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CF5EFC"/>
    <w:rPr>
      <w:rFonts w:ascii="CG Times" w:eastAsia="Times New Roman" w:hAnsi="CG Times" w:cs="Times New Roman"/>
      <w:b/>
      <w:sz w:val="24"/>
      <w:szCs w:val="20"/>
      <w:lang w:eastAsia="es-ES"/>
    </w:rPr>
  </w:style>
  <w:style w:type="character" w:customStyle="1" w:styleId="Ttulo2Car">
    <w:name w:val="Título 2 Car"/>
    <w:aliases w:val="Neg Car"/>
    <w:basedOn w:val="Fuentedeprrafopredeter"/>
    <w:link w:val="Ttulo2"/>
    <w:rsid w:val="00CF5EFC"/>
    <w:rPr>
      <w:rFonts w:ascii="Times New Roman" w:eastAsia="Times New Roman" w:hAnsi="Times New Roman" w:cs="Times New Roman"/>
      <w:b/>
      <w:bCs/>
      <w:sz w:val="24"/>
      <w:szCs w:val="24"/>
      <w:lang w:val="es-ES" w:eastAsia="es-ES"/>
    </w:rPr>
  </w:style>
  <w:style w:type="character" w:customStyle="1" w:styleId="Ttulo3Car">
    <w:name w:val="Título 3 Car"/>
    <w:basedOn w:val="Fuentedeprrafopredeter"/>
    <w:link w:val="Ttulo3"/>
    <w:rsid w:val="00CF5EFC"/>
    <w:rPr>
      <w:rFonts w:ascii="CG Times" w:eastAsia="Times New Roman" w:hAnsi="CG Times" w:cs="Times New Roman"/>
      <w:b/>
      <w:snapToGrid w:val="0"/>
      <w:color w:val="000000"/>
      <w:sz w:val="24"/>
      <w:szCs w:val="20"/>
      <w:lang w:val="es-ES_tradnl" w:eastAsia="es-ES"/>
    </w:rPr>
  </w:style>
  <w:style w:type="character" w:customStyle="1" w:styleId="Ttulo4Car">
    <w:name w:val="Título 4 Car"/>
    <w:basedOn w:val="Fuentedeprrafopredeter"/>
    <w:link w:val="Ttulo4"/>
    <w:rsid w:val="00CF5EFC"/>
    <w:rPr>
      <w:rFonts w:ascii="Arial" w:eastAsia="Times New Roman" w:hAnsi="Arial" w:cs="Arial"/>
      <w:b/>
      <w:snapToGrid w:val="0"/>
      <w:color w:val="000000"/>
      <w:spacing w:val="20"/>
      <w:sz w:val="20"/>
      <w:szCs w:val="20"/>
      <w:lang w:val="es-ES_tradnl" w:eastAsia="es-ES"/>
    </w:rPr>
  </w:style>
  <w:style w:type="character" w:customStyle="1" w:styleId="Ttulo5Car">
    <w:name w:val="Título 5 Car"/>
    <w:basedOn w:val="Fuentedeprrafopredeter"/>
    <w:link w:val="Ttulo5"/>
    <w:rsid w:val="00CF5EFC"/>
    <w:rPr>
      <w:rFonts w:ascii="Arial" w:eastAsia="Times New Roman" w:hAnsi="Arial" w:cs="Arial"/>
      <w:b/>
      <w:snapToGrid w:val="0"/>
      <w:color w:val="000000"/>
      <w:spacing w:val="20"/>
      <w:sz w:val="28"/>
      <w:szCs w:val="20"/>
      <w:lang w:val="es-ES_tradnl" w:eastAsia="es-ES"/>
    </w:rPr>
  </w:style>
  <w:style w:type="character" w:customStyle="1" w:styleId="Ttulo6Car">
    <w:name w:val="Título 6 Car"/>
    <w:basedOn w:val="Fuentedeprrafopredeter"/>
    <w:link w:val="Ttulo6"/>
    <w:rsid w:val="00CF5EFC"/>
    <w:rPr>
      <w:rFonts w:ascii="Calibri" w:eastAsia="Times New Roman" w:hAnsi="Calibri" w:cs="Times New Roman"/>
      <w:b/>
      <w:bCs/>
      <w:lang w:val="es-ES" w:eastAsia="es-ES"/>
    </w:rPr>
  </w:style>
  <w:style w:type="character" w:customStyle="1" w:styleId="Ttulo7Car">
    <w:name w:val="Título 7 Car"/>
    <w:basedOn w:val="Fuentedeprrafopredeter"/>
    <w:link w:val="Ttulo7"/>
    <w:uiPriority w:val="9"/>
    <w:rsid w:val="00CF5EFC"/>
    <w:rPr>
      <w:rFonts w:ascii="Arial" w:eastAsia="Times New Roman" w:hAnsi="Arial" w:cs="Arial"/>
      <w:b/>
      <w:bCs/>
      <w:sz w:val="48"/>
      <w:szCs w:val="24"/>
      <w:lang w:val="es-ES" w:eastAsia="es-ES"/>
    </w:rPr>
  </w:style>
  <w:style w:type="character" w:customStyle="1" w:styleId="Ttulo8Car">
    <w:name w:val="Título 8 Car"/>
    <w:basedOn w:val="Fuentedeprrafopredeter"/>
    <w:link w:val="Ttulo8"/>
    <w:rsid w:val="00CF5EFC"/>
    <w:rPr>
      <w:rFonts w:ascii="Arial" w:eastAsia="Times New Roman" w:hAnsi="Arial" w:cs="Arial"/>
      <w:b/>
      <w:sz w:val="44"/>
      <w:szCs w:val="24"/>
      <w:lang w:val="es-ES" w:eastAsia="es-ES"/>
    </w:rPr>
  </w:style>
  <w:style w:type="character" w:customStyle="1" w:styleId="Ttulo9Car">
    <w:name w:val="Título 9 Car"/>
    <w:basedOn w:val="Fuentedeprrafopredeter"/>
    <w:link w:val="Ttulo9"/>
    <w:rsid w:val="00CF5EFC"/>
    <w:rPr>
      <w:rFonts w:ascii="Arial" w:eastAsia="Times New Roman" w:hAnsi="Arial" w:cs="Times New Roman"/>
      <w:b/>
      <w:i/>
      <w:sz w:val="28"/>
      <w:szCs w:val="20"/>
      <w:lang w:val="es-ES_tradnl" w:eastAsia="es-ES"/>
    </w:rPr>
  </w:style>
  <w:style w:type="paragraph" w:styleId="Encabezado">
    <w:name w:val="header"/>
    <w:basedOn w:val="Normal"/>
    <w:link w:val="EncabezadoCar"/>
    <w:rsid w:val="00CF5EFC"/>
    <w:pPr>
      <w:tabs>
        <w:tab w:val="center" w:pos="4252"/>
        <w:tab w:val="right" w:pos="8504"/>
      </w:tabs>
      <w:spacing w:after="0" w:line="240" w:lineRule="auto"/>
      <w:ind w:left="567"/>
    </w:pPr>
    <w:rPr>
      <w:rFonts w:ascii="CG Times" w:eastAsia="Times New Roman" w:hAnsi="CG Times" w:cs="Times New Roman"/>
      <w:sz w:val="24"/>
      <w:szCs w:val="20"/>
      <w:lang w:eastAsia="es-ES"/>
    </w:rPr>
  </w:style>
  <w:style w:type="character" w:customStyle="1" w:styleId="EncabezadoCar">
    <w:name w:val="Encabezado Car"/>
    <w:basedOn w:val="Fuentedeprrafopredeter"/>
    <w:link w:val="Encabezado"/>
    <w:rsid w:val="00CF5EFC"/>
    <w:rPr>
      <w:rFonts w:ascii="CG Times" w:eastAsia="Times New Roman" w:hAnsi="CG Times" w:cs="Times New Roman"/>
      <w:sz w:val="24"/>
      <w:szCs w:val="20"/>
      <w:lang w:eastAsia="es-ES"/>
    </w:rPr>
  </w:style>
  <w:style w:type="paragraph" w:styleId="Piedepgina">
    <w:name w:val="footer"/>
    <w:basedOn w:val="Normal"/>
    <w:link w:val="PiedepginaCar"/>
    <w:rsid w:val="00CF5EFC"/>
    <w:pPr>
      <w:tabs>
        <w:tab w:val="center" w:pos="4252"/>
        <w:tab w:val="right" w:pos="8504"/>
      </w:tabs>
      <w:spacing w:after="0" w:line="240" w:lineRule="auto"/>
      <w:ind w:left="567"/>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CF5EFC"/>
    <w:rPr>
      <w:rFonts w:ascii="Times New Roman" w:eastAsia="Times New Roman" w:hAnsi="Times New Roman" w:cs="Times New Roman"/>
      <w:sz w:val="24"/>
      <w:szCs w:val="24"/>
      <w:lang w:val="es-ES" w:eastAsia="es-ES"/>
    </w:rPr>
  </w:style>
  <w:style w:type="paragraph" w:customStyle="1" w:styleId="Estilo1">
    <w:name w:val="Estilo1"/>
    <w:basedOn w:val="Normal"/>
    <w:link w:val="Estilo1Car"/>
    <w:qFormat/>
    <w:rsid w:val="00CF5EFC"/>
    <w:pPr>
      <w:shd w:val="clear" w:color="auto" w:fill="C0C0C0"/>
      <w:spacing w:after="0" w:line="240" w:lineRule="auto"/>
      <w:ind w:left="567"/>
      <w:jc w:val="center"/>
    </w:pPr>
    <w:rPr>
      <w:rFonts w:ascii="Comic Sans MS" w:eastAsia="Times New Roman" w:hAnsi="Comic Sans MS" w:cs="Times New Roman"/>
      <w:color w:val="0000FF"/>
      <w:sz w:val="36"/>
      <w:szCs w:val="2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CF5EFC"/>
  </w:style>
  <w:style w:type="paragraph" w:styleId="Textoindependiente">
    <w:name w:val="Body Text"/>
    <w:basedOn w:val="Normal"/>
    <w:link w:val="TextoindependienteCar"/>
    <w:rsid w:val="00CF5EFC"/>
    <w:pPr>
      <w:spacing w:after="0" w:line="240" w:lineRule="auto"/>
      <w:ind w:left="567"/>
      <w:jc w:val="center"/>
    </w:pPr>
    <w:rPr>
      <w:rFonts w:ascii="Arial" w:eastAsia="Times New Roman" w:hAnsi="Arial" w:cs="Arial"/>
      <w:b/>
      <w:bCs/>
      <w:sz w:val="24"/>
      <w:szCs w:val="24"/>
      <w:lang w:val="es-ES" w:eastAsia="es-ES"/>
    </w:rPr>
  </w:style>
  <w:style w:type="character" w:customStyle="1" w:styleId="TextoindependienteCar">
    <w:name w:val="Texto independiente Car"/>
    <w:basedOn w:val="Fuentedeprrafopredeter"/>
    <w:link w:val="Textoindependiente"/>
    <w:rsid w:val="00CF5EFC"/>
    <w:rPr>
      <w:rFonts w:ascii="Arial" w:eastAsia="Times New Roman" w:hAnsi="Arial" w:cs="Arial"/>
      <w:b/>
      <w:bCs/>
      <w:sz w:val="24"/>
      <w:szCs w:val="24"/>
      <w:lang w:val="es-ES" w:eastAsia="es-ES"/>
    </w:rPr>
  </w:style>
  <w:style w:type="paragraph" w:styleId="Textoindependiente3">
    <w:name w:val="Body Text 3"/>
    <w:basedOn w:val="Normal"/>
    <w:link w:val="Textoindependiente3Car"/>
    <w:rsid w:val="00CF5EFC"/>
    <w:pPr>
      <w:spacing w:after="0" w:line="240" w:lineRule="auto"/>
      <w:ind w:left="567"/>
      <w:jc w:val="center"/>
      <w:outlineLvl w:val="0"/>
    </w:pPr>
    <w:rPr>
      <w:rFonts w:ascii="Arial" w:eastAsia="Times New Roman" w:hAnsi="Arial" w:cs="Arial"/>
      <w:b/>
      <w:bCs/>
      <w:spacing w:val="-3"/>
      <w:sz w:val="24"/>
      <w:szCs w:val="24"/>
      <w:lang w:val="es-ES" w:eastAsia="es-ES"/>
    </w:rPr>
  </w:style>
  <w:style w:type="character" w:customStyle="1" w:styleId="Textoindependiente3Car">
    <w:name w:val="Texto independiente 3 Car"/>
    <w:basedOn w:val="Fuentedeprrafopredeter"/>
    <w:link w:val="Textoindependiente3"/>
    <w:rsid w:val="00CF5EFC"/>
    <w:rPr>
      <w:rFonts w:ascii="Arial" w:eastAsia="Times New Roman" w:hAnsi="Arial" w:cs="Arial"/>
      <w:b/>
      <w:bCs/>
      <w:spacing w:val="-3"/>
      <w:sz w:val="24"/>
      <w:szCs w:val="24"/>
      <w:lang w:val="es-ES" w:eastAsia="es-ES"/>
    </w:rPr>
  </w:style>
  <w:style w:type="paragraph" w:styleId="Textodeglobo">
    <w:name w:val="Balloon Text"/>
    <w:basedOn w:val="Normal"/>
    <w:link w:val="TextodegloboCar"/>
    <w:uiPriority w:val="99"/>
    <w:unhideWhenUsed/>
    <w:rsid w:val="00CF5EFC"/>
    <w:pPr>
      <w:spacing w:after="0" w:line="240" w:lineRule="auto"/>
      <w:ind w:left="567"/>
    </w:pPr>
    <w:rPr>
      <w:rFonts w:ascii="Tahoma" w:eastAsia="Times New Roman" w:hAnsi="Tahoma" w:cs="Tahoma"/>
      <w:sz w:val="16"/>
      <w:szCs w:val="16"/>
      <w:lang w:val="es-ES" w:eastAsia="es-ES"/>
    </w:rPr>
  </w:style>
  <w:style w:type="character" w:customStyle="1" w:styleId="TextodegloboCar">
    <w:name w:val="Texto de globo Car"/>
    <w:basedOn w:val="Fuentedeprrafopredeter"/>
    <w:link w:val="Textodeglobo"/>
    <w:uiPriority w:val="99"/>
    <w:rsid w:val="00CF5EFC"/>
    <w:rPr>
      <w:rFonts w:ascii="Tahoma" w:eastAsia="Times New Roman" w:hAnsi="Tahoma" w:cs="Tahoma"/>
      <w:sz w:val="16"/>
      <w:szCs w:val="16"/>
      <w:lang w:val="es-ES" w:eastAsia="es-ES"/>
    </w:rPr>
  </w:style>
  <w:style w:type="table" w:styleId="Tablaconcuadrcula">
    <w:name w:val="Table Grid"/>
    <w:basedOn w:val="Tablanormal"/>
    <w:uiPriority w:val="39"/>
    <w:rsid w:val="00CF5EFC"/>
    <w:pPr>
      <w:spacing w:after="0" w:line="240" w:lineRule="auto"/>
    </w:pPr>
    <w:rPr>
      <w:rFonts w:ascii="Times New Roman" w:eastAsia="Times New Roman" w:hAnsi="Times New Roman" w:cs="Times New Roman"/>
      <w:sz w:val="20"/>
      <w:szCs w:val="20"/>
      <w:lang w:eastAsia="es-C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tulo">
    <w:name w:val="Title"/>
    <w:basedOn w:val="Normal"/>
    <w:link w:val="TtuloCar"/>
    <w:qFormat/>
    <w:rsid w:val="00CF5EFC"/>
    <w:pPr>
      <w:widowControl w:val="0"/>
      <w:adjustRightInd w:val="0"/>
      <w:spacing w:after="0" w:line="360" w:lineRule="atLeast"/>
      <w:ind w:left="567"/>
      <w:jc w:val="center"/>
      <w:textAlignment w:val="baseline"/>
    </w:pPr>
    <w:rPr>
      <w:rFonts w:ascii="Arial" w:eastAsia="Times New Roman" w:hAnsi="Arial" w:cs="Arial"/>
      <w:b/>
      <w:bCs/>
      <w:sz w:val="24"/>
      <w:szCs w:val="24"/>
      <w:lang w:val="es-ES" w:eastAsia="es-ES"/>
    </w:rPr>
  </w:style>
  <w:style w:type="character" w:customStyle="1" w:styleId="TtuloCar">
    <w:name w:val="Título Car"/>
    <w:basedOn w:val="Fuentedeprrafopredeter"/>
    <w:link w:val="Ttulo"/>
    <w:rsid w:val="00CF5EFC"/>
    <w:rPr>
      <w:rFonts w:ascii="Arial" w:eastAsia="Times New Roman" w:hAnsi="Arial" w:cs="Arial"/>
      <w:b/>
      <w:bCs/>
      <w:sz w:val="24"/>
      <w:szCs w:val="24"/>
      <w:lang w:val="es-ES" w:eastAsia="es-ES"/>
    </w:rPr>
  </w:style>
  <w:style w:type="paragraph" w:styleId="Prrafodelista">
    <w:name w:val="List Paragraph"/>
    <w:basedOn w:val="Normal"/>
    <w:link w:val="PrrafodelistaCar"/>
    <w:uiPriority w:val="34"/>
    <w:qFormat/>
    <w:rsid w:val="00CF5EFC"/>
    <w:pPr>
      <w:spacing w:after="0" w:line="240" w:lineRule="auto"/>
      <w:ind w:left="708"/>
    </w:pPr>
    <w:rPr>
      <w:rFonts w:ascii="Times New Roman" w:eastAsia="Times New Roman" w:hAnsi="Times New Roman" w:cs="Times New Roman"/>
      <w:sz w:val="20"/>
      <w:szCs w:val="20"/>
      <w:lang w:eastAsia="es-ES"/>
    </w:rPr>
  </w:style>
  <w:style w:type="character" w:customStyle="1" w:styleId="PrrafodelistaCar">
    <w:name w:val="Párrafo de lista Car"/>
    <w:link w:val="Prrafodelista"/>
    <w:uiPriority w:val="34"/>
    <w:rsid w:val="00CF5EFC"/>
    <w:rPr>
      <w:rFonts w:ascii="Times New Roman" w:eastAsia="Times New Roman" w:hAnsi="Times New Roman" w:cs="Times New Roman"/>
      <w:sz w:val="20"/>
      <w:szCs w:val="20"/>
      <w:lang w:eastAsia="es-ES"/>
    </w:rPr>
  </w:style>
  <w:style w:type="paragraph" w:styleId="TDC1">
    <w:name w:val="toc 1"/>
    <w:basedOn w:val="Normal"/>
    <w:next w:val="Normal"/>
    <w:autoRedefine/>
    <w:uiPriority w:val="39"/>
    <w:rsid w:val="00CF5EFC"/>
    <w:pPr>
      <w:tabs>
        <w:tab w:val="left" w:pos="480"/>
        <w:tab w:val="right" w:leader="dot" w:pos="8828"/>
      </w:tabs>
      <w:spacing w:before="120" w:after="0" w:line="240" w:lineRule="auto"/>
      <w:ind w:left="567"/>
      <w:jc w:val="both"/>
    </w:pPr>
    <w:rPr>
      <w:rFonts w:ascii="Arial" w:eastAsia="Times New Roman" w:hAnsi="Arial" w:cs="Times New Roman"/>
      <w:noProof/>
      <w:sz w:val="24"/>
      <w:szCs w:val="24"/>
      <w:lang w:val="es-ES" w:eastAsia="es-ES"/>
    </w:rPr>
  </w:style>
  <w:style w:type="paragraph" w:styleId="Textodebloque">
    <w:name w:val="Block Text"/>
    <w:basedOn w:val="Normal"/>
    <w:rsid w:val="00CF5EFC"/>
    <w:pPr>
      <w:suppressAutoHyphens/>
      <w:spacing w:after="240" w:line="240" w:lineRule="auto"/>
      <w:ind w:left="567" w:right="788"/>
      <w:jc w:val="both"/>
    </w:pPr>
    <w:rPr>
      <w:rFonts w:ascii="Arial" w:eastAsia="Times New Roman" w:hAnsi="Arial" w:cs="Times New Roman"/>
      <w:spacing w:val="-3"/>
      <w:sz w:val="24"/>
      <w:szCs w:val="20"/>
      <w:lang w:val="es-ES_tradnl" w:eastAsia="es-ES"/>
    </w:rPr>
  </w:style>
  <w:style w:type="paragraph" w:styleId="Textoindependiente2">
    <w:name w:val="Body Text 2"/>
    <w:basedOn w:val="Normal"/>
    <w:link w:val="Textoindependiente2Car"/>
    <w:unhideWhenUsed/>
    <w:rsid w:val="00CF5EFC"/>
    <w:pPr>
      <w:spacing w:after="120" w:line="480" w:lineRule="auto"/>
      <w:ind w:left="567"/>
    </w:pPr>
    <w:rPr>
      <w:rFonts w:ascii="Times New Roman" w:eastAsia="Times New Roman" w:hAnsi="Times New Roman" w:cs="Times New Roman"/>
      <w:sz w:val="24"/>
      <w:szCs w:val="24"/>
      <w:lang w:val="es-ES" w:eastAsia="es-ES"/>
    </w:rPr>
  </w:style>
  <w:style w:type="character" w:customStyle="1" w:styleId="Textoindependiente2Car">
    <w:name w:val="Texto independiente 2 Car"/>
    <w:basedOn w:val="Fuentedeprrafopredeter"/>
    <w:link w:val="Textoindependiente2"/>
    <w:rsid w:val="00CF5EFC"/>
    <w:rPr>
      <w:rFonts w:ascii="Times New Roman" w:eastAsia="Times New Roman" w:hAnsi="Times New Roman" w:cs="Times New Roman"/>
      <w:sz w:val="24"/>
      <w:szCs w:val="24"/>
      <w:lang w:val="es-ES" w:eastAsia="es-ES"/>
    </w:rPr>
  </w:style>
  <w:style w:type="paragraph" w:styleId="Descripcin">
    <w:name w:val="caption"/>
    <w:basedOn w:val="Normal"/>
    <w:next w:val="Normal"/>
    <w:qFormat/>
    <w:rsid w:val="00CF5EFC"/>
    <w:pPr>
      <w:widowControl w:val="0"/>
      <w:adjustRightInd w:val="0"/>
      <w:spacing w:before="120" w:after="120" w:line="360" w:lineRule="atLeast"/>
      <w:jc w:val="center"/>
      <w:textAlignment w:val="baseline"/>
    </w:pPr>
    <w:rPr>
      <w:rFonts w:ascii="Arial" w:eastAsia="Times New Roman" w:hAnsi="Arial" w:cs="Times New Roman"/>
      <w:sz w:val="20"/>
      <w:szCs w:val="20"/>
      <w:lang w:val="es-ES" w:eastAsia="es-ES"/>
    </w:rPr>
  </w:style>
  <w:style w:type="paragraph" w:styleId="Sinespaciado">
    <w:name w:val="No Spacing"/>
    <w:uiPriority w:val="1"/>
    <w:qFormat/>
    <w:rsid w:val="00CF5EFC"/>
    <w:pPr>
      <w:spacing w:after="0" w:line="240" w:lineRule="auto"/>
    </w:pPr>
    <w:rPr>
      <w:rFonts w:ascii="Calibri" w:eastAsia="Times New Roman" w:hAnsi="Calibri" w:cs="Calibri"/>
      <w:lang w:val="es-ES"/>
    </w:rPr>
  </w:style>
  <w:style w:type="character" w:customStyle="1" w:styleId="apple-style-span">
    <w:name w:val="apple-style-span"/>
    <w:rsid w:val="00CF5EFC"/>
    <w:rPr>
      <w:rFonts w:ascii="Times New Roman" w:hAnsi="Times New Roman" w:cs="Times New Roman"/>
    </w:rPr>
  </w:style>
  <w:style w:type="paragraph" w:styleId="Subttulo">
    <w:name w:val="Subtitle"/>
    <w:basedOn w:val="Normal"/>
    <w:link w:val="SubttuloCar"/>
    <w:qFormat/>
    <w:rsid w:val="00CF5EFC"/>
    <w:pPr>
      <w:spacing w:after="0" w:line="240" w:lineRule="auto"/>
    </w:pPr>
    <w:rPr>
      <w:rFonts w:ascii="Century Gothic" w:eastAsia="Times New Roman" w:hAnsi="Century Gothic" w:cs="Times New Roman"/>
      <w:b/>
      <w:bCs/>
      <w:sz w:val="24"/>
      <w:szCs w:val="24"/>
      <w:lang w:val="es-ES" w:eastAsia="es-ES"/>
    </w:rPr>
  </w:style>
  <w:style w:type="character" w:customStyle="1" w:styleId="SubttuloCar">
    <w:name w:val="Subtítulo Car"/>
    <w:basedOn w:val="Fuentedeprrafopredeter"/>
    <w:link w:val="Subttulo"/>
    <w:rsid w:val="00CF5EFC"/>
    <w:rPr>
      <w:rFonts w:ascii="Century Gothic" w:eastAsia="Times New Roman" w:hAnsi="Century Gothic" w:cs="Times New Roman"/>
      <w:b/>
      <w:bCs/>
      <w:sz w:val="24"/>
      <w:szCs w:val="24"/>
      <w:lang w:val="es-ES" w:eastAsia="es-ES"/>
    </w:rPr>
  </w:style>
  <w:style w:type="character" w:customStyle="1" w:styleId="apple-converted-space">
    <w:name w:val="apple-converted-space"/>
    <w:basedOn w:val="Fuentedeprrafopredeter"/>
    <w:rsid w:val="00CF5EFC"/>
  </w:style>
  <w:style w:type="paragraph" w:customStyle="1" w:styleId="BodyText21">
    <w:name w:val="Body Text 21"/>
    <w:basedOn w:val="Normal"/>
    <w:uiPriority w:val="99"/>
    <w:rsid w:val="00CF5EFC"/>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jc w:val="both"/>
      <w:textAlignment w:val="baseline"/>
    </w:pPr>
    <w:rPr>
      <w:rFonts w:ascii="Arial" w:eastAsia="Times New Roman" w:hAnsi="Arial" w:cs="Times New Roman"/>
      <w:szCs w:val="20"/>
      <w:lang w:val="es-ES" w:eastAsia="es-ES"/>
    </w:rPr>
  </w:style>
  <w:style w:type="paragraph" w:customStyle="1" w:styleId="PliegoTitulo1">
    <w:name w:val="Pliego_Titulo1"/>
    <w:basedOn w:val="Pliego-Normal"/>
    <w:next w:val="Pliego-Normal"/>
    <w:rsid w:val="00CF5EFC"/>
    <w:pPr>
      <w:numPr>
        <w:numId w:val="2"/>
      </w:numPr>
      <w:jc w:val="center"/>
    </w:pPr>
    <w:rPr>
      <w:b/>
    </w:rPr>
  </w:style>
  <w:style w:type="paragraph" w:customStyle="1" w:styleId="Pliego-Normal">
    <w:name w:val="Pliego-Normal"/>
    <w:basedOn w:val="Normal"/>
    <w:rsid w:val="00CF5EFC"/>
    <w:pPr>
      <w:widowControl w:val="0"/>
      <w:adjustRightInd w:val="0"/>
      <w:spacing w:after="0" w:line="360" w:lineRule="atLeast"/>
      <w:jc w:val="both"/>
      <w:textAlignment w:val="baseline"/>
    </w:pPr>
    <w:rPr>
      <w:rFonts w:ascii="Garamond" w:eastAsia="Times New Roman" w:hAnsi="Garamond" w:cs="Times New Roman"/>
      <w:bCs/>
      <w:szCs w:val="20"/>
      <w:lang w:val="es-ES_tradnl" w:eastAsia="es-ES"/>
    </w:rPr>
  </w:style>
  <w:style w:type="paragraph" w:customStyle="1" w:styleId="PliegoTitulo2">
    <w:name w:val="Pliego_Titulo2"/>
    <w:basedOn w:val="Pliego-Normal"/>
    <w:next w:val="Pliego-Normal"/>
    <w:rsid w:val="00CF5EFC"/>
    <w:pPr>
      <w:numPr>
        <w:ilvl w:val="2"/>
        <w:numId w:val="2"/>
      </w:numPr>
      <w:tabs>
        <w:tab w:val="clear" w:pos="720"/>
        <w:tab w:val="num" w:pos="576"/>
      </w:tabs>
    </w:pPr>
    <w:rPr>
      <w:b/>
    </w:rPr>
  </w:style>
  <w:style w:type="paragraph" w:customStyle="1" w:styleId="PliegoTitulo3">
    <w:name w:val="Pliego_Titulo3"/>
    <w:basedOn w:val="Pliego-Normal"/>
    <w:next w:val="Pliego-Normal"/>
    <w:autoRedefine/>
    <w:rsid w:val="00CF5EFC"/>
    <w:pPr>
      <w:numPr>
        <w:ilvl w:val="3"/>
        <w:numId w:val="2"/>
      </w:numPr>
      <w:tabs>
        <w:tab w:val="clear" w:pos="864"/>
        <w:tab w:val="num" w:pos="720"/>
      </w:tabs>
    </w:pPr>
    <w:rPr>
      <w:b/>
      <w:i/>
    </w:rPr>
  </w:style>
  <w:style w:type="paragraph" w:customStyle="1" w:styleId="PliegoTitulo4">
    <w:name w:val="Pliego_Titulo4"/>
    <w:basedOn w:val="Pliego-Normal"/>
    <w:next w:val="Pliego-Normal"/>
    <w:rsid w:val="00CF5EFC"/>
    <w:pPr>
      <w:numPr>
        <w:ilvl w:val="4"/>
        <w:numId w:val="2"/>
      </w:numPr>
    </w:pPr>
    <w:rPr>
      <w:i/>
    </w:rPr>
  </w:style>
  <w:style w:type="paragraph" w:customStyle="1" w:styleId="p0">
    <w:name w:val="p0"/>
    <w:basedOn w:val="Normal"/>
    <w:rsid w:val="00CF5EFC"/>
    <w:pPr>
      <w:widowControl w:val="0"/>
      <w:tabs>
        <w:tab w:val="left" w:pos="720"/>
      </w:tabs>
      <w:adjustRightInd w:val="0"/>
      <w:spacing w:after="0" w:line="240" w:lineRule="atLeast"/>
      <w:jc w:val="both"/>
      <w:textAlignment w:val="baseline"/>
    </w:pPr>
    <w:rPr>
      <w:rFonts w:ascii="Arial" w:eastAsia="Times New Roman" w:hAnsi="Arial" w:cs="Times New Roman"/>
      <w:snapToGrid w:val="0"/>
      <w:sz w:val="24"/>
      <w:szCs w:val="20"/>
      <w:lang w:val="es-ES" w:eastAsia="es-ES"/>
    </w:rPr>
  </w:style>
  <w:style w:type="character" w:styleId="Hipervnculo">
    <w:name w:val="Hyperlink"/>
    <w:uiPriority w:val="99"/>
    <w:rsid w:val="00CF5EFC"/>
    <w:rPr>
      <w:color w:val="0000FF"/>
      <w:u w:val="single"/>
    </w:rPr>
  </w:style>
  <w:style w:type="paragraph" w:styleId="TDC2">
    <w:name w:val="toc 2"/>
    <w:basedOn w:val="Normal"/>
    <w:next w:val="Normal"/>
    <w:autoRedefine/>
    <w:uiPriority w:val="39"/>
    <w:rsid w:val="00CF5EFC"/>
    <w:pPr>
      <w:widowControl w:val="0"/>
      <w:adjustRightInd w:val="0"/>
      <w:spacing w:before="240" w:after="0" w:line="360" w:lineRule="atLeast"/>
      <w:textAlignment w:val="baseline"/>
    </w:pPr>
    <w:rPr>
      <w:rFonts w:ascii="Times New Roman" w:eastAsia="Times New Roman" w:hAnsi="Times New Roman" w:cs="Times New Roman"/>
      <w:b/>
      <w:bCs/>
      <w:sz w:val="24"/>
      <w:szCs w:val="24"/>
      <w:lang w:val="es-ES" w:eastAsia="es-ES"/>
    </w:rPr>
  </w:style>
  <w:style w:type="character" w:styleId="Refdenotaalpie">
    <w:name w:val="footnote reference"/>
    <w:rsid w:val="00CF5EFC"/>
    <w:rPr>
      <w:vertAlign w:val="superscript"/>
    </w:rPr>
  </w:style>
  <w:style w:type="paragraph" w:customStyle="1" w:styleId="Textoindependiente31">
    <w:name w:val="Texto independiente 31"/>
    <w:basedOn w:val="Normal"/>
    <w:rsid w:val="00CF5EFC"/>
    <w:pPr>
      <w:widowControl w:val="0"/>
      <w:adjustRightInd w:val="0"/>
      <w:spacing w:before="120" w:after="120" w:line="360" w:lineRule="atLeast"/>
      <w:jc w:val="both"/>
      <w:textAlignment w:val="baseline"/>
    </w:pPr>
    <w:rPr>
      <w:rFonts w:ascii="Arial" w:eastAsia="Times New Roman" w:hAnsi="Arial" w:cs="Times New Roman"/>
      <w:szCs w:val="20"/>
      <w:lang w:val="es-ES" w:eastAsia="es-ES"/>
    </w:rPr>
  </w:style>
  <w:style w:type="paragraph" w:styleId="NormalWeb">
    <w:name w:val="Normal (Web)"/>
    <w:basedOn w:val="Normal"/>
    <w:rsid w:val="00CF5EFC"/>
    <w:pPr>
      <w:widowControl w:val="0"/>
      <w:adjustRightInd w:val="0"/>
      <w:spacing w:before="100" w:beforeAutospacing="1" w:after="100" w:afterAutospacing="1" w:line="360" w:lineRule="atLeast"/>
      <w:jc w:val="both"/>
      <w:textAlignment w:val="baseline"/>
    </w:pPr>
    <w:rPr>
      <w:rFonts w:ascii="Times New Roman" w:eastAsia="Times New Roman" w:hAnsi="Times New Roman" w:cs="Times New Roman"/>
      <w:sz w:val="24"/>
      <w:szCs w:val="24"/>
      <w:lang w:val="es-ES" w:eastAsia="es-ES"/>
    </w:rPr>
  </w:style>
  <w:style w:type="paragraph" w:customStyle="1" w:styleId="xl30">
    <w:name w:val="xl30"/>
    <w:basedOn w:val="Normal"/>
    <w:rsid w:val="00CF5EFC"/>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jc w:val="both"/>
      <w:textAlignment w:val="center"/>
    </w:pPr>
    <w:rPr>
      <w:rFonts w:ascii="Arial" w:eastAsia="Arial Unicode MS" w:hAnsi="Arial" w:cs="Arial"/>
      <w:lang w:val="es-ES" w:eastAsia="es-ES"/>
    </w:rPr>
  </w:style>
  <w:style w:type="paragraph" w:customStyle="1" w:styleId="xl29">
    <w:name w:val="xl29"/>
    <w:basedOn w:val="Normal"/>
    <w:rsid w:val="00CF5EFC"/>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jc w:val="center"/>
      <w:textAlignment w:val="center"/>
    </w:pPr>
    <w:rPr>
      <w:rFonts w:ascii="Arial" w:eastAsia="Arial Unicode MS" w:hAnsi="Arial" w:cs="Arial"/>
      <w:lang w:val="es-ES" w:eastAsia="es-ES"/>
    </w:rPr>
  </w:style>
  <w:style w:type="paragraph" w:styleId="ndice1">
    <w:name w:val="index 1"/>
    <w:basedOn w:val="Normal"/>
    <w:next w:val="Normal"/>
    <w:autoRedefine/>
    <w:semiHidden/>
    <w:rsid w:val="00CF5EFC"/>
    <w:pPr>
      <w:widowControl w:val="0"/>
      <w:adjustRightInd w:val="0"/>
      <w:spacing w:after="0" w:line="360" w:lineRule="atLeast"/>
      <w:jc w:val="both"/>
      <w:textAlignment w:val="baseline"/>
    </w:pPr>
    <w:rPr>
      <w:rFonts w:ascii="Arial" w:eastAsia="Times New Roman" w:hAnsi="Arial" w:cs="Times New Roman"/>
      <w:sz w:val="24"/>
      <w:szCs w:val="20"/>
      <w:lang w:eastAsia="es-ES"/>
    </w:rPr>
  </w:style>
  <w:style w:type="paragraph" w:styleId="z-Finaldelformulario">
    <w:name w:val="HTML Bottom of Form"/>
    <w:basedOn w:val="Normal"/>
    <w:next w:val="Normal"/>
    <w:link w:val="z-FinaldelformularioCar"/>
    <w:hidden/>
    <w:rsid w:val="00CF5EFC"/>
    <w:pPr>
      <w:widowControl w:val="0"/>
      <w:pBdr>
        <w:top w:val="single" w:sz="6" w:space="1" w:color="auto"/>
      </w:pBdr>
      <w:adjustRightInd w:val="0"/>
      <w:spacing w:after="0" w:line="360" w:lineRule="atLeast"/>
      <w:jc w:val="center"/>
      <w:textAlignment w:val="baseline"/>
    </w:pPr>
    <w:rPr>
      <w:rFonts w:ascii="Arial" w:eastAsia="Times New Roman" w:hAnsi="Arial" w:cs="Arial"/>
      <w:vanish/>
      <w:color w:val="000000"/>
      <w:sz w:val="16"/>
      <w:szCs w:val="16"/>
      <w:lang w:val="es-ES" w:eastAsia="es-ES"/>
    </w:rPr>
  </w:style>
  <w:style w:type="character" w:customStyle="1" w:styleId="z-FinaldelformularioCar">
    <w:name w:val="z-Final del formulario Car"/>
    <w:basedOn w:val="Fuentedeprrafopredeter"/>
    <w:link w:val="z-Finaldelformulario"/>
    <w:rsid w:val="00CF5EFC"/>
    <w:rPr>
      <w:rFonts w:ascii="Arial" w:eastAsia="Times New Roman" w:hAnsi="Arial" w:cs="Arial"/>
      <w:vanish/>
      <w:color w:val="000000"/>
      <w:sz w:val="16"/>
      <w:szCs w:val="16"/>
      <w:lang w:val="es-ES" w:eastAsia="es-ES"/>
    </w:rPr>
  </w:style>
  <w:style w:type="paragraph" w:styleId="Sangra2detindependiente">
    <w:name w:val="Body Text Indent 2"/>
    <w:basedOn w:val="Normal"/>
    <w:link w:val="Sangra2detindependienteCar"/>
    <w:rsid w:val="00CF5EFC"/>
    <w:pPr>
      <w:widowControl w:val="0"/>
      <w:adjustRightInd w:val="0"/>
      <w:spacing w:after="0" w:line="360" w:lineRule="atLeast"/>
      <w:ind w:left="360"/>
      <w:jc w:val="both"/>
      <w:textAlignment w:val="baseline"/>
    </w:pPr>
    <w:rPr>
      <w:rFonts w:ascii="Arial" w:eastAsia="Times New Roman" w:hAnsi="Arial" w:cs="Arial"/>
      <w:lang w:val="es-ES" w:eastAsia="es-ES"/>
    </w:rPr>
  </w:style>
  <w:style w:type="character" w:customStyle="1" w:styleId="Sangra2detindependienteCar">
    <w:name w:val="Sangría 2 de t. independiente Car"/>
    <w:basedOn w:val="Fuentedeprrafopredeter"/>
    <w:link w:val="Sangra2detindependiente"/>
    <w:rsid w:val="00CF5EFC"/>
    <w:rPr>
      <w:rFonts w:ascii="Arial" w:eastAsia="Times New Roman" w:hAnsi="Arial" w:cs="Arial"/>
      <w:lang w:val="es-ES" w:eastAsia="es-ES"/>
    </w:rPr>
  </w:style>
  <w:style w:type="paragraph" w:customStyle="1" w:styleId="tabelltekst">
    <w:name w:val="tabelltekst"/>
    <w:basedOn w:val="Normal"/>
    <w:rsid w:val="00CF5EFC"/>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jc w:val="both"/>
      <w:textAlignment w:val="baseline"/>
    </w:pPr>
    <w:rPr>
      <w:rFonts w:ascii="Times New Roman" w:eastAsia="Times New Roman" w:hAnsi="Times New Roman" w:cs="Times New Roman"/>
      <w:szCs w:val="20"/>
      <w:lang w:val="nb-NO"/>
    </w:rPr>
  </w:style>
  <w:style w:type="paragraph" w:styleId="Textonotapie">
    <w:name w:val="footnote text"/>
    <w:basedOn w:val="Normal"/>
    <w:link w:val="TextonotapieCar"/>
    <w:rsid w:val="00CF5EFC"/>
    <w:pPr>
      <w:widowControl w:val="0"/>
      <w:adjustRightInd w:val="0"/>
      <w:spacing w:after="0" w:line="360" w:lineRule="atLeast"/>
      <w:jc w:val="both"/>
      <w:textAlignment w:val="baseline"/>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CF5EFC"/>
    <w:rPr>
      <w:rFonts w:ascii="Times New Roman" w:eastAsia="Times New Roman" w:hAnsi="Times New Roman" w:cs="Times New Roman"/>
      <w:sz w:val="20"/>
      <w:szCs w:val="20"/>
      <w:lang w:val="es-ES" w:eastAsia="es-ES"/>
    </w:rPr>
  </w:style>
  <w:style w:type="paragraph" w:styleId="Sangradetextonormal">
    <w:name w:val="Body Text Indent"/>
    <w:basedOn w:val="Normal"/>
    <w:link w:val="SangradetextonormalCar"/>
    <w:uiPriority w:val="99"/>
    <w:rsid w:val="00CF5EFC"/>
    <w:pPr>
      <w:widowControl w:val="0"/>
      <w:adjustRightInd w:val="0"/>
      <w:spacing w:before="120" w:after="120" w:line="360" w:lineRule="atLeast"/>
      <w:jc w:val="both"/>
      <w:textAlignment w:val="baseline"/>
    </w:pPr>
    <w:rPr>
      <w:rFonts w:ascii="Arial" w:eastAsia="Times New Roman" w:hAnsi="Arial" w:cs="Times New Roman"/>
      <w:szCs w:val="20"/>
      <w:lang w:eastAsia="es-ES"/>
    </w:rPr>
  </w:style>
  <w:style w:type="character" w:customStyle="1" w:styleId="SangradetextonormalCar">
    <w:name w:val="Sangría de texto normal Car"/>
    <w:basedOn w:val="Fuentedeprrafopredeter"/>
    <w:link w:val="Sangradetextonormal"/>
    <w:uiPriority w:val="99"/>
    <w:rsid w:val="00CF5EFC"/>
    <w:rPr>
      <w:rFonts w:ascii="Arial" w:eastAsia="Times New Roman" w:hAnsi="Arial" w:cs="Times New Roman"/>
      <w:szCs w:val="20"/>
      <w:lang w:eastAsia="es-ES"/>
    </w:rPr>
  </w:style>
  <w:style w:type="paragraph" w:styleId="TDC3">
    <w:name w:val="toc 3"/>
    <w:basedOn w:val="Normal"/>
    <w:next w:val="Normal"/>
    <w:autoRedefine/>
    <w:uiPriority w:val="39"/>
    <w:rsid w:val="00CF5EFC"/>
    <w:pPr>
      <w:widowControl w:val="0"/>
      <w:adjustRightInd w:val="0"/>
      <w:spacing w:after="0" w:line="360" w:lineRule="atLeast"/>
      <w:ind w:left="240"/>
      <w:textAlignment w:val="baseline"/>
    </w:pPr>
    <w:rPr>
      <w:rFonts w:ascii="Times New Roman" w:eastAsia="Times New Roman" w:hAnsi="Times New Roman" w:cs="Times New Roman"/>
      <w:sz w:val="24"/>
      <w:szCs w:val="24"/>
      <w:lang w:val="es-ES" w:eastAsia="es-ES"/>
    </w:rPr>
  </w:style>
  <w:style w:type="paragraph" w:customStyle="1" w:styleId="NormalTesis">
    <w:name w:val="Normal Tesis"/>
    <w:basedOn w:val="Textoindependiente"/>
    <w:rsid w:val="00CF5EFC"/>
    <w:pPr>
      <w:widowControl w:val="0"/>
      <w:adjustRightInd w:val="0"/>
      <w:spacing w:line="360" w:lineRule="auto"/>
      <w:ind w:left="0"/>
      <w:jc w:val="both"/>
      <w:textAlignment w:val="baseline"/>
    </w:pPr>
    <w:rPr>
      <w:b w:val="0"/>
      <w:bCs w:val="0"/>
      <w:sz w:val="22"/>
    </w:rPr>
  </w:style>
  <w:style w:type="character" w:styleId="Refdecomentario">
    <w:name w:val="annotation reference"/>
    <w:rsid w:val="00CF5EFC"/>
    <w:rPr>
      <w:sz w:val="16"/>
      <w:szCs w:val="16"/>
    </w:rPr>
  </w:style>
  <w:style w:type="paragraph" w:styleId="Textocomentario">
    <w:name w:val="annotation text"/>
    <w:basedOn w:val="Normal"/>
    <w:link w:val="TextocomentarioCar"/>
    <w:rsid w:val="00CF5EFC"/>
    <w:pPr>
      <w:widowControl w:val="0"/>
      <w:adjustRightInd w:val="0"/>
      <w:spacing w:after="0" w:line="360" w:lineRule="atLeast"/>
      <w:jc w:val="both"/>
      <w:textAlignment w:val="baseline"/>
    </w:pPr>
    <w:rPr>
      <w:rFonts w:ascii="Times New Roman" w:eastAsia="Times New Roman" w:hAnsi="Times New Roman" w:cs="Times New Roman"/>
      <w:sz w:val="20"/>
      <w:szCs w:val="20"/>
      <w:lang w:val="es-ES" w:eastAsia="es-ES"/>
    </w:rPr>
  </w:style>
  <w:style w:type="character" w:customStyle="1" w:styleId="TextocomentarioCar">
    <w:name w:val="Texto comentario Car"/>
    <w:basedOn w:val="Fuentedeprrafopredeter"/>
    <w:link w:val="Textocomentario"/>
    <w:rsid w:val="00CF5EFC"/>
    <w:rPr>
      <w:rFonts w:ascii="Times New Roman" w:eastAsia="Times New Roman" w:hAnsi="Times New Roman" w:cs="Times New Roman"/>
      <w:sz w:val="20"/>
      <w:szCs w:val="20"/>
      <w:lang w:val="es-ES" w:eastAsia="es-ES"/>
    </w:rPr>
  </w:style>
  <w:style w:type="paragraph" w:styleId="TDC4">
    <w:name w:val="toc 4"/>
    <w:basedOn w:val="Normal"/>
    <w:next w:val="Normal"/>
    <w:autoRedefine/>
    <w:uiPriority w:val="39"/>
    <w:rsid w:val="00CF5EFC"/>
    <w:pPr>
      <w:widowControl w:val="0"/>
      <w:adjustRightInd w:val="0"/>
      <w:spacing w:after="0" w:line="360" w:lineRule="atLeast"/>
      <w:ind w:left="480"/>
      <w:textAlignment w:val="baseline"/>
    </w:pPr>
    <w:rPr>
      <w:rFonts w:ascii="Times New Roman" w:eastAsia="Times New Roman" w:hAnsi="Times New Roman" w:cs="Times New Roman"/>
      <w:sz w:val="24"/>
      <w:szCs w:val="24"/>
      <w:lang w:val="es-ES" w:eastAsia="es-ES"/>
    </w:rPr>
  </w:style>
  <w:style w:type="paragraph" w:styleId="TDC5">
    <w:name w:val="toc 5"/>
    <w:basedOn w:val="Normal"/>
    <w:next w:val="Normal"/>
    <w:autoRedefine/>
    <w:uiPriority w:val="39"/>
    <w:rsid w:val="00CF5EFC"/>
    <w:pPr>
      <w:widowControl w:val="0"/>
      <w:adjustRightInd w:val="0"/>
      <w:spacing w:after="0" w:line="360" w:lineRule="atLeast"/>
      <w:ind w:left="720"/>
      <w:textAlignment w:val="baseline"/>
    </w:pPr>
    <w:rPr>
      <w:rFonts w:ascii="Times New Roman" w:eastAsia="Times New Roman" w:hAnsi="Times New Roman" w:cs="Times New Roman"/>
      <w:sz w:val="24"/>
      <w:szCs w:val="24"/>
      <w:lang w:val="es-ES" w:eastAsia="es-ES"/>
    </w:rPr>
  </w:style>
  <w:style w:type="paragraph" w:styleId="TDC6">
    <w:name w:val="toc 6"/>
    <w:basedOn w:val="Normal"/>
    <w:next w:val="Normal"/>
    <w:autoRedefine/>
    <w:uiPriority w:val="39"/>
    <w:rsid w:val="00CF5EFC"/>
    <w:pPr>
      <w:widowControl w:val="0"/>
      <w:adjustRightInd w:val="0"/>
      <w:spacing w:after="0" w:line="360" w:lineRule="atLeast"/>
      <w:ind w:left="960"/>
      <w:textAlignment w:val="baseline"/>
    </w:pPr>
    <w:rPr>
      <w:rFonts w:ascii="Times New Roman" w:eastAsia="Times New Roman" w:hAnsi="Times New Roman" w:cs="Times New Roman"/>
      <w:sz w:val="24"/>
      <w:szCs w:val="24"/>
      <w:lang w:val="es-ES" w:eastAsia="es-ES"/>
    </w:rPr>
  </w:style>
  <w:style w:type="paragraph" w:styleId="TDC7">
    <w:name w:val="toc 7"/>
    <w:basedOn w:val="Normal"/>
    <w:next w:val="Normal"/>
    <w:autoRedefine/>
    <w:uiPriority w:val="39"/>
    <w:rsid w:val="00CF5EFC"/>
    <w:pPr>
      <w:widowControl w:val="0"/>
      <w:adjustRightInd w:val="0"/>
      <w:spacing w:after="0" w:line="360" w:lineRule="atLeast"/>
      <w:ind w:left="1200"/>
      <w:textAlignment w:val="baseline"/>
    </w:pPr>
    <w:rPr>
      <w:rFonts w:ascii="Times New Roman" w:eastAsia="Times New Roman" w:hAnsi="Times New Roman" w:cs="Times New Roman"/>
      <w:sz w:val="24"/>
      <w:szCs w:val="24"/>
      <w:lang w:val="es-ES" w:eastAsia="es-ES"/>
    </w:rPr>
  </w:style>
  <w:style w:type="paragraph" w:styleId="TDC8">
    <w:name w:val="toc 8"/>
    <w:basedOn w:val="Normal"/>
    <w:next w:val="Normal"/>
    <w:autoRedefine/>
    <w:uiPriority w:val="39"/>
    <w:rsid w:val="00CF5EFC"/>
    <w:pPr>
      <w:widowControl w:val="0"/>
      <w:adjustRightInd w:val="0"/>
      <w:spacing w:after="0" w:line="360" w:lineRule="atLeast"/>
      <w:ind w:left="1440"/>
      <w:textAlignment w:val="baseline"/>
    </w:pPr>
    <w:rPr>
      <w:rFonts w:ascii="Times New Roman" w:eastAsia="Times New Roman" w:hAnsi="Times New Roman" w:cs="Times New Roman"/>
      <w:sz w:val="24"/>
      <w:szCs w:val="24"/>
      <w:lang w:val="es-ES" w:eastAsia="es-ES"/>
    </w:rPr>
  </w:style>
  <w:style w:type="paragraph" w:styleId="TDC9">
    <w:name w:val="toc 9"/>
    <w:basedOn w:val="Normal"/>
    <w:next w:val="Normal"/>
    <w:autoRedefine/>
    <w:uiPriority w:val="39"/>
    <w:rsid w:val="00CF5EFC"/>
    <w:pPr>
      <w:widowControl w:val="0"/>
      <w:adjustRightInd w:val="0"/>
      <w:spacing w:after="0" w:line="360" w:lineRule="atLeast"/>
      <w:ind w:left="1680"/>
      <w:textAlignment w:val="baseline"/>
    </w:pPr>
    <w:rPr>
      <w:rFonts w:ascii="Times New Roman" w:eastAsia="Times New Roman" w:hAnsi="Times New Roman" w:cs="Times New Roman"/>
      <w:sz w:val="24"/>
      <w:szCs w:val="24"/>
      <w:lang w:val="es-ES" w:eastAsia="es-ES"/>
    </w:rPr>
  </w:style>
  <w:style w:type="character" w:styleId="Hipervnculovisitado">
    <w:name w:val="FollowedHyperlink"/>
    <w:uiPriority w:val="99"/>
    <w:rsid w:val="00CF5EFC"/>
    <w:rPr>
      <w:color w:val="800080"/>
      <w:u w:val="single"/>
    </w:rPr>
  </w:style>
  <w:style w:type="paragraph" w:styleId="Textosinformato">
    <w:name w:val="Plain Text"/>
    <w:basedOn w:val="Normal"/>
    <w:link w:val="TextosinformatoCar"/>
    <w:rsid w:val="00CF5EFC"/>
    <w:pPr>
      <w:widowControl w:val="0"/>
      <w:adjustRightInd w:val="0"/>
      <w:spacing w:after="0" w:line="360" w:lineRule="atLeast"/>
      <w:jc w:val="both"/>
      <w:textAlignment w:val="baseline"/>
    </w:pPr>
    <w:rPr>
      <w:rFonts w:ascii="Courier New" w:eastAsia="Times New Roman" w:hAnsi="Courier New" w:cs="Courier New"/>
      <w:sz w:val="20"/>
      <w:szCs w:val="20"/>
      <w:lang w:val="es-ES" w:eastAsia="es-ES"/>
    </w:rPr>
  </w:style>
  <w:style w:type="character" w:customStyle="1" w:styleId="TextosinformatoCar">
    <w:name w:val="Texto sin formato Car"/>
    <w:basedOn w:val="Fuentedeprrafopredeter"/>
    <w:link w:val="Textosinformato"/>
    <w:rsid w:val="00CF5EFC"/>
    <w:rPr>
      <w:rFonts w:ascii="Courier New" w:eastAsia="Times New Roman" w:hAnsi="Courier New" w:cs="Courier New"/>
      <w:sz w:val="20"/>
      <w:szCs w:val="20"/>
      <w:lang w:val="es-ES" w:eastAsia="es-ES"/>
    </w:rPr>
  </w:style>
  <w:style w:type="paragraph" w:styleId="Sangra3detindependiente">
    <w:name w:val="Body Text Indent 3"/>
    <w:basedOn w:val="Normal"/>
    <w:link w:val="Sangra3detindependienteCar"/>
    <w:uiPriority w:val="99"/>
    <w:rsid w:val="00CF5EFC"/>
    <w:pPr>
      <w:spacing w:after="0" w:line="240" w:lineRule="auto"/>
      <w:ind w:left="708" w:hanging="708"/>
      <w:jc w:val="both"/>
    </w:pPr>
    <w:rPr>
      <w:rFonts w:ascii="Arial" w:eastAsia="Times New Roman" w:hAnsi="Arial" w:cs="Times New Roman"/>
      <w:szCs w:val="20"/>
      <w:lang w:val="es-ES_tradnl" w:eastAsia="es-ES"/>
    </w:rPr>
  </w:style>
  <w:style w:type="character" w:customStyle="1" w:styleId="Sangra3detindependienteCar">
    <w:name w:val="Sangría 3 de t. independiente Car"/>
    <w:basedOn w:val="Fuentedeprrafopredeter"/>
    <w:link w:val="Sangra3detindependiente"/>
    <w:uiPriority w:val="99"/>
    <w:rsid w:val="00CF5EFC"/>
    <w:rPr>
      <w:rFonts w:ascii="Arial" w:eastAsia="Times New Roman" w:hAnsi="Arial" w:cs="Times New Roman"/>
      <w:szCs w:val="20"/>
      <w:lang w:val="es-ES_tradnl" w:eastAsia="es-ES"/>
    </w:rPr>
  </w:style>
  <w:style w:type="paragraph" w:customStyle="1" w:styleId="Citas">
    <w:name w:val="Citas"/>
    <w:basedOn w:val="Normal"/>
    <w:rsid w:val="00CF5EFC"/>
    <w:pPr>
      <w:spacing w:after="0" w:line="240" w:lineRule="auto"/>
      <w:ind w:left="708" w:right="618"/>
      <w:jc w:val="both"/>
    </w:pPr>
    <w:rPr>
      <w:rFonts w:ascii="Bookman Old Style" w:eastAsia="Times New Roman" w:hAnsi="Bookman Old Style" w:cs="Arial"/>
      <w:i/>
      <w:iCs/>
      <w:sz w:val="24"/>
      <w:szCs w:val="20"/>
      <w:lang w:val="es-ES" w:eastAsia="es-ES"/>
    </w:rPr>
  </w:style>
  <w:style w:type="paragraph" w:customStyle="1" w:styleId="CUERPOTEXTO">
    <w:name w:val="CUERPO TEXTO"/>
    <w:rsid w:val="00CF5EFC"/>
    <w:pPr>
      <w:widowControl w:val="0"/>
      <w:tabs>
        <w:tab w:val="center" w:pos="510"/>
        <w:tab w:val="left" w:pos="1134"/>
      </w:tabs>
      <w:autoSpaceDE w:val="0"/>
      <w:autoSpaceDN w:val="0"/>
      <w:adjustRightInd w:val="0"/>
      <w:spacing w:before="28" w:after="28" w:line="210" w:lineRule="atLeast"/>
      <w:ind w:firstLine="283"/>
      <w:jc w:val="both"/>
    </w:pPr>
    <w:rPr>
      <w:rFonts w:ascii="Times New Roman" w:eastAsia="Times New Roman" w:hAnsi="Times New Roman" w:cs="Times New Roman"/>
      <w:color w:val="000000"/>
      <w:sz w:val="19"/>
      <w:szCs w:val="19"/>
      <w:lang w:val="es-ES" w:eastAsia="es-ES"/>
    </w:rPr>
  </w:style>
  <w:style w:type="character" w:customStyle="1" w:styleId="texto-general">
    <w:name w:val="texto-general"/>
    <w:basedOn w:val="Fuentedeprrafopredeter"/>
    <w:rsid w:val="00CF5EFC"/>
  </w:style>
  <w:style w:type="paragraph" w:styleId="Asuntodelcomentario">
    <w:name w:val="annotation subject"/>
    <w:basedOn w:val="Textocomentario"/>
    <w:next w:val="Textocomentario"/>
    <w:link w:val="AsuntodelcomentarioCar"/>
    <w:uiPriority w:val="99"/>
    <w:semiHidden/>
    <w:rsid w:val="00CF5EFC"/>
    <w:rPr>
      <w:b/>
      <w:bCs/>
    </w:rPr>
  </w:style>
  <w:style w:type="character" w:customStyle="1" w:styleId="AsuntodelcomentarioCar">
    <w:name w:val="Asunto del comentario Car"/>
    <w:basedOn w:val="TextocomentarioCar"/>
    <w:link w:val="Asuntodelcomentario"/>
    <w:uiPriority w:val="99"/>
    <w:semiHidden/>
    <w:rsid w:val="00CF5EFC"/>
    <w:rPr>
      <w:rFonts w:ascii="Times New Roman" w:eastAsia="Times New Roman" w:hAnsi="Times New Roman" w:cs="Times New Roman"/>
      <w:b/>
      <w:bCs/>
      <w:sz w:val="20"/>
      <w:szCs w:val="20"/>
      <w:lang w:val="es-ES" w:eastAsia="es-ES"/>
    </w:rPr>
  </w:style>
  <w:style w:type="paragraph" w:styleId="Listaconvietas4">
    <w:name w:val="List Bullet 4"/>
    <w:basedOn w:val="Normal"/>
    <w:autoRedefine/>
    <w:rsid w:val="00CF5EFC"/>
    <w:pPr>
      <w:numPr>
        <w:numId w:val="3"/>
      </w:numPr>
      <w:spacing w:after="0" w:line="240" w:lineRule="auto"/>
    </w:pPr>
    <w:rPr>
      <w:rFonts w:ascii="CG Times" w:eastAsia="Times New Roman" w:hAnsi="CG Times" w:cs="Times New Roman"/>
      <w:sz w:val="24"/>
      <w:szCs w:val="20"/>
      <w:lang w:eastAsia="es-ES"/>
    </w:rPr>
  </w:style>
  <w:style w:type="paragraph" w:customStyle="1" w:styleId="xl27">
    <w:name w:val="xl27"/>
    <w:basedOn w:val="Normal"/>
    <w:rsid w:val="00CF5EFC"/>
    <w:pPr>
      <w:spacing w:before="100" w:beforeAutospacing="1" w:after="100" w:afterAutospacing="1" w:line="240" w:lineRule="auto"/>
      <w:jc w:val="both"/>
    </w:pPr>
    <w:rPr>
      <w:rFonts w:ascii="Bookman Old Style" w:eastAsia="Arial Unicode MS" w:hAnsi="Bookman Old Style" w:cs="Arial"/>
      <w:sz w:val="24"/>
      <w:szCs w:val="24"/>
      <w:lang w:val="es-ES" w:eastAsia="es-ES"/>
    </w:rPr>
  </w:style>
  <w:style w:type="paragraph" w:customStyle="1" w:styleId="Textoindependiente21">
    <w:name w:val="Texto independiente 21"/>
    <w:basedOn w:val="Normal"/>
    <w:rsid w:val="00CF5EFC"/>
    <w:pPr>
      <w:suppressAutoHyphens/>
      <w:overflowPunct w:val="0"/>
      <w:autoSpaceDE w:val="0"/>
      <w:spacing w:after="0" w:line="240" w:lineRule="auto"/>
      <w:jc w:val="both"/>
      <w:textAlignment w:val="baseline"/>
    </w:pPr>
    <w:rPr>
      <w:rFonts w:ascii="Bookman Old Style" w:eastAsia="Times New Roman" w:hAnsi="Bookman Old Style" w:cs="Times New Roman"/>
      <w:b/>
      <w:sz w:val="24"/>
      <w:szCs w:val="20"/>
      <w:lang w:val="es-ES_tradnl" w:eastAsia="ar-SA"/>
    </w:rPr>
  </w:style>
  <w:style w:type="paragraph" w:customStyle="1" w:styleId="Textodenotaalfinal">
    <w:name w:val="Texto de nota al final"/>
    <w:basedOn w:val="Normal"/>
    <w:rsid w:val="00CF5EFC"/>
    <w:pPr>
      <w:widowControl w:val="0"/>
      <w:spacing w:after="0" w:line="240" w:lineRule="auto"/>
      <w:jc w:val="both"/>
    </w:pPr>
    <w:rPr>
      <w:rFonts w:ascii="Courier New" w:eastAsia="Times New Roman" w:hAnsi="Courier New" w:cs="Times New Roman"/>
      <w:sz w:val="20"/>
      <w:szCs w:val="20"/>
      <w:lang w:val="es-ES_tradnl" w:eastAsia="es-ES"/>
    </w:rPr>
  </w:style>
  <w:style w:type="paragraph" w:customStyle="1" w:styleId="Vietaletra">
    <w:name w:val="Viñeta letra"/>
    <w:basedOn w:val="Normal"/>
    <w:next w:val="Normal"/>
    <w:rsid w:val="00CF5EFC"/>
    <w:pPr>
      <w:numPr>
        <w:numId w:val="4"/>
      </w:numPr>
      <w:suppressAutoHyphens/>
      <w:overflowPunct w:val="0"/>
      <w:autoSpaceDE w:val="0"/>
      <w:spacing w:after="0" w:line="240" w:lineRule="auto"/>
      <w:jc w:val="both"/>
      <w:textAlignment w:val="baseline"/>
    </w:pPr>
    <w:rPr>
      <w:rFonts w:ascii="Arial" w:eastAsia="Times New Roman" w:hAnsi="Arial" w:cs="Times New Roman"/>
      <w:sz w:val="24"/>
      <w:szCs w:val="20"/>
      <w:lang w:val="es-ES_tradnl" w:eastAsia="ar-SA"/>
    </w:rPr>
  </w:style>
  <w:style w:type="paragraph" w:customStyle="1" w:styleId="TableHeading">
    <w:name w:val="Table Heading"/>
    <w:basedOn w:val="Normal"/>
    <w:rsid w:val="00CF5EFC"/>
    <w:pPr>
      <w:suppressLineNumbers/>
      <w:suppressAutoHyphens/>
      <w:spacing w:after="0" w:line="240" w:lineRule="auto"/>
      <w:jc w:val="center"/>
    </w:pPr>
    <w:rPr>
      <w:rFonts w:ascii="Arial" w:eastAsia="Times New Roman" w:hAnsi="Arial" w:cs="Times New Roman"/>
      <w:b/>
      <w:bCs/>
      <w:szCs w:val="24"/>
      <w:lang w:val="es-ES" w:eastAsia="ar-SA"/>
    </w:rPr>
  </w:style>
  <w:style w:type="paragraph" w:styleId="Lista">
    <w:name w:val="List"/>
    <w:basedOn w:val="Textoindependiente"/>
    <w:rsid w:val="00CF5EFC"/>
    <w:pPr>
      <w:suppressAutoHyphens/>
      <w:spacing w:after="120"/>
      <w:ind w:left="0"/>
      <w:jc w:val="both"/>
    </w:pPr>
    <w:rPr>
      <w:rFonts w:cs="Tahoma"/>
      <w:b w:val="0"/>
      <w:bCs w:val="0"/>
      <w:sz w:val="22"/>
      <w:lang w:eastAsia="ar-SA"/>
    </w:rPr>
  </w:style>
  <w:style w:type="paragraph" w:customStyle="1" w:styleId="Predeterminado">
    <w:name w:val="Predeterminado"/>
    <w:rsid w:val="00CF5EFC"/>
    <w:pPr>
      <w:widowControl w:val="0"/>
      <w:autoSpaceDE w:val="0"/>
      <w:autoSpaceDN w:val="0"/>
      <w:adjustRightInd w:val="0"/>
      <w:spacing w:after="0" w:line="240" w:lineRule="auto"/>
    </w:pPr>
    <w:rPr>
      <w:rFonts w:ascii="Times New Roman" w:eastAsia="Times New Roman" w:hAnsi="Times New Roman" w:cs="Times New Roman"/>
      <w:sz w:val="24"/>
      <w:szCs w:val="24"/>
      <w:lang w:val="es-ES" w:eastAsia="es-ES"/>
    </w:rPr>
  </w:style>
  <w:style w:type="paragraph" w:customStyle="1" w:styleId="Basico">
    <w:name w:val="Basico"/>
    <w:basedOn w:val="Normal"/>
    <w:rsid w:val="00CF5EFC"/>
    <w:pPr>
      <w:spacing w:before="240" w:after="0" w:line="360" w:lineRule="atLeast"/>
      <w:jc w:val="both"/>
    </w:pPr>
    <w:rPr>
      <w:rFonts w:ascii="Palatino" w:eastAsia="Times New Roman" w:hAnsi="Palatino" w:cs="Times New Roman"/>
      <w:sz w:val="24"/>
      <w:szCs w:val="24"/>
      <w:lang w:val="es-ES_tradnl" w:eastAsia="es-ES"/>
    </w:rPr>
  </w:style>
  <w:style w:type="paragraph" w:customStyle="1" w:styleId="VietaLetra0">
    <w:name w:val="ViñetaLetra"/>
    <w:basedOn w:val="Vietaletra"/>
    <w:rsid w:val="00CF5EFC"/>
    <w:pPr>
      <w:numPr>
        <w:numId w:val="0"/>
      </w:numPr>
      <w:tabs>
        <w:tab w:val="num" w:pos="360"/>
      </w:tabs>
    </w:pPr>
  </w:style>
  <w:style w:type="paragraph" w:customStyle="1" w:styleId="CENTRAR">
    <w:name w:val="CENTRAR"/>
    <w:basedOn w:val="CUERPOTEXTO"/>
    <w:rsid w:val="00CF5EFC"/>
    <w:pPr>
      <w:widowControl/>
      <w:ind w:firstLine="0"/>
      <w:jc w:val="center"/>
    </w:pPr>
    <w:rPr>
      <w:rFonts w:ascii="Times" w:hAnsi="Times"/>
    </w:rPr>
  </w:style>
  <w:style w:type="paragraph" w:styleId="Revisin">
    <w:name w:val="Revision"/>
    <w:hidden/>
    <w:uiPriority w:val="99"/>
    <w:semiHidden/>
    <w:rsid w:val="00CF5EFC"/>
    <w:pPr>
      <w:spacing w:after="0" w:line="240" w:lineRule="auto"/>
    </w:pPr>
    <w:rPr>
      <w:rFonts w:ascii="Times New Roman" w:eastAsia="Times New Roman" w:hAnsi="Times New Roman" w:cs="Times New Roman"/>
      <w:sz w:val="24"/>
      <w:szCs w:val="24"/>
      <w:lang w:val="es-ES" w:eastAsia="es-ES"/>
    </w:rPr>
  </w:style>
  <w:style w:type="paragraph" w:customStyle="1" w:styleId="Textodebloque1">
    <w:name w:val="Texto de bloque1"/>
    <w:basedOn w:val="Normal"/>
    <w:rsid w:val="00CF5EFC"/>
    <w:pPr>
      <w:spacing w:after="0" w:line="240" w:lineRule="auto"/>
      <w:ind w:left="1701" w:right="1468"/>
      <w:jc w:val="both"/>
    </w:pPr>
    <w:rPr>
      <w:rFonts w:ascii="Arial" w:eastAsia="Times New Roman" w:hAnsi="Arial" w:cs="Times New Roman"/>
      <w:sz w:val="24"/>
      <w:szCs w:val="20"/>
      <w:lang w:val="es-ES_tradnl" w:eastAsia="es-ES"/>
    </w:rPr>
  </w:style>
  <w:style w:type="paragraph" w:customStyle="1" w:styleId="Estilo4">
    <w:name w:val="Estilo4"/>
    <w:basedOn w:val="Normal"/>
    <w:link w:val="Estilo4Car"/>
    <w:qFormat/>
    <w:rsid w:val="00CF5EFC"/>
    <w:pPr>
      <w:keepNext/>
      <w:spacing w:after="0" w:line="240" w:lineRule="auto"/>
      <w:jc w:val="center"/>
      <w:outlineLvl w:val="0"/>
    </w:pPr>
    <w:rPr>
      <w:rFonts w:ascii="Arial" w:eastAsia="Times New Roman" w:hAnsi="Arial" w:cs="Times New Roman"/>
      <w:b/>
      <w:kern w:val="28"/>
      <w:lang w:val="es-ES_tradnl" w:eastAsia="es-CO"/>
    </w:rPr>
  </w:style>
  <w:style w:type="character" w:customStyle="1" w:styleId="Estilo4Car">
    <w:name w:val="Estilo4 Car"/>
    <w:link w:val="Estilo4"/>
    <w:rsid w:val="00CF5EFC"/>
    <w:rPr>
      <w:rFonts w:ascii="Arial" w:eastAsia="Times New Roman" w:hAnsi="Arial" w:cs="Times New Roman"/>
      <w:b/>
      <w:kern w:val="28"/>
      <w:lang w:val="es-ES_tradnl" w:eastAsia="es-CO"/>
    </w:rPr>
  </w:style>
  <w:style w:type="paragraph" w:styleId="ndice2">
    <w:name w:val="index 2"/>
    <w:basedOn w:val="Normal"/>
    <w:next w:val="Normal"/>
    <w:autoRedefine/>
    <w:rsid w:val="00CF5EFC"/>
    <w:pPr>
      <w:spacing w:after="0" w:line="240" w:lineRule="auto"/>
      <w:ind w:left="480" w:hanging="240"/>
    </w:pPr>
    <w:rPr>
      <w:rFonts w:ascii="CG Times" w:eastAsia="Times New Roman" w:hAnsi="CG Times" w:cs="Times New Roman"/>
      <w:sz w:val="24"/>
      <w:szCs w:val="20"/>
      <w:lang w:val="es-ES_tradnl" w:eastAsia="es-CO"/>
    </w:rPr>
  </w:style>
  <w:style w:type="paragraph" w:styleId="ndice3">
    <w:name w:val="index 3"/>
    <w:basedOn w:val="Normal"/>
    <w:next w:val="Normal"/>
    <w:autoRedefine/>
    <w:rsid w:val="00CF5EFC"/>
    <w:pPr>
      <w:spacing w:after="0" w:line="240" w:lineRule="auto"/>
      <w:ind w:left="720" w:hanging="240"/>
    </w:pPr>
    <w:rPr>
      <w:rFonts w:ascii="CG Times" w:eastAsia="Times New Roman" w:hAnsi="CG Times" w:cs="Times New Roman"/>
      <w:sz w:val="24"/>
      <w:szCs w:val="20"/>
      <w:lang w:val="es-ES_tradnl" w:eastAsia="es-CO"/>
    </w:rPr>
  </w:style>
  <w:style w:type="paragraph" w:styleId="ndice4">
    <w:name w:val="index 4"/>
    <w:basedOn w:val="Normal"/>
    <w:next w:val="Normal"/>
    <w:autoRedefine/>
    <w:rsid w:val="00CF5EFC"/>
    <w:pPr>
      <w:spacing w:after="0" w:line="240" w:lineRule="auto"/>
      <w:ind w:left="960" w:hanging="240"/>
    </w:pPr>
    <w:rPr>
      <w:rFonts w:ascii="CG Times" w:eastAsia="Times New Roman" w:hAnsi="CG Times" w:cs="Times New Roman"/>
      <w:sz w:val="24"/>
      <w:szCs w:val="20"/>
      <w:lang w:val="es-ES_tradnl" w:eastAsia="es-CO"/>
    </w:rPr>
  </w:style>
  <w:style w:type="paragraph" w:styleId="ndice5">
    <w:name w:val="index 5"/>
    <w:basedOn w:val="Normal"/>
    <w:next w:val="Normal"/>
    <w:autoRedefine/>
    <w:rsid w:val="00CF5EFC"/>
    <w:pPr>
      <w:spacing w:after="0" w:line="240" w:lineRule="auto"/>
      <w:ind w:left="1200" w:hanging="240"/>
    </w:pPr>
    <w:rPr>
      <w:rFonts w:ascii="CG Times" w:eastAsia="Times New Roman" w:hAnsi="CG Times" w:cs="Times New Roman"/>
      <w:sz w:val="24"/>
      <w:szCs w:val="20"/>
      <w:lang w:val="es-ES_tradnl" w:eastAsia="es-CO"/>
    </w:rPr>
  </w:style>
  <w:style w:type="paragraph" w:styleId="ndice6">
    <w:name w:val="index 6"/>
    <w:basedOn w:val="Normal"/>
    <w:next w:val="Normal"/>
    <w:autoRedefine/>
    <w:rsid w:val="00CF5EFC"/>
    <w:pPr>
      <w:spacing w:after="0" w:line="240" w:lineRule="auto"/>
      <w:ind w:left="1440" w:hanging="240"/>
    </w:pPr>
    <w:rPr>
      <w:rFonts w:ascii="CG Times" w:eastAsia="Times New Roman" w:hAnsi="CG Times" w:cs="Times New Roman"/>
      <w:sz w:val="24"/>
      <w:szCs w:val="20"/>
      <w:lang w:val="es-ES_tradnl" w:eastAsia="es-CO"/>
    </w:rPr>
  </w:style>
  <w:style w:type="paragraph" w:styleId="ndice7">
    <w:name w:val="index 7"/>
    <w:basedOn w:val="Normal"/>
    <w:next w:val="Normal"/>
    <w:autoRedefine/>
    <w:rsid w:val="00CF5EFC"/>
    <w:pPr>
      <w:spacing w:after="0" w:line="240" w:lineRule="auto"/>
      <w:ind w:left="1680" w:hanging="240"/>
    </w:pPr>
    <w:rPr>
      <w:rFonts w:ascii="CG Times" w:eastAsia="Times New Roman" w:hAnsi="CG Times" w:cs="Times New Roman"/>
      <w:sz w:val="24"/>
      <w:szCs w:val="20"/>
      <w:lang w:val="es-ES_tradnl" w:eastAsia="es-CO"/>
    </w:rPr>
  </w:style>
  <w:style w:type="paragraph" w:styleId="ndice8">
    <w:name w:val="index 8"/>
    <w:basedOn w:val="Normal"/>
    <w:next w:val="Normal"/>
    <w:autoRedefine/>
    <w:rsid w:val="00CF5EFC"/>
    <w:pPr>
      <w:spacing w:after="0" w:line="240" w:lineRule="auto"/>
      <w:ind w:left="1920" w:hanging="240"/>
    </w:pPr>
    <w:rPr>
      <w:rFonts w:ascii="CG Times" w:eastAsia="Times New Roman" w:hAnsi="CG Times" w:cs="Times New Roman"/>
      <w:sz w:val="24"/>
      <w:szCs w:val="20"/>
      <w:lang w:val="es-ES_tradnl" w:eastAsia="es-CO"/>
    </w:rPr>
  </w:style>
  <w:style w:type="paragraph" w:styleId="ndice9">
    <w:name w:val="index 9"/>
    <w:basedOn w:val="Normal"/>
    <w:next w:val="Normal"/>
    <w:autoRedefine/>
    <w:rsid w:val="00CF5EFC"/>
    <w:pPr>
      <w:spacing w:after="0" w:line="240" w:lineRule="auto"/>
      <w:ind w:left="2160" w:hanging="240"/>
    </w:pPr>
    <w:rPr>
      <w:rFonts w:ascii="CG Times" w:eastAsia="Times New Roman" w:hAnsi="CG Times" w:cs="Times New Roman"/>
      <w:sz w:val="24"/>
      <w:szCs w:val="20"/>
      <w:lang w:val="es-ES_tradnl" w:eastAsia="es-CO"/>
    </w:rPr>
  </w:style>
  <w:style w:type="paragraph" w:styleId="Ttulodendice">
    <w:name w:val="index heading"/>
    <w:basedOn w:val="Normal"/>
    <w:next w:val="ndice1"/>
    <w:rsid w:val="00CF5EFC"/>
    <w:pPr>
      <w:spacing w:after="0" w:line="240" w:lineRule="auto"/>
    </w:pPr>
    <w:rPr>
      <w:rFonts w:ascii="CG Times" w:eastAsia="Times New Roman" w:hAnsi="CG Times" w:cs="Times New Roman"/>
      <w:sz w:val="24"/>
      <w:szCs w:val="20"/>
      <w:lang w:val="es-ES_tradnl" w:eastAsia="es-CO"/>
    </w:rPr>
  </w:style>
  <w:style w:type="paragraph" w:customStyle="1" w:styleId="Estilo2">
    <w:name w:val="Estilo2"/>
    <w:basedOn w:val="Normal"/>
    <w:rsid w:val="00CF5EFC"/>
    <w:pPr>
      <w:keepNext/>
      <w:widowControl w:val="0"/>
      <w:numPr>
        <w:numId w:val="6"/>
      </w:numPr>
      <w:adjustRightInd w:val="0"/>
      <w:spacing w:after="0" w:line="240" w:lineRule="auto"/>
      <w:jc w:val="both"/>
      <w:textAlignment w:val="baseline"/>
      <w:outlineLvl w:val="0"/>
    </w:pPr>
    <w:rPr>
      <w:rFonts w:ascii="Bookman Old Style" w:eastAsia="Times New Roman" w:hAnsi="Bookman Old Style" w:cs="Times New Roman"/>
      <w:b/>
      <w:bCs/>
      <w:sz w:val="24"/>
      <w:szCs w:val="24"/>
      <w:lang w:val="es-ES" w:eastAsia="ar-SA"/>
    </w:rPr>
  </w:style>
  <w:style w:type="character" w:customStyle="1" w:styleId="Estilo1Car">
    <w:name w:val="Estilo1 Car"/>
    <w:link w:val="Estilo1"/>
    <w:rsid w:val="00CF5EFC"/>
    <w:rPr>
      <w:rFonts w:ascii="Comic Sans MS" w:eastAsia="Times New Roman" w:hAnsi="Comic Sans MS" w:cs="Times New Roman"/>
      <w:color w:val="0000FF"/>
      <w:sz w:val="36"/>
      <w:szCs w:val="20"/>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styleId="Mapadeldocumento">
    <w:name w:val="Document Map"/>
    <w:basedOn w:val="Normal"/>
    <w:link w:val="MapadeldocumentoCar"/>
    <w:unhideWhenUsed/>
    <w:rsid w:val="00CF5EFC"/>
    <w:pPr>
      <w:spacing w:after="0" w:line="240" w:lineRule="auto"/>
    </w:pPr>
    <w:rPr>
      <w:rFonts w:ascii="Tahoma" w:eastAsia="Times New Roman" w:hAnsi="Tahoma" w:cs="Tahoma"/>
      <w:sz w:val="16"/>
      <w:szCs w:val="16"/>
      <w:lang w:val="es-ES_tradnl" w:eastAsia="es-CO"/>
    </w:rPr>
  </w:style>
  <w:style w:type="character" w:customStyle="1" w:styleId="MapadeldocumentoCar">
    <w:name w:val="Mapa del documento Car"/>
    <w:basedOn w:val="Fuentedeprrafopredeter"/>
    <w:link w:val="Mapadeldocumento"/>
    <w:rsid w:val="00CF5EFC"/>
    <w:rPr>
      <w:rFonts w:ascii="Tahoma" w:eastAsia="Times New Roman" w:hAnsi="Tahoma" w:cs="Tahoma"/>
      <w:sz w:val="16"/>
      <w:szCs w:val="16"/>
      <w:lang w:val="es-ES_tradnl" w:eastAsia="es-CO"/>
    </w:rPr>
  </w:style>
  <w:style w:type="paragraph" w:customStyle="1" w:styleId="Estilo3">
    <w:name w:val="Estilo3"/>
    <w:basedOn w:val="Ttulo"/>
    <w:qFormat/>
    <w:rsid w:val="00CF5EFC"/>
    <w:pPr>
      <w:widowControl/>
      <w:adjustRightInd/>
      <w:spacing w:line="240" w:lineRule="auto"/>
      <w:ind w:left="0"/>
      <w:jc w:val="left"/>
      <w:textAlignment w:val="auto"/>
    </w:pPr>
    <w:rPr>
      <w:rFonts w:cs="Times New Roman"/>
      <w:b w:val="0"/>
      <w:bCs w:val="0"/>
      <w:sz w:val="22"/>
      <w:szCs w:val="20"/>
      <w:lang w:val="es-ES_tradnl" w:eastAsia="es-CO"/>
    </w:rPr>
  </w:style>
  <w:style w:type="character" w:customStyle="1" w:styleId="Estilo3Car">
    <w:name w:val="Estilo3 Car"/>
    <w:rsid w:val="00CF5EFC"/>
    <w:rPr>
      <w:rFonts w:ascii="Arial" w:eastAsia="Times New Roman" w:hAnsi="Arial" w:cs="Arial"/>
      <w:b/>
      <w:bCs/>
      <w:sz w:val="22"/>
      <w:szCs w:val="24"/>
      <w:lang w:val="es-ES_tradnl" w:eastAsia="es-ES"/>
    </w:rPr>
  </w:style>
  <w:style w:type="paragraph" w:customStyle="1" w:styleId="Estilo5">
    <w:name w:val="Estilo5"/>
    <w:basedOn w:val="Estilo1"/>
    <w:qFormat/>
    <w:rsid w:val="00CF5EFC"/>
    <w:pPr>
      <w:keepNext/>
      <w:numPr>
        <w:numId w:val="5"/>
      </w:numPr>
      <w:shd w:val="clear" w:color="auto" w:fill="auto"/>
      <w:spacing w:before="240"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Estilo6">
    <w:name w:val="Estilo6"/>
    <w:basedOn w:val="Estilo8"/>
    <w:qFormat/>
    <w:rsid w:val="00CF5EFC"/>
    <w:pPr>
      <w:numPr>
        <w:numId w:val="7"/>
      </w:numPr>
    </w:pPr>
  </w:style>
  <w:style w:type="character" w:customStyle="1" w:styleId="Estilo5Car">
    <w:name w:val="Estilo5 Car"/>
    <w:basedOn w:val="Estilo1Car"/>
    <w:rsid w:val="00CF5EFC"/>
    <w:rPr>
      <w:rFonts w:ascii="Comic Sans MS" w:eastAsia="Times New Roman" w:hAnsi="Comic Sans MS" w:cs="Times New Roman"/>
      <w:color w:val="0000FF"/>
      <w:sz w:val="36"/>
      <w:szCs w:val="20"/>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customStyle="1" w:styleId="Estilo7">
    <w:name w:val="Estilo7"/>
    <w:basedOn w:val="Normal"/>
    <w:rsid w:val="00CF5EFC"/>
    <w:pPr>
      <w:spacing w:after="0" w:line="240" w:lineRule="auto"/>
    </w:pPr>
    <w:rPr>
      <w:rFonts w:ascii="Arial" w:eastAsia="Times New Roman" w:hAnsi="Arial" w:cs="Arial"/>
      <w:b/>
      <w:sz w:val="24"/>
      <w:szCs w:val="20"/>
      <w:lang w:val="es-ES_tradnl" w:eastAsia="es-CO"/>
    </w:rPr>
  </w:style>
  <w:style w:type="character" w:customStyle="1" w:styleId="Estilo6Car">
    <w:name w:val="Estilo6 Car"/>
    <w:rsid w:val="00CF5EFC"/>
    <w:rPr>
      <w:rFonts w:ascii="Arial" w:eastAsia="Times New Roman" w:hAnsi="Arial" w:cs="Arial"/>
      <w:sz w:val="22"/>
      <w:szCs w:val="22"/>
      <w:lang w:val="es-ES_tradnl" w:eastAsia="es-ES"/>
    </w:rPr>
  </w:style>
  <w:style w:type="paragraph" w:customStyle="1" w:styleId="Estilo8">
    <w:name w:val="Estilo8"/>
    <w:basedOn w:val="Estilo7"/>
    <w:qFormat/>
    <w:rsid w:val="00CF5EFC"/>
    <w:rPr>
      <w:b w:val="0"/>
      <w:sz w:val="22"/>
      <w:szCs w:val="22"/>
    </w:rPr>
  </w:style>
  <w:style w:type="character" w:customStyle="1" w:styleId="Estilo7Car">
    <w:name w:val="Estilo7 Car"/>
    <w:rsid w:val="00CF5EFC"/>
    <w:rPr>
      <w:rFonts w:ascii="Arial" w:hAnsi="Arial" w:cs="Arial"/>
      <w:b/>
      <w:sz w:val="24"/>
      <w:lang w:val="es-ES_tradnl"/>
    </w:rPr>
  </w:style>
  <w:style w:type="character" w:customStyle="1" w:styleId="Estilo8Car">
    <w:name w:val="Estilo8 Car"/>
    <w:rsid w:val="00CF5EFC"/>
    <w:rPr>
      <w:rFonts w:ascii="Arial" w:hAnsi="Arial" w:cs="Arial"/>
      <w:b/>
      <w:sz w:val="22"/>
      <w:szCs w:val="22"/>
      <w:lang w:val="es-ES_tradnl"/>
    </w:rPr>
  </w:style>
  <w:style w:type="paragraph" w:customStyle="1" w:styleId="Estilo9">
    <w:name w:val="Estilo9"/>
    <w:basedOn w:val="Estilo4"/>
    <w:link w:val="Estilo9Car"/>
    <w:qFormat/>
    <w:rsid w:val="00CF5EFC"/>
    <w:pPr>
      <w:jc w:val="both"/>
    </w:pPr>
    <w:rPr>
      <w:b w:val="0"/>
    </w:rPr>
  </w:style>
  <w:style w:type="paragraph" w:customStyle="1" w:styleId="Estilo10">
    <w:name w:val="Estilo10"/>
    <w:basedOn w:val="Normal"/>
    <w:link w:val="Estilo10Car"/>
    <w:rsid w:val="00CF5EFC"/>
    <w:pPr>
      <w:numPr>
        <w:ilvl w:val="1"/>
        <w:numId w:val="8"/>
      </w:numPr>
      <w:spacing w:after="0" w:line="240" w:lineRule="auto"/>
      <w:jc w:val="both"/>
    </w:pPr>
    <w:rPr>
      <w:rFonts w:ascii="Arial" w:eastAsia="Times New Roman" w:hAnsi="Arial" w:cs="Arial"/>
      <w:b/>
      <w:lang w:val="es-ES_tradnl" w:eastAsia="es-CO"/>
    </w:rPr>
  </w:style>
  <w:style w:type="character" w:customStyle="1" w:styleId="Ttulo1Car1">
    <w:name w:val="Título 1 Car1"/>
    <w:rsid w:val="00CF5EFC"/>
    <w:rPr>
      <w:rFonts w:ascii="Arial" w:hAnsi="Arial"/>
      <w:b/>
      <w:kern w:val="28"/>
      <w:sz w:val="28"/>
      <w:lang w:val="es-ES_tradnl"/>
    </w:rPr>
  </w:style>
  <w:style w:type="character" w:customStyle="1" w:styleId="Estilo1Car1">
    <w:name w:val="Estilo1 Car1"/>
    <w:rsid w:val="00CF5EFC"/>
    <w:rPr>
      <w:rFonts w:ascii="Arial" w:hAnsi="Arial"/>
      <w:b/>
      <w:kern w:val="28"/>
      <w:sz w:val="22"/>
      <w:szCs w:val="22"/>
      <w:lang w:val="es-ES_tradnl"/>
    </w:rPr>
  </w:style>
  <w:style w:type="character" w:customStyle="1" w:styleId="Estilo4Car1">
    <w:name w:val="Estilo4 Car1"/>
    <w:basedOn w:val="Estilo1Car1"/>
    <w:rsid w:val="00CF5EFC"/>
    <w:rPr>
      <w:rFonts w:ascii="Arial" w:hAnsi="Arial"/>
      <w:b/>
      <w:kern w:val="28"/>
      <w:sz w:val="22"/>
      <w:szCs w:val="22"/>
      <w:lang w:val="es-ES_tradnl"/>
    </w:rPr>
  </w:style>
  <w:style w:type="character" w:customStyle="1" w:styleId="Estilo9Car">
    <w:name w:val="Estilo9 Car"/>
    <w:basedOn w:val="Estilo4Car1"/>
    <w:link w:val="Estilo9"/>
    <w:rsid w:val="00CF5EFC"/>
    <w:rPr>
      <w:rFonts w:ascii="Arial" w:eastAsia="Times New Roman" w:hAnsi="Arial" w:cs="Times New Roman"/>
      <w:b w:val="0"/>
      <w:kern w:val="28"/>
      <w:sz w:val="22"/>
      <w:szCs w:val="22"/>
      <w:lang w:val="es-ES_tradnl" w:eastAsia="es-CO"/>
    </w:rPr>
  </w:style>
  <w:style w:type="paragraph" w:customStyle="1" w:styleId="articulo">
    <w:name w:val="articulo"/>
    <w:basedOn w:val="Normal"/>
    <w:next w:val="Normal"/>
    <w:autoRedefine/>
    <w:rsid w:val="00CF5EFC"/>
    <w:pPr>
      <w:numPr>
        <w:numId w:val="9"/>
      </w:numPr>
      <w:tabs>
        <w:tab w:val="left" w:pos="-720"/>
        <w:tab w:val="left" w:pos="1620"/>
      </w:tabs>
      <w:suppressAutoHyphens/>
      <w:spacing w:before="240" w:after="0" w:line="240" w:lineRule="auto"/>
      <w:jc w:val="both"/>
    </w:pPr>
    <w:rPr>
      <w:rFonts w:ascii="Bookman Old Style" w:eastAsia="Times New Roman" w:hAnsi="Bookman Old Style" w:cs="Arial"/>
      <w:bCs/>
      <w:spacing w:val="-4"/>
      <w:sz w:val="24"/>
      <w:szCs w:val="24"/>
      <w:lang w:val="es-ES" w:eastAsia="es-ES"/>
    </w:rPr>
  </w:style>
  <w:style w:type="character" w:customStyle="1" w:styleId="Estilo10Car">
    <w:name w:val="Estilo10 Car"/>
    <w:link w:val="Estilo10"/>
    <w:rsid w:val="00CF5EFC"/>
    <w:rPr>
      <w:rFonts w:ascii="Arial" w:eastAsia="Times New Roman" w:hAnsi="Arial" w:cs="Arial"/>
      <w:b/>
      <w:lang w:val="es-ES_tradnl" w:eastAsia="es-CO"/>
    </w:rPr>
  </w:style>
  <w:style w:type="character" w:styleId="Textodelmarcadordeposicin">
    <w:name w:val="Placeholder Text"/>
    <w:uiPriority w:val="99"/>
    <w:semiHidden/>
    <w:rsid w:val="00CF5EFC"/>
    <w:rPr>
      <w:color w:val="808080"/>
    </w:rPr>
  </w:style>
  <w:style w:type="numbering" w:customStyle="1" w:styleId="Estilo11">
    <w:name w:val="Estilo11"/>
    <w:uiPriority w:val="99"/>
    <w:rsid w:val="00CF5EFC"/>
    <w:pPr>
      <w:numPr>
        <w:numId w:val="11"/>
      </w:numPr>
    </w:pPr>
  </w:style>
  <w:style w:type="numbering" w:customStyle="1" w:styleId="Transporte">
    <w:name w:val="Transporte"/>
    <w:uiPriority w:val="99"/>
    <w:rsid w:val="00CF5EFC"/>
    <w:pPr>
      <w:numPr>
        <w:numId w:val="12"/>
      </w:numPr>
    </w:pPr>
  </w:style>
  <w:style w:type="numbering" w:customStyle="1" w:styleId="Estilo12">
    <w:name w:val="Estilo12"/>
    <w:uiPriority w:val="99"/>
    <w:rsid w:val="00CF5EFC"/>
    <w:pPr>
      <w:numPr>
        <w:numId w:val="13"/>
      </w:numPr>
    </w:pPr>
  </w:style>
  <w:style w:type="numbering" w:customStyle="1" w:styleId="Estilo13">
    <w:name w:val="Estilo13"/>
    <w:uiPriority w:val="99"/>
    <w:rsid w:val="00CF5EFC"/>
    <w:pPr>
      <w:numPr>
        <w:numId w:val="14"/>
      </w:numPr>
    </w:pPr>
  </w:style>
  <w:style w:type="numbering" w:customStyle="1" w:styleId="Estilo14">
    <w:name w:val="Estilo14"/>
    <w:uiPriority w:val="99"/>
    <w:rsid w:val="00CF5EFC"/>
    <w:pPr>
      <w:numPr>
        <w:numId w:val="15"/>
      </w:numPr>
    </w:pPr>
  </w:style>
  <w:style w:type="numbering" w:customStyle="1" w:styleId="Estilo15">
    <w:name w:val="Estilo15"/>
    <w:uiPriority w:val="99"/>
    <w:rsid w:val="00CF5EFC"/>
    <w:pPr>
      <w:numPr>
        <w:numId w:val="16"/>
      </w:numPr>
    </w:pPr>
  </w:style>
  <w:style w:type="numbering" w:customStyle="1" w:styleId="TGas">
    <w:name w:val="T Gas"/>
    <w:uiPriority w:val="99"/>
    <w:rsid w:val="00CF5EFC"/>
    <w:pPr>
      <w:numPr>
        <w:numId w:val="17"/>
      </w:numPr>
    </w:pPr>
  </w:style>
  <w:style w:type="numbering" w:customStyle="1" w:styleId="Estilo16">
    <w:name w:val="Estilo16"/>
    <w:uiPriority w:val="99"/>
    <w:rsid w:val="00CF5EFC"/>
    <w:pPr>
      <w:numPr>
        <w:numId w:val="18"/>
      </w:numPr>
    </w:pPr>
  </w:style>
  <w:style w:type="character" w:styleId="Textoennegrita">
    <w:name w:val="Strong"/>
    <w:uiPriority w:val="22"/>
    <w:qFormat/>
    <w:rsid w:val="00CF5EFC"/>
    <w:rPr>
      <w:b/>
      <w:bCs/>
    </w:rPr>
  </w:style>
  <w:style w:type="paragraph" w:styleId="Tabladeilustraciones">
    <w:name w:val="table of figures"/>
    <w:basedOn w:val="Normal"/>
    <w:next w:val="Normal"/>
    <w:uiPriority w:val="99"/>
    <w:rsid w:val="00CF5EFC"/>
    <w:pPr>
      <w:tabs>
        <w:tab w:val="right" w:leader="dot" w:pos="8828"/>
      </w:tabs>
      <w:spacing w:after="0" w:line="240" w:lineRule="auto"/>
      <w:ind w:left="480" w:hanging="480"/>
      <w:jc w:val="both"/>
    </w:pPr>
    <w:rPr>
      <w:rFonts w:ascii="Arial" w:eastAsia="Times New Roman" w:hAnsi="Arial" w:cs="Times New Roman"/>
      <w:noProof/>
      <w:sz w:val="24"/>
      <w:szCs w:val="20"/>
      <w:lang w:val="es-ES_tradnl" w:eastAsia="es-ES"/>
    </w:rPr>
  </w:style>
  <w:style w:type="character" w:customStyle="1" w:styleId="eacep1">
    <w:name w:val="eacep1"/>
    <w:rsid w:val="00CF5EFC"/>
    <w:rPr>
      <w:color w:val="000000"/>
    </w:rPr>
  </w:style>
  <w:style w:type="paragraph" w:customStyle="1" w:styleId="Prrafo">
    <w:name w:val="Párrafo"/>
    <w:basedOn w:val="Normal"/>
    <w:link w:val="PrrafoCar"/>
    <w:uiPriority w:val="99"/>
    <w:rsid w:val="00CF5EFC"/>
    <w:pPr>
      <w:spacing w:after="240" w:line="360" w:lineRule="auto"/>
      <w:jc w:val="both"/>
    </w:pPr>
    <w:rPr>
      <w:rFonts w:ascii="Arial" w:eastAsia="Calibri" w:hAnsi="Arial" w:cs="Arial"/>
      <w:lang w:val="es-ES" w:eastAsia="es-ES"/>
    </w:rPr>
  </w:style>
  <w:style w:type="character" w:customStyle="1" w:styleId="PrrafoCar">
    <w:name w:val="Párrafo Car"/>
    <w:link w:val="Prrafo"/>
    <w:uiPriority w:val="99"/>
    <w:locked/>
    <w:rsid w:val="00CF5EFC"/>
    <w:rPr>
      <w:rFonts w:ascii="Arial" w:eastAsia="Calibri" w:hAnsi="Arial" w:cs="Arial"/>
      <w:lang w:val="es-ES" w:eastAsia="es-ES"/>
    </w:rPr>
  </w:style>
  <w:style w:type="paragraph" w:styleId="Textonotaalfinal">
    <w:name w:val="endnote text"/>
    <w:basedOn w:val="Normal"/>
    <w:link w:val="TextonotaalfinalCar"/>
    <w:uiPriority w:val="99"/>
    <w:semiHidden/>
    <w:unhideWhenUsed/>
    <w:rsid w:val="00CF5EFC"/>
    <w:pPr>
      <w:spacing w:after="0" w:line="240" w:lineRule="auto"/>
      <w:jc w:val="both"/>
    </w:pPr>
    <w:rPr>
      <w:rFonts w:ascii="Arial" w:eastAsia="Times New Roman" w:hAnsi="Arial" w:cs="Times New Roman"/>
      <w:sz w:val="20"/>
      <w:szCs w:val="20"/>
      <w:lang w:val="es-ES_tradnl" w:eastAsia="es-ES"/>
    </w:rPr>
  </w:style>
  <w:style w:type="character" w:customStyle="1" w:styleId="TextonotaalfinalCar">
    <w:name w:val="Texto nota al final Car"/>
    <w:basedOn w:val="Fuentedeprrafopredeter"/>
    <w:link w:val="Textonotaalfinal"/>
    <w:uiPriority w:val="99"/>
    <w:semiHidden/>
    <w:rsid w:val="00CF5EFC"/>
    <w:rPr>
      <w:rFonts w:ascii="Arial" w:eastAsia="Times New Roman" w:hAnsi="Arial" w:cs="Times New Roman"/>
      <w:sz w:val="20"/>
      <w:szCs w:val="20"/>
      <w:lang w:val="es-ES_tradnl" w:eastAsia="es-ES"/>
    </w:rPr>
  </w:style>
  <w:style w:type="character" w:styleId="Refdenotaalfinal">
    <w:name w:val="endnote reference"/>
    <w:uiPriority w:val="99"/>
    <w:semiHidden/>
    <w:unhideWhenUsed/>
    <w:rsid w:val="00CF5EFC"/>
    <w:rPr>
      <w:vertAlign w:val="superscript"/>
    </w:rPr>
  </w:style>
  <w:style w:type="paragraph" w:customStyle="1" w:styleId="Textoindependiente22">
    <w:name w:val="Texto independiente 22"/>
    <w:basedOn w:val="Normal"/>
    <w:rsid w:val="00CF5EFC"/>
    <w:pPr>
      <w:suppressAutoHyphens/>
      <w:overflowPunct w:val="0"/>
      <w:autoSpaceDE w:val="0"/>
      <w:spacing w:after="0" w:line="240" w:lineRule="auto"/>
      <w:jc w:val="both"/>
      <w:textAlignment w:val="baseline"/>
    </w:pPr>
    <w:rPr>
      <w:rFonts w:ascii="Bookman Old Style" w:eastAsia="Times New Roman" w:hAnsi="Bookman Old Style" w:cs="Times New Roman"/>
      <w:b/>
      <w:sz w:val="24"/>
      <w:szCs w:val="20"/>
      <w:lang w:val="es-ES_tradnl" w:eastAsia="ar-SA"/>
    </w:rPr>
  </w:style>
  <w:style w:type="paragraph" w:customStyle="1" w:styleId="Textoindependiente23">
    <w:name w:val="Texto independiente 23"/>
    <w:basedOn w:val="Normal"/>
    <w:rsid w:val="00CF5EFC"/>
    <w:pPr>
      <w:suppressAutoHyphens/>
      <w:overflowPunct w:val="0"/>
      <w:autoSpaceDE w:val="0"/>
      <w:spacing w:after="0" w:line="240" w:lineRule="auto"/>
      <w:jc w:val="both"/>
      <w:textAlignment w:val="baseline"/>
    </w:pPr>
    <w:rPr>
      <w:rFonts w:ascii="Bookman Old Style" w:eastAsia="Times New Roman" w:hAnsi="Bookman Old Style" w:cs="Times New Roman"/>
      <w:b/>
      <w:sz w:val="24"/>
      <w:szCs w:val="20"/>
      <w:lang w:val="es-ES_tradnl" w:eastAsia="ar-SA"/>
    </w:rPr>
  </w:style>
  <w:style w:type="paragraph" w:customStyle="1" w:styleId="Textoindependiente24">
    <w:name w:val="Texto independiente 24"/>
    <w:basedOn w:val="Normal"/>
    <w:rsid w:val="00CF5EFC"/>
    <w:pPr>
      <w:suppressAutoHyphens/>
      <w:overflowPunct w:val="0"/>
      <w:autoSpaceDE w:val="0"/>
      <w:spacing w:after="0" w:line="240" w:lineRule="auto"/>
      <w:jc w:val="both"/>
      <w:textAlignment w:val="baseline"/>
    </w:pPr>
    <w:rPr>
      <w:rFonts w:ascii="Bookman Old Style" w:eastAsia="Times New Roman" w:hAnsi="Bookman Old Style" w:cs="Times New Roman"/>
      <w:b/>
      <w:sz w:val="24"/>
      <w:szCs w:val="20"/>
      <w:lang w:val="es-ES_tradnl" w:eastAsia="ar-SA"/>
    </w:rPr>
  </w:style>
  <w:style w:type="paragraph" w:customStyle="1" w:styleId="Prrafodelista1">
    <w:name w:val="Párrafo de lista1"/>
    <w:basedOn w:val="Normal"/>
    <w:rsid w:val="00CF5EFC"/>
    <w:pPr>
      <w:spacing w:after="200" w:line="276" w:lineRule="auto"/>
      <w:ind w:left="720"/>
    </w:pPr>
    <w:rPr>
      <w:rFonts w:ascii="Calibri" w:eastAsia="Times New Roman" w:hAnsi="Calibri" w:cs="Times New Roman"/>
    </w:rPr>
  </w:style>
  <w:style w:type="paragraph" w:customStyle="1" w:styleId="Artculo">
    <w:name w:val="Artículo"/>
    <w:basedOn w:val="Normal"/>
    <w:link w:val="ArtculoCar"/>
    <w:autoRedefine/>
    <w:qFormat/>
    <w:rsid w:val="00CF5EFC"/>
    <w:pPr>
      <w:spacing w:after="0" w:line="240" w:lineRule="auto"/>
      <w:jc w:val="both"/>
    </w:pPr>
    <w:rPr>
      <w:rFonts w:ascii="Bookman Old Style" w:eastAsia="Times New Roman" w:hAnsi="Bookman Old Style" w:cs="Arial"/>
      <w:sz w:val="24"/>
      <w:szCs w:val="24"/>
      <w:lang w:val="es-ES" w:eastAsia="es-ES"/>
    </w:rPr>
  </w:style>
  <w:style w:type="character" w:customStyle="1" w:styleId="ArtculoCar">
    <w:name w:val="Artículo Car"/>
    <w:link w:val="Artculo"/>
    <w:rsid w:val="00CF5EFC"/>
    <w:rPr>
      <w:rFonts w:ascii="Bookman Old Style" w:eastAsia="Times New Roman" w:hAnsi="Bookman Old Style" w:cs="Arial"/>
      <w:sz w:val="24"/>
      <w:szCs w:val="24"/>
      <w:lang w:val="es-ES" w:eastAsia="es-ES"/>
    </w:rPr>
  </w:style>
  <w:style w:type="paragraph" w:styleId="Bibliografa">
    <w:name w:val="Bibliography"/>
    <w:basedOn w:val="Normal"/>
    <w:next w:val="Normal"/>
    <w:uiPriority w:val="37"/>
    <w:unhideWhenUsed/>
    <w:rsid w:val="00CF5EFC"/>
    <w:pPr>
      <w:spacing w:after="0" w:line="276" w:lineRule="auto"/>
    </w:pPr>
    <w:rPr>
      <w:rFonts w:ascii="Arial" w:eastAsia="Arial" w:hAnsi="Arial" w:cs="Arial"/>
      <w:color w:val="000000"/>
      <w:lang w:eastAsia="es-CO"/>
    </w:rPr>
  </w:style>
  <w:style w:type="paragraph" w:customStyle="1" w:styleId="Cuadrculamediana1-nfasis21">
    <w:name w:val="Cuadrícula mediana 1 - Énfasis 21"/>
    <w:basedOn w:val="Normal"/>
    <w:link w:val="Cuadrculamediana1-nfasis2Car"/>
    <w:uiPriority w:val="34"/>
    <w:qFormat/>
    <w:rsid w:val="00CF5EFC"/>
    <w:pPr>
      <w:spacing w:before="120" w:after="120" w:line="240" w:lineRule="auto"/>
      <w:ind w:left="708"/>
    </w:pPr>
    <w:rPr>
      <w:rFonts w:ascii="Times New Roman" w:eastAsia="Times New Roman" w:hAnsi="Times New Roman" w:cs="Times New Roman"/>
      <w:sz w:val="20"/>
      <w:szCs w:val="20"/>
      <w:lang w:eastAsia="es-ES"/>
    </w:rPr>
  </w:style>
  <w:style w:type="character" w:customStyle="1" w:styleId="Cuadrculamediana1-nfasis2Car">
    <w:name w:val="Cuadrícula mediana 1 - Énfasis 2 Car"/>
    <w:link w:val="Cuadrculamediana1-nfasis21"/>
    <w:uiPriority w:val="34"/>
    <w:rsid w:val="00CF5EFC"/>
    <w:rPr>
      <w:rFonts w:ascii="Times New Roman" w:eastAsia="Times New Roman" w:hAnsi="Times New Roman" w:cs="Times New Roman"/>
      <w:sz w:val="20"/>
      <w:szCs w:val="20"/>
      <w:lang w:eastAsia="es-ES"/>
    </w:rPr>
  </w:style>
  <w:style w:type="paragraph" w:customStyle="1" w:styleId="Sombreadomediano1-nfasis11">
    <w:name w:val="Sombreado mediano 1 - Énfasis 11"/>
    <w:uiPriority w:val="1"/>
    <w:qFormat/>
    <w:rsid w:val="00CF5EFC"/>
    <w:pPr>
      <w:spacing w:after="0" w:line="240" w:lineRule="auto"/>
    </w:pPr>
    <w:rPr>
      <w:rFonts w:ascii="Calibri" w:eastAsia="Times New Roman" w:hAnsi="Calibri" w:cs="Calibri"/>
      <w:lang w:val="es-ES"/>
    </w:rPr>
  </w:style>
  <w:style w:type="paragraph" w:customStyle="1" w:styleId="Listamediana2-nfasis21">
    <w:name w:val="Lista mediana 2 - Énfasis 21"/>
    <w:hidden/>
    <w:uiPriority w:val="99"/>
    <w:semiHidden/>
    <w:rsid w:val="00CF5EFC"/>
    <w:pPr>
      <w:spacing w:after="0" w:line="240" w:lineRule="auto"/>
    </w:pPr>
    <w:rPr>
      <w:rFonts w:ascii="Times New Roman" w:eastAsia="Times New Roman" w:hAnsi="Times New Roman" w:cs="Times New Roman"/>
      <w:sz w:val="24"/>
      <w:szCs w:val="24"/>
      <w:lang w:val="es-ES" w:eastAsia="es-ES"/>
    </w:rPr>
  </w:style>
  <w:style w:type="character" w:customStyle="1" w:styleId="CharStyle17">
    <w:name w:val="Char Style 17"/>
    <w:link w:val="Style4"/>
    <w:uiPriority w:val="99"/>
    <w:locked/>
    <w:rsid w:val="00CF5EFC"/>
    <w:rPr>
      <w:rFonts w:ascii="Arial" w:hAnsi="Arial" w:cs="Arial"/>
      <w:sz w:val="13"/>
      <w:szCs w:val="13"/>
      <w:shd w:val="clear" w:color="auto" w:fill="FFFFFF"/>
    </w:rPr>
  </w:style>
  <w:style w:type="character" w:customStyle="1" w:styleId="CharStyle22">
    <w:name w:val="Char Style 22"/>
    <w:uiPriority w:val="99"/>
    <w:rsid w:val="00CF5EFC"/>
  </w:style>
  <w:style w:type="paragraph" w:customStyle="1" w:styleId="Style4">
    <w:name w:val="Style 4"/>
    <w:basedOn w:val="Normal"/>
    <w:link w:val="CharStyle17"/>
    <w:uiPriority w:val="99"/>
    <w:rsid w:val="00CF5EFC"/>
    <w:pPr>
      <w:widowControl w:val="0"/>
      <w:shd w:val="clear" w:color="auto" w:fill="FFFFFF"/>
      <w:spacing w:after="0" w:line="240" w:lineRule="atLeast"/>
      <w:ind w:hanging="540"/>
    </w:pPr>
    <w:rPr>
      <w:rFonts w:ascii="Arial" w:hAnsi="Arial" w:cs="Arial"/>
      <w:sz w:val="13"/>
      <w:szCs w:val="13"/>
    </w:rPr>
  </w:style>
  <w:style w:type="character" w:customStyle="1" w:styleId="CharStyle23">
    <w:name w:val="Char Style 23"/>
    <w:uiPriority w:val="99"/>
    <w:rsid w:val="00CF5EFC"/>
    <w:rPr>
      <w:rFonts w:ascii="Arial" w:hAnsi="Arial" w:cs="Arial"/>
      <w:b/>
      <w:bCs/>
      <w:sz w:val="13"/>
      <w:szCs w:val="13"/>
      <w:u w:val="none"/>
      <w:shd w:val="clear" w:color="auto" w:fill="FFFFFF"/>
    </w:rPr>
  </w:style>
  <w:style w:type="paragraph" w:customStyle="1" w:styleId="Cuadrculamediana21">
    <w:name w:val="Cuadrícula mediana 21"/>
    <w:uiPriority w:val="1"/>
    <w:qFormat/>
    <w:rsid w:val="00CF5EFC"/>
    <w:pPr>
      <w:spacing w:after="0" w:line="240" w:lineRule="auto"/>
    </w:pPr>
    <w:rPr>
      <w:rFonts w:ascii="Calibri" w:eastAsia="Calibri" w:hAnsi="Calibri" w:cs="Times New Roman"/>
    </w:rPr>
  </w:style>
  <w:style w:type="paragraph" w:customStyle="1" w:styleId="Listamulticolor-nfasis11">
    <w:name w:val="Lista multicolor - Énfasis 11"/>
    <w:basedOn w:val="Normal"/>
    <w:link w:val="Listamulticolor-nfasis1Car"/>
    <w:uiPriority w:val="34"/>
    <w:qFormat/>
    <w:rsid w:val="00CF5EFC"/>
    <w:pPr>
      <w:spacing w:after="0" w:line="240" w:lineRule="auto"/>
      <w:ind w:left="708"/>
    </w:pPr>
    <w:rPr>
      <w:rFonts w:ascii="Times New Roman" w:eastAsia="Times New Roman" w:hAnsi="Times New Roman" w:cs="Times New Roman"/>
      <w:sz w:val="20"/>
      <w:szCs w:val="20"/>
      <w:lang w:eastAsia="es-ES"/>
    </w:rPr>
  </w:style>
  <w:style w:type="character" w:customStyle="1" w:styleId="Listamulticolor-nfasis1Car">
    <w:name w:val="Lista multicolor - Énfasis 1 Car"/>
    <w:link w:val="Listamulticolor-nfasis11"/>
    <w:uiPriority w:val="34"/>
    <w:rsid w:val="00CF5EFC"/>
    <w:rPr>
      <w:rFonts w:ascii="Times New Roman" w:eastAsia="Times New Roman" w:hAnsi="Times New Roman" w:cs="Times New Roman"/>
      <w:sz w:val="20"/>
      <w:szCs w:val="20"/>
      <w:lang w:eastAsia="es-ES"/>
    </w:rPr>
  </w:style>
  <w:style w:type="paragraph" w:customStyle="1" w:styleId="Default">
    <w:name w:val="Default"/>
    <w:rsid w:val="00CF5EFC"/>
    <w:pPr>
      <w:autoSpaceDE w:val="0"/>
      <w:autoSpaceDN w:val="0"/>
      <w:adjustRightInd w:val="0"/>
      <w:spacing w:after="0" w:line="240" w:lineRule="auto"/>
    </w:pPr>
    <w:rPr>
      <w:rFonts w:ascii="Arial" w:eastAsia="Times New Roman" w:hAnsi="Arial" w:cs="Arial"/>
      <w:color w:val="000000"/>
      <w:sz w:val="24"/>
      <w:szCs w:val="24"/>
      <w:lang w:eastAsia="es-CO"/>
    </w:rPr>
  </w:style>
  <w:style w:type="paragraph" w:customStyle="1" w:styleId="ARTICULOS">
    <w:name w:val="ARTICULOS"/>
    <w:basedOn w:val="Normal"/>
    <w:link w:val="ARTICULOSCar"/>
    <w:qFormat/>
    <w:rsid w:val="00CF5EFC"/>
    <w:pPr>
      <w:widowControl w:val="0"/>
      <w:numPr>
        <w:numId w:val="19"/>
      </w:numPr>
      <w:adjustRightInd w:val="0"/>
      <w:spacing w:after="0" w:line="240" w:lineRule="auto"/>
      <w:jc w:val="both"/>
      <w:textAlignment w:val="baseline"/>
    </w:pPr>
    <w:rPr>
      <w:rFonts w:ascii="Bookman Old Style" w:eastAsia="Times New Roman" w:hAnsi="Bookman Old Style" w:cs="Times New Roman"/>
      <w:bCs/>
      <w:sz w:val="24"/>
      <w:szCs w:val="24"/>
      <w:lang w:val="x-none" w:eastAsia="x-none"/>
    </w:rPr>
  </w:style>
  <w:style w:type="character" w:customStyle="1" w:styleId="ARTICULOSCar">
    <w:name w:val="ARTICULOS Car"/>
    <w:link w:val="ARTICULOS"/>
    <w:rsid w:val="00CF5EFC"/>
    <w:rPr>
      <w:rFonts w:ascii="Bookman Old Style" w:eastAsia="Times New Roman" w:hAnsi="Bookman Old Style" w:cs="Times New Roman"/>
      <w:bCs/>
      <w:sz w:val="24"/>
      <w:szCs w:val="24"/>
      <w:lang w:val="x-none" w:eastAsia="x-none"/>
    </w:rPr>
  </w:style>
  <w:style w:type="paragraph" w:customStyle="1" w:styleId="CAPTULO">
    <w:name w:val="CAPÍTULO"/>
    <w:basedOn w:val="Ttulo1"/>
    <w:next w:val="Normal"/>
    <w:link w:val="CAPTULOCar"/>
    <w:qFormat/>
    <w:rsid w:val="00CF5EFC"/>
    <w:pPr>
      <w:spacing w:before="240" w:after="240"/>
      <w:ind w:left="0" w:hanging="6"/>
    </w:pPr>
    <w:rPr>
      <w:rFonts w:ascii="Bookman Old Style" w:hAnsi="Bookman Old Style"/>
      <w:spacing w:val="4"/>
      <w:szCs w:val="22"/>
      <w:lang w:val="es-ES"/>
    </w:rPr>
  </w:style>
  <w:style w:type="character" w:customStyle="1" w:styleId="CAPTULOCar">
    <w:name w:val="CAPÍTULO Car"/>
    <w:basedOn w:val="Fuentedeprrafopredeter"/>
    <w:link w:val="CAPTULO"/>
    <w:rsid w:val="00CF5EFC"/>
    <w:rPr>
      <w:rFonts w:ascii="Bookman Old Style" w:eastAsia="Times New Roman" w:hAnsi="Bookman Old Style" w:cs="Times New Roman"/>
      <w:b/>
      <w:spacing w:val="4"/>
      <w:sz w:val="24"/>
      <w:lang w:val="es-ES" w:eastAsia="es-ES"/>
    </w:rPr>
  </w:style>
  <w:style w:type="character" w:customStyle="1" w:styleId="normaltextrun">
    <w:name w:val="normaltextrun"/>
    <w:basedOn w:val="Fuentedeprrafopredeter"/>
    <w:rsid w:val="007B4A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9305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234A7C6C32EBAB48A965984499C77C79" ma:contentTypeVersion="4" ma:contentTypeDescription="Crear nuevo documento." ma:contentTypeScope="" ma:versionID="f017fea0e306b011e6a42d55246f1a21">
  <xsd:schema xmlns:xsd="http://www.w3.org/2001/XMLSchema" xmlns:xs="http://www.w3.org/2001/XMLSchema" xmlns:p="http://schemas.microsoft.com/office/2006/metadata/properties" xmlns:ns2="0ea6a934-6a77-4073-9f54-0635dda5d780" xmlns:ns3="de01f3f3-8e32-4156-90b4-cbe86af56aa6" targetNamespace="http://schemas.microsoft.com/office/2006/metadata/properties" ma:root="true" ma:fieldsID="87d36996382e533e9b789e51c65b0ef5" ns2:_="" ns3:_="">
    <xsd:import namespace="0ea6a934-6a77-4073-9f54-0635dda5d780"/>
    <xsd:import namespace="de01f3f3-8e32-4156-90b4-cbe86af56aa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a6a934-6a77-4073-9f54-0635dda5d7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e01f3f3-8e32-4156-90b4-cbe86af56aa6"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BD026D1-1D2D-4E0A-B1DD-AED806AD85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a6a934-6a77-4073-9f54-0635dda5d780"/>
    <ds:schemaRef ds:uri="de01f3f3-8e32-4156-90b4-cbe86af56a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0188F24-581F-4CD9-9A9E-699CB1899DD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B396051-AEC5-4A90-91EE-9F84D9DEB579}">
  <ds:schemaRefs>
    <ds:schemaRef ds:uri="http://schemas.openxmlformats.org/officeDocument/2006/bibliography"/>
  </ds:schemaRefs>
</ds:datastoreItem>
</file>

<file path=customXml/itemProps4.xml><?xml version="1.0" encoding="utf-8"?>
<ds:datastoreItem xmlns:ds="http://schemas.openxmlformats.org/officeDocument/2006/customXml" ds:itemID="{B2B3F4B5-99C5-4810-8734-3A1B5F2014F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50</Pages>
  <Words>24131</Words>
  <Characters>132723</Characters>
  <Application>Microsoft Office Word</Application>
  <DocSecurity>0</DocSecurity>
  <Lines>1106</Lines>
  <Paragraphs>313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156541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 Fernando Rodriguez</dc:creator>
  <cp:keywords/>
  <dc:description/>
  <cp:lastModifiedBy>Luz Stella Rojas Macias</cp:lastModifiedBy>
  <cp:revision>2</cp:revision>
  <cp:lastPrinted>2022-06-07T13:16:00Z</cp:lastPrinted>
  <dcterms:created xsi:type="dcterms:W3CDTF">2022-06-08T14:21:00Z</dcterms:created>
  <dcterms:modified xsi:type="dcterms:W3CDTF">2022-06-08T14:21:00Z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0x010100234A7C6C32EBAB48A965984499C77C79</vt:lpwstr>
  </property>
</Properties>
</file>