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B84711" w:rsidRDefault="00F517C3"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87704195" r:id="rId10"/>
        </w:pict>
      </w:r>
    </w:p>
    <w:p w:rsidR="00E433F6" w:rsidRPr="00B84711"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B84711" w:rsidRDefault="00E433F6" w:rsidP="00E433F6">
      <w:pPr>
        <w:pStyle w:val="Ttulo4"/>
        <w:tabs>
          <w:tab w:val="left" w:pos="0"/>
          <w:tab w:val="right" w:pos="9356"/>
        </w:tabs>
        <w:ind w:left="0"/>
        <w:rPr>
          <w:rFonts w:ascii="Bookman Old Style" w:hAnsi="Bookman Old Style"/>
          <w:b w:val="0"/>
          <w:bCs/>
          <w:noProof/>
          <w:sz w:val="24"/>
          <w:szCs w:val="24"/>
          <w:lang w:val="es-ES"/>
        </w:rPr>
      </w:pPr>
      <w:r w:rsidRPr="00B84711">
        <w:rPr>
          <w:rFonts w:ascii="Bookman Old Style" w:hAnsi="Bookman Old Style"/>
          <w:b w:val="0"/>
          <w:bCs/>
          <w:sz w:val="24"/>
          <w:szCs w:val="24"/>
        </w:rPr>
        <w:t>Ministerio de Minas y Energía</w:t>
      </w:r>
    </w:p>
    <w:p w:rsidR="00E433F6" w:rsidRPr="00B84711" w:rsidRDefault="00E433F6" w:rsidP="00E433F6">
      <w:pPr>
        <w:pStyle w:val="Ttulo4"/>
        <w:tabs>
          <w:tab w:val="left" w:pos="0"/>
          <w:tab w:val="right" w:pos="9356"/>
        </w:tabs>
        <w:ind w:left="0"/>
        <w:rPr>
          <w:rFonts w:ascii="Bookman Old Style" w:hAnsi="Bookman Old Style"/>
          <w:b w:val="0"/>
          <w:bCs/>
          <w:sz w:val="24"/>
          <w:szCs w:val="24"/>
          <w:lang w:val="es-ES"/>
        </w:rPr>
      </w:pPr>
    </w:p>
    <w:p w:rsidR="00E433F6" w:rsidRPr="00B84711" w:rsidRDefault="00E433F6" w:rsidP="00E433F6">
      <w:pPr>
        <w:pStyle w:val="Ttulo3"/>
        <w:tabs>
          <w:tab w:val="left" w:pos="0"/>
          <w:tab w:val="right" w:pos="9356"/>
        </w:tabs>
        <w:ind w:left="0"/>
        <w:rPr>
          <w:rFonts w:ascii="Bookman Old Style" w:hAnsi="Bookman Old Style" w:cs="Arial"/>
          <w:spacing w:val="20"/>
          <w:szCs w:val="24"/>
        </w:rPr>
      </w:pPr>
      <w:r w:rsidRPr="00B84711">
        <w:rPr>
          <w:rFonts w:ascii="Bookman Old Style" w:hAnsi="Bookman Old Style" w:cs="Arial"/>
          <w:spacing w:val="20"/>
          <w:szCs w:val="24"/>
        </w:rPr>
        <w:t>COMISIÓN DE REGULACIÓN DE ENERGÍA Y GAS</w:t>
      </w:r>
    </w:p>
    <w:p w:rsidR="00E433F6" w:rsidRPr="00B84711" w:rsidRDefault="00E433F6" w:rsidP="00E433F6">
      <w:pPr>
        <w:pStyle w:val="Ttulo5"/>
        <w:tabs>
          <w:tab w:val="left" w:pos="0"/>
          <w:tab w:val="right" w:pos="9356"/>
        </w:tabs>
        <w:ind w:left="0"/>
        <w:rPr>
          <w:rFonts w:ascii="Bookman Old Style" w:hAnsi="Bookman Old Style"/>
          <w:sz w:val="24"/>
          <w:szCs w:val="24"/>
        </w:rPr>
      </w:pPr>
    </w:p>
    <w:p w:rsidR="00E433F6" w:rsidRPr="00B84711" w:rsidRDefault="00E433F6" w:rsidP="00E433F6">
      <w:pPr>
        <w:pStyle w:val="Ttulo5"/>
        <w:tabs>
          <w:tab w:val="left" w:pos="0"/>
          <w:tab w:val="right" w:pos="9356"/>
        </w:tabs>
        <w:ind w:left="0"/>
        <w:rPr>
          <w:rFonts w:ascii="Bookman Old Style" w:hAnsi="Bookman Old Style"/>
          <w:sz w:val="24"/>
          <w:szCs w:val="24"/>
        </w:rPr>
      </w:pPr>
    </w:p>
    <w:p w:rsidR="00E433F6" w:rsidRPr="00B84711" w:rsidRDefault="00E433F6" w:rsidP="00E433F6">
      <w:pPr>
        <w:pStyle w:val="Ttulo5"/>
        <w:tabs>
          <w:tab w:val="left" w:pos="0"/>
          <w:tab w:val="right" w:pos="9356"/>
        </w:tabs>
        <w:ind w:left="0"/>
        <w:rPr>
          <w:rFonts w:ascii="Bookman Old Style" w:hAnsi="Bookman Old Style"/>
          <w:sz w:val="24"/>
          <w:szCs w:val="24"/>
        </w:rPr>
      </w:pPr>
      <w:r w:rsidRPr="00B84711">
        <w:rPr>
          <w:rFonts w:ascii="Bookman Old Style" w:hAnsi="Bookman Old Style"/>
          <w:sz w:val="24"/>
          <w:szCs w:val="24"/>
        </w:rPr>
        <w:t>RESOLUCIÓN No.                   DE 201</w:t>
      </w:r>
      <w:r w:rsidR="00B11DC3">
        <w:rPr>
          <w:rFonts w:ascii="Bookman Old Style" w:hAnsi="Bookman Old Style"/>
          <w:sz w:val="24"/>
          <w:szCs w:val="24"/>
        </w:rPr>
        <w:t>1</w:t>
      </w:r>
    </w:p>
    <w:p w:rsidR="00E433F6" w:rsidRPr="00B84711"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B84711" w:rsidRDefault="00E433F6" w:rsidP="00E433F6">
      <w:pPr>
        <w:pStyle w:val="Ttulo3"/>
        <w:tabs>
          <w:tab w:val="left" w:pos="0"/>
          <w:tab w:val="right" w:pos="9356"/>
        </w:tabs>
        <w:ind w:left="0"/>
        <w:rPr>
          <w:rFonts w:ascii="Bookman Old Style" w:hAnsi="Bookman Old Style"/>
          <w:b w:val="0"/>
          <w:szCs w:val="24"/>
        </w:rPr>
      </w:pPr>
      <w:r w:rsidRPr="00B84711">
        <w:rPr>
          <w:rFonts w:ascii="Bookman Old Style" w:hAnsi="Bookman Old Style"/>
          <w:b w:val="0"/>
          <w:szCs w:val="24"/>
        </w:rPr>
        <w:t>(                                  )</w:t>
      </w:r>
    </w:p>
    <w:p w:rsidR="00E433F6" w:rsidRPr="00B84711" w:rsidRDefault="00E433F6" w:rsidP="00E433F6">
      <w:pPr>
        <w:tabs>
          <w:tab w:val="left" w:pos="0"/>
          <w:tab w:val="right" w:pos="9356"/>
        </w:tabs>
        <w:ind w:left="0"/>
        <w:jc w:val="center"/>
        <w:rPr>
          <w:rFonts w:ascii="Bookman Old Style" w:hAnsi="Bookman Old Style"/>
          <w:lang w:val="es-ES_tradnl"/>
        </w:rPr>
      </w:pPr>
    </w:p>
    <w:p w:rsidR="003B3271" w:rsidRPr="00C2580B" w:rsidRDefault="003B3271" w:rsidP="009B125B">
      <w:pPr>
        <w:ind w:left="0"/>
        <w:jc w:val="both"/>
        <w:rPr>
          <w:rFonts w:ascii="Bookman Old Style" w:hAnsi="Bookman Old Style"/>
          <w:lang w:val="es-ES_tradnl"/>
        </w:rPr>
      </w:pPr>
    </w:p>
    <w:p w:rsidR="003B3271" w:rsidRDefault="003B3271" w:rsidP="009B125B">
      <w:pPr>
        <w:ind w:left="0"/>
        <w:jc w:val="both"/>
        <w:rPr>
          <w:rFonts w:ascii="Bookman Old Style" w:hAnsi="Bookman Old Style"/>
        </w:rPr>
      </w:pPr>
    </w:p>
    <w:p w:rsidR="009B125B" w:rsidRPr="00B84711" w:rsidRDefault="009B125B" w:rsidP="009B125B">
      <w:pPr>
        <w:ind w:left="0"/>
        <w:jc w:val="both"/>
        <w:rPr>
          <w:rFonts w:ascii="Bookman Old Style" w:hAnsi="Bookman Old Style"/>
        </w:rPr>
      </w:pPr>
      <w:r w:rsidRPr="00B84711">
        <w:rPr>
          <w:rFonts w:ascii="Bookman Old Style" w:hAnsi="Bookman Old Style"/>
        </w:rPr>
        <w:t xml:space="preserve">Por la cual se </w:t>
      </w:r>
      <w:r w:rsidR="00582569">
        <w:rPr>
          <w:rFonts w:ascii="Bookman Old Style" w:hAnsi="Bookman Old Style"/>
        </w:rPr>
        <w:t>modifica</w:t>
      </w:r>
      <w:r w:rsidR="00C63A34">
        <w:rPr>
          <w:rFonts w:ascii="Bookman Old Style" w:hAnsi="Bookman Old Style"/>
        </w:rPr>
        <w:t xml:space="preserve"> la base de activos de</w:t>
      </w:r>
      <w:r w:rsidR="009E4516">
        <w:rPr>
          <w:rFonts w:ascii="Bookman Old Style" w:hAnsi="Bookman Old Style"/>
        </w:rPr>
        <w:t xml:space="preserve"> Empresas Públicas de Medellín</w:t>
      </w:r>
      <w:r w:rsidRPr="00B84711">
        <w:rPr>
          <w:rFonts w:ascii="Bookman Old Style" w:hAnsi="Bookman Old Style"/>
        </w:rPr>
        <w:t xml:space="preserve"> E.S.P. </w:t>
      </w:r>
      <w:r w:rsidR="00C17EFE">
        <w:rPr>
          <w:rFonts w:ascii="Bookman Old Style" w:hAnsi="Bookman Old Style"/>
        </w:rPr>
        <w:t xml:space="preserve">y se </w:t>
      </w:r>
      <w:r w:rsidR="00582569">
        <w:rPr>
          <w:rFonts w:ascii="Bookman Old Style" w:hAnsi="Bookman Old Style"/>
        </w:rPr>
        <w:t>actualizan</w:t>
      </w:r>
      <w:r w:rsidR="00C17EFE">
        <w:rPr>
          <w:rFonts w:ascii="Bookman Old Style" w:hAnsi="Bookman Old Style"/>
        </w:rPr>
        <w:t xml:space="preserve"> l</w:t>
      </w:r>
      <w:r w:rsidR="00C63A34" w:rsidRPr="00C63A34">
        <w:rPr>
          <w:rFonts w:ascii="Bookman Old Style" w:hAnsi="Bookman Old Style"/>
        </w:rPr>
        <w:t>os parámetros necesarios para</w:t>
      </w:r>
      <w:r w:rsidR="00773DDF">
        <w:rPr>
          <w:rFonts w:ascii="Bookman Old Style" w:hAnsi="Bookman Old Style"/>
        </w:rPr>
        <w:t xml:space="preserve"> determinar</w:t>
      </w:r>
      <w:r w:rsidR="00C63A34" w:rsidRPr="00C63A34">
        <w:rPr>
          <w:rFonts w:ascii="Bookman Old Style" w:hAnsi="Bookman Old Style"/>
        </w:rPr>
        <w:t xml:space="preserve"> </w:t>
      </w:r>
      <w:r w:rsidR="00C63A34">
        <w:rPr>
          <w:rFonts w:ascii="Bookman Old Style" w:hAnsi="Bookman Old Style"/>
        </w:rPr>
        <w:t>su</w:t>
      </w:r>
      <w:r w:rsidR="00C63A34" w:rsidRPr="00C63A34">
        <w:rPr>
          <w:rFonts w:ascii="Bookman Old Style" w:hAnsi="Bookman Old Style"/>
        </w:rPr>
        <w:t xml:space="preserve"> remuneración en el Sistema de Transmisión Nacional.</w:t>
      </w:r>
    </w:p>
    <w:p w:rsidR="000339B5" w:rsidRPr="00B84711" w:rsidRDefault="000339B5" w:rsidP="00DB69FA">
      <w:pPr>
        <w:ind w:left="0"/>
        <w:rPr>
          <w:rFonts w:ascii="Bookman Old Style" w:hAnsi="Bookman Old Style"/>
        </w:rPr>
      </w:pPr>
    </w:p>
    <w:p w:rsidR="000339B5" w:rsidRPr="00B84711" w:rsidRDefault="000339B5" w:rsidP="00DB69FA">
      <w:pPr>
        <w:ind w:left="0"/>
        <w:rPr>
          <w:rFonts w:ascii="Bookman Old Style" w:hAnsi="Bookman Old Style"/>
        </w:rPr>
      </w:pPr>
    </w:p>
    <w:p w:rsidR="000339B5" w:rsidRPr="00B84711" w:rsidRDefault="000339B5" w:rsidP="000339B5">
      <w:pPr>
        <w:jc w:val="center"/>
        <w:rPr>
          <w:rFonts w:ascii="Bookman Old Style" w:hAnsi="Bookman Old Style" w:cs="Arial"/>
          <w:b/>
        </w:rPr>
      </w:pPr>
      <w:r w:rsidRPr="00B84711">
        <w:rPr>
          <w:rFonts w:ascii="Bookman Old Style" w:hAnsi="Bookman Old Style" w:cs="Arial"/>
          <w:b/>
        </w:rPr>
        <w:t>LA COMISIÓN DE REGULACIÓN DE ENERGÍA Y GAS</w:t>
      </w:r>
    </w:p>
    <w:p w:rsidR="000339B5" w:rsidRPr="00B84711" w:rsidRDefault="000339B5" w:rsidP="000339B5">
      <w:pPr>
        <w:jc w:val="center"/>
        <w:rPr>
          <w:rFonts w:ascii="Bookman Old Style" w:hAnsi="Bookman Old Style" w:cs="Arial"/>
        </w:rPr>
      </w:pPr>
    </w:p>
    <w:p w:rsidR="000339B5" w:rsidRPr="00B84711" w:rsidRDefault="000339B5" w:rsidP="000339B5">
      <w:pPr>
        <w:jc w:val="center"/>
        <w:rPr>
          <w:rFonts w:ascii="Bookman Old Style" w:hAnsi="Bookman Old Style" w:cs="Arial"/>
        </w:rPr>
      </w:pPr>
    </w:p>
    <w:p w:rsidR="000339B5" w:rsidRPr="00B84711" w:rsidRDefault="009B125B" w:rsidP="009B125B">
      <w:pPr>
        <w:ind w:left="0"/>
        <w:jc w:val="both"/>
        <w:rPr>
          <w:rFonts w:ascii="Bookman Old Style" w:hAnsi="Bookman Old Style"/>
        </w:rPr>
      </w:pPr>
      <w:r w:rsidRPr="00B84711">
        <w:rPr>
          <w:rFonts w:ascii="Bookman Old Style" w:hAnsi="Bookman Old Style"/>
        </w:rPr>
        <w:t>En ejercicio de sus atribuciones constitucionales y legales, en especial las conferidas por las Leyes 142</w:t>
      </w:r>
      <w:r w:rsidR="00B80ECD" w:rsidRPr="00B84711">
        <w:rPr>
          <w:rFonts w:ascii="Bookman Old Style" w:hAnsi="Bookman Old Style"/>
        </w:rPr>
        <w:t xml:space="preserve"> </w:t>
      </w:r>
      <w:r w:rsidRPr="00B84711">
        <w:rPr>
          <w:rFonts w:ascii="Bookman Old Style" w:hAnsi="Bookman Old Style"/>
        </w:rPr>
        <w:t>y 143 de 1994, y en desarrollo de los Decretos 1524 y 2253 de 1994.</w:t>
      </w:r>
    </w:p>
    <w:p w:rsidR="000339B5" w:rsidRDefault="000339B5" w:rsidP="000339B5">
      <w:pPr>
        <w:jc w:val="center"/>
        <w:rPr>
          <w:rFonts w:ascii="Bookman Old Style" w:hAnsi="Bookman Old Style" w:cs="Arial"/>
        </w:rPr>
      </w:pPr>
    </w:p>
    <w:p w:rsidR="003B3271" w:rsidRPr="00B84711" w:rsidRDefault="003B3271" w:rsidP="000339B5">
      <w:pPr>
        <w:jc w:val="center"/>
        <w:rPr>
          <w:rFonts w:ascii="Bookman Old Style" w:hAnsi="Bookman Old Style" w:cs="Arial"/>
        </w:rPr>
      </w:pPr>
    </w:p>
    <w:p w:rsidR="000339B5" w:rsidRPr="00B84711" w:rsidRDefault="000339B5" w:rsidP="000339B5">
      <w:pPr>
        <w:jc w:val="center"/>
        <w:rPr>
          <w:rFonts w:ascii="Bookman Old Style" w:hAnsi="Bookman Old Style" w:cs="Arial"/>
          <w:b/>
        </w:rPr>
      </w:pPr>
      <w:r w:rsidRPr="00B84711">
        <w:rPr>
          <w:rFonts w:ascii="Bookman Old Style" w:hAnsi="Bookman Old Style"/>
          <w:b/>
          <w:spacing w:val="100"/>
        </w:rPr>
        <w:t>CONSIDERANDO</w:t>
      </w:r>
      <w:r w:rsidR="00821375" w:rsidRPr="00B84711">
        <w:rPr>
          <w:rFonts w:ascii="Bookman Old Style" w:hAnsi="Bookman Old Style"/>
          <w:b/>
          <w:spacing w:val="100"/>
        </w:rPr>
        <w:t xml:space="preserve"> QUE</w:t>
      </w:r>
      <w:r w:rsidRPr="00B84711">
        <w:rPr>
          <w:rFonts w:ascii="Bookman Old Style" w:hAnsi="Bookman Old Style" w:cs="Arial"/>
          <w:b/>
        </w:rPr>
        <w:t>:</w:t>
      </w:r>
    </w:p>
    <w:p w:rsidR="000339B5" w:rsidRDefault="000339B5" w:rsidP="00DB69FA">
      <w:pPr>
        <w:ind w:left="0"/>
        <w:rPr>
          <w:rFonts w:ascii="Bookman Old Style" w:hAnsi="Bookman Old Style"/>
        </w:rPr>
      </w:pPr>
    </w:p>
    <w:p w:rsidR="002F5DFA" w:rsidRPr="00C63A34" w:rsidRDefault="002F5DFA" w:rsidP="002F5DFA">
      <w:pPr>
        <w:ind w:left="0"/>
        <w:jc w:val="both"/>
        <w:rPr>
          <w:rFonts w:ascii="Bookman Old Style" w:hAnsi="Bookman Old Style"/>
        </w:rPr>
      </w:pPr>
      <w:r w:rsidRPr="00C63A34">
        <w:rPr>
          <w:rFonts w:ascii="Bookman Old Style" w:hAnsi="Bookman Old Style"/>
        </w:rPr>
        <w:t>De acuerdo con lo previsto en el Artículo 23, literal d), y 41 de la Ley 143 de 1994, es función de la Comisión de Regulación de Energía y Gas fijar las tarifas por el acceso y uso de las redes eléctricas.</w:t>
      </w:r>
    </w:p>
    <w:p w:rsidR="002F5DFA" w:rsidRPr="00C63A34" w:rsidRDefault="002F5DFA" w:rsidP="002F5DFA">
      <w:pPr>
        <w:ind w:left="0"/>
        <w:jc w:val="both"/>
        <w:rPr>
          <w:rFonts w:ascii="Bookman Old Style" w:hAnsi="Bookman Old Style"/>
        </w:rPr>
      </w:pPr>
    </w:p>
    <w:p w:rsidR="002F5DFA" w:rsidRDefault="002F5DFA" w:rsidP="002F5DFA">
      <w:pPr>
        <w:ind w:left="0"/>
        <w:jc w:val="both"/>
        <w:rPr>
          <w:rFonts w:ascii="Bookman Old Style" w:hAnsi="Bookman Old Style" w:cs="Arial"/>
          <w:spacing w:val="-3"/>
        </w:rPr>
      </w:pPr>
      <w:r w:rsidRPr="00934E08">
        <w:rPr>
          <w:rFonts w:ascii="Bookman Old Style" w:hAnsi="Bookman Old Style" w:cs="Arial"/>
          <w:spacing w:val="-3"/>
        </w:rPr>
        <w:t>Mediante la Resolución CREG 011 de 2009 se estableció la metodología y fórmulas tarifarias para la remuneración de la actividad de transmisión de energía eléctrica en el Sistema de Transmisión Nacional.</w:t>
      </w:r>
      <w:r>
        <w:rPr>
          <w:rFonts w:ascii="Bookman Old Style" w:hAnsi="Bookman Old Style" w:cs="Arial"/>
          <w:spacing w:val="-3"/>
        </w:rPr>
        <w:t xml:space="preserve"> </w:t>
      </w:r>
    </w:p>
    <w:p w:rsidR="002F5DFA" w:rsidRDefault="002F5DFA" w:rsidP="002F5DFA">
      <w:pPr>
        <w:ind w:left="0"/>
        <w:jc w:val="both"/>
        <w:rPr>
          <w:rFonts w:ascii="Bookman Old Style" w:hAnsi="Bookman Old Style" w:cs="Arial"/>
          <w:spacing w:val="-3"/>
        </w:rPr>
      </w:pPr>
    </w:p>
    <w:p w:rsidR="0057517A" w:rsidRDefault="0057517A" w:rsidP="002F5DFA">
      <w:pPr>
        <w:ind w:left="0"/>
        <w:jc w:val="both"/>
        <w:rPr>
          <w:rFonts w:ascii="Bookman Old Style" w:hAnsi="Bookman Old Style"/>
          <w:i/>
        </w:rPr>
      </w:pPr>
      <w:r>
        <w:rPr>
          <w:rFonts w:ascii="Bookman Old Style" w:hAnsi="Bookman Old Style"/>
        </w:rPr>
        <w:t>El Artículo 7</w:t>
      </w:r>
      <w:r w:rsidRPr="0033031F">
        <w:rPr>
          <w:rFonts w:ascii="Bookman Old Style" w:hAnsi="Bookman Old Style"/>
        </w:rPr>
        <w:t xml:space="preserve"> </w:t>
      </w:r>
      <w:r>
        <w:rPr>
          <w:rFonts w:ascii="Bookman Old Style" w:hAnsi="Bookman Old Style"/>
        </w:rPr>
        <w:t xml:space="preserve">de la </w:t>
      </w:r>
      <w:r w:rsidRPr="0033031F">
        <w:rPr>
          <w:rFonts w:ascii="Bookman Old Style" w:hAnsi="Bookman Old Style"/>
        </w:rPr>
        <w:t xml:space="preserve">Resolución CREG 011 de 2009, </w:t>
      </w:r>
      <w:r w:rsidR="00CD449D">
        <w:rPr>
          <w:rFonts w:ascii="Bookman Old Style" w:hAnsi="Bookman Old Style"/>
        </w:rPr>
        <w:t xml:space="preserve">establece que </w:t>
      </w:r>
      <w:r w:rsidRPr="0033031F">
        <w:rPr>
          <w:rFonts w:ascii="Bookman Old Style" w:hAnsi="Bookman Old Style"/>
        </w:rPr>
        <w:t xml:space="preserve">el Ingreso Anual de cada Transmisor Nacional, </w:t>
      </w:r>
      <w:r>
        <w:rPr>
          <w:rFonts w:ascii="Bookman Old Style" w:hAnsi="Bookman Old Style"/>
        </w:rPr>
        <w:t xml:space="preserve">IAT, “(…) </w:t>
      </w:r>
      <w:r w:rsidRPr="00E24AF9">
        <w:rPr>
          <w:rFonts w:ascii="Bookman Old Style" w:hAnsi="Bookman Old Style"/>
          <w:i/>
        </w:rPr>
        <w:t xml:space="preserve">solo se ajustará si la CREG llegare a modificar los valores de las Unidades Constructivas, cuando se modifique el valor del AOM reconocido o cuando, en cumplimiento de la regulación vigente, se excluyan Activos de Uso en operación, ingresen nuevos Activos de Uso o se </w:t>
      </w:r>
      <w:proofErr w:type="spellStart"/>
      <w:r w:rsidRPr="00E24AF9">
        <w:rPr>
          <w:rFonts w:ascii="Bookman Old Style" w:hAnsi="Bookman Old Style"/>
          <w:i/>
        </w:rPr>
        <w:t>reemplacen</w:t>
      </w:r>
      <w:proofErr w:type="spellEnd"/>
      <w:r w:rsidRPr="00E24AF9">
        <w:rPr>
          <w:rFonts w:ascii="Bookman Old Style" w:hAnsi="Bookman Old Style"/>
          <w:i/>
        </w:rPr>
        <w:t xml:space="preserve"> las Unidades Constructivas instaladas por otras de clasificación diferente de acuerdo con lo establecido en el Artículo 6 de la presente resolución.”</w:t>
      </w:r>
    </w:p>
    <w:p w:rsidR="0057517A" w:rsidRDefault="0057517A" w:rsidP="002F5DFA">
      <w:pPr>
        <w:ind w:left="0"/>
        <w:jc w:val="both"/>
        <w:rPr>
          <w:rFonts w:ascii="Bookman Old Style" w:hAnsi="Bookman Old Style" w:cs="Arial"/>
          <w:spacing w:val="-3"/>
        </w:rPr>
      </w:pPr>
    </w:p>
    <w:p w:rsidR="007D5539" w:rsidRPr="00F93F51" w:rsidRDefault="007D5539" w:rsidP="002F5DFA">
      <w:pPr>
        <w:ind w:left="0"/>
        <w:jc w:val="both"/>
        <w:rPr>
          <w:rFonts w:ascii="Bookman Old Style" w:hAnsi="Bookman Old Style" w:cs="Arial"/>
          <w:spacing w:val="-3"/>
        </w:rPr>
      </w:pPr>
      <w:r w:rsidRPr="00F93F51">
        <w:rPr>
          <w:rFonts w:ascii="Bookman Old Style" w:hAnsi="Bookman Old Style" w:cs="Arial"/>
          <w:spacing w:val="-3"/>
        </w:rPr>
        <w:t xml:space="preserve">Empresas Públicas de Medellín E.S.P., mediante comunicaciones radicadas en la CREG </w:t>
      </w:r>
      <w:r w:rsidR="00773DDF" w:rsidRPr="00F93F51">
        <w:rPr>
          <w:rFonts w:ascii="Bookman Old Style" w:hAnsi="Bookman Old Style" w:cs="Arial"/>
          <w:spacing w:val="-3"/>
        </w:rPr>
        <w:t>con</w:t>
      </w:r>
      <w:r w:rsidRPr="00F93F51">
        <w:rPr>
          <w:rFonts w:ascii="Bookman Old Style" w:hAnsi="Bookman Old Style" w:cs="Arial"/>
          <w:spacing w:val="-3"/>
        </w:rPr>
        <w:t xml:space="preserve"> los números E-2009-003730</w:t>
      </w:r>
      <w:r w:rsidR="002B0543" w:rsidRPr="00F93F51">
        <w:rPr>
          <w:rFonts w:ascii="Bookman Old Style" w:hAnsi="Bookman Old Style" w:cs="Arial"/>
          <w:spacing w:val="-3"/>
        </w:rPr>
        <w:t xml:space="preserve"> de 28 de abril de 2009 y E</w:t>
      </w:r>
      <w:r w:rsidR="002B0543" w:rsidRPr="00F93F51">
        <w:rPr>
          <w:rFonts w:ascii="Bookman Old Style" w:hAnsi="Bookman Old Style" w:cs="Arial"/>
          <w:spacing w:val="-3"/>
        </w:rPr>
        <w:noBreakHyphen/>
        <w:t>2009</w:t>
      </w:r>
      <w:r w:rsidR="002B0543" w:rsidRPr="00F93F51">
        <w:rPr>
          <w:rFonts w:ascii="Bookman Old Style" w:hAnsi="Bookman Old Style" w:cs="Arial"/>
          <w:spacing w:val="-3"/>
        </w:rPr>
        <w:noBreakHyphen/>
        <w:t>003816 de 29 de abril del mismo año</w:t>
      </w:r>
      <w:r w:rsidRPr="00F93F51">
        <w:rPr>
          <w:rFonts w:ascii="Bookman Old Style" w:hAnsi="Bookman Old Style" w:cs="Arial"/>
          <w:spacing w:val="-3"/>
        </w:rPr>
        <w:t>, sometió a aprobación de la Comisión la base de activos que representa</w:t>
      </w:r>
      <w:r w:rsidR="00F93F51">
        <w:rPr>
          <w:rFonts w:ascii="Bookman Old Style" w:hAnsi="Bookman Old Style" w:cs="Arial"/>
          <w:spacing w:val="-3"/>
        </w:rPr>
        <w:t>ba</w:t>
      </w:r>
      <w:r w:rsidRPr="00F93F51">
        <w:rPr>
          <w:rFonts w:ascii="Bookman Old Style" w:hAnsi="Bookman Old Style" w:cs="Arial"/>
          <w:spacing w:val="-3"/>
        </w:rPr>
        <w:t xml:space="preserve"> ante el LAC, clasificados según el listado de unidades constructivas que aparece en el Capítulo 3 del Anexo General de la Resolución CREG 011 de 2009.</w:t>
      </w:r>
    </w:p>
    <w:p w:rsidR="00F93F51" w:rsidRPr="00F93F51" w:rsidRDefault="00F93F51" w:rsidP="00F93F51">
      <w:pPr>
        <w:ind w:left="0"/>
        <w:jc w:val="both"/>
        <w:rPr>
          <w:rFonts w:ascii="Bookman Old Style" w:hAnsi="Bookman Old Style"/>
        </w:rPr>
      </w:pPr>
      <w:r w:rsidRPr="00F93F51">
        <w:rPr>
          <w:rFonts w:ascii="Bookman Old Style" w:hAnsi="Bookman Old Style"/>
        </w:rPr>
        <w:lastRenderedPageBreak/>
        <w:t>Dentro de la actuación administrativa adelantada por la Comisión para la aprobación de la respectiva base de activos, se i</w:t>
      </w:r>
      <w:r w:rsidR="00455413">
        <w:rPr>
          <w:rFonts w:ascii="Bookman Old Style" w:hAnsi="Bookman Old Style"/>
        </w:rPr>
        <w:t>dentificó p</w:t>
      </w:r>
      <w:r w:rsidRPr="00F93F51">
        <w:rPr>
          <w:rFonts w:ascii="Bookman Old Style" w:hAnsi="Bookman Old Style"/>
        </w:rPr>
        <w:t>o</w:t>
      </w:r>
      <w:r w:rsidR="00455413">
        <w:rPr>
          <w:rFonts w:ascii="Bookman Old Style" w:hAnsi="Bookman Old Style"/>
        </w:rPr>
        <w:t>r</w:t>
      </w:r>
      <w:r w:rsidRPr="00F93F51">
        <w:rPr>
          <w:rFonts w:ascii="Bookman Old Style" w:hAnsi="Bookman Old Style"/>
        </w:rPr>
        <w:t xml:space="preserve"> parte de la CREG el reporte de tres (3) unidades constructivas del tipo SE241 en la subestación </w:t>
      </w:r>
      <w:proofErr w:type="spellStart"/>
      <w:r w:rsidRPr="00F93F51">
        <w:rPr>
          <w:rFonts w:ascii="Bookman Old Style" w:hAnsi="Bookman Old Style"/>
        </w:rPr>
        <w:t>Guatapé</w:t>
      </w:r>
      <w:proofErr w:type="spellEnd"/>
      <w:r w:rsidRPr="00F93F51">
        <w:rPr>
          <w:rFonts w:ascii="Bookman Old Style" w:hAnsi="Bookman Old Style"/>
        </w:rPr>
        <w:t xml:space="preserve"> y, en dicha opo</w:t>
      </w:r>
      <w:r w:rsidR="00CE0595">
        <w:rPr>
          <w:rFonts w:ascii="Bookman Old Style" w:hAnsi="Bookman Old Style"/>
        </w:rPr>
        <w:t xml:space="preserve">rtunidad, mediante comunicación </w:t>
      </w:r>
      <w:r w:rsidRPr="00F93F51">
        <w:rPr>
          <w:rFonts w:ascii="Bookman Old Style" w:hAnsi="Bookman Old Style"/>
        </w:rPr>
        <w:t>S-2009-002961, se le solicitó al respectivo Transmisor Nacional, aclaración sobre el reporte de tales activos y en particular, sobre la cantidad de protecciones diferenciales en la mencionada subestación.</w:t>
      </w:r>
    </w:p>
    <w:p w:rsidR="00F93F51" w:rsidRPr="00F93F51" w:rsidRDefault="00F93F51" w:rsidP="00F93F51">
      <w:pPr>
        <w:ind w:left="0"/>
        <w:jc w:val="both"/>
        <w:rPr>
          <w:rFonts w:ascii="Bookman Old Style" w:hAnsi="Bookman Old Style"/>
        </w:rPr>
      </w:pPr>
    </w:p>
    <w:p w:rsidR="00F93F51" w:rsidRPr="00F93F51" w:rsidRDefault="00F93F51" w:rsidP="00F93F51">
      <w:pPr>
        <w:ind w:left="0"/>
        <w:jc w:val="both"/>
        <w:rPr>
          <w:rFonts w:ascii="Bookman Old Style" w:hAnsi="Bookman Old Style"/>
        </w:rPr>
      </w:pPr>
      <w:r w:rsidRPr="00F93F51">
        <w:rPr>
          <w:rFonts w:ascii="Bookman Old Style" w:hAnsi="Bookman Old Style"/>
        </w:rPr>
        <w:t>Mediante comunicación CREG E-2009-007893</w:t>
      </w:r>
      <w:r w:rsidR="00CE0595">
        <w:rPr>
          <w:rFonts w:ascii="Bookman Old Style" w:hAnsi="Bookman Old Style"/>
        </w:rPr>
        <w:t xml:space="preserve"> de 25 de agosto de 2009</w:t>
      </w:r>
      <w:r w:rsidRPr="00F93F51">
        <w:rPr>
          <w:rFonts w:ascii="Bookman Old Style" w:hAnsi="Bookman Old Style"/>
        </w:rPr>
        <w:t xml:space="preserve">, Empresas Públicas de Medellín E.S.P., </w:t>
      </w:r>
      <w:r w:rsidR="00CE0595">
        <w:rPr>
          <w:rFonts w:ascii="Bookman Old Style" w:hAnsi="Bookman Old Style"/>
        </w:rPr>
        <w:t>confirmó</w:t>
      </w:r>
      <w:r w:rsidRPr="00F93F51">
        <w:rPr>
          <w:rFonts w:ascii="Bookman Old Style" w:hAnsi="Bookman Old Style"/>
        </w:rPr>
        <w:t xml:space="preserve"> al respecto de las unidades en cuestión que: “</w:t>
      </w:r>
      <w:r w:rsidRPr="00F93F51">
        <w:rPr>
          <w:rFonts w:ascii="Bookman Old Style" w:hAnsi="Bookman Old Style"/>
          <w:i/>
        </w:rPr>
        <w:t xml:space="preserve">La presencia de tres diferenciales de barra en Subestación </w:t>
      </w:r>
      <w:proofErr w:type="spellStart"/>
      <w:r w:rsidRPr="00F93F51">
        <w:rPr>
          <w:rFonts w:ascii="Bookman Old Style" w:hAnsi="Bookman Old Style"/>
          <w:i/>
        </w:rPr>
        <w:t>Guatapé</w:t>
      </w:r>
      <w:proofErr w:type="spellEnd"/>
      <w:r w:rsidRPr="00F93F51">
        <w:rPr>
          <w:rFonts w:ascii="Bookman Old Style" w:hAnsi="Bookman Old Style"/>
          <w:i/>
        </w:rPr>
        <w:t xml:space="preserve"> 230 </w:t>
      </w:r>
      <w:proofErr w:type="spellStart"/>
      <w:r w:rsidRPr="00F93F51">
        <w:rPr>
          <w:rFonts w:ascii="Bookman Old Style" w:hAnsi="Bookman Old Style"/>
          <w:i/>
        </w:rPr>
        <w:t>kV</w:t>
      </w:r>
      <w:proofErr w:type="spellEnd"/>
      <w:r w:rsidRPr="00F93F51">
        <w:rPr>
          <w:rFonts w:ascii="Bookman Old Style" w:hAnsi="Bookman Old Style"/>
          <w:i/>
        </w:rPr>
        <w:t>, obedece a su tipo de configuración: Doble Barra más BY-PASS, con la barra principal seccionada, es decir, tres sectores de barra. Por ésta razón y para brindar la máxima selectividad que ofrece dicha configuración (se pretende desconectar solamente el tramo fallado), cada una de esas tres barras tiene asociada su correspondiente diferencial de barra. El tipo 2 corresponde a subestaciones con más de 6 bahías del STN</w:t>
      </w:r>
      <w:r w:rsidRPr="00F93F51">
        <w:rPr>
          <w:rFonts w:ascii="Bookman Old Style" w:hAnsi="Bookman Old Style"/>
        </w:rPr>
        <w:t>”</w:t>
      </w:r>
    </w:p>
    <w:p w:rsidR="00F93F51" w:rsidRPr="00F93F51" w:rsidRDefault="00F93F51" w:rsidP="00F93F51">
      <w:pPr>
        <w:ind w:left="0"/>
        <w:jc w:val="both"/>
        <w:rPr>
          <w:rFonts w:ascii="Bookman Old Style" w:hAnsi="Bookman Old Style"/>
        </w:rPr>
      </w:pPr>
    </w:p>
    <w:p w:rsidR="008869A1" w:rsidRDefault="00F93F51" w:rsidP="00F93F51">
      <w:pPr>
        <w:ind w:left="0"/>
        <w:jc w:val="both"/>
        <w:rPr>
          <w:rFonts w:ascii="Bookman Old Style" w:hAnsi="Bookman Old Style"/>
        </w:rPr>
      </w:pPr>
      <w:r w:rsidRPr="00F93F51">
        <w:rPr>
          <w:rFonts w:ascii="Bookman Old Style" w:hAnsi="Bookman Old Style"/>
        </w:rPr>
        <w:t xml:space="preserve">La Comisión atendió las aclaraciones presentadas por el TN </w:t>
      </w:r>
      <w:r w:rsidR="008869A1">
        <w:rPr>
          <w:rFonts w:ascii="Bookman Old Style" w:hAnsi="Bookman Old Style"/>
        </w:rPr>
        <w:t xml:space="preserve">y mediante </w:t>
      </w:r>
      <w:r w:rsidR="008869A1" w:rsidRPr="008869A1">
        <w:rPr>
          <w:rFonts w:ascii="Bookman Old Style" w:hAnsi="Bookman Old Style"/>
        </w:rPr>
        <w:t>Resolución CREG 112 de 2010</w:t>
      </w:r>
      <w:r w:rsidR="008869A1">
        <w:rPr>
          <w:rFonts w:ascii="Bookman Old Style" w:hAnsi="Bookman Old Style"/>
        </w:rPr>
        <w:t xml:space="preserve"> aprobó el ingreso anual y la base de activos de </w:t>
      </w:r>
      <w:r w:rsidR="008869A1" w:rsidRPr="008869A1">
        <w:rPr>
          <w:rFonts w:ascii="Bookman Old Style" w:hAnsi="Bookman Old Style"/>
        </w:rPr>
        <w:t xml:space="preserve">Empresas Públicas de Medellín E.S.P., </w:t>
      </w:r>
      <w:r w:rsidR="008869A1">
        <w:rPr>
          <w:rFonts w:ascii="Bookman Old Style" w:hAnsi="Bookman Old Style"/>
        </w:rPr>
        <w:t>dentro de la cual</w:t>
      </w:r>
      <w:r w:rsidR="008869A1" w:rsidRPr="008869A1">
        <w:rPr>
          <w:rFonts w:ascii="Bookman Old Style" w:hAnsi="Bookman Old Style"/>
        </w:rPr>
        <w:t xml:space="preserve"> se reconocieron tres (3) unidades constructivas del tipo SE241 en la subestación </w:t>
      </w:r>
      <w:proofErr w:type="spellStart"/>
      <w:r w:rsidR="008869A1" w:rsidRPr="008869A1">
        <w:rPr>
          <w:rFonts w:ascii="Bookman Old Style" w:hAnsi="Bookman Old Style"/>
        </w:rPr>
        <w:t>Guatapé</w:t>
      </w:r>
      <w:proofErr w:type="spellEnd"/>
      <w:r w:rsidR="008869A1">
        <w:rPr>
          <w:rFonts w:ascii="Bookman Old Style" w:hAnsi="Bookman Old Style"/>
        </w:rPr>
        <w:t>.</w:t>
      </w:r>
    </w:p>
    <w:p w:rsidR="008869A1" w:rsidRDefault="008869A1" w:rsidP="00F93F51">
      <w:pPr>
        <w:ind w:left="0"/>
        <w:jc w:val="both"/>
        <w:rPr>
          <w:rFonts w:ascii="Bookman Old Style" w:hAnsi="Bookman Old Style"/>
        </w:rPr>
      </w:pPr>
    </w:p>
    <w:p w:rsidR="0033031F" w:rsidRDefault="00CE0595" w:rsidP="002F5DFA">
      <w:pPr>
        <w:ind w:left="0"/>
        <w:jc w:val="both"/>
        <w:rPr>
          <w:rFonts w:ascii="Bookman Old Style" w:hAnsi="Bookman Old Style"/>
        </w:rPr>
      </w:pPr>
      <w:r>
        <w:rPr>
          <w:rFonts w:ascii="Bookman Old Style" w:hAnsi="Bookman Old Style"/>
        </w:rPr>
        <w:t>D</w:t>
      </w:r>
      <w:r w:rsidR="00F93F51">
        <w:rPr>
          <w:rFonts w:ascii="Bookman Old Style" w:hAnsi="Bookman Old Style"/>
        </w:rPr>
        <w:t xml:space="preserve">entro del tiempo otorgado para ello, Empresas Públicas de Medellín </w:t>
      </w:r>
      <w:r w:rsidR="00BF024D">
        <w:rPr>
          <w:rFonts w:ascii="Bookman Old Style" w:hAnsi="Bookman Old Style"/>
        </w:rPr>
        <w:t>E.S.P</w:t>
      </w:r>
      <w:r w:rsidR="005C6281">
        <w:rPr>
          <w:rFonts w:ascii="Bookman Old Style" w:hAnsi="Bookman Old Style"/>
        </w:rPr>
        <w:t>.</w:t>
      </w:r>
      <w:r w:rsidR="00BF024D">
        <w:rPr>
          <w:rFonts w:ascii="Bookman Old Style" w:hAnsi="Bookman Old Style"/>
        </w:rPr>
        <w:t xml:space="preserve"> </w:t>
      </w:r>
      <w:r w:rsidR="00F93F51">
        <w:rPr>
          <w:rFonts w:ascii="Bookman Old Style" w:hAnsi="Bookman Old Style"/>
        </w:rPr>
        <w:t xml:space="preserve">interpuso recurso de reposición contra la citada Resolución, el cual fue resuelto mediante </w:t>
      </w:r>
      <w:r w:rsidR="0033031F">
        <w:rPr>
          <w:rFonts w:ascii="Bookman Old Style" w:hAnsi="Bookman Old Style"/>
        </w:rPr>
        <w:t>la Resolución CREG 177 de 2010.</w:t>
      </w:r>
    </w:p>
    <w:p w:rsidR="005A5C33" w:rsidRDefault="005A5C33" w:rsidP="002F5DFA">
      <w:pPr>
        <w:ind w:left="0"/>
        <w:jc w:val="both"/>
        <w:rPr>
          <w:rFonts w:ascii="Bookman Old Style" w:hAnsi="Bookman Old Style"/>
        </w:rPr>
      </w:pPr>
    </w:p>
    <w:p w:rsidR="002B0543" w:rsidRDefault="00BF024D" w:rsidP="002F5DFA">
      <w:pPr>
        <w:ind w:left="0"/>
        <w:jc w:val="both"/>
        <w:rPr>
          <w:rFonts w:ascii="Bookman Old Style" w:hAnsi="Bookman Old Style"/>
        </w:rPr>
      </w:pPr>
      <w:r>
        <w:rPr>
          <w:rFonts w:ascii="Bookman Old Style" w:hAnsi="Bookman Old Style"/>
        </w:rPr>
        <w:t>Posteriormente</w:t>
      </w:r>
      <w:r w:rsidR="0057517A">
        <w:rPr>
          <w:rFonts w:ascii="Bookman Old Style" w:hAnsi="Bookman Old Style"/>
        </w:rPr>
        <w:t>,</w:t>
      </w:r>
      <w:r>
        <w:rPr>
          <w:rFonts w:ascii="Bookman Old Style" w:hAnsi="Bookman Old Style"/>
        </w:rPr>
        <w:t xml:space="preserve"> </w:t>
      </w:r>
      <w:r w:rsidRPr="00BF024D">
        <w:rPr>
          <w:rFonts w:ascii="Bookman Old Style" w:hAnsi="Bookman Old Style"/>
        </w:rPr>
        <w:t>Empresas Públicas de Medellín E.S.P</w:t>
      </w:r>
      <w:r w:rsidR="005C6281">
        <w:rPr>
          <w:rFonts w:ascii="Bookman Old Style" w:hAnsi="Bookman Old Style"/>
        </w:rPr>
        <w:t>.</w:t>
      </w:r>
      <w:r>
        <w:rPr>
          <w:rFonts w:ascii="Bookman Old Style" w:hAnsi="Bookman Old Style"/>
        </w:rPr>
        <w:t xml:space="preserve">, mediante radicado </w:t>
      </w:r>
      <w:r w:rsidR="002F5DFA" w:rsidRPr="00C63A34">
        <w:rPr>
          <w:rFonts w:ascii="Bookman Old Style" w:hAnsi="Bookman Old Style"/>
        </w:rPr>
        <w:t>CREG E-201</w:t>
      </w:r>
      <w:r w:rsidR="0033031F">
        <w:rPr>
          <w:rFonts w:ascii="Bookman Old Style" w:hAnsi="Bookman Old Style"/>
        </w:rPr>
        <w:t>1-006686</w:t>
      </w:r>
      <w:r w:rsidR="002F5DFA" w:rsidRPr="00C63A34">
        <w:rPr>
          <w:rFonts w:ascii="Bookman Old Style" w:hAnsi="Bookman Old Style"/>
        </w:rPr>
        <w:t xml:space="preserve"> del </w:t>
      </w:r>
      <w:r w:rsidR="0033031F">
        <w:rPr>
          <w:rFonts w:ascii="Bookman Old Style" w:hAnsi="Bookman Old Style"/>
        </w:rPr>
        <w:t>14 de julio de 2011</w:t>
      </w:r>
      <w:r w:rsidR="002F5DFA" w:rsidRPr="00C63A34">
        <w:rPr>
          <w:rFonts w:ascii="Bookman Old Style" w:hAnsi="Bookman Old Style"/>
        </w:rPr>
        <w:t xml:space="preserve">, </w:t>
      </w:r>
      <w:r w:rsidR="00BD4695">
        <w:rPr>
          <w:rFonts w:ascii="Bookman Old Style" w:hAnsi="Bookman Old Style"/>
        </w:rPr>
        <w:t>solicit</w:t>
      </w:r>
      <w:r w:rsidR="002B0543">
        <w:rPr>
          <w:rFonts w:ascii="Bookman Old Style" w:hAnsi="Bookman Old Style"/>
        </w:rPr>
        <w:t xml:space="preserve">a a la Comisión </w:t>
      </w:r>
      <w:r w:rsidR="00BD4695">
        <w:rPr>
          <w:rFonts w:ascii="Bookman Old Style" w:hAnsi="Bookman Old Style"/>
        </w:rPr>
        <w:t>lo siguiente</w:t>
      </w:r>
      <w:r w:rsidR="0057517A">
        <w:rPr>
          <w:rFonts w:ascii="Bookman Old Style" w:hAnsi="Bookman Old Style"/>
        </w:rPr>
        <w:t>:</w:t>
      </w:r>
    </w:p>
    <w:p w:rsidR="003F1AA5" w:rsidRDefault="003F1AA5" w:rsidP="002F5DFA">
      <w:pPr>
        <w:ind w:left="0"/>
        <w:jc w:val="both"/>
        <w:rPr>
          <w:rFonts w:ascii="Bookman Old Style" w:hAnsi="Bookman Old Style"/>
        </w:rPr>
      </w:pPr>
    </w:p>
    <w:p w:rsidR="009D219A" w:rsidRDefault="002B0543" w:rsidP="001B37C7">
      <w:pPr>
        <w:ind w:left="426" w:right="425"/>
        <w:jc w:val="both"/>
        <w:rPr>
          <w:rFonts w:ascii="Bookman Old Style" w:hAnsi="Bookman Old Style"/>
          <w:b/>
          <w:i/>
        </w:rPr>
      </w:pPr>
      <w:r w:rsidRPr="001B37C7">
        <w:rPr>
          <w:rFonts w:ascii="Bookman Old Style" w:hAnsi="Bookman Old Style"/>
          <w:i/>
        </w:rPr>
        <w:t>“El Transmisor EPM en su revisión anual de inventarios y apoyado en el documento soporte de la Resolución (Documento CREG-</w:t>
      </w:r>
      <w:r w:rsidR="00EF76CA">
        <w:rPr>
          <w:rFonts w:ascii="Bookman Old Style" w:hAnsi="Bookman Old Style"/>
          <w:i/>
        </w:rPr>
        <w:t>0</w:t>
      </w:r>
      <w:r w:rsidRPr="001B37C7">
        <w:rPr>
          <w:rFonts w:ascii="Bookman Old Style" w:hAnsi="Bookman Old Style"/>
          <w:i/>
        </w:rPr>
        <w:t xml:space="preserve">10, 11 de Febrero de 2009) </w:t>
      </w:r>
      <w:r w:rsidRPr="00AE25DE">
        <w:rPr>
          <w:rFonts w:ascii="Bookman Old Style" w:hAnsi="Bookman Old Style"/>
          <w:b/>
          <w:i/>
        </w:rPr>
        <w:t>encontró una inconsistencia en la información declarada (véase la siguiente tabla)</w:t>
      </w:r>
      <w:r w:rsidR="00EF76CA">
        <w:rPr>
          <w:rFonts w:ascii="Bookman Old Style" w:hAnsi="Bookman Old Style"/>
          <w:b/>
          <w:i/>
        </w:rPr>
        <w:t>.</w:t>
      </w:r>
    </w:p>
    <w:p w:rsidR="002B0543" w:rsidRPr="00AE25DE" w:rsidRDefault="002B0543" w:rsidP="001B37C7">
      <w:pPr>
        <w:ind w:left="426" w:right="425"/>
        <w:jc w:val="both"/>
        <w:rPr>
          <w:rFonts w:ascii="Bookman Old Style" w:hAnsi="Bookman Old Style"/>
          <w:b/>
          <w:i/>
        </w:rPr>
      </w:pPr>
      <w:r w:rsidRPr="00AE25DE">
        <w:rPr>
          <w:rFonts w:ascii="Bookman Old Style" w:hAnsi="Bookman Old Style"/>
          <w:b/>
          <w:i/>
        </w:rPr>
        <w:t xml:space="preserve"> </w:t>
      </w:r>
    </w:p>
    <w:tbl>
      <w:tblPr>
        <w:tblStyle w:val="Tablaconcuadrcula"/>
        <w:tblW w:w="0" w:type="auto"/>
        <w:tblInd w:w="426" w:type="dxa"/>
        <w:tblLayout w:type="fixed"/>
        <w:tblLook w:val="04A0" w:firstRow="1" w:lastRow="0" w:firstColumn="1" w:lastColumn="0" w:noHBand="0" w:noVBand="1"/>
      </w:tblPr>
      <w:tblGrid>
        <w:gridCol w:w="1242"/>
        <w:gridCol w:w="1354"/>
        <w:gridCol w:w="3260"/>
        <w:gridCol w:w="1197"/>
        <w:gridCol w:w="1418"/>
      </w:tblGrid>
      <w:tr w:rsidR="002B0543" w:rsidTr="00BF024D">
        <w:trPr>
          <w:trHeight w:val="587"/>
        </w:trPr>
        <w:tc>
          <w:tcPr>
            <w:tcW w:w="1242" w:type="dxa"/>
            <w:vAlign w:val="center"/>
          </w:tcPr>
          <w:p w:rsidR="002B0543" w:rsidRPr="001B37C7" w:rsidRDefault="002B0543" w:rsidP="001B37C7">
            <w:pPr>
              <w:ind w:left="-142" w:right="-103"/>
              <w:jc w:val="center"/>
              <w:rPr>
                <w:rFonts w:ascii="Arial" w:hAnsi="Arial" w:cs="Arial"/>
                <w:i/>
                <w:sz w:val="16"/>
                <w:szCs w:val="18"/>
              </w:rPr>
            </w:pPr>
            <w:r w:rsidRPr="001B37C7">
              <w:rPr>
                <w:rFonts w:ascii="Arial" w:hAnsi="Arial" w:cs="Arial"/>
                <w:i/>
                <w:sz w:val="16"/>
                <w:szCs w:val="18"/>
              </w:rPr>
              <w:t>CODIGO_SUB</w:t>
            </w:r>
          </w:p>
        </w:tc>
        <w:tc>
          <w:tcPr>
            <w:tcW w:w="1354" w:type="dxa"/>
            <w:vAlign w:val="center"/>
          </w:tcPr>
          <w:p w:rsidR="002B0543" w:rsidRPr="001B37C7" w:rsidRDefault="002B0543" w:rsidP="001B37C7">
            <w:pPr>
              <w:ind w:left="-172" w:right="-108"/>
              <w:jc w:val="center"/>
              <w:rPr>
                <w:rFonts w:ascii="Arial" w:hAnsi="Arial" w:cs="Arial"/>
                <w:i/>
                <w:sz w:val="16"/>
                <w:szCs w:val="18"/>
              </w:rPr>
            </w:pPr>
            <w:r w:rsidRPr="001B37C7">
              <w:rPr>
                <w:rFonts w:ascii="Arial" w:hAnsi="Arial" w:cs="Arial"/>
                <w:i/>
                <w:sz w:val="16"/>
                <w:szCs w:val="18"/>
              </w:rPr>
              <w:t>CODIGO_UCS</w:t>
            </w:r>
          </w:p>
        </w:tc>
        <w:tc>
          <w:tcPr>
            <w:tcW w:w="3260" w:type="dxa"/>
            <w:vAlign w:val="center"/>
          </w:tcPr>
          <w:p w:rsidR="002B0543" w:rsidRPr="001B37C7" w:rsidRDefault="002B0543" w:rsidP="001B37C7">
            <w:pPr>
              <w:ind w:left="0" w:right="-50"/>
              <w:jc w:val="center"/>
              <w:rPr>
                <w:rFonts w:ascii="Arial" w:hAnsi="Arial" w:cs="Arial"/>
                <w:i/>
                <w:sz w:val="16"/>
                <w:szCs w:val="18"/>
              </w:rPr>
            </w:pPr>
            <w:r w:rsidRPr="001B37C7">
              <w:rPr>
                <w:rFonts w:ascii="Arial" w:hAnsi="Arial" w:cs="Arial"/>
                <w:i/>
                <w:sz w:val="16"/>
                <w:szCs w:val="18"/>
              </w:rPr>
              <w:t>NOMBRE</w:t>
            </w:r>
          </w:p>
        </w:tc>
        <w:tc>
          <w:tcPr>
            <w:tcW w:w="1197" w:type="dxa"/>
            <w:vAlign w:val="center"/>
          </w:tcPr>
          <w:p w:rsidR="001B37C7" w:rsidRPr="001B37C7" w:rsidRDefault="002B0543" w:rsidP="001B37C7">
            <w:pPr>
              <w:ind w:left="-108" w:right="-108"/>
              <w:jc w:val="center"/>
              <w:rPr>
                <w:rFonts w:ascii="Arial" w:hAnsi="Arial" w:cs="Arial"/>
                <w:i/>
                <w:sz w:val="16"/>
                <w:szCs w:val="18"/>
              </w:rPr>
            </w:pPr>
            <w:r w:rsidRPr="001B37C7">
              <w:rPr>
                <w:rFonts w:ascii="Arial" w:hAnsi="Arial" w:cs="Arial"/>
                <w:i/>
                <w:sz w:val="16"/>
                <w:szCs w:val="18"/>
              </w:rPr>
              <w:t>PORC</w:t>
            </w:r>
            <w:r w:rsidR="008869A1">
              <w:rPr>
                <w:rFonts w:ascii="Arial" w:hAnsi="Arial" w:cs="Arial"/>
                <w:i/>
                <w:sz w:val="16"/>
                <w:szCs w:val="18"/>
              </w:rPr>
              <w:t>E</w:t>
            </w:r>
            <w:r w:rsidRPr="001B37C7">
              <w:rPr>
                <w:rFonts w:ascii="Arial" w:hAnsi="Arial" w:cs="Arial"/>
                <w:i/>
                <w:sz w:val="16"/>
                <w:szCs w:val="18"/>
              </w:rPr>
              <w:t xml:space="preserve">NTAJE </w:t>
            </w:r>
          </w:p>
          <w:p w:rsidR="002B0543" w:rsidRPr="001B37C7" w:rsidRDefault="002B0543" w:rsidP="001B37C7">
            <w:pPr>
              <w:ind w:left="-108" w:right="-108"/>
              <w:jc w:val="center"/>
              <w:rPr>
                <w:rFonts w:ascii="Arial" w:hAnsi="Arial" w:cs="Arial"/>
                <w:i/>
                <w:sz w:val="16"/>
                <w:szCs w:val="18"/>
              </w:rPr>
            </w:pPr>
            <w:r w:rsidRPr="001B37C7">
              <w:rPr>
                <w:rFonts w:ascii="Arial" w:hAnsi="Arial" w:cs="Arial"/>
                <w:i/>
                <w:sz w:val="16"/>
                <w:szCs w:val="18"/>
              </w:rPr>
              <w:t>POR USO</w:t>
            </w:r>
          </w:p>
        </w:tc>
        <w:tc>
          <w:tcPr>
            <w:tcW w:w="1418" w:type="dxa"/>
            <w:vAlign w:val="center"/>
          </w:tcPr>
          <w:p w:rsidR="002B0543" w:rsidRPr="001B37C7" w:rsidRDefault="002B0543" w:rsidP="001B37C7">
            <w:pPr>
              <w:ind w:left="-108" w:right="-108"/>
              <w:jc w:val="center"/>
              <w:rPr>
                <w:rFonts w:ascii="Arial" w:hAnsi="Arial" w:cs="Arial"/>
                <w:i/>
                <w:sz w:val="16"/>
                <w:szCs w:val="18"/>
              </w:rPr>
            </w:pPr>
            <w:r w:rsidRPr="001B37C7">
              <w:rPr>
                <w:rFonts w:ascii="Arial" w:hAnsi="Arial" w:cs="Arial"/>
                <w:i/>
                <w:sz w:val="16"/>
                <w:szCs w:val="18"/>
              </w:rPr>
              <w:t>PORCENTAJE REPRESENTADO</w:t>
            </w:r>
          </w:p>
        </w:tc>
      </w:tr>
      <w:tr w:rsidR="002B0543" w:rsidTr="00BF024D">
        <w:trPr>
          <w:trHeight w:val="277"/>
        </w:trPr>
        <w:tc>
          <w:tcPr>
            <w:tcW w:w="1242" w:type="dxa"/>
            <w:vAlign w:val="center"/>
          </w:tcPr>
          <w:p w:rsidR="002B0543" w:rsidRPr="001B37C7" w:rsidRDefault="002B0543" w:rsidP="001B37C7">
            <w:pPr>
              <w:ind w:left="0" w:right="-103"/>
              <w:jc w:val="center"/>
              <w:rPr>
                <w:rFonts w:ascii="Arial" w:hAnsi="Arial" w:cs="Arial"/>
                <w:i/>
                <w:sz w:val="18"/>
                <w:szCs w:val="18"/>
              </w:rPr>
            </w:pPr>
            <w:r w:rsidRPr="001B37C7">
              <w:rPr>
                <w:rFonts w:ascii="Arial" w:hAnsi="Arial" w:cs="Arial"/>
                <w:i/>
                <w:sz w:val="18"/>
                <w:szCs w:val="18"/>
              </w:rPr>
              <w:t>R50</w:t>
            </w:r>
          </w:p>
        </w:tc>
        <w:tc>
          <w:tcPr>
            <w:tcW w:w="1354" w:type="dxa"/>
            <w:vAlign w:val="center"/>
          </w:tcPr>
          <w:p w:rsidR="002B0543" w:rsidRPr="001B37C7" w:rsidRDefault="002B0543" w:rsidP="00BF024D">
            <w:pPr>
              <w:ind w:left="0" w:right="-108"/>
              <w:jc w:val="center"/>
              <w:rPr>
                <w:rFonts w:ascii="Arial" w:hAnsi="Arial" w:cs="Arial"/>
                <w:i/>
                <w:sz w:val="18"/>
                <w:szCs w:val="18"/>
              </w:rPr>
            </w:pPr>
            <w:r w:rsidRPr="001B37C7">
              <w:rPr>
                <w:rFonts w:ascii="Arial" w:hAnsi="Arial" w:cs="Arial"/>
                <w:i/>
                <w:sz w:val="18"/>
                <w:szCs w:val="18"/>
              </w:rPr>
              <w:t>SE241</w:t>
            </w:r>
          </w:p>
        </w:tc>
        <w:tc>
          <w:tcPr>
            <w:tcW w:w="3260" w:type="dxa"/>
            <w:vAlign w:val="center"/>
          </w:tcPr>
          <w:p w:rsidR="002B0543" w:rsidRPr="001B37C7" w:rsidRDefault="002B0543" w:rsidP="001B37C7">
            <w:pPr>
              <w:ind w:left="0" w:right="-50"/>
              <w:jc w:val="center"/>
              <w:rPr>
                <w:rFonts w:ascii="Arial" w:hAnsi="Arial" w:cs="Arial"/>
                <w:i/>
                <w:sz w:val="18"/>
                <w:szCs w:val="18"/>
              </w:rPr>
            </w:pPr>
            <w:r w:rsidRPr="001B37C7">
              <w:rPr>
                <w:rFonts w:ascii="Arial" w:hAnsi="Arial" w:cs="Arial"/>
                <w:i/>
                <w:sz w:val="18"/>
                <w:szCs w:val="18"/>
              </w:rPr>
              <w:t>Diferencial de Barras – Tipo 2</w:t>
            </w:r>
          </w:p>
        </w:tc>
        <w:tc>
          <w:tcPr>
            <w:tcW w:w="1197" w:type="dxa"/>
            <w:vAlign w:val="center"/>
          </w:tcPr>
          <w:p w:rsidR="002B0543" w:rsidRPr="001B37C7" w:rsidRDefault="002B0543" w:rsidP="001B37C7">
            <w:pPr>
              <w:ind w:left="0" w:right="-36"/>
              <w:jc w:val="center"/>
              <w:rPr>
                <w:rFonts w:ascii="Arial" w:hAnsi="Arial" w:cs="Arial"/>
                <w:i/>
                <w:sz w:val="18"/>
                <w:szCs w:val="18"/>
              </w:rPr>
            </w:pPr>
            <w:r w:rsidRPr="001B37C7">
              <w:rPr>
                <w:rFonts w:ascii="Arial" w:hAnsi="Arial" w:cs="Arial"/>
                <w:i/>
                <w:sz w:val="18"/>
                <w:szCs w:val="18"/>
              </w:rPr>
              <w:t>1</w:t>
            </w:r>
          </w:p>
        </w:tc>
        <w:tc>
          <w:tcPr>
            <w:tcW w:w="1418" w:type="dxa"/>
            <w:vAlign w:val="center"/>
          </w:tcPr>
          <w:p w:rsidR="002B0543" w:rsidRPr="001B37C7" w:rsidRDefault="002B0543" w:rsidP="001B37C7">
            <w:pPr>
              <w:ind w:left="0"/>
              <w:jc w:val="center"/>
              <w:rPr>
                <w:rFonts w:ascii="Arial" w:hAnsi="Arial" w:cs="Arial"/>
                <w:i/>
                <w:sz w:val="18"/>
                <w:szCs w:val="18"/>
              </w:rPr>
            </w:pPr>
            <w:r w:rsidRPr="001B37C7">
              <w:rPr>
                <w:rFonts w:ascii="Arial" w:hAnsi="Arial" w:cs="Arial"/>
                <w:i/>
                <w:sz w:val="18"/>
                <w:szCs w:val="18"/>
              </w:rPr>
              <w:t>1</w:t>
            </w:r>
          </w:p>
        </w:tc>
      </w:tr>
      <w:tr w:rsidR="002B0543" w:rsidTr="00BF024D">
        <w:trPr>
          <w:trHeight w:val="277"/>
        </w:trPr>
        <w:tc>
          <w:tcPr>
            <w:tcW w:w="1242" w:type="dxa"/>
            <w:vAlign w:val="center"/>
          </w:tcPr>
          <w:p w:rsidR="002B0543" w:rsidRPr="001B37C7" w:rsidRDefault="002B0543" w:rsidP="001B37C7">
            <w:pPr>
              <w:ind w:left="0" w:right="-103"/>
              <w:jc w:val="center"/>
              <w:rPr>
                <w:rFonts w:ascii="Arial" w:hAnsi="Arial" w:cs="Arial"/>
                <w:i/>
                <w:sz w:val="18"/>
                <w:szCs w:val="18"/>
              </w:rPr>
            </w:pPr>
            <w:r w:rsidRPr="001B37C7">
              <w:rPr>
                <w:rFonts w:ascii="Arial" w:hAnsi="Arial" w:cs="Arial"/>
                <w:i/>
                <w:sz w:val="18"/>
                <w:szCs w:val="18"/>
              </w:rPr>
              <w:t>R50</w:t>
            </w:r>
          </w:p>
        </w:tc>
        <w:tc>
          <w:tcPr>
            <w:tcW w:w="1354" w:type="dxa"/>
            <w:vAlign w:val="center"/>
          </w:tcPr>
          <w:p w:rsidR="002B0543" w:rsidRPr="001B37C7" w:rsidRDefault="002B0543" w:rsidP="00BF024D">
            <w:pPr>
              <w:ind w:left="0" w:right="-108"/>
              <w:jc w:val="center"/>
              <w:rPr>
                <w:rFonts w:ascii="Arial" w:hAnsi="Arial" w:cs="Arial"/>
                <w:i/>
                <w:sz w:val="18"/>
                <w:szCs w:val="18"/>
              </w:rPr>
            </w:pPr>
            <w:r w:rsidRPr="001B37C7">
              <w:rPr>
                <w:rFonts w:ascii="Arial" w:hAnsi="Arial" w:cs="Arial"/>
                <w:i/>
                <w:sz w:val="18"/>
                <w:szCs w:val="18"/>
              </w:rPr>
              <w:t>SE241</w:t>
            </w:r>
          </w:p>
        </w:tc>
        <w:tc>
          <w:tcPr>
            <w:tcW w:w="3260" w:type="dxa"/>
            <w:vAlign w:val="center"/>
          </w:tcPr>
          <w:p w:rsidR="002B0543" w:rsidRPr="001B37C7" w:rsidRDefault="002B0543" w:rsidP="001B37C7">
            <w:pPr>
              <w:ind w:left="0" w:right="-50"/>
              <w:jc w:val="center"/>
              <w:rPr>
                <w:rFonts w:ascii="Arial" w:hAnsi="Arial" w:cs="Arial"/>
                <w:i/>
                <w:sz w:val="18"/>
                <w:szCs w:val="18"/>
              </w:rPr>
            </w:pPr>
            <w:r w:rsidRPr="001B37C7">
              <w:rPr>
                <w:rFonts w:ascii="Arial" w:hAnsi="Arial" w:cs="Arial"/>
                <w:i/>
                <w:sz w:val="18"/>
                <w:szCs w:val="18"/>
              </w:rPr>
              <w:t>Diferencial de Barras – Tipo 2</w:t>
            </w:r>
          </w:p>
        </w:tc>
        <w:tc>
          <w:tcPr>
            <w:tcW w:w="1197" w:type="dxa"/>
            <w:vAlign w:val="center"/>
          </w:tcPr>
          <w:p w:rsidR="002B0543" w:rsidRPr="001B37C7" w:rsidRDefault="002B0543" w:rsidP="001B37C7">
            <w:pPr>
              <w:ind w:left="0" w:right="-36"/>
              <w:jc w:val="center"/>
              <w:rPr>
                <w:rFonts w:ascii="Arial" w:hAnsi="Arial" w:cs="Arial"/>
                <w:i/>
                <w:sz w:val="18"/>
                <w:szCs w:val="18"/>
              </w:rPr>
            </w:pPr>
            <w:r w:rsidRPr="001B37C7">
              <w:rPr>
                <w:rFonts w:ascii="Arial" w:hAnsi="Arial" w:cs="Arial"/>
                <w:i/>
                <w:sz w:val="18"/>
                <w:szCs w:val="18"/>
              </w:rPr>
              <w:t>1</w:t>
            </w:r>
          </w:p>
        </w:tc>
        <w:tc>
          <w:tcPr>
            <w:tcW w:w="1418" w:type="dxa"/>
            <w:vAlign w:val="center"/>
          </w:tcPr>
          <w:p w:rsidR="002B0543" w:rsidRPr="001B37C7" w:rsidRDefault="002B0543" w:rsidP="001B37C7">
            <w:pPr>
              <w:ind w:left="0"/>
              <w:jc w:val="center"/>
              <w:rPr>
                <w:rFonts w:ascii="Arial" w:hAnsi="Arial" w:cs="Arial"/>
                <w:i/>
                <w:sz w:val="18"/>
                <w:szCs w:val="18"/>
              </w:rPr>
            </w:pPr>
            <w:r w:rsidRPr="001B37C7">
              <w:rPr>
                <w:rFonts w:ascii="Arial" w:hAnsi="Arial" w:cs="Arial"/>
                <w:i/>
                <w:sz w:val="18"/>
                <w:szCs w:val="18"/>
              </w:rPr>
              <w:t>1</w:t>
            </w:r>
          </w:p>
        </w:tc>
      </w:tr>
      <w:tr w:rsidR="002B0543" w:rsidTr="00BF024D">
        <w:trPr>
          <w:trHeight w:val="277"/>
        </w:trPr>
        <w:tc>
          <w:tcPr>
            <w:tcW w:w="1242" w:type="dxa"/>
            <w:vAlign w:val="center"/>
          </w:tcPr>
          <w:p w:rsidR="002B0543" w:rsidRPr="001B37C7" w:rsidRDefault="002B0543" w:rsidP="001B37C7">
            <w:pPr>
              <w:ind w:left="0" w:right="-103"/>
              <w:jc w:val="center"/>
              <w:rPr>
                <w:rFonts w:ascii="Arial" w:hAnsi="Arial" w:cs="Arial"/>
                <w:i/>
                <w:sz w:val="18"/>
                <w:szCs w:val="18"/>
              </w:rPr>
            </w:pPr>
            <w:r w:rsidRPr="001B37C7">
              <w:rPr>
                <w:rFonts w:ascii="Arial" w:hAnsi="Arial" w:cs="Arial"/>
                <w:i/>
                <w:sz w:val="18"/>
                <w:szCs w:val="18"/>
              </w:rPr>
              <w:t>R50</w:t>
            </w:r>
          </w:p>
        </w:tc>
        <w:tc>
          <w:tcPr>
            <w:tcW w:w="1354" w:type="dxa"/>
            <w:vAlign w:val="center"/>
          </w:tcPr>
          <w:p w:rsidR="002B0543" w:rsidRPr="001B37C7" w:rsidRDefault="002B0543" w:rsidP="00BF024D">
            <w:pPr>
              <w:ind w:left="0" w:right="-108"/>
              <w:jc w:val="center"/>
              <w:rPr>
                <w:rFonts w:ascii="Arial" w:hAnsi="Arial" w:cs="Arial"/>
                <w:i/>
                <w:sz w:val="18"/>
                <w:szCs w:val="18"/>
              </w:rPr>
            </w:pPr>
            <w:r w:rsidRPr="001B37C7">
              <w:rPr>
                <w:rFonts w:ascii="Arial" w:hAnsi="Arial" w:cs="Arial"/>
                <w:i/>
                <w:sz w:val="18"/>
                <w:szCs w:val="18"/>
              </w:rPr>
              <w:t>SE241</w:t>
            </w:r>
          </w:p>
        </w:tc>
        <w:tc>
          <w:tcPr>
            <w:tcW w:w="3260" w:type="dxa"/>
            <w:vAlign w:val="center"/>
          </w:tcPr>
          <w:p w:rsidR="002B0543" w:rsidRPr="001B37C7" w:rsidRDefault="002B0543" w:rsidP="001B37C7">
            <w:pPr>
              <w:ind w:left="0" w:right="-50"/>
              <w:jc w:val="center"/>
              <w:rPr>
                <w:rFonts w:ascii="Arial" w:hAnsi="Arial" w:cs="Arial"/>
                <w:i/>
                <w:sz w:val="18"/>
                <w:szCs w:val="18"/>
              </w:rPr>
            </w:pPr>
            <w:r w:rsidRPr="001B37C7">
              <w:rPr>
                <w:rFonts w:ascii="Arial" w:hAnsi="Arial" w:cs="Arial"/>
                <w:i/>
                <w:sz w:val="18"/>
                <w:szCs w:val="18"/>
              </w:rPr>
              <w:t>Diferencial de Barras – Tipo 2</w:t>
            </w:r>
          </w:p>
        </w:tc>
        <w:tc>
          <w:tcPr>
            <w:tcW w:w="1197" w:type="dxa"/>
            <w:vAlign w:val="center"/>
          </w:tcPr>
          <w:p w:rsidR="002B0543" w:rsidRPr="001B37C7" w:rsidRDefault="002B0543" w:rsidP="001B37C7">
            <w:pPr>
              <w:ind w:left="0" w:right="-36"/>
              <w:jc w:val="center"/>
              <w:rPr>
                <w:rFonts w:ascii="Arial" w:hAnsi="Arial" w:cs="Arial"/>
                <w:i/>
                <w:sz w:val="18"/>
                <w:szCs w:val="18"/>
              </w:rPr>
            </w:pPr>
            <w:r w:rsidRPr="001B37C7">
              <w:rPr>
                <w:rFonts w:ascii="Arial" w:hAnsi="Arial" w:cs="Arial"/>
                <w:i/>
                <w:sz w:val="18"/>
                <w:szCs w:val="18"/>
              </w:rPr>
              <w:t>1</w:t>
            </w:r>
          </w:p>
        </w:tc>
        <w:tc>
          <w:tcPr>
            <w:tcW w:w="1418" w:type="dxa"/>
            <w:vAlign w:val="center"/>
          </w:tcPr>
          <w:p w:rsidR="002B0543" w:rsidRPr="001B37C7" w:rsidRDefault="002B0543" w:rsidP="001B37C7">
            <w:pPr>
              <w:ind w:left="0"/>
              <w:jc w:val="center"/>
              <w:rPr>
                <w:rFonts w:ascii="Arial" w:hAnsi="Arial" w:cs="Arial"/>
                <w:i/>
                <w:sz w:val="18"/>
                <w:szCs w:val="18"/>
              </w:rPr>
            </w:pPr>
            <w:r w:rsidRPr="001B37C7">
              <w:rPr>
                <w:rFonts w:ascii="Arial" w:hAnsi="Arial" w:cs="Arial"/>
                <w:i/>
                <w:sz w:val="18"/>
                <w:szCs w:val="18"/>
              </w:rPr>
              <w:t>1</w:t>
            </w:r>
          </w:p>
        </w:tc>
      </w:tr>
    </w:tbl>
    <w:p w:rsidR="001B37C7" w:rsidRDefault="001B37C7" w:rsidP="001B37C7">
      <w:pPr>
        <w:ind w:left="426" w:right="425"/>
        <w:jc w:val="both"/>
        <w:rPr>
          <w:rFonts w:ascii="Bookman Old Style" w:hAnsi="Bookman Old Style"/>
          <w:i/>
        </w:rPr>
      </w:pPr>
    </w:p>
    <w:p w:rsidR="002B0543" w:rsidRPr="001B37C7" w:rsidRDefault="001B37C7" w:rsidP="001B37C7">
      <w:pPr>
        <w:ind w:left="426" w:right="425"/>
        <w:jc w:val="both"/>
        <w:rPr>
          <w:rFonts w:ascii="Bookman Old Style" w:hAnsi="Bookman Old Style"/>
          <w:i/>
        </w:rPr>
      </w:pPr>
      <w:r w:rsidRPr="00FF0251">
        <w:rPr>
          <w:rFonts w:ascii="Bookman Old Style" w:hAnsi="Bookman Old Style"/>
          <w:b/>
          <w:i/>
        </w:rPr>
        <w:t>Dado que en esta subestación solo existe una UC SE241</w:t>
      </w:r>
      <w:r w:rsidR="008869A1">
        <w:rPr>
          <w:rFonts w:ascii="Bookman Old Style" w:hAnsi="Bookman Old Style"/>
          <w:b/>
          <w:i/>
        </w:rPr>
        <w:t xml:space="preserve"> </w:t>
      </w:r>
      <w:r w:rsidRPr="00FF0251">
        <w:rPr>
          <w:rFonts w:ascii="Bookman Old Style" w:hAnsi="Bookman Old Style"/>
          <w:b/>
          <w:i/>
        </w:rPr>
        <w:t xml:space="preserve">se solicita a la Comisión, retirar de la base de activos dos Unidades constructivas SE241 de la subestación </w:t>
      </w:r>
      <w:proofErr w:type="spellStart"/>
      <w:r w:rsidRPr="00FF0251">
        <w:rPr>
          <w:rFonts w:ascii="Bookman Old Style" w:hAnsi="Bookman Old Style"/>
          <w:b/>
          <w:i/>
        </w:rPr>
        <w:t>Guatapé</w:t>
      </w:r>
      <w:proofErr w:type="spellEnd"/>
      <w:r w:rsidRPr="00FF0251">
        <w:rPr>
          <w:rFonts w:ascii="Bookman Old Style" w:hAnsi="Bookman Old Style"/>
          <w:b/>
          <w:i/>
        </w:rPr>
        <w:t xml:space="preserve"> (R50),</w:t>
      </w:r>
      <w:r>
        <w:rPr>
          <w:rFonts w:ascii="Bookman Old Style" w:hAnsi="Bookman Old Style"/>
          <w:i/>
        </w:rPr>
        <w:t xml:space="preserve"> quedando en esta subestación una (1) sola unidad SE241 y realizar los ajustes correspondientes en el ingreso reconocido al transmisor por esta novedad</w:t>
      </w:r>
      <w:r w:rsidR="008869A1">
        <w:rPr>
          <w:rFonts w:ascii="Bookman Old Style" w:hAnsi="Bookman Old Style"/>
          <w:i/>
        </w:rPr>
        <w:t>.</w:t>
      </w:r>
      <w:r>
        <w:rPr>
          <w:rFonts w:ascii="Bookman Old Style" w:hAnsi="Bookman Old Style"/>
          <w:i/>
        </w:rPr>
        <w:t>”</w:t>
      </w:r>
      <w:r w:rsidR="00FF0251">
        <w:rPr>
          <w:rFonts w:ascii="Bookman Old Style" w:hAnsi="Bookman Old Style"/>
          <w:i/>
        </w:rPr>
        <w:t xml:space="preserve"> </w:t>
      </w:r>
      <w:r w:rsidR="00FF0251" w:rsidRPr="00FF0251">
        <w:rPr>
          <w:rFonts w:ascii="Bookman Old Style" w:hAnsi="Bookman Old Style"/>
        </w:rPr>
        <w:t>(</w:t>
      </w:r>
      <w:proofErr w:type="gramStart"/>
      <w:r w:rsidR="00FF0251" w:rsidRPr="00FF0251">
        <w:rPr>
          <w:rFonts w:ascii="Bookman Old Style" w:hAnsi="Bookman Old Style"/>
        </w:rPr>
        <w:t>negri</w:t>
      </w:r>
      <w:r w:rsidR="00FF0251">
        <w:rPr>
          <w:rFonts w:ascii="Bookman Old Style" w:hAnsi="Bookman Old Style"/>
        </w:rPr>
        <w:t>lla</w:t>
      </w:r>
      <w:proofErr w:type="gramEnd"/>
      <w:r w:rsidR="00FF0251" w:rsidRPr="00FF0251">
        <w:rPr>
          <w:rFonts w:ascii="Bookman Old Style" w:hAnsi="Bookman Old Style"/>
        </w:rPr>
        <w:t xml:space="preserve"> fuera de texto)</w:t>
      </w:r>
      <w:r w:rsidR="00FF0251">
        <w:rPr>
          <w:rFonts w:ascii="Bookman Old Style" w:hAnsi="Bookman Old Style"/>
          <w:i/>
        </w:rPr>
        <w:t xml:space="preserve"> </w:t>
      </w:r>
    </w:p>
    <w:p w:rsidR="002B0543" w:rsidRDefault="002B0543" w:rsidP="002F5DFA">
      <w:pPr>
        <w:ind w:left="0"/>
        <w:jc w:val="both"/>
        <w:rPr>
          <w:rFonts w:ascii="Bookman Old Style" w:hAnsi="Bookman Old Style"/>
        </w:rPr>
      </w:pPr>
    </w:p>
    <w:p w:rsidR="002F5DFA" w:rsidRDefault="00CD449D" w:rsidP="002F5DFA">
      <w:pPr>
        <w:ind w:left="0"/>
        <w:jc w:val="both"/>
        <w:rPr>
          <w:rFonts w:ascii="Bookman Old Style" w:hAnsi="Bookman Old Style"/>
        </w:rPr>
      </w:pPr>
      <w:r>
        <w:rPr>
          <w:rFonts w:ascii="Bookman Old Style" w:hAnsi="Bookman Old Style"/>
        </w:rPr>
        <w:lastRenderedPageBreak/>
        <w:t>Como</w:t>
      </w:r>
      <w:r w:rsidR="00FF0251">
        <w:rPr>
          <w:rFonts w:ascii="Bookman Old Style" w:hAnsi="Bookman Old Style"/>
        </w:rPr>
        <w:t xml:space="preserve"> consecuencia de lo anterior l</w:t>
      </w:r>
      <w:r w:rsidR="001B37C7" w:rsidRPr="00A8635E">
        <w:rPr>
          <w:rFonts w:ascii="Bookman Old Style" w:hAnsi="Bookman Old Style"/>
        </w:rPr>
        <w:t>a Comisión</w:t>
      </w:r>
      <w:r w:rsidR="001B37C7">
        <w:rPr>
          <w:rFonts w:ascii="Bookman Old Style" w:hAnsi="Bookman Old Style"/>
        </w:rPr>
        <w:t>, m</w:t>
      </w:r>
      <w:r w:rsidR="002F5DFA" w:rsidRPr="00A8635E">
        <w:rPr>
          <w:rFonts w:ascii="Bookman Old Style" w:hAnsi="Bookman Old Style"/>
        </w:rPr>
        <w:t xml:space="preserve">ediante auto del </w:t>
      </w:r>
      <w:r w:rsidR="0033031F">
        <w:rPr>
          <w:rFonts w:ascii="Bookman Old Style" w:hAnsi="Bookman Old Style"/>
        </w:rPr>
        <w:t>24</w:t>
      </w:r>
      <w:r w:rsidR="002F5DFA" w:rsidRPr="00A8635E">
        <w:rPr>
          <w:rFonts w:ascii="Bookman Old Style" w:hAnsi="Bookman Old Style"/>
        </w:rPr>
        <w:t xml:space="preserve"> de </w:t>
      </w:r>
      <w:r w:rsidR="0033031F">
        <w:rPr>
          <w:rFonts w:ascii="Bookman Old Style" w:hAnsi="Bookman Old Style"/>
        </w:rPr>
        <w:t>agosto</w:t>
      </w:r>
      <w:r w:rsidR="002F5DFA" w:rsidRPr="00A8635E">
        <w:rPr>
          <w:rFonts w:ascii="Bookman Old Style" w:hAnsi="Bookman Old Style"/>
        </w:rPr>
        <w:t xml:space="preserve"> de 20</w:t>
      </w:r>
      <w:r w:rsidR="002F5DFA">
        <w:rPr>
          <w:rFonts w:ascii="Bookman Old Style" w:hAnsi="Bookman Old Style"/>
        </w:rPr>
        <w:t>11</w:t>
      </w:r>
      <w:r w:rsidR="002F5DFA" w:rsidRPr="00A8635E">
        <w:rPr>
          <w:rFonts w:ascii="Bookman Old Style" w:hAnsi="Bookman Old Style"/>
        </w:rPr>
        <w:t>,</w:t>
      </w:r>
      <w:r w:rsidR="00442505">
        <w:rPr>
          <w:rFonts w:ascii="Bookman Old Style" w:hAnsi="Bookman Old Style"/>
        </w:rPr>
        <w:t xml:space="preserve"> </w:t>
      </w:r>
      <w:r w:rsidR="0033031F">
        <w:rPr>
          <w:rFonts w:ascii="Bookman Old Style" w:hAnsi="Bookman Old Style"/>
        </w:rPr>
        <w:t xml:space="preserve">dio </w:t>
      </w:r>
      <w:r w:rsidR="002F5DFA" w:rsidRPr="00A8635E">
        <w:rPr>
          <w:rFonts w:ascii="Bookman Old Style" w:hAnsi="Bookman Old Style"/>
        </w:rPr>
        <w:t>inici</w:t>
      </w:r>
      <w:r w:rsidR="0033031F">
        <w:rPr>
          <w:rFonts w:ascii="Bookman Old Style" w:hAnsi="Bookman Old Style"/>
        </w:rPr>
        <w:t xml:space="preserve">o a </w:t>
      </w:r>
      <w:r w:rsidR="002F5DFA" w:rsidRPr="00A8635E">
        <w:rPr>
          <w:rFonts w:ascii="Bookman Old Style" w:hAnsi="Bookman Old Style"/>
        </w:rPr>
        <w:t xml:space="preserve">la actuación administrativa tendiente a </w:t>
      </w:r>
      <w:r w:rsidR="0033031F">
        <w:rPr>
          <w:rFonts w:ascii="Bookman Old Style" w:hAnsi="Bookman Old Style"/>
        </w:rPr>
        <w:t xml:space="preserve">decidir </w:t>
      </w:r>
      <w:r w:rsidR="00C959F3">
        <w:rPr>
          <w:rFonts w:ascii="Bookman Old Style" w:hAnsi="Bookman Old Style"/>
        </w:rPr>
        <w:t>sobre la solicitud de Empresas Públicas de Medellín</w:t>
      </w:r>
      <w:r w:rsidR="002F5DFA" w:rsidRPr="00A8635E">
        <w:rPr>
          <w:rFonts w:ascii="Bookman Old Style" w:hAnsi="Bookman Old Style"/>
        </w:rPr>
        <w:t xml:space="preserve"> E.S.P., y ordenó la apertura del respectivo expediente que fue distinguido con el número </w:t>
      </w:r>
      <w:r w:rsidR="00BF024D">
        <w:rPr>
          <w:rFonts w:ascii="Bookman Old Style" w:hAnsi="Bookman Old Style"/>
        </w:rPr>
        <w:t xml:space="preserve">interno </w:t>
      </w:r>
      <w:r w:rsidR="002F5DFA" w:rsidRPr="00A8635E">
        <w:rPr>
          <w:rFonts w:ascii="Bookman Old Style" w:hAnsi="Bookman Old Style"/>
        </w:rPr>
        <w:t>20</w:t>
      </w:r>
      <w:r w:rsidR="00C959F3">
        <w:rPr>
          <w:rFonts w:ascii="Bookman Old Style" w:hAnsi="Bookman Old Style"/>
        </w:rPr>
        <w:t>11-00</w:t>
      </w:r>
      <w:r w:rsidR="002F5DFA">
        <w:rPr>
          <w:rFonts w:ascii="Bookman Old Style" w:hAnsi="Bookman Old Style"/>
        </w:rPr>
        <w:t>6</w:t>
      </w:r>
      <w:r w:rsidR="00C959F3">
        <w:rPr>
          <w:rFonts w:ascii="Bookman Old Style" w:hAnsi="Bookman Old Style"/>
        </w:rPr>
        <w:t>3</w:t>
      </w:r>
      <w:r w:rsidR="002F5DFA" w:rsidRPr="00A8635E">
        <w:rPr>
          <w:rFonts w:ascii="Bookman Old Style" w:hAnsi="Bookman Old Style"/>
        </w:rPr>
        <w:t xml:space="preserve">. </w:t>
      </w:r>
    </w:p>
    <w:p w:rsidR="002F5DFA" w:rsidRPr="00A8635E" w:rsidRDefault="002F5DFA" w:rsidP="002F5DFA">
      <w:pPr>
        <w:ind w:left="0"/>
        <w:jc w:val="both"/>
        <w:rPr>
          <w:rFonts w:ascii="Bookman Old Style" w:hAnsi="Bookman Old Style"/>
        </w:rPr>
      </w:pPr>
    </w:p>
    <w:p w:rsidR="002F5DFA" w:rsidRDefault="002F5DFA" w:rsidP="002F5DFA">
      <w:pPr>
        <w:ind w:left="0"/>
        <w:jc w:val="both"/>
        <w:rPr>
          <w:rFonts w:ascii="Bookman Old Style" w:hAnsi="Bookman Old Style"/>
        </w:rPr>
      </w:pPr>
      <w:r w:rsidRPr="00A8635E">
        <w:rPr>
          <w:rFonts w:ascii="Bookman Old Style" w:hAnsi="Bookman Old Style"/>
        </w:rPr>
        <w:t>Con la comunicación CREG S-20</w:t>
      </w:r>
      <w:r>
        <w:rPr>
          <w:rFonts w:ascii="Bookman Old Style" w:hAnsi="Bookman Old Style"/>
        </w:rPr>
        <w:t>11</w:t>
      </w:r>
      <w:r w:rsidRPr="00A8635E">
        <w:rPr>
          <w:rFonts w:ascii="Bookman Old Style" w:hAnsi="Bookman Old Style"/>
        </w:rPr>
        <w:t>-00</w:t>
      </w:r>
      <w:r w:rsidR="00C959F3">
        <w:rPr>
          <w:rFonts w:ascii="Bookman Old Style" w:hAnsi="Bookman Old Style"/>
        </w:rPr>
        <w:t>3</w:t>
      </w:r>
      <w:r w:rsidRPr="00A8635E">
        <w:rPr>
          <w:rFonts w:ascii="Bookman Old Style" w:hAnsi="Bookman Old Style"/>
        </w:rPr>
        <w:t>76</w:t>
      </w:r>
      <w:r w:rsidR="00C959F3">
        <w:rPr>
          <w:rFonts w:ascii="Bookman Old Style" w:hAnsi="Bookman Old Style"/>
        </w:rPr>
        <w:t>1</w:t>
      </w:r>
      <w:r w:rsidRPr="00A8635E">
        <w:rPr>
          <w:rFonts w:ascii="Bookman Old Style" w:hAnsi="Bookman Old Style"/>
        </w:rPr>
        <w:t xml:space="preserve"> la </w:t>
      </w:r>
      <w:r w:rsidR="00442505">
        <w:rPr>
          <w:rFonts w:ascii="Bookman Old Style" w:hAnsi="Bookman Old Style"/>
        </w:rPr>
        <w:t>Comisión</w:t>
      </w:r>
      <w:r w:rsidR="00442505" w:rsidRPr="00A8635E">
        <w:rPr>
          <w:rFonts w:ascii="Bookman Old Style" w:hAnsi="Bookman Old Style"/>
        </w:rPr>
        <w:t xml:space="preserve"> </w:t>
      </w:r>
      <w:r w:rsidRPr="00A8635E">
        <w:rPr>
          <w:rFonts w:ascii="Bookman Old Style" w:hAnsi="Bookman Old Style"/>
        </w:rPr>
        <w:t xml:space="preserve">remitió al </w:t>
      </w:r>
      <w:r w:rsidR="00773DDF">
        <w:rPr>
          <w:rFonts w:ascii="Bookman Old Style" w:hAnsi="Bookman Old Style"/>
        </w:rPr>
        <w:t xml:space="preserve">Transmisor Nacional, </w:t>
      </w:r>
      <w:r w:rsidRPr="00A8635E">
        <w:rPr>
          <w:rFonts w:ascii="Bookman Old Style" w:hAnsi="Bookman Old Style"/>
        </w:rPr>
        <w:t xml:space="preserve">un resumen de la </w:t>
      </w:r>
      <w:r>
        <w:rPr>
          <w:rFonts w:ascii="Bookman Old Style" w:hAnsi="Bookman Old Style"/>
        </w:rPr>
        <w:t>solicitud</w:t>
      </w:r>
      <w:r w:rsidRPr="00A8635E">
        <w:rPr>
          <w:rFonts w:ascii="Bookman Old Style" w:hAnsi="Bookman Old Style"/>
        </w:rPr>
        <w:t xml:space="preserve"> para que realizara una publicación con el fin de que los terceros interesados pudieran intervenir en la actuación administrativa. La publicación fue realizada por el TN en el diario </w:t>
      </w:r>
      <w:r w:rsidR="00C959F3">
        <w:rPr>
          <w:rFonts w:ascii="Bookman Old Style" w:hAnsi="Bookman Old Style"/>
          <w:i/>
        </w:rPr>
        <w:t>El Mundo</w:t>
      </w:r>
      <w:r w:rsidRPr="00A8635E">
        <w:rPr>
          <w:rFonts w:ascii="Bookman Old Style" w:hAnsi="Bookman Old Style"/>
        </w:rPr>
        <w:t xml:space="preserve">, con fecha de publicación </w:t>
      </w:r>
      <w:r w:rsidR="00C959F3">
        <w:rPr>
          <w:rFonts w:ascii="Bookman Old Style" w:hAnsi="Bookman Old Style"/>
        </w:rPr>
        <w:t>1</w:t>
      </w:r>
      <w:r w:rsidRPr="00A8635E">
        <w:rPr>
          <w:rFonts w:ascii="Bookman Old Style" w:hAnsi="Bookman Old Style"/>
        </w:rPr>
        <w:t xml:space="preserve"> de </w:t>
      </w:r>
      <w:r w:rsidR="00C959F3">
        <w:rPr>
          <w:rFonts w:ascii="Bookman Old Style" w:hAnsi="Bookman Old Style"/>
        </w:rPr>
        <w:t>septiembre</w:t>
      </w:r>
      <w:r w:rsidRPr="00A8635E">
        <w:rPr>
          <w:rFonts w:ascii="Bookman Old Style" w:hAnsi="Bookman Old Style"/>
        </w:rPr>
        <w:t xml:space="preserve"> de 20</w:t>
      </w:r>
      <w:r>
        <w:rPr>
          <w:rFonts w:ascii="Bookman Old Style" w:hAnsi="Bookman Old Style"/>
        </w:rPr>
        <w:t>11</w:t>
      </w:r>
      <w:r w:rsidRPr="00A8635E">
        <w:rPr>
          <w:rFonts w:ascii="Bookman Old Style" w:hAnsi="Bookman Old Style"/>
        </w:rPr>
        <w:t>, según la copia remitida a la Comisión a través</w:t>
      </w:r>
      <w:r>
        <w:rPr>
          <w:rFonts w:ascii="Bookman Old Style" w:hAnsi="Bookman Old Style"/>
        </w:rPr>
        <w:t xml:space="preserve"> del oficio con radicado CREG E-</w:t>
      </w:r>
      <w:r w:rsidRPr="00A8635E">
        <w:rPr>
          <w:rFonts w:ascii="Bookman Old Style" w:hAnsi="Bookman Old Style"/>
        </w:rPr>
        <w:t>20</w:t>
      </w:r>
      <w:r>
        <w:rPr>
          <w:rFonts w:ascii="Bookman Old Style" w:hAnsi="Bookman Old Style"/>
        </w:rPr>
        <w:t>11-</w:t>
      </w:r>
      <w:r w:rsidRPr="00A8635E">
        <w:rPr>
          <w:rFonts w:ascii="Bookman Old Style" w:hAnsi="Bookman Old Style"/>
        </w:rPr>
        <w:t>00</w:t>
      </w:r>
      <w:r w:rsidR="00C959F3">
        <w:rPr>
          <w:rFonts w:ascii="Bookman Old Style" w:hAnsi="Bookman Old Style"/>
        </w:rPr>
        <w:t>8325</w:t>
      </w:r>
      <w:r w:rsidRPr="00A8635E">
        <w:rPr>
          <w:rFonts w:ascii="Bookman Old Style" w:hAnsi="Bookman Old Style"/>
        </w:rPr>
        <w:t>.</w:t>
      </w:r>
    </w:p>
    <w:p w:rsidR="005A5C33" w:rsidRDefault="005A5C33" w:rsidP="002F5DFA">
      <w:pPr>
        <w:ind w:left="0"/>
        <w:jc w:val="both"/>
        <w:rPr>
          <w:rFonts w:ascii="Bookman Old Style" w:hAnsi="Bookman Old Style"/>
        </w:rPr>
      </w:pPr>
    </w:p>
    <w:p w:rsidR="0072678B" w:rsidRPr="0072678B" w:rsidRDefault="004A4DAB" w:rsidP="002F5DFA">
      <w:pPr>
        <w:ind w:left="0"/>
        <w:jc w:val="both"/>
        <w:rPr>
          <w:rFonts w:ascii="Bookman Old Style" w:hAnsi="Bookman Old Style"/>
        </w:rPr>
      </w:pPr>
      <w:r w:rsidRPr="0072678B">
        <w:rPr>
          <w:rFonts w:ascii="Bookman Old Style" w:hAnsi="Bookman Old Style"/>
        </w:rPr>
        <w:t xml:space="preserve">Para decidir sobre la solicitud de Empresas Públicas de Medellín E.S.P., la Comisión procedió a revisar </w:t>
      </w:r>
      <w:r w:rsidR="0072678B" w:rsidRPr="0072678B">
        <w:rPr>
          <w:rFonts w:ascii="Bookman Old Style" w:hAnsi="Bookman Old Style"/>
        </w:rPr>
        <w:t>las actuaciones</w:t>
      </w:r>
      <w:r w:rsidR="00BF024D" w:rsidRPr="0072678B">
        <w:rPr>
          <w:rFonts w:ascii="Bookman Old Style" w:hAnsi="Bookman Old Style"/>
        </w:rPr>
        <w:t xml:space="preserve"> administrativas que se habían realizado con anterioridad</w:t>
      </w:r>
      <w:r w:rsidR="0072678B" w:rsidRPr="0072678B">
        <w:rPr>
          <w:rFonts w:ascii="Bookman Old Style" w:hAnsi="Bookman Old Style"/>
        </w:rPr>
        <w:t xml:space="preserve"> para aprobar la base de activos de la empresa.</w:t>
      </w:r>
    </w:p>
    <w:p w:rsidR="0072678B" w:rsidRDefault="0072678B" w:rsidP="002F5DFA">
      <w:pPr>
        <w:ind w:left="0"/>
        <w:jc w:val="both"/>
        <w:rPr>
          <w:rFonts w:ascii="Bookman Old Style" w:hAnsi="Bookman Old Style"/>
        </w:rPr>
      </w:pPr>
    </w:p>
    <w:p w:rsidR="00BF024D" w:rsidRPr="00F86D42" w:rsidRDefault="0072678B" w:rsidP="002F5DFA">
      <w:pPr>
        <w:ind w:left="0"/>
        <w:jc w:val="both"/>
        <w:rPr>
          <w:rFonts w:ascii="Bookman Old Style" w:hAnsi="Bookman Old Style"/>
        </w:rPr>
      </w:pPr>
      <w:r w:rsidRPr="00F86D42">
        <w:rPr>
          <w:rFonts w:ascii="Bookman Old Style" w:hAnsi="Bookman Old Style"/>
        </w:rPr>
        <w:t>En efecto se encontró que esta Comisión le había consultado a la empresa sobre la</w:t>
      </w:r>
      <w:r w:rsidR="00757C0F">
        <w:rPr>
          <w:rFonts w:ascii="Bookman Old Style" w:hAnsi="Bookman Old Style"/>
        </w:rPr>
        <w:t xml:space="preserve"> naturaleza y la cantidad de las </w:t>
      </w:r>
      <w:r w:rsidRPr="00F86D42">
        <w:rPr>
          <w:rFonts w:ascii="Bookman Old Style" w:hAnsi="Bookman Old Style"/>
        </w:rPr>
        <w:t xml:space="preserve">unidades constructivas SE241 en la subestación </w:t>
      </w:r>
      <w:proofErr w:type="spellStart"/>
      <w:r w:rsidRPr="00F86D42">
        <w:rPr>
          <w:rFonts w:ascii="Bookman Old Style" w:hAnsi="Bookman Old Style"/>
        </w:rPr>
        <w:t>Guatapé</w:t>
      </w:r>
      <w:proofErr w:type="spellEnd"/>
      <w:r w:rsidR="006F5432">
        <w:rPr>
          <w:rFonts w:ascii="Bookman Old Style" w:hAnsi="Bookman Old Style"/>
        </w:rPr>
        <w:t xml:space="preserve"> y </w:t>
      </w:r>
      <w:r w:rsidRPr="00F86D42">
        <w:rPr>
          <w:rFonts w:ascii="Bookman Old Style" w:hAnsi="Bookman Old Style"/>
        </w:rPr>
        <w:t xml:space="preserve">Empresas Públicas de Medellín E.S.P., </w:t>
      </w:r>
      <w:r w:rsidR="006F5432">
        <w:rPr>
          <w:rFonts w:ascii="Bookman Old Style" w:hAnsi="Bookman Old Style"/>
        </w:rPr>
        <w:t xml:space="preserve">había </w:t>
      </w:r>
      <w:r w:rsidR="00757C0F">
        <w:rPr>
          <w:rFonts w:ascii="Bookman Old Style" w:hAnsi="Bookman Old Style"/>
        </w:rPr>
        <w:t>justific</w:t>
      </w:r>
      <w:r w:rsidR="006F5432">
        <w:rPr>
          <w:rFonts w:ascii="Bookman Old Style" w:hAnsi="Bookman Old Style"/>
        </w:rPr>
        <w:t>ado</w:t>
      </w:r>
      <w:r w:rsidRPr="00F86D42">
        <w:rPr>
          <w:rFonts w:ascii="Bookman Old Style" w:hAnsi="Bookman Old Style"/>
        </w:rPr>
        <w:t xml:space="preserve"> ante la CREG </w:t>
      </w:r>
      <w:r w:rsidR="002B4307" w:rsidRPr="00F86D42">
        <w:rPr>
          <w:rFonts w:ascii="Bookman Old Style" w:hAnsi="Bookman Old Style"/>
        </w:rPr>
        <w:t xml:space="preserve">la </w:t>
      </w:r>
      <w:r w:rsidRPr="00F86D42">
        <w:rPr>
          <w:rFonts w:ascii="Bookman Old Style" w:hAnsi="Bookman Old Style"/>
        </w:rPr>
        <w:t xml:space="preserve">necesidad del reconocimiento de </w:t>
      </w:r>
      <w:r w:rsidR="006F5432">
        <w:rPr>
          <w:rFonts w:ascii="Bookman Old Style" w:hAnsi="Bookman Old Style"/>
        </w:rPr>
        <w:t>las mismas</w:t>
      </w:r>
      <w:r w:rsidRPr="00F86D42">
        <w:rPr>
          <w:rFonts w:ascii="Bookman Old Style" w:hAnsi="Bookman Old Style"/>
        </w:rPr>
        <w:t>.</w:t>
      </w:r>
    </w:p>
    <w:p w:rsidR="002F5DFA" w:rsidRPr="00F86D42" w:rsidRDefault="002F5DFA" w:rsidP="002F5DFA">
      <w:pPr>
        <w:ind w:left="0"/>
        <w:jc w:val="both"/>
        <w:rPr>
          <w:rFonts w:ascii="Bookman Old Style" w:hAnsi="Bookman Old Style"/>
        </w:rPr>
      </w:pPr>
    </w:p>
    <w:p w:rsidR="00CC7E75" w:rsidRPr="00F86D42" w:rsidRDefault="002B4307" w:rsidP="002F5DFA">
      <w:pPr>
        <w:ind w:left="0"/>
        <w:jc w:val="both"/>
        <w:rPr>
          <w:rFonts w:ascii="Bookman Old Style" w:hAnsi="Bookman Old Style" w:cs="Arial"/>
          <w:spacing w:val="-3"/>
        </w:rPr>
      </w:pPr>
      <w:r w:rsidRPr="00F86D42">
        <w:rPr>
          <w:rFonts w:ascii="Bookman Old Style" w:hAnsi="Bookman Old Style" w:cs="Arial"/>
          <w:spacing w:val="-3"/>
        </w:rPr>
        <w:t>M</w:t>
      </w:r>
      <w:r w:rsidR="00CC7E75" w:rsidRPr="00F86D42">
        <w:rPr>
          <w:rFonts w:ascii="Bookman Old Style" w:hAnsi="Bookman Old Style" w:cs="Arial"/>
          <w:spacing w:val="-3"/>
        </w:rPr>
        <w:t>ediante comunicación CREG S-2011-004110,</w:t>
      </w:r>
      <w:r w:rsidR="0072678B" w:rsidRPr="00F86D42">
        <w:rPr>
          <w:rFonts w:ascii="Bookman Old Style" w:hAnsi="Bookman Old Style" w:cs="Arial"/>
          <w:spacing w:val="-3"/>
        </w:rPr>
        <w:t xml:space="preserve"> del 15 de </w:t>
      </w:r>
      <w:r w:rsidRPr="00F86D42">
        <w:rPr>
          <w:rFonts w:ascii="Bookman Old Style" w:hAnsi="Bookman Old Style" w:cs="Arial"/>
          <w:spacing w:val="-3"/>
        </w:rPr>
        <w:t>s</w:t>
      </w:r>
      <w:r w:rsidR="0072678B" w:rsidRPr="00F86D42">
        <w:rPr>
          <w:rFonts w:ascii="Bookman Old Style" w:hAnsi="Bookman Old Style" w:cs="Arial"/>
          <w:spacing w:val="-3"/>
        </w:rPr>
        <w:t xml:space="preserve">eptiembre de 2011, </w:t>
      </w:r>
      <w:r w:rsidR="00CC7E75" w:rsidRPr="00F86D42">
        <w:rPr>
          <w:rFonts w:ascii="Bookman Old Style" w:hAnsi="Bookman Old Style" w:cs="Arial"/>
          <w:spacing w:val="-3"/>
        </w:rPr>
        <w:t xml:space="preserve"> </w:t>
      </w:r>
      <w:r w:rsidR="0072678B" w:rsidRPr="00F86D42">
        <w:rPr>
          <w:rFonts w:ascii="Bookman Old Style" w:hAnsi="Bookman Old Style"/>
        </w:rPr>
        <w:t xml:space="preserve">la Comisión, </w:t>
      </w:r>
      <w:r w:rsidR="00CC7E75" w:rsidRPr="00F86D42">
        <w:rPr>
          <w:rFonts w:ascii="Bookman Old Style" w:hAnsi="Bookman Old Style"/>
        </w:rPr>
        <w:t>solicitó a Empresas Públicas de Medellín E.S.P.</w:t>
      </w:r>
      <w:r w:rsidR="00CC7E75" w:rsidRPr="00F86D42">
        <w:rPr>
          <w:rFonts w:ascii="Bookman Old Style" w:hAnsi="Bookman Old Style" w:cs="Arial"/>
          <w:spacing w:val="-3"/>
        </w:rPr>
        <w:t xml:space="preserve">, información técnica y operativa de los diferenciales de barras instalados en la subestación </w:t>
      </w:r>
      <w:proofErr w:type="spellStart"/>
      <w:r w:rsidR="00CC7E75" w:rsidRPr="00F86D42">
        <w:rPr>
          <w:rFonts w:ascii="Bookman Old Style" w:hAnsi="Bookman Old Style" w:cs="Arial"/>
          <w:spacing w:val="-3"/>
        </w:rPr>
        <w:t>Guatapé</w:t>
      </w:r>
      <w:proofErr w:type="spellEnd"/>
      <w:r w:rsidR="00CC7E75" w:rsidRPr="00F86D42">
        <w:rPr>
          <w:rFonts w:ascii="Bookman Old Style" w:hAnsi="Bookman Old Style" w:cs="Arial"/>
          <w:spacing w:val="-3"/>
        </w:rPr>
        <w:t xml:space="preserve">, </w:t>
      </w:r>
      <w:r w:rsidR="00AE25DE" w:rsidRPr="00F86D42">
        <w:rPr>
          <w:rFonts w:ascii="Bookman Old Style" w:hAnsi="Bookman Old Style" w:cs="Arial"/>
          <w:spacing w:val="-3"/>
        </w:rPr>
        <w:t>y que ya habían sido aprobados dentro de la base de activos de la empresa</w:t>
      </w:r>
      <w:r w:rsidR="00B33D46" w:rsidRPr="00F86D42">
        <w:rPr>
          <w:rFonts w:ascii="Bookman Old Style" w:hAnsi="Bookman Old Style" w:cs="Arial"/>
          <w:spacing w:val="-3"/>
        </w:rPr>
        <w:t xml:space="preserve"> mediante la Resolución CREG 112 de 2010</w:t>
      </w:r>
      <w:r w:rsidR="00AE25DE" w:rsidRPr="00F86D42">
        <w:rPr>
          <w:rFonts w:ascii="Bookman Old Style" w:hAnsi="Bookman Old Style" w:cs="Arial"/>
          <w:spacing w:val="-3"/>
        </w:rPr>
        <w:t xml:space="preserve">,  </w:t>
      </w:r>
      <w:r w:rsidR="00CC7E75" w:rsidRPr="00F86D42">
        <w:rPr>
          <w:rFonts w:ascii="Bookman Old Style" w:hAnsi="Bookman Old Style" w:cs="Arial"/>
          <w:spacing w:val="-3"/>
        </w:rPr>
        <w:t xml:space="preserve">con el fin de analizar la solicitud </w:t>
      </w:r>
      <w:r w:rsidR="00455413" w:rsidRPr="00F86D42">
        <w:rPr>
          <w:rFonts w:ascii="Bookman Old Style" w:hAnsi="Bookman Old Style" w:cs="Arial"/>
          <w:spacing w:val="-3"/>
        </w:rPr>
        <w:t xml:space="preserve">de retiro de las mismas </w:t>
      </w:r>
      <w:r w:rsidR="00B33D46" w:rsidRPr="00F86D42">
        <w:rPr>
          <w:rFonts w:ascii="Bookman Old Style" w:hAnsi="Bookman Old Style" w:cs="Arial"/>
          <w:spacing w:val="-3"/>
        </w:rPr>
        <w:t xml:space="preserve">por parte del </w:t>
      </w:r>
      <w:r w:rsidR="00CC7E75" w:rsidRPr="00F86D42">
        <w:rPr>
          <w:rFonts w:ascii="Bookman Old Style" w:hAnsi="Bookman Old Style" w:cs="Arial"/>
          <w:spacing w:val="-3"/>
        </w:rPr>
        <w:t>TN.</w:t>
      </w:r>
    </w:p>
    <w:p w:rsidR="00CC7E75" w:rsidRPr="00F86D42" w:rsidRDefault="00CC7E75" w:rsidP="002F5DFA">
      <w:pPr>
        <w:ind w:left="0"/>
        <w:jc w:val="both"/>
        <w:rPr>
          <w:rFonts w:ascii="Bookman Old Style" w:hAnsi="Bookman Old Style" w:cs="Arial"/>
          <w:spacing w:val="-3"/>
        </w:rPr>
      </w:pPr>
    </w:p>
    <w:p w:rsidR="00CC7E75" w:rsidRPr="00F86D42" w:rsidRDefault="00CC7E75" w:rsidP="002F5DFA">
      <w:pPr>
        <w:ind w:left="0"/>
        <w:jc w:val="both"/>
        <w:rPr>
          <w:rFonts w:ascii="Bookman Old Style" w:hAnsi="Bookman Old Style" w:cs="Arial"/>
          <w:spacing w:val="-3"/>
        </w:rPr>
      </w:pPr>
      <w:r w:rsidRPr="00F86D42">
        <w:rPr>
          <w:rFonts w:ascii="Bookman Old Style" w:hAnsi="Bookman Old Style"/>
        </w:rPr>
        <w:t xml:space="preserve">Empresas Públicas de Medellín E.S.P., mediante </w:t>
      </w:r>
      <w:r w:rsidR="00124452" w:rsidRPr="00F86D42">
        <w:rPr>
          <w:rFonts w:ascii="Bookman Old Style" w:hAnsi="Bookman Old Style"/>
        </w:rPr>
        <w:t xml:space="preserve">comunicación </w:t>
      </w:r>
      <w:r w:rsidRPr="00F86D42">
        <w:rPr>
          <w:rFonts w:ascii="Bookman Old Style" w:hAnsi="Bookman Old Style"/>
        </w:rPr>
        <w:t>E-2011-009680 suministró información técnica y operativa de los equipo</w:t>
      </w:r>
      <w:r w:rsidR="00124452" w:rsidRPr="00F86D42">
        <w:rPr>
          <w:rFonts w:ascii="Bookman Old Style" w:hAnsi="Bookman Old Style"/>
        </w:rPr>
        <w:t>s</w:t>
      </w:r>
      <w:r w:rsidRPr="00F86D42">
        <w:rPr>
          <w:rFonts w:ascii="Bookman Old Style" w:hAnsi="Bookman Old Style"/>
        </w:rPr>
        <w:t xml:space="preserve"> instalados</w:t>
      </w:r>
      <w:r w:rsidR="00124452" w:rsidRPr="00F86D42">
        <w:rPr>
          <w:rFonts w:ascii="Bookman Old Style" w:hAnsi="Bookman Old Style"/>
        </w:rPr>
        <w:t xml:space="preserve"> en la subestación,</w:t>
      </w:r>
      <w:r w:rsidRPr="00F86D42">
        <w:rPr>
          <w:rFonts w:ascii="Bookman Old Style" w:hAnsi="Bookman Old Style"/>
        </w:rPr>
        <w:t xml:space="preserve"> y confirmó</w:t>
      </w:r>
      <w:r w:rsidR="00124452" w:rsidRPr="00F86D42">
        <w:rPr>
          <w:rFonts w:ascii="Bookman Old Style" w:hAnsi="Bookman Old Style"/>
        </w:rPr>
        <w:t>, mediante comunicación</w:t>
      </w:r>
      <w:r w:rsidRPr="00F86D42">
        <w:rPr>
          <w:rFonts w:ascii="Bookman Old Style" w:hAnsi="Bookman Old Style"/>
        </w:rPr>
        <w:t xml:space="preserve"> </w:t>
      </w:r>
      <w:r w:rsidR="00124452" w:rsidRPr="00F86D42">
        <w:rPr>
          <w:rFonts w:ascii="Bookman Old Style" w:hAnsi="Bookman Old Style"/>
        </w:rPr>
        <w:t xml:space="preserve">E-2011-010572, que la subestación </w:t>
      </w:r>
      <w:proofErr w:type="spellStart"/>
      <w:r w:rsidR="00124452" w:rsidRPr="00F86D42">
        <w:rPr>
          <w:rFonts w:ascii="Bookman Old Style" w:hAnsi="Bookman Old Style"/>
        </w:rPr>
        <w:t>Guatapé</w:t>
      </w:r>
      <w:proofErr w:type="spellEnd"/>
      <w:r w:rsidR="00124452" w:rsidRPr="00F86D42">
        <w:rPr>
          <w:rFonts w:ascii="Bookman Old Style" w:hAnsi="Bookman Old Style"/>
        </w:rPr>
        <w:t xml:space="preserve"> cuenta con una sola </w:t>
      </w:r>
      <w:r w:rsidR="00573E39" w:rsidRPr="00F86D42">
        <w:rPr>
          <w:rFonts w:ascii="Bookman Old Style" w:hAnsi="Bookman Old Style"/>
        </w:rPr>
        <w:t xml:space="preserve">unidad constructiva </w:t>
      </w:r>
      <w:r w:rsidR="00124452" w:rsidRPr="00F86D42">
        <w:rPr>
          <w:rFonts w:ascii="Bookman Old Style" w:hAnsi="Bookman Old Style"/>
        </w:rPr>
        <w:t>SE241</w:t>
      </w:r>
      <w:r w:rsidR="002B4307" w:rsidRPr="00F86D42">
        <w:rPr>
          <w:rFonts w:ascii="Bookman Old Style" w:hAnsi="Bookman Old Style"/>
        </w:rPr>
        <w:t>.</w:t>
      </w:r>
    </w:p>
    <w:p w:rsidR="00CC7E75" w:rsidRPr="00F86D42" w:rsidRDefault="00CC7E75" w:rsidP="002F5DFA">
      <w:pPr>
        <w:ind w:left="0"/>
        <w:jc w:val="both"/>
        <w:rPr>
          <w:rFonts w:ascii="Bookman Old Style" w:hAnsi="Bookman Old Style" w:cs="Arial"/>
          <w:spacing w:val="-3"/>
        </w:rPr>
      </w:pPr>
    </w:p>
    <w:p w:rsidR="0057517A" w:rsidRDefault="0057517A" w:rsidP="0057517A">
      <w:pPr>
        <w:ind w:left="0"/>
        <w:jc w:val="both"/>
        <w:rPr>
          <w:rFonts w:ascii="Bookman Old Style" w:hAnsi="Bookman Old Style"/>
        </w:rPr>
      </w:pPr>
      <w:r w:rsidRPr="00F86D42">
        <w:rPr>
          <w:rFonts w:ascii="Bookman Old Style" w:hAnsi="Bookman Old Style"/>
        </w:rPr>
        <w:t xml:space="preserve">Teniendo en cuenta que </w:t>
      </w:r>
      <w:r w:rsidR="002B4307" w:rsidRPr="00F86D42">
        <w:rPr>
          <w:rFonts w:ascii="Bookman Old Style" w:hAnsi="Bookman Old Style"/>
        </w:rPr>
        <w:t xml:space="preserve">había una inconsistencia </w:t>
      </w:r>
      <w:r w:rsidRPr="00F86D42">
        <w:rPr>
          <w:rFonts w:ascii="Bookman Old Style" w:hAnsi="Bookman Old Style"/>
        </w:rPr>
        <w:t xml:space="preserve">en la información declarada por </w:t>
      </w:r>
      <w:r w:rsidR="002B4307" w:rsidRPr="00F86D42">
        <w:rPr>
          <w:rFonts w:ascii="Bookman Old Style" w:hAnsi="Bookman Old Style"/>
        </w:rPr>
        <w:t xml:space="preserve">Empresas Públicas de Medellín E.S.P. en la solicitud de aprobación de </w:t>
      </w:r>
      <w:r w:rsidR="00CD449D">
        <w:rPr>
          <w:rFonts w:ascii="Bookman Old Style" w:hAnsi="Bookman Old Style"/>
        </w:rPr>
        <w:t xml:space="preserve">su </w:t>
      </w:r>
      <w:r w:rsidR="0097428B" w:rsidRPr="00F86D42">
        <w:rPr>
          <w:rFonts w:ascii="Bookman Old Style" w:hAnsi="Bookman Old Style"/>
        </w:rPr>
        <w:t>base de activos</w:t>
      </w:r>
      <w:r w:rsidR="002B4307" w:rsidRPr="00F86D42">
        <w:rPr>
          <w:rFonts w:ascii="Bookman Old Style" w:hAnsi="Bookman Old Style"/>
        </w:rPr>
        <w:t xml:space="preserve"> </w:t>
      </w:r>
      <w:r w:rsidRPr="00F86D42">
        <w:rPr>
          <w:rFonts w:ascii="Bookman Old Style" w:hAnsi="Bookman Old Style"/>
        </w:rPr>
        <w:t xml:space="preserve">y que fue con </w:t>
      </w:r>
      <w:r w:rsidR="00CD449D">
        <w:rPr>
          <w:rFonts w:ascii="Bookman Old Style" w:hAnsi="Bookman Old Style"/>
        </w:rPr>
        <w:t>fundamento</w:t>
      </w:r>
      <w:r w:rsidRPr="00F86D42">
        <w:rPr>
          <w:rFonts w:ascii="Bookman Old Style" w:hAnsi="Bookman Old Style"/>
        </w:rPr>
        <w:t xml:space="preserve"> en dicha información, que se aprob</w:t>
      </w:r>
      <w:r w:rsidR="00CD449D">
        <w:rPr>
          <w:rFonts w:ascii="Bookman Old Style" w:hAnsi="Bookman Old Style"/>
        </w:rPr>
        <w:t>aron</w:t>
      </w:r>
      <w:r w:rsidRPr="00F86D42">
        <w:rPr>
          <w:rFonts w:ascii="Bookman Old Style" w:hAnsi="Bookman Old Style"/>
        </w:rPr>
        <w:t xml:space="preserve"> </w:t>
      </w:r>
      <w:r w:rsidR="00CD449D">
        <w:rPr>
          <w:rFonts w:ascii="Bookman Old Style" w:hAnsi="Bookman Old Style"/>
        </w:rPr>
        <w:t>los</w:t>
      </w:r>
      <w:r w:rsidRPr="00F86D42">
        <w:rPr>
          <w:rFonts w:ascii="Bookman Old Style" w:hAnsi="Bookman Old Style"/>
        </w:rPr>
        <w:t xml:space="preserve"> activos y </w:t>
      </w:r>
      <w:r w:rsidR="00CD449D">
        <w:rPr>
          <w:rFonts w:ascii="Bookman Old Style" w:hAnsi="Bookman Old Style"/>
        </w:rPr>
        <w:t>su</w:t>
      </w:r>
      <w:r w:rsidRPr="00F86D42">
        <w:rPr>
          <w:rFonts w:ascii="Bookman Old Style" w:hAnsi="Bookman Old Style"/>
        </w:rPr>
        <w:t xml:space="preserve"> remuneración, se hace necesario ajustar la ba</w:t>
      </w:r>
      <w:r w:rsidR="0097428B" w:rsidRPr="00F86D42">
        <w:rPr>
          <w:rFonts w:ascii="Bookman Old Style" w:hAnsi="Bookman Old Style"/>
        </w:rPr>
        <w:t>se de activos del respectivo TN en el sentido de reconocer una (1) unidad constructiva SE241.</w:t>
      </w:r>
    </w:p>
    <w:p w:rsidR="0057517A" w:rsidRDefault="0057517A" w:rsidP="002F5DFA">
      <w:pPr>
        <w:ind w:left="0"/>
        <w:jc w:val="both"/>
        <w:rPr>
          <w:rFonts w:ascii="Bookman Old Style" w:hAnsi="Bookman Old Style" w:cs="Arial"/>
          <w:spacing w:val="-3"/>
        </w:rPr>
      </w:pPr>
    </w:p>
    <w:p w:rsidR="003547B8" w:rsidRDefault="002F5DFA" w:rsidP="002F5DFA">
      <w:pPr>
        <w:tabs>
          <w:tab w:val="center" w:pos="4680"/>
        </w:tabs>
        <w:ind w:left="0"/>
        <w:jc w:val="both"/>
        <w:rPr>
          <w:rFonts w:ascii="Bookman Old Style" w:hAnsi="Bookman Old Style" w:cs="Arial"/>
          <w:spacing w:val="-3"/>
        </w:rPr>
      </w:pPr>
      <w:r w:rsidRPr="00B24858">
        <w:rPr>
          <w:rFonts w:ascii="Bookman Old Style" w:hAnsi="Bookman Old Style" w:cs="Arial"/>
          <w:spacing w:val="-3"/>
        </w:rPr>
        <w:t xml:space="preserve">Con base en los análisis efectuados y aplicando la metodología contenida en la Resolución </w:t>
      </w:r>
      <w:r w:rsidRPr="00B84711">
        <w:rPr>
          <w:rFonts w:ascii="Bookman Old Style" w:hAnsi="Bookman Old Style" w:cs="Arial"/>
          <w:spacing w:val="-3"/>
        </w:rPr>
        <w:t xml:space="preserve">CREG 011 de 2009 </w:t>
      </w:r>
      <w:r w:rsidRPr="00B24858">
        <w:rPr>
          <w:rFonts w:ascii="Bookman Old Style" w:hAnsi="Bookman Old Style" w:cs="Arial"/>
          <w:spacing w:val="-3"/>
        </w:rPr>
        <w:t xml:space="preserve">se realizaron los ajustes pertinentes </w:t>
      </w:r>
      <w:r w:rsidR="0097428B">
        <w:rPr>
          <w:rFonts w:ascii="Bookman Old Style" w:hAnsi="Bookman Old Style" w:cs="Arial"/>
          <w:spacing w:val="-3"/>
        </w:rPr>
        <w:t>en</w:t>
      </w:r>
      <w:r>
        <w:rPr>
          <w:rFonts w:ascii="Bookman Old Style" w:hAnsi="Bookman Old Style" w:cs="Arial"/>
          <w:spacing w:val="-3"/>
        </w:rPr>
        <w:t xml:space="preserve"> la base de activos de </w:t>
      </w:r>
      <w:r w:rsidR="00124452">
        <w:rPr>
          <w:rFonts w:ascii="Bookman Old Style" w:hAnsi="Bookman Old Style" w:cs="Arial"/>
          <w:spacing w:val="-3"/>
        </w:rPr>
        <w:t>Empresas Públicas de Medellín</w:t>
      </w:r>
      <w:r w:rsidRPr="00B84711">
        <w:rPr>
          <w:rFonts w:ascii="Bookman Old Style" w:hAnsi="Bookman Old Style" w:cs="Arial"/>
          <w:spacing w:val="-3"/>
        </w:rPr>
        <w:t xml:space="preserve"> E.S.P.</w:t>
      </w:r>
      <w:r w:rsidR="00582569">
        <w:rPr>
          <w:rFonts w:ascii="Bookman Old Style" w:hAnsi="Bookman Old Style" w:cs="Arial"/>
          <w:spacing w:val="-3"/>
        </w:rPr>
        <w:t xml:space="preserve">, y </w:t>
      </w:r>
      <w:r w:rsidR="003547B8" w:rsidRPr="003547B8">
        <w:rPr>
          <w:rFonts w:ascii="Bookman Old Style" w:hAnsi="Bookman Old Style" w:cs="Arial"/>
          <w:spacing w:val="-3"/>
        </w:rPr>
        <w:t>el Ingreso Anual del Transmisor</w:t>
      </w:r>
      <w:r w:rsidR="00582569">
        <w:rPr>
          <w:rFonts w:ascii="Bookman Old Style" w:hAnsi="Bookman Old Style" w:cs="Arial"/>
          <w:spacing w:val="-3"/>
        </w:rPr>
        <w:t>,  considerando</w:t>
      </w:r>
      <w:r w:rsidR="003547B8">
        <w:rPr>
          <w:rFonts w:ascii="Bookman Old Style" w:hAnsi="Bookman Old Style" w:cs="Arial"/>
          <w:spacing w:val="-3"/>
        </w:rPr>
        <w:t xml:space="preserve"> las siguientes variables principales</w:t>
      </w:r>
      <w:r w:rsidR="00582569">
        <w:rPr>
          <w:rFonts w:ascii="Bookman Old Style" w:hAnsi="Bookman Old Style" w:cs="Arial"/>
          <w:spacing w:val="-3"/>
        </w:rPr>
        <w:t>:</w:t>
      </w:r>
      <w:r w:rsidR="003547B8" w:rsidRPr="003547B8" w:rsidDel="003547B8">
        <w:rPr>
          <w:rFonts w:ascii="Bookman Old Style" w:hAnsi="Bookman Old Style" w:cs="Arial"/>
          <w:spacing w:val="-3"/>
        </w:rPr>
        <w:t xml:space="preserve"> </w:t>
      </w:r>
    </w:p>
    <w:p w:rsidR="002F5DFA" w:rsidRDefault="002F5DFA" w:rsidP="002F5DFA">
      <w:pPr>
        <w:tabs>
          <w:tab w:val="center" w:pos="4680"/>
        </w:tabs>
        <w:ind w:left="0"/>
        <w:jc w:val="both"/>
        <w:rPr>
          <w:rFonts w:ascii="Bookman Old Style" w:hAnsi="Bookman Old Style" w:cs="Arial"/>
          <w:spacing w:val="-3"/>
        </w:rPr>
      </w:pPr>
    </w:p>
    <w:p w:rsidR="00582569" w:rsidRDefault="00582569" w:rsidP="002F5DFA">
      <w:pPr>
        <w:tabs>
          <w:tab w:val="center" w:pos="4680"/>
        </w:tabs>
        <w:ind w:left="0"/>
        <w:jc w:val="both"/>
        <w:rPr>
          <w:rFonts w:ascii="Bookman Old Style" w:hAnsi="Bookman Old Style" w:cs="Arial"/>
          <w:spacing w:val="-3"/>
        </w:rPr>
      </w:pPr>
    </w:p>
    <w:p w:rsidR="009973EE" w:rsidRDefault="009973EE" w:rsidP="002F5DFA">
      <w:pPr>
        <w:tabs>
          <w:tab w:val="center" w:pos="4680"/>
        </w:tabs>
        <w:ind w:left="0"/>
        <w:jc w:val="both"/>
        <w:rPr>
          <w:rFonts w:ascii="Bookman Old Style" w:hAnsi="Bookman Old Style" w:cs="Arial"/>
          <w:spacing w:val="-3"/>
        </w:rPr>
      </w:pPr>
    </w:p>
    <w:p w:rsidR="00582569" w:rsidRDefault="00582569" w:rsidP="002F5DFA">
      <w:pPr>
        <w:tabs>
          <w:tab w:val="center" w:pos="4680"/>
        </w:tabs>
        <w:ind w:left="0"/>
        <w:jc w:val="both"/>
        <w:rPr>
          <w:rFonts w:ascii="Bookman Old Style" w:hAnsi="Bookman Old Style" w:cs="Arial"/>
          <w:spacing w:val="-3"/>
        </w:rPr>
      </w:pPr>
    </w:p>
    <w:tbl>
      <w:tblPr>
        <w:tblW w:w="8294"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7"/>
        <w:gridCol w:w="2517"/>
      </w:tblGrid>
      <w:tr w:rsidR="002F5DFA" w:rsidRPr="00B84711" w:rsidTr="00503440">
        <w:trPr>
          <w:trHeight w:val="503"/>
          <w:tblHeader/>
          <w:jc w:val="center"/>
        </w:trPr>
        <w:tc>
          <w:tcPr>
            <w:tcW w:w="5777" w:type="dxa"/>
            <w:shd w:val="clear" w:color="auto" w:fill="auto"/>
            <w:vAlign w:val="center"/>
            <w:hideMark/>
          </w:tcPr>
          <w:p w:rsidR="002F5DFA" w:rsidRPr="00B84711" w:rsidRDefault="002F5DFA" w:rsidP="002F5DFA">
            <w:pPr>
              <w:keepNext/>
              <w:ind w:left="0"/>
              <w:jc w:val="center"/>
              <w:rPr>
                <w:rFonts w:ascii="Bookman Old Style" w:hAnsi="Bookman Old Style" w:cs="Calibri"/>
                <w:b/>
                <w:bCs/>
                <w:color w:val="000000"/>
                <w:sz w:val="22"/>
                <w:szCs w:val="22"/>
                <w:lang w:val="es-CO" w:eastAsia="es-CO"/>
              </w:rPr>
            </w:pPr>
            <w:r w:rsidRPr="00B84711">
              <w:rPr>
                <w:rFonts w:ascii="Bookman Old Style" w:hAnsi="Bookman Old Style" w:cs="Calibri"/>
                <w:b/>
                <w:bCs/>
                <w:color w:val="000000"/>
                <w:sz w:val="22"/>
                <w:szCs w:val="22"/>
                <w:lang w:val="es-CO" w:eastAsia="es-CO"/>
              </w:rPr>
              <w:lastRenderedPageBreak/>
              <w:t>Costo Anual</w:t>
            </w:r>
          </w:p>
        </w:tc>
        <w:tc>
          <w:tcPr>
            <w:tcW w:w="2517" w:type="dxa"/>
            <w:shd w:val="clear" w:color="auto" w:fill="auto"/>
            <w:vAlign w:val="center"/>
            <w:hideMark/>
          </w:tcPr>
          <w:p w:rsidR="002F5DFA" w:rsidRPr="00B84711" w:rsidRDefault="002F5DFA" w:rsidP="002F5DFA">
            <w:pPr>
              <w:keepNext/>
              <w:ind w:left="0"/>
              <w:jc w:val="center"/>
              <w:rPr>
                <w:rFonts w:ascii="Bookman Old Style" w:hAnsi="Bookman Old Style" w:cs="Calibri"/>
                <w:b/>
                <w:bCs/>
                <w:color w:val="000000"/>
                <w:sz w:val="22"/>
                <w:szCs w:val="22"/>
                <w:lang w:val="es-CO" w:eastAsia="es-CO"/>
              </w:rPr>
            </w:pPr>
            <w:r w:rsidRPr="00B84711">
              <w:rPr>
                <w:rFonts w:ascii="Bookman Old Style" w:hAnsi="Bookman Old Style" w:cs="Calibri"/>
                <w:b/>
                <w:bCs/>
                <w:color w:val="000000"/>
                <w:sz w:val="22"/>
                <w:szCs w:val="22"/>
                <w:lang w:val="es-CO" w:eastAsia="es-CO"/>
              </w:rPr>
              <w:t>Pesos de diciembre de 2008</w:t>
            </w:r>
          </w:p>
        </w:tc>
      </w:tr>
      <w:tr w:rsidR="002F5DFA" w:rsidRPr="00B84711" w:rsidTr="00503440">
        <w:trPr>
          <w:trHeight w:val="360"/>
          <w:jc w:val="center"/>
        </w:trPr>
        <w:tc>
          <w:tcPr>
            <w:tcW w:w="5777" w:type="dxa"/>
            <w:shd w:val="clear" w:color="auto" w:fill="auto"/>
            <w:vAlign w:val="center"/>
            <w:hideMark/>
          </w:tcPr>
          <w:p w:rsidR="002F5DFA" w:rsidRPr="00B84711" w:rsidRDefault="002F5DFA" w:rsidP="002F5DFA">
            <w:pPr>
              <w:tabs>
                <w:tab w:val="center" w:pos="4680"/>
              </w:tabs>
              <w:ind w:left="0"/>
              <w:rPr>
                <w:rFonts w:ascii="Bookman Old Style" w:hAnsi="Bookman Old Style" w:cs="Arial"/>
                <w:spacing w:val="-3"/>
                <w:sz w:val="22"/>
                <w:szCs w:val="22"/>
              </w:rPr>
            </w:pPr>
            <w:r w:rsidRPr="00B84711">
              <w:rPr>
                <w:rFonts w:ascii="Bookman Old Style" w:hAnsi="Bookman Old Style" w:cs="Arial"/>
                <w:spacing w:val="-3"/>
                <w:sz w:val="22"/>
                <w:szCs w:val="22"/>
              </w:rPr>
              <w:t xml:space="preserve">Costo Anual Equivalente del Activo Eléctrico </w:t>
            </w:r>
            <w:r w:rsidRPr="00503440">
              <w:rPr>
                <w:rFonts w:ascii="Bookman Old Style" w:hAnsi="Bookman Old Style" w:cs="Arial"/>
                <w:i/>
                <w:spacing w:val="-3"/>
                <w:sz w:val="22"/>
                <w:szCs w:val="22"/>
              </w:rPr>
              <w:t>(</w:t>
            </w:r>
            <w:proofErr w:type="spellStart"/>
            <w:r w:rsidRPr="00503440">
              <w:rPr>
                <w:rFonts w:ascii="Bookman Old Style" w:hAnsi="Bookman Old Style" w:cs="Arial"/>
                <w:i/>
                <w:spacing w:val="-3"/>
                <w:sz w:val="22"/>
                <w:szCs w:val="22"/>
              </w:rPr>
              <w:t>CAEAj</w:t>
            </w:r>
            <w:proofErr w:type="spellEnd"/>
            <w:r w:rsidRPr="00503440">
              <w:rPr>
                <w:rFonts w:ascii="Bookman Old Style" w:hAnsi="Bookman Old Style" w:cs="Arial"/>
                <w:i/>
                <w:spacing w:val="-3"/>
                <w:sz w:val="22"/>
                <w:szCs w:val="22"/>
              </w:rPr>
              <w:t>)</w:t>
            </w:r>
          </w:p>
        </w:tc>
        <w:tc>
          <w:tcPr>
            <w:tcW w:w="2517" w:type="dxa"/>
            <w:shd w:val="clear" w:color="auto" w:fill="auto"/>
            <w:vAlign w:val="center"/>
            <w:hideMark/>
          </w:tcPr>
          <w:p w:rsidR="002F5DFA" w:rsidRPr="00503440" w:rsidRDefault="002F5DFA" w:rsidP="00503440">
            <w:pPr>
              <w:ind w:left="0"/>
              <w:jc w:val="right"/>
              <w:rPr>
                <w:rFonts w:ascii="Bookman Old Style" w:hAnsi="Bookman Old Style"/>
                <w:sz w:val="22"/>
                <w:szCs w:val="22"/>
              </w:rPr>
            </w:pPr>
            <w:r w:rsidRPr="00503440">
              <w:rPr>
                <w:rFonts w:ascii="Bookman Old Style" w:hAnsi="Bookman Old Style"/>
                <w:sz w:val="22"/>
                <w:szCs w:val="22"/>
              </w:rPr>
              <w:t xml:space="preserve">        </w:t>
            </w:r>
            <w:r w:rsidR="00503440" w:rsidRPr="00503440">
              <w:rPr>
                <w:rFonts w:ascii="Bookman Old Style" w:hAnsi="Bookman Old Style"/>
                <w:sz w:val="22"/>
                <w:szCs w:val="22"/>
              </w:rPr>
              <w:t>51.264.336.017</w:t>
            </w:r>
          </w:p>
        </w:tc>
      </w:tr>
      <w:tr w:rsidR="00503440" w:rsidRPr="00503440" w:rsidTr="00503440">
        <w:trPr>
          <w:trHeight w:val="360"/>
          <w:jc w:val="center"/>
        </w:trPr>
        <w:tc>
          <w:tcPr>
            <w:tcW w:w="5777" w:type="dxa"/>
            <w:shd w:val="clear" w:color="auto" w:fill="auto"/>
            <w:vAlign w:val="center"/>
            <w:hideMark/>
          </w:tcPr>
          <w:p w:rsidR="00503440" w:rsidRPr="00503440" w:rsidRDefault="00503440" w:rsidP="00503440">
            <w:pPr>
              <w:tabs>
                <w:tab w:val="center" w:pos="4680"/>
              </w:tabs>
              <w:ind w:left="0"/>
              <w:rPr>
                <w:rFonts w:ascii="Bookman Old Style" w:hAnsi="Bookman Old Style" w:cs="Arial"/>
                <w:spacing w:val="-3"/>
                <w:sz w:val="22"/>
                <w:szCs w:val="22"/>
              </w:rPr>
            </w:pPr>
            <w:r w:rsidRPr="00503440">
              <w:rPr>
                <w:rFonts w:ascii="Bookman Old Style" w:hAnsi="Bookman Old Style" w:cs="Arial"/>
                <w:spacing w:val="-3"/>
                <w:sz w:val="22"/>
                <w:szCs w:val="22"/>
              </w:rPr>
              <w:t xml:space="preserve">Valor de los gastos de AOM </w:t>
            </w:r>
            <w:r w:rsidRPr="00503440">
              <w:rPr>
                <w:rFonts w:ascii="Bookman Old Style" w:hAnsi="Bookman Old Style" w:cs="Arial"/>
                <w:i/>
                <w:spacing w:val="-3"/>
                <w:sz w:val="22"/>
                <w:szCs w:val="22"/>
              </w:rPr>
              <w:t>(</w:t>
            </w:r>
            <w:proofErr w:type="spellStart"/>
            <w:r w:rsidRPr="00503440">
              <w:rPr>
                <w:rFonts w:ascii="Bookman Old Style" w:hAnsi="Bookman Old Style" w:cs="Arial"/>
                <w:i/>
                <w:spacing w:val="-3"/>
                <w:sz w:val="22"/>
                <w:szCs w:val="22"/>
              </w:rPr>
              <w:t>VAOMj</w:t>
            </w:r>
            <w:proofErr w:type="spellEnd"/>
            <w:r w:rsidRPr="00503440">
              <w:rPr>
                <w:rFonts w:ascii="Bookman Old Style" w:hAnsi="Bookman Old Style" w:cs="Arial"/>
                <w:i/>
                <w:spacing w:val="-3"/>
                <w:sz w:val="22"/>
                <w:szCs w:val="22"/>
              </w:rPr>
              <w:t>)</w:t>
            </w:r>
          </w:p>
        </w:tc>
        <w:tc>
          <w:tcPr>
            <w:tcW w:w="2517" w:type="dxa"/>
            <w:shd w:val="clear" w:color="auto" w:fill="auto"/>
            <w:vAlign w:val="center"/>
          </w:tcPr>
          <w:p w:rsidR="00503440" w:rsidRPr="00503440" w:rsidRDefault="00503440" w:rsidP="00503440">
            <w:pPr>
              <w:ind w:left="0"/>
              <w:jc w:val="right"/>
              <w:rPr>
                <w:rFonts w:ascii="Bookman Old Style" w:hAnsi="Bookman Old Style"/>
                <w:sz w:val="22"/>
                <w:szCs w:val="22"/>
              </w:rPr>
            </w:pPr>
            <w:r w:rsidRPr="00503440">
              <w:rPr>
                <w:rFonts w:ascii="Bookman Old Style" w:hAnsi="Bookman Old Style"/>
                <w:sz w:val="22"/>
                <w:szCs w:val="22"/>
              </w:rPr>
              <w:t xml:space="preserve">         12.811.535.937 </w:t>
            </w:r>
          </w:p>
        </w:tc>
      </w:tr>
    </w:tbl>
    <w:p w:rsidR="002F5DFA" w:rsidRDefault="002F5DFA" w:rsidP="002F5DFA">
      <w:pPr>
        <w:tabs>
          <w:tab w:val="center" w:pos="4680"/>
        </w:tabs>
        <w:ind w:left="0"/>
        <w:jc w:val="both"/>
        <w:rPr>
          <w:rFonts w:ascii="Bookman Old Style" w:hAnsi="Bookman Old Style" w:cs="Arial"/>
          <w:spacing w:val="-3"/>
        </w:rPr>
      </w:pPr>
    </w:p>
    <w:p w:rsidR="002F5DFA" w:rsidRPr="00B84711" w:rsidRDefault="002F5DFA" w:rsidP="002F5DFA">
      <w:pPr>
        <w:tabs>
          <w:tab w:val="center" w:pos="4680"/>
        </w:tabs>
        <w:ind w:left="0"/>
        <w:jc w:val="both"/>
        <w:rPr>
          <w:rFonts w:ascii="Bookman Old Style" w:hAnsi="Bookman Old Style" w:cs="Arial"/>
          <w:spacing w:val="-3"/>
        </w:rPr>
      </w:pPr>
      <w:r w:rsidRPr="00B84711">
        <w:rPr>
          <w:rFonts w:ascii="Bookman Old Style" w:hAnsi="Bookman Old Style" w:cs="Arial"/>
          <w:spacing w:val="-3"/>
        </w:rPr>
        <w:t xml:space="preserve">La Comisión de Regulación de Energía y Gas, en su </w:t>
      </w:r>
      <w:r w:rsidRPr="00D3495E">
        <w:rPr>
          <w:rFonts w:ascii="Bookman Old Style" w:hAnsi="Bookman Old Style" w:cs="Arial"/>
          <w:spacing w:val="-3"/>
        </w:rPr>
        <w:t xml:space="preserve">sesión </w:t>
      </w:r>
      <w:r w:rsidR="003F1AA5" w:rsidRPr="00D3495E">
        <w:rPr>
          <w:rFonts w:ascii="Bookman Old Style" w:hAnsi="Bookman Old Style" w:cs="Arial"/>
          <w:spacing w:val="-3"/>
        </w:rPr>
        <w:t>508</w:t>
      </w:r>
      <w:r w:rsidRPr="00D3495E">
        <w:rPr>
          <w:rFonts w:ascii="Bookman Old Style" w:hAnsi="Bookman Old Style" w:cs="Arial"/>
          <w:spacing w:val="-3"/>
        </w:rPr>
        <w:t xml:space="preserve">  del </w:t>
      </w:r>
      <w:r w:rsidR="00D3495E">
        <w:rPr>
          <w:rFonts w:ascii="Bookman Old Style" w:hAnsi="Bookman Old Style" w:cs="Arial"/>
          <w:spacing w:val="-3"/>
        </w:rPr>
        <w:t>22</w:t>
      </w:r>
      <w:r w:rsidRPr="00D3495E">
        <w:rPr>
          <w:rFonts w:ascii="Bookman Old Style" w:hAnsi="Bookman Old Style" w:cs="Arial"/>
          <w:spacing w:val="-3"/>
        </w:rPr>
        <w:t xml:space="preserve"> de </w:t>
      </w:r>
      <w:r w:rsidR="00D3495E">
        <w:rPr>
          <w:rFonts w:ascii="Bookman Old Style" w:hAnsi="Bookman Old Style" w:cs="Arial"/>
          <w:spacing w:val="-3"/>
        </w:rPr>
        <w:t>diciembre</w:t>
      </w:r>
      <w:r w:rsidRPr="00B84711">
        <w:rPr>
          <w:rFonts w:ascii="Bookman Old Style" w:hAnsi="Bookman Old Style" w:cs="Arial"/>
          <w:spacing w:val="-3"/>
        </w:rPr>
        <w:t xml:space="preserve"> de 2011, aprobó </w:t>
      </w:r>
      <w:r w:rsidR="00582569">
        <w:rPr>
          <w:rFonts w:ascii="Bookman Old Style" w:hAnsi="Bookman Old Style" w:cs="Arial"/>
          <w:spacing w:val="-3"/>
        </w:rPr>
        <w:t>modificar</w:t>
      </w:r>
      <w:r>
        <w:rPr>
          <w:rFonts w:ascii="Bookman Old Style" w:hAnsi="Bookman Old Style" w:cs="Arial"/>
          <w:spacing w:val="-3"/>
        </w:rPr>
        <w:t xml:space="preserve"> la base de activos de </w:t>
      </w:r>
      <w:r w:rsidR="00124452">
        <w:rPr>
          <w:rFonts w:ascii="Bookman Old Style" w:hAnsi="Bookman Old Style" w:cs="Arial"/>
          <w:spacing w:val="-3"/>
        </w:rPr>
        <w:t>Empresas Públicas de Medellín</w:t>
      </w:r>
      <w:r w:rsidRPr="00B84711">
        <w:rPr>
          <w:rFonts w:ascii="Bookman Old Style" w:hAnsi="Bookman Old Style" w:cs="Arial"/>
          <w:spacing w:val="-3"/>
        </w:rPr>
        <w:t xml:space="preserve"> E.S.P. </w:t>
      </w:r>
      <w:r>
        <w:rPr>
          <w:rFonts w:ascii="Bookman Old Style" w:hAnsi="Bookman Old Style" w:cs="Arial"/>
          <w:spacing w:val="-3"/>
        </w:rPr>
        <w:t xml:space="preserve">y </w:t>
      </w:r>
      <w:r w:rsidR="003547B8">
        <w:rPr>
          <w:rFonts w:ascii="Bookman Old Style" w:hAnsi="Bookman Old Style"/>
        </w:rPr>
        <w:t>expedir la presente resolución.</w:t>
      </w:r>
    </w:p>
    <w:p w:rsidR="002F5DFA" w:rsidRPr="00B84711" w:rsidRDefault="002F5DFA" w:rsidP="002F5DFA">
      <w:pPr>
        <w:tabs>
          <w:tab w:val="left" w:pos="993"/>
        </w:tabs>
        <w:spacing w:after="120"/>
        <w:ind w:left="0"/>
        <w:jc w:val="both"/>
        <w:rPr>
          <w:rFonts w:ascii="Bookman Old Style" w:hAnsi="Bookman Old Style"/>
        </w:rPr>
      </w:pPr>
    </w:p>
    <w:p w:rsidR="002F5DFA" w:rsidRPr="00B84711" w:rsidRDefault="002F5DFA" w:rsidP="002F5DFA">
      <w:pPr>
        <w:jc w:val="center"/>
        <w:rPr>
          <w:rFonts w:ascii="Bookman Old Style" w:hAnsi="Bookman Old Style"/>
          <w:b/>
        </w:rPr>
      </w:pPr>
    </w:p>
    <w:p w:rsidR="002F5DFA" w:rsidRPr="00B84711" w:rsidRDefault="002F5DFA" w:rsidP="002F5DFA">
      <w:pPr>
        <w:jc w:val="center"/>
        <w:rPr>
          <w:rFonts w:ascii="Bookman Old Style" w:hAnsi="Bookman Old Style"/>
          <w:b/>
        </w:rPr>
      </w:pPr>
      <w:r w:rsidRPr="00B84711">
        <w:rPr>
          <w:rFonts w:ascii="Bookman Old Style" w:hAnsi="Bookman Old Style"/>
          <w:b/>
        </w:rPr>
        <w:t>R E</w:t>
      </w:r>
      <w:r w:rsidRPr="00B84711">
        <w:rPr>
          <w:rFonts w:ascii="Bookman Old Style" w:hAnsi="Bookman Old Style"/>
        </w:rPr>
        <w:t xml:space="preserve"> </w:t>
      </w:r>
      <w:r w:rsidRPr="00B84711">
        <w:rPr>
          <w:rFonts w:ascii="Bookman Old Style" w:hAnsi="Bookman Old Style"/>
          <w:b/>
        </w:rPr>
        <w:t>S U E L V E:</w:t>
      </w:r>
    </w:p>
    <w:p w:rsidR="002F5DFA" w:rsidRDefault="002F5DFA" w:rsidP="002F5DFA">
      <w:pPr>
        <w:rPr>
          <w:rFonts w:ascii="Bookman Old Style" w:hAnsi="Bookman Old Style"/>
        </w:rPr>
      </w:pPr>
    </w:p>
    <w:p w:rsidR="009D219A" w:rsidRDefault="009D219A" w:rsidP="002F5DFA">
      <w:pPr>
        <w:rPr>
          <w:rFonts w:ascii="Bookman Old Style" w:hAnsi="Bookman Old Style"/>
        </w:rPr>
      </w:pPr>
    </w:p>
    <w:p w:rsidR="00EF424D" w:rsidRPr="008929C2" w:rsidRDefault="008929C2" w:rsidP="002F5DFA">
      <w:pPr>
        <w:pStyle w:val="Prrafodelista"/>
        <w:numPr>
          <w:ilvl w:val="0"/>
          <w:numId w:val="26"/>
        </w:numPr>
        <w:jc w:val="both"/>
        <w:rPr>
          <w:rFonts w:ascii="Bookman Old Style" w:hAnsi="Bookman Old Style"/>
        </w:rPr>
      </w:pPr>
      <w:r w:rsidRPr="003A4E91">
        <w:rPr>
          <w:rFonts w:ascii="Bookman Old Style" w:hAnsi="Bookman Old Style"/>
          <w:sz w:val="24"/>
        </w:rPr>
        <w:t>M</w:t>
      </w:r>
      <w:r>
        <w:rPr>
          <w:rFonts w:ascii="Bookman Old Style" w:hAnsi="Bookman Old Style"/>
          <w:sz w:val="24"/>
        </w:rPr>
        <w:t>odificar l</w:t>
      </w:r>
      <w:r w:rsidR="00F445CA">
        <w:rPr>
          <w:rFonts w:ascii="Bookman Old Style" w:hAnsi="Bookman Old Style"/>
          <w:sz w:val="24"/>
        </w:rPr>
        <w:t xml:space="preserve">a base de activos de Empresas Públicas de Medellín E.S.P., aprobada en el </w:t>
      </w:r>
      <w:r w:rsidR="00976E3B">
        <w:rPr>
          <w:rFonts w:ascii="Bookman Old Style" w:hAnsi="Bookman Old Style"/>
          <w:sz w:val="24"/>
        </w:rPr>
        <w:t>Artículo 3</w:t>
      </w:r>
      <w:r w:rsidR="00F445CA">
        <w:rPr>
          <w:rFonts w:ascii="Bookman Old Style" w:hAnsi="Bookman Old Style"/>
          <w:sz w:val="24"/>
        </w:rPr>
        <w:t xml:space="preserve"> de la Resolución CREG </w:t>
      </w:r>
      <w:r w:rsidR="00976E3B">
        <w:rPr>
          <w:rFonts w:ascii="Bookman Old Style" w:hAnsi="Bookman Old Style"/>
          <w:sz w:val="24"/>
        </w:rPr>
        <w:t>112</w:t>
      </w:r>
      <w:r w:rsidR="00F445CA">
        <w:rPr>
          <w:rFonts w:ascii="Bookman Old Style" w:hAnsi="Bookman Old Style"/>
          <w:sz w:val="24"/>
        </w:rPr>
        <w:t xml:space="preserve"> de </w:t>
      </w:r>
      <w:r w:rsidR="00573E39">
        <w:rPr>
          <w:rFonts w:ascii="Bookman Old Style" w:hAnsi="Bookman Old Style"/>
          <w:sz w:val="24"/>
        </w:rPr>
        <w:t>2010, modificado</w:t>
      </w:r>
      <w:r w:rsidR="00976E3B">
        <w:rPr>
          <w:rFonts w:ascii="Bookman Old Style" w:hAnsi="Bookman Old Style"/>
          <w:sz w:val="24"/>
        </w:rPr>
        <w:t xml:space="preserve"> por la </w:t>
      </w:r>
      <w:r w:rsidR="00976E3B" w:rsidRPr="00976E3B">
        <w:rPr>
          <w:rFonts w:ascii="Bookman Old Style" w:hAnsi="Bookman Old Style"/>
          <w:sz w:val="24"/>
        </w:rPr>
        <w:t xml:space="preserve">Resolución CREG </w:t>
      </w:r>
      <w:r w:rsidR="00976E3B">
        <w:rPr>
          <w:rFonts w:ascii="Bookman Old Style" w:hAnsi="Bookman Old Style"/>
          <w:sz w:val="24"/>
        </w:rPr>
        <w:t>177</w:t>
      </w:r>
      <w:r w:rsidR="00976E3B" w:rsidRPr="00976E3B">
        <w:rPr>
          <w:rFonts w:ascii="Bookman Old Style" w:hAnsi="Bookman Old Style"/>
          <w:sz w:val="24"/>
        </w:rPr>
        <w:t xml:space="preserve"> de </w:t>
      </w:r>
      <w:r w:rsidR="00976E3B">
        <w:rPr>
          <w:rFonts w:ascii="Bookman Old Style" w:hAnsi="Bookman Old Style"/>
          <w:sz w:val="24"/>
        </w:rPr>
        <w:t xml:space="preserve">2010, </w:t>
      </w:r>
      <w:r w:rsidR="00EF424D">
        <w:rPr>
          <w:rFonts w:ascii="Bookman Old Style" w:hAnsi="Bookman Old Style"/>
          <w:sz w:val="24"/>
        </w:rPr>
        <w:t xml:space="preserve">en el sentido de retirar dos </w:t>
      </w:r>
      <w:r w:rsidR="00CD449D">
        <w:rPr>
          <w:rFonts w:ascii="Bookman Old Style" w:hAnsi="Bookman Old Style"/>
          <w:sz w:val="24"/>
        </w:rPr>
        <w:t xml:space="preserve">(2) </w:t>
      </w:r>
      <w:r w:rsidR="00573E39">
        <w:rPr>
          <w:rFonts w:ascii="Bookman Old Style" w:hAnsi="Bookman Old Style"/>
          <w:sz w:val="24"/>
        </w:rPr>
        <w:t xml:space="preserve">unidades constructivas </w:t>
      </w:r>
      <w:r w:rsidR="00EF424D">
        <w:rPr>
          <w:rFonts w:ascii="Bookman Old Style" w:hAnsi="Bookman Old Style"/>
          <w:sz w:val="24"/>
        </w:rPr>
        <w:t xml:space="preserve">SE241.  </w:t>
      </w:r>
    </w:p>
    <w:p w:rsidR="00EF424D" w:rsidRDefault="00EF424D" w:rsidP="008929C2">
      <w:pPr>
        <w:pStyle w:val="Prrafodelista"/>
        <w:ind w:left="0"/>
        <w:jc w:val="both"/>
        <w:rPr>
          <w:rFonts w:ascii="Bookman Old Style" w:hAnsi="Bookman Old Style"/>
          <w:sz w:val="24"/>
        </w:rPr>
      </w:pPr>
    </w:p>
    <w:p w:rsidR="002F5DFA" w:rsidRDefault="008929C2" w:rsidP="008929C2">
      <w:pPr>
        <w:pStyle w:val="Prrafodelista"/>
        <w:ind w:left="0"/>
        <w:jc w:val="both"/>
        <w:rPr>
          <w:rFonts w:ascii="Bookman Old Style" w:hAnsi="Bookman Old Style"/>
          <w:sz w:val="24"/>
        </w:rPr>
      </w:pPr>
      <w:r>
        <w:rPr>
          <w:rFonts w:ascii="Bookman Old Style" w:hAnsi="Bookman Old Style"/>
          <w:sz w:val="24"/>
        </w:rPr>
        <w:t xml:space="preserve">Los registros No. 57 y 58 del listado de </w:t>
      </w:r>
      <w:r w:rsidR="00573E39">
        <w:rPr>
          <w:rFonts w:ascii="Bookman Old Style" w:hAnsi="Bookman Old Style"/>
          <w:sz w:val="24"/>
        </w:rPr>
        <w:t xml:space="preserve">unidades constructivas </w:t>
      </w:r>
      <w:r>
        <w:rPr>
          <w:rFonts w:ascii="Bookman Old Style" w:hAnsi="Bookman Old Style"/>
          <w:sz w:val="24"/>
        </w:rPr>
        <w:t xml:space="preserve">del numeral 1 del Anexo de la </w:t>
      </w:r>
      <w:r w:rsidRPr="00EF424D">
        <w:rPr>
          <w:rFonts w:ascii="Bookman Old Style" w:hAnsi="Bookman Old Style"/>
          <w:sz w:val="24"/>
        </w:rPr>
        <w:t xml:space="preserve">Resolución CREG </w:t>
      </w:r>
      <w:r>
        <w:rPr>
          <w:rFonts w:ascii="Bookman Old Style" w:hAnsi="Bookman Old Style"/>
          <w:sz w:val="24"/>
        </w:rPr>
        <w:t>177</w:t>
      </w:r>
      <w:r w:rsidRPr="00EF424D">
        <w:rPr>
          <w:rFonts w:ascii="Bookman Old Style" w:hAnsi="Bookman Old Style"/>
          <w:sz w:val="24"/>
        </w:rPr>
        <w:t xml:space="preserve"> de </w:t>
      </w:r>
      <w:r>
        <w:rPr>
          <w:rFonts w:ascii="Bookman Old Style" w:hAnsi="Bookman Old Style"/>
          <w:sz w:val="24"/>
        </w:rPr>
        <w:t>2010, quedarán así:</w:t>
      </w:r>
      <w:r w:rsidR="006D6ADE">
        <w:rPr>
          <w:rFonts w:ascii="Bookman Old Style" w:hAnsi="Bookman Old Style"/>
          <w:sz w:val="24"/>
        </w:rPr>
        <w:t xml:space="preserve"> </w:t>
      </w:r>
    </w:p>
    <w:p w:rsidR="003F1AA5" w:rsidRPr="008929C2" w:rsidRDefault="003F1AA5" w:rsidP="008929C2">
      <w:pPr>
        <w:pStyle w:val="Prrafodelista"/>
        <w:ind w:left="0"/>
        <w:jc w:val="both"/>
        <w:rPr>
          <w:rFonts w:ascii="Bookman Old Style" w:hAnsi="Bookman Old Style"/>
          <w:sz w:val="24"/>
        </w:rPr>
      </w:pPr>
    </w:p>
    <w:p w:rsidR="002F5DFA" w:rsidRDefault="002F5DFA" w:rsidP="002F5DFA">
      <w:pPr>
        <w:pStyle w:val="Prrafodelista"/>
        <w:ind w:left="0"/>
        <w:rPr>
          <w:rFonts w:ascii="Bookman Old Style" w:hAnsi="Bookman Old Style"/>
          <w:sz w:val="24"/>
        </w:rPr>
      </w:pPr>
    </w:p>
    <w:tbl>
      <w:tblPr>
        <w:tblW w:w="4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70" w:type="dxa"/>
        </w:tblCellMar>
        <w:tblLook w:val="04A0" w:firstRow="1" w:lastRow="0" w:firstColumn="1" w:lastColumn="0" w:noHBand="0" w:noVBand="1"/>
      </w:tblPr>
      <w:tblGrid>
        <w:gridCol w:w="593"/>
        <w:gridCol w:w="2010"/>
        <w:gridCol w:w="908"/>
        <w:gridCol w:w="1083"/>
      </w:tblGrid>
      <w:tr w:rsidR="00EF424D" w:rsidRPr="00B84711" w:rsidTr="008929C2">
        <w:trPr>
          <w:trHeight w:val="227"/>
          <w:tblHeader/>
          <w:jc w:val="center"/>
        </w:trPr>
        <w:tc>
          <w:tcPr>
            <w:tcW w:w="593" w:type="dxa"/>
            <w:vAlign w:val="center"/>
          </w:tcPr>
          <w:p w:rsidR="00EF424D" w:rsidRPr="00B84711" w:rsidRDefault="00EF424D" w:rsidP="00EF424D">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No.</w:t>
            </w:r>
          </w:p>
        </w:tc>
        <w:tc>
          <w:tcPr>
            <w:tcW w:w="2010" w:type="dxa"/>
            <w:shd w:val="clear" w:color="auto" w:fill="auto"/>
            <w:noWrap/>
            <w:vAlign w:val="center"/>
            <w:hideMark/>
          </w:tcPr>
          <w:p w:rsidR="00EF424D" w:rsidRPr="00B84711" w:rsidRDefault="00EF424D" w:rsidP="00EF424D">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Subestación</w:t>
            </w:r>
          </w:p>
        </w:tc>
        <w:tc>
          <w:tcPr>
            <w:tcW w:w="908" w:type="dxa"/>
            <w:shd w:val="clear" w:color="auto" w:fill="auto"/>
            <w:noWrap/>
            <w:vAlign w:val="center"/>
            <w:hideMark/>
          </w:tcPr>
          <w:p w:rsidR="00EF424D" w:rsidRPr="00B84711" w:rsidRDefault="00EF424D" w:rsidP="00EF424D">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UC</w:t>
            </w:r>
          </w:p>
        </w:tc>
        <w:tc>
          <w:tcPr>
            <w:tcW w:w="1083" w:type="dxa"/>
            <w:shd w:val="clear" w:color="auto" w:fill="auto"/>
            <w:noWrap/>
            <w:vAlign w:val="center"/>
            <w:hideMark/>
          </w:tcPr>
          <w:p w:rsidR="00EF424D" w:rsidRPr="00B84711" w:rsidRDefault="00EF424D" w:rsidP="00EF424D">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PU</w:t>
            </w:r>
          </w:p>
        </w:tc>
      </w:tr>
      <w:tr w:rsidR="00EF424D" w:rsidRPr="00B84711" w:rsidTr="008929C2">
        <w:trPr>
          <w:trHeight w:val="227"/>
          <w:jc w:val="center"/>
        </w:trPr>
        <w:tc>
          <w:tcPr>
            <w:tcW w:w="593" w:type="dxa"/>
            <w:vAlign w:val="center"/>
          </w:tcPr>
          <w:p w:rsidR="00EF424D" w:rsidRPr="00B84711" w:rsidRDefault="00EF424D" w:rsidP="008929C2">
            <w:pPr>
              <w:numPr>
                <w:ilvl w:val="0"/>
                <w:numId w:val="43"/>
              </w:numPr>
              <w:ind w:right="-144"/>
              <w:jc w:val="center"/>
              <w:rPr>
                <w:rFonts w:ascii="Bookman Old Style" w:hAnsi="Bookman Old Style" w:cs="Arial"/>
                <w:i/>
                <w:color w:val="000000"/>
                <w:sz w:val="22"/>
                <w:szCs w:val="18"/>
              </w:rPr>
            </w:pPr>
            <w:r>
              <w:rPr>
                <w:rFonts w:ascii="Bookman Old Style" w:hAnsi="Bookman Old Style" w:cs="Arial"/>
                <w:i/>
                <w:color w:val="000000"/>
                <w:sz w:val="22"/>
                <w:szCs w:val="18"/>
              </w:rPr>
              <w:t xml:space="preserve">. </w:t>
            </w:r>
          </w:p>
        </w:tc>
        <w:tc>
          <w:tcPr>
            <w:tcW w:w="2010" w:type="dxa"/>
            <w:shd w:val="clear" w:color="auto" w:fill="auto"/>
            <w:noWrap/>
            <w:vAlign w:val="center"/>
            <w:hideMark/>
          </w:tcPr>
          <w:p w:rsidR="00EF424D" w:rsidRPr="00B84711" w:rsidRDefault="00EF424D" w:rsidP="008929C2">
            <w:pPr>
              <w:ind w:left="21"/>
              <w:rPr>
                <w:rFonts w:ascii="Bookman Old Style" w:hAnsi="Bookman Old Style" w:cs="Arial"/>
                <w:i/>
                <w:color w:val="000000"/>
                <w:sz w:val="22"/>
                <w:szCs w:val="18"/>
              </w:rPr>
            </w:pPr>
            <w:proofErr w:type="spellStart"/>
            <w:r>
              <w:rPr>
                <w:rFonts w:ascii="Bookman Old Style" w:hAnsi="Bookman Old Style" w:cs="Arial"/>
                <w:i/>
                <w:color w:val="000000"/>
                <w:sz w:val="22"/>
                <w:szCs w:val="18"/>
              </w:rPr>
              <w:t>Guatapé</w:t>
            </w:r>
            <w:proofErr w:type="spellEnd"/>
          </w:p>
        </w:tc>
        <w:tc>
          <w:tcPr>
            <w:tcW w:w="908" w:type="dxa"/>
            <w:shd w:val="clear" w:color="auto" w:fill="auto"/>
            <w:noWrap/>
            <w:vAlign w:val="center"/>
            <w:hideMark/>
          </w:tcPr>
          <w:p w:rsidR="00EF424D" w:rsidRPr="00B84711" w:rsidRDefault="00EF424D" w:rsidP="00EF424D">
            <w:pPr>
              <w:ind w:left="52"/>
              <w:jc w:val="center"/>
              <w:rPr>
                <w:rFonts w:ascii="Bookman Old Style" w:hAnsi="Bookman Old Style" w:cs="Arial"/>
                <w:i/>
                <w:color w:val="000000"/>
                <w:sz w:val="22"/>
                <w:szCs w:val="18"/>
              </w:rPr>
            </w:pPr>
            <w:r>
              <w:rPr>
                <w:rFonts w:ascii="Bookman Old Style" w:hAnsi="Bookman Old Style" w:cs="Arial"/>
                <w:i/>
                <w:color w:val="000000"/>
                <w:sz w:val="22"/>
                <w:szCs w:val="18"/>
              </w:rPr>
              <w:t>-</w:t>
            </w:r>
            <w:r w:rsidR="008929C2">
              <w:rPr>
                <w:rFonts w:ascii="Bookman Old Style" w:hAnsi="Bookman Old Style" w:cs="Arial"/>
                <w:i/>
                <w:color w:val="000000"/>
                <w:sz w:val="22"/>
                <w:szCs w:val="18"/>
              </w:rPr>
              <w:t>-</w:t>
            </w:r>
          </w:p>
        </w:tc>
        <w:tc>
          <w:tcPr>
            <w:tcW w:w="1083" w:type="dxa"/>
            <w:shd w:val="clear" w:color="auto" w:fill="auto"/>
            <w:noWrap/>
            <w:vAlign w:val="center"/>
            <w:hideMark/>
          </w:tcPr>
          <w:p w:rsidR="00EF424D" w:rsidRPr="00B84711" w:rsidRDefault="008929C2" w:rsidP="00EF424D">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w:t>
            </w:r>
          </w:p>
        </w:tc>
      </w:tr>
      <w:tr w:rsidR="00EF424D" w:rsidRPr="00B84711" w:rsidTr="008929C2">
        <w:trPr>
          <w:trHeight w:val="227"/>
          <w:jc w:val="center"/>
        </w:trPr>
        <w:tc>
          <w:tcPr>
            <w:tcW w:w="593" w:type="dxa"/>
            <w:vAlign w:val="center"/>
          </w:tcPr>
          <w:p w:rsidR="00EF424D" w:rsidRPr="00B84711" w:rsidRDefault="00EF424D" w:rsidP="00EF424D">
            <w:pPr>
              <w:numPr>
                <w:ilvl w:val="0"/>
                <w:numId w:val="43"/>
              </w:numPr>
              <w:ind w:right="-144"/>
              <w:jc w:val="center"/>
              <w:rPr>
                <w:rFonts w:ascii="Bookman Old Style" w:hAnsi="Bookman Old Style" w:cs="Arial"/>
                <w:i/>
                <w:color w:val="000000"/>
                <w:sz w:val="22"/>
                <w:szCs w:val="18"/>
              </w:rPr>
            </w:pPr>
            <w:r>
              <w:rPr>
                <w:rFonts w:ascii="Bookman Old Style" w:hAnsi="Bookman Old Style" w:cs="Arial"/>
                <w:i/>
                <w:color w:val="000000"/>
                <w:sz w:val="22"/>
                <w:szCs w:val="18"/>
              </w:rPr>
              <w:t xml:space="preserve">. </w:t>
            </w:r>
          </w:p>
        </w:tc>
        <w:tc>
          <w:tcPr>
            <w:tcW w:w="2010" w:type="dxa"/>
            <w:shd w:val="clear" w:color="auto" w:fill="auto"/>
            <w:noWrap/>
            <w:vAlign w:val="center"/>
          </w:tcPr>
          <w:p w:rsidR="00EF424D" w:rsidRDefault="00EF424D" w:rsidP="008929C2">
            <w:pPr>
              <w:ind w:left="21"/>
              <w:rPr>
                <w:rFonts w:ascii="Bookman Old Style" w:hAnsi="Bookman Old Style" w:cs="Arial"/>
                <w:i/>
                <w:color w:val="000000"/>
                <w:sz w:val="22"/>
                <w:szCs w:val="18"/>
              </w:rPr>
            </w:pPr>
            <w:proofErr w:type="spellStart"/>
            <w:r>
              <w:rPr>
                <w:rFonts w:ascii="Bookman Old Style" w:hAnsi="Bookman Old Style" w:cs="Arial"/>
                <w:i/>
                <w:color w:val="000000"/>
                <w:sz w:val="22"/>
                <w:szCs w:val="18"/>
              </w:rPr>
              <w:t>Guatapé</w:t>
            </w:r>
            <w:proofErr w:type="spellEnd"/>
          </w:p>
        </w:tc>
        <w:tc>
          <w:tcPr>
            <w:tcW w:w="908" w:type="dxa"/>
            <w:shd w:val="clear" w:color="auto" w:fill="auto"/>
            <w:noWrap/>
            <w:vAlign w:val="center"/>
          </w:tcPr>
          <w:p w:rsidR="00EF424D" w:rsidRDefault="00EF424D" w:rsidP="00EF424D">
            <w:pPr>
              <w:ind w:left="52"/>
              <w:jc w:val="center"/>
              <w:rPr>
                <w:rFonts w:ascii="Bookman Old Style" w:hAnsi="Bookman Old Style" w:cs="Arial"/>
                <w:i/>
                <w:color w:val="000000"/>
                <w:sz w:val="22"/>
                <w:szCs w:val="18"/>
              </w:rPr>
            </w:pPr>
            <w:r>
              <w:rPr>
                <w:rFonts w:ascii="Bookman Old Style" w:hAnsi="Bookman Old Style" w:cs="Arial"/>
                <w:i/>
                <w:color w:val="000000"/>
                <w:sz w:val="22"/>
                <w:szCs w:val="18"/>
              </w:rPr>
              <w:t>--</w:t>
            </w:r>
          </w:p>
        </w:tc>
        <w:tc>
          <w:tcPr>
            <w:tcW w:w="1083" w:type="dxa"/>
            <w:shd w:val="clear" w:color="auto" w:fill="auto"/>
            <w:noWrap/>
            <w:vAlign w:val="center"/>
          </w:tcPr>
          <w:p w:rsidR="00EF424D" w:rsidRPr="00B84711" w:rsidRDefault="008929C2" w:rsidP="00EF424D">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w:t>
            </w:r>
          </w:p>
        </w:tc>
      </w:tr>
    </w:tbl>
    <w:p w:rsidR="00EF424D" w:rsidRDefault="00EF424D" w:rsidP="002F5DFA">
      <w:pPr>
        <w:pStyle w:val="Prrafodelista"/>
        <w:ind w:left="0"/>
        <w:rPr>
          <w:rFonts w:ascii="Bookman Old Style" w:hAnsi="Bookman Old Style"/>
          <w:sz w:val="24"/>
        </w:rPr>
      </w:pPr>
    </w:p>
    <w:p w:rsidR="008929C2" w:rsidRDefault="008929C2" w:rsidP="002F5DFA">
      <w:pPr>
        <w:pStyle w:val="Prrafodelista"/>
        <w:ind w:left="0"/>
        <w:rPr>
          <w:rFonts w:ascii="Bookman Old Style" w:hAnsi="Bookman Old Style"/>
          <w:sz w:val="24"/>
        </w:rPr>
      </w:pPr>
    </w:p>
    <w:p w:rsidR="008929C2" w:rsidRPr="003A4E91" w:rsidRDefault="008929C2" w:rsidP="003A4E91">
      <w:pPr>
        <w:pStyle w:val="Prrafodelista"/>
        <w:numPr>
          <w:ilvl w:val="0"/>
          <w:numId w:val="26"/>
        </w:numPr>
        <w:jc w:val="both"/>
        <w:rPr>
          <w:rFonts w:ascii="Bookman Old Style" w:hAnsi="Bookman Old Style"/>
          <w:sz w:val="24"/>
        </w:rPr>
      </w:pPr>
      <w:r w:rsidRPr="003A4E91">
        <w:rPr>
          <w:rFonts w:ascii="Bookman Old Style" w:hAnsi="Bookman Old Style"/>
          <w:sz w:val="24"/>
        </w:rPr>
        <w:t>Modifica</w:t>
      </w:r>
      <w:r w:rsidR="003A4E91" w:rsidRPr="003A4E91">
        <w:rPr>
          <w:rFonts w:ascii="Bookman Old Style" w:hAnsi="Bookman Old Style"/>
          <w:sz w:val="24"/>
        </w:rPr>
        <w:t>r el Artículo 1 de la Resolución CREG 112 de 2010, modificado por la Resolución CREG 177 de 2010, el cual quedará así:</w:t>
      </w:r>
    </w:p>
    <w:p w:rsidR="008929C2" w:rsidRPr="00B84711" w:rsidRDefault="008929C2" w:rsidP="002F5DFA">
      <w:pPr>
        <w:pStyle w:val="Prrafodelista"/>
        <w:ind w:left="0"/>
        <w:rPr>
          <w:rFonts w:ascii="Bookman Old Style" w:hAnsi="Bookman Old Style"/>
          <w:sz w:val="24"/>
        </w:rPr>
      </w:pPr>
    </w:p>
    <w:p w:rsidR="002F5DFA" w:rsidRDefault="002F5DFA" w:rsidP="002F5DFA">
      <w:pPr>
        <w:pStyle w:val="Artculo"/>
      </w:pPr>
      <w:r w:rsidRPr="00B84711">
        <w:t>“</w:t>
      </w:r>
      <w:r w:rsidRPr="00B84711">
        <w:rPr>
          <w:b/>
        </w:rPr>
        <w:t>Artículo 1. Ingreso Anual.</w:t>
      </w:r>
      <w:r w:rsidRPr="00B84711">
        <w:t xml:space="preserve"> El Ingreso Anual (</w:t>
      </w:r>
      <w:proofErr w:type="spellStart"/>
      <w:r w:rsidRPr="00B84711">
        <w:t>IAT</w:t>
      </w:r>
      <w:r w:rsidRPr="00B84711">
        <w:rPr>
          <w:vertAlign w:val="subscript"/>
        </w:rPr>
        <w:t>j</w:t>
      </w:r>
      <w:proofErr w:type="spellEnd"/>
      <w:r w:rsidRPr="00B84711">
        <w:t xml:space="preserve">) por los activos representados por </w:t>
      </w:r>
      <w:r w:rsidR="00124452">
        <w:rPr>
          <w:rFonts w:cs="Arial"/>
          <w:spacing w:val="-3"/>
        </w:rPr>
        <w:t>Empresas Públicas de Medellín</w:t>
      </w:r>
      <w:r w:rsidRPr="00B84711">
        <w:t xml:space="preserve"> E.S.P. en el Sistema de Transmisión Nacional, calculado en la forma establecida en la Resolución CREG 011 de 2009, es el siguiente:</w:t>
      </w:r>
    </w:p>
    <w:p w:rsidR="002F5DFA" w:rsidRPr="00B84711" w:rsidRDefault="002F5DFA" w:rsidP="002F5DFA">
      <w:pPr>
        <w:jc w:val="both"/>
        <w:rPr>
          <w:rFonts w:ascii="Bookman Old Style" w:hAnsi="Bookman Old Style" w:cs="Arial"/>
          <w:i/>
        </w:rPr>
      </w:pPr>
    </w:p>
    <w:tbl>
      <w:tblPr>
        <w:tblW w:w="0" w:type="auto"/>
        <w:jc w:val="center"/>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4"/>
        <w:gridCol w:w="2499"/>
        <w:gridCol w:w="293"/>
      </w:tblGrid>
      <w:tr w:rsidR="002F5DFA" w:rsidRPr="00B84711" w:rsidTr="002F5DFA">
        <w:trPr>
          <w:jc w:val="center"/>
        </w:trPr>
        <w:tc>
          <w:tcPr>
            <w:tcW w:w="4074" w:type="dxa"/>
            <w:vAlign w:val="center"/>
          </w:tcPr>
          <w:p w:rsidR="002F5DFA" w:rsidRPr="00B84711" w:rsidRDefault="002F5DFA" w:rsidP="002F5DFA">
            <w:pPr>
              <w:keepNext/>
              <w:ind w:left="34"/>
              <w:jc w:val="center"/>
              <w:rPr>
                <w:rFonts w:ascii="Bookman Old Style" w:hAnsi="Bookman Old Style" w:cs="Arial"/>
                <w:b/>
                <w:i/>
                <w:spacing w:val="-3"/>
                <w:sz w:val="22"/>
                <w:szCs w:val="22"/>
              </w:rPr>
            </w:pPr>
            <w:r w:rsidRPr="00B84711">
              <w:rPr>
                <w:rFonts w:ascii="Bookman Old Style" w:hAnsi="Bookman Old Style" w:cs="Arial"/>
                <w:b/>
                <w:i/>
                <w:spacing w:val="-3"/>
                <w:sz w:val="22"/>
                <w:szCs w:val="22"/>
              </w:rPr>
              <w:t>Ingreso Anual</w:t>
            </w:r>
          </w:p>
        </w:tc>
        <w:tc>
          <w:tcPr>
            <w:tcW w:w="2499" w:type="dxa"/>
            <w:vAlign w:val="center"/>
          </w:tcPr>
          <w:p w:rsidR="002F5DFA" w:rsidRPr="00B84711" w:rsidRDefault="002F5DFA" w:rsidP="002F5DFA">
            <w:pPr>
              <w:keepNext/>
              <w:tabs>
                <w:tab w:val="center" w:pos="4680"/>
              </w:tabs>
              <w:ind w:left="0"/>
              <w:jc w:val="center"/>
              <w:rPr>
                <w:rFonts w:ascii="Bookman Old Style" w:hAnsi="Bookman Old Style" w:cs="Arial"/>
                <w:b/>
                <w:i/>
                <w:spacing w:val="-3"/>
                <w:sz w:val="22"/>
                <w:szCs w:val="22"/>
              </w:rPr>
            </w:pPr>
            <w:r w:rsidRPr="00B84711">
              <w:rPr>
                <w:rFonts w:ascii="Bookman Old Style" w:hAnsi="Bookman Old Style" w:cs="Arial"/>
                <w:b/>
                <w:i/>
                <w:spacing w:val="-3"/>
                <w:sz w:val="22"/>
                <w:szCs w:val="22"/>
              </w:rPr>
              <w:t>Pesos de diciembre de 2008</w:t>
            </w:r>
          </w:p>
        </w:tc>
        <w:tc>
          <w:tcPr>
            <w:tcW w:w="293" w:type="dxa"/>
            <w:vMerge w:val="restart"/>
            <w:tcBorders>
              <w:top w:val="nil"/>
              <w:right w:val="nil"/>
            </w:tcBorders>
          </w:tcPr>
          <w:p w:rsidR="002F5DFA" w:rsidRPr="00B84711" w:rsidRDefault="002F5DFA" w:rsidP="002F5DFA">
            <w:pPr>
              <w:tabs>
                <w:tab w:val="center" w:pos="4680"/>
              </w:tabs>
              <w:ind w:left="0"/>
              <w:rPr>
                <w:rFonts w:ascii="Bookman Old Style" w:hAnsi="Bookman Old Style" w:cs="Arial"/>
                <w:i/>
                <w:spacing w:val="-3"/>
                <w:sz w:val="22"/>
                <w:szCs w:val="22"/>
              </w:rPr>
            </w:pPr>
          </w:p>
          <w:p w:rsidR="002F5DFA" w:rsidRPr="00B84711" w:rsidRDefault="002F5DFA" w:rsidP="002F5DFA">
            <w:pPr>
              <w:tabs>
                <w:tab w:val="center" w:pos="4680"/>
              </w:tabs>
              <w:ind w:left="0"/>
              <w:rPr>
                <w:rFonts w:ascii="Bookman Old Style" w:hAnsi="Bookman Old Style" w:cs="Arial"/>
                <w:i/>
                <w:spacing w:val="-3"/>
                <w:sz w:val="22"/>
                <w:szCs w:val="22"/>
              </w:rPr>
            </w:pPr>
          </w:p>
          <w:p w:rsidR="002F5DFA" w:rsidRPr="00B84711" w:rsidRDefault="002F5DFA" w:rsidP="002F5DFA">
            <w:pPr>
              <w:tabs>
                <w:tab w:val="center" w:pos="4680"/>
              </w:tabs>
              <w:ind w:left="0"/>
              <w:rPr>
                <w:rFonts w:ascii="Bookman Old Style" w:hAnsi="Bookman Old Style" w:cs="Arial"/>
                <w:b/>
                <w:i/>
                <w:spacing w:val="-3"/>
                <w:sz w:val="22"/>
                <w:szCs w:val="22"/>
              </w:rPr>
            </w:pPr>
            <w:r w:rsidRPr="00B84711">
              <w:rPr>
                <w:rFonts w:ascii="Bookman Old Style" w:hAnsi="Bookman Old Style" w:cs="Arial"/>
                <w:i/>
                <w:spacing w:val="-3"/>
                <w:sz w:val="22"/>
                <w:szCs w:val="22"/>
              </w:rPr>
              <w:t>"</w:t>
            </w:r>
          </w:p>
        </w:tc>
      </w:tr>
      <w:tr w:rsidR="002F5DFA" w:rsidRPr="00B84711" w:rsidTr="002F5DFA">
        <w:trPr>
          <w:trHeight w:val="410"/>
          <w:jc w:val="center"/>
        </w:trPr>
        <w:tc>
          <w:tcPr>
            <w:tcW w:w="4074" w:type="dxa"/>
            <w:vAlign w:val="center"/>
          </w:tcPr>
          <w:p w:rsidR="002F5DFA" w:rsidRPr="00B84711" w:rsidRDefault="002F5DFA" w:rsidP="002F5DFA">
            <w:pPr>
              <w:tabs>
                <w:tab w:val="center" w:pos="4680"/>
              </w:tabs>
              <w:ind w:left="34"/>
              <w:jc w:val="both"/>
              <w:rPr>
                <w:rFonts w:ascii="Bookman Old Style" w:hAnsi="Bookman Old Style" w:cs="Arial"/>
                <w:i/>
                <w:spacing w:val="-3"/>
                <w:sz w:val="22"/>
                <w:szCs w:val="22"/>
              </w:rPr>
            </w:pPr>
            <w:r w:rsidRPr="00B84711">
              <w:rPr>
                <w:rFonts w:ascii="Bookman Old Style" w:hAnsi="Bookman Old Style" w:cs="Arial"/>
                <w:i/>
                <w:spacing w:val="-3"/>
                <w:sz w:val="22"/>
                <w:szCs w:val="22"/>
              </w:rPr>
              <w:t>Ingreso Anual del Transmisor  (</w:t>
            </w:r>
            <w:proofErr w:type="spellStart"/>
            <w:r w:rsidRPr="00B84711">
              <w:rPr>
                <w:rFonts w:ascii="Bookman Old Style" w:hAnsi="Bookman Old Style" w:cs="Arial"/>
                <w:i/>
                <w:spacing w:val="-3"/>
                <w:sz w:val="22"/>
                <w:szCs w:val="22"/>
              </w:rPr>
              <w:t>IAT</w:t>
            </w:r>
            <w:r w:rsidRPr="00B84711">
              <w:rPr>
                <w:rFonts w:ascii="Bookman Old Style" w:hAnsi="Bookman Old Style" w:cs="Arial"/>
                <w:i/>
                <w:spacing w:val="-3"/>
                <w:sz w:val="22"/>
                <w:szCs w:val="22"/>
                <w:vertAlign w:val="subscript"/>
              </w:rPr>
              <w:t>j</w:t>
            </w:r>
            <w:proofErr w:type="spellEnd"/>
            <w:r w:rsidRPr="00B84711">
              <w:rPr>
                <w:rFonts w:ascii="Bookman Old Style" w:hAnsi="Bookman Old Style" w:cs="Arial"/>
                <w:i/>
                <w:spacing w:val="-3"/>
                <w:sz w:val="22"/>
                <w:szCs w:val="22"/>
              </w:rPr>
              <w:t>)</w:t>
            </w:r>
          </w:p>
        </w:tc>
        <w:tc>
          <w:tcPr>
            <w:tcW w:w="2499" w:type="dxa"/>
            <w:vAlign w:val="center"/>
          </w:tcPr>
          <w:p w:rsidR="002F5DFA" w:rsidRPr="00B84711" w:rsidRDefault="00503440" w:rsidP="0080622A">
            <w:pPr>
              <w:tabs>
                <w:tab w:val="center" w:pos="4680"/>
              </w:tabs>
              <w:ind w:left="0"/>
              <w:jc w:val="center"/>
              <w:rPr>
                <w:rFonts w:ascii="Bookman Old Style" w:hAnsi="Bookman Old Style" w:cs="Arial"/>
                <w:i/>
                <w:spacing w:val="-3"/>
                <w:sz w:val="22"/>
                <w:szCs w:val="22"/>
              </w:rPr>
            </w:pPr>
            <w:r w:rsidRPr="00503440">
              <w:rPr>
                <w:rFonts w:ascii="Bookman Old Style" w:hAnsi="Bookman Old Style" w:cs="Arial"/>
                <w:i/>
                <w:spacing w:val="-3"/>
                <w:sz w:val="22"/>
                <w:szCs w:val="22"/>
              </w:rPr>
              <w:t>68.872.294.621</w:t>
            </w:r>
          </w:p>
        </w:tc>
        <w:tc>
          <w:tcPr>
            <w:tcW w:w="293" w:type="dxa"/>
            <w:vMerge/>
            <w:tcBorders>
              <w:bottom w:val="nil"/>
              <w:right w:val="nil"/>
            </w:tcBorders>
          </w:tcPr>
          <w:p w:rsidR="002F5DFA" w:rsidRPr="00B84711" w:rsidRDefault="002F5DFA" w:rsidP="002F5DFA">
            <w:pPr>
              <w:tabs>
                <w:tab w:val="center" w:pos="4680"/>
              </w:tabs>
              <w:ind w:left="0"/>
              <w:rPr>
                <w:rFonts w:ascii="Bookman Old Style" w:hAnsi="Bookman Old Style" w:cs="Arial"/>
                <w:i/>
                <w:spacing w:val="-3"/>
                <w:sz w:val="22"/>
                <w:szCs w:val="22"/>
              </w:rPr>
            </w:pPr>
          </w:p>
        </w:tc>
      </w:tr>
    </w:tbl>
    <w:p w:rsidR="002F5DFA" w:rsidRPr="00B84711" w:rsidRDefault="002F5DFA" w:rsidP="002F5DFA">
      <w:pPr>
        <w:pStyle w:val="Prrafodelista"/>
        <w:ind w:left="0"/>
        <w:rPr>
          <w:rFonts w:ascii="Bookman Old Style" w:hAnsi="Bookman Old Style"/>
          <w:sz w:val="24"/>
        </w:rPr>
      </w:pPr>
    </w:p>
    <w:p w:rsidR="002F5DFA" w:rsidRPr="00B84711" w:rsidRDefault="002F5DFA" w:rsidP="002F5DFA">
      <w:pPr>
        <w:pStyle w:val="Prrafodelista"/>
        <w:ind w:left="0"/>
        <w:rPr>
          <w:rFonts w:ascii="Bookman Old Style" w:hAnsi="Bookman Old Style"/>
          <w:sz w:val="24"/>
        </w:rPr>
      </w:pPr>
    </w:p>
    <w:p w:rsidR="00A81446" w:rsidRDefault="00A81446" w:rsidP="00A81446">
      <w:pPr>
        <w:pStyle w:val="Prrafodelista"/>
        <w:numPr>
          <w:ilvl w:val="0"/>
          <w:numId w:val="26"/>
        </w:numPr>
        <w:jc w:val="both"/>
        <w:rPr>
          <w:rFonts w:ascii="Bookman Old Style" w:hAnsi="Bookman Old Style"/>
          <w:sz w:val="24"/>
        </w:rPr>
      </w:pPr>
      <w:r>
        <w:rPr>
          <w:rFonts w:ascii="Bookman Old Style" w:hAnsi="Bookman Old Style"/>
          <w:sz w:val="24"/>
        </w:rPr>
        <w:t xml:space="preserve">Modificar el Artículo 4 </w:t>
      </w:r>
      <w:r w:rsidRPr="003A4E91">
        <w:rPr>
          <w:rFonts w:ascii="Bookman Old Style" w:hAnsi="Bookman Old Style"/>
          <w:sz w:val="24"/>
        </w:rPr>
        <w:t>Resolución CREG 112 de 2010, modificado por la Resolución CREG 177 de 2010, el cual quedará así:</w:t>
      </w:r>
    </w:p>
    <w:p w:rsidR="002F5DFA" w:rsidRPr="00B84711" w:rsidRDefault="002F5DFA" w:rsidP="002F5DFA">
      <w:pPr>
        <w:pStyle w:val="Prrafodelista"/>
        <w:ind w:left="0"/>
        <w:rPr>
          <w:rFonts w:ascii="Bookman Old Style" w:hAnsi="Bookman Old Style"/>
          <w:sz w:val="24"/>
        </w:rPr>
      </w:pPr>
    </w:p>
    <w:p w:rsidR="002F5DFA" w:rsidRPr="00B84711" w:rsidRDefault="002F5DFA" w:rsidP="002F5DFA">
      <w:pPr>
        <w:pStyle w:val="Artculo"/>
      </w:pPr>
      <w:r w:rsidRPr="00B84711">
        <w:t>“</w:t>
      </w:r>
      <w:r w:rsidRPr="00B84711">
        <w:rPr>
          <w:b/>
        </w:rPr>
        <w:t>Artículo 4. Costo de Reposición de los Activos Eléctricos.</w:t>
      </w:r>
      <w:r w:rsidRPr="00B84711">
        <w:t xml:space="preserve"> El costo de reposición de los activos eléctricos (</w:t>
      </w:r>
      <w:proofErr w:type="spellStart"/>
      <w:r w:rsidRPr="00B84711">
        <w:t>CRE</w:t>
      </w:r>
      <w:r w:rsidRPr="00B84711">
        <w:rPr>
          <w:vertAlign w:val="subscript"/>
        </w:rPr>
        <w:t>j</w:t>
      </w:r>
      <w:proofErr w:type="spellEnd"/>
      <w:r w:rsidRPr="00B84711">
        <w:t xml:space="preserve">) remunerados mediante cargos por uso a </w:t>
      </w:r>
      <w:r w:rsidR="00124452">
        <w:rPr>
          <w:rFonts w:cs="Arial"/>
          <w:spacing w:val="-3"/>
        </w:rPr>
        <w:t>Empresas Públicas de Medellín</w:t>
      </w:r>
      <w:r w:rsidR="00ED4BD1">
        <w:rPr>
          <w:rFonts w:cs="Arial"/>
          <w:spacing w:val="-3"/>
        </w:rPr>
        <w:t xml:space="preserve"> E.S.P.</w:t>
      </w:r>
      <w:r w:rsidRPr="00B84711">
        <w:t xml:space="preserve">, calculado con la base de activos a la que hace referencia el </w:t>
      </w:r>
      <w:r w:rsidR="00582569">
        <w:t>A</w:t>
      </w:r>
      <w:r w:rsidRPr="00B84711">
        <w:t>rtículo 3 de la presente Resolución y de acuerdo con lo señalado en la Resolución CREG 011 de 2009 es:</w:t>
      </w:r>
    </w:p>
    <w:p w:rsidR="002F5DFA" w:rsidRPr="00B84711" w:rsidRDefault="002F5DFA" w:rsidP="002F5DFA">
      <w:pPr>
        <w:pStyle w:val="Artculo"/>
      </w:pPr>
    </w:p>
    <w:tbl>
      <w:tblPr>
        <w:tblW w:w="0" w:type="auto"/>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4"/>
        <w:gridCol w:w="2606"/>
      </w:tblGrid>
      <w:tr w:rsidR="002F5DFA" w:rsidRPr="00B84711" w:rsidTr="002F5DFA">
        <w:trPr>
          <w:trHeight w:val="346"/>
          <w:jc w:val="center"/>
        </w:trPr>
        <w:tc>
          <w:tcPr>
            <w:tcW w:w="5164" w:type="dxa"/>
            <w:vAlign w:val="center"/>
          </w:tcPr>
          <w:p w:rsidR="002F5DFA" w:rsidRPr="00B84711" w:rsidRDefault="002F5DFA" w:rsidP="00573E39">
            <w:pPr>
              <w:keepNext/>
              <w:tabs>
                <w:tab w:val="center" w:pos="4680"/>
              </w:tabs>
              <w:ind w:left="0"/>
              <w:jc w:val="center"/>
              <w:rPr>
                <w:rFonts w:ascii="Bookman Old Style" w:hAnsi="Bookman Old Style" w:cs="Arial"/>
                <w:b/>
                <w:i/>
                <w:spacing w:val="-3"/>
                <w:sz w:val="22"/>
                <w:szCs w:val="22"/>
              </w:rPr>
            </w:pPr>
            <w:r w:rsidRPr="00B84711">
              <w:rPr>
                <w:rFonts w:ascii="Bookman Old Style" w:hAnsi="Bookman Old Style" w:cs="Arial"/>
                <w:b/>
                <w:i/>
                <w:spacing w:val="-3"/>
                <w:sz w:val="22"/>
                <w:szCs w:val="22"/>
              </w:rPr>
              <w:t>Costo de Reposición</w:t>
            </w:r>
          </w:p>
        </w:tc>
        <w:tc>
          <w:tcPr>
            <w:tcW w:w="2606" w:type="dxa"/>
            <w:vAlign w:val="center"/>
          </w:tcPr>
          <w:p w:rsidR="002F5DFA" w:rsidRPr="00B84711" w:rsidRDefault="002F5DFA" w:rsidP="00573E39">
            <w:pPr>
              <w:keepNext/>
              <w:tabs>
                <w:tab w:val="center" w:pos="4680"/>
              </w:tabs>
              <w:ind w:left="42"/>
              <w:jc w:val="center"/>
              <w:rPr>
                <w:rFonts w:ascii="Bookman Old Style" w:hAnsi="Bookman Old Style" w:cs="Arial"/>
                <w:b/>
                <w:i/>
                <w:spacing w:val="-3"/>
                <w:sz w:val="22"/>
                <w:szCs w:val="22"/>
              </w:rPr>
            </w:pPr>
            <w:r w:rsidRPr="00B84711">
              <w:rPr>
                <w:rFonts w:ascii="Bookman Old Style" w:hAnsi="Bookman Old Style" w:cs="Arial"/>
                <w:b/>
                <w:i/>
                <w:spacing w:val="-3"/>
                <w:sz w:val="22"/>
                <w:szCs w:val="22"/>
              </w:rPr>
              <w:t>Pesos de</w:t>
            </w:r>
          </w:p>
          <w:p w:rsidR="002F5DFA" w:rsidRPr="00B84711" w:rsidRDefault="002F5DFA" w:rsidP="00573E39">
            <w:pPr>
              <w:keepNext/>
              <w:tabs>
                <w:tab w:val="center" w:pos="4680"/>
              </w:tabs>
              <w:ind w:left="42"/>
              <w:jc w:val="center"/>
              <w:rPr>
                <w:rFonts w:ascii="Bookman Old Style" w:hAnsi="Bookman Old Style" w:cs="Arial"/>
                <w:b/>
                <w:i/>
                <w:spacing w:val="-3"/>
                <w:sz w:val="22"/>
                <w:szCs w:val="22"/>
              </w:rPr>
            </w:pPr>
            <w:r w:rsidRPr="00B84711">
              <w:rPr>
                <w:rFonts w:ascii="Bookman Old Style" w:hAnsi="Bookman Old Style" w:cs="Arial"/>
                <w:b/>
                <w:i/>
                <w:spacing w:val="-3"/>
                <w:sz w:val="22"/>
                <w:szCs w:val="22"/>
              </w:rPr>
              <w:t>diciembre de 2008</w:t>
            </w:r>
          </w:p>
        </w:tc>
      </w:tr>
      <w:tr w:rsidR="002F5DFA" w:rsidRPr="00B84711" w:rsidTr="002F5DFA">
        <w:trPr>
          <w:trHeight w:val="346"/>
          <w:jc w:val="center"/>
        </w:trPr>
        <w:tc>
          <w:tcPr>
            <w:tcW w:w="5164" w:type="dxa"/>
            <w:vAlign w:val="center"/>
          </w:tcPr>
          <w:p w:rsidR="002F5DFA" w:rsidRPr="00B84711" w:rsidRDefault="002F5DFA" w:rsidP="002F5DFA">
            <w:pPr>
              <w:tabs>
                <w:tab w:val="center" w:pos="4680"/>
              </w:tabs>
              <w:ind w:left="0"/>
              <w:jc w:val="both"/>
              <w:rPr>
                <w:rFonts w:ascii="Bookman Old Style" w:hAnsi="Bookman Old Style" w:cs="Arial"/>
                <w:i/>
                <w:spacing w:val="-3"/>
                <w:sz w:val="22"/>
                <w:szCs w:val="22"/>
              </w:rPr>
            </w:pPr>
            <w:r w:rsidRPr="00B84711">
              <w:rPr>
                <w:rFonts w:ascii="Bookman Old Style" w:hAnsi="Bookman Old Style" w:cs="Arial"/>
                <w:i/>
                <w:spacing w:val="-3"/>
                <w:sz w:val="22"/>
                <w:szCs w:val="22"/>
              </w:rPr>
              <w:t>Costo de reposición de activos eléctricos</w:t>
            </w:r>
            <w:r w:rsidRPr="00B84711">
              <w:rPr>
                <w:rFonts w:ascii="Bookman Old Style" w:hAnsi="Bookman Old Style" w:cs="Arial"/>
                <w:i/>
                <w:sz w:val="22"/>
                <w:szCs w:val="22"/>
              </w:rPr>
              <w:t xml:space="preserve"> (</w:t>
            </w:r>
            <w:proofErr w:type="spellStart"/>
            <w:r w:rsidRPr="00B84711">
              <w:rPr>
                <w:rFonts w:ascii="Bookman Old Style" w:hAnsi="Bookman Old Style" w:cs="Arial"/>
                <w:i/>
                <w:sz w:val="22"/>
                <w:szCs w:val="22"/>
              </w:rPr>
              <w:t>CRE</w:t>
            </w:r>
            <w:r w:rsidRPr="00B84711">
              <w:rPr>
                <w:rFonts w:ascii="Bookman Old Style" w:hAnsi="Bookman Old Style" w:cs="Arial"/>
                <w:i/>
                <w:sz w:val="22"/>
                <w:szCs w:val="22"/>
                <w:vertAlign w:val="subscript"/>
              </w:rPr>
              <w:t>j</w:t>
            </w:r>
            <w:proofErr w:type="spellEnd"/>
            <w:r w:rsidRPr="00B84711">
              <w:rPr>
                <w:rFonts w:ascii="Bookman Old Style" w:hAnsi="Bookman Old Style" w:cs="Arial"/>
                <w:i/>
                <w:sz w:val="22"/>
                <w:szCs w:val="22"/>
              </w:rPr>
              <w:t>)</w:t>
            </w:r>
          </w:p>
        </w:tc>
        <w:tc>
          <w:tcPr>
            <w:tcW w:w="2606" w:type="dxa"/>
            <w:vAlign w:val="center"/>
          </w:tcPr>
          <w:p w:rsidR="002F5DFA" w:rsidRPr="00B84711" w:rsidRDefault="00503440" w:rsidP="0080622A">
            <w:pPr>
              <w:tabs>
                <w:tab w:val="center" w:pos="4680"/>
              </w:tabs>
              <w:ind w:left="0"/>
              <w:jc w:val="center"/>
              <w:rPr>
                <w:rFonts w:ascii="Bookman Old Style" w:hAnsi="Bookman Old Style" w:cs="Arial"/>
                <w:i/>
                <w:spacing w:val="-3"/>
                <w:sz w:val="22"/>
                <w:szCs w:val="22"/>
              </w:rPr>
            </w:pPr>
            <w:r w:rsidRPr="00503440">
              <w:rPr>
                <w:rFonts w:ascii="Bookman Old Style" w:hAnsi="Bookman Old Style" w:cs="Arial"/>
                <w:i/>
                <w:spacing w:val="-3"/>
                <w:sz w:val="22"/>
                <w:szCs w:val="22"/>
              </w:rPr>
              <w:t>430.964.330.948</w:t>
            </w:r>
          </w:p>
        </w:tc>
      </w:tr>
    </w:tbl>
    <w:p w:rsidR="002F5DFA" w:rsidRPr="00B84711" w:rsidRDefault="002F5DFA" w:rsidP="002F5DFA">
      <w:pPr>
        <w:ind w:left="426" w:right="425"/>
        <w:jc w:val="both"/>
        <w:rPr>
          <w:rFonts w:ascii="Bookman Old Style" w:hAnsi="Bookman Old Style" w:cs="Arial"/>
          <w:i/>
          <w:sz w:val="22"/>
          <w:szCs w:val="22"/>
        </w:rPr>
      </w:pPr>
    </w:p>
    <w:p w:rsidR="002F5DFA" w:rsidRPr="00B84711" w:rsidRDefault="002F5DFA" w:rsidP="00A81446">
      <w:pPr>
        <w:ind w:left="426" w:right="425"/>
        <w:jc w:val="both"/>
        <w:rPr>
          <w:rFonts w:ascii="Bookman Old Style" w:hAnsi="Bookman Old Style" w:cs="Arial"/>
        </w:rPr>
      </w:pPr>
      <w:r w:rsidRPr="00B84711">
        <w:rPr>
          <w:rFonts w:ascii="Bookman Old Style" w:hAnsi="Bookman Old Style" w:cs="Arial"/>
          <w:i/>
        </w:rPr>
        <w:t>La base de activos y los valores aquí aprobados resultan de las variables y de la información que se identifican en la parte motiva de este acto y de las contenidas en el documento soporte.”</w:t>
      </w:r>
    </w:p>
    <w:p w:rsidR="002F5DFA" w:rsidRDefault="002F5DFA" w:rsidP="002F5DFA">
      <w:pPr>
        <w:pStyle w:val="Prrafodelista"/>
        <w:ind w:left="0"/>
        <w:rPr>
          <w:rFonts w:ascii="Bookman Old Style" w:hAnsi="Bookman Old Style"/>
          <w:sz w:val="24"/>
        </w:rPr>
      </w:pPr>
    </w:p>
    <w:p w:rsidR="002F5DFA" w:rsidRPr="00A81446" w:rsidRDefault="002F5DFA" w:rsidP="00682A8C">
      <w:pPr>
        <w:pStyle w:val="Prrafodelista"/>
        <w:numPr>
          <w:ilvl w:val="0"/>
          <w:numId w:val="26"/>
        </w:numPr>
        <w:jc w:val="both"/>
        <w:rPr>
          <w:rFonts w:ascii="Bookman Old Style" w:hAnsi="Bookman Old Style"/>
          <w:sz w:val="24"/>
        </w:rPr>
      </w:pPr>
      <w:r w:rsidRPr="004F2692">
        <w:rPr>
          <w:rFonts w:ascii="Bookman Old Style" w:hAnsi="Bookman Old Style"/>
          <w:sz w:val="24"/>
        </w:rPr>
        <w:t xml:space="preserve">La presente </w:t>
      </w:r>
      <w:r w:rsidR="00ED4BD1" w:rsidRPr="004F2692">
        <w:rPr>
          <w:rFonts w:ascii="Bookman Old Style" w:hAnsi="Bookman Old Style"/>
          <w:sz w:val="24"/>
        </w:rPr>
        <w:t xml:space="preserve">resolución </w:t>
      </w:r>
      <w:r w:rsidRPr="004F2692">
        <w:rPr>
          <w:rFonts w:ascii="Bookman Old Style" w:hAnsi="Bookman Old Style"/>
          <w:sz w:val="24"/>
        </w:rPr>
        <w:t xml:space="preserve">deberá notificarse a </w:t>
      </w:r>
      <w:r w:rsidR="00124452" w:rsidRPr="00A81446">
        <w:rPr>
          <w:rFonts w:ascii="Bookman Old Style" w:hAnsi="Bookman Old Style"/>
          <w:sz w:val="24"/>
        </w:rPr>
        <w:t>Empresas Públicas de Medellín</w:t>
      </w:r>
      <w:r w:rsidRPr="004F2692">
        <w:rPr>
          <w:rFonts w:ascii="Bookman Old Style" w:hAnsi="Bookman Old Style"/>
          <w:sz w:val="24"/>
        </w:rPr>
        <w:t xml:space="preserve"> E.S.P. Contra lo dispuesto en este acto procede el recurso de reposición, el cual se podrá interponer ante la Dirección Ejecutiva de la CREG dentro de los cinco (5) días hábiles siguientes a la fecha de su notificación.</w:t>
      </w:r>
    </w:p>
    <w:p w:rsidR="002F5DFA" w:rsidRDefault="002F5DFA" w:rsidP="002F5DFA">
      <w:pPr>
        <w:rPr>
          <w:rFonts w:ascii="Bookman Old Style" w:hAnsi="Bookman Old Style"/>
          <w:b/>
          <w:bCs/>
          <w:lang w:val="es-CO"/>
        </w:rPr>
      </w:pPr>
    </w:p>
    <w:p w:rsidR="000579E7" w:rsidRDefault="000579E7" w:rsidP="000579E7">
      <w:pPr>
        <w:pStyle w:val="Prrafodelista"/>
        <w:numPr>
          <w:ilvl w:val="0"/>
          <w:numId w:val="26"/>
        </w:numPr>
        <w:jc w:val="both"/>
        <w:rPr>
          <w:rFonts w:ascii="Bookman Old Style" w:hAnsi="Bookman Old Style"/>
          <w:sz w:val="24"/>
        </w:rPr>
      </w:pPr>
      <w:r>
        <w:rPr>
          <w:rFonts w:ascii="Bookman Old Style" w:hAnsi="Bookman Old Style"/>
          <w:sz w:val="24"/>
        </w:rPr>
        <w:t xml:space="preserve">Una vez quede en firme la presente resolución, se deberá comunicar a la </w:t>
      </w:r>
      <w:r w:rsidRPr="000579E7">
        <w:rPr>
          <w:rFonts w:ascii="Bookman Old Style" w:hAnsi="Bookman Old Style"/>
          <w:sz w:val="24"/>
        </w:rPr>
        <w:t xml:space="preserve">Superintendencia de Servicios Públicos Domiciliarios </w:t>
      </w:r>
      <w:r>
        <w:rPr>
          <w:rFonts w:ascii="Bookman Old Style" w:hAnsi="Bookman Old Style"/>
          <w:sz w:val="24"/>
        </w:rPr>
        <w:t>para lo de su competencia.</w:t>
      </w:r>
    </w:p>
    <w:p w:rsidR="000579E7" w:rsidRPr="000579E7" w:rsidRDefault="000579E7" w:rsidP="002F5DFA">
      <w:pPr>
        <w:rPr>
          <w:rFonts w:ascii="Bookman Old Style" w:hAnsi="Bookman Old Style"/>
          <w:b/>
          <w:bCs/>
          <w:lang w:val="es-CO"/>
        </w:rPr>
      </w:pPr>
    </w:p>
    <w:p w:rsidR="00A81446" w:rsidRPr="00B84711" w:rsidRDefault="00A81446" w:rsidP="002F5DFA">
      <w:pPr>
        <w:rPr>
          <w:rFonts w:ascii="Bookman Old Style" w:hAnsi="Bookman Old Style"/>
          <w:b/>
          <w:bCs/>
        </w:rPr>
      </w:pPr>
    </w:p>
    <w:p w:rsidR="002F5DFA" w:rsidRPr="00B84711" w:rsidRDefault="002F5DFA" w:rsidP="002F5DFA">
      <w:pPr>
        <w:jc w:val="center"/>
        <w:rPr>
          <w:rFonts w:ascii="Bookman Old Style" w:hAnsi="Bookman Old Style" w:cs="Courier New"/>
          <w:b/>
          <w:bCs/>
          <w:spacing w:val="-3"/>
        </w:rPr>
      </w:pPr>
      <w:r w:rsidRPr="00B84711">
        <w:rPr>
          <w:rFonts w:ascii="Bookman Old Style" w:hAnsi="Bookman Old Style"/>
          <w:b/>
          <w:bCs/>
        </w:rPr>
        <w:t>NOTIFÍQUESE</w:t>
      </w:r>
      <w:r>
        <w:rPr>
          <w:rFonts w:ascii="Bookman Old Style" w:hAnsi="Bookman Old Style"/>
          <w:b/>
          <w:bCs/>
        </w:rPr>
        <w:t>, PUBLÍQUESE</w:t>
      </w:r>
      <w:r w:rsidRPr="00B84711">
        <w:rPr>
          <w:rFonts w:ascii="Bookman Old Style" w:hAnsi="Bookman Old Style"/>
          <w:b/>
          <w:bCs/>
        </w:rPr>
        <w:t xml:space="preserve"> Y CÚMPLASE</w:t>
      </w:r>
    </w:p>
    <w:p w:rsidR="00B536F6" w:rsidRPr="00B84711" w:rsidRDefault="00B536F6" w:rsidP="00B536F6">
      <w:pPr>
        <w:rPr>
          <w:rFonts w:ascii="Bookman Old Style" w:hAnsi="Bookman Old Style" w:cs="Arial"/>
          <w:spacing w:val="-3"/>
        </w:rPr>
      </w:pPr>
    </w:p>
    <w:p w:rsidR="00B536F6" w:rsidRPr="00B84711" w:rsidRDefault="00B536F6" w:rsidP="00B536F6">
      <w:pPr>
        <w:rPr>
          <w:rFonts w:ascii="Bookman Old Style" w:hAnsi="Bookman Old Style" w:cs="Arial"/>
          <w:spacing w:val="-3"/>
        </w:rPr>
      </w:pPr>
    </w:p>
    <w:p w:rsidR="00B536F6" w:rsidRPr="00B84711" w:rsidRDefault="00B536F6" w:rsidP="00A36D42">
      <w:pPr>
        <w:ind w:left="0"/>
        <w:rPr>
          <w:rFonts w:ascii="Bookman Old Style" w:hAnsi="Bookman Old Style" w:cs="Arial"/>
          <w:spacing w:val="-3"/>
        </w:rPr>
      </w:pPr>
      <w:r w:rsidRPr="00B84711">
        <w:rPr>
          <w:rFonts w:ascii="Bookman Old Style" w:hAnsi="Bookman Old Style" w:cs="Arial"/>
          <w:spacing w:val="-3"/>
        </w:rPr>
        <w:t>Dada en Bogotá, D.C. a los</w:t>
      </w:r>
    </w:p>
    <w:p w:rsidR="00B536F6" w:rsidRPr="00B84711" w:rsidRDefault="00B536F6" w:rsidP="00B536F6">
      <w:pPr>
        <w:rPr>
          <w:rFonts w:ascii="Bookman Old Style" w:hAnsi="Bookman Old Style" w:cs="Arial"/>
        </w:rPr>
      </w:pPr>
      <w:r w:rsidRPr="00B84711">
        <w:rPr>
          <w:rFonts w:ascii="Bookman Old Style" w:hAnsi="Bookman Old Style" w:cs="Arial"/>
        </w:rPr>
        <w:br/>
      </w:r>
    </w:p>
    <w:p w:rsidR="00E433F6" w:rsidRPr="00B84711" w:rsidRDefault="00E433F6" w:rsidP="00E433F6">
      <w:pPr>
        <w:ind w:left="0"/>
        <w:rPr>
          <w:rFonts w:ascii="Bookman Old Style" w:hAnsi="Bookman Old Style"/>
        </w:rPr>
      </w:pPr>
    </w:p>
    <w:p w:rsidR="00E433F6" w:rsidRPr="00B84711" w:rsidRDefault="00E433F6" w:rsidP="00E433F6">
      <w:pPr>
        <w:rPr>
          <w:rFonts w:ascii="Bookman Old Style" w:hAnsi="Bookman Old Style"/>
        </w:rPr>
      </w:pPr>
    </w:p>
    <w:tbl>
      <w:tblPr>
        <w:tblW w:w="0" w:type="auto"/>
        <w:jc w:val="center"/>
        <w:tblInd w:w="-741" w:type="dxa"/>
        <w:tblLayout w:type="fixed"/>
        <w:tblCellMar>
          <w:left w:w="70" w:type="dxa"/>
          <w:right w:w="70" w:type="dxa"/>
        </w:tblCellMar>
        <w:tblLook w:val="0000" w:firstRow="0" w:lastRow="0" w:firstColumn="0" w:lastColumn="0" w:noHBand="0" w:noVBand="0"/>
      </w:tblPr>
      <w:tblGrid>
        <w:gridCol w:w="4904"/>
        <w:gridCol w:w="4477"/>
      </w:tblGrid>
      <w:tr w:rsidR="00E433F6" w:rsidRPr="00B84711" w:rsidTr="004F02E3">
        <w:trPr>
          <w:trHeight w:val="329"/>
          <w:jc w:val="center"/>
        </w:trPr>
        <w:tc>
          <w:tcPr>
            <w:tcW w:w="4904" w:type="dxa"/>
          </w:tcPr>
          <w:p w:rsidR="00B536F6" w:rsidRPr="00B84711" w:rsidRDefault="00B536F6" w:rsidP="00B510C7">
            <w:pPr>
              <w:keepNext/>
              <w:tabs>
                <w:tab w:val="left" w:pos="-720"/>
              </w:tabs>
              <w:suppressAutoHyphens/>
              <w:ind w:left="0"/>
              <w:jc w:val="center"/>
              <w:rPr>
                <w:rFonts w:ascii="Bookman Old Style" w:hAnsi="Bookman Old Style"/>
                <w:b/>
                <w:bCs/>
              </w:rPr>
            </w:pPr>
          </w:p>
          <w:p w:rsidR="00E433F6" w:rsidRPr="00B84711" w:rsidRDefault="00B536F6" w:rsidP="00B510C7">
            <w:pPr>
              <w:keepNext/>
              <w:tabs>
                <w:tab w:val="left" w:pos="-720"/>
              </w:tabs>
              <w:suppressAutoHyphens/>
              <w:ind w:left="0"/>
              <w:jc w:val="center"/>
              <w:rPr>
                <w:rFonts w:ascii="Bookman Old Style" w:hAnsi="Bookman Old Style"/>
                <w:b/>
              </w:rPr>
            </w:pPr>
            <w:r w:rsidRPr="00B84711">
              <w:rPr>
                <w:rFonts w:ascii="Bookman Old Style" w:hAnsi="Bookman Old Style"/>
                <w:b/>
                <w:bCs/>
              </w:rPr>
              <w:t>TOMÁS GONZÁLEZ ESTRADA</w:t>
            </w:r>
          </w:p>
        </w:tc>
        <w:tc>
          <w:tcPr>
            <w:tcW w:w="4477" w:type="dxa"/>
            <w:vAlign w:val="center"/>
          </w:tcPr>
          <w:p w:rsidR="00E433F6" w:rsidRPr="00B84711" w:rsidRDefault="00E433F6" w:rsidP="000E6937">
            <w:pPr>
              <w:keepNext/>
              <w:tabs>
                <w:tab w:val="left" w:pos="-720"/>
              </w:tabs>
              <w:suppressAutoHyphens/>
              <w:jc w:val="center"/>
              <w:rPr>
                <w:rFonts w:ascii="Bookman Old Style" w:hAnsi="Bookman Old Style"/>
                <w:b/>
              </w:rPr>
            </w:pPr>
          </w:p>
          <w:p w:rsidR="00E433F6" w:rsidRPr="00B84711" w:rsidRDefault="00E433F6" w:rsidP="000E6937">
            <w:pPr>
              <w:keepNext/>
              <w:suppressAutoHyphens/>
              <w:ind w:left="0"/>
              <w:jc w:val="center"/>
              <w:rPr>
                <w:rFonts w:ascii="Bookman Old Style" w:hAnsi="Bookman Old Style"/>
                <w:b/>
              </w:rPr>
            </w:pPr>
            <w:r w:rsidRPr="00B84711">
              <w:rPr>
                <w:rFonts w:ascii="Bookman Old Style" w:hAnsi="Bookman Old Style"/>
                <w:b/>
              </w:rPr>
              <w:t>JAVIER AUGUSTO DÍAZ VELASCO</w:t>
            </w:r>
          </w:p>
        </w:tc>
      </w:tr>
      <w:tr w:rsidR="00E433F6" w:rsidRPr="00B84711" w:rsidTr="004F02E3">
        <w:trPr>
          <w:trHeight w:val="254"/>
          <w:jc w:val="center"/>
        </w:trPr>
        <w:tc>
          <w:tcPr>
            <w:tcW w:w="4904" w:type="dxa"/>
          </w:tcPr>
          <w:p w:rsidR="00E433F6" w:rsidRPr="00B84711" w:rsidRDefault="00B536F6" w:rsidP="00E433F6">
            <w:pPr>
              <w:ind w:left="0"/>
              <w:jc w:val="center"/>
              <w:rPr>
                <w:rFonts w:ascii="Bookman Old Style" w:hAnsi="Bookman Old Style" w:cs="Arial"/>
                <w:spacing w:val="-3"/>
              </w:rPr>
            </w:pPr>
            <w:r w:rsidRPr="00B84711">
              <w:rPr>
                <w:rFonts w:ascii="Bookman Old Style" w:hAnsi="Bookman Old Style" w:cs="Arial"/>
                <w:spacing w:val="-3"/>
              </w:rPr>
              <w:t>Viceministro</w:t>
            </w:r>
            <w:r w:rsidR="00E433F6" w:rsidRPr="00B84711">
              <w:rPr>
                <w:rFonts w:ascii="Bookman Old Style" w:hAnsi="Bookman Old Style" w:cs="Arial"/>
                <w:spacing w:val="-3"/>
              </w:rPr>
              <w:t xml:space="preserve"> de Minas y Energía</w:t>
            </w:r>
          </w:p>
          <w:p w:rsidR="00E433F6" w:rsidRPr="00B84711" w:rsidRDefault="00B536F6" w:rsidP="000E6937">
            <w:pPr>
              <w:keepNext/>
              <w:suppressAutoHyphens/>
              <w:ind w:left="0"/>
              <w:jc w:val="center"/>
              <w:rPr>
                <w:rFonts w:ascii="Bookman Old Style" w:hAnsi="Bookman Old Style"/>
              </w:rPr>
            </w:pPr>
            <w:r w:rsidRPr="00B84711">
              <w:rPr>
                <w:rFonts w:ascii="Bookman Old Style" w:hAnsi="Bookman Old Style" w:cs="Arial"/>
                <w:spacing w:val="-3"/>
              </w:rPr>
              <w:t>Delegado</w:t>
            </w:r>
            <w:r w:rsidR="00E433F6" w:rsidRPr="00B84711">
              <w:rPr>
                <w:rFonts w:ascii="Bookman Old Style" w:hAnsi="Bookman Old Style" w:cs="Arial"/>
                <w:spacing w:val="-3"/>
              </w:rPr>
              <w:t xml:space="preserve"> del Ministro de Minas y Energía</w:t>
            </w:r>
          </w:p>
        </w:tc>
        <w:tc>
          <w:tcPr>
            <w:tcW w:w="4477" w:type="dxa"/>
          </w:tcPr>
          <w:p w:rsidR="00E433F6" w:rsidRPr="00B84711" w:rsidRDefault="00E433F6" w:rsidP="00B536F6">
            <w:pPr>
              <w:keepNext/>
              <w:tabs>
                <w:tab w:val="left" w:pos="-720"/>
              </w:tabs>
              <w:suppressAutoHyphens/>
              <w:ind w:left="0"/>
              <w:jc w:val="center"/>
              <w:rPr>
                <w:rFonts w:ascii="Bookman Old Style" w:hAnsi="Bookman Old Style"/>
              </w:rPr>
            </w:pPr>
            <w:r w:rsidRPr="00B84711">
              <w:rPr>
                <w:rFonts w:ascii="Bookman Old Style" w:hAnsi="Bookman Old Style"/>
              </w:rPr>
              <w:t>Director Ejecutivo</w:t>
            </w:r>
          </w:p>
        </w:tc>
      </w:tr>
      <w:tr w:rsidR="00E433F6" w:rsidRPr="00A061D4" w:rsidTr="004F02E3">
        <w:trPr>
          <w:trHeight w:val="73"/>
          <w:jc w:val="center"/>
        </w:trPr>
        <w:tc>
          <w:tcPr>
            <w:tcW w:w="4904" w:type="dxa"/>
          </w:tcPr>
          <w:p w:rsidR="00E433F6" w:rsidRPr="001E23E2" w:rsidRDefault="00E433F6" w:rsidP="00B510C7">
            <w:pPr>
              <w:tabs>
                <w:tab w:val="left" w:pos="-720"/>
              </w:tabs>
              <w:suppressAutoHyphens/>
              <w:ind w:left="0"/>
              <w:jc w:val="center"/>
              <w:rPr>
                <w:rFonts w:ascii="Bookman Old Style" w:hAnsi="Bookman Old Style"/>
              </w:rPr>
            </w:pPr>
            <w:r w:rsidRPr="00B84711">
              <w:rPr>
                <w:rFonts w:ascii="Bookman Old Style" w:hAnsi="Bookman Old Style" w:cs="Arial"/>
                <w:spacing w:val="-3"/>
              </w:rPr>
              <w:t>Presidente</w:t>
            </w:r>
          </w:p>
        </w:tc>
        <w:tc>
          <w:tcPr>
            <w:tcW w:w="4477" w:type="dxa"/>
            <w:vAlign w:val="center"/>
          </w:tcPr>
          <w:p w:rsidR="00E433F6" w:rsidRPr="00FE229F" w:rsidRDefault="00E433F6" w:rsidP="00B510C7">
            <w:pPr>
              <w:ind w:left="708" w:hanging="708"/>
              <w:rPr>
                <w:rFonts w:ascii="Bookman Old Style" w:hAnsi="Bookman Old Style"/>
                <w:b/>
                <w:bCs/>
              </w:rPr>
            </w:pPr>
          </w:p>
        </w:tc>
      </w:tr>
    </w:tbl>
    <w:p w:rsidR="00C04F7A" w:rsidRPr="002173F7" w:rsidRDefault="00C04F7A" w:rsidP="00E433F6">
      <w:pPr>
        <w:rPr>
          <w:rFonts w:ascii="Bookman Old Style" w:hAnsi="Bookman Old Style"/>
        </w:rPr>
      </w:pPr>
    </w:p>
    <w:sectPr w:rsidR="00C04F7A" w:rsidRPr="002173F7" w:rsidSect="00F91D91">
      <w:headerReference w:type="default" r:id="rId11"/>
      <w:headerReference w:type="first" r:id="rId12"/>
      <w:type w:val="continuous"/>
      <w:pgSz w:w="12242" w:h="18722" w:code="123"/>
      <w:pgMar w:top="2426" w:right="1327"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C0F" w:rsidRDefault="00757C0F">
      <w:r>
        <w:separator/>
      </w:r>
    </w:p>
  </w:endnote>
  <w:endnote w:type="continuationSeparator" w:id="0">
    <w:p w:rsidR="00757C0F" w:rsidRDefault="0075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C0F" w:rsidRDefault="00757C0F">
      <w:r>
        <w:separator/>
      </w:r>
    </w:p>
  </w:footnote>
  <w:footnote w:type="continuationSeparator" w:id="0">
    <w:p w:rsidR="00757C0F" w:rsidRDefault="00757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0F" w:rsidRDefault="00757C0F" w:rsidP="00951F79">
    <w:pPr>
      <w:pStyle w:val="Ttulo1"/>
      <w:ind w:right="6"/>
      <w:jc w:val="left"/>
      <w:rPr>
        <w:rFonts w:ascii="Bookman Old Style" w:hAnsi="Bookman Old Style" w:cs="Arial"/>
        <w:b w:val="0"/>
        <w:sz w:val="22"/>
        <w:szCs w:val="22"/>
      </w:rPr>
    </w:pPr>
  </w:p>
  <w:p w:rsidR="00757C0F" w:rsidRPr="00951F79" w:rsidRDefault="00757C0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517C3">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517C3">
      <w:fldChar w:fldCharType="begin"/>
    </w:r>
    <w:r w:rsidR="00F517C3">
      <w:instrText xml:space="preserve"> NUMPAGES  \* MERGEFORMAT </w:instrText>
    </w:r>
    <w:r w:rsidR="00F517C3">
      <w:fldChar w:fldCharType="separate"/>
    </w:r>
    <w:r w:rsidR="00F517C3" w:rsidRPr="00F517C3">
      <w:rPr>
        <w:rFonts w:ascii="Bookman Old Style" w:hAnsi="Bookman Old Style" w:cs="Arial"/>
        <w:b w:val="0"/>
        <w:noProof/>
        <w:sz w:val="22"/>
        <w:szCs w:val="22"/>
      </w:rPr>
      <w:t>5</w:t>
    </w:r>
    <w:r w:rsidR="00F517C3">
      <w:rPr>
        <w:rFonts w:ascii="Bookman Old Style" w:hAnsi="Bookman Old Style" w:cs="Arial"/>
        <w:b w:val="0"/>
        <w:noProof/>
        <w:sz w:val="22"/>
        <w:szCs w:val="22"/>
      </w:rPr>
      <w:fldChar w:fldCharType="end"/>
    </w:r>
  </w:p>
  <w:p w:rsidR="00757C0F" w:rsidRDefault="00757C0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C482B5C" wp14:editId="37B42A23">
              <wp:simplePos x="0" y="0"/>
              <wp:positionH relativeFrom="column">
                <wp:posOffset>-175260</wp:posOffset>
              </wp:positionH>
              <wp:positionV relativeFrom="paragraph">
                <wp:posOffset>139065</wp:posOffset>
              </wp:positionV>
              <wp:extent cx="6267450" cy="9900920"/>
              <wp:effectExtent l="9525" t="13335" r="9525" b="1079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57C0F" w:rsidRDefault="00757C0F" w:rsidP="00F419C9">
    <w:pPr>
      <w:pBdr>
        <w:bottom w:val="single" w:sz="4" w:space="1" w:color="auto"/>
      </w:pBdr>
      <w:ind w:left="142" w:right="148"/>
      <w:jc w:val="both"/>
      <w:rPr>
        <w:rFonts w:ascii="Bookman Old Style" w:hAnsi="Bookman Old Style"/>
        <w:sz w:val="22"/>
        <w:szCs w:val="22"/>
      </w:rPr>
    </w:pPr>
    <w:r w:rsidRPr="00F419C9">
      <w:rPr>
        <w:rFonts w:ascii="Bookman Old Style" w:hAnsi="Bookman Old Style"/>
        <w:sz w:val="22"/>
        <w:szCs w:val="22"/>
      </w:rPr>
      <w:t xml:space="preserve">Por la cual </w:t>
    </w:r>
    <w:r w:rsidRPr="00193601">
      <w:rPr>
        <w:rFonts w:ascii="Bookman Old Style" w:hAnsi="Bookman Old Style"/>
        <w:sz w:val="22"/>
        <w:szCs w:val="22"/>
      </w:rPr>
      <w:t xml:space="preserve">se </w:t>
    </w:r>
    <w:r>
      <w:rPr>
        <w:rFonts w:ascii="Bookman Old Style" w:hAnsi="Bookman Old Style"/>
        <w:sz w:val="22"/>
        <w:szCs w:val="22"/>
      </w:rPr>
      <w:t xml:space="preserve">modifica </w:t>
    </w:r>
    <w:r w:rsidRPr="00193601">
      <w:rPr>
        <w:rFonts w:ascii="Bookman Old Style" w:hAnsi="Bookman Old Style"/>
        <w:sz w:val="22"/>
        <w:szCs w:val="22"/>
      </w:rPr>
      <w:t xml:space="preserve">la base de activos de </w:t>
    </w:r>
    <w:r>
      <w:rPr>
        <w:rFonts w:ascii="Bookman Old Style" w:hAnsi="Bookman Old Style"/>
        <w:sz w:val="22"/>
        <w:szCs w:val="22"/>
      </w:rPr>
      <w:t>Empresas Públicas de Medellín</w:t>
    </w:r>
    <w:r w:rsidRPr="00193601">
      <w:rPr>
        <w:rFonts w:ascii="Bookman Old Style" w:hAnsi="Bookman Old Style"/>
        <w:sz w:val="22"/>
        <w:szCs w:val="22"/>
      </w:rPr>
      <w:t xml:space="preserve"> E.S.P. y se </w:t>
    </w:r>
    <w:r>
      <w:rPr>
        <w:rFonts w:ascii="Bookman Old Style" w:hAnsi="Bookman Old Style"/>
        <w:sz w:val="22"/>
        <w:szCs w:val="22"/>
      </w:rPr>
      <w:t>actualizan</w:t>
    </w:r>
    <w:r w:rsidRPr="00193601">
      <w:rPr>
        <w:rFonts w:ascii="Bookman Old Style" w:hAnsi="Bookman Old Style"/>
        <w:sz w:val="22"/>
        <w:szCs w:val="22"/>
      </w:rPr>
      <w:t xml:space="preserve"> los parámetros necesarios para </w:t>
    </w:r>
    <w:r>
      <w:rPr>
        <w:rFonts w:ascii="Bookman Old Style" w:hAnsi="Bookman Old Style"/>
        <w:sz w:val="22"/>
        <w:szCs w:val="22"/>
      </w:rPr>
      <w:t xml:space="preserve">determinar </w:t>
    </w:r>
    <w:r w:rsidRPr="00193601">
      <w:rPr>
        <w:rFonts w:ascii="Bookman Old Style" w:hAnsi="Bookman Old Style"/>
        <w:sz w:val="22"/>
        <w:szCs w:val="22"/>
      </w:rPr>
      <w:t>su remuneración en el Sistema de Transmisión Nacional</w:t>
    </w:r>
    <w:r>
      <w:rPr>
        <w:rFonts w:ascii="Bookman Old Style" w:hAnsi="Bookman Old Style"/>
        <w:sz w:val="22"/>
        <w:szCs w:val="22"/>
      </w:rPr>
      <w:t>.</w:t>
    </w:r>
  </w:p>
  <w:p w:rsidR="00757C0F" w:rsidRPr="00CB5DD0" w:rsidRDefault="00757C0F" w:rsidP="00582569">
    <w:pPr>
      <w:ind w:left="142" w:right="148"/>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0F" w:rsidRDefault="00757C0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57C0F" w:rsidRDefault="00757C0F">
    <w:pPr>
      <w:pStyle w:val="Encabezado"/>
      <w:jc w:val="center"/>
      <w:rPr>
        <w:rFonts w:ascii="Arial" w:hAnsi="Arial" w:cs="Arial"/>
        <w:spacing w:val="20"/>
        <w:sz w:val="20"/>
      </w:rPr>
    </w:pPr>
  </w:p>
  <w:p w:rsidR="00757C0F" w:rsidRDefault="00757C0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AEA524"/>
    <w:lvl w:ilvl="0">
      <w:numFmt w:val="bullet"/>
      <w:lvlText w:val="*"/>
      <w:lvlJc w:val="left"/>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0A35D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5D45774"/>
    <w:multiLevelType w:val="hybridMultilevel"/>
    <w:tmpl w:val="8DB4DE0E"/>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nsid w:val="0AB327EC"/>
    <w:multiLevelType w:val="hybridMultilevel"/>
    <w:tmpl w:val="31CEF688"/>
    <w:lvl w:ilvl="0" w:tplc="240A0015">
      <w:start w:val="1"/>
      <w:numFmt w:val="upperLetter"/>
      <w:lvlText w:val="%1."/>
      <w:lvlJc w:val="left"/>
      <w:pPr>
        <w:ind w:left="6384" w:hanging="360"/>
      </w:pPr>
      <w:rPr>
        <w:rFonts w:hint="default"/>
        <w:b/>
      </w:rPr>
    </w:lvl>
    <w:lvl w:ilvl="1" w:tplc="0C0A0019">
      <w:start w:val="1"/>
      <w:numFmt w:val="lowerLetter"/>
      <w:lvlText w:val="%2."/>
      <w:lvlJc w:val="left"/>
      <w:pPr>
        <w:ind w:left="7104" w:hanging="360"/>
      </w:pPr>
    </w:lvl>
    <w:lvl w:ilvl="2" w:tplc="0C0A001B" w:tentative="1">
      <w:start w:val="1"/>
      <w:numFmt w:val="lowerRoman"/>
      <w:lvlText w:val="%3."/>
      <w:lvlJc w:val="right"/>
      <w:pPr>
        <w:ind w:left="7824" w:hanging="180"/>
      </w:pPr>
    </w:lvl>
    <w:lvl w:ilvl="3" w:tplc="0C0A000F" w:tentative="1">
      <w:start w:val="1"/>
      <w:numFmt w:val="decimal"/>
      <w:lvlText w:val="%4."/>
      <w:lvlJc w:val="left"/>
      <w:pPr>
        <w:ind w:left="8544" w:hanging="360"/>
      </w:pPr>
    </w:lvl>
    <w:lvl w:ilvl="4" w:tplc="0C0A0019" w:tentative="1">
      <w:start w:val="1"/>
      <w:numFmt w:val="lowerLetter"/>
      <w:lvlText w:val="%5."/>
      <w:lvlJc w:val="left"/>
      <w:pPr>
        <w:ind w:left="9264" w:hanging="360"/>
      </w:pPr>
    </w:lvl>
    <w:lvl w:ilvl="5" w:tplc="0C0A001B" w:tentative="1">
      <w:start w:val="1"/>
      <w:numFmt w:val="lowerRoman"/>
      <w:lvlText w:val="%6."/>
      <w:lvlJc w:val="right"/>
      <w:pPr>
        <w:ind w:left="9984" w:hanging="180"/>
      </w:pPr>
    </w:lvl>
    <w:lvl w:ilvl="6" w:tplc="0C0A000F" w:tentative="1">
      <w:start w:val="1"/>
      <w:numFmt w:val="decimal"/>
      <w:lvlText w:val="%7."/>
      <w:lvlJc w:val="left"/>
      <w:pPr>
        <w:ind w:left="10704" w:hanging="360"/>
      </w:pPr>
    </w:lvl>
    <w:lvl w:ilvl="7" w:tplc="0C0A0019" w:tentative="1">
      <w:start w:val="1"/>
      <w:numFmt w:val="lowerLetter"/>
      <w:lvlText w:val="%8."/>
      <w:lvlJc w:val="left"/>
      <w:pPr>
        <w:ind w:left="11424" w:hanging="360"/>
      </w:pPr>
    </w:lvl>
    <w:lvl w:ilvl="8" w:tplc="0C0A001B" w:tentative="1">
      <w:start w:val="1"/>
      <w:numFmt w:val="lowerRoman"/>
      <w:lvlText w:val="%9."/>
      <w:lvlJc w:val="right"/>
      <w:pPr>
        <w:ind w:left="12144" w:hanging="180"/>
      </w:pPr>
    </w:lvl>
  </w:abstractNum>
  <w:abstractNum w:abstractNumId="7">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591B89"/>
    <w:multiLevelType w:val="hybridMultilevel"/>
    <w:tmpl w:val="30BAA2EE"/>
    <w:lvl w:ilvl="0" w:tplc="FFA4ED56">
      <w:start w:val="1"/>
      <w:numFmt w:val="decimal"/>
      <w:pStyle w:val="articulo"/>
      <w:lvlText w:val="Artículo %1."/>
      <w:lvlJc w:val="left"/>
      <w:pPr>
        <w:tabs>
          <w:tab w:val="num" w:pos="1440"/>
        </w:tabs>
        <w:ind w:left="0" w:firstLine="0"/>
      </w:pPr>
      <w:rPr>
        <w:rFonts w:hint="default"/>
        <w:b/>
        <w:i w:val="0"/>
        <w:sz w:val="24"/>
      </w:rPr>
    </w:lvl>
    <w:lvl w:ilvl="1" w:tplc="82AC8D2C">
      <w:numFmt w:val="bullet"/>
      <w:lvlText w:val="-"/>
      <w:lvlJc w:val="left"/>
      <w:pPr>
        <w:tabs>
          <w:tab w:val="num" w:pos="1440"/>
        </w:tabs>
        <w:ind w:left="1440" w:hanging="360"/>
      </w:pPr>
      <w:rPr>
        <w:rFonts w:ascii="Times New Roman" w:eastAsia="Times New Roman" w:hAnsi="Times New Roman" w:cs="Times New Roman"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7E314E6"/>
    <w:multiLevelType w:val="hybridMultilevel"/>
    <w:tmpl w:val="EEEEC0F8"/>
    <w:lvl w:ilvl="0" w:tplc="2F52B9AA">
      <w:start w:val="10"/>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6F793B"/>
    <w:multiLevelType w:val="hybridMultilevel"/>
    <w:tmpl w:val="3CBE9CBE"/>
    <w:lvl w:ilvl="0" w:tplc="EDA0AF7A">
      <w:start w:val="594"/>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5415C94"/>
    <w:multiLevelType w:val="hybridMultilevel"/>
    <w:tmpl w:val="C2EEB75C"/>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3">
    <w:nsid w:val="28DB1878"/>
    <w:multiLevelType w:val="hybridMultilevel"/>
    <w:tmpl w:val="43F46766"/>
    <w:lvl w:ilvl="0" w:tplc="192E586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2CAE4BBE"/>
    <w:multiLevelType w:val="hybridMultilevel"/>
    <w:tmpl w:val="0BD44296"/>
    <w:lvl w:ilvl="0" w:tplc="AC048E4A">
      <w:start w:val="504"/>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EF65266"/>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B3D97"/>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0">
    <w:nsid w:val="418724DE"/>
    <w:multiLevelType w:val="hybridMultilevel"/>
    <w:tmpl w:val="4314E83C"/>
    <w:lvl w:ilvl="0" w:tplc="9BD0F78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44F239B9"/>
    <w:multiLevelType w:val="hybridMultilevel"/>
    <w:tmpl w:val="831C325A"/>
    <w:lvl w:ilvl="0" w:tplc="8DE63D2E">
      <w:start w:val="5"/>
      <w:numFmt w:val="bullet"/>
      <w:lvlText w:val="-"/>
      <w:lvlJc w:val="left"/>
      <w:pPr>
        <w:ind w:left="1776" w:hanging="360"/>
      </w:pPr>
      <w:rPr>
        <w:rFonts w:ascii="Georgia" w:eastAsia="Times New Roman" w:hAnsi="Georgia"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2">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3">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5">
    <w:nsid w:val="58D701E4"/>
    <w:multiLevelType w:val="hybridMultilevel"/>
    <w:tmpl w:val="E87EE6CA"/>
    <w:lvl w:ilvl="0" w:tplc="4044F4A4">
      <w:start w:val="1"/>
      <w:numFmt w:val="decimal"/>
      <w:suff w:val="nothing"/>
      <w:lvlText w:val="%1"/>
      <w:lvlJc w:val="center"/>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DD341AC"/>
    <w:multiLevelType w:val="hybridMultilevel"/>
    <w:tmpl w:val="64BC0C98"/>
    <w:lvl w:ilvl="0" w:tplc="6CECF762">
      <w:start w:val="1"/>
      <w:numFmt w:val="decimal"/>
      <w:lvlText w:val="%1."/>
      <w:lvlJc w:val="left"/>
      <w:pPr>
        <w:ind w:left="6384" w:hanging="360"/>
      </w:pPr>
      <w:rPr>
        <w:rFonts w:hint="default"/>
        <w:b/>
      </w:rPr>
    </w:lvl>
    <w:lvl w:ilvl="1" w:tplc="0C0A0019">
      <w:start w:val="1"/>
      <w:numFmt w:val="lowerLetter"/>
      <w:lvlText w:val="%2."/>
      <w:lvlJc w:val="left"/>
      <w:pPr>
        <w:ind w:left="7104" w:hanging="360"/>
      </w:pPr>
    </w:lvl>
    <w:lvl w:ilvl="2" w:tplc="0C0A001B" w:tentative="1">
      <w:start w:val="1"/>
      <w:numFmt w:val="lowerRoman"/>
      <w:lvlText w:val="%3."/>
      <w:lvlJc w:val="right"/>
      <w:pPr>
        <w:ind w:left="7824" w:hanging="180"/>
      </w:pPr>
    </w:lvl>
    <w:lvl w:ilvl="3" w:tplc="0C0A000F" w:tentative="1">
      <w:start w:val="1"/>
      <w:numFmt w:val="decimal"/>
      <w:lvlText w:val="%4."/>
      <w:lvlJc w:val="left"/>
      <w:pPr>
        <w:ind w:left="8544" w:hanging="360"/>
      </w:pPr>
    </w:lvl>
    <w:lvl w:ilvl="4" w:tplc="0C0A0019" w:tentative="1">
      <w:start w:val="1"/>
      <w:numFmt w:val="lowerLetter"/>
      <w:lvlText w:val="%5."/>
      <w:lvlJc w:val="left"/>
      <w:pPr>
        <w:ind w:left="9264" w:hanging="360"/>
      </w:pPr>
    </w:lvl>
    <w:lvl w:ilvl="5" w:tplc="0C0A001B" w:tentative="1">
      <w:start w:val="1"/>
      <w:numFmt w:val="lowerRoman"/>
      <w:lvlText w:val="%6."/>
      <w:lvlJc w:val="right"/>
      <w:pPr>
        <w:ind w:left="9984" w:hanging="180"/>
      </w:pPr>
    </w:lvl>
    <w:lvl w:ilvl="6" w:tplc="0C0A000F" w:tentative="1">
      <w:start w:val="1"/>
      <w:numFmt w:val="decimal"/>
      <w:lvlText w:val="%7."/>
      <w:lvlJc w:val="left"/>
      <w:pPr>
        <w:ind w:left="10704" w:hanging="360"/>
      </w:pPr>
    </w:lvl>
    <w:lvl w:ilvl="7" w:tplc="0C0A0019" w:tentative="1">
      <w:start w:val="1"/>
      <w:numFmt w:val="lowerLetter"/>
      <w:lvlText w:val="%8."/>
      <w:lvlJc w:val="left"/>
      <w:pPr>
        <w:ind w:left="11424" w:hanging="360"/>
      </w:pPr>
    </w:lvl>
    <w:lvl w:ilvl="8" w:tplc="0C0A001B" w:tentative="1">
      <w:start w:val="1"/>
      <w:numFmt w:val="lowerRoman"/>
      <w:lvlText w:val="%9."/>
      <w:lvlJc w:val="right"/>
      <w:pPr>
        <w:ind w:left="12144" w:hanging="180"/>
      </w:pPr>
    </w:lvl>
  </w:abstractNum>
  <w:abstractNum w:abstractNumId="28">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8B40517"/>
    <w:multiLevelType w:val="hybridMultilevel"/>
    <w:tmpl w:val="F6D83D60"/>
    <w:lvl w:ilvl="0" w:tplc="787A515C">
      <w:start w:val="57"/>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94E1C6E"/>
    <w:multiLevelType w:val="hybridMultilevel"/>
    <w:tmpl w:val="DE82D5EA"/>
    <w:lvl w:ilvl="0" w:tplc="EE3C1AF6">
      <w:start w:val="13"/>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BC95B79"/>
    <w:multiLevelType w:val="hybridMultilevel"/>
    <w:tmpl w:val="CF42B0E8"/>
    <w:lvl w:ilvl="0" w:tplc="240A000F">
      <w:start w:val="1"/>
      <w:numFmt w:val="decimal"/>
      <w:lvlText w:val="%1."/>
      <w:lvlJc w:val="left"/>
      <w:pPr>
        <w:ind w:left="927" w:hanging="360"/>
      </w:p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nsid w:val="6E6A2EBE"/>
    <w:multiLevelType w:val="hybridMultilevel"/>
    <w:tmpl w:val="FC0AC5C2"/>
    <w:lvl w:ilvl="0" w:tplc="4828B2A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nsid w:val="6EEA61BB"/>
    <w:multiLevelType w:val="hybridMultilevel"/>
    <w:tmpl w:val="034A8376"/>
    <w:lvl w:ilvl="0" w:tplc="B790A1CE">
      <w:start w:val="505"/>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1C97EA7"/>
    <w:multiLevelType w:val="hybridMultilevel"/>
    <w:tmpl w:val="31CEF688"/>
    <w:lvl w:ilvl="0" w:tplc="240A0015">
      <w:start w:val="1"/>
      <w:numFmt w:val="upperLetter"/>
      <w:lvlText w:val="%1."/>
      <w:lvlJc w:val="left"/>
      <w:pPr>
        <w:ind w:left="6384" w:hanging="360"/>
      </w:pPr>
      <w:rPr>
        <w:rFonts w:hint="default"/>
        <w:b/>
      </w:rPr>
    </w:lvl>
    <w:lvl w:ilvl="1" w:tplc="0C0A0019">
      <w:start w:val="1"/>
      <w:numFmt w:val="lowerLetter"/>
      <w:lvlText w:val="%2."/>
      <w:lvlJc w:val="left"/>
      <w:pPr>
        <w:ind w:left="7104" w:hanging="360"/>
      </w:pPr>
    </w:lvl>
    <w:lvl w:ilvl="2" w:tplc="0C0A001B" w:tentative="1">
      <w:start w:val="1"/>
      <w:numFmt w:val="lowerRoman"/>
      <w:lvlText w:val="%3."/>
      <w:lvlJc w:val="right"/>
      <w:pPr>
        <w:ind w:left="7824" w:hanging="180"/>
      </w:pPr>
    </w:lvl>
    <w:lvl w:ilvl="3" w:tplc="0C0A000F" w:tentative="1">
      <w:start w:val="1"/>
      <w:numFmt w:val="decimal"/>
      <w:lvlText w:val="%4."/>
      <w:lvlJc w:val="left"/>
      <w:pPr>
        <w:ind w:left="8544" w:hanging="360"/>
      </w:pPr>
    </w:lvl>
    <w:lvl w:ilvl="4" w:tplc="0C0A0019" w:tentative="1">
      <w:start w:val="1"/>
      <w:numFmt w:val="lowerLetter"/>
      <w:lvlText w:val="%5."/>
      <w:lvlJc w:val="left"/>
      <w:pPr>
        <w:ind w:left="9264" w:hanging="360"/>
      </w:pPr>
    </w:lvl>
    <w:lvl w:ilvl="5" w:tplc="0C0A001B" w:tentative="1">
      <w:start w:val="1"/>
      <w:numFmt w:val="lowerRoman"/>
      <w:lvlText w:val="%6."/>
      <w:lvlJc w:val="right"/>
      <w:pPr>
        <w:ind w:left="9984" w:hanging="180"/>
      </w:pPr>
    </w:lvl>
    <w:lvl w:ilvl="6" w:tplc="0C0A000F" w:tentative="1">
      <w:start w:val="1"/>
      <w:numFmt w:val="decimal"/>
      <w:lvlText w:val="%7."/>
      <w:lvlJc w:val="left"/>
      <w:pPr>
        <w:ind w:left="10704" w:hanging="360"/>
      </w:pPr>
    </w:lvl>
    <w:lvl w:ilvl="7" w:tplc="0C0A0019" w:tentative="1">
      <w:start w:val="1"/>
      <w:numFmt w:val="lowerLetter"/>
      <w:lvlText w:val="%8."/>
      <w:lvlJc w:val="left"/>
      <w:pPr>
        <w:ind w:left="11424" w:hanging="360"/>
      </w:pPr>
    </w:lvl>
    <w:lvl w:ilvl="8" w:tplc="0C0A001B" w:tentative="1">
      <w:start w:val="1"/>
      <w:numFmt w:val="lowerRoman"/>
      <w:lvlText w:val="%9."/>
      <w:lvlJc w:val="right"/>
      <w:pPr>
        <w:ind w:left="12144" w:hanging="180"/>
      </w:pPr>
    </w:lvl>
  </w:abstractNum>
  <w:abstractNum w:abstractNumId="37">
    <w:nsid w:val="721843B0"/>
    <w:multiLevelType w:val="hybridMultilevel"/>
    <w:tmpl w:val="436CD5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2DA5AEB"/>
    <w:multiLevelType w:val="hybridMultilevel"/>
    <w:tmpl w:val="71A415B2"/>
    <w:lvl w:ilvl="0" w:tplc="1208248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nsid w:val="72EA4DBC"/>
    <w:multiLevelType w:val="hybridMultilevel"/>
    <w:tmpl w:val="E55C85D6"/>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nsid w:val="7B216DC3"/>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2">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BD62479"/>
    <w:multiLevelType w:val="hybridMultilevel"/>
    <w:tmpl w:val="58787B14"/>
    <w:lvl w:ilvl="0" w:tplc="DC567C4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nsid w:val="7E94396A"/>
    <w:multiLevelType w:val="hybridMultilevel"/>
    <w:tmpl w:val="1C72ADB2"/>
    <w:lvl w:ilvl="0" w:tplc="0C0A0001">
      <w:start w:val="1"/>
      <w:numFmt w:val="decimal"/>
      <w:lvlText w:val="Artículo %1."/>
      <w:lvlJc w:val="left"/>
      <w:pPr>
        <w:ind w:left="779"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num w:numId="1">
    <w:abstractNumId w:val="22"/>
  </w:num>
  <w:num w:numId="2">
    <w:abstractNumId w:val="7"/>
  </w:num>
  <w:num w:numId="3">
    <w:abstractNumId w:val="40"/>
  </w:num>
  <w:num w:numId="4">
    <w:abstractNumId w:val="11"/>
  </w:num>
  <w:num w:numId="5">
    <w:abstractNumId w:val="26"/>
  </w:num>
  <w:num w:numId="6">
    <w:abstractNumId w:val="4"/>
  </w:num>
  <w:num w:numId="7">
    <w:abstractNumId w:val="2"/>
  </w:num>
  <w:num w:numId="8">
    <w:abstractNumId w:val="29"/>
  </w:num>
  <w:num w:numId="9">
    <w:abstractNumId w:val="28"/>
  </w:num>
  <w:num w:numId="10">
    <w:abstractNumId w:val="23"/>
  </w:num>
  <w:num w:numId="11">
    <w:abstractNumId w:val="42"/>
  </w:num>
  <w:num w:numId="12">
    <w:abstractNumId w:val="35"/>
  </w:num>
  <w:num w:numId="13">
    <w:abstractNumId w:val="16"/>
  </w:num>
  <w:num w:numId="14">
    <w:abstractNumId w:val="1"/>
  </w:num>
  <w:num w:numId="15">
    <w:abstractNumId w:val="19"/>
  </w:num>
  <w:num w:numId="16">
    <w:abstractNumId w:val="24"/>
  </w:num>
  <w:num w:numId="17">
    <w:abstractNumId w:val="8"/>
  </w:num>
  <w:num w:numId="18">
    <w:abstractNumId w:val="33"/>
  </w:num>
  <w:num w:numId="19">
    <w:abstractNumId w:val="37"/>
  </w:num>
  <w:num w:numId="20">
    <w:abstractNumId w:val="9"/>
  </w:num>
  <w:num w:numId="21">
    <w:abstractNumId w:val="31"/>
  </w:num>
  <w:num w:numId="22">
    <w:abstractNumId w:val="27"/>
  </w:num>
  <w:num w:numId="23">
    <w:abstractNumId w:val="43"/>
  </w:num>
  <w:num w:numId="24">
    <w:abstractNumId w:val="13"/>
  </w:num>
  <w:num w:numId="25">
    <w:abstractNumId w:val="38"/>
  </w:num>
  <w:num w:numId="26">
    <w:abstractNumId w:val="18"/>
  </w:num>
  <w:num w:numId="27">
    <w:abstractNumId w:val="15"/>
  </w:num>
  <w:num w:numId="28">
    <w:abstractNumId w:val="3"/>
  </w:num>
  <w:num w:numId="29">
    <w:abstractNumId w:val="0"/>
    <w:lvlOverride w:ilvl="0">
      <w:lvl w:ilvl="0">
        <w:numFmt w:val="bullet"/>
        <w:lvlText w:val=""/>
        <w:legacy w:legacy="1" w:legacySpace="0" w:legacyIndent="0"/>
        <w:lvlJc w:val="left"/>
        <w:rPr>
          <w:rFonts w:ascii="Symbol" w:hAnsi="Symbol" w:hint="default"/>
          <w:sz w:val="22"/>
        </w:rPr>
      </w:lvl>
    </w:lvlOverride>
  </w:num>
  <w:num w:numId="30">
    <w:abstractNumId w:val="20"/>
  </w:num>
  <w:num w:numId="31">
    <w:abstractNumId w:val="12"/>
  </w:num>
  <w:num w:numId="32">
    <w:abstractNumId w:val="39"/>
  </w:num>
  <w:num w:numId="33">
    <w:abstractNumId w:val="21"/>
  </w:num>
  <w:num w:numId="34">
    <w:abstractNumId w:val="32"/>
  </w:num>
  <w:num w:numId="35">
    <w:abstractNumId w:val="5"/>
  </w:num>
  <w:num w:numId="36">
    <w:abstractNumId w:val="36"/>
  </w:num>
  <w:num w:numId="37">
    <w:abstractNumId w:val="6"/>
  </w:num>
  <w:num w:numId="38">
    <w:abstractNumId w:val="44"/>
  </w:num>
  <w:num w:numId="39">
    <w:abstractNumId w:val="25"/>
  </w:num>
  <w:num w:numId="40">
    <w:abstractNumId w:val="10"/>
  </w:num>
  <w:num w:numId="41">
    <w:abstractNumId w:val="14"/>
  </w:num>
  <w:num w:numId="42">
    <w:abstractNumId w:val="34"/>
  </w:num>
  <w:num w:numId="43">
    <w:abstractNumId w:val="30"/>
  </w:num>
  <w:num w:numId="44">
    <w:abstractNumId w:val="1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D6E"/>
    <w:rsid w:val="00003E84"/>
    <w:rsid w:val="00006AE2"/>
    <w:rsid w:val="000076A1"/>
    <w:rsid w:val="00012259"/>
    <w:rsid w:val="00025383"/>
    <w:rsid w:val="00025F1E"/>
    <w:rsid w:val="000309F7"/>
    <w:rsid w:val="000339B5"/>
    <w:rsid w:val="00035E0B"/>
    <w:rsid w:val="00040491"/>
    <w:rsid w:val="00053A6E"/>
    <w:rsid w:val="00054BBE"/>
    <w:rsid w:val="000579E7"/>
    <w:rsid w:val="00061377"/>
    <w:rsid w:val="00061C2D"/>
    <w:rsid w:val="0006289C"/>
    <w:rsid w:val="00063657"/>
    <w:rsid w:val="00065029"/>
    <w:rsid w:val="0007604A"/>
    <w:rsid w:val="00076680"/>
    <w:rsid w:val="0008073E"/>
    <w:rsid w:val="000851CA"/>
    <w:rsid w:val="00086A2E"/>
    <w:rsid w:val="00091994"/>
    <w:rsid w:val="00091CDB"/>
    <w:rsid w:val="00094578"/>
    <w:rsid w:val="000A19AC"/>
    <w:rsid w:val="000A4DE1"/>
    <w:rsid w:val="000A53DA"/>
    <w:rsid w:val="000B11EB"/>
    <w:rsid w:val="000B24D1"/>
    <w:rsid w:val="000B6174"/>
    <w:rsid w:val="000C1E48"/>
    <w:rsid w:val="000C3E9B"/>
    <w:rsid w:val="000C7016"/>
    <w:rsid w:val="000D1C56"/>
    <w:rsid w:val="000D26F8"/>
    <w:rsid w:val="000E2CD3"/>
    <w:rsid w:val="000E412B"/>
    <w:rsid w:val="000E515E"/>
    <w:rsid w:val="000E5F2F"/>
    <w:rsid w:val="000E6937"/>
    <w:rsid w:val="000F0218"/>
    <w:rsid w:val="000F08ED"/>
    <w:rsid w:val="000F1093"/>
    <w:rsid w:val="000F1EE3"/>
    <w:rsid w:val="000F28C2"/>
    <w:rsid w:val="000F50B3"/>
    <w:rsid w:val="000F52AA"/>
    <w:rsid w:val="000F5AEF"/>
    <w:rsid w:val="000F7A49"/>
    <w:rsid w:val="001006DD"/>
    <w:rsid w:val="0010128A"/>
    <w:rsid w:val="00111E50"/>
    <w:rsid w:val="00122680"/>
    <w:rsid w:val="00124452"/>
    <w:rsid w:val="00130E89"/>
    <w:rsid w:val="00136961"/>
    <w:rsid w:val="00140112"/>
    <w:rsid w:val="001405C6"/>
    <w:rsid w:val="00141013"/>
    <w:rsid w:val="00141348"/>
    <w:rsid w:val="001434CE"/>
    <w:rsid w:val="00145C4C"/>
    <w:rsid w:val="001469A8"/>
    <w:rsid w:val="001531E2"/>
    <w:rsid w:val="00153DB1"/>
    <w:rsid w:val="0015427D"/>
    <w:rsid w:val="00156332"/>
    <w:rsid w:val="0016570C"/>
    <w:rsid w:val="00166CA5"/>
    <w:rsid w:val="001710FF"/>
    <w:rsid w:val="001715E0"/>
    <w:rsid w:val="00175D53"/>
    <w:rsid w:val="001761EB"/>
    <w:rsid w:val="00176CC4"/>
    <w:rsid w:val="00187740"/>
    <w:rsid w:val="00190DCA"/>
    <w:rsid w:val="00192CBF"/>
    <w:rsid w:val="00192FBC"/>
    <w:rsid w:val="00192FF1"/>
    <w:rsid w:val="00193601"/>
    <w:rsid w:val="001A5F1B"/>
    <w:rsid w:val="001A6D78"/>
    <w:rsid w:val="001B1C22"/>
    <w:rsid w:val="001B34C6"/>
    <w:rsid w:val="001B37C7"/>
    <w:rsid w:val="001B5EFE"/>
    <w:rsid w:val="001B6068"/>
    <w:rsid w:val="001C36DD"/>
    <w:rsid w:val="001C7144"/>
    <w:rsid w:val="001D0764"/>
    <w:rsid w:val="001D714A"/>
    <w:rsid w:val="001D7832"/>
    <w:rsid w:val="001E23E2"/>
    <w:rsid w:val="001E5369"/>
    <w:rsid w:val="001E5381"/>
    <w:rsid w:val="001F4D03"/>
    <w:rsid w:val="0020107C"/>
    <w:rsid w:val="002022F3"/>
    <w:rsid w:val="00202F11"/>
    <w:rsid w:val="00203F03"/>
    <w:rsid w:val="00207C1A"/>
    <w:rsid w:val="00210DBB"/>
    <w:rsid w:val="002112F1"/>
    <w:rsid w:val="00211D34"/>
    <w:rsid w:val="002120D8"/>
    <w:rsid w:val="00214F04"/>
    <w:rsid w:val="00216F17"/>
    <w:rsid w:val="002173F7"/>
    <w:rsid w:val="00221AFD"/>
    <w:rsid w:val="002221BF"/>
    <w:rsid w:val="00222810"/>
    <w:rsid w:val="002241CB"/>
    <w:rsid w:val="00225936"/>
    <w:rsid w:val="0022607A"/>
    <w:rsid w:val="00226B46"/>
    <w:rsid w:val="00231F59"/>
    <w:rsid w:val="0023347E"/>
    <w:rsid w:val="00236A3F"/>
    <w:rsid w:val="0023701E"/>
    <w:rsid w:val="00241C61"/>
    <w:rsid w:val="00246B62"/>
    <w:rsid w:val="00247BF5"/>
    <w:rsid w:val="00250937"/>
    <w:rsid w:val="00251D7C"/>
    <w:rsid w:val="002520A5"/>
    <w:rsid w:val="002610B0"/>
    <w:rsid w:val="00266CD6"/>
    <w:rsid w:val="002708AA"/>
    <w:rsid w:val="0027307F"/>
    <w:rsid w:val="00274B2E"/>
    <w:rsid w:val="0027728F"/>
    <w:rsid w:val="00277A1A"/>
    <w:rsid w:val="00280382"/>
    <w:rsid w:val="002815F9"/>
    <w:rsid w:val="00284CEC"/>
    <w:rsid w:val="0029146B"/>
    <w:rsid w:val="00293F98"/>
    <w:rsid w:val="00296F34"/>
    <w:rsid w:val="002A0561"/>
    <w:rsid w:val="002A2B91"/>
    <w:rsid w:val="002A7DE1"/>
    <w:rsid w:val="002B02CE"/>
    <w:rsid w:val="002B03D0"/>
    <w:rsid w:val="002B0543"/>
    <w:rsid w:val="002B1025"/>
    <w:rsid w:val="002B11E2"/>
    <w:rsid w:val="002B24B8"/>
    <w:rsid w:val="002B3702"/>
    <w:rsid w:val="002B398D"/>
    <w:rsid w:val="002B4307"/>
    <w:rsid w:val="002C07EC"/>
    <w:rsid w:val="002C5884"/>
    <w:rsid w:val="002C613E"/>
    <w:rsid w:val="002C78A3"/>
    <w:rsid w:val="002D0208"/>
    <w:rsid w:val="002D0AC5"/>
    <w:rsid w:val="002D3AE9"/>
    <w:rsid w:val="002D5259"/>
    <w:rsid w:val="002E1E8E"/>
    <w:rsid w:val="002E2400"/>
    <w:rsid w:val="002F0734"/>
    <w:rsid w:val="002F2E40"/>
    <w:rsid w:val="002F43AC"/>
    <w:rsid w:val="002F46E7"/>
    <w:rsid w:val="002F5DFA"/>
    <w:rsid w:val="00301013"/>
    <w:rsid w:val="003020AD"/>
    <w:rsid w:val="00303FE3"/>
    <w:rsid w:val="00304B6E"/>
    <w:rsid w:val="00307421"/>
    <w:rsid w:val="003101DA"/>
    <w:rsid w:val="00312B10"/>
    <w:rsid w:val="003132AA"/>
    <w:rsid w:val="00314757"/>
    <w:rsid w:val="003207F8"/>
    <w:rsid w:val="00320DAE"/>
    <w:rsid w:val="003211CE"/>
    <w:rsid w:val="00321F93"/>
    <w:rsid w:val="00326007"/>
    <w:rsid w:val="00326018"/>
    <w:rsid w:val="0033031F"/>
    <w:rsid w:val="003400CD"/>
    <w:rsid w:val="003424CC"/>
    <w:rsid w:val="003428D1"/>
    <w:rsid w:val="00344179"/>
    <w:rsid w:val="00346523"/>
    <w:rsid w:val="0035403A"/>
    <w:rsid w:val="003547B8"/>
    <w:rsid w:val="0035515B"/>
    <w:rsid w:val="0035549C"/>
    <w:rsid w:val="0036394B"/>
    <w:rsid w:val="003709B5"/>
    <w:rsid w:val="00370BD1"/>
    <w:rsid w:val="003732AD"/>
    <w:rsid w:val="0037538B"/>
    <w:rsid w:val="003759C2"/>
    <w:rsid w:val="0038090A"/>
    <w:rsid w:val="00383480"/>
    <w:rsid w:val="00386AF3"/>
    <w:rsid w:val="00393D1E"/>
    <w:rsid w:val="00397257"/>
    <w:rsid w:val="00397365"/>
    <w:rsid w:val="003A053D"/>
    <w:rsid w:val="003A31F6"/>
    <w:rsid w:val="003A4E91"/>
    <w:rsid w:val="003A6509"/>
    <w:rsid w:val="003A65AB"/>
    <w:rsid w:val="003A666B"/>
    <w:rsid w:val="003B0CB9"/>
    <w:rsid w:val="003B3271"/>
    <w:rsid w:val="003B3CAE"/>
    <w:rsid w:val="003B4B9D"/>
    <w:rsid w:val="003B5959"/>
    <w:rsid w:val="003B6198"/>
    <w:rsid w:val="003B6B6E"/>
    <w:rsid w:val="003B79BF"/>
    <w:rsid w:val="003C00AF"/>
    <w:rsid w:val="003C11D9"/>
    <w:rsid w:val="003C3447"/>
    <w:rsid w:val="003C590F"/>
    <w:rsid w:val="003D076C"/>
    <w:rsid w:val="003E261D"/>
    <w:rsid w:val="003E5019"/>
    <w:rsid w:val="003E63C6"/>
    <w:rsid w:val="003F0A2B"/>
    <w:rsid w:val="003F1AA5"/>
    <w:rsid w:val="003F79BC"/>
    <w:rsid w:val="004057B0"/>
    <w:rsid w:val="0040749A"/>
    <w:rsid w:val="004126A4"/>
    <w:rsid w:val="00413DEE"/>
    <w:rsid w:val="00415892"/>
    <w:rsid w:val="00415BAB"/>
    <w:rsid w:val="00415ED2"/>
    <w:rsid w:val="0042068C"/>
    <w:rsid w:val="00422AD7"/>
    <w:rsid w:val="00423AAA"/>
    <w:rsid w:val="004311FB"/>
    <w:rsid w:val="0043189C"/>
    <w:rsid w:val="00431B93"/>
    <w:rsid w:val="004408E5"/>
    <w:rsid w:val="00442505"/>
    <w:rsid w:val="00445C17"/>
    <w:rsid w:val="00451BA3"/>
    <w:rsid w:val="00452A69"/>
    <w:rsid w:val="00455413"/>
    <w:rsid w:val="004603C4"/>
    <w:rsid w:val="00462B25"/>
    <w:rsid w:val="00463DAE"/>
    <w:rsid w:val="004644D4"/>
    <w:rsid w:val="00465456"/>
    <w:rsid w:val="00466011"/>
    <w:rsid w:val="0047122B"/>
    <w:rsid w:val="00472DA3"/>
    <w:rsid w:val="00473B7A"/>
    <w:rsid w:val="0048139F"/>
    <w:rsid w:val="00483942"/>
    <w:rsid w:val="00485792"/>
    <w:rsid w:val="00485A63"/>
    <w:rsid w:val="00485F87"/>
    <w:rsid w:val="00486E90"/>
    <w:rsid w:val="00490991"/>
    <w:rsid w:val="00490FC9"/>
    <w:rsid w:val="004960E9"/>
    <w:rsid w:val="00496998"/>
    <w:rsid w:val="004A035C"/>
    <w:rsid w:val="004A2E88"/>
    <w:rsid w:val="004A4DAB"/>
    <w:rsid w:val="004A5305"/>
    <w:rsid w:val="004B1A8A"/>
    <w:rsid w:val="004B1BD8"/>
    <w:rsid w:val="004B4A12"/>
    <w:rsid w:val="004B54F9"/>
    <w:rsid w:val="004B6401"/>
    <w:rsid w:val="004B66A6"/>
    <w:rsid w:val="004C0469"/>
    <w:rsid w:val="004C0C2B"/>
    <w:rsid w:val="004C0F7E"/>
    <w:rsid w:val="004C1C9B"/>
    <w:rsid w:val="004C4437"/>
    <w:rsid w:val="004C474E"/>
    <w:rsid w:val="004D3F7E"/>
    <w:rsid w:val="004D7634"/>
    <w:rsid w:val="004E033D"/>
    <w:rsid w:val="004E16FA"/>
    <w:rsid w:val="004E2565"/>
    <w:rsid w:val="004E3A9E"/>
    <w:rsid w:val="004E7881"/>
    <w:rsid w:val="004F0043"/>
    <w:rsid w:val="004F02E3"/>
    <w:rsid w:val="004F2692"/>
    <w:rsid w:val="004F754A"/>
    <w:rsid w:val="00500EA1"/>
    <w:rsid w:val="00501DD2"/>
    <w:rsid w:val="00503440"/>
    <w:rsid w:val="00517376"/>
    <w:rsid w:val="00517EA8"/>
    <w:rsid w:val="00521FF4"/>
    <w:rsid w:val="005249C4"/>
    <w:rsid w:val="00524A9C"/>
    <w:rsid w:val="00525575"/>
    <w:rsid w:val="00526951"/>
    <w:rsid w:val="005272DB"/>
    <w:rsid w:val="005300D3"/>
    <w:rsid w:val="0053341A"/>
    <w:rsid w:val="005335F2"/>
    <w:rsid w:val="005344EC"/>
    <w:rsid w:val="00536771"/>
    <w:rsid w:val="005413A1"/>
    <w:rsid w:val="00544F82"/>
    <w:rsid w:val="005458FB"/>
    <w:rsid w:val="00545CCD"/>
    <w:rsid w:val="00546215"/>
    <w:rsid w:val="0055301C"/>
    <w:rsid w:val="00553D18"/>
    <w:rsid w:val="005547DE"/>
    <w:rsid w:val="005573C5"/>
    <w:rsid w:val="00560DAA"/>
    <w:rsid w:val="005658C7"/>
    <w:rsid w:val="00566BA1"/>
    <w:rsid w:val="00571605"/>
    <w:rsid w:val="00572D25"/>
    <w:rsid w:val="00573E39"/>
    <w:rsid w:val="00574558"/>
    <w:rsid w:val="00574802"/>
    <w:rsid w:val="0057517A"/>
    <w:rsid w:val="00576183"/>
    <w:rsid w:val="00577586"/>
    <w:rsid w:val="005776CF"/>
    <w:rsid w:val="00582569"/>
    <w:rsid w:val="005830B5"/>
    <w:rsid w:val="00585D3A"/>
    <w:rsid w:val="00593C4F"/>
    <w:rsid w:val="005946A8"/>
    <w:rsid w:val="005A3C92"/>
    <w:rsid w:val="005A4407"/>
    <w:rsid w:val="005A59EF"/>
    <w:rsid w:val="005A5C33"/>
    <w:rsid w:val="005A698A"/>
    <w:rsid w:val="005B4849"/>
    <w:rsid w:val="005C0033"/>
    <w:rsid w:val="005C334B"/>
    <w:rsid w:val="005C34DB"/>
    <w:rsid w:val="005C5BA8"/>
    <w:rsid w:val="005C6281"/>
    <w:rsid w:val="005C697B"/>
    <w:rsid w:val="005D0640"/>
    <w:rsid w:val="005D19C2"/>
    <w:rsid w:val="005D5181"/>
    <w:rsid w:val="005D5727"/>
    <w:rsid w:val="005E04BC"/>
    <w:rsid w:val="005E127A"/>
    <w:rsid w:val="005E525F"/>
    <w:rsid w:val="005F1859"/>
    <w:rsid w:val="005F2A1B"/>
    <w:rsid w:val="005F2A82"/>
    <w:rsid w:val="005F61B4"/>
    <w:rsid w:val="00601E4A"/>
    <w:rsid w:val="0060385C"/>
    <w:rsid w:val="00606515"/>
    <w:rsid w:val="006077A5"/>
    <w:rsid w:val="00613C36"/>
    <w:rsid w:val="0061647C"/>
    <w:rsid w:val="00621B6F"/>
    <w:rsid w:val="006235E3"/>
    <w:rsid w:val="00625DC6"/>
    <w:rsid w:val="00626719"/>
    <w:rsid w:val="00631B0F"/>
    <w:rsid w:val="00632810"/>
    <w:rsid w:val="00634341"/>
    <w:rsid w:val="00634693"/>
    <w:rsid w:val="00637E06"/>
    <w:rsid w:val="0064398F"/>
    <w:rsid w:val="00643EF5"/>
    <w:rsid w:val="006448A3"/>
    <w:rsid w:val="00645832"/>
    <w:rsid w:val="00645858"/>
    <w:rsid w:val="00646F87"/>
    <w:rsid w:val="00651821"/>
    <w:rsid w:val="00652550"/>
    <w:rsid w:val="00652819"/>
    <w:rsid w:val="0065388F"/>
    <w:rsid w:val="00654384"/>
    <w:rsid w:val="00654DC2"/>
    <w:rsid w:val="006552A1"/>
    <w:rsid w:val="00655488"/>
    <w:rsid w:val="00655B2E"/>
    <w:rsid w:val="006607B2"/>
    <w:rsid w:val="00666CE7"/>
    <w:rsid w:val="006670D7"/>
    <w:rsid w:val="006675CD"/>
    <w:rsid w:val="00670BC4"/>
    <w:rsid w:val="006715C2"/>
    <w:rsid w:val="00676DB9"/>
    <w:rsid w:val="006776A5"/>
    <w:rsid w:val="0068028C"/>
    <w:rsid w:val="0068197E"/>
    <w:rsid w:val="00682A8C"/>
    <w:rsid w:val="00684D9B"/>
    <w:rsid w:val="00686519"/>
    <w:rsid w:val="006875A7"/>
    <w:rsid w:val="00690C40"/>
    <w:rsid w:val="0069382C"/>
    <w:rsid w:val="006959EB"/>
    <w:rsid w:val="00697232"/>
    <w:rsid w:val="00697556"/>
    <w:rsid w:val="006A2DDF"/>
    <w:rsid w:val="006A597D"/>
    <w:rsid w:val="006A7269"/>
    <w:rsid w:val="006B2B69"/>
    <w:rsid w:val="006B35C5"/>
    <w:rsid w:val="006B4174"/>
    <w:rsid w:val="006B42B7"/>
    <w:rsid w:val="006B4C2B"/>
    <w:rsid w:val="006B6D47"/>
    <w:rsid w:val="006B7ED2"/>
    <w:rsid w:val="006C098F"/>
    <w:rsid w:val="006C0A43"/>
    <w:rsid w:val="006C28FA"/>
    <w:rsid w:val="006D0149"/>
    <w:rsid w:val="006D08FA"/>
    <w:rsid w:val="006D53BB"/>
    <w:rsid w:val="006D5905"/>
    <w:rsid w:val="006D6ADE"/>
    <w:rsid w:val="006E21E6"/>
    <w:rsid w:val="006E3EF3"/>
    <w:rsid w:val="006E4738"/>
    <w:rsid w:val="006E7D63"/>
    <w:rsid w:val="006F0AD4"/>
    <w:rsid w:val="006F105C"/>
    <w:rsid w:val="006F5432"/>
    <w:rsid w:val="006F5C1E"/>
    <w:rsid w:val="006F6D95"/>
    <w:rsid w:val="007047ED"/>
    <w:rsid w:val="007051F0"/>
    <w:rsid w:val="00706F13"/>
    <w:rsid w:val="007072E8"/>
    <w:rsid w:val="007104E9"/>
    <w:rsid w:val="007135A2"/>
    <w:rsid w:val="00713E83"/>
    <w:rsid w:val="00714873"/>
    <w:rsid w:val="0071618D"/>
    <w:rsid w:val="00717F59"/>
    <w:rsid w:val="00723FA1"/>
    <w:rsid w:val="00725FA4"/>
    <w:rsid w:val="0072678B"/>
    <w:rsid w:val="00731CD6"/>
    <w:rsid w:val="007327D9"/>
    <w:rsid w:val="00736925"/>
    <w:rsid w:val="00740446"/>
    <w:rsid w:val="007438A9"/>
    <w:rsid w:val="0074491E"/>
    <w:rsid w:val="00746F9D"/>
    <w:rsid w:val="00752094"/>
    <w:rsid w:val="00752B59"/>
    <w:rsid w:val="00752DD6"/>
    <w:rsid w:val="00755584"/>
    <w:rsid w:val="00755C2D"/>
    <w:rsid w:val="00757C0F"/>
    <w:rsid w:val="00763275"/>
    <w:rsid w:val="00764C83"/>
    <w:rsid w:val="00765A3E"/>
    <w:rsid w:val="00765C89"/>
    <w:rsid w:val="00773DDF"/>
    <w:rsid w:val="00775964"/>
    <w:rsid w:val="00776CBF"/>
    <w:rsid w:val="00776D19"/>
    <w:rsid w:val="00780AB5"/>
    <w:rsid w:val="00783667"/>
    <w:rsid w:val="007925F8"/>
    <w:rsid w:val="007936EE"/>
    <w:rsid w:val="00793D49"/>
    <w:rsid w:val="007941ED"/>
    <w:rsid w:val="007956F6"/>
    <w:rsid w:val="0079592A"/>
    <w:rsid w:val="00795BFB"/>
    <w:rsid w:val="00797BE0"/>
    <w:rsid w:val="007A13D1"/>
    <w:rsid w:val="007A46E4"/>
    <w:rsid w:val="007B13D2"/>
    <w:rsid w:val="007B1AFE"/>
    <w:rsid w:val="007B2760"/>
    <w:rsid w:val="007B3AC9"/>
    <w:rsid w:val="007B4ED1"/>
    <w:rsid w:val="007C4108"/>
    <w:rsid w:val="007C48B2"/>
    <w:rsid w:val="007C5B9C"/>
    <w:rsid w:val="007D43E4"/>
    <w:rsid w:val="007D5539"/>
    <w:rsid w:val="007D69D2"/>
    <w:rsid w:val="007E2A8D"/>
    <w:rsid w:val="007E3CB0"/>
    <w:rsid w:val="007E41B3"/>
    <w:rsid w:val="007E43EE"/>
    <w:rsid w:val="007E48A7"/>
    <w:rsid w:val="007E623A"/>
    <w:rsid w:val="007E65B5"/>
    <w:rsid w:val="007E71A5"/>
    <w:rsid w:val="007F0F11"/>
    <w:rsid w:val="007F3036"/>
    <w:rsid w:val="008012A9"/>
    <w:rsid w:val="00803CE1"/>
    <w:rsid w:val="0080622A"/>
    <w:rsid w:val="00806C01"/>
    <w:rsid w:val="00811BEF"/>
    <w:rsid w:val="0081319D"/>
    <w:rsid w:val="00813247"/>
    <w:rsid w:val="008148CC"/>
    <w:rsid w:val="00814A78"/>
    <w:rsid w:val="00815E78"/>
    <w:rsid w:val="008211A4"/>
    <w:rsid w:val="00821375"/>
    <w:rsid w:val="0082227A"/>
    <w:rsid w:val="00822BA3"/>
    <w:rsid w:val="0082350D"/>
    <w:rsid w:val="00824E23"/>
    <w:rsid w:val="0082514D"/>
    <w:rsid w:val="008267CD"/>
    <w:rsid w:val="00837E10"/>
    <w:rsid w:val="0084111D"/>
    <w:rsid w:val="00845514"/>
    <w:rsid w:val="00851826"/>
    <w:rsid w:val="0085185E"/>
    <w:rsid w:val="00853A57"/>
    <w:rsid w:val="0085402A"/>
    <w:rsid w:val="00854D1A"/>
    <w:rsid w:val="0085733C"/>
    <w:rsid w:val="008657B9"/>
    <w:rsid w:val="00867F72"/>
    <w:rsid w:val="00872A22"/>
    <w:rsid w:val="00872EA7"/>
    <w:rsid w:val="00873150"/>
    <w:rsid w:val="008762ED"/>
    <w:rsid w:val="0087657D"/>
    <w:rsid w:val="008775D5"/>
    <w:rsid w:val="008779C3"/>
    <w:rsid w:val="0088002C"/>
    <w:rsid w:val="008804C7"/>
    <w:rsid w:val="008807D5"/>
    <w:rsid w:val="00880832"/>
    <w:rsid w:val="00882879"/>
    <w:rsid w:val="00883A30"/>
    <w:rsid w:val="00883C08"/>
    <w:rsid w:val="008869A1"/>
    <w:rsid w:val="00886EE1"/>
    <w:rsid w:val="0088727D"/>
    <w:rsid w:val="00887798"/>
    <w:rsid w:val="008929C2"/>
    <w:rsid w:val="0089419C"/>
    <w:rsid w:val="00897C75"/>
    <w:rsid w:val="008A4B05"/>
    <w:rsid w:val="008A4D7E"/>
    <w:rsid w:val="008B4156"/>
    <w:rsid w:val="008B529F"/>
    <w:rsid w:val="008B5B80"/>
    <w:rsid w:val="008B5D3E"/>
    <w:rsid w:val="008C1130"/>
    <w:rsid w:val="008C31B7"/>
    <w:rsid w:val="008C3803"/>
    <w:rsid w:val="008C4993"/>
    <w:rsid w:val="008D18E6"/>
    <w:rsid w:val="008D2DEA"/>
    <w:rsid w:val="008D6070"/>
    <w:rsid w:val="008D7A9B"/>
    <w:rsid w:val="008E76AC"/>
    <w:rsid w:val="008F20CA"/>
    <w:rsid w:val="008F21F6"/>
    <w:rsid w:val="008F7B82"/>
    <w:rsid w:val="009011F9"/>
    <w:rsid w:val="00907655"/>
    <w:rsid w:val="00917C22"/>
    <w:rsid w:val="009200A0"/>
    <w:rsid w:val="00921916"/>
    <w:rsid w:val="00921AE6"/>
    <w:rsid w:val="00921D88"/>
    <w:rsid w:val="00933729"/>
    <w:rsid w:val="009341D0"/>
    <w:rsid w:val="0093527B"/>
    <w:rsid w:val="00936727"/>
    <w:rsid w:val="0094386A"/>
    <w:rsid w:val="00945DFD"/>
    <w:rsid w:val="0094659C"/>
    <w:rsid w:val="00951A10"/>
    <w:rsid w:val="00951F79"/>
    <w:rsid w:val="00953C0D"/>
    <w:rsid w:val="009623A1"/>
    <w:rsid w:val="00967BD5"/>
    <w:rsid w:val="00971DB6"/>
    <w:rsid w:val="0097428B"/>
    <w:rsid w:val="009744A8"/>
    <w:rsid w:val="00974AB5"/>
    <w:rsid w:val="00976E3B"/>
    <w:rsid w:val="00985553"/>
    <w:rsid w:val="0098706D"/>
    <w:rsid w:val="00987160"/>
    <w:rsid w:val="00987B7A"/>
    <w:rsid w:val="00991459"/>
    <w:rsid w:val="00991D62"/>
    <w:rsid w:val="009928D2"/>
    <w:rsid w:val="009935FB"/>
    <w:rsid w:val="00995C4C"/>
    <w:rsid w:val="009973EE"/>
    <w:rsid w:val="009A4821"/>
    <w:rsid w:val="009B125B"/>
    <w:rsid w:val="009C14F9"/>
    <w:rsid w:val="009C483D"/>
    <w:rsid w:val="009C52FC"/>
    <w:rsid w:val="009C5732"/>
    <w:rsid w:val="009C6393"/>
    <w:rsid w:val="009D0AB8"/>
    <w:rsid w:val="009D219A"/>
    <w:rsid w:val="009D4698"/>
    <w:rsid w:val="009D6040"/>
    <w:rsid w:val="009E0469"/>
    <w:rsid w:val="009E4516"/>
    <w:rsid w:val="009F43AB"/>
    <w:rsid w:val="009F4A54"/>
    <w:rsid w:val="009F4BEC"/>
    <w:rsid w:val="009F5F5A"/>
    <w:rsid w:val="00A019D3"/>
    <w:rsid w:val="00A0570C"/>
    <w:rsid w:val="00A061D4"/>
    <w:rsid w:val="00A10359"/>
    <w:rsid w:val="00A16175"/>
    <w:rsid w:val="00A17C23"/>
    <w:rsid w:val="00A17E0C"/>
    <w:rsid w:val="00A2121A"/>
    <w:rsid w:val="00A25FD7"/>
    <w:rsid w:val="00A27BB7"/>
    <w:rsid w:val="00A33C22"/>
    <w:rsid w:val="00A33F74"/>
    <w:rsid w:val="00A36D42"/>
    <w:rsid w:val="00A37269"/>
    <w:rsid w:val="00A43AFF"/>
    <w:rsid w:val="00A5169B"/>
    <w:rsid w:val="00A64866"/>
    <w:rsid w:val="00A64A25"/>
    <w:rsid w:val="00A66F35"/>
    <w:rsid w:val="00A70001"/>
    <w:rsid w:val="00A703A8"/>
    <w:rsid w:val="00A73F9B"/>
    <w:rsid w:val="00A7793A"/>
    <w:rsid w:val="00A77D85"/>
    <w:rsid w:val="00A81446"/>
    <w:rsid w:val="00A82D17"/>
    <w:rsid w:val="00A8635E"/>
    <w:rsid w:val="00A86799"/>
    <w:rsid w:val="00A9015F"/>
    <w:rsid w:val="00A90D50"/>
    <w:rsid w:val="00A92B75"/>
    <w:rsid w:val="00A95565"/>
    <w:rsid w:val="00AA0080"/>
    <w:rsid w:val="00AA01C5"/>
    <w:rsid w:val="00AA08F2"/>
    <w:rsid w:val="00AA44AC"/>
    <w:rsid w:val="00AB4559"/>
    <w:rsid w:val="00AB666A"/>
    <w:rsid w:val="00AB6CA7"/>
    <w:rsid w:val="00AC063E"/>
    <w:rsid w:val="00AC12D6"/>
    <w:rsid w:val="00AC722A"/>
    <w:rsid w:val="00AD005D"/>
    <w:rsid w:val="00AD01E4"/>
    <w:rsid w:val="00AD07AF"/>
    <w:rsid w:val="00AD0858"/>
    <w:rsid w:val="00AD3E8D"/>
    <w:rsid w:val="00AD68DA"/>
    <w:rsid w:val="00AD7BA2"/>
    <w:rsid w:val="00AD7D42"/>
    <w:rsid w:val="00AE0B57"/>
    <w:rsid w:val="00AE1363"/>
    <w:rsid w:val="00AE14F4"/>
    <w:rsid w:val="00AE25DE"/>
    <w:rsid w:val="00AE3245"/>
    <w:rsid w:val="00AE7340"/>
    <w:rsid w:val="00AF1730"/>
    <w:rsid w:val="00AF1BBD"/>
    <w:rsid w:val="00AF35C7"/>
    <w:rsid w:val="00AF3EDA"/>
    <w:rsid w:val="00B01A30"/>
    <w:rsid w:val="00B0527E"/>
    <w:rsid w:val="00B05B39"/>
    <w:rsid w:val="00B06D68"/>
    <w:rsid w:val="00B10207"/>
    <w:rsid w:val="00B10739"/>
    <w:rsid w:val="00B11959"/>
    <w:rsid w:val="00B11DC3"/>
    <w:rsid w:val="00B141E7"/>
    <w:rsid w:val="00B17E10"/>
    <w:rsid w:val="00B234A4"/>
    <w:rsid w:val="00B24858"/>
    <w:rsid w:val="00B30EFC"/>
    <w:rsid w:val="00B321DB"/>
    <w:rsid w:val="00B33D46"/>
    <w:rsid w:val="00B351B4"/>
    <w:rsid w:val="00B355BF"/>
    <w:rsid w:val="00B40B8F"/>
    <w:rsid w:val="00B40D65"/>
    <w:rsid w:val="00B46BCA"/>
    <w:rsid w:val="00B472BF"/>
    <w:rsid w:val="00B510C7"/>
    <w:rsid w:val="00B52BDB"/>
    <w:rsid w:val="00B52D85"/>
    <w:rsid w:val="00B536F6"/>
    <w:rsid w:val="00B545A9"/>
    <w:rsid w:val="00B551E5"/>
    <w:rsid w:val="00B64A0D"/>
    <w:rsid w:val="00B66DCE"/>
    <w:rsid w:val="00B72766"/>
    <w:rsid w:val="00B73D32"/>
    <w:rsid w:val="00B80ECD"/>
    <w:rsid w:val="00B81C7A"/>
    <w:rsid w:val="00B84711"/>
    <w:rsid w:val="00B87806"/>
    <w:rsid w:val="00B87EC9"/>
    <w:rsid w:val="00B94019"/>
    <w:rsid w:val="00BA074E"/>
    <w:rsid w:val="00BA0FD7"/>
    <w:rsid w:val="00BA36A1"/>
    <w:rsid w:val="00BA47D2"/>
    <w:rsid w:val="00BA770C"/>
    <w:rsid w:val="00BB1C8C"/>
    <w:rsid w:val="00BB6409"/>
    <w:rsid w:val="00BB749D"/>
    <w:rsid w:val="00BC1FC3"/>
    <w:rsid w:val="00BC35A6"/>
    <w:rsid w:val="00BC38FD"/>
    <w:rsid w:val="00BC4433"/>
    <w:rsid w:val="00BD0645"/>
    <w:rsid w:val="00BD4695"/>
    <w:rsid w:val="00BD5486"/>
    <w:rsid w:val="00BD560E"/>
    <w:rsid w:val="00BD6E20"/>
    <w:rsid w:val="00BD7B34"/>
    <w:rsid w:val="00BE3FD0"/>
    <w:rsid w:val="00BF024D"/>
    <w:rsid w:val="00BF4366"/>
    <w:rsid w:val="00C00909"/>
    <w:rsid w:val="00C034CB"/>
    <w:rsid w:val="00C04F7A"/>
    <w:rsid w:val="00C051A8"/>
    <w:rsid w:val="00C054BC"/>
    <w:rsid w:val="00C06FC1"/>
    <w:rsid w:val="00C07042"/>
    <w:rsid w:val="00C1014F"/>
    <w:rsid w:val="00C1417B"/>
    <w:rsid w:val="00C14B2B"/>
    <w:rsid w:val="00C17825"/>
    <w:rsid w:val="00C17897"/>
    <w:rsid w:val="00C17EFE"/>
    <w:rsid w:val="00C21A5C"/>
    <w:rsid w:val="00C22C25"/>
    <w:rsid w:val="00C2580B"/>
    <w:rsid w:val="00C26C83"/>
    <w:rsid w:val="00C27763"/>
    <w:rsid w:val="00C3059C"/>
    <w:rsid w:val="00C314E1"/>
    <w:rsid w:val="00C325FA"/>
    <w:rsid w:val="00C334E1"/>
    <w:rsid w:val="00C343C9"/>
    <w:rsid w:val="00C34EAF"/>
    <w:rsid w:val="00C409D5"/>
    <w:rsid w:val="00C4210B"/>
    <w:rsid w:val="00C432D0"/>
    <w:rsid w:val="00C43D51"/>
    <w:rsid w:val="00C45362"/>
    <w:rsid w:val="00C466B5"/>
    <w:rsid w:val="00C47E22"/>
    <w:rsid w:val="00C5333A"/>
    <w:rsid w:val="00C554E7"/>
    <w:rsid w:val="00C61F84"/>
    <w:rsid w:val="00C6234B"/>
    <w:rsid w:val="00C63A34"/>
    <w:rsid w:val="00C63EAE"/>
    <w:rsid w:val="00C66C05"/>
    <w:rsid w:val="00C67CD4"/>
    <w:rsid w:val="00C67E2A"/>
    <w:rsid w:val="00C70E71"/>
    <w:rsid w:val="00C746E7"/>
    <w:rsid w:val="00C7629F"/>
    <w:rsid w:val="00C843E6"/>
    <w:rsid w:val="00C84704"/>
    <w:rsid w:val="00C851C4"/>
    <w:rsid w:val="00C85422"/>
    <w:rsid w:val="00C8661B"/>
    <w:rsid w:val="00C927C6"/>
    <w:rsid w:val="00C93775"/>
    <w:rsid w:val="00C959F3"/>
    <w:rsid w:val="00C978C2"/>
    <w:rsid w:val="00CA0D38"/>
    <w:rsid w:val="00CA139A"/>
    <w:rsid w:val="00CA2899"/>
    <w:rsid w:val="00CA3E61"/>
    <w:rsid w:val="00CA69E7"/>
    <w:rsid w:val="00CA77FB"/>
    <w:rsid w:val="00CB22F2"/>
    <w:rsid w:val="00CB2577"/>
    <w:rsid w:val="00CB2C6B"/>
    <w:rsid w:val="00CB379B"/>
    <w:rsid w:val="00CB5DD0"/>
    <w:rsid w:val="00CB6AF8"/>
    <w:rsid w:val="00CC07C7"/>
    <w:rsid w:val="00CC1EF2"/>
    <w:rsid w:val="00CC51D4"/>
    <w:rsid w:val="00CC65DA"/>
    <w:rsid w:val="00CC7BCB"/>
    <w:rsid w:val="00CC7E75"/>
    <w:rsid w:val="00CD09BC"/>
    <w:rsid w:val="00CD157B"/>
    <w:rsid w:val="00CD4270"/>
    <w:rsid w:val="00CD449D"/>
    <w:rsid w:val="00CD489F"/>
    <w:rsid w:val="00CD67B9"/>
    <w:rsid w:val="00CD7A3B"/>
    <w:rsid w:val="00CE0595"/>
    <w:rsid w:val="00CE0DE0"/>
    <w:rsid w:val="00CE1663"/>
    <w:rsid w:val="00CE47F1"/>
    <w:rsid w:val="00CF039A"/>
    <w:rsid w:val="00CF17FB"/>
    <w:rsid w:val="00CF21B9"/>
    <w:rsid w:val="00CF3122"/>
    <w:rsid w:val="00CF505D"/>
    <w:rsid w:val="00CF6BF9"/>
    <w:rsid w:val="00D03800"/>
    <w:rsid w:val="00D065D3"/>
    <w:rsid w:val="00D07126"/>
    <w:rsid w:val="00D14BB7"/>
    <w:rsid w:val="00D14C94"/>
    <w:rsid w:val="00D216F8"/>
    <w:rsid w:val="00D22484"/>
    <w:rsid w:val="00D342A6"/>
    <w:rsid w:val="00D3495E"/>
    <w:rsid w:val="00D34DBB"/>
    <w:rsid w:val="00D464BF"/>
    <w:rsid w:val="00D47340"/>
    <w:rsid w:val="00D474A0"/>
    <w:rsid w:val="00D53E26"/>
    <w:rsid w:val="00D55A7D"/>
    <w:rsid w:val="00D5698E"/>
    <w:rsid w:val="00D655F8"/>
    <w:rsid w:val="00D66108"/>
    <w:rsid w:val="00D668EE"/>
    <w:rsid w:val="00D670AA"/>
    <w:rsid w:val="00D70D58"/>
    <w:rsid w:val="00D759D8"/>
    <w:rsid w:val="00D7616D"/>
    <w:rsid w:val="00D77F30"/>
    <w:rsid w:val="00D8280B"/>
    <w:rsid w:val="00D82B71"/>
    <w:rsid w:val="00D84DFF"/>
    <w:rsid w:val="00D86381"/>
    <w:rsid w:val="00D90816"/>
    <w:rsid w:val="00D922E9"/>
    <w:rsid w:val="00D97FD7"/>
    <w:rsid w:val="00DA1D1E"/>
    <w:rsid w:val="00DA4901"/>
    <w:rsid w:val="00DB40E6"/>
    <w:rsid w:val="00DB51C7"/>
    <w:rsid w:val="00DB69FA"/>
    <w:rsid w:val="00DB7612"/>
    <w:rsid w:val="00DC06F4"/>
    <w:rsid w:val="00DC0A6C"/>
    <w:rsid w:val="00DD006F"/>
    <w:rsid w:val="00DD3C00"/>
    <w:rsid w:val="00DD3F9C"/>
    <w:rsid w:val="00DD4A92"/>
    <w:rsid w:val="00DD4F0E"/>
    <w:rsid w:val="00DD5F03"/>
    <w:rsid w:val="00DD6D35"/>
    <w:rsid w:val="00DE5D79"/>
    <w:rsid w:val="00DE66D7"/>
    <w:rsid w:val="00DF05B1"/>
    <w:rsid w:val="00DF0ACF"/>
    <w:rsid w:val="00DF375A"/>
    <w:rsid w:val="00DF52BD"/>
    <w:rsid w:val="00DF55ED"/>
    <w:rsid w:val="00DF6814"/>
    <w:rsid w:val="00DF7506"/>
    <w:rsid w:val="00DF7A96"/>
    <w:rsid w:val="00E004D7"/>
    <w:rsid w:val="00E00AAF"/>
    <w:rsid w:val="00E0302C"/>
    <w:rsid w:val="00E04AD1"/>
    <w:rsid w:val="00E05E0A"/>
    <w:rsid w:val="00E06175"/>
    <w:rsid w:val="00E0764F"/>
    <w:rsid w:val="00E10632"/>
    <w:rsid w:val="00E15640"/>
    <w:rsid w:val="00E16122"/>
    <w:rsid w:val="00E20436"/>
    <w:rsid w:val="00E22A91"/>
    <w:rsid w:val="00E23375"/>
    <w:rsid w:val="00E23F08"/>
    <w:rsid w:val="00E24AF9"/>
    <w:rsid w:val="00E25310"/>
    <w:rsid w:val="00E27B4D"/>
    <w:rsid w:val="00E32477"/>
    <w:rsid w:val="00E3463D"/>
    <w:rsid w:val="00E36F86"/>
    <w:rsid w:val="00E374AB"/>
    <w:rsid w:val="00E433F6"/>
    <w:rsid w:val="00E5024A"/>
    <w:rsid w:val="00E534CF"/>
    <w:rsid w:val="00E55C1B"/>
    <w:rsid w:val="00E56A28"/>
    <w:rsid w:val="00E628AC"/>
    <w:rsid w:val="00E62CC2"/>
    <w:rsid w:val="00E66F6F"/>
    <w:rsid w:val="00E750CB"/>
    <w:rsid w:val="00E819A4"/>
    <w:rsid w:val="00E81CB4"/>
    <w:rsid w:val="00E82107"/>
    <w:rsid w:val="00E84970"/>
    <w:rsid w:val="00E8585B"/>
    <w:rsid w:val="00E93051"/>
    <w:rsid w:val="00E94997"/>
    <w:rsid w:val="00EA209C"/>
    <w:rsid w:val="00EA3F15"/>
    <w:rsid w:val="00EA40C9"/>
    <w:rsid w:val="00EA4450"/>
    <w:rsid w:val="00EA69AD"/>
    <w:rsid w:val="00EA7847"/>
    <w:rsid w:val="00EB5064"/>
    <w:rsid w:val="00EB6E8B"/>
    <w:rsid w:val="00EC02BF"/>
    <w:rsid w:val="00EC03CD"/>
    <w:rsid w:val="00EC0F58"/>
    <w:rsid w:val="00EC49B2"/>
    <w:rsid w:val="00EC50B2"/>
    <w:rsid w:val="00EC74D0"/>
    <w:rsid w:val="00ED4BD1"/>
    <w:rsid w:val="00ED6438"/>
    <w:rsid w:val="00ED78CA"/>
    <w:rsid w:val="00ED7D00"/>
    <w:rsid w:val="00EE1906"/>
    <w:rsid w:val="00EE2CDE"/>
    <w:rsid w:val="00EE2E6E"/>
    <w:rsid w:val="00EE4C1B"/>
    <w:rsid w:val="00EF0538"/>
    <w:rsid w:val="00EF08AB"/>
    <w:rsid w:val="00EF188E"/>
    <w:rsid w:val="00EF18BF"/>
    <w:rsid w:val="00EF24B7"/>
    <w:rsid w:val="00EF424D"/>
    <w:rsid w:val="00EF5C39"/>
    <w:rsid w:val="00EF63FE"/>
    <w:rsid w:val="00EF76CA"/>
    <w:rsid w:val="00F016B0"/>
    <w:rsid w:val="00F034F4"/>
    <w:rsid w:val="00F05F44"/>
    <w:rsid w:val="00F06CF9"/>
    <w:rsid w:val="00F0759E"/>
    <w:rsid w:val="00F12439"/>
    <w:rsid w:val="00F12BA5"/>
    <w:rsid w:val="00F134DF"/>
    <w:rsid w:val="00F16E77"/>
    <w:rsid w:val="00F24CD8"/>
    <w:rsid w:val="00F26154"/>
    <w:rsid w:val="00F26879"/>
    <w:rsid w:val="00F31701"/>
    <w:rsid w:val="00F3334E"/>
    <w:rsid w:val="00F402C2"/>
    <w:rsid w:val="00F419C9"/>
    <w:rsid w:val="00F43023"/>
    <w:rsid w:val="00F445CA"/>
    <w:rsid w:val="00F50E95"/>
    <w:rsid w:val="00F517C3"/>
    <w:rsid w:val="00F604C4"/>
    <w:rsid w:val="00F63CF9"/>
    <w:rsid w:val="00F71245"/>
    <w:rsid w:val="00F72942"/>
    <w:rsid w:val="00F74C6A"/>
    <w:rsid w:val="00F821A3"/>
    <w:rsid w:val="00F859DE"/>
    <w:rsid w:val="00F86D42"/>
    <w:rsid w:val="00F8723F"/>
    <w:rsid w:val="00F91D91"/>
    <w:rsid w:val="00F92701"/>
    <w:rsid w:val="00F9314A"/>
    <w:rsid w:val="00F93792"/>
    <w:rsid w:val="00F93F51"/>
    <w:rsid w:val="00F955E0"/>
    <w:rsid w:val="00F957CC"/>
    <w:rsid w:val="00FA02F6"/>
    <w:rsid w:val="00FA71BC"/>
    <w:rsid w:val="00FB29AB"/>
    <w:rsid w:val="00FB2E0B"/>
    <w:rsid w:val="00FB412F"/>
    <w:rsid w:val="00FC0074"/>
    <w:rsid w:val="00FC3281"/>
    <w:rsid w:val="00FC58EF"/>
    <w:rsid w:val="00FC5928"/>
    <w:rsid w:val="00FD33DF"/>
    <w:rsid w:val="00FD570B"/>
    <w:rsid w:val="00FD6BD8"/>
    <w:rsid w:val="00FE0B72"/>
    <w:rsid w:val="00FE229F"/>
    <w:rsid w:val="00FE2561"/>
    <w:rsid w:val="00FE39D7"/>
    <w:rsid w:val="00FE466F"/>
    <w:rsid w:val="00FF0251"/>
    <w:rsid w:val="00FF2592"/>
    <w:rsid w:val="00FF2F68"/>
    <w:rsid w:val="00FF63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eastAsia="x-none"/>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rPr>
      <w:lang w:val="x-none" w:eastAsia="x-none"/>
    </w:r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lang w:val="x-none" w:eastAsia="x-none"/>
    </w:rPr>
  </w:style>
  <w:style w:type="character" w:customStyle="1" w:styleId="AsuntodelcomentarioCar">
    <w:name w:val="Asunto del comentario 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rPr>
      <w:lang w:val="x-none" w:eastAsia="x-none"/>
    </w:rPr>
  </w:style>
  <w:style w:type="character" w:customStyle="1" w:styleId="Sangra2detindependienteCar">
    <w:name w:val="Sangría 2 de t. independiente Car"/>
    <w:link w:val="Sangra2detindependiente"/>
    <w:uiPriority w:val="99"/>
    <w:semiHidden/>
    <w:rsid w:val="00B536F6"/>
    <w:rPr>
      <w:sz w:val="24"/>
      <w:szCs w:val="24"/>
    </w:rPr>
  </w:style>
  <w:style w:type="paragraph" w:styleId="Sangradetextonormal">
    <w:name w:val="Body Text Indent"/>
    <w:basedOn w:val="Normal"/>
    <w:link w:val="SangradetextonormalCar"/>
    <w:uiPriority w:val="99"/>
    <w:semiHidden/>
    <w:unhideWhenUsed/>
    <w:rsid w:val="00B536F6"/>
    <w:pPr>
      <w:spacing w:after="120"/>
      <w:ind w:left="283"/>
    </w:pPr>
    <w:rPr>
      <w:lang w:val="x-none" w:eastAsia="x-none"/>
    </w:rPr>
  </w:style>
  <w:style w:type="character" w:customStyle="1" w:styleId="SangradetextonormalCar">
    <w:name w:val="Sangría de texto normal Car"/>
    <w:link w:val="Sangradetextonormal"/>
    <w:uiPriority w:val="99"/>
    <w:semiHidden/>
    <w:rsid w:val="00B536F6"/>
    <w:rPr>
      <w:sz w:val="24"/>
      <w:szCs w:val="24"/>
    </w:rPr>
  </w:style>
  <w:style w:type="paragraph" w:styleId="Textonotapie">
    <w:name w:val="footnote text"/>
    <w:basedOn w:val="Normal"/>
    <w:link w:val="TextonotapieCar"/>
    <w:uiPriority w:val="99"/>
    <w:semiHidden/>
    <w:unhideWhenUsed/>
    <w:rsid w:val="005A698A"/>
    <w:rPr>
      <w:sz w:val="20"/>
      <w:szCs w:val="20"/>
    </w:rPr>
  </w:style>
  <w:style w:type="character" w:customStyle="1" w:styleId="TextonotapieCar">
    <w:name w:val="Texto nota pie Car"/>
    <w:link w:val="Textonotapie"/>
    <w:uiPriority w:val="99"/>
    <w:semiHidden/>
    <w:rsid w:val="005A698A"/>
    <w:rPr>
      <w:lang w:val="es-ES" w:eastAsia="es-ES"/>
    </w:rPr>
  </w:style>
  <w:style w:type="character" w:styleId="Refdenotaalpie">
    <w:name w:val="footnote reference"/>
    <w:uiPriority w:val="99"/>
    <w:semiHidden/>
    <w:unhideWhenUsed/>
    <w:rsid w:val="005A698A"/>
    <w:rPr>
      <w:vertAlign w:val="superscript"/>
    </w:rPr>
  </w:style>
  <w:style w:type="character" w:customStyle="1" w:styleId="textonavy1">
    <w:name w:val="texto_navy1"/>
    <w:rsid w:val="006A2DDF"/>
    <w:rPr>
      <w:color w:val="000080"/>
    </w:rPr>
  </w:style>
  <w:style w:type="paragraph" w:customStyle="1" w:styleId="03Cuerpo">
    <w:name w:val="03Cuerpo"/>
    <w:rsid w:val="00921916"/>
    <w:pPr>
      <w:overflowPunct w:val="0"/>
      <w:autoSpaceDE w:val="0"/>
      <w:autoSpaceDN w:val="0"/>
      <w:adjustRightInd w:val="0"/>
      <w:spacing w:line="240" w:lineRule="atLeast"/>
      <w:ind w:firstLine="454"/>
      <w:jc w:val="both"/>
    </w:pPr>
    <w:rPr>
      <w:rFonts w:ascii="Book Antiqua" w:hAnsi="Book Antiqua"/>
      <w:sz w:val="22"/>
      <w:lang w:val="es-ES_tradnl"/>
    </w:rPr>
  </w:style>
  <w:style w:type="paragraph" w:customStyle="1" w:styleId="10Actor">
    <w:name w:val="10Actor"/>
    <w:basedOn w:val="03Cuerpo"/>
    <w:rsid w:val="008D6070"/>
  </w:style>
  <w:style w:type="paragraph" w:customStyle="1" w:styleId="Default">
    <w:name w:val="Default"/>
    <w:rsid w:val="008D607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D006F"/>
    <w:pPr>
      <w:spacing w:before="100" w:beforeAutospacing="1" w:after="100" w:afterAutospacing="1"/>
      <w:ind w:left="0"/>
    </w:pPr>
    <w:rPr>
      <w:lang w:val="es-CO" w:eastAsia="es-CO"/>
    </w:rPr>
  </w:style>
  <w:style w:type="paragraph" w:styleId="Revisin">
    <w:name w:val="Revision"/>
    <w:hidden/>
    <w:uiPriority w:val="99"/>
    <w:semiHidden/>
    <w:rsid w:val="00F955E0"/>
    <w:rPr>
      <w:sz w:val="24"/>
      <w:szCs w:val="24"/>
      <w:lang w:val="es-ES" w:eastAsia="es-ES"/>
    </w:rPr>
  </w:style>
  <w:style w:type="paragraph" w:customStyle="1" w:styleId="Artculo">
    <w:name w:val="Artículo"/>
    <w:basedOn w:val="Normal"/>
    <w:link w:val="ArtculoCar"/>
    <w:autoRedefine/>
    <w:qFormat/>
    <w:rsid w:val="007B4ED1"/>
    <w:pPr>
      <w:tabs>
        <w:tab w:val="left" w:pos="1276"/>
      </w:tabs>
      <w:suppressAutoHyphens/>
      <w:ind w:left="426" w:right="425"/>
      <w:jc w:val="both"/>
      <w:outlineLvl w:val="5"/>
    </w:pPr>
    <w:rPr>
      <w:rFonts w:ascii="Bookman Old Style" w:hAnsi="Bookman Old Style"/>
      <w:i/>
      <w:lang w:eastAsia="ar-SA"/>
    </w:rPr>
  </w:style>
  <w:style w:type="character" w:customStyle="1" w:styleId="ArtculoCar">
    <w:name w:val="Artículo Car"/>
    <w:link w:val="Artculo"/>
    <w:rsid w:val="007B4ED1"/>
    <w:rPr>
      <w:rFonts w:ascii="Bookman Old Style" w:hAnsi="Bookman Old Style" w:cs="Arial"/>
      <w:i/>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eastAsia="x-none"/>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rPr>
      <w:lang w:val="x-none" w:eastAsia="x-none"/>
    </w:r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lang w:val="x-none" w:eastAsia="x-none"/>
    </w:rPr>
  </w:style>
  <w:style w:type="character" w:customStyle="1" w:styleId="AsuntodelcomentarioCar">
    <w:name w:val="Asunto del comentario 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rPr>
      <w:lang w:val="x-none" w:eastAsia="x-none"/>
    </w:rPr>
  </w:style>
  <w:style w:type="character" w:customStyle="1" w:styleId="Sangra2detindependienteCar">
    <w:name w:val="Sangría 2 de t. independiente Car"/>
    <w:link w:val="Sangra2detindependiente"/>
    <w:uiPriority w:val="99"/>
    <w:semiHidden/>
    <w:rsid w:val="00B536F6"/>
    <w:rPr>
      <w:sz w:val="24"/>
      <w:szCs w:val="24"/>
    </w:rPr>
  </w:style>
  <w:style w:type="paragraph" w:styleId="Sangradetextonormal">
    <w:name w:val="Body Text Indent"/>
    <w:basedOn w:val="Normal"/>
    <w:link w:val="SangradetextonormalCar"/>
    <w:uiPriority w:val="99"/>
    <w:semiHidden/>
    <w:unhideWhenUsed/>
    <w:rsid w:val="00B536F6"/>
    <w:pPr>
      <w:spacing w:after="120"/>
      <w:ind w:left="283"/>
    </w:pPr>
    <w:rPr>
      <w:lang w:val="x-none" w:eastAsia="x-none"/>
    </w:rPr>
  </w:style>
  <w:style w:type="character" w:customStyle="1" w:styleId="SangradetextonormalCar">
    <w:name w:val="Sangría de texto normal Car"/>
    <w:link w:val="Sangradetextonormal"/>
    <w:uiPriority w:val="99"/>
    <w:semiHidden/>
    <w:rsid w:val="00B536F6"/>
    <w:rPr>
      <w:sz w:val="24"/>
      <w:szCs w:val="24"/>
    </w:rPr>
  </w:style>
  <w:style w:type="paragraph" w:styleId="Textonotapie">
    <w:name w:val="footnote text"/>
    <w:basedOn w:val="Normal"/>
    <w:link w:val="TextonotapieCar"/>
    <w:uiPriority w:val="99"/>
    <w:semiHidden/>
    <w:unhideWhenUsed/>
    <w:rsid w:val="005A698A"/>
    <w:rPr>
      <w:sz w:val="20"/>
      <w:szCs w:val="20"/>
    </w:rPr>
  </w:style>
  <w:style w:type="character" w:customStyle="1" w:styleId="TextonotapieCar">
    <w:name w:val="Texto nota pie Car"/>
    <w:link w:val="Textonotapie"/>
    <w:uiPriority w:val="99"/>
    <w:semiHidden/>
    <w:rsid w:val="005A698A"/>
    <w:rPr>
      <w:lang w:val="es-ES" w:eastAsia="es-ES"/>
    </w:rPr>
  </w:style>
  <w:style w:type="character" w:styleId="Refdenotaalpie">
    <w:name w:val="footnote reference"/>
    <w:uiPriority w:val="99"/>
    <w:semiHidden/>
    <w:unhideWhenUsed/>
    <w:rsid w:val="005A698A"/>
    <w:rPr>
      <w:vertAlign w:val="superscript"/>
    </w:rPr>
  </w:style>
  <w:style w:type="character" w:customStyle="1" w:styleId="textonavy1">
    <w:name w:val="texto_navy1"/>
    <w:rsid w:val="006A2DDF"/>
    <w:rPr>
      <w:color w:val="000080"/>
    </w:rPr>
  </w:style>
  <w:style w:type="paragraph" w:customStyle="1" w:styleId="03Cuerpo">
    <w:name w:val="03Cuerpo"/>
    <w:rsid w:val="00921916"/>
    <w:pPr>
      <w:overflowPunct w:val="0"/>
      <w:autoSpaceDE w:val="0"/>
      <w:autoSpaceDN w:val="0"/>
      <w:adjustRightInd w:val="0"/>
      <w:spacing w:line="240" w:lineRule="atLeast"/>
      <w:ind w:firstLine="454"/>
      <w:jc w:val="both"/>
    </w:pPr>
    <w:rPr>
      <w:rFonts w:ascii="Book Antiqua" w:hAnsi="Book Antiqua"/>
      <w:sz w:val="22"/>
      <w:lang w:val="es-ES_tradnl"/>
    </w:rPr>
  </w:style>
  <w:style w:type="paragraph" w:customStyle="1" w:styleId="10Actor">
    <w:name w:val="10Actor"/>
    <w:basedOn w:val="03Cuerpo"/>
    <w:rsid w:val="008D6070"/>
  </w:style>
  <w:style w:type="paragraph" w:customStyle="1" w:styleId="Default">
    <w:name w:val="Default"/>
    <w:rsid w:val="008D607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D006F"/>
    <w:pPr>
      <w:spacing w:before="100" w:beforeAutospacing="1" w:after="100" w:afterAutospacing="1"/>
      <w:ind w:left="0"/>
    </w:pPr>
    <w:rPr>
      <w:lang w:val="es-CO" w:eastAsia="es-CO"/>
    </w:rPr>
  </w:style>
  <w:style w:type="paragraph" w:styleId="Revisin">
    <w:name w:val="Revision"/>
    <w:hidden/>
    <w:uiPriority w:val="99"/>
    <w:semiHidden/>
    <w:rsid w:val="00F955E0"/>
    <w:rPr>
      <w:sz w:val="24"/>
      <w:szCs w:val="24"/>
      <w:lang w:val="es-ES" w:eastAsia="es-ES"/>
    </w:rPr>
  </w:style>
  <w:style w:type="paragraph" w:customStyle="1" w:styleId="Artculo">
    <w:name w:val="Artículo"/>
    <w:basedOn w:val="Normal"/>
    <w:link w:val="ArtculoCar"/>
    <w:autoRedefine/>
    <w:qFormat/>
    <w:rsid w:val="007B4ED1"/>
    <w:pPr>
      <w:tabs>
        <w:tab w:val="left" w:pos="1276"/>
      </w:tabs>
      <w:suppressAutoHyphens/>
      <w:ind w:left="426" w:right="425"/>
      <w:jc w:val="both"/>
      <w:outlineLvl w:val="5"/>
    </w:pPr>
    <w:rPr>
      <w:rFonts w:ascii="Bookman Old Style" w:hAnsi="Bookman Old Style"/>
      <w:i/>
      <w:lang w:eastAsia="ar-SA"/>
    </w:rPr>
  </w:style>
  <w:style w:type="character" w:customStyle="1" w:styleId="ArtculoCar">
    <w:name w:val="Artículo Car"/>
    <w:link w:val="Artculo"/>
    <w:rsid w:val="007B4ED1"/>
    <w:rPr>
      <w:rFonts w:ascii="Bookman Old Style" w:hAnsi="Bookman Old Style" w:cs="Arial"/>
      <w:i/>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3047">
      <w:bodyDiv w:val="1"/>
      <w:marLeft w:val="125"/>
      <w:marRight w:val="125"/>
      <w:marTop w:val="125"/>
      <w:marBottom w:val="125"/>
      <w:divBdr>
        <w:top w:val="none" w:sz="0" w:space="0" w:color="auto"/>
        <w:left w:val="none" w:sz="0" w:space="0" w:color="auto"/>
        <w:bottom w:val="none" w:sz="0" w:space="0" w:color="auto"/>
        <w:right w:val="none" w:sz="0" w:space="0" w:color="auto"/>
      </w:divBdr>
      <w:divsChild>
        <w:div w:id="413354893">
          <w:marLeft w:val="0"/>
          <w:marRight w:val="0"/>
          <w:marTop w:val="0"/>
          <w:marBottom w:val="0"/>
          <w:divBdr>
            <w:top w:val="none" w:sz="0" w:space="0" w:color="auto"/>
            <w:left w:val="none" w:sz="0" w:space="0" w:color="auto"/>
            <w:bottom w:val="none" w:sz="0" w:space="0" w:color="auto"/>
            <w:right w:val="none" w:sz="0" w:space="0" w:color="auto"/>
          </w:divBdr>
        </w:div>
      </w:divsChild>
    </w:div>
    <w:div w:id="181939244">
      <w:bodyDiv w:val="1"/>
      <w:marLeft w:val="0"/>
      <w:marRight w:val="0"/>
      <w:marTop w:val="0"/>
      <w:marBottom w:val="0"/>
      <w:divBdr>
        <w:top w:val="none" w:sz="0" w:space="0" w:color="auto"/>
        <w:left w:val="none" w:sz="0" w:space="0" w:color="auto"/>
        <w:bottom w:val="none" w:sz="0" w:space="0" w:color="auto"/>
        <w:right w:val="none" w:sz="0" w:space="0" w:color="auto"/>
      </w:divBdr>
    </w:div>
    <w:div w:id="358624740">
      <w:bodyDiv w:val="1"/>
      <w:marLeft w:val="0"/>
      <w:marRight w:val="0"/>
      <w:marTop w:val="0"/>
      <w:marBottom w:val="0"/>
      <w:divBdr>
        <w:top w:val="none" w:sz="0" w:space="0" w:color="auto"/>
        <w:left w:val="none" w:sz="0" w:space="0" w:color="auto"/>
        <w:bottom w:val="none" w:sz="0" w:space="0" w:color="auto"/>
        <w:right w:val="none" w:sz="0" w:space="0" w:color="auto"/>
      </w:divBdr>
      <w:divsChild>
        <w:div w:id="581064764">
          <w:marLeft w:val="0"/>
          <w:marRight w:val="0"/>
          <w:marTop w:val="0"/>
          <w:marBottom w:val="0"/>
          <w:divBdr>
            <w:top w:val="none" w:sz="0" w:space="0" w:color="auto"/>
            <w:left w:val="none" w:sz="0" w:space="0" w:color="auto"/>
            <w:bottom w:val="none" w:sz="0" w:space="0" w:color="auto"/>
            <w:right w:val="none" w:sz="0" w:space="0" w:color="auto"/>
          </w:divBdr>
          <w:divsChild>
            <w:div w:id="2031224500">
              <w:marLeft w:val="0"/>
              <w:marRight w:val="0"/>
              <w:marTop w:val="0"/>
              <w:marBottom w:val="0"/>
              <w:divBdr>
                <w:top w:val="none" w:sz="0" w:space="0" w:color="auto"/>
                <w:left w:val="none" w:sz="0" w:space="0" w:color="auto"/>
                <w:bottom w:val="none" w:sz="0" w:space="0" w:color="auto"/>
                <w:right w:val="none" w:sz="0" w:space="0" w:color="auto"/>
              </w:divBdr>
              <w:divsChild>
                <w:div w:id="1573661475">
                  <w:marLeft w:val="0"/>
                  <w:marRight w:val="0"/>
                  <w:marTop w:val="0"/>
                  <w:marBottom w:val="0"/>
                  <w:divBdr>
                    <w:top w:val="none" w:sz="0" w:space="0" w:color="auto"/>
                    <w:left w:val="none" w:sz="0" w:space="0" w:color="auto"/>
                    <w:bottom w:val="none" w:sz="0" w:space="0" w:color="auto"/>
                    <w:right w:val="none" w:sz="0" w:space="0" w:color="auto"/>
                  </w:divBdr>
                  <w:divsChild>
                    <w:div w:id="1622808693">
                      <w:marLeft w:val="0"/>
                      <w:marRight w:val="0"/>
                      <w:marTop w:val="0"/>
                      <w:marBottom w:val="0"/>
                      <w:divBdr>
                        <w:top w:val="none" w:sz="0" w:space="0" w:color="auto"/>
                        <w:left w:val="none" w:sz="0" w:space="0" w:color="auto"/>
                        <w:bottom w:val="none" w:sz="0" w:space="0" w:color="auto"/>
                        <w:right w:val="none" w:sz="0" w:space="0" w:color="auto"/>
                      </w:divBdr>
                      <w:divsChild>
                        <w:div w:id="6353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80692">
      <w:bodyDiv w:val="1"/>
      <w:marLeft w:val="0"/>
      <w:marRight w:val="0"/>
      <w:marTop w:val="0"/>
      <w:marBottom w:val="0"/>
      <w:divBdr>
        <w:top w:val="none" w:sz="0" w:space="0" w:color="auto"/>
        <w:left w:val="none" w:sz="0" w:space="0" w:color="auto"/>
        <w:bottom w:val="none" w:sz="0" w:space="0" w:color="auto"/>
        <w:right w:val="none" w:sz="0" w:space="0" w:color="auto"/>
      </w:divBdr>
    </w:div>
    <w:div w:id="685058125">
      <w:bodyDiv w:val="1"/>
      <w:marLeft w:val="0"/>
      <w:marRight w:val="0"/>
      <w:marTop w:val="0"/>
      <w:marBottom w:val="0"/>
      <w:divBdr>
        <w:top w:val="none" w:sz="0" w:space="0" w:color="auto"/>
        <w:left w:val="none" w:sz="0" w:space="0" w:color="auto"/>
        <w:bottom w:val="none" w:sz="0" w:space="0" w:color="auto"/>
        <w:right w:val="none" w:sz="0" w:space="0" w:color="auto"/>
      </w:divBdr>
    </w:div>
    <w:div w:id="871191008">
      <w:bodyDiv w:val="1"/>
      <w:marLeft w:val="0"/>
      <w:marRight w:val="0"/>
      <w:marTop w:val="0"/>
      <w:marBottom w:val="0"/>
      <w:divBdr>
        <w:top w:val="none" w:sz="0" w:space="0" w:color="auto"/>
        <w:left w:val="none" w:sz="0" w:space="0" w:color="auto"/>
        <w:bottom w:val="none" w:sz="0" w:space="0" w:color="auto"/>
        <w:right w:val="none" w:sz="0" w:space="0" w:color="auto"/>
      </w:divBdr>
    </w:div>
    <w:div w:id="1195583457">
      <w:bodyDiv w:val="1"/>
      <w:marLeft w:val="0"/>
      <w:marRight w:val="0"/>
      <w:marTop w:val="0"/>
      <w:marBottom w:val="0"/>
      <w:divBdr>
        <w:top w:val="none" w:sz="0" w:space="0" w:color="auto"/>
        <w:left w:val="none" w:sz="0" w:space="0" w:color="auto"/>
        <w:bottom w:val="none" w:sz="0" w:space="0" w:color="auto"/>
        <w:right w:val="none" w:sz="0" w:space="0" w:color="auto"/>
      </w:divBdr>
    </w:div>
    <w:div w:id="1607345383">
      <w:bodyDiv w:val="1"/>
      <w:marLeft w:val="0"/>
      <w:marRight w:val="0"/>
      <w:marTop w:val="0"/>
      <w:marBottom w:val="0"/>
      <w:divBdr>
        <w:top w:val="none" w:sz="0" w:space="0" w:color="auto"/>
        <w:left w:val="none" w:sz="0" w:space="0" w:color="auto"/>
        <w:bottom w:val="none" w:sz="0" w:space="0" w:color="auto"/>
        <w:right w:val="none" w:sz="0" w:space="0" w:color="auto"/>
      </w:divBdr>
    </w:div>
    <w:div w:id="1741176746">
      <w:bodyDiv w:val="1"/>
      <w:marLeft w:val="0"/>
      <w:marRight w:val="0"/>
      <w:marTop w:val="0"/>
      <w:marBottom w:val="0"/>
      <w:divBdr>
        <w:top w:val="none" w:sz="0" w:space="0" w:color="auto"/>
        <w:left w:val="none" w:sz="0" w:space="0" w:color="auto"/>
        <w:bottom w:val="none" w:sz="0" w:space="0" w:color="auto"/>
        <w:right w:val="none" w:sz="0" w:space="0" w:color="auto"/>
      </w:divBdr>
    </w:div>
    <w:div w:id="2014912602">
      <w:bodyDiv w:val="1"/>
      <w:marLeft w:val="0"/>
      <w:marRight w:val="0"/>
      <w:marTop w:val="0"/>
      <w:marBottom w:val="0"/>
      <w:divBdr>
        <w:top w:val="none" w:sz="0" w:space="0" w:color="auto"/>
        <w:left w:val="none" w:sz="0" w:space="0" w:color="auto"/>
        <w:bottom w:val="none" w:sz="0" w:space="0" w:color="auto"/>
        <w:right w:val="none" w:sz="0" w:space="0" w:color="auto"/>
      </w:divBdr>
      <w:divsChild>
        <w:div w:id="1768042993">
          <w:marLeft w:val="0"/>
          <w:marRight w:val="0"/>
          <w:marTop w:val="0"/>
          <w:marBottom w:val="0"/>
          <w:divBdr>
            <w:top w:val="none" w:sz="0" w:space="0" w:color="auto"/>
            <w:left w:val="none" w:sz="0" w:space="0" w:color="auto"/>
            <w:bottom w:val="none" w:sz="0" w:space="0" w:color="auto"/>
            <w:right w:val="none" w:sz="0" w:space="0" w:color="auto"/>
          </w:divBdr>
          <w:divsChild>
            <w:div w:id="2100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358D-D635-4201-89CD-B5704CC7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1542</Words>
  <Characters>8484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2011-12-21T14:59:00Z</cp:lastPrinted>
  <dcterms:created xsi:type="dcterms:W3CDTF">2012-01-10T17:37:00Z</dcterms:created>
  <dcterms:modified xsi:type="dcterms:W3CDTF">2012-01-10T17:37:00Z</dcterms:modified>
</cp:coreProperties>
</file>