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6152DC" w:rsidRDefault="00BA21FD" w:rsidP="006C25F7">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45226010" r:id="rId9"/>
        </w:object>
      </w:r>
    </w:p>
    <w:p w:rsidR="00625DC6" w:rsidRPr="006152DC" w:rsidRDefault="00625DC6" w:rsidP="006C25F7">
      <w:pPr>
        <w:pStyle w:val="Encabezado"/>
        <w:tabs>
          <w:tab w:val="clear" w:pos="8504"/>
          <w:tab w:val="left" w:pos="0"/>
          <w:tab w:val="right" w:pos="9356"/>
        </w:tabs>
        <w:ind w:left="0"/>
        <w:jc w:val="both"/>
        <w:rPr>
          <w:rFonts w:ascii="Bookman Old Style" w:hAnsi="Bookman Old Style"/>
          <w:szCs w:val="24"/>
        </w:rPr>
      </w:pPr>
    </w:p>
    <w:p w:rsidR="00CA77FB" w:rsidRPr="006152DC" w:rsidRDefault="00CA77FB" w:rsidP="006C25F7">
      <w:pPr>
        <w:pStyle w:val="Ttulo4"/>
        <w:tabs>
          <w:tab w:val="left" w:pos="0"/>
          <w:tab w:val="right" w:pos="9356"/>
        </w:tabs>
        <w:ind w:left="0"/>
        <w:rPr>
          <w:rFonts w:ascii="Bookman Old Style" w:hAnsi="Bookman Old Style"/>
          <w:b w:val="0"/>
          <w:bCs/>
          <w:noProof/>
          <w:sz w:val="24"/>
          <w:szCs w:val="24"/>
          <w:lang w:val="es-ES"/>
        </w:rPr>
      </w:pPr>
      <w:r w:rsidRPr="006152DC">
        <w:rPr>
          <w:rFonts w:ascii="Bookman Old Style" w:hAnsi="Bookman Old Style"/>
          <w:b w:val="0"/>
          <w:bCs/>
          <w:sz w:val="24"/>
          <w:szCs w:val="24"/>
        </w:rPr>
        <w:t>Ministerio de Minas y Energía</w:t>
      </w:r>
    </w:p>
    <w:p w:rsidR="00CA77FB" w:rsidRPr="006152DC" w:rsidRDefault="00CA77FB" w:rsidP="006C25F7">
      <w:pPr>
        <w:pStyle w:val="Ttulo4"/>
        <w:tabs>
          <w:tab w:val="left" w:pos="0"/>
          <w:tab w:val="right" w:pos="9356"/>
        </w:tabs>
        <w:ind w:left="0"/>
        <w:rPr>
          <w:rFonts w:ascii="Bookman Old Style" w:hAnsi="Bookman Old Style"/>
          <w:b w:val="0"/>
          <w:bCs/>
          <w:sz w:val="24"/>
          <w:szCs w:val="24"/>
        </w:rPr>
      </w:pPr>
    </w:p>
    <w:p w:rsidR="00CA77FB" w:rsidRPr="006152DC" w:rsidRDefault="00CA77FB" w:rsidP="006C25F7">
      <w:pPr>
        <w:pStyle w:val="Ttulo3"/>
        <w:tabs>
          <w:tab w:val="left" w:pos="0"/>
          <w:tab w:val="right" w:pos="9356"/>
        </w:tabs>
        <w:ind w:left="0"/>
        <w:rPr>
          <w:rFonts w:ascii="Bookman Old Style" w:hAnsi="Bookman Old Style" w:cs="Arial"/>
          <w:spacing w:val="20"/>
          <w:szCs w:val="24"/>
        </w:rPr>
      </w:pPr>
      <w:r w:rsidRPr="006152DC">
        <w:rPr>
          <w:rFonts w:ascii="Bookman Old Style" w:hAnsi="Bookman Old Style" w:cs="Arial"/>
          <w:spacing w:val="20"/>
          <w:szCs w:val="24"/>
        </w:rPr>
        <w:t>COMISIÓN DE REGULACIÓN DE ENERGÍA Y GAS</w:t>
      </w:r>
    </w:p>
    <w:p w:rsidR="00CA77FB" w:rsidRPr="006152DC" w:rsidRDefault="00CA77FB" w:rsidP="006C25F7">
      <w:pPr>
        <w:pStyle w:val="Ttulo5"/>
        <w:tabs>
          <w:tab w:val="left" w:pos="0"/>
          <w:tab w:val="right" w:pos="9356"/>
        </w:tabs>
        <w:ind w:left="0"/>
        <w:rPr>
          <w:rFonts w:ascii="Bookman Old Style" w:hAnsi="Bookman Old Style"/>
          <w:sz w:val="24"/>
          <w:szCs w:val="24"/>
        </w:rPr>
      </w:pPr>
    </w:p>
    <w:p w:rsidR="00CA77FB" w:rsidRPr="006152DC" w:rsidRDefault="00CA77FB" w:rsidP="006C25F7">
      <w:pPr>
        <w:pStyle w:val="Ttulo5"/>
        <w:tabs>
          <w:tab w:val="left" w:pos="0"/>
          <w:tab w:val="right" w:pos="9356"/>
        </w:tabs>
        <w:ind w:left="0"/>
        <w:rPr>
          <w:rFonts w:ascii="Bookman Old Style" w:hAnsi="Bookman Old Style"/>
          <w:sz w:val="24"/>
          <w:szCs w:val="24"/>
        </w:rPr>
      </w:pPr>
    </w:p>
    <w:p w:rsidR="00CA77FB" w:rsidRPr="006152DC" w:rsidRDefault="00CA77FB" w:rsidP="006C25F7">
      <w:pPr>
        <w:pStyle w:val="Ttulo5"/>
        <w:tabs>
          <w:tab w:val="left" w:pos="0"/>
          <w:tab w:val="right" w:pos="9356"/>
        </w:tabs>
        <w:ind w:left="0"/>
        <w:rPr>
          <w:rFonts w:ascii="Bookman Old Style" w:hAnsi="Bookman Old Style"/>
          <w:sz w:val="24"/>
          <w:szCs w:val="24"/>
        </w:rPr>
      </w:pPr>
      <w:r w:rsidRPr="006152DC">
        <w:rPr>
          <w:rFonts w:ascii="Bookman Old Style" w:hAnsi="Bookman Old Style"/>
          <w:sz w:val="24"/>
          <w:szCs w:val="24"/>
        </w:rPr>
        <w:t xml:space="preserve">RESOLUCIÓN No. </w:t>
      </w:r>
      <w:r w:rsidR="00795BFB" w:rsidRPr="006152DC">
        <w:rPr>
          <w:rFonts w:ascii="Bookman Old Style" w:hAnsi="Bookman Old Style"/>
          <w:sz w:val="24"/>
          <w:szCs w:val="24"/>
        </w:rPr>
        <w:t xml:space="preserve">                  </w:t>
      </w:r>
      <w:r w:rsidRPr="006152DC">
        <w:rPr>
          <w:rFonts w:ascii="Bookman Old Style" w:hAnsi="Bookman Old Style"/>
          <w:sz w:val="24"/>
          <w:szCs w:val="24"/>
        </w:rPr>
        <w:t>DE 20</w:t>
      </w:r>
      <w:r w:rsidR="00795BFB" w:rsidRPr="006152DC">
        <w:rPr>
          <w:rFonts w:ascii="Bookman Old Style" w:hAnsi="Bookman Old Style"/>
          <w:sz w:val="24"/>
          <w:szCs w:val="24"/>
        </w:rPr>
        <w:t>1</w:t>
      </w:r>
      <w:r w:rsidR="00FE0B05" w:rsidRPr="006152DC">
        <w:rPr>
          <w:rFonts w:ascii="Bookman Old Style" w:hAnsi="Bookman Old Style"/>
          <w:sz w:val="24"/>
          <w:szCs w:val="24"/>
        </w:rPr>
        <w:t>6</w:t>
      </w:r>
    </w:p>
    <w:p w:rsidR="00CA77FB" w:rsidRPr="006152DC" w:rsidRDefault="00CA77FB" w:rsidP="006C25F7">
      <w:pPr>
        <w:tabs>
          <w:tab w:val="left" w:pos="0"/>
          <w:tab w:val="right" w:pos="9356"/>
        </w:tabs>
        <w:ind w:left="0"/>
        <w:jc w:val="center"/>
        <w:rPr>
          <w:rFonts w:ascii="Bookman Old Style" w:hAnsi="Bookman Old Style" w:cs="Arial"/>
          <w:b/>
          <w:snapToGrid w:val="0"/>
          <w:color w:val="000000"/>
          <w:lang w:val="es-ES_tradnl"/>
        </w:rPr>
      </w:pPr>
    </w:p>
    <w:p w:rsidR="00CA77FB" w:rsidRPr="006152DC" w:rsidRDefault="00CA77FB" w:rsidP="006C25F7">
      <w:pPr>
        <w:pStyle w:val="Ttulo3"/>
        <w:tabs>
          <w:tab w:val="left" w:pos="0"/>
          <w:tab w:val="right" w:pos="9356"/>
        </w:tabs>
        <w:ind w:left="0"/>
        <w:rPr>
          <w:rFonts w:ascii="Bookman Old Style" w:hAnsi="Bookman Old Style"/>
          <w:b w:val="0"/>
          <w:szCs w:val="24"/>
        </w:rPr>
      </w:pPr>
      <w:r w:rsidRPr="006152DC">
        <w:rPr>
          <w:rFonts w:ascii="Bookman Old Style" w:hAnsi="Bookman Old Style"/>
          <w:b w:val="0"/>
          <w:szCs w:val="24"/>
        </w:rPr>
        <w:t>(                                  )</w:t>
      </w:r>
    </w:p>
    <w:p w:rsidR="00CA77FB" w:rsidRDefault="00CA77FB" w:rsidP="006C25F7">
      <w:pPr>
        <w:tabs>
          <w:tab w:val="left" w:pos="0"/>
          <w:tab w:val="right" w:pos="9356"/>
        </w:tabs>
        <w:ind w:left="0"/>
        <w:jc w:val="center"/>
        <w:rPr>
          <w:rFonts w:ascii="Bookman Old Style" w:hAnsi="Bookman Old Style"/>
          <w:lang w:val="es-ES_tradnl"/>
        </w:rPr>
      </w:pPr>
    </w:p>
    <w:p w:rsidR="00C609BE" w:rsidRPr="006152DC" w:rsidRDefault="00C609BE" w:rsidP="006C25F7">
      <w:pPr>
        <w:tabs>
          <w:tab w:val="left" w:pos="0"/>
          <w:tab w:val="right" w:pos="9356"/>
        </w:tabs>
        <w:ind w:left="0"/>
        <w:jc w:val="center"/>
        <w:rPr>
          <w:rFonts w:ascii="Bookman Old Style" w:hAnsi="Bookman Old Style"/>
          <w:lang w:val="es-ES_tradnl"/>
        </w:rPr>
      </w:pPr>
    </w:p>
    <w:p w:rsidR="000775B2" w:rsidRPr="006152DC" w:rsidRDefault="000775B2" w:rsidP="006C25F7">
      <w:pPr>
        <w:tabs>
          <w:tab w:val="left" w:pos="0"/>
          <w:tab w:val="right" w:pos="9356"/>
        </w:tabs>
        <w:ind w:left="0"/>
        <w:jc w:val="center"/>
        <w:rPr>
          <w:rFonts w:ascii="Bookman Old Style" w:hAnsi="Bookman Old Style"/>
          <w:lang w:val="es-ES_tradnl"/>
        </w:rPr>
      </w:pPr>
    </w:p>
    <w:p w:rsidR="00C034CB" w:rsidRPr="006152DC" w:rsidRDefault="00B97512" w:rsidP="006C25F7">
      <w:pPr>
        <w:ind w:left="0"/>
        <w:jc w:val="center"/>
        <w:rPr>
          <w:rFonts w:ascii="Bookman Old Style" w:hAnsi="Bookman Old Style"/>
          <w:bCs/>
          <w:lang w:val="es-CO"/>
        </w:rPr>
      </w:pPr>
      <w:r w:rsidRPr="006152DC">
        <w:rPr>
          <w:rFonts w:ascii="Bookman Old Style" w:hAnsi="Bookman Old Style"/>
          <w:bCs/>
          <w:lang w:val="es-CO"/>
        </w:rPr>
        <w:t>Por la cual se modific</w:t>
      </w:r>
      <w:r w:rsidR="00567CC7">
        <w:rPr>
          <w:rFonts w:ascii="Bookman Old Style" w:hAnsi="Bookman Old Style"/>
          <w:bCs/>
          <w:lang w:val="es-CO"/>
        </w:rPr>
        <w:t>an unos plazos de</w:t>
      </w:r>
      <w:r w:rsidR="00FE0B05" w:rsidRPr="006152DC">
        <w:rPr>
          <w:rFonts w:ascii="Bookman Old Style" w:hAnsi="Bookman Old Style"/>
          <w:bCs/>
          <w:lang w:val="es-CO"/>
        </w:rPr>
        <w:t xml:space="preserve"> </w:t>
      </w:r>
      <w:r w:rsidRPr="006152DC">
        <w:rPr>
          <w:rFonts w:ascii="Bookman Old Style" w:hAnsi="Bookman Old Style"/>
          <w:bCs/>
          <w:lang w:val="es-CO"/>
        </w:rPr>
        <w:t>la</w:t>
      </w:r>
      <w:r w:rsidR="003F3FF6" w:rsidRPr="006152DC">
        <w:rPr>
          <w:rFonts w:ascii="Bookman Old Style" w:hAnsi="Bookman Old Style"/>
          <w:bCs/>
          <w:lang w:val="es-CO"/>
        </w:rPr>
        <w:t xml:space="preserve"> </w:t>
      </w:r>
      <w:r w:rsidR="005A2334">
        <w:rPr>
          <w:rFonts w:ascii="Bookman Old Style" w:hAnsi="Bookman Old Style"/>
          <w:bCs/>
          <w:lang w:val="es-CO"/>
        </w:rPr>
        <w:t>R</w:t>
      </w:r>
      <w:r w:rsidRPr="006152DC">
        <w:rPr>
          <w:rFonts w:ascii="Bookman Old Style" w:hAnsi="Bookman Old Style"/>
          <w:bCs/>
          <w:lang w:val="es-CO"/>
        </w:rPr>
        <w:t>esoluci</w:t>
      </w:r>
      <w:r w:rsidR="005A2334">
        <w:rPr>
          <w:rFonts w:ascii="Bookman Old Style" w:hAnsi="Bookman Old Style"/>
          <w:bCs/>
          <w:lang w:val="es-CO"/>
        </w:rPr>
        <w:t>ón</w:t>
      </w:r>
      <w:r w:rsidRPr="006152DC">
        <w:rPr>
          <w:rFonts w:ascii="Bookman Old Style" w:hAnsi="Bookman Old Style"/>
          <w:bCs/>
          <w:lang w:val="es-CO"/>
        </w:rPr>
        <w:t xml:space="preserve"> </w:t>
      </w:r>
      <w:r w:rsidR="000775B2" w:rsidRPr="006152DC">
        <w:rPr>
          <w:rFonts w:ascii="Bookman Old Style" w:hAnsi="Bookman Old Style"/>
          <w:bCs/>
          <w:lang w:val="es-CO"/>
        </w:rPr>
        <w:t xml:space="preserve">CREG </w:t>
      </w:r>
      <w:r w:rsidR="005A2334">
        <w:rPr>
          <w:rFonts w:ascii="Bookman Old Style" w:hAnsi="Bookman Old Style"/>
          <w:bCs/>
          <w:lang w:val="es-CO"/>
        </w:rPr>
        <w:t>072 de</w:t>
      </w:r>
      <w:r w:rsidRPr="006152DC">
        <w:rPr>
          <w:rFonts w:ascii="Bookman Old Style" w:hAnsi="Bookman Old Style"/>
          <w:bCs/>
          <w:lang w:val="es-CO"/>
        </w:rPr>
        <w:t xml:space="preserve"> 20</w:t>
      </w:r>
      <w:r w:rsidR="005A2334">
        <w:rPr>
          <w:rFonts w:ascii="Bookman Old Style" w:hAnsi="Bookman Old Style"/>
          <w:bCs/>
          <w:lang w:val="es-CO"/>
        </w:rPr>
        <w:t>02</w:t>
      </w:r>
    </w:p>
    <w:p w:rsidR="00045D3D" w:rsidRDefault="00045D3D" w:rsidP="006C25F7">
      <w:pPr>
        <w:ind w:right="51"/>
        <w:rPr>
          <w:rFonts w:ascii="Bookman Old Style" w:hAnsi="Bookman Old Style"/>
          <w:lang w:val="es-CO"/>
        </w:rPr>
      </w:pPr>
    </w:p>
    <w:p w:rsidR="000775B2" w:rsidRPr="006152DC" w:rsidRDefault="000775B2" w:rsidP="006C25F7">
      <w:pPr>
        <w:ind w:right="51"/>
        <w:rPr>
          <w:rFonts w:ascii="Bookman Old Style" w:hAnsi="Bookman Old Style"/>
        </w:rPr>
      </w:pPr>
    </w:p>
    <w:p w:rsidR="00045D3D" w:rsidRPr="006152DC" w:rsidRDefault="00045D3D" w:rsidP="006C25F7">
      <w:pPr>
        <w:ind w:right="51"/>
        <w:jc w:val="center"/>
        <w:rPr>
          <w:rFonts w:ascii="Bookman Old Style" w:hAnsi="Bookman Old Style"/>
          <w:b/>
        </w:rPr>
      </w:pPr>
      <w:r w:rsidRPr="006152DC">
        <w:rPr>
          <w:rFonts w:ascii="Bookman Old Style" w:hAnsi="Bookman Old Style"/>
          <w:b/>
        </w:rPr>
        <w:t>LA COMISIÓN DE REGULACIÓN DE ENERGÍA Y GAS</w:t>
      </w:r>
    </w:p>
    <w:p w:rsidR="00045D3D" w:rsidRPr="006152DC" w:rsidRDefault="00045D3D" w:rsidP="006C25F7">
      <w:pPr>
        <w:ind w:left="0" w:right="51"/>
        <w:rPr>
          <w:rFonts w:ascii="Bookman Old Style" w:hAnsi="Bookman Old Style"/>
        </w:rPr>
      </w:pPr>
    </w:p>
    <w:p w:rsidR="00045D3D" w:rsidRPr="006152DC" w:rsidRDefault="00045D3D" w:rsidP="006C25F7">
      <w:pPr>
        <w:ind w:left="0" w:right="51"/>
        <w:rPr>
          <w:rFonts w:ascii="Bookman Old Style" w:hAnsi="Bookman Old Style"/>
        </w:rPr>
      </w:pPr>
    </w:p>
    <w:p w:rsidR="00045D3D" w:rsidRPr="006152DC" w:rsidRDefault="00045D3D" w:rsidP="006C25F7">
      <w:pPr>
        <w:pStyle w:val="Textoindependiente3"/>
        <w:ind w:left="0"/>
        <w:rPr>
          <w:rFonts w:ascii="Bookman Old Style" w:hAnsi="Bookman Old Style"/>
          <w:b w:val="0"/>
        </w:rPr>
      </w:pPr>
      <w:r w:rsidRPr="006152DC">
        <w:rPr>
          <w:rFonts w:ascii="Bookman Old Style" w:hAnsi="Bookman Old Style"/>
          <w:b w:val="0"/>
        </w:rPr>
        <w:t xml:space="preserve">En ejercicio de </w:t>
      </w:r>
      <w:r w:rsidR="00FE0B05" w:rsidRPr="006152DC">
        <w:rPr>
          <w:rFonts w:ascii="Bookman Old Style" w:hAnsi="Bookman Old Style"/>
          <w:b w:val="0"/>
        </w:rPr>
        <w:t>la</w:t>
      </w:r>
      <w:r w:rsidRPr="006152DC">
        <w:rPr>
          <w:rFonts w:ascii="Bookman Old Style" w:hAnsi="Bookman Old Style"/>
          <w:b w:val="0"/>
        </w:rPr>
        <w:t xml:space="preserve">s atribuciones legales, en especial las conferidas por las </w:t>
      </w:r>
      <w:r w:rsidR="00FE0B05" w:rsidRPr="006152DC">
        <w:rPr>
          <w:rFonts w:ascii="Bookman Old Style" w:hAnsi="Bookman Old Style"/>
          <w:b w:val="0"/>
        </w:rPr>
        <w:t>l</w:t>
      </w:r>
      <w:r w:rsidRPr="006152DC">
        <w:rPr>
          <w:rFonts w:ascii="Bookman Old Style" w:hAnsi="Bookman Old Style"/>
          <w:b w:val="0"/>
        </w:rPr>
        <w:t xml:space="preserve">eyes 142 y 143 de 1994, y en desarrollo de </w:t>
      </w:r>
      <w:r w:rsidR="00FE0B05" w:rsidRPr="006152DC">
        <w:rPr>
          <w:rFonts w:ascii="Bookman Old Style" w:hAnsi="Bookman Old Style"/>
          <w:b w:val="0"/>
        </w:rPr>
        <w:t>los decretos 1524 y 2253 de 1994 y 1260 de 2013</w:t>
      </w:r>
      <w:r w:rsidR="00505457">
        <w:rPr>
          <w:rFonts w:ascii="Bookman Old Style" w:hAnsi="Bookman Old Style"/>
          <w:b w:val="0"/>
        </w:rPr>
        <w:t>; y</w:t>
      </w:r>
    </w:p>
    <w:p w:rsidR="00045D3D" w:rsidRPr="006152DC" w:rsidRDefault="00045D3D" w:rsidP="006C25F7">
      <w:pPr>
        <w:ind w:left="0" w:right="51"/>
        <w:rPr>
          <w:rFonts w:ascii="Bookman Old Style" w:hAnsi="Bookman Old Style"/>
        </w:rPr>
      </w:pPr>
    </w:p>
    <w:p w:rsidR="00045D3D" w:rsidRPr="006152DC" w:rsidRDefault="00045D3D" w:rsidP="006C25F7">
      <w:pPr>
        <w:ind w:left="0" w:right="51"/>
        <w:jc w:val="center"/>
        <w:rPr>
          <w:rFonts w:ascii="Bookman Old Style" w:hAnsi="Bookman Old Style"/>
          <w:b/>
        </w:rPr>
      </w:pPr>
      <w:r w:rsidRPr="006152DC">
        <w:rPr>
          <w:rFonts w:ascii="Bookman Old Style" w:hAnsi="Bookman Old Style"/>
          <w:b/>
        </w:rPr>
        <w:t>C O N S I D E R A N D O  Q U E:</w:t>
      </w:r>
    </w:p>
    <w:p w:rsidR="006152DC" w:rsidRPr="006152DC" w:rsidRDefault="006152DC" w:rsidP="006C25F7">
      <w:pPr>
        <w:ind w:left="0"/>
        <w:jc w:val="both"/>
        <w:rPr>
          <w:rFonts w:ascii="Bookman Old Style" w:hAnsi="Bookman Old Style"/>
        </w:rPr>
      </w:pPr>
    </w:p>
    <w:p w:rsidR="006152DC" w:rsidRPr="006152DC" w:rsidRDefault="006152DC" w:rsidP="006152DC">
      <w:pPr>
        <w:ind w:left="0"/>
        <w:jc w:val="both"/>
        <w:rPr>
          <w:rFonts w:ascii="Bookman Old Style" w:hAnsi="Bookman Old Style"/>
        </w:rPr>
      </w:pPr>
      <w:r w:rsidRPr="006152DC">
        <w:rPr>
          <w:rFonts w:ascii="Bookman Old Style" w:hAnsi="Bookman Old Style"/>
        </w:rPr>
        <w:t>Según los artículos 46 a 49 de la Ley 142 de 1994, las empresas de servicios públicos deben aplicar sistemas de control interno y</w:t>
      </w:r>
      <w:r w:rsidR="00761833">
        <w:rPr>
          <w:rFonts w:ascii="Bookman Old Style" w:hAnsi="Bookman Old Style"/>
        </w:rPr>
        <w:t>,</w:t>
      </w:r>
      <w:r w:rsidRPr="006152DC">
        <w:rPr>
          <w:rFonts w:ascii="Bookman Old Style" w:hAnsi="Bookman Old Style"/>
        </w:rPr>
        <w:t xml:space="preserve"> </w:t>
      </w:r>
      <w:r w:rsidR="00761833">
        <w:rPr>
          <w:rFonts w:ascii="Bookman Old Style" w:hAnsi="Bookman Old Style"/>
        </w:rPr>
        <w:t>d</w:t>
      </w:r>
      <w:r w:rsidR="00761833" w:rsidRPr="006152DC">
        <w:rPr>
          <w:rFonts w:ascii="Bookman Old Style" w:hAnsi="Bookman Old Style"/>
        </w:rPr>
        <w:t xml:space="preserve">e acuerdo con el </w:t>
      </w:r>
      <w:r w:rsidR="00761833">
        <w:rPr>
          <w:rFonts w:ascii="Bookman Old Style" w:hAnsi="Bookman Old Style"/>
        </w:rPr>
        <w:t>a</w:t>
      </w:r>
      <w:r w:rsidR="00761833" w:rsidRPr="006152DC">
        <w:rPr>
          <w:rFonts w:ascii="Bookman Old Style" w:hAnsi="Bookman Old Style"/>
        </w:rPr>
        <w:t xml:space="preserve">rtículo 52 de la </w:t>
      </w:r>
      <w:r w:rsidR="00761833">
        <w:rPr>
          <w:rFonts w:ascii="Bookman Old Style" w:hAnsi="Bookman Old Style"/>
        </w:rPr>
        <w:t>misma l</w:t>
      </w:r>
      <w:r w:rsidR="00761833" w:rsidRPr="006152DC">
        <w:rPr>
          <w:rFonts w:ascii="Bookman Old Style" w:hAnsi="Bookman Old Style"/>
        </w:rPr>
        <w:t>ey</w:t>
      </w:r>
      <w:r w:rsidR="00761833">
        <w:rPr>
          <w:rFonts w:ascii="Bookman Old Style" w:hAnsi="Bookman Old Style"/>
        </w:rPr>
        <w:t>,</w:t>
      </w:r>
      <w:r w:rsidR="00761833" w:rsidRPr="006152DC">
        <w:rPr>
          <w:rFonts w:ascii="Bookman Old Style" w:hAnsi="Bookman Old Style"/>
        </w:rPr>
        <w:t xml:space="preserve"> </w:t>
      </w:r>
      <w:r w:rsidRPr="006152DC">
        <w:rPr>
          <w:rFonts w:ascii="Bookman Old Style" w:hAnsi="Bookman Old Style"/>
        </w:rPr>
        <w:t xml:space="preserve">los criterios, indicadores y modelos para realizarlo, deben ser definidos por la </w:t>
      </w:r>
      <w:r w:rsidR="00761833" w:rsidRPr="006152DC">
        <w:rPr>
          <w:rFonts w:ascii="Bookman Old Style" w:hAnsi="Bookman Old Style"/>
        </w:rPr>
        <w:t>comisión de regul</w:t>
      </w:r>
      <w:r w:rsidRPr="006152DC">
        <w:rPr>
          <w:rFonts w:ascii="Bookman Old Style" w:hAnsi="Bookman Old Style"/>
        </w:rPr>
        <w:t>ación respectiva.</w:t>
      </w:r>
    </w:p>
    <w:p w:rsidR="006152DC" w:rsidRPr="006152DC" w:rsidRDefault="006152DC" w:rsidP="006C25F7">
      <w:pPr>
        <w:ind w:left="0"/>
        <w:jc w:val="both"/>
        <w:rPr>
          <w:rFonts w:ascii="Bookman Old Style" w:hAnsi="Bookman Old Style"/>
        </w:rPr>
      </w:pPr>
    </w:p>
    <w:p w:rsidR="006152DC" w:rsidRPr="006152DC" w:rsidRDefault="006152DC" w:rsidP="006152DC">
      <w:pPr>
        <w:ind w:left="0"/>
        <w:jc w:val="both"/>
        <w:rPr>
          <w:rFonts w:ascii="Bookman Old Style" w:hAnsi="Bookman Old Style"/>
        </w:rPr>
      </w:pPr>
      <w:r w:rsidRPr="006152DC">
        <w:rPr>
          <w:rFonts w:ascii="Bookman Old Style" w:hAnsi="Bookman Old Style"/>
        </w:rPr>
        <w:t xml:space="preserve">De acuerdo con la Ley 142 de 1994, modificada por la Ley 689 de 2001, le corresponde a la Superintendencia de Servicios Públicos Domiciliarios, </w:t>
      </w:r>
      <w:r w:rsidR="00043C00">
        <w:rPr>
          <w:rFonts w:ascii="Bookman Old Style" w:hAnsi="Bookman Old Style"/>
        </w:rPr>
        <w:t xml:space="preserve">en adelante </w:t>
      </w:r>
      <w:r w:rsidR="005A2334">
        <w:rPr>
          <w:rFonts w:ascii="Bookman Old Style" w:hAnsi="Bookman Old Style"/>
        </w:rPr>
        <w:t xml:space="preserve">SSPD, </w:t>
      </w:r>
      <w:r w:rsidRPr="006152DC">
        <w:rPr>
          <w:rFonts w:ascii="Bookman Old Style" w:hAnsi="Bookman Old Style"/>
        </w:rPr>
        <w:t xml:space="preserve">en desarrollo de sus funciones de inspección y vigilancia, establecer, administrar, mantener y operar un sistema que se surtirá de la información proveniente de los prestadores de servicios públicos sujetos a su control, inspección y vigilancia, para que su presentación al público sea confiable, conforme a lo establecido en el artículo 53 de la Ley 142 de 1994. </w:t>
      </w:r>
    </w:p>
    <w:p w:rsidR="006152DC" w:rsidRPr="006152DC" w:rsidRDefault="006152DC" w:rsidP="006152DC">
      <w:pPr>
        <w:ind w:left="0"/>
        <w:jc w:val="both"/>
        <w:rPr>
          <w:rFonts w:ascii="Bookman Old Style" w:hAnsi="Bookman Old Style"/>
        </w:rPr>
      </w:pPr>
    </w:p>
    <w:p w:rsidR="006152DC" w:rsidRPr="006152DC" w:rsidRDefault="00761833" w:rsidP="006152DC">
      <w:pPr>
        <w:ind w:left="0"/>
        <w:jc w:val="both"/>
        <w:rPr>
          <w:rFonts w:ascii="Bookman Old Style" w:hAnsi="Bookman Old Style"/>
        </w:rPr>
      </w:pPr>
      <w:r>
        <w:rPr>
          <w:rFonts w:ascii="Bookman Old Style" w:hAnsi="Bookman Old Style"/>
        </w:rPr>
        <w:t>E</w:t>
      </w:r>
      <w:r w:rsidR="006152DC" w:rsidRPr="006152DC">
        <w:rPr>
          <w:rFonts w:ascii="Bookman Old Style" w:hAnsi="Bookman Old Style"/>
        </w:rPr>
        <w:t xml:space="preserve">l </w:t>
      </w:r>
      <w:r>
        <w:rPr>
          <w:rFonts w:ascii="Bookman Old Style" w:hAnsi="Bookman Old Style"/>
        </w:rPr>
        <w:t xml:space="preserve">numeral </w:t>
      </w:r>
      <w:r w:rsidR="006152DC" w:rsidRPr="006152DC">
        <w:rPr>
          <w:rFonts w:ascii="Bookman Old Style" w:hAnsi="Bookman Old Style"/>
        </w:rPr>
        <w:t xml:space="preserve">73.3 </w:t>
      </w:r>
      <w:r w:rsidR="001A2AC5">
        <w:rPr>
          <w:rFonts w:ascii="Bookman Old Style" w:hAnsi="Bookman Old Style"/>
        </w:rPr>
        <w:t xml:space="preserve">del artículo 73 </w:t>
      </w:r>
      <w:r w:rsidR="006152DC" w:rsidRPr="006152DC">
        <w:rPr>
          <w:rFonts w:ascii="Bookman Old Style" w:hAnsi="Bookman Old Style"/>
        </w:rPr>
        <w:t xml:space="preserve">de la Ley 142 de 1994 dispone que es función de las </w:t>
      </w:r>
      <w:r w:rsidRPr="006152DC">
        <w:rPr>
          <w:rFonts w:ascii="Bookman Old Style" w:hAnsi="Bookman Old Style"/>
        </w:rPr>
        <w:t xml:space="preserve">comisiones de regulación </w:t>
      </w:r>
      <w:r w:rsidR="006152DC" w:rsidRPr="006152DC">
        <w:rPr>
          <w:rFonts w:ascii="Bookman Old Style" w:hAnsi="Bookman Old Style"/>
        </w:rPr>
        <w:t>definir los criterios de eficiencia y desarrollar indicadores y modelos para evaluar la gestión financiera, técnica y administrativa de las empresas de servicios públicos y solicitar las evaluaciones que considere necesarias par</w:t>
      </w:r>
      <w:r w:rsidR="005A2334">
        <w:rPr>
          <w:rFonts w:ascii="Bookman Old Style" w:hAnsi="Bookman Old Style"/>
        </w:rPr>
        <w:t>a el ejercicio de sus funciones.</w:t>
      </w:r>
    </w:p>
    <w:p w:rsidR="006152DC" w:rsidRPr="006152DC" w:rsidRDefault="006152DC" w:rsidP="006C25F7">
      <w:pPr>
        <w:ind w:left="0"/>
        <w:jc w:val="both"/>
        <w:rPr>
          <w:rFonts w:ascii="Bookman Old Style" w:hAnsi="Bookman Old Style"/>
        </w:rPr>
      </w:pPr>
    </w:p>
    <w:p w:rsidR="005A2334" w:rsidRPr="005A2334" w:rsidRDefault="005A2334" w:rsidP="005A2334">
      <w:pPr>
        <w:ind w:left="0"/>
        <w:jc w:val="both"/>
        <w:rPr>
          <w:rFonts w:ascii="Bookman Old Style" w:hAnsi="Bookman Old Style"/>
        </w:rPr>
      </w:pPr>
      <w:r>
        <w:rPr>
          <w:rFonts w:ascii="Bookman Old Style" w:hAnsi="Bookman Old Style"/>
        </w:rPr>
        <w:t>L</w:t>
      </w:r>
      <w:r w:rsidRPr="005A2334">
        <w:rPr>
          <w:rFonts w:ascii="Bookman Old Style" w:hAnsi="Bookman Old Style"/>
        </w:rPr>
        <w:t>a Comisión de Regulación de Energía y Gas expidió la Resolución CREG 072 de 2002, “Por la cual se establece la metodología para clasificar las personas prestadoras de los servicios públicos, de acuerdo con el nivel de riesgo y se definen los criterios, metodologías, indicadores, parámetros y modelos de carácter obligatorio que permiten evaluar su gestión y resultados”</w:t>
      </w:r>
      <w:r w:rsidR="002A4DEE">
        <w:rPr>
          <w:rFonts w:ascii="Bookman Old Style" w:hAnsi="Bookman Old Style"/>
        </w:rPr>
        <w:t xml:space="preserve">, resolución que fue modificada </w:t>
      </w:r>
      <w:r w:rsidR="00D50787" w:rsidRPr="00D50787">
        <w:rPr>
          <w:rFonts w:ascii="Bookman Old Style" w:hAnsi="Bookman Old Style"/>
        </w:rPr>
        <w:t>mediante la Resolución CREG 034 de 2004</w:t>
      </w:r>
      <w:r w:rsidR="00D50787">
        <w:rPr>
          <w:rFonts w:ascii="Bookman Old Style" w:hAnsi="Bookman Old Style"/>
        </w:rPr>
        <w:t>.</w:t>
      </w:r>
    </w:p>
    <w:p w:rsidR="005A2334" w:rsidRPr="005A2334" w:rsidRDefault="005A2334" w:rsidP="005A2334">
      <w:pPr>
        <w:ind w:left="0"/>
        <w:jc w:val="both"/>
        <w:rPr>
          <w:rFonts w:ascii="Bookman Old Style" w:hAnsi="Bookman Old Style"/>
        </w:rPr>
      </w:pPr>
    </w:p>
    <w:p w:rsidR="002B5AAF" w:rsidRPr="002B5AAF" w:rsidRDefault="002B5AAF" w:rsidP="002B5AAF">
      <w:pPr>
        <w:ind w:left="0"/>
        <w:jc w:val="both"/>
        <w:rPr>
          <w:rFonts w:ascii="Bookman Old Style" w:hAnsi="Bookman Old Style"/>
        </w:rPr>
      </w:pPr>
      <w:r w:rsidRPr="002B5AAF">
        <w:rPr>
          <w:rFonts w:ascii="Bookman Old Style" w:hAnsi="Bookman Old Style"/>
        </w:rPr>
        <w:lastRenderedPageBreak/>
        <w:t xml:space="preserve">La Ley 1314 de 2009 </w:t>
      </w:r>
      <w:r w:rsidR="001A2AC5">
        <w:rPr>
          <w:rFonts w:ascii="Bookman Old Style" w:hAnsi="Bookman Old Style"/>
        </w:rPr>
        <w:t xml:space="preserve">por su parte </w:t>
      </w:r>
      <w:r w:rsidRPr="002B5AAF">
        <w:rPr>
          <w:rFonts w:ascii="Bookman Old Style" w:hAnsi="Bookman Old Style"/>
        </w:rPr>
        <w:t>regula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rsidR="002B5AAF" w:rsidRPr="002B5AAF" w:rsidRDefault="002B5AAF" w:rsidP="002B5AAF">
      <w:pPr>
        <w:ind w:left="0"/>
        <w:jc w:val="both"/>
        <w:rPr>
          <w:rFonts w:ascii="Bookman Old Style" w:hAnsi="Bookman Old Style"/>
        </w:rPr>
      </w:pPr>
    </w:p>
    <w:p w:rsidR="001A2AC5" w:rsidRDefault="002B5AAF" w:rsidP="002B5AAF">
      <w:pPr>
        <w:tabs>
          <w:tab w:val="left" w:pos="1560"/>
        </w:tabs>
        <w:adjustRightInd w:val="0"/>
        <w:ind w:left="0"/>
        <w:jc w:val="both"/>
        <w:textAlignment w:val="baseline"/>
        <w:rPr>
          <w:rFonts w:ascii="Bookman Old Style" w:hAnsi="Bookman Old Style"/>
          <w:bCs/>
        </w:rPr>
      </w:pPr>
      <w:r w:rsidRPr="002B5AAF">
        <w:rPr>
          <w:rFonts w:ascii="Bookman Old Style" w:hAnsi="Bookman Old Style"/>
          <w:bCs/>
        </w:rPr>
        <w:t xml:space="preserve">En el artículo 6 de esta ley se señala como autoridades de regulación y normalización técnica, en lo relacionado con el sector privado, al Ministerio de Hacienda y Crédito Público y al Ministerio de Comercio, Industria y Turismo, obrando conjuntamente, y, en lo concerniente con el régimen de contabilidad pública, a la Contaduría General de la Nación, CGN. </w:t>
      </w:r>
    </w:p>
    <w:p w:rsidR="001A2AC5" w:rsidRDefault="001A2AC5" w:rsidP="002B5AAF">
      <w:pPr>
        <w:tabs>
          <w:tab w:val="left" w:pos="1560"/>
        </w:tabs>
        <w:adjustRightInd w:val="0"/>
        <w:ind w:left="0"/>
        <w:jc w:val="both"/>
        <w:textAlignment w:val="baseline"/>
        <w:rPr>
          <w:rFonts w:ascii="Bookman Old Style" w:hAnsi="Bookman Old Style"/>
          <w:bCs/>
        </w:rPr>
      </w:pPr>
    </w:p>
    <w:p w:rsidR="002B5AAF" w:rsidRPr="002B5AAF" w:rsidRDefault="002B5AAF" w:rsidP="002B5AAF">
      <w:pPr>
        <w:tabs>
          <w:tab w:val="left" w:pos="1560"/>
        </w:tabs>
        <w:adjustRightInd w:val="0"/>
        <w:ind w:left="0"/>
        <w:jc w:val="both"/>
        <w:textAlignment w:val="baseline"/>
        <w:rPr>
          <w:rFonts w:ascii="Bookman Old Style" w:hAnsi="Bookman Old Style"/>
          <w:bCs/>
        </w:rPr>
      </w:pPr>
      <w:r w:rsidRPr="002B5AAF">
        <w:rPr>
          <w:rFonts w:ascii="Bookman Old Style" w:hAnsi="Bookman Old Style"/>
          <w:bCs/>
        </w:rPr>
        <w:t xml:space="preserve">En virtud de lo anterior fueron expedidos los marcos técnicos normativos de </w:t>
      </w:r>
      <w:r w:rsidR="00505457" w:rsidRPr="002B5AAF">
        <w:rPr>
          <w:rFonts w:ascii="Bookman Old Style" w:hAnsi="Bookman Old Style"/>
          <w:bCs/>
        </w:rPr>
        <w:t xml:space="preserve">información </w:t>
      </w:r>
      <w:r w:rsidRPr="002B5AAF">
        <w:rPr>
          <w:rFonts w:ascii="Bookman Old Style" w:hAnsi="Bookman Old Style"/>
          <w:bCs/>
        </w:rPr>
        <w:t>financiera para grupos 1, 2 y 3 por parte de los ministerios y las resoluciones 743 de 2013, 414 de 2014 y 533 de 2015 por parte de la CGN.</w:t>
      </w:r>
    </w:p>
    <w:p w:rsidR="002B5AAF" w:rsidRPr="002B5AAF" w:rsidRDefault="002B5AAF" w:rsidP="002B5AAF">
      <w:pPr>
        <w:tabs>
          <w:tab w:val="left" w:pos="1560"/>
        </w:tabs>
        <w:adjustRightInd w:val="0"/>
        <w:ind w:left="0"/>
        <w:jc w:val="both"/>
        <w:textAlignment w:val="baseline"/>
        <w:rPr>
          <w:rFonts w:ascii="Bookman Old Style" w:hAnsi="Bookman Old Style"/>
          <w:bCs/>
        </w:rPr>
      </w:pPr>
    </w:p>
    <w:p w:rsidR="002B5AAF" w:rsidRPr="002B5AAF" w:rsidRDefault="002B5AAF" w:rsidP="002B5AAF">
      <w:pPr>
        <w:tabs>
          <w:tab w:val="left" w:pos="1560"/>
        </w:tabs>
        <w:adjustRightInd w:val="0"/>
        <w:ind w:left="0"/>
        <w:jc w:val="both"/>
        <w:textAlignment w:val="baseline"/>
        <w:rPr>
          <w:rFonts w:ascii="Bookman Old Style" w:hAnsi="Bookman Old Style"/>
          <w:bCs/>
        </w:rPr>
      </w:pPr>
      <w:r w:rsidRPr="002B5AAF">
        <w:rPr>
          <w:rFonts w:ascii="Bookman Old Style" w:hAnsi="Bookman Old Style"/>
          <w:bCs/>
        </w:rPr>
        <w:t>Con base en los cronogramas establecidos en las normas citadas, las empresas del grupo 1, las del grupo 3 y las que cobija la Resolución 743 de 2013 iniciaron su aplicación en el año 2015, y a partir de ese momento deb</w:t>
      </w:r>
      <w:r w:rsidR="0062508D">
        <w:rPr>
          <w:rFonts w:ascii="Bookman Old Style" w:hAnsi="Bookman Old Style"/>
          <w:bCs/>
        </w:rPr>
        <w:t>ía</w:t>
      </w:r>
      <w:r w:rsidRPr="002B5AAF">
        <w:rPr>
          <w:rFonts w:ascii="Bookman Old Style" w:hAnsi="Bookman Old Style"/>
          <w:bCs/>
        </w:rPr>
        <w:t>n reportar su información financiera con base en los nuevos marcos normativos.</w:t>
      </w:r>
    </w:p>
    <w:p w:rsidR="002B5AAF" w:rsidRPr="002B5AAF" w:rsidRDefault="002B5AAF" w:rsidP="002B5AAF">
      <w:pPr>
        <w:tabs>
          <w:tab w:val="left" w:pos="1560"/>
        </w:tabs>
        <w:adjustRightInd w:val="0"/>
        <w:ind w:left="0"/>
        <w:jc w:val="both"/>
        <w:textAlignment w:val="baseline"/>
        <w:rPr>
          <w:rFonts w:ascii="Bookman Old Style" w:hAnsi="Bookman Old Style"/>
          <w:bCs/>
        </w:rPr>
      </w:pPr>
    </w:p>
    <w:p w:rsidR="002B5AAF" w:rsidRPr="006152DC" w:rsidRDefault="002B5AAF" w:rsidP="002B5AAF">
      <w:pPr>
        <w:ind w:left="0"/>
        <w:jc w:val="both"/>
        <w:rPr>
          <w:rFonts w:ascii="Bookman Old Style" w:hAnsi="Bookman Old Style"/>
        </w:rPr>
      </w:pPr>
      <w:r>
        <w:rPr>
          <w:rFonts w:ascii="Bookman Old Style" w:hAnsi="Bookman Old Style"/>
        </w:rPr>
        <w:t xml:space="preserve">Para el cálculo de gran parte de los indicadores definidos en la Resolución CREG 072 de 2002 se utiliza el Sistema Único de Información administrado por la SSPD y se hace referencia a la información del plan único de cuentas definido por esta </w:t>
      </w:r>
      <w:r w:rsidR="00043C00">
        <w:rPr>
          <w:rFonts w:ascii="Bookman Old Style" w:hAnsi="Bookman Old Style"/>
        </w:rPr>
        <w:t>s</w:t>
      </w:r>
      <w:r>
        <w:rPr>
          <w:rFonts w:ascii="Bookman Old Style" w:hAnsi="Bookman Old Style"/>
        </w:rPr>
        <w:t>uperintendencia.</w:t>
      </w:r>
    </w:p>
    <w:p w:rsidR="002B5AAF" w:rsidRPr="006152DC" w:rsidRDefault="002B5AAF" w:rsidP="002B5AAF">
      <w:pPr>
        <w:ind w:left="0"/>
        <w:jc w:val="both"/>
        <w:rPr>
          <w:rFonts w:ascii="Bookman Old Style" w:hAnsi="Bookman Old Style"/>
        </w:rPr>
      </w:pPr>
    </w:p>
    <w:p w:rsidR="00D50787" w:rsidRDefault="00D50787" w:rsidP="00D50787">
      <w:pPr>
        <w:tabs>
          <w:tab w:val="left" w:pos="1560"/>
        </w:tabs>
        <w:adjustRightInd w:val="0"/>
        <w:ind w:left="0"/>
        <w:jc w:val="both"/>
        <w:textAlignment w:val="baseline"/>
        <w:rPr>
          <w:rFonts w:ascii="Bookman Old Style" w:hAnsi="Bookman Old Style"/>
          <w:bCs/>
        </w:rPr>
      </w:pPr>
      <w:r>
        <w:rPr>
          <w:rFonts w:ascii="Bookman Old Style" w:hAnsi="Bookman Old Style"/>
          <w:bCs/>
        </w:rPr>
        <w:t xml:space="preserve">Dado que, además del cálculo de indicadores para cada empresa en particular, en la Resolución CREG 072 de 2002 se requiere de los resultados de las empresas que prestan el mismo servicio para hacer comparaciones entre ellas, </w:t>
      </w:r>
      <w:r w:rsidR="0062508D">
        <w:rPr>
          <w:rFonts w:ascii="Bookman Old Style" w:hAnsi="Bookman Old Style"/>
          <w:bCs/>
        </w:rPr>
        <w:t>se hace</w:t>
      </w:r>
      <w:r>
        <w:rPr>
          <w:rFonts w:ascii="Bookman Old Style" w:hAnsi="Bookman Old Style"/>
          <w:bCs/>
        </w:rPr>
        <w:t xml:space="preserve"> necesario verificar si el nuevo reporte es comparable con la información contable entregada</w:t>
      </w:r>
      <w:r>
        <w:rPr>
          <w:rFonts w:ascii="Bookman Old Style" w:hAnsi="Bookman Old Style"/>
        </w:rPr>
        <w:t xml:space="preserve"> hasta 2014, y si continúa siendo aplicable el modelo de clasificación de riesgo.</w:t>
      </w:r>
    </w:p>
    <w:p w:rsidR="00D50787" w:rsidRDefault="00D50787" w:rsidP="00D50787">
      <w:pPr>
        <w:tabs>
          <w:tab w:val="left" w:pos="1560"/>
        </w:tabs>
        <w:adjustRightInd w:val="0"/>
        <w:ind w:left="0"/>
        <w:jc w:val="both"/>
        <w:textAlignment w:val="baseline"/>
        <w:rPr>
          <w:rFonts w:ascii="Bookman Old Style" w:hAnsi="Bookman Old Style"/>
          <w:bCs/>
        </w:rPr>
      </w:pPr>
    </w:p>
    <w:p w:rsidR="00D57098" w:rsidRDefault="00D57098" w:rsidP="006C25F7">
      <w:pPr>
        <w:tabs>
          <w:tab w:val="left" w:pos="1560"/>
        </w:tabs>
        <w:adjustRightInd w:val="0"/>
        <w:ind w:left="0"/>
        <w:jc w:val="both"/>
        <w:textAlignment w:val="baseline"/>
        <w:rPr>
          <w:rFonts w:ascii="Bookman Old Style" w:hAnsi="Bookman Old Style"/>
          <w:bCs/>
        </w:rPr>
      </w:pPr>
      <w:r>
        <w:rPr>
          <w:rFonts w:ascii="Bookman Old Style" w:hAnsi="Bookman Old Style"/>
          <w:bCs/>
        </w:rPr>
        <w:t xml:space="preserve">Mediante la Resolución CREG </w:t>
      </w:r>
      <w:r w:rsidR="002B5AAF">
        <w:rPr>
          <w:rFonts w:ascii="Bookman Old Style" w:hAnsi="Bookman Old Style"/>
          <w:bCs/>
        </w:rPr>
        <w:t>046</w:t>
      </w:r>
      <w:r>
        <w:rPr>
          <w:rFonts w:ascii="Bookman Old Style" w:hAnsi="Bookman Old Style"/>
          <w:bCs/>
        </w:rPr>
        <w:t xml:space="preserve"> de 2016 se prorrogaron algunos plazos establecidos en la Resolución CREG 072 de 2002</w:t>
      </w:r>
      <w:r w:rsidR="005A5C92">
        <w:rPr>
          <w:rFonts w:ascii="Bookman Old Style" w:hAnsi="Bookman Old Style"/>
          <w:bCs/>
        </w:rPr>
        <w:t>, relacionados con la evaluación para el año 2015 de la gestión de las entidades prestadoras</w:t>
      </w:r>
      <w:r w:rsidR="0062508D">
        <w:rPr>
          <w:rFonts w:ascii="Bookman Old Style" w:hAnsi="Bookman Old Style"/>
          <w:bCs/>
        </w:rPr>
        <w:t>.</w:t>
      </w:r>
    </w:p>
    <w:p w:rsidR="0062508D" w:rsidRDefault="0062508D" w:rsidP="006C25F7">
      <w:pPr>
        <w:tabs>
          <w:tab w:val="left" w:pos="1560"/>
        </w:tabs>
        <w:adjustRightInd w:val="0"/>
        <w:ind w:left="0"/>
        <w:jc w:val="both"/>
        <w:textAlignment w:val="baseline"/>
        <w:rPr>
          <w:rFonts w:ascii="Bookman Old Style" w:hAnsi="Bookman Old Style"/>
          <w:bCs/>
        </w:rPr>
      </w:pPr>
    </w:p>
    <w:p w:rsidR="00D57098" w:rsidRDefault="001A2AC5" w:rsidP="006C25F7">
      <w:pPr>
        <w:tabs>
          <w:tab w:val="left" w:pos="1560"/>
        </w:tabs>
        <w:adjustRightInd w:val="0"/>
        <w:ind w:left="0"/>
        <w:jc w:val="both"/>
        <w:textAlignment w:val="baseline"/>
        <w:rPr>
          <w:rFonts w:ascii="Bookman Old Style" w:hAnsi="Bookman Old Style"/>
          <w:bCs/>
        </w:rPr>
      </w:pPr>
      <w:r>
        <w:rPr>
          <w:rFonts w:ascii="Bookman Old Style" w:hAnsi="Bookman Old Style"/>
          <w:bCs/>
        </w:rPr>
        <w:t>Por su parte, l</w:t>
      </w:r>
      <w:r w:rsidR="00D57098">
        <w:rPr>
          <w:rFonts w:ascii="Bookman Old Style" w:hAnsi="Bookman Old Style"/>
          <w:bCs/>
        </w:rPr>
        <w:t>a CREG contrató un estudio para analizar los impactos que pudieran generarse en la información utilizada para el cálculo de los indicadores financieros por el cambio en la forma de reportar la información</w:t>
      </w:r>
      <w:r w:rsidR="0062508D">
        <w:rPr>
          <w:rFonts w:ascii="Bookman Old Style" w:hAnsi="Bookman Old Style"/>
          <w:bCs/>
        </w:rPr>
        <w:t>,</w:t>
      </w:r>
      <w:r w:rsidR="00D57098">
        <w:rPr>
          <w:rFonts w:ascii="Bookman Old Style" w:hAnsi="Bookman Old Style"/>
          <w:bCs/>
        </w:rPr>
        <w:t xml:space="preserve"> cuyos resultados se conocerán a finales del mes de diciembre de 2016.</w:t>
      </w:r>
    </w:p>
    <w:p w:rsidR="00D57098" w:rsidRDefault="00D57098" w:rsidP="006C25F7">
      <w:pPr>
        <w:tabs>
          <w:tab w:val="left" w:pos="1560"/>
        </w:tabs>
        <w:adjustRightInd w:val="0"/>
        <w:ind w:left="0"/>
        <w:jc w:val="both"/>
        <w:textAlignment w:val="baseline"/>
        <w:rPr>
          <w:rFonts w:ascii="Bookman Old Style" w:hAnsi="Bookman Old Style"/>
          <w:bCs/>
        </w:rPr>
      </w:pPr>
    </w:p>
    <w:p w:rsidR="00D57098" w:rsidRDefault="00D57098" w:rsidP="006C25F7">
      <w:pPr>
        <w:tabs>
          <w:tab w:val="left" w:pos="1560"/>
        </w:tabs>
        <w:adjustRightInd w:val="0"/>
        <w:ind w:left="0"/>
        <w:jc w:val="both"/>
        <w:textAlignment w:val="baseline"/>
        <w:rPr>
          <w:rFonts w:ascii="Bookman Old Style" w:hAnsi="Bookman Old Style"/>
          <w:bCs/>
        </w:rPr>
      </w:pPr>
      <w:r>
        <w:rPr>
          <w:rFonts w:ascii="Bookman Old Style" w:hAnsi="Bookman Old Style"/>
          <w:bCs/>
        </w:rPr>
        <w:t>Con base en los resultados de</w:t>
      </w:r>
      <w:r w:rsidR="0062508D">
        <w:rPr>
          <w:rFonts w:ascii="Bookman Old Style" w:hAnsi="Bookman Old Style"/>
          <w:bCs/>
        </w:rPr>
        <w:t xml:space="preserve"> este</w:t>
      </w:r>
      <w:r>
        <w:rPr>
          <w:rFonts w:ascii="Bookman Old Style" w:hAnsi="Bookman Old Style"/>
          <w:bCs/>
        </w:rPr>
        <w:t xml:space="preserve"> estudio, los análisis de la CREG y los comentarios de los interesados</w:t>
      </w:r>
      <w:r w:rsidR="0062508D">
        <w:rPr>
          <w:rFonts w:ascii="Bookman Old Style" w:hAnsi="Bookman Old Style"/>
          <w:bCs/>
        </w:rPr>
        <w:t>, la Comisión</w:t>
      </w:r>
      <w:r>
        <w:rPr>
          <w:rFonts w:ascii="Bookman Old Style" w:hAnsi="Bookman Old Style"/>
          <w:bCs/>
        </w:rPr>
        <w:t xml:space="preserve"> </w:t>
      </w:r>
      <w:r w:rsidR="001A2AC5">
        <w:rPr>
          <w:rFonts w:ascii="Bookman Old Style" w:hAnsi="Bookman Old Style"/>
          <w:bCs/>
        </w:rPr>
        <w:t xml:space="preserve">teniendo en cuenta el procedimiento legal establecido, </w:t>
      </w:r>
      <w:r>
        <w:rPr>
          <w:rFonts w:ascii="Bookman Old Style" w:hAnsi="Bookman Old Style"/>
          <w:bCs/>
        </w:rPr>
        <w:t xml:space="preserve">publicará para consulta una propuesta de modificación de la Resolución CREG 072 de 2002. </w:t>
      </w:r>
    </w:p>
    <w:p w:rsidR="00D57098" w:rsidRDefault="00D57098" w:rsidP="006C25F7">
      <w:pPr>
        <w:tabs>
          <w:tab w:val="left" w:pos="1560"/>
        </w:tabs>
        <w:adjustRightInd w:val="0"/>
        <w:ind w:left="0"/>
        <w:jc w:val="both"/>
        <w:textAlignment w:val="baseline"/>
        <w:rPr>
          <w:rFonts w:ascii="Bookman Old Style" w:hAnsi="Bookman Old Style"/>
          <w:bCs/>
        </w:rPr>
      </w:pPr>
    </w:p>
    <w:p w:rsidR="00FE379E" w:rsidRPr="006152DC" w:rsidRDefault="00B97512" w:rsidP="006C25F7">
      <w:pPr>
        <w:tabs>
          <w:tab w:val="left" w:pos="1560"/>
        </w:tabs>
        <w:adjustRightInd w:val="0"/>
        <w:ind w:left="0"/>
        <w:jc w:val="both"/>
        <w:textAlignment w:val="baseline"/>
        <w:rPr>
          <w:rFonts w:ascii="Bookman Old Style" w:hAnsi="Bookman Old Style"/>
          <w:bCs/>
        </w:rPr>
      </w:pPr>
      <w:r w:rsidRPr="006152DC">
        <w:rPr>
          <w:rFonts w:ascii="Bookman Old Style" w:hAnsi="Bookman Old Style"/>
          <w:bCs/>
        </w:rPr>
        <w:t>De conformidad con lo establecido en el parágrafo del artículo 9 del Decreto 2696 de 2004</w:t>
      </w:r>
      <w:r w:rsidR="00C01E88">
        <w:rPr>
          <w:rFonts w:ascii="Bookman Old Style" w:hAnsi="Bookman Old Style"/>
          <w:bCs/>
        </w:rPr>
        <w:t>, compilado en el Decreto 1078 de 2015,</w:t>
      </w:r>
      <w:r w:rsidRPr="006152DC">
        <w:rPr>
          <w:rFonts w:ascii="Bookman Old Style" w:hAnsi="Bookman Old Style"/>
          <w:bCs/>
        </w:rPr>
        <w:t xml:space="preserve"> y el numeral 3 del artículo 2 de la Resolución CREG 097 de 2004, la Comisión decidió por unanimidad no someter la presente Resolución a las disposiciones sobre publicidad de proyectos </w:t>
      </w:r>
      <w:r w:rsidRPr="006152DC">
        <w:rPr>
          <w:rFonts w:ascii="Bookman Old Style" w:hAnsi="Bookman Old Style"/>
          <w:bCs/>
        </w:rPr>
        <w:lastRenderedPageBreak/>
        <w:t xml:space="preserve">de regulación previstas en el citado </w:t>
      </w:r>
      <w:r w:rsidR="00AD0DF1">
        <w:rPr>
          <w:rFonts w:ascii="Bookman Old Style" w:hAnsi="Bookman Old Style"/>
          <w:bCs/>
        </w:rPr>
        <w:t>d</w:t>
      </w:r>
      <w:r w:rsidRPr="006152DC">
        <w:rPr>
          <w:rFonts w:ascii="Bookman Old Style" w:hAnsi="Bookman Old Style"/>
          <w:bCs/>
        </w:rPr>
        <w:t xml:space="preserve">ecreto, debido a la existencia de razones de conveniencia general y de oportunidad, toda vez que es necesario </w:t>
      </w:r>
      <w:r w:rsidR="00FE379E" w:rsidRPr="006152DC">
        <w:rPr>
          <w:rFonts w:ascii="Bookman Old Style" w:hAnsi="Bookman Old Style"/>
          <w:bCs/>
        </w:rPr>
        <w:t xml:space="preserve">que antes del </w:t>
      </w:r>
      <w:r w:rsidR="00D57098">
        <w:rPr>
          <w:rFonts w:ascii="Bookman Old Style" w:hAnsi="Bookman Old Style"/>
          <w:bCs/>
        </w:rPr>
        <w:t>31 de diciembre</w:t>
      </w:r>
      <w:r w:rsidR="00FE379E" w:rsidRPr="006152DC">
        <w:rPr>
          <w:rFonts w:ascii="Bookman Old Style" w:hAnsi="Bookman Old Style"/>
          <w:bCs/>
        </w:rPr>
        <w:t xml:space="preserve"> del presen</w:t>
      </w:r>
      <w:r w:rsidR="008173C6" w:rsidRPr="006152DC">
        <w:rPr>
          <w:rFonts w:ascii="Bookman Old Style" w:hAnsi="Bookman Old Style"/>
          <w:bCs/>
        </w:rPr>
        <w:t>t</w:t>
      </w:r>
      <w:r w:rsidR="00FE379E" w:rsidRPr="006152DC">
        <w:rPr>
          <w:rFonts w:ascii="Bookman Old Style" w:hAnsi="Bookman Old Style"/>
          <w:bCs/>
        </w:rPr>
        <w:t xml:space="preserve">e año se </w:t>
      </w:r>
      <w:r w:rsidR="00E17B3E">
        <w:rPr>
          <w:rFonts w:ascii="Bookman Old Style" w:hAnsi="Bookman Old Style"/>
          <w:bCs/>
        </w:rPr>
        <w:t>modifiquen</w:t>
      </w:r>
      <w:r w:rsidR="00E17B3E" w:rsidRPr="006152DC">
        <w:rPr>
          <w:rFonts w:ascii="Bookman Old Style" w:hAnsi="Bookman Old Style"/>
          <w:bCs/>
        </w:rPr>
        <w:t xml:space="preserve"> </w:t>
      </w:r>
      <w:r w:rsidR="005A2334">
        <w:rPr>
          <w:rFonts w:ascii="Bookman Old Style" w:hAnsi="Bookman Old Style"/>
          <w:bCs/>
        </w:rPr>
        <w:t>los plazos</w:t>
      </w:r>
      <w:r w:rsidR="00FE379E" w:rsidRPr="006152DC">
        <w:rPr>
          <w:rFonts w:ascii="Bookman Old Style" w:hAnsi="Bookman Old Style"/>
          <w:bCs/>
        </w:rPr>
        <w:t xml:space="preserve"> previsto</w:t>
      </w:r>
      <w:r w:rsidR="005A2334">
        <w:rPr>
          <w:rFonts w:ascii="Bookman Old Style" w:hAnsi="Bookman Old Style"/>
          <w:bCs/>
        </w:rPr>
        <w:t>s</w:t>
      </w:r>
      <w:r w:rsidR="00FE379E" w:rsidRPr="006152DC">
        <w:rPr>
          <w:rFonts w:ascii="Bookman Old Style" w:hAnsi="Bookman Old Style"/>
          <w:bCs/>
        </w:rPr>
        <w:t xml:space="preserve"> en la </w:t>
      </w:r>
      <w:r w:rsidR="00E17B3E">
        <w:rPr>
          <w:rFonts w:ascii="Bookman Old Style" w:hAnsi="Bookman Old Style"/>
          <w:bCs/>
        </w:rPr>
        <w:t>R</w:t>
      </w:r>
      <w:r w:rsidR="00E17B3E" w:rsidRPr="006152DC">
        <w:rPr>
          <w:rFonts w:ascii="Bookman Old Style" w:hAnsi="Bookman Old Style"/>
          <w:bCs/>
        </w:rPr>
        <w:t>esoluci</w:t>
      </w:r>
      <w:r w:rsidR="00E17B3E">
        <w:rPr>
          <w:rFonts w:ascii="Bookman Old Style" w:hAnsi="Bookman Old Style"/>
          <w:bCs/>
        </w:rPr>
        <w:t>ón</w:t>
      </w:r>
      <w:r w:rsidR="00E17B3E" w:rsidRPr="006152DC">
        <w:rPr>
          <w:rFonts w:ascii="Bookman Old Style" w:hAnsi="Bookman Old Style"/>
          <w:bCs/>
        </w:rPr>
        <w:t xml:space="preserve"> CREG </w:t>
      </w:r>
      <w:r w:rsidR="00E17B3E">
        <w:rPr>
          <w:rFonts w:ascii="Bookman Old Style" w:hAnsi="Bookman Old Style"/>
          <w:bCs/>
        </w:rPr>
        <w:t xml:space="preserve">046 de 2016, qué modificó la </w:t>
      </w:r>
      <w:r w:rsidR="00D57098">
        <w:rPr>
          <w:rFonts w:ascii="Bookman Old Style" w:hAnsi="Bookman Old Style"/>
          <w:bCs/>
        </w:rPr>
        <w:t>R</w:t>
      </w:r>
      <w:r w:rsidR="00D57098" w:rsidRPr="006152DC">
        <w:rPr>
          <w:rFonts w:ascii="Bookman Old Style" w:hAnsi="Bookman Old Style"/>
          <w:bCs/>
        </w:rPr>
        <w:t>esoluci</w:t>
      </w:r>
      <w:r w:rsidR="00D57098">
        <w:rPr>
          <w:rFonts w:ascii="Bookman Old Style" w:hAnsi="Bookman Old Style"/>
          <w:bCs/>
        </w:rPr>
        <w:t>ón</w:t>
      </w:r>
      <w:r w:rsidR="00D57098" w:rsidRPr="006152DC">
        <w:rPr>
          <w:rFonts w:ascii="Bookman Old Style" w:hAnsi="Bookman Old Style"/>
          <w:bCs/>
        </w:rPr>
        <w:t xml:space="preserve"> </w:t>
      </w:r>
      <w:r w:rsidR="00FE379E" w:rsidRPr="006152DC">
        <w:rPr>
          <w:rFonts w:ascii="Bookman Old Style" w:hAnsi="Bookman Old Style"/>
          <w:bCs/>
        </w:rPr>
        <w:t xml:space="preserve">CREG </w:t>
      </w:r>
      <w:r w:rsidR="005A2334">
        <w:rPr>
          <w:rFonts w:ascii="Bookman Old Style" w:hAnsi="Bookman Old Style"/>
          <w:bCs/>
        </w:rPr>
        <w:t>072</w:t>
      </w:r>
      <w:r w:rsidR="00FE379E" w:rsidRPr="006152DC">
        <w:rPr>
          <w:rFonts w:ascii="Bookman Old Style" w:hAnsi="Bookman Old Style"/>
          <w:bCs/>
        </w:rPr>
        <w:t xml:space="preserve"> de 20</w:t>
      </w:r>
      <w:r w:rsidR="005A2334">
        <w:rPr>
          <w:rFonts w:ascii="Bookman Old Style" w:hAnsi="Bookman Old Style"/>
          <w:bCs/>
        </w:rPr>
        <w:t>02</w:t>
      </w:r>
      <w:r w:rsidR="00FE379E" w:rsidRPr="006152DC">
        <w:rPr>
          <w:rFonts w:ascii="Bookman Old Style" w:hAnsi="Bookman Old Style"/>
          <w:bCs/>
        </w:rPr>
        <w:t>.</w:t>
      </w:r>
    </w:p>
    <w:p w:rsidR="00865E97" w:rsidRPr="006152DC" w:rsidRDefault="00865E97" w:rsidP="006C25F7">
      <w:pPr>
        <w:tabs>
          <w:tab w:val="left" w:pos="1560"/>
        </w:tabs>
        <w:adjustRightInd w:val="0"/>
        <w:ind w:left="0"/>
        <w:jc w:val="both"/>
        <w:textAlignment w:val="baseline"/>
        <w:rPr>
          <w:rFonts w:ascii="Bookman Old Style" w:hAnsi="Bookman Old Style"/>
          <w:bCs/>
        </w:rPr>
      </w:pPr>
    </w:p>
    <w:p w:rsidR="00B97512" w:rsidRPr="006152DC" w:rsidRDefault="00B97512" w:rsidP="006C25F7">
      <w:pPr>
        <w:ind w:left="0"/>
        <w:jc w:val="both"/>
        <w:rPr>
          <w:rFonts w:ascii="Bookman Old Style" w:hAnsi="Bookman Old Style" w:cs="Arial"/>
        </w:rPr>
      </w:pPr>
      <w:r w:rsidRPr="006152DC">
        <w:rPr>
          <w:rFonts w:ascii="Bookman Old Style" w:hAnsi="Bookman Old Style" w:cs="Arial"/>
        </w:rPr>
        <w:t>Conforme al numeral 3 del artículo 4 del Decreto 2897 de 2010</w:t>
      </w:r>
      <w:r w:rsidR="00C01E88">
        <w:rPr>
          <w:rFonts w:ascii="Bookman Old Style" w:hAnsi="Bookman Old Style" w:cs="Arial"/>
        </w:rPr>
        <w:t>, compilado en el Decreto 1074 de 2015 el cual a su vez reglamenta la Ley 1340 de 2009,</w:t>
      </w:r>
      <w:r w:rsidR="00C01E88" w:rsidRPr="006147C5">
        <w:rPr>
          <w:rFonts w:ascii="Bookman Old Style" w:hAnsi="Bookman Old Style" w:cs="Arial"/>
        </w:rPr>
        <w:t xml:space="preserve"> </w:t>
      </w:r>
      <w:r w:rsidRPr="006152DC">
        <w:rPr>
          <w:rFonts w:ascii="Bookman Old Style" w:hAnsi="Bookman Old Style" w:cs="Arial"/>
        </w:rPr>
        <w:t xml:space="preserve">no se requiere la remisión del presente acto administrativo a la Superintendencia de Industria y Comercio, por cuanto el acto busca </w:t>
      </w:r>
      <w:r w:rsidR="00E17B3E">
        <w:rPr>
          <w:rFonts w:ascii="Bookman Old Style" w:hAnsi="Bookman Old Style" w:cs="Arial"/>
        </w:rPr>
        <w:t>modific</w:t>
      </w:r>
      <w:r w:rsidR="00E17B3E" w:rsidRPr="006152DC">
        <w:rPr>
          <w:rFonts w:ascii="Bookman Old Style" w:hAnsi="Bookman Old Style" w:cs="Arial"/>
        </w:rPr>
        <w:t xml:space="preserve">ar </w:t>
      </w:r>
      <w:r w:rsidR="00FE379E" w:rsidRPr="006152DC">
        <w:rPr>
          <w:rFonts w:ascii="Bookman Old Style" w:hAnsi="Bookman Old Style" w:cs="Arial"/>
        </w:rPr>
        <w:t xml:space="preserve">unos </w:t>
      </w:r>
      <w:r w:rsidRPr="006152DC">
        <w:rPr>
          <w:rFonts w:ascii="Bookman Old Style" w:hAnsi="Bookman Old Style" w:cs="Arial"/>
        </w:rPr>
        <w:t>plazos señalad</w:t>
      </w:r>
      <w:r w:rsidR="00FE379E" w:rsidRPr="006152DC">
        <w:rPr>
          <w:rFonts w:ascii="Bookman Old Style" w:hAnsi="Bookman Old Style" w:cs="Arial"/>
        </w:rPr>
        <w:t>o</w:t>
      </w:r>
      <w:r w:rsidRPr="006152DC">
        <w:rPr>
          <w:rFonts w:ascii="Bookman Old Style" w:hAnsi="Bookman Old Style" w:cs="Arial"/>
        </w:rPr>
        <w:t>s en las normas mencionadas.</w:t>
      </w:r>
    </w:p>
    <w:p w:rsidR="008173C6" w:rsidRPr="006152DC" w:rsidRDefault="008173C6" w:rsidP="006C25F7">
      <w:pPr>
        <w:ind w:left="0"/>
        <w:jc w:val="both"/>
        <w:rPr>
          <w:rFonts w:ascii="Bookman Old Style" w:hAnsi="Bookman Old Style"/>
        </w:rPr>
      </w:pPr>
    </w:p>
    <w:p w:rsidR="00B97512" w:rsidRPr="006152DC" w:rsidRDefault="00ED3C17" w:rsidP="006C25F7">
      <w:pPr>
        <w:ind w:left="0"/>
        <w:jc w:val="both"/>
        <w:rPr>
          <w:rFonts w:ascii="Bookman Old Style" w:hAnsi="Bookman Old Style"/>
        </w:rPr>
      </w:pPr>
      <w:r w:rsidRPr="006152DC">
        <w:rPr>
          <w:rFonts w:ascii="Bookman Old Style" w:hAnsi="Bookman Old Style" w:cs="Arial"/>
          <w:spacing w:val="-3"/>
        </w:rPr>
        <w:t xml:space="preserve">La Comisión de Regulación de Energía y Gas, en su sesión </w:t>
      </w:r>
      <w:r w:rsidR="00D57098">
        <w:rPr>
          <w:rFonts w:ascii="Bookman Old Style" w:hAnsi="Bookman Old Style" w:cs="Arial"/>
          <w:spacing w:val="-3"/>
        </w:rPr>
        <w:t>7</w:t>
      </w:r>
      <w:r w:rsidR="00261029">
        <w:rPr>
          <w:rFonts w:ascii="Bookman Old Style" w:hAnsi="Bookman Old Style" w:cs="Arial"/>
          <w:spacing w:val="-3"/>
        </w:rPr>
        <w:t>5</w:t>
      </w:r>
      <w:r w:rsidR="00C609BE">
        <w:rPr>
          <w:rFonts w:ascii="Bookman Old Style" w:hAnsi="Bookman Old Style" w:cs="Arial"/>
          <w:spacing w:val="-3"/>
        </w:rPr>
        <w:t>3</w:t>
      </w:r>
      <w:r w:rsidRPr="006152DC">
        <w:rPr>
          <w:rFonts w:ascii="Bookman Old Style" w:hAnsi="Bookman Old Style" w:cs="Arial"/>
          <w:spacing w:val="-3"/>
        </w:rPr>
        <w:t xml:space="preserve"> </w:t>
      </w:r>
      <w:r w:rsidR="003F3FF6" w:rsidRPr="006152DC">
        <w:rPr>
          <w:rFonts w:ascii="Bookman Old Style" w:hAnsi="Bookman Old Style" w:cs="Arial"/>
          <w:spacing w:val="-3"/>
        </w:rPr>
        <w:t>del</w:t>
      </w:r>
      <w:r w:rsidRPr="006152DC">
        <w:rPr>
          <w:rFonts w:ascii="Bookman Old Style" w:hAnsi="Bookman Old Style" w:cs="Arial"/>
          <w:spacing w:val="-3"/>
        </w:rPr>
        <w:t xml:space="preserve"> </w:t>
      </w:r>
      <w:r w:rsidR="00261029">
        <w:rPr>
          <w:rFonts w:ascii="Bookman Old Style" w:hAnsi="Bookman Old Style" w:cs="Arial"/>
          <w:spacing w:val="-3"/>
        </w:rPr>
        <w:t>22</w:t>
      </w:r>
      <w:r w:rsidR="00C609BE">
        <w:rPr>
          <w:rFonts w:ascii="Bookman Old Style" w:hAnsi="Bookman Old Style" w:cs="Arial"/>
          <w:spacing w:val="-3"/>
        </w:rPr>
        <w:t xml:space="preserve"> y 23</w:t>
      </w:r>
      <w:r w:rsidR="00D57098" w:rsidRPr="006152DC">
        <w:rPr>
          <w:rFonts w:ascii="Bookman Old Style" w:hAnsi="Bookman Old Style" w:cs="Arial"/>
          <w:spacing w:val="-3"/>
        </w:rPr>
        <w:t xml:space="preserve"> </w:t>
      </w:r>
      <w:r w:rsidRPr="006152DC">
        <w:rPr>
          <w:rFonts w:ascii="Bookman Old Style" w:hAnsi="Bookman Old Style" w:cs="Arial"/>
          <w:spacing w:val="-3"/>
        </w:rPr>
        <w:t xml:space="preserve">de </w:t>
      </w:r>
      <w:r w:rsidR="00D57098">
        <w:rPr>
          <w:rFonts w:ascii="Bookman Old Style" w:hAnsi="Bookman Old Style" w:cs="Arial"/>
          <w:spacing w:val="-3"/>
        </w:rPr>
        <w:t xml:space="preserve">diciembre </w:t>
      </w:r>
      <w:r w:rsidRPr="006152DC">
        <w:rPr>
          <w:rFonts w:ascii="Bookman Old Style" w:hAnsi="Bookman Old Style" w:cs="Arial"/>
          <w:spacing w:val="-3"/>
        </w:rPr>
        <w:t>de 201</w:t>
      </w:r>
      <w:r w:rsidR="003F3FF6" w:rsidRPr="006152DC">
        <w:rPr>
          <w:rFonts w:ascii="Bookman Old Style" w:hAnsi="Bookman Old Style" w:cs="Arial"/>
          <w:spacing w:val="-3"/>
        </w:rPr>
        <w:t>6</w:t>
      </w:r>
      <w:r w:rsidR="00B97512" w:rsidRPr="006152DC">
        <w:rPr>
          <w:rFonts w:ascii="Bookman Old Style" w:hAnsi="Bookman Old Style"/>
        </w:rPr>
        <w:t xml:space="preserve">, acordó expedir </w:t>
      </w:r>
      <w:r w:rsidR="001A2AC5">
        <w:rPr>
          <w:rFonts w:ascii="Bookman Old Style" w:hAnsi="Bookman Old Style"/>
        </w:rPr>
        <w:t xml:space="preserve">la presente </w:t>
      </w:r>
      <w:r w:rsidR="00B97512" w:rsidRPr="006152DC">
        <w:rPr>
          <w:rFonts w:ascii="Bookman Old Style" w:hAnsi="Bookman Old Style"/>
        </w:rPr>
        <w:t>resolución.</w:t>
      </w:r>
    </w:p>
    <w:p w:rsidR="00045D3D" w:rsidRPr="006152DC" w:rsidRDefault="00045D3D" w:rsidP="008173C6">
      <w:pPr>
        <w:keepNext/>
        <w:suppressAutoHyphens/>
        <w:spacing w:before="480"/>
        <w:jc w:val="center"/>
        <w:rPr>
          <w:rFonts w:ascii="Bookman Old Style" w:hAnsi="Bookman Old Style"/>
          <w:spacing w:val="-3"/>
        </w:rPr>
      </w:pPr>
      <w:r w:rsidRPr="006152DC">
        <w:rPr>
          <w:rFonts w:ascii="Bookman Old Style" w:hAnsi="Bookman Old Style"/>
          <w:b/>
          <w:spacing w:val="-3"/>
        </w:rPr>
        <w:t>R E S U E L V E:</w:t>
      </w:r>
    </w:p>
    <w:p w:rsidR="00045D3D" w:rsidRDefault="00045D3D" w:rsidP="00FE379E">
      <w:pPr>
        <w:keepNext/>
        <w:jc w:val="center"/>
        <w:rPr>
          <w:rFonts w:ascii="Bookman Old Style" w:hAnsi="Bookman Old Style"/>
        </w:rPr>
      </w:pPr>
    </w:p>
    <w:p w:rsidR="00C609BE" w:rsidRPr="006152DC" w:rsidRDefault="00C609BE" w:rsidP="00FE379E">
      <w:pPr>
        <w:keepNext/>
        <w:jc w:val="center"/>
        <w:rPr>
          <w:rFonts w:ascii="Bookman Old Style" w:hAnsi="Bookman Old Style"/>
        </w:rPr>
      </w:pPr>
    </w:p>
    <w:p w:rsidR="00B01F86" w:rsidRPr="00B01F86" w:rsidRDefault="00B57BCB" w:rsidP="00B01F86">
      <w:pPr>
        <w:numPr>
          <w:ilvl w:val="0"/>
          <w:numId w:val="7"/>
        </w:numPr>
        <w:tabs>
          <w:tab w:val="left" w:pos="1701"/>
        </w:tabs>
        <w:jc w:val="both"/>
        <w:rPr>
          <w:rFonts w:ascii="Bookman Old Style" w:hAnsi="Bookman Old Style" w:cs="Arial"/>
        </w:rPr>
      </w:pPr>
      <w:r>
        <w:rPr>
          <w:rFonts w:ascii="Bookman Old Style" w:hAnsi="Bookman Old Style"/>
          <w:b/>
        </w:rPr>
        <w:t>R</w:t>
      </w:r>
      <w:r w:rsidR="00B01F86">
        <w:rPr>
          <w:rFonts w:ascii="Bookman Old Style" w:hAnsi="Bookman Old Style"/>
          <w:b/>
        </w:rPr>
        <w:t>eferentes</w:t>
      </w:r>
      <w:r>
        <w:rPr>
          <w:rFonts w:ascii="Bookman Old Style" w:hAnsi="Bookman Old Style"/>
          <w:b/>
        </w:rPr>
        <w:t xml:space="preserve"> para evaluar el año 2016</w:t>
      </w:r>
      <w:r w:rsidR="006F4CC9" w:rsidRPr="006152DC">
        <w:rPr>
          <w:rFonts w:ascii="Bookman Old Style" w:hAnsi="Bookman Old Style"/>
          <w:b/>
        </w:rPr>
        <w:t>.</w:t>
      </w:r>
      <w:r w:rsidR="006F4CC9" w:rsidRPr="005A5C92">
        <w:rPr>
          <w:rFonts w:ascii="Bookman Old Style" w:hAnsi="Bookman Old Style"/>
        </w:rPr>
        <w:t xml:space="preserve"> </w:t>
      </w:r>
      <w:r w:rsidR="00B01F86" w:rsidRPr="005A5C92">
        <w:rPr>
          <w:rFonts w:ascii="Bookman Old Style" w:hAnsi="Bookman Old Style"/>
        </w:rPr>
        <w:t>Par</w:t>
      </w:r>
      <w:r w:rsidR="00B01F86">
        <w:rPr>
          <w:rFonts w:ascii="Bookman Old Style" w:hAnsi="Bookman Old Style"/>
        </w:rPr>
        <w:t xml:space="preserve">a </w:t>
      </w:r>
      <w:r>
        <w:rPr>
          <w:rFonts w:ascii="Bookman Old Style" w:hAnsi="Bookman Old Style"/>
        </w:rPr>
        <w:t xml:space="preserve">la </w:t>
      </w:r>
      <w:r w:rsidR="00B01F86">
        <w:rPr>
          <w:rFonts w:ascii="Bookman Old Style" w:hAnsi="Bookman Old Style"/>
        </w:rPr>
        <w:t>evalua</w:t>
      </w:r>
      <w:r>
        <w:rPr>
          <w:rFonts w:ascii="Bookman Old Style" w:hAnsi="Bookman Old Style"/>
        </w:rPr>
        <w:t>ción de</w:t>
      </w:r>
      <w:r w:rsidR="00B01F86">
        <w:rPr>
          <w:rFonts w:ascii="Bookman Old Style" w:hAnsi="Bookman Old Style"/>
        </w:rPr>
        <w:t xml:space="preserve"> la gestión del año 2016 de </w:t>
      </w:r>
      <w:r>
        <w:rPr>
          <w:rFonts w:ascii="Bookman Old Style" w:hAnsi="Bookman Old Style"/>
        </w:rPr>
        <w:t xml:space="preserve">las </w:t>
      </w:r>
      <w:r w:rsidR="001A2AC5">
        <w:rPr>
          <w:rFonts w:ascii="Bookman Old Style" w:hAnsi="Bookman Old Style"/>
        </w:rPr>
        <w:t>e</w:t>
      </w:r>
      <w:r>
        <w:rPr>
          <w:rFonts w:ascii="Bookman Old Style" w:hAnsi="Bookman Old Style"/>
        </w:rPr>
        <w:t xml:space="preserve">ntidades </w:t>
      </w:r>
      <w:r w:rsidR="001A2AC5">
        <w:rPr>
          <w:rFonts w:ascii="Bookman Old Style" w:hAnsi="Bookman Old Style"/>
        </w:rPr>
        <w:t>p</w:t>
      </w:r>
      <w:r>
        <w:rPr>
          <w:rFonts w:ascii="Bookman Old Style" w:hAnsi="Bookman Old Style"/>
        </w:rPr>
        <w:t>restadoras</w:t>
      </w:r>
      <w:r w:rsidR="00342FE5">
        <w:rPr>
          <w:rFonts w:ascii="Bookman Old Style" w:hAnsi="Bookman Old Style"/>
        </w:rPr>
        <w:t>,</w:t>
      </w:r>
      <w:r>
        <w:rPr>
          <w:rFonts w:ascii="Bookman Old Style" w:hAnsi="Bookman Old Style"/>
        </w:rPr>
        <w:t xml:space="preserve"> que realiza</w:t>
      </w:r>
      <w:r w:rsidR="00B01F86" w:rsidRPr="006152DC">
        <w:rPr>
          <w:rFonts w:ascii="Bookman Old Style" w:hAnsi="Bookman Old Style"/>
        </w:rPr>
        <w:t xml:space="preserve"> la Super</w:t>
      </w:r>
      <w:r w:rsidR="00342FE5">
        <w:rPr>
          <w:rFonts w:ascii="Bookman Old Style" w:hAnsi="Bookman Old Style"/>
        </w:rPr>
        <w:softHyphen/>
      </w:r>
      <w:r w:rsidR="00B01F86" w:rsidRPr="006152DC">
        <w:rPr>
          <w:rFonts w:ascii="Bookman Old Style" w:hAnsi="Bookman Old Style"/>
        </w:rPr>
        <w:t xml:space="preserve">intendencia de Servicios Públicos </w:t>
      </w:r>
      <w:r w:rsidR="00B01F86">
        <w:rPr>
          <w:rFonts w:ascii="Bookman Old Style" w:hAnsi="Bookman Old Style"/>
        </w:rPr>
        <w:t>Domiciliarios, se utilizarán los mismos referentes establecidos para la evaluación del año 2015</w:t>
      </w:r>
      <w:r>
        <w:rPr>
          <w:rFonts w:ascii="Bookman Old Style" w:hAnsi="Bookman Old Style"/>
        </w:rPr>
        <w:t xml:space="preserve"> en cumplimiento de lo previsto en la </w:t>
      </w:r>
      <w:r w:rsidRPr="006152DC">
        <w:rPr>
          <w:rFonts w:ascii="Bookman Old Style" w:hAnsi="Bookman Old Style"/>
        </w:rPr>
        <w:t>Resolución CREG 0</w:t>
      </w:r>
      <w:r>
        <w:rPr>
          <w:rFonts w:ascii="Bookman Old Style" w:hAnsi="Bookman Old Style"/>
        </w:rPr>
        <w:t>72</w:t>
      </w:r>
      <w:r w:rsidRPr="006152DC">
        <w:rPr>
          <w:rFonts w:ascii="Bookman Old Style" w:hAnsi="Bookman Old Style"/>
        </w:rPr>
        <w:t xml:space="preserve"> de 20</w:t>
      </w:r>
      <w:r>
        <w:rPr>
          <w:rFonts w:ascii="Bookman Old Style" w:hAnsi="Bookman Old Style"/>
        </w:rPr>
        <w:t>02</w:t>
      </w:r>
      <w:r w:rsidR="00B01F86">
        <w:rPr>
          <w:rFonts w:ascii="Bookman Old Style" w:hAnsi="Bookman Old Style"/>
        </w:rPr>
        <w:t>.</w:t>
      </w:r>
    </w:p>
    <w:p w:rsidR="00B01F86" w:rsidRPr="006152DC" w:rsidRDefault="00B01F86" w:rsidP="005A5C92">
      <w:pPr>
        <w:tabs>
          <w:tab w:val="left" w:pos="1701"/>
        </w:tabs>
        <w:ind w:left="0"/>
        <w:jc w:val="both"/>
        <w:rPr>
          <w:rFonts w:ascii="Bookman Old Style" w:hAnsi="Bookman Old Style" w:cs="Arial"/>
        </w:rPr>
      </w:pPr>
    </w:p>
    <w:p w:rsidR="00E42760" w:rsidRPr="00B57BCB" w:rsidRDefault="00B57BCB" w:rsidP="00E42760">
      <w:pPr>
        <w:numPr>
          <w:ilvl w:val="0"/>
          <w:numId w:val="7"/>
        </w:numPr>
        <w:tabs>
          <w:tab w:val="left" w:pos="1701"/>
        </w:tabs>
        <w:jc w:val="both"/>
        <w:rPr>
          <w:rFonts w:ascii="Bookman Old Style" w:hAnsi="Bookman Old Style" w:cs="Arial"/>
        </w:rPr>
      </w:pPr>
      <w:r>
        <w:rPr>
          <w:rFonts w:ascii="Bookman Old Style" w:hAnsi="Bookman Old Style"/>
          <w:b/>
        </w:rPr>
        <w:t>Información para e</w:t>
      </w:r>
      <w:r w:rsidR="00B01F86">
        <w:rPr>
          <w:rFonts w:ascii="Bookman Old Style" w:hAnsi="Bookman Old Style"/>
          <w:b/>
        </w:rPr>
        <w:t>valua</w:t>
      </w:r>
      <w:r>
        <w:rPr>
          <w:rFonts w:ascii="Bookman Old Style" w:hAnsi="Bookman Old Style"/>
          <w:b/>
        </w:rPr>
        <w:t>r e</w:t>
      </w:r>
      <w:r w:rsidR="00B01F86">
        <w:rPr>
          <w:rFonts w:ascii="Bookman Old Style" w:hAnsi="Bookman Old Style"/>
          <w:b/>
        </w:rPr>
        <w:t>l año 2015</w:t>
      </w:r>
      <w:r w:rsidR="00E42760" w:rsidRPr="006152DC">
        <w:rPr>
          <w:rFonts w:ascii="Bookman Old Style" w:hAnsi="Bookman Old Style"/>
          <w:b/>
        </w:rPr>
        <w:t>.</w:t>
      </w:r>
      <w:r w:rsidR="00E42760" w:rsidRPr="005A5C92">
        <w:rPr>
          <w:rFonts w:ascii="Bookman Old Style" w:hAnsi="Bookman Old Style"/>
        </w:rPr>
        <w:t xml:space="preserve"> </w:t>
      </w:r>
      <w:r>
        <w:rPr>
          <w:rFonts w:ascii="Bookman Old Style" w:hAnsi="Bookman Old Style"/>
        </w:rPr>
        <w:t xml:space="preserve">Para evaluar el año 2015 se tendrá en cuenta la información disponible al 15 de abril de 2017 </w:t>
      </w:r>
      <w:r w:rsidR="00755AA6">
        <w:rPr>
          <w:rFonts w:ascii="Bookman Old Style" w:hAnsi="Bookman Old Style"/>
        </w:rPr>
        <w:t xml:space="preserve">en el Sistema Único de Información administrado por la </w:t>
      </w:r>
      <w:r w:rsidR="00755AA6" w:rsidRPr="006152DC">
        <w:rPr>
          <w:rFonts w:ascii="Bookman Old Style" w:hAnsi="Bookman Old Style"/>
        </w:rPr>
        <w:t xml:space="preserve">Superintendencia de Servicios Públicos </w:t>
      </w:r>
      <w:r w:rsidR="00755AA6">
        <w:rPr>
          <w:rFonts w:ascii="Bookman Old Style" w:hAnsi="Bookman Old Style"/>
        </w:rPr>
        <w:t>Domiciliarios</w:t>
      </w:r>
      <w:r w:rsidR="00E42760" w:rsidRPr="006152DC">
        <w:rPr>
          <w:rFonts w:ascii="Bookman Old Style" w:hAnsi="Bookman Old Style"/>
        </w:rPr>
        <w:t>.</w:t>
      </w:r>
    </w:p>
    <w:p w:rsidR="00B57BCB" w:rsidRDefault="00B57BCB" w:rsidP="005A5C92">
      <w:pPr>
        <w:pStyle w:val="Prrafodelista"/>
        <w:rPr>
          <w:rFonts w:ascii="Bookman Old Style" w:hAnsi="Bookman Old Style" w:cs="Arial"/>
        </w:rPr>
      </w:pPr>
    </w:p>
    <w:p w:rsidR="00755AA6" w:rsidRPr="006152DC" w:rsidRDefault="00342FE5" w:rsidP="00755AA6">
      <w:pPr>
        <w:numPr>
          <w:ilvl w:val="0"/>
          <w:numId w:val="7"/>
        </w:numPr>
        <w:tabs>
          <w:tab w:val="left" w:pos="1701"/>
        </w:tabs>
        <w:jc w:val="both"/>
        <w:rPr>
          <w:rFonts w:ascii="Bookman Old Style" w:hAnsi="Bookman Old Style" w:cs="Arial"/>
        </w:rPr>
      </w:pPr>
      <w:r>
        <w:rPr>
          <w:rFonts w:ascii="Bookman Old Style" w:hAnsi="Bookman Old Style"/>
          <w:b/>
        </w:rPr>
        <w:t>Divulgación de la evaluación</w:t>
      </w:r>
      <w:r w:rsidR="00755AA6" w:rsidRPr="006152DC">
        <w:rPr>
          <w:rFonts w:ascii="Bookman Old Style" w:hAnsi="Bookman Old Style"/>
          <w:b/>
        </w:rPr>
        <w:t xml:space="preserve">. </w:t>
      </w:r>
      <w:r>
        <w:rPr>
          <w:rFonts w:ascii="Bookman Old Style" w:hAnsi="Bookman Old Style"/>
        </w:rPr>
        <w:t>L</w:t>
      </w:r>
      <w:r w:rsidR="00755AA6" w:rsidRPr="006152DC">
        <w:rPr>
          <w:rFonts w:ascii="Bookman Old Style" w:hAnsi="Bookman Old Style"/>
        </w:rPr>
        <w:t xml:space="preserve">a Superintendencia de Servicios Públicos </w:t>
      </w:r>
      <w:r w:rsidR="00755AA6">
        <w:rPr>
          <w:rFonts w:ascii="Bookman Old Style" w:hAnsi="Bookman Old Style"/>
        </w:rPr>
        <w:t>Domici</w:t>
      </w:r>
      <w:r w:rsidR="00755AA6">
        <w:rPr>
          <w:rFonts w:ascii="Bookman Old Style" w:hAnsi="Bookman Old Style"/>
        </w:rPr>
        <w:softHyphen/>
        <w:t>liarios</w:t>
      </w:r>
      <w:r>
        <w:rPr>
          <w:rFonts w:ascii="Bookman Old Style" w:hAnsi="Bookman Old Style"/>
        </w:rPr>
        <w:t xml:space="preserve"> divulgará </w:t>
      </w:r>
      <w:r w:rsidR="00755AA6">
        <w:rPr>
          <w:rFonts w:ascii="Bookman Old Style" w:hAnsi="Bookman Old Style"/>
        </w:rPr>
        <w:t xml:space="preserve">los </w:t>
      </w:r>
      <w:r w:rsidR="00755AA6" w:rsidRPr="00755AA6">
        <w:rPr>
          <w:rFonts w:ascii="Bookman Old Style" w:hAnsi="Bookman Old Style"/>
        </w:rPr>
        <w:t>resultados de la evaluación</w:t>
      </w:r>
      <w:r w:rsidR="00755AA6">
        <w:rPr>
          <w:rFonts w:ascii="Bookman Old Style" w:hAnsi="Bookman Old Style"/>
        </w:rPr>
        <w:t xml:space="preserve"> de la gestión </w:t>
      </w:r>
      <w:r w:rsidR="00F11A23">
        <w:rPr>
          <w:rFonts w:ascii="Bookman Old Style" w:hAnsi="Bookman Old Style"/>
        </w:rPr>
        <w:t xml:space="preserve">del año 2015 </w:t>
      </w:r>
      <w:r w:rsidR="00755AA6">
        <w:rPr>
          <w:rFonts w:ascii="Bookman Old Style" w:hAnsi="Bookman Old Style"/>
        </w:rPr>
        <w:t xml:space="preserve">de las </w:t>
      </w:r>
      <w:r>
        <w:rPr>
          <w:rFonts w:ascii="Bookman Old Style" w:hAnsi="Bookman Old Style"/>
        </w:rPr>
        <w:t>Entidades Prestadoras, en la misma fecha que corresponda divulgar la evaluación del año 2016</w:t>
      </w:r>
      <w:r w:rsidR="00755AA6" w:rsidRPr="006152DC">
        <w:rPr>
          <w:rFonts w:ascii="Bookman Old Style" w:hAnsi="Bookman Old Style"/>
        </w:rPr>
        <w:t>.</w:t>
      </w:r>
    </w:p>
    <w:p w:rsidR="00755AA6" w:rsidRDefault="00755AA6" w:rsidP="00755AA6">
      <w:pPr>
        <w:tabs>
          <w:tab w:val="left" w:pos="1701"/>
        </w:tabs>
        <w:ind w:left="0"/>
        <w:jc w:val="both"/>
        <w:rPr>
          <w:rFonts w:ascii="Bookman Old Style" w:hAnsi="Bookman Old Style" w:cs="Arial"/>
        </w:rPr>
      </w:pPr>
    </w:p>
    <w:p w:rsidR="00342FE5" w:rsidRPr="006152DC" w:rsidRDefault="00342FE5" w:rsidP="00342FE5">
      <w:pPr>
        <w:numPr>
          <w:ilvl w:val="0"/>
          <w:numId w:val="7"/>
        </w:numPr>
        <w:tabs>
          <w:tab w:val="left" w:pos="1701"/>
        </w:tabs>
        <w:jc w:val="both"/>
        <w:rPr>
          <w:rFonts w:ascii="Bookman Old Style" w:hAnsi="Bookman Old Style"/>
        </w:rPr>
      </w:pPr>
      <w:r>
        <w:rPr>
          <w:rFonts w:ascii="Bookman Old Style" w:hAnsi="Bookman Old Style" w:cs="Arial"/>
          <w:b/>
          <w:bCs/>
        </w:rPr>
        <w:t>Derogatorias</w:t>
      </w:r>
      <w:r w:rsidRPr="006152DC">
        <w:rPr>
          <w:rFonts w:ascii="Bookman Old Style" w:hAnsi="Bookman Old Style" w:cs="Arial"/>
          <w:b/>
          <w:bCs/>
        </w:rPr>
        <w:t xml:space="preserve">. </w:t>
      </w:r>
      <w:r w:rsidRPr="006152DC">
        <w:rPr>
          <w:rFonts w:ascii="Bookman Old Style" w:hAnsi="Bookman Old Style" w:cs="Arial"/>
          <w:bCs/>
        </w:rPr>
        <w:t xml:space="preserve">La presente resolución </w:t>
      </w:r>
      <w:r>
        <w:rPr>
          <w:rFonts w:ascii="Bookman Old Style" w:hAnsi="Bookman Old Style" w:cs="Arial"/>
          <w:bCs/>
        </w:rPr>
        <w:t>deroga las disposiciones que le sean contrarias, en particular la Resolución CREG 046 de 2016.</w:t>
      </w:r>
    </w:p>
    <w:p w:rsidR="00342FE5" w:rsidRDefault="00342FE5" w:rsidP="00755AA6">
      <w:pPr>
        <w:tabs>
          <w:tab w:val="left" w:pos="1701"/>
        </w:tabs>
        <w:ind w:left="0"/>
        <w:jc w:val="both"/>
        <w:rPr>
          <w:rFonts w:ascii="Bookman Old Style" w:hAnsi="Bookman Old Style" w:cs="Arial"/>
        </w:rPr>
      </w:pPr>
    </w:p>
    <w:p w:rsidR="001E4CAB" w:rsidRPr="006152DC" w:rsidRDefault="001E4CAB" w:rsidP="006C25F7">
      <w:pPr>
        <w:numPr>
          <w:ilvl w:val="0"/>
          <w:numId w:val="7"/>
        </w:numPr>
        <w:tabs>
          <w:tab w:val="left" w:pos="1701"/>
        </w:tabs>
        <w:jc w:val="both"/>
        <w:rPr>
          <w:rFonts w:ascii="Bookman Old Style" w:hAnsi="Bookman Old Style"/>
        </w:rPr>
      </w:pPr>
      <w:r w:rsidRPr="006152DC">
        <w:rPr>
          <w:rFonts w:ascii="Bookman Old Style" w:hAnsi="Bookman Old Style" w:cs="Arial"/>
          <w:b/>
          <w:bCs/>
        </w:rPr>
        <w:t xml:space="preserve">Vigencia. </w:t>
      </w:r>
      <w:r w:rsidRPr="006152DC">
        <w:rPr>
          <w:rFonts w:ascii="Bookman Old Style" w:hAnsi="Bookman Old Style" w:cs="Arial"/>
          <w:bCs/>
        </w:rPr>
        <w:t xml:space="preserve">La presente resolución rige a partir de su publicación en el </w:t>
      </w:r>
      <w:r w:rsidRPr="006152DC">
        <w:rPr>
          <w:rFonts w:ascii="Bookman Old Style" w:hAnsi="Bookman Old Style" w:cs="Arial"/>
          <w:bCs/>
          <w:i/>
        </w:rPr>
        <w:t>Diario Oficial</w:t>
      </w:r>
      <w:r w:rsidRPr="006152DC">
        <w:rPr>
          <w:rFonts w:ascii="Bookman Old Style" w:hAnsi="Bookman Old Style" w:cs="Arial"/>
          <w:bCs/>
        </w:rPr>
        <w:t>.</w:t>
      </w:r>
    </w:p>
    <w:p w:rsidR="00045D3D" w:rsidRPr="006152DC" w:rsidRDefault="00045D3D" w:rsidP="006C25F7">
      <w:pPr>
        <w:ind w:left="0"/>
        <w:rPr>
          <w:rFonts w:ascii="Bookman Old Style" w:hAnsi="Bookman Old Style"/>
        </w:rPr>
      </w:pPr>
    </w:p>
    <w:p w:rsidR="00045D3D" w:rsidRPr="006152DC" w:rsidRDefault="00045D3D" w:rsidP="006C25F7">
      <w:pPr>
        <w:jc w:val="center"/>
        <w:rPr>
          <w:rFonts w:ascii="Bookman Old Style" w:hAnsi="Bookman Old Style"/>
          <w:b/>
        </w:rPr>
      </w:pPr>
      <w:r w:rsidRPr="006152DC">
        <w:rPr>
          <w:rFonts w:ascii="Bookman Old Style" w:hAnsi="Bookman Old Style"/>
          <w:b/>
        </w:rPr>
        <w:t>PU</w:t>
      </w:r>
      <w:r w:rsidR="00EF3119" w:rsidRPr="006152DC">
        <w:rPr>
          <w:rFonts w:ascii="Bookman Old Style" w:hAnsi="Bookman Old Style"/>
          <w:b/>
        </w:rPr>
        <w:t>B</w:t>
      </w:r>
      <w:r w:rsidRPr="006152DC">
        <w:rPr>
          <w:rFonts w:ascii="Bookman Old Style" w:hAnsi="Bookman Old Style"/>
          <w:b/>
        </w:rPr>
        <w:t>LÍQUESE Y CÚMPLASE</w:t>
      </w:r>
    </w:p>
    <w:p w:rsidR="00045D3D" w:rsidRPr="006152DC" w:rsidRDefault="00045D3D" w:rsidP="006C25F7">
      <w:pPr>
        <w:rPr>
          <w:rFonts w:ascii="Bookman Old Style" w:hAnsi="Bookman Old Style"/>
        </w:rPr>
      </w:pPr>
    </w:p>
    <w:p w:rsidR="00045D3D" w:rsidRPr="006152DC" w:rsidRDefault="00045D3D" w:rsidP="006C25F7">
      <w:pPr>
        <w:ind w:left="0"/>
        <w:rPr>
          <w:rFonts w:ascii="Bookman Old Style" w:hAnsi="Bookman Old Style"/>
        </w:rPr>
      </w:pPr>
      <w:r w:rsidRPr="006152DC">
        <w:rPr>
          <w:rFonts w:ascii="Bookman Old Style" w:hAnsi="Bookman Old Style"/>
        </w:rPr>
        <w:t>Dada en Bogotá, D.C.</w:t>
      </w:r>
    </w:p>
    <w:p w:rsidR="000775B2" w:rsidRPr="006152DC" w:rsidRDefault="000775B2" w:rsidP="006C25F7">
      <w:pPr>
        <w:rPr>
          <w:rFonts w:ascii="Bookman Old Style" w:hAnsi="Bookman Old Style" w:cs="Arial"/>
          <w:spacing w:val="-3"/>
        </w:rPr>
      </w:pPr>
    </w:p>
    <w:p w:rsidR="00755AA6" w:rsidRPr="006152DC" w:rsidRDefault="00755AA6" w:rsidP="006C25F7">
      <w:pPr>
        <w:rPr>
          <w:rFonts w:ascii="Bookman Old Style" w:hAnsi="Bookman Old Style" w:cs="Arial"/>
          <w:spacing w:val="-3"/>
        </w:rPr>
      </w:pPr>
    </w:p>
    <w:p w:rsidR="00FD6C10" w:rsidRPr="00FD6C10" w:rsidRDefault="00CA2BF7" w:rsidP="00FD6C10">
      <w:pPr>
        <w:spacing w:before="240" w:after="120"/>
        <w:ind w:left="0"/>
        <w:jc w:val="both"/>
        <w:rPr>
          <w:rFonts w:ascii="Bookman Old Style" w:hAnsi="Bookman Old Style"/>
        </w:rPr>
      </w:pPr>
      <w:r>
        <w:rPr>
          <w:rFonts w:ascii="Bookman Old Style" w:hAnsi="Bookman Old Style"/>
        </w:rPr>
        <w:t xml:space="preserve"> </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FD6C10" w:rsidRPr="00FD6C10" w:rsidTr="00AC2060">
        <w:trPr>
          <w:tblCellSpacing w:w="0" w:type="dxa"/>
        </w:trPr>
        <w:tc>
          <w:tcPr>
            <w:tcW w:w="5245" w:type="dxa"/>
            <w:shd w:val="clear" w:color="auto" w:fill="FFFFFF"/>
            <w:hideMark/>
          </w:tcPr>
          <w:p w:rsidR="00FD6C10" w:rsidRPr="00FD6C10" w:rsidRDefault="00FD6C10" w:rsidP="00FD6C10">
            <w:pPr>
              <w:ind w:left="0"/>
              <w:jc w:val="center"/>
              <w:rPr>
                <w:rFonts w:ascii="Bookman Old Style" w:hAnsi="Bookman Old Style" w:cs="Arial"/>
                <w:b/>
                <w:lang w:val="es-CO" w:eastAsia="es-CO"/>
              </w:rPr>
            </w:pPr>
            <w:r w:rsidRPr="00FD6C10">
              <w:rPr>
                <w:rFonts w:ascii="Bookman Old Style" w:hAnsi="Bookman Old Style" w:cs="Arial"/>
                <w:b/>
                <w:bCs/>
                <w:lang w:val="es-CO" w:eastAsia="es-CO"/>
              </w:rPr>
              <w:t xml:space="preserve">RUTTY PAOLA </w:t>
            </w:r>
            <w:r w:rsidRPr="00FD6C10">
              <w:rPr>
                <w:rFonts w:ascii="Bookman Old Style" w:hAnsi="Bookman Old Style"/>
                <w:b/>
              </w:rPr>
              <w:t>ORTIZ JARA</w:t>
            </w:r>
          </w:p>
        </w:tc>
        <w:tc>
          <w:tcPr>
            <w:tcW w:w="4253" w:type="dxa"/>
            <w:shd w:val="clear" w:color="auto" w:fill="FFFFFF"/>
            <w:hideMark/>
          </w:tcPr>
          <w:p w:rsidR="00FD6C10" w:rsidRPr="00FD6C10" w:rsidRDefault="00FD6C10" w:rsidP="00FD6C10">
            <w:pPr>
              <w:ind w:left="0"/>
              <w:jc w:val="center"/>
              <w:rPr>
                <w:rFonts w:ascii="Bookman Old Style" w:hAnsi="Bookman Old Style" w:cs="Arial"/>
                <w:lang w:val="es-CO" w:eastAsia="es-CO"/>
              </w:rPr>
            </w:pPr>
            <w:r w:rsidRPr="00FD6C10">
              <w:rPr>
                <w:rFonts w:ascii="Bookman Old Style" w:hAnsi="Bookman Old Style" w:cs="Arial"/>
                <w:b/>
                <w:bCs/>
                <w:lang w:val="es-CO" w:eastAsia="es-CO"/>
              </w:rPr>
              <w:t>GERMÁN CASTRO FERREIRA</w:t>
            </w:r>
          </w:p>
        </w:tc>
      </w:tr>
      <w:tr w:rsidR="00FD6C10" w:rsidRPr="00FD6C10" w:rsidTr="00AC2060">
        <w:trPr>
          <w:tblCellSpacing w:w="0" w:type="dxa"/>
        </w:trPr>
        <w:tc>
          <w:tcPr>
            <w:tcW w:w="5245" w:type="dxa"/>
            <w:shd w:val="clear" w:color="auto" w:fill="FFFFFF"/>
            <w:hideMark/>
          </w:tcPr>
          <w:p w:rsidR="00FD6C10" w:rsidRPr="00FD6C10" w:rsidRDefault="00FD6C10" w:rsidP="00FD6C10">
            <w:pPr>
              <w:ind w:left="0"/>
              <w:jc w:val="center"/>
              <w:rPr>
                <w:rFonts w:ascii="Bookman Old Style" w:hAnsi="Bookman Old Style" w:cs="Arial"/>
                <w:lang w:val="es-CO" w:eastAsia="es-CO"/>
              </w:rPr>
            </w:pPr>
            <w:r w:rsidRPr="00FD6C10">
              <w:rPr>
                <w:rFonts w:ascii="Bookman Old Style" w:hAnsi="Bookman Old Style" w:cs="Arial"/>
                <w:lang w:val="es-CO" w:eastAsia="es-CO"/>
              </w:rPr>
              <w:t>Viceministra de Energía</w:t>
            </w:r>
          </w:p>
          <w:p w:rsidR="00FD6C10" w:rsidRPr="00FD6C10" w:rsidRDefault="00FD6C10" w:rsidP="00FD6C10">
            <w:pPr>
              <w:ind w:left="0"/>
              <w:jc w:val="center"/>
              <w:rPr>
                <w:rFonts w:ascii="Bookman Old Style" w:hAnsi="Bookman Old Style" w:cs="Arial"/>
                <w:lang w:val="es-CO" w:eastAsia="es-CO"/>
              </w:rPr>
            </w:pPr>
            <w:r w:rsidRPr="00FD6C10">
              <w:rPr>
                <w:rFonts w:ascii="Bookman Old Style" w:hAnsi="Bookman Old Style" w:cs="Arial"/>
                <w:lang w:val="es-CO" w:eastAsia="es-CO"/>
              </w:rPr>
              <w:t>Delegada del Ministro de Minas y Energía</w:t>
            </w:r>
          </w:p>
        </w:tc>
        <w:tc>
          <w:tcPr>
            <w:tcW w:w="4253" w:type="dxa"/>
            <w:shd w:val="clear" w:color="auto" w:fill="FFFFFF"/>
            <w:hideMark/>
          </w:tcPr>
          <w:p w:rsidR="00FD6C10" w:rsidRPr="00FD6C10" w:rsidRDefault="00FD6C10" w:rsidP="00FD6C10">
            <w:pPr>
              <w:ind w:left="0"/>
              <w:jc w:val="center"/>
              <w:rPr>
                <w:rFonts w:ascii="Bookman Old Style" w:hAnsi="Bookman Old Style" w:cs="Arial"/>
                <w:lang w:val="es-CO" w:eastAsia="es-CO"/>
              </w:rPr>
            </w:pPr>
            <w:r w:rsidRPr="00FD6C10">
              <w:rPr>
                <w:rFonts w:ascii="Bookman Old Style" w:hAnsi="Bookman Old Style" w:cs="Arial"/>
                <w:lang w:val="es-CO" w:eastAsia="es-CO"/>
              </w:rPr>
              <w:t>Director Ejecutivo</w:t>
            </w:r>
          </w:p>
        </w:tc>
      </w:tr>
      <w:tr w:rsidR="00FD6C10" w:rsidRPr="00FD6C10" w:rsidTr="00AC2060">
        <w:trPr>
          <w:tblCellSpacing w:w="0" w:type="dxa"/>
        </w:trPr>
        <w:tc>
          <w:tcPr>
            <w:tcW w:w="5245" w:type="dxa"/>
            <w:shd w:val="clear" w:color="auto" w:fill="FFFFFF"/>
            <w:hideMark/>
          </w:tcPr>
          <w:p w:rsidR="00FD6C10" w:rsidRPr="00FD6C10" w:rsidRDefault="00FD6C10" w:rsidP="00FD6C10">
            <w:pPr>
              <w:ind w:left="0"/>
              <w:jc w:val="center"/>
              <w:rPr>
                <w:rFonts w:ascii="Bookman Old Style" w:hAnsi="Bookman Old Style" w:cs="Arial"/>
                <w:lang w:val="es-CO" w:eastAsia="es-CO"/>
              </w:rPr>
            </w:pPr>
            <w:r w:rsidRPr="00FD6C10">
              <w:rPr>
                <w:rFonts w:ascii="Bookman Old Style" w:hAnsi="Bookman Old Style" w:cs="Arial"/>
                <w:lang w:val="es-CO" w:eastAsia="es-CO"/>
              </w:rPr>
              <w:t>Presidente</w:t>
            </w:r>
          </w:p>
        </w:tc>
        <w:tc>
          <w:tcPr>
            <w:tcW w:w="4253" w:type="dxa"/>
            <w:shd w:val="clear" w:color="auto" w:fill="FFFFFF"/>
            <w:hideMark/>
          </w:tcPr>
          <w:p w:rsidR="00FD6C10" w:rsidRPr="00FD6C10" w:rsidRDefault="00FD6C10" w:rsidP="00FD6C10">
            <w:pPr>
              <w:ind w:left="0"/>
              <w:rPr>
                <w:rFonts w:ascii="Bookman Old Style" w:hAnsi="Bookman Old Style" w:cs="Arial"/>
                <w:lang w:val="es-CO" w:eastAsia="es-CO"/>
              </w:rPr>
            </w:pPr>
            <w:r w:rsidRPr="00FD6C10">
              <w:rPr>
                <w:rFonts w:ascii="Bookman Old Style" w:hAnsi="Bookman Old Style" w:cs="Arial"/>
                <w:noProof/>
                <w:lang w:val="es-CO" w:eastAsia="es-CO"/>
              </w:rPr>
              <w:drawing>
                <wp:inline distT="0" distB="0" distL="0" distR="0" wp14:anchorId="3B1AF82E" wp14:editId="14AFD1DF">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775B2" w:rsidRPr="006152DC" w:rsidRDefault="000775B2" w:rsidP="00FD6C10">
      <w:pPr>
        <w:ind w:left="0"/>
        <w:rPr>
          <w:rFonts w:ascii="Bookman Old Style" w:hAnsi="Bookman Old Style" w:cs="Arial"/>
          <w:spacing w:val="-3"/>
        </w:rPr>
      </w:pPr>
    </w:p>
    <w:sectPr w:rsidR="000775B2" w:rsidRPr="006152DC"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1FD" w:rsidRDefault="00BA21FD">
      <w:r>
        <w:separator/>
      </w:r>
    </w:p>
  </w:endnote>
  <w:endnote w:type="continuationSeparator" w:id="0">
    <w:p w:rsidR="00BA21FD" w:rsidRDefault="00BA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1FD" w:rsidRDefault="00BA21FD">
      <w:r>
        <w:separator/>
      </w:r>
    </w:p>
  </w:footnote>
  <w:footnote w:type="continuationSeparator" w:id="0">
    <w:p w:rsidR="00BA21FD" w:rsidRDefault="00BA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A23" w:rsidRDefault="00F11A23" w:rsidP="00951F79">
    <w:pPr>
      <w:pStyle w:val="Ttulo1"/>
      <w:ind w:right="6"/>
      <w:jc w:val="left"/>
      <w:rPr>
        <w:rFonts w:ascii="Bookman Old Style" w:hAnsi="Bookman Old Style" w:cs="Arial"/>
        <w:b w:val="0"/>
        <w:sz w:val="22"/>
        <w:szCs w:val="22"/>
      </w:rPr>
    </w:pPr>
  </w:p>
  <w:p w:rsidR="00F11A23" w:rsidRPr="00951F79" w:rsidRDefault="00F11A2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30C62">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A21FD">
      <w:fldChar w:fldCharType="begin"/>
    </w:r>
    <w:r w:rsidR="00BA21FD">
      <w:instrText xml:space="preserve"> NUMPAGES  \* MERGEFORMAT </w:instrText>
    </w:r>
    <w:r w:rsidR="00BA21FD">
      <w:fldChar w:fldCharType="separate"/>
    </w:r>
    <w:r w:rsidR="00430C62" w:rsidRPr="00430C62">
      <w:rPr>
        <w:rFonts w:ascii="Bookman Old Style" w:hAnsi="Bookman Old Style" w:cs="Arial"/>
        <w:b w:val="0"/>
        <w:noProof/>
        <w:sz w:val="22"/>
        <w:szCs w:val="22"/>
      </w:rPr>
      <w:t>3</w:t>
    </w:r>
    <w:r w:rsidR="00BA21FD">
      <w:rPr>
        <w:rFonts w:ascii="Bookman Old Style" w:hAnsi="Bookman Old Style" w:cs="Arial"/>
        <w:b w:val="0"/>
        <w:noProof/>
        <w:sz w:val="22"/>
        <w:szCs w:val="22"/>
      </w:rPr>
      <w:fldChar w:fldCharType="end"/>
    </w:r>
  </w:p>
  <w:p w:rsidR="00F11A23" w:rsidRDefault="00F11A2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01B9A36" wp14:editId="3DF7A86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F96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11A23" w:rsidRDefault="00C609BE" w:rsidP="008173C6">
    <w:pPr>
      <w:pBdr>
        <w:bottom w:val="single" w:sz="4" w:space="1" w:color="auto"/>
      </w:pBdr>
      <w:ind w:left="0"/>
      <w:jc w:val="both"/>
      <w:rPr>
        <w:rFonts w:ascii="Bookman Old Style" w:hAnsi="Bookman Old Style"/>
        <w:sz w:val="22"/>
        <w:szCs w:val="22"/>
      </w:rPr>
    </w:pPr>
    <w:r w:rsidRPr="006152DC">
      <w:rPr>
        <w:rFonts w:ascii="Bookman Old Style" w:hAnsi="Bookman Old Style"/>
        <w:bCs/>
        <w:lang w:val="es-CO"/>
      </w:rPr>
      <w:t>Por la cual se modific</w:t>
    </w:r>
    <w:r>
      <w:rPr>
        <w:rFonts w:ascii="Bookman Old Style" w:hAnsi="Bookman Old Style"/>
        <w:bCs/>
        <w:lang w:val="es-CO"/>
      </w:rPr>
      <w:t>an unos plazos de</w:t>
    </w:r>
    <w:r w:rsidRPr="006152DC">
      <w:rPr>
        <w:rFonts w:ascii="Bookman Old Style" w:hAnsi="Bookman Old Style"/>
        <w:bCs/>
        <w:lang w:val="es-CO"/>
      </w:rPr>
      <w:t xml:space="preserve"> la </w:t>
    </w:r>
    <w:r>
      <w:rPr>
        <w:rFonts w:ascii="Bookman Old Style" w:hAnsi="Bookman Old Style"/>
        <w:bCs/>
        <w:lang w:val="es-CO"/>
      </w:rPr>
      <w:t>R</w:t>
    </w:r>
    <w:r w:rsidRPr="006152DC">
      <w:rPr>
        <w:rFonts w:ascii="Bookman Old Style" w:hAnsi="Bookman Old Style"/>
        <w:bCs/>
        <w:lang w:val="es-CO"/>
      </w:rPr>
      <w:t>esoluci</w:t>
    </w:r>
    <w:r>
      <w:rPr>
        <w:rFonts w:ascii="Bookman Old Style" w:hAnsi="Bookman Old Style"/>
        <w:bCs/>
        <w:lang w:val="es-CO"/>
      </w:rPr>
      <w:t>ón</w:t>
    </w:r>
    <w:r w:rsidRPr="006152DC">
      <w:rPr>
        <w:rFonts w:ascii="Bookman Old Style" w:hAnsi="Bookman Old Style"/>
        <w:bCs/>
        <w:lang w:val="es-CO"/>
      </w:rPr>
      <w:t xml:space="preserve"> CREG </w:t>
    </w:r>
    <w:r>
      <w:rPr>
        <w:rFonts w:ascii="Bookman Old Style" w:hAnsi="Bookman Old Style"/>
        <w:bCs/>
        <w:lang w:val="es-CO"/>
      </w:rPr>
      <w:t>072 de</w:t>
    </w:r>
    <w:r w:rsidRPr="006152DC">
      <w:rPr>
        <w:rFonts w:ascii="Bookman Old Style" w:hAnsi="Bookman Old Style"/>
        <w:bCs/>
        <w:lang w:val="es-CO"/>
      </w:rPr>
      <w:t xml:space="preserve"> 20</w:t>
    </w:r>
    <w:r>
      <w:rPr>
        <w:rFonts w:ascii="Bookman Old Style" w:hAnsi="Bookman Old Style"/>
        <w:bCs/>
        <w:lang w:val="es-CO"/>
      </w:rPr>
      <w:t>02</w:t>
    </w:r>
  </w:p>
  <w:p w:rsidR="00F11A23" w:rsidRPr="00ED3C17" w:rsidRDefault="00F11A23" w:rsidP="008173C6">
    <w:pPr>
      <w:pBdr>
        <w:bottom w:val="single" w:sz="4" w:space="1" w:color="auto"/>
      </w:pBdr>
      <w:ind w:left="0"/>
      <w:jc w:val="both"/>
      <w:rPr>
        <w:rFonts w:ascii="Bookman Old Style" w:hAnsi="Bookman Old Style"/>
        <w:sz w:val="22"/>
        <w:szCs w:val="22"/>
      </w:rPr>
    </w:pPr>
  </w:p>
  <w:p w:rsidR="00F11A23" w:rsidRPr="00FE379E" w:rsidRDefault="00F11A23" w:rsidP="00FE379E">
    <w:pPr>
      <w:ind w:left="0"/>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A23" w:rsidRDefault="00F11A2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11A23" w:rsidRDefault="00F11A23">
    <w:pPr>
      <w:pStyle w:val="Encabezado"/>
      <w:jc w:val="center"/>
      <w:rPr>
        <w:rFonts w:ascii="Arial" w:hAnsi="Arial" w:cs="Arial"/>
        <w:spacing w:val="20"/>
        <w:sz w:val="20"/>
      </w:rPr>
    </w:pPr>
  </w:p>
  <w:p w:rsidR="00F11A23" w:rsidRDefault="00F11A2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2579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2371BF2"/>
    <w:multiLevelType w:val="multilevel"/>
    <w:tmpl w:val="B72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8942F2"/>
    <w:multiLevelType w:val="hybridMultilevel"/>
    <w:tmpl w:val="6E067D86"/>
    <w:lvl w:ilvl="0" w:tplc="3EC8117A">
      <w:start w:val="1"/>
      <w:numFmt w:val="bullet"/>
      <w:lvlText w:val=""/>
      <w:lvlJc w:val="left"/>
      <w:pPr>
        <w:ind w:left="1068" w:hanging="360"/>
      </w:pPr>
      <w:rPr>
        <w:rFonts w:ascii="Symbol" w:hAnsi="Symbol" w:hint="default"/>
      </w:rPr>
    </w:lvl>
    <w:lvl w:ilvl="1" w:tplc="0C0A0019">
      <w:start w:val="1"/>
      <w:numFmt w:val="bullet"/>
      <w:lvlText w:val="o"/>
      <w:lvlJc w:val="left"/>
      <w:pPr>
        <w:ind w:left="1788" w:hanging="360"/>
      </w:pPr>
      <w:rPr>
        <w:rFonts w:ascii="Courier New" w:hAnsi="Courier New" w:cs="Courier New" w:hint="default"/>
      </w:rPr>
    </w:lvl>
    <w:lvl w:ilvl="2" w:tplc="0C0A001B" w:tentative="1">
      <w:start w:val="1"/>
      <w:numFmt w:val="bullet"/>
      <w:lvlText w:val=""/>
      <w:lvlJc w:val="left"/>
      <w:pPr>
        <w:ind w:left="2508" w:hanging="360"/>
      </w:pPr>
      <w:rPr>
        <w:rFonts w:ascii="Wingdings" w:hAnsi="Wingdings" w:hint="default"/>
      </w:rPr>
    </w:lvl>
    <w:lvl w:ilvl="3" w:tplc="0C0A000F" w:tentative="1">
      <w:start w:val="1"/>
      <w:numFmt w:val="bullet"/>
      <w:lvlText w:val=""/>
      <w:lvlJc w:val="left"/>
      <w:pPr>
        <w:ind w:left="3228" w:hanging="360"/>
      </w:pPr>
      <w:rPr>
        <w:rFonts w:ascii="Symbol" w:hAnsi="Symbol" w:hint="default"/>
      </w:rPr>
    </w:lvl>
    <w:lvl w:ilvl="4" w:tplc="0C0A0019" w:tentative="1">
      <w:start w:val="1"/>
      <w:numFmt w:val="bullet"/>
      <w:lvlText w:val="o"/>
      <w:lvlJc w:val="left"/>
      <w:pPr>
        <w:ind w:left="3948" w:hanging="360"/>
      </w:pPr>
      <w:rPr>
        <w:rFonts w:ascii="Courier New" w:hAnsi="Courier New" w:cs="Courier New" w:hint="default"/>
      </w:rPr>
    </w:lvl>
    <w:lvl w:ilvl="5" w:tplc="0C0A001B" w:tentative="1">
      <w:start w:val="1"/>
      <w:numFmt w:val="bullet"/>
      <w:lvlText w:val=""/>
      <w:lvlJc w:val="left"/>
      <w:pPr>
        <w:ind w:left="4668" w:hanging="360"/>
      </w:pPr>
      <w:rPr>
        <w:rFonts w:ascii="Wingdings" w:hAnsi="Wingdings" w:hint="default"/>
      </w:rPr>
    </w:lvl>
    <w:lvl w:ilvl="6" w:tplc="0C0A000F" w:tentative="1">
      <w:start w:val="1"/>
      <w:numFmt w:val="bullet"/>
      <w:lvlText w:val=""/>
      <w:lvlJc w:val="left"/>
      <w:pPr>
        <w:ind w:left="5388" w:hanging="360"/>
      </w:pPr>
      <w:rPr>
        <w:rFonts w:ascii="Symbol" w:hAnsi="Symbol" w:hint="default"/>
      </w:rPr>
    </w:lvl>
    <w:lvl w:ilvl="7" w:tplc="0C0A0019" w:tentative="1">
      <w:start w:val="1"/>
      <w:numFmt w:val="bullet"/>
      <w:lvlText w:val="o"/>
      <w:lvlJc w:val="left"/>
      <w:pPr>
        <w:ind w:left="6108" w:hanging="360"/>
      </w:pPr>
      <w:rPr>
        <w:rFonts w:ascii="Courier New" w:hAnsi="Courier New" w:cs="Courier New" w:hint="default"/>
      </w:rPr>
    </w:lvl>
    <w:lvl w:ilvl="8" w:tplc="0C0A001B" w:tentative="1">
      <w:start w:val="1"/>
      <w:numFmt w:val="bullet"/>
      <w:lvlText w:val=""/>
      <w:lvlJc w:val="left"/>
      <w:pPr>
        <w:ind w:left="6828" w:hanging="360"/>
      </w:pPr>
      <w:rPr>
        <w:rFonts w:ascii="Wingdings" w:hAnsi="Wingdings" w:hint="default"/>
      </w:r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2"/>
  </w:num>
  <w:num w:numId="4">
    <w:abstractNumId w:val="6"/>
  </w:num>
  <w:num w:numId="5">
    <w:abstractNumId w:val="16"/>
  </w:num>
  <w:num w:numId="6">
    <w:abstractNumId w:val="4"/>
  </w:num>
  <w:num w:numId="7">
    <w:abstractNumId w:val="3"/>
  </w:num>
  <w:num w:numId="8">
    <w:abstractNumId w:val="18"/>
  </w:num>
  <w:num w:numId="9">
    <w:abstractNumId w:val="17"/>
  </w:num>
  <w:num w:numId="10">
    <w:abstractNumId w:val="13"/>
  </w:num>
  <w:num w:numId="11">
    <w:abstractNumId w:val="23"/>
  </w:num>
  <w:num w:numId="12">
    <w:abstractNumId w:val="20"/>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19"/>
  </w:num>
  <w:num w:numId="20">
    <w:abstractNumId w:val="15"/>
  </w:num>
  <w:num w:numId="21">
    <w:abstractNumId w:val="7"/>
  </w:num>
  <w:num w:numId="22">
    <w:abstractNumId w:val="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3C00"/>
    <w:rsid w:val="00045D3D"/>
    <w:rsid w:val="00063657"/>
    <w:rsid w:val="00076680"/>
    <w:rsid w:val="00076A1D"/>
    <w:rsid w:val="000775B2"/>
    <w:rsid w:val="0008073E"/>
    <w:rsid w:val="00091CDB"/>
    <w:rsid w:val="000A19AC"/>
    <w:rsid w:val="000B2EC9"/>
    <w:rsid w:val="000C67C7"/>
    <w:rsid w:val="000D26F8"/>
    <w:rsid w:val="001033DF"/>
    <w:rsid w:val="001348F2"/>
    <w:rsid w:val="0013526C"/>
    <w:rsid w:val="001405C6"/>
    <w:rsid w:val="00141013"/>
    <w:rsid w:val="00141465"/>
    <w:rsid w:val="001517C2"/>
    <w:rsid w:val="00192CBF"/>
    <w:rsid w:val="00192FF1"/>
    <w:rsid w:val="001A2AC5"/>
    <w:rsid w:val="001A5F1B"/>
    <w:rsid w:val="001B1C22"/>
    <w:rsid w:val="001B34C6"/>
    <w:rsid w:val="001D7832"/>
    <w:rsid w:val="001E4CAB"/>
    <w:rsid w:val="00207984"/>
    <w:rsid w:val="00210DC1"/>
    <w:rsid w:val="00211D34"/>
    <w:rsid w:val="0021445A"/>
    <w:rsid w:val="00214F04"/>
    <w:rsid w:val="002165D5"/>
    <w:rsid w:val="0022405B"/>
    <w:rsid w:val="00230152"/>
    <w:rsid w:val="002378F2"/>
    <w:rsid w:val="00237D77"/>
    <w:rsid w:val="002577F7"/>
    <w:rsid w:val="00261029"/>
    <w:rsid w:val="00265AFC"/>
    <w:rsid w:val="00266CD6"/>
    <w:rsid w:val="00275DAB"/>
    <w:rsid w:val="002763CF"/>
    <w:rsid w:val="002771CE"/>
    <w:rsid w:val="0028111D"/>
    <w:rsid w:val="002A4DEE"/>
    <w:rsid w:val="002A782A"/>
    <w:rsid w:val="002B11E2"/>
    <w:rsid w:val="002B1728"/>
    <w:rsid w:val="002B24B8"/>
    <w:rsid w:val="002B5AAF"/>
    <w:rsid w:val="002D3AE9"/>
    <w:rsid w:val="002D4510"/>
    <w:rsid w:val="002F0734"/>
    <w:rsid w:val="002F0BFE"/>
    <w:rsid w:val="002F46E7"/>
    <w:rsid w:val="003101DA"/>
    <w:rsid w:val="00314757"/>
    <w:rsid w:val="003163BC"/>
    <w:rsid w:val="003211CE"/>
    <w:rsid w:val="00342FE5"/>
    <w:rsid w:val="0035403A"/>
    <w:rsid w:val="003551ED"/>
    <w:rsid w:val="00357253"/>
    <w:rsid w:val="0036394B"/>
    <w:rsid w:val="00366DB6"/>
    <w:rsid w:val="003709B5"/>
    <w:rsid w:val="003759C2"/>
    <w:rsid w:val="00397365"/>
    <w:rsid w:val="003A1D61"/>
    <w:rsid w:val="003A31F6"/>
    <w:rsid w:val="003A634D"/>
    <w:rsid w:val="003C3447"/>
    <w:rsid w:val="003D05DF"/>
    <w:rsid w:val="003D076C"/>
    <w:rsid w:val="003D479B"/>
    <w:rsid w:val="003E78B5"/>
    <w:rsid w:val="003F3FF6"/>
    <w:rsid w:val="00407F37"/>
    <w:rsid w:val="00414018"/>
    <w:rsid w:val="0041473D"/>
    <w:rsid w:val="00414F4D"/>
    <w:rsid w:val="00415BAB"/>
    <w:rsid w:val="00415ED2"/>
    <w:rsid w:val="0042068C"/>
    <w:rsid w:val="00430C62"/>
    <w:rsid w:val="0043263C"/>
    <w:rsid w:val="0044318E"/>
    <w:rsid w:val="00443B35"/>
    <w:rsid w:val="00446747"/>
    <w:rsid w:val="00446B59"/>
    <w:rsid w:val="00457E87"/>
    <w:rsid w:val="0047122B"/>
    <w:rsid w:val="00473B7A"/>
    <w:rsid w:val="004744AB"/>
    <w:rsid w:val="00494AB8"/>
    <w:rsid w:val="004960E9"/>
    <w:rsid w:val="004A2E88"/>
    <w:rsid w:val="004A5305"/>
    <w:rsid w:val="004D7634"/>
    <w:rsid w:val="004E611A"/>
    <w:rsid w:val="00505457"/>
    <w:rsid w:val="00517234"/>
    <w:rsid w:val="005300D3"/>
    <w:rsid w:val="00544F82"/>
    <w:rsid w:val="005509D2"/>
    <w:rsid w:val="00567CC7"/>
    <w:rsid w:val="00593C4F"/>
    <w:rsid w:val="005946A8"/>
    <w:rsid w:val="005A2334"/>
    <w:rsid w:val="005A4407"/>
    <w:rsid w:val="005A59EF"/>
    <w:rsid w:val="005A5C92"/>
    <w:rsid w:val="005B1C7E"/>
    <w:rsid w:val="005C6976"/>
    <w:rsid w:val="005F6F41"/>
    <w:rsid w:val="00611EBA"/>
    <w:rsid w:val="006147C5"/>
    <w:rsid w:val="006152DC"/>
    <w:rsid w:val="0062508D"/>
    <w:rsid w:val="00625DC6"/>
    <w:rsid w:val="0064391D"/>
    <w:rsid w:val="00651821"/>
    <w:rsid w:val="00654384"/>
    <w:rsid w:val="006675CD"/>
    <w:rsid w:val="00681887"/>
    <w:rsid w:val="00684D9B"/>
    <w:rsid w:val="0068510A"/>
    <w:rsid w:val="00697556"/>
    <w:rsid w:val="006A779A"/>
    <w:rsid w:val="006B4647"/>
    <w:rsid w:val="006B4C2B"/>
    <w:rsid w:val="006B6194"/>
    <w:rsid w:val="006B6D47"/>
    <w:rsid w:val="006C0E61"/>
    <w:rsid w:val="006C25F7"/>
    <w:rsid w:val="006C5AFE"/>
    <w:rsid w:val="006F4CC9"/>
    <w:rsid w:val="006F6D95"/>
    <w:rsid w:val="00701028"/>
    <w:rsid w:val="00706F13"/>
    <w:rsid w:val="007072E8"/>
    <w:rsid w:val="00715AD9"/>
    <w:rsid w:val="0071618D"/>
    <w:rsid w:val="00725FA4"/>
    <w:rsid w:val="00740446"/>
    <w:rsid w:val="00741CAF"/>
    <w:rsid w:val="00742B15"/>
    <w:rsid w:val="007438A9"/>
    <w:rsid w:val="0074491E"/>
    <w:rsid w:val="00745C4D"/>
    <w:rsid w:val="0075228B"/>
    <w:rsid w:val="00755AA6"/>
    <w:rsid w:val="00761833"/>
    <w:rsid w:val="0076247A"/>
    <w:rsid w:val="007667ED"/>
    <w:rsid w:val="00775964"/>
    <w:rsid w:val="007765FE"/>
    <w:rsid w:val="00794E2E"/>
    <w:rsid w:val="00795BFB"/>
    <w:rsid w:val="007B107B"/>
    <w:rsid w:val="007B2760"/>
    <w:rsid w:val="007E5F56"/>
    <w:rsid w:val="00806C01"/>
    <w:rsid w:val="008111A5"/>
    <w:rsid w:val="008148CC"/>
    <w:rsid w:val="008173C6"/>
    <w:rsid w:val="008211A4"/>
    <w:rsid w:val="00865E97"/>
    <w:rsid w:val="00873150"/>
    <w:rsid w:val="00873F56"/>
    <w:rsid w:val="0087657D"/>
    <w:rsid w:val="008807D5"/>
    <w:rsid w:val="00880832"/>
    <w:rsid w:val="008822AB"/>
    <w:rsid w:val="00886EE1"/>
    <w:rsid w:val="0088727D"/>
    <w:rsid w:val="00887DF3"/>
    <w:rsid w:val="00897C75"/>
    <w:rsid w:val="008C1130"/>
    <w:rsid w:val="008D18E6"/>
    <w:rsid w:val="008D7A9B"/>
    <w:rsid w:val="008E0060"/>
    <w:rsid w:val="008E7091"/>
    <w:rsid w:val="008E76AC"/>
    <w:rsid w:val="008F1564"/>
    <w:rsid w:val="008F21F6"/>
    <w:rsid w:val="00907D18"/>
    <w:rsid w:val="00946AA8"/>
    <w:rsid w:val="00951F79"/>
    <w:rsid w:val="009708FC"/>
    <w:rsid w:val="009736BD"/>
    <w:rsid w:val="00974AB5"/>
    <w:rsid w:val="0098706D"/>
    <w:rsid w:val="00990F89"/>
    <w:rsid w:val="009935FB"/>
    <w:rsid w:val="009C3BEE"/>
    <w:rsid w:val="009F4A54"/>
    <w:rsid w:val="009F4BEC"/>
    <w:rsid w:val="009F5874"/>
    <w:rsid w:val="00A25FD7"/>
    <w:rsid w:val="00A36E28"/>
    <w:rsid w:val="00A43AFF"/>
    <w:rsid w:val="00A67845"/>
    <w:rsid w:val="00A73D01"/>
    <w:rsid w:val="00A7793A"/>
    <w:rsid w:val="00AA4CC7"/>
    <w:rsid w:val="00AA5E8E"/>
    <w:rsid w:val="00AB118B"/>
    <w:rsid w:val="00AB50E7"/>
    <w:rsid w:val="00AB6CA7"/>
    <w:rsid w:val="00AC0457"/>
    <w:rsid w:val="00AD01E4"/>
    <w:rsid w:val="00AD0858"/>
    <w:rsid w:val="00AD0DF1"/>
    <w:rsid w:val="00AE592F"/>
    <w:rsid w:val="00AE7340"/>
    <w:rsid w:val="00AF1BBD"/>
    <w:rsid w:val="00B01F86"/>
    <w:rsid w:val="00B10207"/>
    <w:rsid w:val="00B141E7"/>
    <w:rsid w:val="00B14219"/>
    <w:rsid w:val="00B306F3"/>
    <w:rsid w:val="00B351B4"/>
    <w:rsid w:val="00B46BCA"/>
    <w:rsid w:val="00B478AA"/>
    <w:rsid w:val="00B57BCB"/>
    <w:rsid w:val="00B62C4E"/>
    <w:rsid w:val="00B70245"/>
    <w:rsid w:val="00B812B1"/>
    <w:rsid w:val="00B87806"/>
    <w:rsid w:val="00B87EC9"/>
    <w:rsid w:val="00B95AAE"/>
    <w:rsid w:val="00B97512"/>
    <w:rsid w:val="00BA21FD"/>
    <w:rsid w:val="00BC38FD"/>
    <w:rsid w:val="00C01E88"/>
    <w:rsid w:val="00C034CB"/>
    <w:rsid w:val="00C051A8"/>
    <w:rsid w:val="00C054BC"/>
    <w:rsid w:val="00C11E90"/>
    <w:rsid w:val="00C17897"/>
    <w:rsid w:val="00C34631"/>
    <w:rsid w:val="00C409D5"/>
    <w:rsid w:val="00C435C3"/>
    <w:rsid w:val="00C609BE"/>
    <w:rsid w:val="00C6234B"/>
    <w:rsid w:val="00C63EAE"/>
    <w:rsid w:val="00C73260"/>
    <w:rsid w:val="00C7629F"/>
    <w:rsid w:val="00C77252"/>
    <w:rsid w:val="00C8661B"/>
    <w:rsid w:val="00CA139A"/>
    <w:rsid w:val="00CA2899"/>
    <w:rsid w:val="00CA2BF7"/>
    <w:rsid w:val="00CA3A3D"/>
    <w:rsid w:val="00CA77FB"/>
    <w:rsid w:val="00CB13E8"/>
    <w:rsid w:val="00CB379B"/>
    <w:rsid w:val="00CB5DD0"/>
    <w:rsid w:val="00CC51D4"/>
    <w:rsid w:val="00CC65DA"/>
    <w:rsid w:val="00CE5234"/>
    <w:rsid w:val="00CF21B9"/>
    <w:rsid w:val="00CF6BF9"/>
    <w:rsid w:val="00D03800"/>
    <w:rsid w:val="00D04BE0"/>
    <w:rsid w:val="00D065D3"/>
    <w:rsid w:val="00D14C94"/>
    <w:rsid w:val="00D342A6"/>
    <w:rsid w:val="00D378FA"/>
    <w:rsid w:val="00D45CA6"/>
    <w:rsid w:val="00D464BF"/>
    <w:rsid w:val="00D50787"/>
    <w:rsid w:val="00D53905"/>
    <w:rsid w:val="00D53E26"/>
    <w:rsid w:val="00D57098"/>
    <w:rsid w:val="00D63236"/>
    <w:rsid w:val="00D67054"/>
    <w:rsid w:val="00DA2625"/>
    <w:rsid w:val="00DA35C8"/>
    <w:rsid w:val="00DD4F0E"/>
    <w:rsid w:val="00DD7009"/>
    <w:rsid w:val="00DE6795"/>
    <w:rsid w:val="00DF0BF0"/>
    <w:rsid w:val="00DF3CA2"/>
    <w:rsid w:val="00E01463"/>
    <w:rsid w:val="00E05E0A"/>
    <w:rsid w:val="00E060BE"/>
    <w:rsid w:val="00E17B3E"/>
    <w:rsid w:val="00E262FE"/>
    <w:rsid w:val="00E42760"/>
    <w:rsid w:val="00E534CF"/>
    <w:rsid w:val="00E54828"/>
    <w:rsid w:val="00E65519"/>
    <w:rsid w:val="00E81CB4"/>
    <w:rsid w:val="00E82325"/>
    <w:rsid w:val="00E8585B"/>
    <w:rsid w:val="00EA3F15"/>
    <w:rsid w:val="00EA7847"/>
    <w:rsid w:val="00EB4C2F"/>
    <w:rsid w:val="00ED3B11"/>
    <w:rsid w:val="00ED3B73"/>
    <w:rsid w:val="00ED3C17"/>
    <w:rsid w:val="00EE2E6E"/>
    <w:rsid w:val="00EF3119"/>
    <w:rsid w:val="00F03B56"/>
    <w:rsid w:val="00F0759E"/>
    <w:rsid w:val="00F11A23"/>
    <w:rsid w:val="00F16A43"/>
    <w:rsid w:val="00F17129"/>
    <w:rsid w:val="00F46780"/>
    <w:rsid w:val="00F821A3"/>
    <w:rsid w:val="00F85926"/>
    <w:rsid w:val="00F9314A"/>
    <w:rsid w:val="00F940B2"/>
    <w:rsid w:val="00FC58EF"/>
    <w:rsid w:val="00FD33DF"/>
    <w:rsid w:val="00FD6C10"/>
    <w:rsid w:val="00FE0B05"/>
    <w:rsid w:val="00FE379E"/>
    <w:rsid w:val="00FE39D7"/>
    <w:rsid w:val="00FE6C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403009-56F3-4B71-82B6-D69E4E5A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comentario">
    <w:name w:val="annotation reference"/>
    <w:basedOn w:val="Fuentedeprrafopredeter"/>
    <w:uiPriority w:val="99"/>
    <w:semiHidden/>
    <w:unhideWhenUsed/>
    <w:rsid w:val="001E4CAB"/>
    <w:rPr>
      <w:sz w:val="16"/>
      <w:szCs w:val="16"/>
    </w:rPr>
  </w:style>
  <w:style w:type="paragraph" w:styleId="Textocomentario">
    <w:name w:val="annotation text"/>
    <w:basedOn w:val="Normal"/>
    <w:link w:val="TextocomentarioCar"/>
    <w:uiPriority w:val="99"/>
    <w:unhideWhenUsed/>
    <w:rsid w:val="001E4CAB"/>
    <w:rPr>
      <w:sz w:val="20"/>
      <w:szCs w:val="20"/>
    </w:rPr>
  </w:style>
  <w:style w:type="character" w:customStyle="1" w:styleId="TextocomentarioCar">
    <w:name w:val="Texto comentario Car"/>
    <w:basedOn w:val="Fuentedeprrafopredeter"/>
    <w:link w:val="Textocomentario"/>
    <w:uiPriority w:val="99"/>
    <w:rsid w:val="001E4CAB"/>
    <w:rPr>
      <w:lang w:val="es-ES" w:eastAsia="es-ES"/>
    </w:rPr>
  </w:style>
  <w:style w:type="paragraph" w:styleId="Revisin">
    <w:name w:val="Revision"/>
    <w:hidden/>
    <w:uiPriority w:val="99"/>
    <w:semiHidden/>
    <w:rsid w:val="000775B2"/>
    <w:rPr>
      <w:sz w:val="24"/>
      <w:szCs w:val="24"/>
      <w:lang w:val="es-ES" w:eastAsia="es-ES"/>
    </w:rPr>
  </w:style>
  <w:style w:type="character" w:styleId="Hipervnculo">
    <w:name w:val="Hyperlink"/>
    <w:basedOn w:val="Fuentedeprrafopredeter"/>
    <w:uiPriority w:val="99"/>
    <w:unhideWhenUsed/>
    <w:rsid w:val="006C25F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6F4CC9"/>
    <w:rPr>
      <w:b/>
      <w:bCs/>
    </w:rPr>
  </w:style>
  <w:style w:type="character" w:customStyle="1" w:styleId="AsuntodelcomentarioCar">
    <w:name w:val="Asunto del comentario Car"/>
    <w:basedOn w:val="TextocomentarioCar"/>
    <w:link w:val="Asuntodelcomentario"/>
    <w:uiPriority w:val="99"/>
    <w:semiHidden/>
    <w:rsid w:val="006F4CC9"/>
    <w:rPr>
      <w:b/>
      <w:bCs/>
      <w:lang w:val="es-ES" w:eastAsia="es-ES"/>
    </w:rPr>
  </w:style>
  <w:style w:type="paragraph" w:styleId="NormalWeb">
    <w:name w:val="Normal (Web)"/>
    <w:basedOn w:val="Normal"/>
    <w:uiPriority w:val="99"/>
    <w:semiHidden/>
    <w:unhideWhenUsed/>
    <w:rsid w:val="00230152"/>
    <w:pPr>
      <w:spacing w:before="100" w:beforeAutospacing="1" w:after="100" w:afterAutospacing="1"/>
      <w:ind w:left="0"/>
    </w:pPr>
    <w:rPr>
      <w:color w:val="000000"/>
      <w:lang w:val="es-CO" w:eastAsia="es-CO"/>
    </w:rPr>
  </w:style>
  <w:style w:type="paragraph" w:customStyle="1" w:styleId="Citas">
    <w:name w:val="Citas"/>
    <w:basedOn w:val="Normal"/>
    <w:next w:val="Normal"/>
    <w:rsid w:val="006152DC"/>
    <w:pPr>
      <w:ind w:left="708" w:right="476"/>
      <w:jc w:val="both"/>
    </w:pPr>
    <w:rPr>
      <w:i/>
      <w:iCs/>
      <w:szCs w:val="20"/>
      <w:lang w:val="es-ES_tradnl"/>
    </w:rPr>
  </w:style>
  <w:style w:type="paragraph" w:styleId="Textosinformato">
    <w:name w:val="Plain Text"/>
    <w:basedOn w:val="Normal"/>
    <w:link w:val="TextosinformatoCar"/>
    <w:semiHidden/>
    <w:rsid w:val="006152DC"/>
    <w:pPr>
      <w:ind w:left="0"/>
      <w:jc w:val="both"/>
    </w:pPr>
    <w:rPr>
      <w:rFonts w:ascii="Arial" w:hAnsi="Arial" w:cs="Arial"/>
      <w:spacing w:val="-3"/>
      <w:sz w:val="20"/>
      <w:szCs w:val="20"/>
    </w:rPr>
  </w:style>
  <w:style w:type="character" w:customStyle="1" w:styleId="TextosinformatoCar">
    <w:name w:val="Texto sin formato Car"/>
    <w:basedOn w:val="Fuentedeprrafopredeter"/>
    <w:link w:val="Textosinformato"/>
    <w:semiHidden/>
    <w:rsid w:val="006152DC"/>
    <w:rPr>
      <w:rFonts w:ascii="Arial" w:hAnsi="Arial" w:cs="Arial"/>
      <w:spacing w:val="-3"/>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7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4374-0675-4460-9B6E-ACC15ED3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1095</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Diana Patino</cp:lastModifiedBy>
  <cp:revision>2</cp:revision>
  <cp:lastPrinted>2016-04-08T13:38:00Z</cp:lastPrinted>
  <dcterms:created xsi:type="dcterms:W3CDTF">2017-01-06T21:40:00Z</dcterms:created>
  <dcterms:modified xsi:type="dcterms:W3CDTF">2017-01-06T21:40:00Z</dcterms:modified>
</cp:coreProperties>
</file>