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A36F31"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8231"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Default="00D126E3" w:rsidP="00D126E3">
      <w:pPr>
        <w:tabs>
          <w:tab w:val="right" w:pos="9498"/>
        </w:tabs>
        <w:ind w:left="0" w:right="-142"/>
        <w:rPr>
          <w:rFonts w:ascii="Bookman Old Style" w:hAnsi="Bookman Old Style"/>
          <w:bCs/>
          <w:sz w:val="22"/>
          <w:lang w:val="es-CO"/>
        </w:rPr>
      </w:pPr>
    </w:p>
    <w:p w:rsidR="003E628D" w:rsidRDefault="003E628D" w:rsidP="00D126E3">
      <w:pPr>
        <w:tabs>
          <w:tab w:val="right" w:pos="9498"/>
        </w:tabs>
        <w:ind w:left="0" w:right="-142"/>
        <w:rPr>
          <w:rFonts w:ascii="Bookman Old Style" w:hAnsi="Bookman Old Style"/>
          <w:bCs/>
          <w:sz w:val="22"/>
          <w:lang w:val="es-CO"/>
        </w:rPr>
      </w:pPr>
    </w:p>
    <w:p w:rsidR="00376390" w:rsidRPr="007507BF" w:rsidRDefault="00376390"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603DD8">
        <w:rPr>
          <w:rFonts w:ascii="Bookman Old Style" w:hAnsi="Bookman Old Style"/>
          <w:bCs/>
          <w:lang w:val="es-CO"/>
        </w:rPr>
        <w:t>Chilco Distribuidora de Gas y Energía S.A.S</w:t>
      </w:r>
      <w:r w:rsidR="00A00879">
        <w:rPr>
          <w:rFonts w:ascii="Bookman Old Style" w:hAnsi="Bookman Old Style"/>
          <w:bCs/>
          <w:lang w:val="es-CO"/>
        </w:rPr>
        <w:t>. E.S.P.</w:t>
      </w:r>
      <w:r w:rsidR="00970C82">
        <w:rPr>
          <w:rFonts w:ascii="Bookman Old Style" w:hAnsi="Bookman Old Style"/>
          <w:bCs/>
          <w:lang w:val="es-CO"/>
        </w:rPr>
        <w:t xml:space="preserve"> </w:t>
      </w:r>
      <w:r w:rsidRPr="00D7035A">
        <w:rPr>
          <w:rFonts w:ascii="Bookman Old Style" w:hAnsi="Bookman Old Style"/>
          <w:bCs/>
          <w:lang w:val="es-CO"/>
        </w:rPr>
        <w:t xml:space="preserve">contra la Resolución CREG </w:t>
      </w:r>
      <w:r w:rsidR="00C11DE1">
        <w:rPr>
          <w:rFonts w:ascii="Bookman Old Style" w:hAnsi="Bookman Old Style"/>
          <w:bCs/>
          <w:lang w:val="es-CO"/>
        </w:rPr>
        <w:t>075</w:t>
      </w:r>
      <w:r w:rsidR="00EC3BB2">
        <w:rPr>
          <w:rFonts w:ascii="Bookman Old Style" w:hAnsi="Bookman Old Style"/>
          <w:bCs/>
          <w:lang w:val="es-CO"/>
        </w:rPr>
        <w:t xml:space="preserve"> de 2016</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Default="00D126E3" w:rsidP="00067308">
      <w:pPr>
        <w:ind w:left="0"/>
        <w:rPr>
          <w:rFonts w:ascii="Bookman Old Style" w:hAnsi="Bookman Old Style"/>
          <w:bCs/>
          <w:sz w:val="22"/>
          <w:lang w:val="es-CO"/>
        </w:rPr>
      </w:pPr>
    </w:p>
    <w:p w:rsidR="003E628D" w:rsidRPr="003234E2" w:rsidRDefault="003E628D"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D126E3" w:rsidRDefault="00D126E3" w:rsidP="00D126E3">
      <w:pPr>
        <w:tabs>
          <w:tab w:val="right" w:pos="9498"/>
        </w:tabs>
        <w:ind w:left="0" w:right="-142"/>
        <w:jc w:val="both"/>
        <w:rPr>
          <w:rFonts w:ascii="Bookman Old Style" w:hAnsi="Bookman Old Style" w:cs="Arial"/>
          <w:sz w:val="22"/>
        </w:rPr>
      </w:pPr>
    </w:p>
    <w:p w:rsidR="00BA698C" w:rsidRPr="003234E2" w:rsidRDefault="00BA698C" w:rsidP="00D126E3">
      <w:pPr>
        <w:tabs>
          <w:tab w:val="right" w:pos="9498"/>
        </w:tabs>
        <w:ind w:left="0" w:right="-142"/>
        <w:jc w:val="both"/>
        <w:rPr>
          <w:rFonts w:ascii="Bookman Old Style" w:hAnsi="Bookman Old Style" w:cs="Arial"/>
          <w:sz w:val="22"/>
        </w:rPr>
      </w:pPr>
    </w:p>
    <w:p w:rsidR="00D126E3" w:rsidRPr="00BA698C" w:rsidRDefault="00D126E3" w:rsidP="00BA698C">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00BA698C">
        <w:rPr>
          <w:rFonts w:ascii="Bookman Old Style" w:hAnsi="Bookman Old Style" w:cs="Arial"/>
          <w:b/>
        </w:rPr>
        <w:t>:</w:t>
      </w:r>
    </w:p>
    <w:p w:rsidR="00D126E3" w:rsidRDefault="00D126E3" w:rsidP="003E628D">
      <w:pPr>
        <w:tabs>
          <w:tab w:val="right" w:pos="9498"/>
        </w:tabs>
        <w:ind w:left="0" w:right="-142"/>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lastRenderedPageBreak/>
        <w:t>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00905448">
        <w:rPr>
          <w:rFonts w:ascii="Bookman Old Style" w:hAnsi="Bookman Old Style" w:cs="Arial"/>
          <w:b/>
          <w:noProof/>
          <w:sz w:val="22"/>
          <w:szCs w:val="22"/>
        </w:rPr>
        <w:t>1</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7A4361" w:rsidRDefault="007A4361"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376390" w:rsidRDefault="00376390" w:rsidP="00EC3BB2">
      <w:pPr>
        <w:rPr>
          <w:rFonts w:ascii="Bookman Old Style" w:hAnsi="Bookman Old Style"/>
          <w:sz w:val="22"/>
          <w:szCs w:val="22"/>
        </w:rPr>
      </w:pPr>
    </w:p>
    <w:p w:rsidR="00EC3BB2" w:rsidRPr="00EC3BB2" w:rsidRDefault="00EC3BB2" w:rsidP="00EC3BB2">
      <w:pPr>
        <w:rPr>
          <w:rFonts w:ascii="Bookman Old Style" w:hAnsi="Bookman Old Style"/>
          <w:sz w:val="22"/>
          <w:szCs w:val="22"/>
        </w:rPr>
      </w:pPr>
      <w:proofErr w:type="gramStart"/>
      <w:r w:rsidRPr="00EC3BB2">
        <w:rPr>
          <w:rFonts w:ascii="Bookman Old Style" w:hAnsi="Bookman Old Style"/>
          <w:sz w:val="22"/>
          <w:szCs w:val="22"/>
        </w:rPr>
        <w:t>donde</w:t>
      </w:r>
      <w:proofErr w:type="gramEnd"/>
      <w:r w:rsidRPr="00EC3BB2">
        <w:rPr>
          <w:rFonts w:ascii="Bookman Old Style" w:hAnsi="Bookman Old Style"/>
          <w:sz w:val="22"/>
          <w:szCs w:val="22"/>
        </w:rPr>
        <w:t>,</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7A4361"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A36F31"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A36F31"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A36F31"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7A4361"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7A4361"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7A4361" w:rsidRDefault="00A36F31"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A36F31"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A36F31"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7A4361"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7A4361"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7A4361" w:rsidRDefault="007A4361"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376390" w:rsidRDefault="00376390" w:rsidP="00EC3BB2">
      <w:pPr>
        <w:ind w:left="709" w:firstLine="566"/>
        <w:jc w:val="both"/>
        <w:rPr>
          <w:rFonts w:ascii="Bookman Old Style" w:hAnsi="Bookman Old Style"/>
          <w:sz w:val="22"/>
          <w:szCs w:val="22"/>
        </w:rPr>
      </w:pPr>
    </w:p>
    <w:p w:rsidR="00376390" w:rsidRDefault="00376390" w:rsidP="00EC3BB2">
      <w:pPr>
        <w:ind w:left="709" w:firstLine="566"/>
        <w:jc w:val="both"/>
        <w:rPr>
          <w:rFonts w:ascii="Bookman Old Style" w:hAnsi="Bookman Old Style"/>
          <w:sz w:val="22"/>
          <w:szCs w:val="22"/>
        </w:rPr>
      </w:pPr>
    </w:p>
    <w:p w:rsidR="00EC3BB2" w:rsidRPr="00EC3BB2" w:rsidRDefault="00EC3BB2" w:rsidP="00EC3BB2">
      <w:pPr>
        <w:ind w:left="709" w:firstLine="566"/>
        <w:jc w:val="both"/>
        <w:rPr>
          <w:rFonts w:ascii="Bookman Old Style" w:hAnsi="Bookman Old Style"/>
          <w:sz w:val="22"/>
          <w:szCs w:val="22"/>
        </w:rPr>
      </w:pPr>
      <w:proofErr w:type="gramStart"/>
      <w:r w:rsidRPr="00EC3BB2">
        <w:rPr>
          <w:rFonts w:ascii="Bookman Old Style" w:hAnsi="Bookman Old Style"/>
          <w:sz w:val="22"/>
          <w:szCs w:val="22"/>
        </w:rPr>
        <w:lastRenderedPageBreak/>
        <w:t>donde</w:t>
      </w:r>
      <w:proofErr w:type="gramEnd"/>
      <w:r w:rsidRPr="00EC3BB2">
        <w:rPr>
          <w:rFonts w:ascii="Bookman Old Style" w:hAnsi="Bookman Old Style"/>
          <w:sz w:val="22"/>
          <w:szCs w:val="22"/>
        </w:rPr>
        <w:t>,</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7A4361"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7A4361" w:rsidP="005217A1">
            <w:pPr>
              <w:ind w:left="2127" w:hanging="2127"/>
              <w:jc w:val="both"/>
              <w:rPr>
                <w:rFonts w:ascii="Bookman Old Style" w:hAnsi="Bookman Old Style"/>
                <w:sz w:val="22"/>
                <w:szCs w:val="22"/>
                <w:lang w:val="es-CO"/>
              </w:rPr>
            </w:p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7A4361" w:rsidRDefault="007A4361"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7A4361"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7A4361"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7A4361"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7A4361"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7A4361"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7A4361" w:rsidRDefault="007A4361"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7A4361"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7A4361"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7A4361"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7A4361" w:rsidRDefault="007A4361"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376390" w:rsidRDefault="00376390" w:rsidP="00EC3BB2">
      <w:pPr>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lastRenderedPageBreak/>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7A4361"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7A4361" w:rsidP="005217A1">
            <w:pPr>
              <w:ind w:left="0"/>
              <w:jc w:val="both"/>
              <w:rPr>
                <w:rFonts w:ascii="Bookman Old Style" w:hAnsi="Bookman Old Style" w:cs="Arial"/>
                <w:sz w:val="22"/>
                <w:szCs w:val="22"/>
              </w:rPr>
            </w:pPr>
            <m:oMath>
              <m:r>
                <w:rPr>
                  <w:rFonts w:ascii="Cambria Math" w:hAnsi="Cambria Math" w:cs="Arial"/>
                  <w:sz w:val="22"/>
                  <w:szCs w:val="22"/>
                </w:rPr>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7A4361"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7A4361"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7A4361"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AC20F9" w:rsidRDefault="00EC3BB2" w:rsidP="00AC20F9">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A1547">
        <w:rPr>
          <w:rFonts w:ascii="Bookman Old Style" w:hAnsi="Bookman Old Style" w:cs="Arial"/>
          <w:b/>
          <w:sz w:val="22"/>
          <w:szCs w:val="22"/>
        </w:rPr>
        <w:t xml:space="preserve">“Artículo 9. Determinación y publicación de información. </w:t>
      </w:r>
      <w:r w:rsidRPr="00EA1547">
        <w:rPr>
          <w:rFonts w:ascii="Bookman Old Style" w:hAnsi="Bookman Old Style" w:cs="Arial"/>
          <w:sz w:val="22"/>
          <w:szCs w:val="22"/>
        </w:rPr>
        <w:t xml:space="preserve">Atendiendo lo dispuesto en el artículo anterior, </w:t>
      </w:r>
      <w:r w:rsidRPr="00EA1547">
        <w:rPr>
          <w:rFonts w:ascii="Bookman Old Style" w:hAnsi="Bookman Old Style" w:cs="Arial"/>
          <w:b/>
          <w:sz w:val="22"/>
          <w:szCs w:val="22"/>
          <w:u w:val="single"/>
        </w:rPr>
        <w:t>la CREG determinará</w:t>
      </w:r>
      <w:r w:rsidRPr="00EA1547">
        <w:rPr>
          <w:rFonts w:ascii="Bookman Old Style" w:hAnsi="Bookman Old Style" w:cs="Arial"/>
          <w:sz w:val="22"/>
          <w:szCs w:val="22"/>
        </w:rPr>
        <w:t xml:space="preserve"> y publicará, por lo menos con un (1) mes de anterioridad al inicio del periodo de compra, la capacidad de compra de cada distribuidor, </w:t>
      </w:r>
      <w:r w:rsidRPr="00EA1547">
        <w:rPr>
          <w:rFonts w:ascii="Bookman Old Style" w:hAnsi="Bookman Old Style" w:cs="Arial"/>
          <w:b/>
          <w:sz w:val="22"/>
          <w:szCs w:val="22"/>
          <w:u w:val="single"/>
        </w:rPr>
        <w:t xml:space="preserve">con información reportada al SUI, hasta el </w:t>
      </w:r>
      <w:r w:rsidR="00AC20F9">
        <w:rPr>
          <w:rFonts w:ascii="Bookman Old Style" w:hAnsi="Bookman Old Style" w:cs="Arial"/>
          <w:b/>
          <w:sz w:val="22"/>
          <w:szCs w:val="22"/>
          <w:u w:val="single"/>
        </w:rPr>
        <w:t xml:space="preserve">día 10 del mes correspondiente. </w:t>
      </w:r>
      <w:r w:rsidRPr="00EA1547">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i/>
          <w:color w:val="000000"/>
          <w:sz w:val="22"/>
          <w:szCs w:val="22"/>
          <w:lang w:val="es-CO" w:eastAsia="es-CO"/>
        </w:rPr>
        <w:t>"</w:t>
      </w:r>
      <w:r w:rsidRPr="00EA1547">
        <w:rPr>
          <w:rFonts w:ascii="Bookman Old Style" w:hAnsi="Bookman Old Style" w:cs="Arial"/>
          <w:b/>
          <w:sz w:val="22"/>
          <w:szCs w:val="22"/>
          <w:lang w:val="es-ES_tradnl" w:eastAsia="ar-SA"/>
        </w:rPr>
        <w:t>Artículo nuevo. Del sistema único de información</w:t>
      </w:r>
      <w:r w:rsidRPr="00EA1547">
        <w:rPr>
          <w:rFonts w:ascii="Bookman Old Style" w:hAnsi="Bookman Old Style" w:cs="Arial"/>
          <w:sz w:val="22"/>
          <w:szCs w:val="22"/>
          <w:lang w:val="es-ES_tradnl" w:eastAsia="ar-SA"/>
        </w:rPr>
        <w:t xml:space="preserve">. </w:t>
      </w:r>
      <w:r w:rsidRPr="002A3EB4">
        <w:rPr>
          <w:rFonts w:ascii="Bookman Old Style" w:hAnsi="Bookman Old Style" w:cs="Arial"/>
          <w:sz w:val="22"/>
          <w:szCs w:val="22"/>
          <w:lang w:val="es-ES_tradnl" w:eastAsia="ar-SA"/>
        </w:rPr>
        <w:t>Corresponde a la Superintendencia de Servicios Públicos Domiciliarios, en desarrollo de sus funciones de inspección y vigilancia, establecer, administrar, mantener y operar</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El sistema de información que desarrolle la Superintendencia de Servicios Públicos será único para cada uno de los servicios públicos, actividades </w:t>
      </w:r>
      <w:r w:rsidRPr="00EA1547">
        <w:rPr>
          <w:rFonts w:ascii="Bookman Old Style" w:hAnsi="Bookman Old Style" w:cs="Arial"/>
          <w:b/>
          <w:sz w:val="22"/>
          <w:szCs w:val="22"/>
          <w:u w:val="single"/>
          <w:lang w:val="es-ES_tradnl" w:eastAsia="ar-SA"/>
        </w:rPr>
        <w:lastRenderedPageBreak/>
        <w:t>inherentes y actividades complementarias de que tratan las Leyes 142 y 143 de 1994, y tendrá como propósitos: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1. Evitar la duplicidad de funciones en materia de información relativa a los servicios públicos.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4. Apoyar las funciones asignadas a las Comisiones de Regulación.</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b/>
          <w:sz w:val="22"/>
          <w:szCs w:val="22"/>
          <w:lang w:val="es-ES_tradnl" w:eastAsia="ar-SA"/>
        </w:rPr>
        <w:t>Parágrafo 1°.</w:t>
      </w:r>
      <w:r w:rsidRPr="00EA1547">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w:t>
      </w:r>
      <w:r w:rsidRPr="00EA1547">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b.</w:t>
      </w:r>
      <w:r w:rsidRPr="00EA1547">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lastRenderedPageBreak/>
        <w:t>c.</w:t>
      </w:r>
      <w:r w:rsidRPr="00EA1547">
        <w:rPr>
          <w:rFonts w:ascii="Bookman Old Style" w:hAnsi="Bookman Old Style" w:cs="Arial"/>
          <w:sz w:val="22"/>
          <w:szCs w:val="22"/>
          <w:lang w:val="es-ES_tradnl" w:eastAsia="ar-SA"/>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 (Resaltado fuera de texto)</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81562F">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w:t>
      </w:r>
      <w:r w:rsidRPr="00EC3BB2">
        <w:rPr>
          <w:rFonts w:ascii="Bookman Old Style" w:hAnsi="Bookman Old Style" w:cs="Arial"/>
          <w:spacing w:val="-5"/>
          <w:lang w:val="es-CO" w:eastAsia="en-US"/>
        </w:rPr>
        <w:lastRenderedPageBreak/>
        <w:t>comercializadores mayoristas que venden GLP a distribuidores, así como aquellos agentes que realizan la actividad de distribución de GLP en los términos de la 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2A3EB4">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EC3BB2" w:rsidRDefault="00EC3BB2" w:rsidP="00BD1622">
      <w:pPr>
        <w:ind w:left="284" w:right="284"/>
        <w:jc w:val="both"/>
        <w:rPr>
          <w:rFonts w:ascii="Bookman Old Style" w:hAnsi="Bookman Old Style" w:cs="Arial"/>
          <w:color w:val="000000"/>
          <w:sz w:val="20"/>
          <w:szCs w:val="20"/>
          <w:lang w:val="es-CO" w:eastAsia="es-CO"/>
        </w:rPr>
      </w:pPr>
      <w:r w:rsidRPr="00EC3BB2">
        <w:rPr>
          <w:rFonts w:ascii="Bookman Old Style" w:eastAsia="MS Mincho" w:hAnsi="Bookman Old Style" w:cs="Arial"/>
          <w:b/>
          <w:sz w:val="20"/>
          <w:szCs w:val="20"/>
          <w:lang w:eastAsia="en-US"/>
        </w:rPr>
        <w:t xml:space="preserve">“Artículo 1º. Capacidad de Compra: </w:t>
      </w:r>
      <w:r w:rsidRPr="00EC3BB2">
        <w:rPr>
          <w:rFonts w:ascii="Bookman Old Style" w:eastAsia="MS Mincho" w:hAnsi="Bookman Old Style" w:cs="Arial"/>
          <w:sz w:val="20"/>
          <w:szCs w:val="20"/>
          <w:lang w:eastAsia="en-US"/>
        </w:rPr>
        <w:t xml:space="preserve">La siguiente corresponde a la Capacidad de Compra </w:t>
      </w:r>
      <w:r w:rsidRPr="00BD1622">
        <w:rPr>
          <w:rFonts w:ascii="Bookman Old Style" w:hAnsi="Bookman Old Style" w:cs="Arial"/>
          <w:iCs/>
          <w:sz w:val="20"/>
          <w:szCs w:val="20"/>
          <w:lang w:val="es-CO" w:eastAsia="en-US"/>
        </w:rPr>
        <w:t>para cada uno de los códigos SUI de las empresas</w:t>
      </w:r>
      <w:r w:rsidRPr="00EC3BB2">
        <w:rPr>
          <w:rFonts w:ascii="Bookman Old Style" w:hAnsi="Bookman Old Style" w:cs="Arial"/>
          <w:color w:val="000000"/>
          <w:sz w:val="20"/>
          <w:szCs w:val="20"/>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8789" w:type="dxa"/>
        <w:jc w:val="center"/>
        <w:tblCellMar>
          <w:left w:w="70" w:type="dxa"/>
          <w:right w:w="70" w:type="dxa"/>
        </w:tblCellMar>
        <w:tblLook w:val="04A0" w:firstRow="1" w:lastRow="0" w:firstColumn="1" w:lastColumn="0" w:noHBand="0" w:noVBand="1"/>
      </w:tblPr>
      <w:tblGrid>
        <w:gridCol w:w="1701"/>
        <w:gridCol w:w="4962"/>
        <w:gridCol w:w="2126"/>
      </w:tblGrid>
      <w:tr w:rsidR="00EC3BB2" w:rsidRPr="00406B33" w:rsidTr="00CB0253">
        <w:trPr>
          <w:trHeight w:val="405"/>
          <w:tblHeader/>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406B33" w:rsidRDefault="00EC3BB2" w:rsidP="00CB0253">
            <w:pPr>
              <w:ind w:left="0"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Código SUI</w:t>
            </w:r>
          </w:p>
        </w:tc>
        <w:tc>
          <w:tcPr>
            <w:tcW w:w="4962" w:type="dxa"/>
            <w:tcBorders>
              <w:top w:val="single" w:sz="4" w:space="0" w:color="auto"/>
              <w:left w:val="nil"/>
              <w:bottom w:val="single" w:sz="4" w:space="0" w:color="auto"/>
              <w:right w:val="single" w:sz="4" w:space="0" w:color="auto"/>
            </w:tcBorders>
            <w:shd w:val="clear" w:color="auto" w:fill="auto"/>
            <w:noWrap/>
            <w:vAlign w:val="center"/>
          </w:tcPr>
          <w:p w:rsidR="00EC3BB2" w:rsidRPr="00406B33" w:rsidRDefault="00EC3BB2" w:rsidP="00CB0253">
            <w:pPr>
              <w:ind w:left="0"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Agente</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EC3BB2" w:rsidRPr="00406B33" w:rsidRDefault="00EC3BB2" w:rsidP="00CB0253">
            <w:pPr>
              <w:ind w:left="0"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603DD8" w:rsidRPr="00EE0855" w:rsidTr="00CB0253">
        <w:trPr>
          <w:trHeight w:val="40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03DD8" w:rsidRPr="00603DD8" w:rsidRDefault="00603DD8" w:rsidP="00CB0253">
            <w:pPr>
              <w:ind w:left="0"/>
              <w:rPr>
                <w:rFonts w:ascii="Bookman Old Style" w:hAnsi="Bookman Old Style"/>
                <w:sz w:val="20"/>
                <w:szCs w:val="20"/>
              </w:rPr>
            </w:pPr>
            <w:r w:rsidRPr="00603DD8">
              <w:rPr>
                <w:rFonts w:ascii="Bookman Old Style" w:hAnsi="Bookman Old Style"/>
                <w:sz w:val="20"/>
                <w:szCs w:val="20"/>
              </w:rPr>
              <w:t>24869</w:t>
            </w:r>
          </w:p>
        </w:tc>
        <w:tc>
          <w:tcPr>
            <w:tcW w:w="4962" w:type="dxa"/>
            <w:tcBorders>
              <w:top w:val="nil"/>
              <w:left w:val="nil"/>
              <w:bottom w:val="single" w:sz="4" w:space="0" w:color="auto"/>
              <w:right w:val="single" w:sz="4" w:space="0" w:color="auto"/>
            </w:tcBorders>
            <w:shd w:val="clear" w:color="auto" w:fill="auto"/>
            <w:noWrap/>
            <w:vAlign w:val="center"/>
            <w:hideMark/>
          </w:tcPr>
          <w:p w:rsidR="00603DD8" w:rsidRPr="00603DD8" w:rsidRDefault="00603DD8" w:rsidP="00CB0253">
            <w:pPr>
              <w:ind w:left="0"/>
              <w:rPr>
                <w:rFonts w:ascii="Bookman Old Style" w:hAnsi="Bookman Old Style"/>
                <w:sz w:val="20"/>
                <w:szCs w:val="20"/>
              </w:rPr>
            </w:pPr>
            <w:r w:rsidRPr="00603DD8">
              <w:rPr>
                <w:rFonts w:ascii="Bookman Old Style" w:hAnsi="Bookman Old Style"/>
                <w:sz w:val="20"/>
                <w:szCs w:val="20"/>
              </w:rPr>
              <w:t>CHILCO DISTRIBUIDORA DE GAS Y ENERGIA S.A.S. E.S.P.</w:t>
            </w:r>
          </w:p>
        </w:tc>
        <w:tc>
          <w:tcPr>
            <w:tcW w:w="2126" w:type="dxa"/>
            <w:tcBorders>
              <w:top w:val="nil"/>
              <w:left w:val="nil"/>
              <w:bottom w:val="single" w:sz="4" w:space="0" w:color="auto"/>
              <w:right w:val="single" w:sz="4" w:space="0" w:color="auto"/>
            </w:tcBorders>
            <w:shd w:val="clear" w:color="auto" w:fill="auto"/>
            <w:noWrap/>
            <w:vAlign w:val="center"/>
            <w:hideMark/>
          </w:tcPr>
          <w:p w:rsidR="00603DD8" w:rsidRPr="00603DD8" w:rsidRDefault="00603DD8" w:rsidP="00CB0253">
            <w:pPr>
              <w:ind w:left="0"/>
              <w:rPr>
                <w:rFonts w:ascii="Bookman Old Style" w:hAnsi="Bookman Old Style"/>
                <w:sz w:val="20"/>
                <w:szCs w:val="20"/>
              </w:rPr>
            </w:pPr>
            <w:r w:rsidRPr="00603DD8">
              <w:rPr>
                <w:rFonts w:ascii="Bookman Old Style" w:hAnsi="Bookman Old Style"/>
                <w:sz w:val="20"/>
                <w:szCs w:val="20"/>
              </w:rPr>
              <w:t>30.909.801</w:t>
            </w:r>
          </w:p>
        </w:tc>
      </w:tr>
    </w:tbl>
    <w:p w:rsidR="003E628D" w:rsidRPr="00EE0855" w:rsidRDefault="00AC20F9" w:rsidP="00AC20F9">
      <w:pPr>
        <w:ind w:left="284" w:right="284"/>
        <w:jc w:val="both"/>
        <w:rPr>
          <w:rFonts w:ascii="Bookman Old Style" w:eastAsia="MS Mincho" w:hAnsi="Bookman Old Style" w:cs="Arial"/>
          <w:sz w:val="20"/>
          <w:szCs w:val="20"/>
          <w:lang w:val="es-CO" w:eastAsia="en-US"/>
        </w:rPr>
      </w:pPr>
      <w:r w:rsidRPr="00EE0855">
        <w:rPr>
          <w:rFonts w:ascii="Bookman Old Style" w:eastAsia="MS Mincho" w:hAnsi="Bookman Old Style" w:cs="Arial"/>
          <w:sz w:val="20"/>
          <w:szCs w:val="20"/>
          <w:lang w:val="es-CO" w:eastAsia="en-US"/>
        </w:rPr>
        <w:tab/>
      </w:r>
    </w:p>
    <w:p w:rsidR="00EC3BB2" w:rsidRPr="00EC3BB2" w:rsidRDefault="00EC3BB2" w:rsidP="00AC20F9">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376390" w:rsidRDefault="00EC3BB2" w:rsidP="00BD1622">
      <w:pPr>
        <w:tabs>
          <w:tab w:val="right" w:pos="9498"/>
        </w:tabs>
        <w:ind w:left="284" w:right="284"/>
        <w:jc w:val="both"/>
        <w:rPr>
          <w:rFonts w:ascii="Bookman Old Style" w:hAnsi="Bookman Old Style" w:cs="Arial"/>
          <w:sz w:val="4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Mediante escrito radicado en esta Comisión con número E-2016-</w:t>
      </w:r>
      <w:r w:rsidR="00603DD8">
        <w:rPr>
          <w:rFonts w:ascii="Bookman Old Style" w:hAnsi="Bookman Old Style" w:cs="Arial"/>
          <w:spacing w:val="-5"/>
          <w:lang w:val="es-CO" w:eastAsia="en-US"/>
        </w:rPr>
        <w:t>007265</w:t>
      </w:r>
      <w:r w:rsidRPr="00EC3BB2">
        <w:rPr>
          <w:rFonts w:ascii="Bookman Old Style" w:hAnsi="Bookman Old Style" w:cs="Arial"/>
          <w:spacing w:val="-5"/>
          <w:lang w:val="es-CO" w:eastAsia="en-US"/>
        </w:rPr>
        <w:t xml:space="preserve"> de </w:t>
      </w:r>
      <w:r w:rsidR="00B16D10">
        <w:rPr>
          <w:rFonts w:ascii="Bookman Old Style" w:hAnsi="Bookman Old Style" w:cs="Arial"/>
          <w:spacing w:val="-5"/>
          <w:lang w:val="es-CO" w:eastAsia="en-US"/>
        </w:rPr>
        <w:t>27</w:t>
      </w:r>
      <w:r w:rsidRPr="00EC3BB2">
        <w:rPr>
          <w:rFonts w:ascii="Bookman Old Style" w:hAnsi="Bookman Old Style" w:cs="Arial"/>
          <w:spacing w:val="-5"/>
          <w:lang w:val="es-CO" w:eastAsia="en-US"/>
        </w:rPr>
        <w:t xml:space="preserve"> de </w:t>
      </w:r>
      <w:r w:rsidR="00BA05D2">
        <w:rPr>
          <w:rFonts w:ascii="Bookman Old Style" w:hAnsi="Bookman Old Style" w:cs="Arial"/>
          <w:spacing w:val="-5"/>
          <w:lang w:val="es-CO" w:eastAsia="en-US"/>
        </w:rPr>
        <w:t>jun</w:t>
      </w:r>
      <w:r w:rsidR="000E38F7">
        <w:rPr>
          <w:rFonts w:ascii="Bookman Old Style" w:hAnsi="Bookman Old Style" w:cs="Arial"/>
          <w:spacing w:val="-5"/>
          <w:lang w:val="es-CO" w:eastAsia="en-US"/>
        </w:rPr>
        <w:t>io</w:t>
      </w:r>
      <w:r w:rsidRPr="00EC3BB2">
        <w:rPr>
          <w:rFonts w:ascii="Bookman Old Style" w:hAnsi="Bookman Old Style" w:cs="Arial"/>
          <w:spacing w:val="-5"/>
          <w:lang w:val="es-CO" w:eastAsia="en-US"/>
        </w:rPr>
        <w:t xml:space="preserve"> de 2016, </w:t>
      </w:r>
      <w:r w:rsidR="00EA1547">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w:t>
      </w:r>
      <w:r w:rsidR="00603DD8">
        <w:rPr>
          <w:rFonts w:ascii="Bookman Old Style" w:hAnsi="Bookman Old Style" w:cs="Arial"/>
          <w:spacing w:val="-5"/>
          <w:lang w:val="es-CO" w:eastAsia="en-US"/>
        </w:rPr>
        <w:t>Chilco Distribuidora de Gas y Energía</w:t>
      </w:r>
      <w:r w:rsidR="00B16D10">
        <w:rPr>
          <w:rFonts w:ascii="Bookman Old Style" w:hAnsi="Bookman Old Style" w:cs="Arial"/>
          <w:spacing w:val="-5"/>
          <w:lang w:val="es-CO" w:eastAsia="en-US"/>
        </w:rPr>
        <w:t xml:space="preserve"> E.S.P.</w:t>
      </w:r>
      <w:r w:rsidR="00EA1547">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interpuso recurso de reposición contra la Resolución CREG </w:t>
      </w:r>
      <w:r w:rsidR="009004E0">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para lo cual realiza las siguientes solicitudes:</w:t>
      </w:r>
    </w:p>
    <w:p w:rsidR="0045042D" w:rsidRDefault="0045042D" w:rsidP="00B36FE8">
      <w:pPr>
        <w:pStyle w:val="Textoindependiente2"/>
        <w:spacing w:after="0" w:line="240" w:lineRule="auto"/>
        <w:ind w:left="-142" w:right="-142"/>
        <w:jc w:val="both"/>
        <w:rPr>
          <w:rFonts w:ascii="Bookman Old Style" w:hAnsi="Bookman Old Style" w:cs="Arial"/>
          <w:spacing w:val="-5"/>
          <w:lang w:val="es-CO" w:eastAsia="en-US"/>
        </w:rPr>
      </w:pPr>
    </w:p>
    <w:p w:rsidR="00603DD8" w:rsidRDefault="007D1246" w:rsidP="00603DD8">
      <w:pPr>
        <w:pStyle w:val="Style17"/>
        <w:shd w:val="clear" w:color="auto" w:fill="auto"/>
        <w:spacing w:before="0" w:after="0" w:line="240" w:lineRule="auto"/>
        <w:ind w:left="284" w:right="284" w:firstLine="0"/>
        <w:rPr>
          <w:rStyle w:val="CharStyle18"/>
          <w:rFonts w:ascii="Bookman Old Style" w:hAnsi="Bookman Old Style"/>
          <w:i/>
          <w:color w:val="000000"/>
          <w:sz w:val="22"/>
          <w:szCs w:val="22"/>
          <w:lang w:eastAsia="es-ES_tradnl"/>
        </w:rPr>
      </w:pPr>
      <w:r w:rsidRPr="007D1246">
        <w:rPr>
          <w:rStyle w:val="CharStyle18"/>
          <w:rFonts w:ascii="Bookman Old Style" w:hAnsi="Bookman Old Style"/>
          <w:i/>
          <w:color w:val="000000"/>
          <w:sz w:val="22"/>
          <w:szCs w:val="22"/>
          <w:lang w:eastAsia="es-ES_tradnl"/>
        </w:rPr>
        <w:t>“</w:t>
      </w:r>
      <w:r w:rsidR="00603DD8">
        <w:rPr>
          <w:rStyle w:val="CharStyle18"/>
          <w:rFonts w:ascii="Bookman Old Style" w:hAnsi="Bookman Old Style"/>
          <w:i/>
          <w:color w:val="000000"/>
          <w:sz w:val="22"/>
          <w:szCs w:val="22"/>
          <w:lang w:eastAsia="es-ES_tradnl"/>
        </w:rPr>
        <w:t>4.1 Se conceda el recurso de reposición inter</w:t>
      </w:r>
      <w:r w:rsidR="002A3EB4">
        <w:rPr>
          <w:rStyle w:val="CharStyle18"/>
          <w:rFonts w:ascii="Bookman Old Style" w:hAnsi="Bookman Old Style"/>
          <w:i/>
          <w:color w:val="000000"/>
          <w:sz w:val="22"/>
          <w:szCs w:val="22"/>
          <w:lang w:eastAsia="es-ES_tradnl"/>
        </w:rPr>
        <w:t>puesto contra la Resolución CREG</w:t>
      </w:r>
      <w:r w:rsidR="00603DD8">
        <w:rPr>
          <w:rStyle w:val="CharStyle18"/>
          <w:rFonts w:ascii="Bookman Old Style" w:hAnsi="Bookman Old Style"/>
          <w:i/>
          <w:color w:val="000000"/>
          <w:sz w:val="22"/>
          <w:szCs w:val="22"/>
          <w:lang w:eastAsia="es-ES_tradnl"/>
        </w:rPr>
        <w:t xml:space="preserve"> 075 de 2016, y en consecuencia se reponga el artículo 1 de la Resolución CREG 075 de 2016 variando la capacidad de compra de Chilco con base en las cantidades reportadas de cilindros y tanques estacionarios a la SSPD y al factor de rotación correspondiente a CHILCO.</w:t>
      </w:r>
    </w:p>
    <w:p w:rsidR="00603DD8" w:rsidRDefault="00603DD8" w:rsidP="00603DD8">
      <w:pPr>
        <w:pStyle w:val="Style17"/>
        <w:shd w:val="clear" w:color="auto" w:fill="auto"/>
        <w:spacing w:before="0" w:after="0" w:line="240" w:lineRule="auto"/>
        <w:ind w:left="284" w:right="284" w:firstLine="0"/>
        <w:rPr>
          <w:rStyle w:val="CharStyle18"/>
          <w:rFonts w:ascii="Bookman Old Style" w:hAnsi="Bookman Old Style"/>
          <w:i/>
          <w:color w:val="000000"/>
          <w:sz w:val="22"/>
          <w:szCs w:val="22"/>
          <w:lang w:eastAsia="es-ES_tradnl"/>
        </w:rPr>
      </w:pPr>
    </w:p>
    <w:p w:rsidR="00406B33" w:rsidRPr="007D1246" w:rsidRDefault="00603DD8" w:rsidP="00603DD8">
      <w:pPr>
        <w:pStyle w:val="Style17"/>
        <w:shd w:val="clear" w:color="auto" w:fill="auto"/>
        <w:spacing w:before="0" w:after="0" w:line="240" w:lineRule="auto"/>
        <w:ind w:left="284" w:right="284" w:firstLine="0"/>
        <w:rPr>
          <w:rFonts w:ascii="Bookman Old Style" w:hAnsi="Bookman Old Style"/>
          <w:i/>
          <w:spacing w:val="-5"/>
          <w:sz w:val="22"/>
          <w:szCs w:val="22"/>
          <w:lang w:eastAsia="en-US"/>
        </w:rPr>
      </w:pPr>
      <w:r>
        <w:rPr>
          <w:rStyle w:val="CharStyle18"/>
          <w:rFonts w:ascii="Bookman Old Style" w:hAnsi="Bookman Old Style"/>
          <w:i/>
          <w:color w:val="000000"/>
          <w:sz w:val="22"/>
          <w:szCs w:val="22"/>
          <w:lang w:eastAsia="es-ES_tradnl"/>
        </w:rPr>
        <w:t>4.2 Realizar la revocatoria parcial de la Circula No 40 de 2016, en su numeral 4””</w:t>
      </w:r>
    </w:p>
    <w:p w:rsidR="0045042D" w:rsidRDefault="0045042D" w:rsidP="00BA05D2">
      <w:pPr>
        <w:pStyle w:val="Textoindependiente2"/>
        <w:spacing w:after="0" w:line="240" w:lineRule="auto"/>
        <w:ind w:left="0"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t xml:space="preserve">La Resolución CREG 075 de 2016 fue notificada a </w:t>
      </w:r>
      <w:r w:rsidR="00652F6D">
        <w:rPr>
          <w:rFonts w:ascii="Bookman Old Style" w:hAnsi="Bookman Old Style" w:cs="Arial"/>
          <w:spacing w:val="-5"/>
          <w:lang w:val="es-CO" w:eastAsia="en-US"/>
        </w:rPr>
        <w:t>Chilco</w:t>
      </w:r>
      <w:r w:rsidRPr="00BA05D2">
        <w:rPr>
          <w:rFonts w:ascii="Bookman Old Style" w:hAnsi="Bookman Old Style" w:cs="Arial"/>
          <w:spacing w:val="-5"/>
          <w:lang w:val="es-CO" w:eastAsia="en-US"/>
        </w:rPr>
        <w:t xml:space="preserve"> mediante notificación personal I-2016-</w:t>
      </w:r>
      <w:r w:rsidR="00652F6D">
        <w:rPr>
          <w:rFonts w:ascii="Bookman Old Style" w:hAnsi="Bookman Old Style" w:cs="Arial"/>
          <w:spacing w:val="-5"/>
          <w:lang w:val="es-CO" w:eastAsia="en-US"/>
        </w:rPr>
        <w:t>003125</w:t>
      </w:r>
      <w:r w:rsidRPr="00BA05D2">
        <w:rPr>
          <w:rFonts w:ascii="Bookman Old Style" w:hAnsi="Bookman Old Style" w:cs="Arial"/>
          <w:spacing w:val="-5"/>
          <w:lang w:val="es-CO" w:eastAsia="en-US"/>
        </w:rPr>
        <w:t xml:space="preserve"> de </w:t>
      </w:r>
      <w:r w:rsidR="0045042D">
        <w:rPr>
          <w:rFonts w:ascii="Bookman Old Style" w:hAnsi="Bookman Old Style" w:cs="Arial"/>
          <w:spacing w:val="-5"/>
          <w:lang w:val="es-CO" w:eastAsia="en-US"/>
        </w:rPr>
        <w:t>20</w:t>
      </w:r>
      <w:r w:rsidRPr="00BA05D2">
        <w:rPr>
          <w:rFonts w:ascii="Bookman Old Style" w:hAnsi="Bookman Old Style" w:cs="Arial"/>
          <w:spacing w:val="-5"/>
          <w:lang w:val="es-CO" w:eastAsia="en-US"/>
        </w:rPr>
        <w:t xml:space="preserve"> de junio de 2016 atendiendo lo dispuesto en el artículo 67</w:t>
      </w:r>
      <w:r w:rsidRPr="00BA05D2">
        <w:rPr>
          <w:rFonts w:ascii="Bookman Old Style" w:hAnsi="Bookman Old Style" w:cs="Arial"/>
          <w:spacing w:val="-5"/>
          <w:vertAlign w:val="superscript"/>
          <w:lang w:val="es-CO" w:eastAsia="en-US"/>
        </w:rPr>
        <w:footnoteReference w:id="3"/>
      </w:r>
      <w:r w:rsidRPr="00BA05D2">
        <w:rPr>
          <w:rFonts w:ascii="Bookman Old Style" w:hAnsi="Bookman Old Style" w:cs="Arial"/>
          <w:spacing w:val="-5"/>
          <w:lang w:val="es-CO" w:eastAsia="en-US"/>
        </w:rPr>
        <w:t xml:space="preserve"> de la Ley 1437 de 2011. </w:t>
      </w:r>
    </w:p>
    <w:p w:rsidR="00BA05D2" w:rsidRPr="00BA05D2" w:rsidRDefault="00BA05D2" w:rsidP="00BA05D2">
      <w:pPr>
        <w:ind w:left="-142"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en tiempo, toda vez que el plazo máximo vencía el día </w:t>
      </w:r>
      <w:r>
        <w:rPr>
          <w:rFonts w:ascii="Bookman Old Style" w:hAnsi="Bookman Old Style" w:cs="Arial"/>
          <w:spacing w:val="-5"/>
          <w:lang w:val="es-CO" w:eastAsia="en-US"/>
        </w:rPr>
        <w:t>27</w:t>
      </w:r>
      <w:r w:rsidRPr="00BA05D2">
        <w:rPr>
          <w:rFonts w:ascii="Bookman Old Style" w:hAnsi="Bookman Old Style" w:cs="Arial"/>
          <w:spacing w:val="-5"/>
          <w:lang w:val="es-CO" w:eastAsia="en-US"/>
        </w:rPr>
        <w:t xml:space="preserve"> de junio del 2016.  </w:t>
      </w:r>
    </w:p>
    <w:p w:rsidR="00CD67E2" w:rsidRDefault="00CD67E2" w:rsidP="002C5546">
      <w:pPr>
        <w:pStyle w:val="Textoindependiente2"/>
        <w:spacing w:after="0" w:line="240" w:lineRule="auto"/>
        <w:ind w:left="0"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lastRenderedPageBreak/>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2C5546"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r w:rsidR="00652F6D">
        <w:rPr>
          <w:rFonts w:ascii="Bookman Old Style" w:hAnsi="Bookman Old Style"/>
          <w:szCs w:val="27"/>
        </w:rPr>
        <w:t xml:space="preserve">Chilco </w:t>
      </w:r>
      <w:r w:rsidR="00D24BFC">
        <w:rPr>
          <w:rFonts w:ascii="Bookman Old Style" w:hAnsi="Bookman Old Style"/>
          <w:szCs w:val="27"/>
        </w:rPr>
        <w:t xml:space="preserve">Distribuidora de Gas y Energía </w:t>
      </w:r>
      <w:r w:rsidR="002A452D">
        <w:rPr>
          <w:rFonts w:ascii="Bookman Old Style" w:hAnsi="Bookman Old Style"/>
          <w:szCs w:val="27"/>
        </w:rPr>
        <w:t>hacen referencia a lo siguiente:</w:t>
      </w:r>
    </w:p>
    <w:p w:rsidR="002A452D" w:rsidRPr="002A452D" w:rsidRDefault="002A452D" w:rsidP="002A452D">
      <w:pPr>
        <w:ind w:left="284" w:right="284"/>
        <w:jc w:val="both"/>
        <w:rPr>
          <w:rFonts w:ascii="Bookman Old Style" w:hAnsi="Bookman Old Style" w:cs="Arial"/>
          <w:i/>
          <w:sz w:val="22"/>
          <w:szCs w:val="22"/>
        </w:rPr>
      </w:pPr>
    </w:p>
    <w:p w:rsidR="00652F6D" w:rsidRDefault="0045042D" w:rsidP="00652F6D">
      <w:pPr>
        <w:ind w:left="284" w:right="284"/>
        <w:jc w:val="both"/>
        <w:rPr>
          <w:rFonts w:ascii="Bookman Old Style" w:hAnsi="Bookman Old Style" w:cs="Arial"/>
          <w:i/>
          <w:sz w:val="22"/>
          <w:szCs w:val="22"/>
        </w:rPr>
      </w:pPr>
      <w:r w:rsidRPr="00EC3BB2">
        <w:rPr>
          <w:rFonts w:ascii="Bookman Old Style" w:hAnsi="Bookman Old Style" w:cs="Arial"/>
          <w:i/>
          <w:sz w:val="22"/>
          <w:szCs w:val="22"/>
        </w:rPr>
        <w:t>“</w:t>
      </w:r>
      <w:r w:rsidR="00652F6D">
        <w:rPr>
          <w:rFonts w:ascii="Bookman Old Style" w:hAnsi="Bookman Old Style" w:cs="Arial"/>
          <w:i/>
          <w:sz w:val="22"/>
          <w:szCs w:val="22"/>
        </w:rPr>
        <w:t>I. MOTIVOS DE INCONFORMIDAD QUE SUSTENTAN EL RECURSO DE REPOSICIÓN</w:t>
      </w:r>
    </w:p>
    <w:p w:rsidR="00652F6D" w:rsidRDefault="00652F6D" w:rsidP="00652F6D">
      <w:pPr>
        <w:ind w:left="284" w:right="284"/>
        <w:jc w:val="both"/>
        <w:rPr>
          <w:rFonts w:ascii="Bookman Old Style" w:hAnsi="Bookman Old Style" w:cs="Arial"/>
          <w:i/>
          <w:sz w:val="22"/>
          <w:szCs w:val="22"/>
        </w:rPr>
      </w:pPr>
    </w:p>
    <w:p w:rsidR="00652F6D" w:rsidRDefault="00652F6D" w:rsidP="00652F6D">
      <w:pPr>
        <w:numPr>
          <w:ilvl w:val="1"/>
          <w:numId w:val="42"/>
        </w:numPr>
        <w:ind w:right="284"/>
        <w:jc w:val="both"/>
        <w:rPr>
          <w:rFonts w:ascii="Bookman Old Style" w:hAnsi="Bookman Old Style" w:cs="Arial"/>
          <w:i/>
          <w:sz w:val="22"/>
          <w:szCs w:val="22"/>
        </w:rPr>
      </w:pPr>
      <w:r>
        <w:rPr>
          <w:rFonts w:ascii="Bookman Old Style" w:hAnsi="Bookman Old Style" w:cs="Arial"/>
          <w:i/>
          <w:sz w:val="22"/>
          <w:szCs w:val="22"/>
        </w:rPr>
        <w:t>Violación del debido proceso administrativo</w:t>
      </w:r>
    </w:p>
    <w:p w:rsidR="00652F6D" w:rsidRDefault="00652F6D" w:rsidP="00652F6D">
      <w:pPr>
        <w:ind w:left="284" w:right="284"/>
        <w:jc w:val="both"/>
        <w:rPr>
          <w:rFonts w:ascii="Bookman Old Style" w:hAnsi="Bookman Old Style" w:cs="Arial"/>
          <w:i/>
          <w:sz w:val="22"/>
          <w:szCs w:val="22"/>
        </w:rPr>
      </w:pPr>
    </w:p>
    <w:p w:rsidR="00652F6D" w:rsidRPr="0031530D" w:rsidRDefault="00652F6D" w:rsidP="00652F6D">
      <w:pPr>
        <w:ind w:left="284" w:right="284"/>
        <w:jc w:val="both"/>
        <w:rPr>
          <w:rFonts w:ascii="Bookman Old Style" w:hAnsi="Bookman Old Style" w:cs="Arial"/>
          <w:i/>
          <w:sz w:val="22"/>
          <w:szCs w:val="22"/>
          <w:u w:val="single"/>
        </w:rPr>
      </w:pPr>
      <w:r w:rsidRPr="0031530D">
        <w:rPr>
          <w:rFonts w:ascii="Bookman Old Style" w:hAnsi="Bookman Old Style" w:cs="Arial"/>
          <w:i/>
          <w:sz w:val="22"/>
          <w:szCs w:val="22"/>
          <w:u w:val="single"/>
        </w:rPr>
        <w:t>La actuación administrativa de la CREG</w:t>
      </w:r>
    </w:p>
    <w:p w:rsidR="00652F6D" w:rsidRDefault="00652F6D" w:rsidP="00652F6D">
      <w:pPr>
        <w:ind w:left="284" w:right="284"/>
        <w:jc w:val="both"/>
        <w:rPr>
          <w:rFonts w:ascii="Bookman Old Style" w:hAnsi="Bookman Old Style" w:cs="Arial"/>
          <w:i/>
          <w:sz w:val="22"/>
          <w:szCs w:val="22"/>
        </w:rPr>
      </w:pPr>
    </w:p>
    <w:p w:rsidR="00652F6D" w:rsidRDefault="00652F6D" w:rsidP="00652F6D">
      <w:pPr>
        <w:ind w:left="284" w:right="284"/>
        <w:jc w:val="both"/>
        <w:rPr>
          <w:rFonts w:ascii="Bookman Old Style" w:hAnsi="Bookman Old Style" w:cs="Arial"/>
          <w:i/>
          <w:sz w:val="22"/>
          <w:szCs w:val="22"/>
        </w:rPr>
      </w:pPr>
      <w:r>
        <w:rPr>
          <w:rFonts w:ascii="Bookman Old Style" w:hAnsi="Bookman Old Style" w:cs="Arial"/>
          <w:i/>
          <w:sz w:val="22"/>
          <w:szCs w:val="22"/>
        </w:rPr>
        <w:t>Con base en la resolución CREG 063 de 2016 en los artículos 8 y 9 dicho organismo determinó que establecería la capacidad de compra de los distribuidores de GLP mediante norma que se publicará el mes anterior del inicio del periodo de compra con información reportada al SUI al 10 de cada mes.</w:t>
      </w:r>
    </w:p>
    <w:p w:rsidR="00652F6D" w:rsidRDefault="00652F6D" w:rsidP="00652F6D">
      <w:pPr>
        <w:ind w:left="284" w:right="284"/>
        <w:jc w:val="both"/>
        <w:rPr>
          <w:rFonts w:ascii="Bookman Old Style" w:hAnsi="Bookman Old Style" w:cs="Arial"/>
          <w:i/>
          <w:sz w:val="22"/>
          <w:szCs w:val="22"/>
        </w:rPr>
      </w:pPr>
    </w:p>
    <w:p w:rsidR="00652F6D" w:rsidRDefault="00652F6D" w:rsidP="00652F6D">
      <w:pPr>
        <w:ind w:left="284" w:right="284"/>
        <w:jc w:val="both"/>
        <w:rPr>
          <w:rFonts w:ascii="Bookman Old Style" w:hAnsi="Bookman Old Style" w:cs="Arial"/>
          <w:i/>
          <w:sz w:val="22"/>
          <w:szCs w:val="22"/>
        </w:rPr>
      </w:pPr>
      <w:r>
        <w:rPr>
          <w:rFonts w:ascii="Bookman Old Style" w:hAnsi="Bookman Old Style" w:cs="Arial"/>
          <w:i/>
          <w:sz w:val="22"/>
          <w:szCs w:val="22"/>
        </w:rPr>
        <w:t>Para tal efecto, en el artículo 9 definió varias fórmulas para calcular la capacidad de compra en el mercado mayorista, la capacidad de compra de cada distribuidor, la capacidad de envases en cilindros y la capacidad de tanques estacionarios.</w:t>
      </w:r>
    </w:p>
    <w:p w:rsidR="00652F6D" w:rsidRDefault="00652F6D" w:rsidP="00652F6D">
      <w:pPr>
        <w:ind w:left="284" w:right="284"/>
        <w:jc w:val="both"/>
        <w:rPr>
          <w:rFonts w:ascii="Bookman Old Style" w:hAnsi="Bookman Old Style" w:cs="Arial"/>
          <w:i/>
          <w:sz w:val="22"/>
          <w:szCs w:val="22"/>
        </w:rPr>
      </w:pPr>
    </w:p>
    <w:p w:rsidR="00652F6D" w:rsidRDefault="00652F6D" w:rsidP="00652F6D">
      <w:pPr>
        <w:ind w:left="284" w:right="284"/>
        <w:jc w:val="both"/>
        <w:rPr>
          <w:rFonts w:ascii="Bookman Old Style" w:hAnsi="Bookman Old Style" w:cs="Arial"/>
          <w:i/>
          <w:sz w:val="22"/>
          <w:szCs w:val="22"/>
        </w:rPr>
      </w:pPr>
      <w:r>
        <w:rPr>
          <w:rFonts w:ascii="Bookman Old Style" w:hAnsi="Bookman Old Style" w:cs="Arial"/>
          <w:i/>
          <w:sz w:val="22"/>
          <w:szCs w:val="22"/>
        </w:rPr>
        <w:t xml:space="preserve">La finalidad y factores de dichas formulas fueron objeto de comentarios por todas las empresas del sector y de Chilco a través de </w:t>
      </w:r>
      <w:proofErr w:type="spellStart"/>
      <w:r>
        <w:rPr>
          <w:rFonts w:ascii="Bookman Old Style" w:hAnsi="Bookman Old Style" w:cs="Arial"/>
          <w:i/>
          <w:sz w:val="22"/>
          <w:szCs w:val="22"/>
        </w:rPr>
        <w:t>Gasnova</w:t>
      </w:r>
      <w:proofErr w:type="spellEnd"/>
      <w:r>
        <w:rPr>
          <w:rFonts w:ascii="Bookman Old Style" w:hAnsi="Bookman Old Style" w:cs="Arial"/>
          <w:i/>
          <w:sz w:val="22"/>
          <w:szCs w:val="22"/>
        </w:rPr>
        <w:t>, que obran en su entidad.</w:t>
      </w:r>
    </w:p>
    <w:p w:rsidR="00652F6D" w:rsidRDefault="00652F6D" w:rsidP="00652F6D">
      <w:pPr>
        <w:ind w:left="284" w:right="284"/>
        <w:jc w:val="both"/>
        <w:rPr>
          <w:rFonts w:ascii="Bookman Old Style" w:hAnsi="Bookman Old Style" w:cs="Arial"/>
          <w:i/>
          <w:sz w:val="22"/>
          <w:szCs w:val="22"/>
        </w:rPr>
      </w:pPr>
    </w:p>
    <w:p w:rsidR="00652F6D" w:rsidRDefault="00652F6D" w:rsidP="00652F6D">
      <w:pPr>
        <w:ind w:left="284" w:right="284"/>
        <w:jc w:val="both"/>
        <w:rPr>
          <w:rFonts w:ascii="Bookman Old Style" w:hAnsi="Bookman Old Style" w:cs="Arial"/>
          <w:i/>
          <w:sz w:val="22"/>
          <w:szCs w:val="22"/>
        </w:rPr>
      </w:pPr>
      <w:r>
        <w:rPr>
          <w:rFonts w:ascii="Bookman Old Style" w:hAnsi="Bookman Old Style" w:cs="Arial"/>
          <w:i/>
          <w:sz w:val="22"/>
          <w:szCs w:val="22"/>
        </w:rPr>
        <w:t>Para tales efectos, la CREG abrió una actuación administrativa general el 24 de mayo de 2016, para la aplicación de dicha fórmula a cada distribuidor. En dicha actuación la CREG, en resumen, señala que la información reportada a la SSPD por los distribuidores negando así la práctica de pruebas y señala que cuenta con toda la información útil y necesaria para realizar dicho cálculo. Cabe anotar que en el acto administrativo por el cual se abrió la actuación particular, la CREG negó la capacidad de presentar recursos sobre el particular.</w:t>
      </w:r>
    </w:p>
    <w:p w:rsidR="00652F6D" w:rsidRDefault="00652F6D" w:rsidP="00652F6D">
      <w:pPr>
        <w:ind w:left="284" w:right="284"/>
        <w:jc w:val="both"/>
        <w:rPr>
          <w:rFonts w:ascii="Bookman Old Style" w:hAnsi="Bookman Old Style" w:cs="Arial"/>
          <w:i/>
          <w:sz w:val="22"/>
          <w:szCs w:val="22"/>
        </w:rPr>
      </w:pPr>
    </w:p>
    <w:p w:rsidR="00652F6D" w:rsidRDefault="00652F6D" w:rsidP="00652F6D">
      <w:pPr>
        <w:ind w:left="284" w:right="284"/>
        <w:jc w:val="both"/>
        <w:rPr>
          <w:rFonts w:ascii="Bookman Old Style" w:hAnsi="Bookman Old Style" w:cs="Arial"/>
          <w:i/>
          <w:sz w:val="22"/>
          <w:szCs w:val="22"/>
        </w:rPr>
      </w:pPr>
      <w:r>
        <w:rPr>
          <w:rFonts w:ascii="Bookman Old Style" w:hAnsi="Bookman Old Style" w:cs="Arial"/>
          <w:i/>
          <w:sz w:val="22"/>
          <w:szCs w:val="22"/>
        </w:rPr>
        <w:t>Como resultado de esta actuación administrativa, que duró  un (1) día expidió la Resolución CREG 075 del 25 de mayo de 2016.</w:t>
      </w:r>
    </w:p>
    <w:p w:rsidR="00652F6D" w:rsidRDefault="00652F6D" w:rsidP="00652F6D">
      <w:pPr>
        <w:ind w:left="284" w:right="284"/>
        <w:jc w:val="both"/>
        <w:rPr>
          <w:rFonts w:ascii="Bookman Old Style" w:hAnsi="Bookman Old Style" w:cs="Arial"/>
          <w:i/>
          <w:sz w:val="22"/>
          <w:szCs w:val="22"/>
        </w:rPr>
      </w:pPr>
    </w:p>
    <w:p w:rsidR="009D0036" w:rsidRDefault="00652F6D" w:rsidP="00652F6D">
      <w:pPr>
        <w:ind w:left="284" w:right="284"/>
        <w:jc w:val="both"/>
        <w:rPr>
          <w:rFonts w:ascii="Bookman Old Style" w:hAnsi="Bookman Old Style" w:cs="Arial"/>
          <w:i/>
          <w:sz w:val="22"/>
          <w:szCs w:val="22"/>
        </w:rPr>
      </w:pPr>
      <w:r>
        <w:rPr>
          <w:rFonts w:ascii="Bookman Old Style" w:hAnsi="Bookman Old Style" w:cs="Arial"/>
          <w:i/>
          <w:sz w:val="22"/>
          <w:szCs w:val="22"/>
        </w:rPr>
        <w:t xml:space="preserve">Como se demostrará en el punto 2 de este escrito, la aplicación de las fórmulas de capacidad de compra para el caso específico de CHILCO arroja una cantidad que aunque puede responder al resultado del despeje de la fórmula, no considera los parámetros de operación de este distribuidor ni la información reportada </w:t>
      </w:r>
      <w:r w:rsidR="009D0036">
        <w:rPr>
          <w:rFonts w:ascii="Bookman Old Style" w:hAnsi="Bookman Old Style" w:cs="Arial"/>
          <w:i/>
          <w:sz w:val="22"/>
          <w:szCs w:val="22"/>
        </w:rPr>
        <w:t>por mi representada ante la SSPD.</w:t>
      </w:r>
    </w:p>
    <w:p w:rsidR="009D0036" w:rsidRDefault="009D0036" w:rsidP="00652F6D">
      <w:pPr>
        <w:ind w:left="284" w:right="284"/>
        <w:jc w:val="both"/>
        <w:rPr>
          <w:rFonts w:ascii="Bookman Old Style" w:hAnsi="Bookman Old Style" w:cs="Arial"/>
          <w:i/>
          <w:sz w:val="22"/>
          <w:szCs w:val="22"/>
        </w:rPr>
      </w:pPr>
    </w:p>
    <w:p w:rsidR="0031530D" w:rsidRDefault="0031530D" w:rsidP="0031530D">
      <w:pPr>
        <w:ind w:left="284" w:right="284"/>
        <w:jc w:val="both"/>
        <w:rPr>
          <w:rFonts w:ascii="Bookman Old Style" w:hAnsi="Bookman Old Style" w:cs="Arial"/>
          <w:i/>
          <w:sz w:val="22"/>
          <w:szCs w:val="22"/>
        </w:rPr>
      </w:pPr>
      <w:r w:rsidRPr="0031530D">
        <w:rPr>
          <w:rFonts w:ascii="Bookman Old Style" w:hAnsi="Bookman Old Style" w:cs="Arial"/>
          <w:i/>
          <w:sz w:val="22"/>
          <w:szCs w:val="22"/>
        </w:rPr>
        <w:t xml:space="preserve">De esta forma, es claro que el simple hecho de aplicación de las fórmulas genera un ejercicio técnico complejo que ameritaba que dicho organismo abriera a pruebas con el fin de que los diferentes distribuidores pudieran controvertir su aplicación </w:t>
      </w:r>
      <w:r w:rsidRPr="0031530D">
        <w:rPr>
          <w:rFonts w:ascii="Bookman Old Style" w:hAnsi="Bookman Old Style" w:cs="Arial"/>
          <w:i/>
          <w:sz w:val="22"/>
          <w:szCs w:val="22"/>
        </w:rPr>
        <w:lastRenderedPageBreak/>
        <w:t>contando con plazos razonables para ello, así como para que pudieran revisar y contrastar la información utilizada para el cálculo, en caso de presentarse incongruencias entre la información generada en el reporte de la SSPD y la información reportada por el distribuidor. Lo anterior, teniendo en cuenta que de esta decisión depende el desarrollo del objeto social de las empresas y su futuro más próximo.</w:t>
      </w:r>
    </w:p>
    <w:p w:rsidR="0031530D" w:rsidRPr="0031530D" w:rsidRDefault="0031530D" w:rsidP="0031530D">
      <w:pPr>
        <w:ind w:left="284" w:right="284"/>
        <w:jc w:val="both"/>
        <w:rPr>
          <w:rFonts w:ascii="Bookman Old Style" w:hAnsi="Bookman Old Style" w:cs="Arial"/>
          <w:i/>
          <w:sz w:val="22"/>
          <w:szCs w:val="22"/>
        </w:rPr>
      </w:pPr>
    </w:p>
    <w:p w:rsidR="0031530D" w:rsidRPr="0031530D" w:rsidRDefault="0031530D" w:rsidP="0031530D">
      <w:pPr>
        <w:ind w:left="284" w:right="284"/>
        <w:jc w:val="both"/>
        <w:rPr>
          <w:rFonts w:ascii="Bookman Old Style" w:hAnsi="Bookman Old Style" w:cs="Arial"/>
          <w:i/>
          <w:sz w:val="22"/>
          <w:szCs w:val="22"/>
        </w:rPr>
      </w:pPr>
      <w:r w:rsidRPr="0031530D">
        <w:rPr>
          <w:rFonts w:ascii="Bookman Old Style" w:hAnsi="Bookman Old Style" w:cs="Arial"/>
          <w:i/>
          <w:sz w:val="22"/>
          <w:szCs w:val="22"/>
        </w:rPr>
        <w:t>Contrariando el debido proceso administrativo, la CREG se abstuvo de realizar la etapa probatoria, y sólo permitió cuestionar dichos aspectos mediante recurso a la Resolución CREG 075 de 2016, que define la capacidad de compra para los distribuidores de CLP, días antes de que ECOPETROL estableciera las condiciones de la nueva oferta (OPC) de compra de dicho combustible .</w:t>
      </w:r>
    </w:p>
    <w:p w:rsidR="0031530D" w:rsidRDefault="0031530D" w:rsidP="0031530D">
      <w:pPr>
        <w:ind w:left="284" w:right="284"/>
        <w:jc w:val="both"/>
        <w:rPr>
          <w:rFonts w:ascii="Bookman Old Style" w:hAnsi="Bookman Old Style" w:cs="Arial"/>
          <w:i/>
          <w:sz w:val="22"/>
          <w:szCs w:val="22"/>
        </w:rPr>
      </w:pPr>
    </w:p>
    <w:p w:rsidR="009D0036" w:rsidRDefault="0031530D" w:rsidP="0031530D">
      <w:pPr>
        <w:ind w:left="284" w:right="284"/>
        <w:jc w:val="both"/>
        <w:rPr>
          <w:rFonts w:ascii="Bookman Old Style" w:hAnsi="Bookman Old Style" w:cs="Arial"/>
          <w:i/>
          <w:sz w:val="22"/>
          <w:szCs w:val="22"/>
        </w:rPr>
      </w:pPr>
      <w:r w:rsidRPr="0031530D">
        <w:rPr>
          <w:rFonts w:ascii="Bookman Old Style" w:hAnsi="Bookman Old Style" w:cs="Arial"/>
          <w:i/>
          <w:sz w:val="22"/>
          <w:szCs w:val="22"/>
        </w:rPr>
        <w:t>Así, la actuación administrativa para determinar la capacidad de compra, el despeje de las fórmulas correspondientes por parte de la CREG a cada distribuidor y el resultado de la capacidad dispuesta en el artículo 1 de la Resolución 075 de 2016, realmente es la aplicación de una prueba técnica. El Consejo de Estado ha elevado a esta categoría las resoluciones con contenido técnico proferidas por las entidades oficiales, en aras de garantizarle al particular su derecho de contradicción y defensa. Dicha corporación consideró violadas las garantías propias del debido proceso en un caso en que la administración consideró que una información técnica no era más que una resolución.</w:t>
      </w:r>
    </w:p>
    <w:p w:rsidR="00652F6D" w:rsidRDefault="00652F6D" w:rsidP="00652F6D">
      <w:pPr>
        <w:ind w:left="284" w:right="284"/>
        <w:jc w:val="both"/>
        <w:rPr>
          <w:rFonts w:ascii="Bookman Old Style" w:hAnsi="Bookman Old Style" w:cs="Arial"/>
          <w:i/>
          <w:sz w:val="22"/>
          <w:szCs w:val="22"/>
        </w:rPr>
      </w:pPr>
      <w:r>
        <w:rPr>
          <w:rFonts w:ascii="Bookman Old Style" w:hAnsi="Bookman Old Style" w:cs="Arial"/>
          <w:i/>
          <w:sz w:val="22"/>
          <w:szCs w:val="22"/>
        </w:rPr>
        <w:t xml:space="preserve"> </w:t>
      </w:r>
    </w:p>
    <w:p w:rsidR="0031530D" w:rsidRDefault="0031530D" w:rsidP="0031530D">
      <w:pPr>
        <w:ind w:left="284" w:right="284"/>
        <w:jc w:val="both"/>
        <w:rPr>
          <w:rFonts w:ascii="Bookman Old Style" w:hAnsi="Bookman Old Style" w:cs="Arial"/>
          <w:i/>
          <w:sz w:val="22"/>
          <w:szCs w:val="22"/>
        </w:rPr>
      </w:pPr>
      <w:r w:rsidRPr="0031530D">
        <w:rPr>
          <w:rFonts w:ascii="Bookman Old Style" w:hAnsi="Bookman Old Style" w:cs="Arial"/>
          <w:i/>
          <w:sz w:val="22"/>
          <w:szCs w:val="22"/>
        </w:rPr>
        <w:t>Teniendo en cuenta lo indicado por el Honorable Consejo de Estado, corresponde a la CREG reconocer el carácter de prueba técnica a la aplicación de las fórmulas respecto a cada distribuidor, y en consecuencia otorgarle a CHILCO todas las garantías procesales para objetar este tipo de prueba con base al artículo 40 del CPACA que indic</w:t>
      </w:r>
      <w:r>
        <w:rPr>
          <w:rFonts w:ascii="Bookman Old Style" w:hAnsi="Bookman Old Style" w:cs="Arial"/>
          <w:i/>
          <w:sz w:val="22"/>
          <w:szCs w:val="22"/>
        </w:rPr>
        <w:t>a que ‘</w:t>
      </w:r>
      <w:r w:rsidRPr="0031530D">
        <w:rPr>
          <w:rFonts w:ascii="Bookman Old Style" w:hAnsi="Bookman Old Style" w:cs="Arial"/>
          <w:i/>
          <w:sz w:val="22"/>
          <w:szCs w:val="22"/>
        </w:rPr>
        <w:t xml:space="preserve">el interesado contará con la oportunidad de controvertir (as pruebas aportadas o practicadas dentro de la actuación antes de que </w:t>
      </w:r>
      <w:r>
        <w:rPr>
          <w:rFonts w:ascii="Bookman Old Style" w:hAnsi="Bookman Old Style" w:cs="Arial"/>
          <w:i/>
          <w:sz w:val="22"/>
          <w:szCs w:val="22"/>
        </w:rPr>
        <w:t>se dicte una decisión de fondo’’</w:t>
      </w:r>
      <w:r w:rsidRPr="0031530D">
        <w:rPr>
          <w:rFonts w:ascii="Bookman Old Style" w:hAnsi="Bookman Old Style" w:cs="Arial"/>
          <w:i/>
          <w:sz w:val="22"/>
          <w:szCs w:val="22"/>
        </w:rPr>
        <w:t>.</w:t>
      </w:r>
    </w:p>
    <w:p w:rsidR="0031530D" w:rsidRPr="0031530D" w:rsidRDefault="0031530D" w:rsidP="0031530D">
      <w:pPr>
        <w:ind w:left="284" w:right="284"/>
        <w:jc w:val="both"/>
        <w:rPr>
          <w:rFonts w:ascii="Bookman Old Style" w:hAnsi="Bookman Old Style" w:cs="Arial"/>
          <w:i/>
          <w:sz w:val="22"/>
          <w:szCs w:val="22"/>
        </w:rPr>
      </w:pPr>
    </w:p>
    <w:p w:rsidR="0031530D" w:rsidRPr="0031530D" w:rsidRDefault="0031530D" w:rsidP="0031530D">
      <w:pPr>
        <w:ind w:left="284" w:right="284"/>
        <w:jc w:val="both"/>
        <w:rPr>
          <w:rFonts w:ascii="Bookman Old Style" w:hAnsi="Bookman Old Style" w:cs="Arial"/>
          <w:i/>
          <w:sz w:val="22"/>
          <w:szCs w:val="22"/>
        </w:rPr>
      </w:pPr>
      <w:r w:rsidRPr="0031530D">
        <w:rPr>
          <w:rFonts w:ascii="Bookman Old Style" w:hAnsi="Bookman Old Style" w:cs="Arial"/>
          <w:i/>
          <w:sz w:val="22"/>
          <w:szCs w:val="22"/>
        </w:rPr>
        <w:t>Con base lo anterior, es claro que CHILCO debió tener oportunidad de controvertir la prueba técnica practicada por la CREG, y con base al artículo 220 y 222 del CPACA tener oportunidad de presentar su propia prueba técnica del despeje de la fórmula, solicitado ampliación para el traslado de la prueba e inclusive presentar sus propias pruebas o elementos de juicio sobre su aplicación. Contrario a ello, CHILCO se ha visto abocado a controvertir esta prueba técnica en el escaso plazo de 5 días hábiles con los que cuenta para presentar el presente recurso, ya existiendo una determinación sobre la capacidad de compra.</w:t>
      </w:r>
    </w:p>
    <w:p w:rsidR="0031530D" w:rsidRDefault="0031530D" w:rsidP="0031530D">
      <w:pPr>
        <w:ind w:left="284" w:right="284"/>
        <w:jc w:val="both"/>
        <w:rPr>
          <w:rFonts w:ascii="Bookman Old Style" w:hAnsi="Bookman Old Style" w:cs="Arial"/>
          <w:i/>
          <w:sz w:val="22"/>
          <w:szCs w:val="22"/>
        </w:rPr>
      </w:pPr>
    </w:p>
    <w:p w:rsidR="00652F6D" w:rsidRPr="00EC3BB2" w:rsidRDefault="0031530D" w:rsidP="0031530D">
      <w:pPr>
        <w:ind w:left="284" w:right="284"/>
        <w:jc w:val="both"/>
        <w:rPr>
          <w:rFonts w:ascii="Bookman Old Style" w:hAnsi="Bookman Old Style" w:cs="Arial"/>
          <w:i/>
          <w:sz w:val="22"/>
          <w:szCs w:val="22"/>
        </w:rPr>
      </w:pPr>
      <w:r w:rsidRPr="0031530D">
        <w:rPr>
          <w:rFonts w:ascii="Bookman Old Style" w:hAnsi="Bookman Old Style" w:cs="Arial"/>
          <w:i/>
          <w:sz w:val="22"/>
          <w:szCs w:val="22"/>
        </w:rPr>
        <w:t>Por lo anterior la CREG viola el debido proceso administrativo al haberse abstenido de dar traslado de la prueba técnica practicada por ésta a CHILCO y los demás distribuidores para aplicar la Resolución CREG 063 de 2016 así como de la información de la SSPD que le sirve de base, con el fin de que se cumplieran las garantías procesales pertinentes.</w:t>
      </w:r>
    </w:p>
    <w:p w:rsidR="0031530D" w:rsidRDefault="0031530D" w:rsidP="007D1246">
      <w:pPr>
        <w:ind w:left="284" w:right="284"/>
        <w:jc w:val="both"/>
        <w:rPr>
          <w:rFonts w:ascii="Bookman Old Style" w:hAnsi="Bookman Old Style" w:cs="Arial"/>
          <w:i/>
          <w:sz w:val="22"/>
          <w:szCs w:val="22"/>
        </w:rPr>
      </w:pPr>
    </w:p>
    <w:p w:rsidR="0031530D" w:rsidRDefault="0031530D" w:rsidP="007D1246">
      <w:pPr>
        <w:ind w:left="284" w:right="284"/>
        <w:jc w:val="both"/>
        <w:rPr>
          <w:rFonts w:ascii="Bookman Old Style" w:hAnsi="Bookman Old Style" w:cs="Arial"/>
          <w:i/>
          <w:sz w:val="22"/>
          <w:szCs w:val="22"/>
        </w:rPr>
      </w:pPr>
      <w:r w:rsidRPr="0031530D">
        <w:rPr>
          <w:rFonts w:ascii="Bookman Old Style" w:hAnsi="Bookman Old Style" w:cs="Arial"/>
          <w:i/>
          <w:sz w:val="22"/>
          <w:szCs w:val="22"/>
        </w:rPr>
        <w:t>1.2.</w:t>
      </w:r>
      <w:r w:rsidRPr="0031530D">
        <w:rPr>
          <w:rFonts w:ascii="Bookman Old Style" w:hAnsi="Bookman Old Style" w:cs="Arial"/>
          <w:i/>
          <w:sz w:val="22"/>
          <w:szCs w:val="22"/>
        </w:rPr>
        <w:tab/>
        <w:t>VIOLACIÓN DE LOS DERECHOS DE LIBERTAD ECONÓMICA, LIBERTAD DE EMPRESA, LIBRE COMPETENCIA Y VULNERACIÓN DEL INTERÉS Y LA GARANTÍA DE PRESTACIÓN EFICIENTE DE SERVICIOS PÚBLICOS</w:t>
      </w:r>
    </w:p>
    <w:p w:rsidR="0031530D" w:rsidRDefault="0031530D" w:rsidP="007D1246">
      <w:pPr>
        <w:ind w:left="284" w:right="284"/>
        <w:jc w:val="both"/>
        <w:rPr>
          <w:rFonts w:ascii="Bookman Old Style" w:hAnsi="Bookman Old Style" w:cs="Arial"/>
          <w:i/>
          <w:sz w:val="22"/>
          <w:szCs w:val="22"/>
        </w:rPr>
      </w:pPr>
    </w:p>
    <w:p w:rsidR="0031530D" w:rsidRDefault="0031530D" w:rsidP="007D1246">
      <w:pPr>
        <w:ind w:left="284" w:right="284"/>
        <w:jc w:val="both"/>
        <w:rPr>
          <w:rFonts w:ascii="Bookman Old Style" w:hAnsi="Bookman Old Style" w:cs="Arial"/>
          <w:i/>
          <w:sz w:val="22"/>
          <w:szCs w:val="22"/>
        </w:rPr>
      </w:pPr>
      <w:r>
        <w:rPr>
          <w:rFonts w:ascii="Bookman Old Style" w:hAnsi="Bookman Old Style" w:cs="Arial"/>
          <w:i/>
          <w:sz w:val="22"/>
          <w:szCs w:val="22"/>
        </w:rPr>
        <w:t>(…)</w:t>
      </w:r>
      <w:r>
        <w:rPr>
          <w:rFonts w:ascii="Bookman Old Style" w:hAnsi="Bookman Old Style" w:cs="Arial"/>
          <w:i/>
          <w:sz w:val="22"/>
          <w:szCs w:val="22"/>
        </w:rPr>
        <w:br/>
      </w:r>
    </w:p>
    <w:p w:rsidR="0031530D" w:rsidRDefault="0031530D" w:rsidP="0031530D">
      <w:pPr>
        <w:ind w:left="284" w:right="284"/>
        <w:jc w:val="both"/>
        <w:rPr>
          <w:rFonts w:ascii="Bookman Old Style" w:hAnsi="Bookman Old Style" w:cs="Arial"/>
          <w:i/>
          <w:sz w:val="22"/>
          <w:szCs w:val="22"/>
          <w:u w:val="single"/>
        </w:rPr>
      </w:pPr>
      <w:r w:rsidRPr="0031530D">
        <w:rPr>
          <w:rFonts w:ascii="Bookman Old Style" w:hAnsi="Bookman Old Style" w:cs="Arial"/>
          <w:i/>
          <w:sz w:val="22"/>
          <w:szCs w:val="22"/>
          <w:u w:val="single"/>
        </w:rPr>
        <w:t>Las limitaciones a las libertades impuestas por la CREG</w:t>
      </w:r>
    </w:p>
    <w:p w:rsidR="0031530D" w:rsidRPr="0031530D" w:rsidRDefault="0031530D" w:rsidP="0031530D">
      <w:pPr>
        <w:ind w:left="284" w:right="284"/>
        <w:jc w:val="both"/>
        <w:rPr>
          <w:rFonts w:ascii="Bookman Old Style" w:hAnsi="Bookman Old Style" w:cs="Arial"/>
          <w:i/>
          <w:sz w:val="22"/>
          <w:szCs w:val="22"/>
          <w:u w:val="single"/>
        </w:rPr>
      </w:pPr>
    </w:p>
    <w:p w:rsidR="0031530D" w:rsidRPr="0031530D" w:rsidRDefault="0031530D" w:rsidP="0031530D">
      <w:pPr>
        <w:ind w:left="284" w:right="284"/>
        <w:jc w:val="both"/>
        <w:rPr>
          <w:rFonts w:ascii="Bookman Old Style" w:hAnsi="Bookman Old Style" w:cs="Arial"/>
          <w:i/>
          <w:sz w:val="22"/>
          <w:szCs w:val="22"/>
        </w:rPr>
      </w:pPr>
      <w:r w:rsidRPr="0031530D">
        <w:rPr>
          <w:rFonts w:ascii="Bookman Old Style" w:hAnsi="Bookman Old Style" w:cs="Arial"/>
          <w:i/>
          <w:sz w:val="22"/>
          <w:szCs w:val="22"/>
        </w:rPr>
        <w:t xml:space="preserve">Aunque todos los interesados presentaron sendas inquietudes sobre la aplicación de la restricción a la capacidad de compra en el sector de GLP, en la oportunidad </w:t>
      </w:r>
      <w:r w:rsidRPr="0031530D">
        <w:rPr>
          <w:rFonts w:ascii="Bookman Old Style" w:hAnsi="Bookman Old Style" w:cs="Arial"/>
          <w:i/>
          <w:sz w:val="22"/>
          <w:szCs w:val="22"/>
        </w:rPr>
        <w:lastRenderedPageBreak/>
        <w:t>otorgada para presentar comentarios en el respectivo proceso regulatorio, la CREG desestimó cada uno de ellos. Incluso, hizo caso omiso de las advertencias presentadas por la propia SIC sobre los efectos adversos en la competencia que podría traer dicha medida.</w:t>
      </w:r>
    </w:p>
    <w:p w:rsidR="0031530D" w:rsidRDefault="0031530D" w:rsidP="0031530D">
      <w:pPr>
        <w:ind w:left="284" w:right="284"/>
        <w:jc w:val="both"/>
        <w:rPr>
          <w:rFonts w:ascii="Bookman Old Style" w:hAnsi="Bookman Old Style" w:cs="Arial"/>
          <w:i/>
          <w:sz w:val="22"/>
          <w:szCs w:val="22"/>
        </w:rPr>
      </w:pPr>
    </w:p>
    <w:p w:rsidR="0031530D" w:rsidRPr="0031530D" w:rsidRDefault="0031530D" w:rsidP="0031530D">
      <w:pPr>
        <w:ind w:left="284" w:right="284"/>
        <w:jc w:val="both"/>
        <w:rPr>
          <w:rFonts w:ascii="Bookman Old Style" w:hAnsi="Bookman Old Style" w:cs="Arial"/>
          <w:i/>
          <w:sz w:val="22"/>
          <w:szCs w:val="22"/>
        </w:rPr>
      </w:pPr>
      <w:r w:rsidRPr="0031530D">
        <w:rPr>
          <w:rFonts w:ascii="Bookman Old Style" w:hAnsi="Bookman Old Style" w:cs="Arial"/>
          <w:i/>
          <w:sz w:val="22"/>
          <w:szCs w:val="22"/>
        </w:rPr>
        <w:t>Lo cierto es que cuando la CREG determina un límite para que los distribuidores puedan comprar el GLP ante el productor, lo que hace es poner restricciones a la libertad económica, la libertad de empresa y la libre competencia económica de los distribuidores, sin que exista suficiente justificación para ello. Lo anterior, en tanto:</w:t>
      </w:r>
    </w:p>
    <w:p w:rsidR="0031530D" w:rsidRDefault="0031530D" w:rsidP="0031530D">
      <w:pPr>
        <w:ind w:left="284" w:right="284"/>
        <w:jc w:val="both"/>
        <w:rPr>
          <w:rFonts w:ascii="Bookman Old Style" w:hAnsi="Bookman Old Style" w:cs="Arial"/>
          <w:i/>
          <w:sz w:val="22"/>
          <w:szCs w:val="22"/>
        </w:rPr>
      </w:pPr>
    </w:p>
    <w:p w:rsidR="0031530D" w:rsidRPr="0031530D" w:rsidRDefault="0031530D" w:rsidP="0031530D">
      <w:pPr>
        <w:ind w:left="284" w:right="284"/>
        <w:jc w:val="both"/>
        <w:rPr>
          <w:rFonts w:ascii="Bookman Old Style" w:hAnsi="Bookman Old Style" w:cs="Arial"/>
          <w:i/>
          <w:sz w:val="22"/>
          <w:szCs w:val="22"/>
        </w:rPr>
      </w:pPr>
      <w:r w:rsidRPr="0031530D">
        <w:rPr>
          <w:rFonts w:ascii="Bookman Old Style" w:hAnsi="Bookman Old Style" w:cs="Arial"/>
          <w:i/>
          <w:sz w:val="22"/>
          <w:szCs w:val="22"/>
        </w:rPr>
        <w:t>a)</w:t>
      </w:r>
      <w:r w:rsidRPr="0031530D">
        <w:rPr>
          <w:rFonts w:ascii="Bookman Old Style" w:hAnsi="Bookman Old Style" w:cs="Arial"/>
          <w:i/>
          <w:sz w:val="22"/>
          <w:szCs w:val="22"/>
        </w:rPr>
        <w:tab/>
        <w:t>El Distribuidor sólo puede adquirir el GLP de acuerdo a la capacidad de envasado la cual se mide con una fórmula estática de la CREG, con base a unos parámetros generales que se aplican a todos los distribuidores y que no considera las condiciones particulares de cada operación. Por ejemplo, CHILCO tiene una operación más eficiente lo que hace que pueda tener una rotación mayor a los de sus competidores.</w:t>
      </w:r>
    </w:p>
    <w:p w:rsidR="0031530D" w:rsidRDefault="0031530D" w:rsidP="0031530D">
      <w:pPr>
        <w:ind w:left="284" w:right="284"/>
        <w:jc w:val="both"/>
        <w:rPr>
          <w:rFonts w:ascii="Bookman Old Style" w:hAnsi="Bookman Old Style" w:cs="Arial"/>
          <w:i/>
          <w:sz w:val="22"/>
          <w:szCs w:val="22"/>
        </w:rPr>
      </w:pPr>
    </w:p>
    <w:p w:rsidR="0031530D" w:rsidRDefault="0031530D" w:rsidP="0031530D">
      <w:pPr>
        <w:ind w:left="284" w:right="284"/>
        <w:jc w:val="both"/>
        <w:rPr>
          <w:rFonts w:ascii="Bookman Old Style" w:hAnsi="Bookman Old Style" w:cs="Arial"/>
          <w:i/>
          <w:sz w:val="22"/>
          <w:szCs w:val="22"/>
        </w:rPr>
      </w:pPr>
      <w:r w:rsidRPr="0031530D">
        <w:rPr>
          <w:rFonts w:ascii="Bookman Old Style" w:hAnsi="Bookman Old Style" w:cs="Arial"/>
          <w:i/>
          <w:sz w:val="22"/>
          <w:szCs w:val="22"/>
        </w:rPr>
        <w:t>De esta forma, la CREG está castigando la eficiencia de CHILCO y lo está obligando a que tenga la misma eficiencia de sus competidores, con lo cual se</w:t>
      </w:r>
      <w:r>
        <w:rPr>
          <w:rFonts w:ascii="Bookman Old Style" w:hAnsi="Bookman Old Style" w:cs="Arial"/>
          <w:i/>
          <w:sz w:val="22"/>
          <w:szCs w:val="22"/>
        </w:rPr>
        <w:t xml:space="preserve"> </w:t>
      </w:r>
      <w:r w:rsidRPr="0031530D">
        <w:rPr>
          <w:rFonts w:ascii="Bookman Old Style" w:hAnsi="Bookman Old Style" w:cs="Arial"/>
          <w:i/>
          <w:sz w:val="22"/>
          <w:szCs w:val="22"/>
        </w:rPr>
        <w:t>restringe</w:t>
      </w:r>
      <w:r>
        <w:rPr>
          <w:rFonts w:ascii="Bookman Old Style" w:hAnsi="Bookman Old Style" w:cs="Arial"/>
          <w:i/>
          <w:sz w:val="22"/>
          <w:szCs w:val="22"/>
        </w:rPr>
        <w:t xml:space="preserve"> su capacidad para operar en el </w:t>
      </w:r>
      <w:r w:rsidRPr="0031530D">
        <w:rPr>
          <w:rFonts w:ascii="Bookman Old Style" w:hAnsi="Bookman Old Style" w:cs="Arial"/>
          <w:i/>
          <w:sz w:val="22"/>
          <w:szCs w:val="22"/>
        </w:rPr>
        <w:t>mercado con las condiciones competitivas que ha ganado por su misma operación.</w:t>
      </w:r>
    </w:p>
    <w:p w:rsidR="0031530D" w:rsidRPr="0031530D" w:rsidRDefault="0031530D" w:rsidP="0031530D">
      <w:pPr>
        <w:ind w:left="284" w:right="284"/>
        <w:jc w:val="both"/>
        <w:rPr>
          <w:rFonts w:ascii="Bookman Old Style" w:hAnsi="Bookman Old Style" w:cs="Arial"/>
          <w:i/>
          <w:sz w:val="22"/>
          <w:szCs w:val="22"/>
        </w:rPr>
      </w:pPr>
    </w:p>
    <w:p w:rsidR="0031530D" w:rsidRDefault="0031530D" w:rsidP="0031530D">
      <w:pPr>
        <w:ind w:left="284" w:right="284"/>
        <w:jc w:val="both"/>
        <w:rPr>
          <w:rFonts w:ascii="Bookman Old Style" w:hAnsi="Bookman Old Style" w:cs="Arial"/>
          <w:i/>
          <w:sz w:val="22"/>
          <w:szCs w:val="22"/>
        </w:rPr>
      </w:pPr>
      <w:r>
        <w:rPr>
          <w:rFonts w:ascii="Bookman Old Style" w:hAnsi="Bookman Old Style" w:cs="Arial"/>
          <w:i/>
          <w:sz w:val="22"/>
          <w:szCs w:val="22"/>
        </w:rPr>
        <w:t>b</w:t>
      </w:r>
      <w:r w:rsidRPr="0031530D">
        <w:rPr>
          <w:rFonts w:ascii="Bookman Old Style" w:hAnsi="Bookman Old Style" w:cs="Arial"/>
          <w:i/>
          <w:sz w:val="22"/>
          <w:szCs w:val="22"/>
        </w:rPr>
        <w:t>) El distribuidor no puede actuar en forma dinámica en el mercado, en tanto, la capacidad de compra se determina con base</w:t>
      </w:r>
      <w:r>
        <w:rPr>
          <w:rFonts w:ascii="Bookman Old Style" w:hAnsi="Bookman Old Style" w:cs="Arial"/>
          <w:i/>
          <w:sz w:val="22"/>
          <w:szCs w:val="22"/>
        </w:rPr>
        <w:t xml:space="preserve"> </w:t>
      </w:r>
      <w:r w:rsidRPr="0031530D">
        <w:rPr>
          <w:rFonts w:ascii="Bookman Old Style" w:hAnsi="Bookman Old Style" w:cs="Arial"/>
          <w:i/>
          <w:sz w:val="22"/>
          <w:szCs w:val="22"/>
        </w:rPr>
        <w:t>a</w:t>
      </w:r>
      <w:r>
        <w:rPr>
          <w:rFonts w:ascii="Bookman Old Style" w:hAnsi="Bookman Old Style" w:cs="Arial"/>
          <w:i/>
          <w:sz w:val="22"/>
          <w:szCs w:val="22"/>
        </w:rPr>
        <w:t xml:space="preserve"> </w:t>
      </w:r>
      <w:r w:rsidRPr="0031530D">
        <w:rPr>
          <w:rFonts w:ascii="Bookman Old Style" w:hAnsi="Bookman Old Style" w:cs="Arial"/>
          <w:i/>
          <w:sz w:val="22"/>
          <w:szCs w:val="22"/>
        </w:rPr>
        <w:t>la capacidad de envasado de cada distribuidor que se establece cada tres meses. Si</w:t>
      </w:r>
      <w:r>
        <w:rPr>
          <w:rFonts w:ascii="Bookman Old Style" w:hAnsi="Bookman Old Style" w:cs="Arial"/>
          <w:i/>
          <w:sz w:val="22"/>
          <w:szCs w:val="22"/>
        </w:rPr>
        <w:t xml:space="preserve"> </w:t>
      </w:r>
      <w:r w:rsidRPr="0031530D">
        <w:rPr>
          <w:rFonts w:ascii="Bookman Old Style" w:hAnsi="Bookman Old Style" w:cs="Arial"/>
          <w:i/>
          <w:sz w:val="22"/>
          <w:szCs w:val="22"/>
        </w:rPr>
        <w:t>un distribuidor quiere realizar planes agresivos comerciales,</w:t>
      </w:r>
      <w:r>
        <w:rPr>
          <w:rFonts w:ascii="Bookman Old Style" w:hAnsi="Bookman Old Style" w:cs="Arial"/>
          <w:i/>
          <w:sz w:val="22"/>
          <w:szCs w:val="22"/>
        </w:rPr>
        <w:t xml:space="preserve"> </w:t>
      </w:r>
      <w:r w:rsidRPr="0031530D">
        <w:rPr>
          <w:rFonts w:ascii="Bookman Old Style" w:hAnsi="Bookman Old Style" w:cs="Arial"/>
          <w:i/>
          <w:sz w:val="22"/>
          <w:szCs w:val="22"/>
        </w:rPr>
        <w:t>está sujeto</w:t>
      </w:r>
      <w:r>
        <w:rPr>
          <w:rFonts w:ascii="Bookman Old Style" w:hAnsi="Bookman Old Style" w:cs="Arial"/>
          <w:i/>
          <w:sz w:val="22"/>
          <w:szCs w:val="22"/>
        </w:rPr>
        <w:t xml:space="preserve"> </w:t>
      </w:r>
      <w:r w:rsidRPr="0031530D">
        <w:rPr>
          <w:rFonts w:ascii="Bookman Old Style" w:hAnsi="Bookman Old Style" w:cs="Arial"/>
          <w:i/>
          <w:sz w:val="22"/>
          <w:szCs w:val="22"/>
        </w:rPr>
        <w:t>a</w:t>
      </w:r>
      <w:r>
        <w:rPr>
          <w:rFonts w:ascii="Bookman Old Style" w:hAnsi="Bookman Old Style" w:cs="Arial"/>
          <w:i/>
          <w:sz w:val="22"/>
          <w:szCs w:val="22"/>
        </w:rPr>
        <w:t xml:space="preserve"> </w:t>
      </w:r>
      <w:r w:rsidRPr="0031530D">
        <w:rPr>
          <w:rFonts w:ascii="Bookman Old Style" w:hAnsi="Bookman Old Style" w:cs="Arial"/>
          <w:i/>
          <w:sz w:val="22"/>
          <w:szCs w:val="22"/>
        </w:rPr>
        <w:t>realizar más inversiones en envasado</w:t>
      </w:r>
      <w:r>
        <w:rPr>
          <w:rFonts w:ascii="Bookman Old Style" w:hAnsi="Bookman Old Style" w:cs="Arial"/>
          <w:i/>
          <w:sz w:val="22"/>
          <w:szCs w:val="22"/>
        </w:rPr>
        <w:t xml:space="preserve"> </w:t>
      </w:r>
      <w:r w:rsidRPr="0031530D">
        <w:rPr>
          <w:rFonts w:ascii="Bookman Old Style" w:hAnsi="Bookman Old Style" w:cs="Arial"/>
          <w:i/>
          <w:sz w:val="22"/>
          <w:szCs w:val="22"/>
        </w:rPr>
        <w:t>y</w:t>
      </w:r>
      <w:r>
        <w:rPr>
          <w:rFonts w:ascii="Bookman Old Style" w:hAnsi="Bookman Old Style" w:cs="Arial"/>
          <w:i/>
          <w:sz w:val="22"/>
          <w:szCs w:val="22"/>
        </w:rPr>
        <w:t xml:space="preserve"> </w:t>
      </w:r>
      <w:r w:rsidRPr="0031530D">
        <w:rPr>
          <w:rFonts w:ascii="Bookman Old Style" w:hAnsi="Bookman Old Style" w:cs="Arial"/>
          <w:i/>
          <w:sz w:val="22"/>
          <w:szCs w:val="22"/>
        </w:rPr>
        <w:t>debe</w:t>
      </w:r>
      <w:r>
        <w:rPr>
          <w:rFonts w:ascii="Bookman Old Style" w:hAnsi="Bookman Old Style" w:cs="Arial"/>
          <w:i/>
          <w:sz w:val="22"/>
          <w:szCs w:val="22"/>
        </w:rPr>
        <w:t xml:space="preserve"> </w:t>
      </w:r>
      <w:r w:rsidRPr="0031530D">
        <w:rPr>
          <w:rFonts w:ascii="Bookman Old Style" w:hAnsi="Bookman Old Style" w:cs="Arial"/>
          <w:i/>
          <w:sz w:val="22"/>
          <w:szCs w:val="22"/>
        </w:rPr>
        <w:t>esperarse</w:t>
      </w:r>
      <w:r>
        <w:rPr>
          <w:rFonts w:ascii="Bookman Old Style" w:hAnsi="Bookman Old Style" w:cs="Arial"/>
          <w:i/>
          <w:sz w:val="22"/>
          <w:szCs w:val="22"/>
        </w:rPr>
        <w:t xml:space="preserve"> </w:t>
      </w:r>
      <w:r w:rsidRPr="0031530D">
        <w:rPr>
          <w:rFonts w:ascii="Bookman Old Style" w:hAnsi="Bookman Old Style" w:cs="Arial"/>
          <w:i/>
          <w:sz w:val="22"/>
          <w:szCs w:val="22"/>
        </w:rPr>
        <w:t>a</w:t>
      </w:r>
      <w:r>
        <w:rPr>
          <w:rFonts w:ascii="Bookman Old Style" w:hAnsi="Bookman Old Style" w:cs="Arial"/>
          <w:i/>
          <w:sz w:val="22"/>
          <w:szCs w:val="22"/>
        </w:rPr>
        <w:t xml:space="preserve"> </w:t>
      </w:r>
      <w:r w:rsidRPr="0031530D">
        <w:rPr>
          <w:rFonts w:ascii="Bookman Old Style" w:hAnsi="Bookman Old Style" w:cs="Arial"/>
          <w:i/>
          <w:sz w:val="22"/>
          <w:szCs w:val="22"/>
        </w:rPr>
        <w:t xml:space="preserve">que dicha capacidad esté registrada ante la </w:t>
      </w:r>
      <w:r>
        <w:rPr>
          <w:rFonts w:ascii="Bookman Old Style" w:hAnsi="Bookman Old Style" w:cs="Arial"/>
          <w:i/>
          <w:sz w:val="22"/>
          <w:szCs w:val="22"/>
        </w:rPr>
        <w:t>SSPD</w:t>
      </w:r>
      <w:r w:rsidRPr="0031530D">
        <w:rPr>
          <w:rFonts w:ascii="Bookman Old Style" w:hAnsi="Bookman Old Style" w:cs="Arial"/>
          <w:i/>
          <w:sz w:val="22"/>
          <w:szCs w:val="22"/>
        </w:rPr>
        <w:t>.</w:t>
      </w:r>
    </w:p>
    <w:p w:rsidR="0031530D" w:rsidRPr="0031530D" w:rsidRDefault="0031530D" w:rsidP="0031530D">
      <w:pPr>
        <w:ind w:left="284" w:right="284"/>
        <w:jc w:val="both"/>
        <w:rPr>
          <w:rFonts w:ascii="Bookman Old Style" w:hAnsi="Bookman Old Style" w:cs="Arial"/>
          <w:i/>
          <w:sz w:val="22"/>
          <w:szCs w:val="22"/>
        </w:rPr>
      </w:pPr>
    </w:p>
    <w:p w:rsidR="0031530D" w:rsidRPr="0031530D" w:rsidRDefault="0031530D" w:rsidP="0031530D">
      <w:pPr>
        <w:ind w:left="284" w:right="284"/>
        <w:jc w:val="both"/>
        <w:rPr>
          <w:rFonts w:ascii="Bookman Old Style" w:hAnsi="Bookman Old Style" w:cs="Arial"/>
          <w:i/>
          <w:sz w:val="22"/>
          <w:szCs w:val="22"/>
        </w:rPr>
      </w:pPr>
      <w:r w:rsidRPr="0031530D">
        <w:rPr>
          <w:rFonts w:ascii="Bookman Old Style" w:hAnsi="Bookman Old Style" w:cs="Arial"/>
          <w:i/>
          <w:sz w:val="22"/>
          <w:szCs w:val="22"/>
        </w:rPr>
        <w:t xml:space="preserve">Este hecho fue advertido por la </w:t>
      </w:r>
      <w:r>
        <w:rPr>
          <w:rFonts w:ascii="Bookman Old Style" w:hAnsi="Bookman Old Style" w:cs="Arial"/>
          <w:i/>
          <w:sz w:val="22"/>
          <w:szCs w:val="22"/>
        </w:rPr>
        <w:t>SIC</w:t>
      </w:r>
      <w:r w:rsidRPr="0031530D">
        <w:rPr>
          <w:rFonts w:ascii="Bookman Old Style" w:hAnsi="Bookman Old Style" w:cs="Arial"/>
          <w:i/>
          <w:sz w:val="22"/>
          <w:szCs w:val="22"/>
        </w:rPr>
        <w:t>, que señaló:</w:t>
      </w:r>
    </w:p>
    <w:p w:rsidR="0031530D" w:rsidRDefault="0031530D" w:rsidP="0031530D">
      <w:pPr>
        <w:ind w:left="284" w:right="284"/>
        <w:jc w:val="both"/>
        <w:rPr>
          <w:rFonts w:ascii="Bookman Old Style" w:hAnsi="Bookman Old Style" w:cs="Arial"/>
          <w:i/>
          <w:sz w:val="22"/>
          <w:szCs w:val="22"/>
        </w:rPr>
      </w:pPr>
    </w:p>
    <w:p w:rsidR="0031530D" w:rsidRDefault="0031530D" w:rsidP="0031530D">
      <w:pPr>
        <w:ind w:left="284" w:right="284"/>
        <w:jc w:val="both"/>
        <w:rPr>
          <w:rFonts w:ascii="Bookman Old Style" w:hAnsi="Bookman Old Style" w:cs="Arial"/>
          <w:i/>
          <w:sz w:val="22"/>
          <w:szCs w:val="22"/>
        </w:rPr>
      </w:pPr>
      <w:r>
        <w:rPr>
          <w:rFonts w:ascii="Bookman Old Style" w:hAnsi="Bookman Old Style" w:cs="Arial"/>
          <w:i/>
          <w:sz w:val="22"/>
          <w:szCs w:val="22"/>
        </w:rPr>
        <w:t>‘Todo esto introduce a</w:t>
      </w:r>
      <w:r w:rsidRPr="0031530D">
        <w:rPr>
          <w:rFonts w:ascii="Bookman Old Style" w:hAnsi="Bookman Old Style" w:cs="Arial"/>
          <w:i/>
          <w:sz w:val="22"/>
          <w:szCs w:val="22"/>
        </w:rPr>
        <w:t xml:space="preserve">l mercado uno rigidez </w:t>
      </w:r>
      <w:r>
        <w:rPr>
          <w:rFonts w:ascii="Bookman Old Style" w:hAnsi="Bookman Old Style" w:cs="Arial"/>
          <w:i/>
          <w:sz w:val="22"/>
          <w:szCs w:val="22"/>
        </w:rPr>
        <w:t>adicional, debido o que el demandante tendría una sola oportunidad al a</w:t>
      </w:r>
      <w:r w:rsidRPr="0031530D">
        <w:rPr>
          <w:rFonts w:ascii="Bookman Old Style" w:hAnsi="Bookman Old Style" w:cs="Arial"/>
          <w:i/>
          <w:sz w:val="22"/>
          <w:szCs w:val="22"/>
        </w:rPr>
        <w:t xml:space="preserve">ño de </w:t>
      </w:r>
      <w:r>
        <w:rPr>
          <w:rFonts w:ascii="Bookman Old Style" w:hAnsi="Bookman Old Style" w:cs="Arial"/>
          <w:i/>
          <w:sz w:val="22"/>
          <w:szCs w:val="22"/>
        </w:rPr>
        <w:t>estimar</w:t>
      </w:r>
      <w:r w:rsidRPr="0031530D">
        <w:rPr>
          <w:rFonts w:ascii="Bookman Old Style" w:hAnsi="Bookman Old Style" w:cs="Arial"/>
          <w:i/>
          <w:sz w:val="22"/>
          <w:szCs w:val="22"/>
        </w:rPr>
        <w:t xml:space="preserve"> </w:t>
      </w:r>
      <w:r>
        <w:rPr>
          <w:rFonts w:ascii="Bookman Old Style" w:hAnsi="Bookman Old Style" w:cs="Arial"/>
          <w:i/>
          <w:sz w:val="22"/>
          <w:szCs w:val="22"/>
        </w:rPr>
        <w:t xml:space="preserve">su </w:t>
      </w:r>
      <w:r w:rsidRPr="0031530D">
        <w:rPr>
          <w:rFonts w:ascii="Bookman Old Style" w:hAnsi="Bookman Old Style" w:cs="Arial"/>
          <w:i/>
          <w:sz w:val="22"/>
          <w:szCs w:val="22"/>
        </w:rPr>
        <w:t>capacidad</w:t>
      </w:r>
      <w:r>
        <w:rPr>
          <w:rFonts w:ascii="Bookman Old Style" w:hAnsi="Bookman Old Style" w:cs="Arial"/>
          <w:i/>
          <w:sz w:val="22"/>
          <w:szCs w:val="22"/>
        </w:rPr>
        <w:t xml:space="preserve"> </w:t>
      </w:r>
      <w:r w:rsidRPr="0031530D">
        <w:rPr>
          <w:rFonts w:ascii="Bookman Old Style" w:hAnsi="Bookman Old Style" w:cs="Arial"/>
          <w:i/>
          <w:sz w:val="22"/>
          <w:szCs w:val="22"/>
        </w:rPr>
        <w:t>de envasado</w:t>
      </w:r>
      <w:r>
        <w:rPr>
          <w:rFonts w:ascii="Bookman Old Style" w:hAnsi="Bookman Old Style" w:cs="Arial"/>
          <w:i/>
          <w:sz w:val="22"/>
          <w:szCs w:val="22"/>
        </w:rPr>
        <w:t xml:space="preserve"> que necesito paro atender sus clientes y realizar la</w:t>
      </w:r>
      <w:r w:rsidRPr="0031530D">
        <w:rPr>
          <w:rFonts w:ascii="Bookman Old Style" w:hAnsi="Bookman Old Style" w:cs="Arial"/>
          <w:i/>
          <w:sz w:val="22"/>
          <w:szCs w:val="22"/>
        </w:rPr>
        <w:t xml:space="preserve">s inversiones correspondientes, </w:t>
      </w:r>
      <w:r>
        <w:rPr>
          <w:rFonts w:ascii="Bookman Old Style" w:hAnsi="Bookman Old Style" w:cs="Arial"/>
          <w:i/>
          <w:sz w:val="22"/>
          <w:szCs w:val="22"/>
        </w:rPr>
        <w:t>asumiendo el riesgo quedar con capacidad ociosa de envasado al resultar errada su predicción.</w:t>
      </w:r>
    </w:p>
    <w:p w:rsidR="0031530D" w:rsidRDefault="0031530D" w:rsidP="0031530D">
      <w:pPr>
        <w:ind w:left="284" w:right="284"/>
        <w:jc w:val="both"/>
        <w:rPr>
          <w:rFonts w:ascii="Bookman Old Style" w:hAnsi="Bookman Old Style" w:cs="Arial"/>
          <w:i/>
          <w:sz w:val="22"/>
          <w:szCs w:val="22"/>
        </w:rPr>
      </w:pPr>
    </w:p>
    <w:p w:rsidR="0031530D" w:rsidRDefault="0031530D" w:rsidP="0031530D">
      <w:pPr>
        <w:ind w:left="284" w:right="284"/>
        <w:jc w:val="both"/>
        <w:rPr>
          <w:rFonts w:ascii="Bookman Old Style" w:hAnsi="Bookman Old Style" w:cs="Arial"/>
          <w:i/>
          <w:sz w:val="22"/>
          <w:szCs w:val="22"/>
        </w:rPr>
      </w:pPr>
      <w:r>
        <w:rPr>
          <w:rFonts w:ascii="Bookman Old Style" w:hAnsi="Bookman Old Style" w:cs="Arial"/>
          <w:i/>
          <w:sz w:val="22"/>
          <w:szCs w:val="22"/>
        </w:rPr>
        <w:t>Tal situación podría ocasionar un obstáculo al flujo normal del producto y de las inversiones, lo cual desincentivaría el crecimiento de los agentes en el mercado y, en consecuencia, podría privar eventualmente a los usuarios de los beneficios de la competencia’.</w:t>
      </w:r>
    </w:p>
    <w:p w:rsidR="0031530D" w:rsidRPr="0031530D" w:rsidRDefault="0031530D" w:rsidP="0031530D">
      <w:pPr>
        <w:ind w:left="284" w:right="284"/>
        <w:jc w:val="both"/>
        <w:rPr>
          <w:rFonts w:ascii="Bookman Old Style" w:hAnsi="Bookman Old Style" w:cs="Arial"/>
          <w:i/>
          <w:sz w:val="22"/>
          <w:szCs w:val="22"/>
        </w:rPr>
      </w:pPr>
    </w:p>
    <w:p w:rsidR="0031530D" w:rsidRDefault="0031530D" w:rsidP="0031530D">
      <w:pPr>
        <w:ind w:left="284" w:right="284"/>
        <w:jc w:val="both"/>
        <w:rPr>
          <w:rFonts w:ascii="Bookman Old Style" w:hAnsi="Bookman Old Style" w:cs="Arial"/>
          <w:i/>
          <w:sz w:val="22"/>
          <w:szCs w:val="22"/>
        </w:rPr>
      </w:pPr>
      <w:r w:rsidRPr="0031530D">
        <w:rPr>
          <w:rFonts w:ascii="Bookman Old Style" w:hAnsi="Bookman Old Style" w:cs="Arial"/>
          <w:i/>
          <w:sz w:val="22"/>
          <w:szCs w:val="22"/>
        </w:rPr>
        <w:t>c) la capacidad de compra es menor que la capacidad de venta del distribuidor, entonces se afectará a los usuarios quienes se abstendrán de contar con la oferta del distribuidor que carece de GLP por las barreras artificiales</w:t>
      </w:r>
      <w:r>
        <w:rPr>
          <w:rFonts w:ascii="Bookman Old Style" w:hAnsi="Bookman Old Style" w:cs="Arial"/>
          <w:i/>
          <w:sz w:val="22"/>
          <w:szCs w:val="22"/>
        </w:rPr>
        <w:t xml:space="preserve"> </w:t>
      </w:r>
      <w:r w:rsidRPr="0031530D">
        <w:rPr>
          <w:rFonts w:ascii="Bookman Old Style" w:hAnsi="Bookman Old Style" w:cs="Arial"/>
          <w:i/>
          <w:sz w:val="22"/>
          <w:szCs w:val="22"/>
        </w:rPr>
        <w:t>dispuestas</w:t>
      </w:r>
      <w:r>
        <w:rPr>
          <w:rFonts w:ascii="Bookman Old Style" w:hAnsi="Bookman Old Style" w:cs="Arial"/>
          <w:i/>
          <w:sz w:val="22"/>
          <w:szCs w:val="22"/>
        </w:rPr>
        <w:t xml:space="preserve"> </w:t>
      </w:r>
      <w:r w:rsidRPr="0031530D">
        <w:rPr>
          <w:rFonts w:ascii="Bookman Old Style" w:hAnsi="Bookman Old Style" w:cs="Arial"/>
          <w:i/>
          <w:sz w:val="22"/>
          <w:szCs w:val="22"/>
        </w:rPr>
        <w:t>po</w:t>
      </w:r>
      <w:r>
        <w:rPr>
          <w:rFonts w:ascii="Bookman Old Style" w:hAnsi="Bookman Old Style" w:cs="Arial"/>
          <w:i/>
          <w:sz w:val="22"/>
          <w:szCs w:val="22"/>
        </w:rPr>
        <w:t>r la regulación. C</w:t>
      </w:r>
      <w:r w:rsidRPr="0031530D">
        <w:rPr>
          <w:rFonts w:ascii="Bookman Old Style" w:hAnsi="Bookman Old Style" w:cs="Arial"/>
          <w:i/>
          <w:sz w:val="22"/>
          <w:szCs w:val="22"/>
        </w:rPr>
        <w:t>omo se explicará en el punto</w:t>
      </w:r>
      <w:r>
        <w:rPr>
          <w:rFonts w:ascii="Bookman Old Style" w:hAnsi="Bookman Old Style" w:cs="Arial"/>
          <w:i/>
          <w:sz w:val="22"/>
          <w:szCs w:val="22"/>
        </w:rPr>
        <w:t xml:space="preserve"> </w:t>
      </w:r>
      <w:r w:rsidRPr="0031530D">
        <w:rPr>
          <w:rFonts w:ascii="Bookman Old Style" w:hAnsi="Bookman Old Style" w:cs="Arial"/>
          <w:i/>
          <w:sz w:val="22"/>
          <w:szCs w:val="22"/>
        </w:rPr>
        <w:t>2</w:t>
      </w:r>
      <w:r>
        <w:rPr>
          <w:rFonts w:ascii="Bookman Old Style" w:hAnsi="Bookman Old Style" w:cs="Arial"/>
          <w:i/>
          <w:sz w:val="22"/>
          <w:szCs w:val="22"/>
        </w:rPr>
        <w:t xml:space="preserve"> </w:t>
      </w:r>
      <w:r w:rsidRPr="0031530D">
        <w:rPr>
          <w:rFonts w:ascii="Bookman Old Style" w:hAnsi="Bookman Old Style" w:cs="Arial"/>
          <w:i/>
          <w:sz w:val="22"/>
          <w:szCs w:val="22"/>
        </w:rPr>
        <w:t>del presente documento, de mantenerse la cifra de capaci</w:t>
      </w:r>
      <w:r>
        <w:rPr>
          <w:rFonts w:ascii="Bookman Old Style" w:hAnsi="Bookman Old Style" w:cs="Arial"/>
          <w:i/>
          <w:sz w:val="22"/>
          <w:szCs w:val="22"/>
        </w:rPr>
        <w:t>dad de compra respecto de CHILCO</w:t>
      </w:r>
      <w:r w:rsidRPr="0031530D">
        <w:rPr>
          <w:rFonts w:ascii="Bookman Old Style" w:hAnsi="Bookman Old Style" w:cs="Arial"/>
          <w:i/>
          <w:sz w:val="22"/>
          <w:szCs w:val="22"/>
        </w:rPr>
        <w:t>, esta empresa tendrá una menor cantidad de GLP de la que siempre</w:t>
      </w:r>
      <w:r>
        <w:rPr>
          <w:rFonts w:ascii="Bookman Old Style" w:hAnsi="Bookman Old Style" w:cs="Arial"/>
          <w:i/>
          <w:sz w:val="22"/>
          <w:szCs w:val="22"/>
        </w:rPr>
        <w:t xml:space="preserve"> ha </w:t>
      </w:r>
      <w:r w:rsidRPr="0031530D">
        <w:rPr>
          <w:rFonts w:ascii="Bookman Old Style" w:hAnsi="Bookman Old Style" w:cs="Arial"/>
          <w:i/>
          <w:sz w:val="22"/>
          <w:szCs w:val="22"/>
        </w:rPr>
        <w:t>tenido, lo</w:t>
      </w:r>
      <w:r w:rsidR="00B12F18">
        <w:rPr>
          <w:rFonts w:ascii="Bookman Old Style" w:hAnsi="Bookman Old Style" w:cs="Arial"/>
          <w:i/>
          <w:sz w:val="22"/>
          <w:szCs w:val="22"/>
        </w:rPr>
        <w:t xml:space="preserve"> </w:t>
      </w:r>
      <w:r w:rsidRPr="0031530D">
        <w:rPr>
          <w:rFonts w:ascii="Bookman Old Style" w:hAnsi="Bookman Old Style" w:cs="Arial"/>
          <w:i/>
          <w:sz w:val="22"/>
          <w:szCs w:val="22"/>
        </w:rPr>
        <w:t>que</w:t>
      </w:r>
      <w:r w:rsidR="00B12F18">
        <w:rPr>
          <w:rFonts w:ascii="Bookman Old Style" w:hAnsi="Bookman Old Style" w:cs="Arial"/>
          <w:i/>
          <w:sz w:val="22"/>
          <w:szCs w:val="22"/>
        </w:rPr>
        <w:t xml:space="preserve"> </w:t>
      </w:r>
      <w:r w:rsidRPr="0031530D">
        <w:rPr>
          <w:rFonts w:ascii="Bookman Old Style" w:hAnsi="Bookman Old Style" w:cs="Arial"/>
          <w:i/>
          <w:sz w:val="22"/>
          <w:szCs w:val="22"/>
        </w:rPr>
        <w:t xml:space="preserve">en últimas terminará afectando como </w:t>
      </w:r>
      <w:r w:rsidR="00B12F18" w:rsidRPr="0031530D">
        <w:rPr>
          <w:rFonts w:ascii="Bookman Old Style" w:hAnsi="Bookman Old Style" w:cs="Arial"/>
          <w:i/>
          <w:sz w:val="22"/>
          <w:szCs w:val="22"/>
        </w:rPr>
        <w:t>mínimo</w:t>
      </w:r>
      <w:r w:rsidRPr="0031530D">
        <w:rPr>
          <w:rFonts w:ascii="Bookman Old Style" w:hAnsi="Bookman Old Style" w:cs="Arial"/>
          <w:i/>
          <w:sz w:val="22"/>
          <w:szCs w:val="22"/>
        </w:rPr>
        <w:t xml:space="preserve"> </w:t>
      </w:r>
      <w:r w:rsidR="00B12F18">
        <w:rPr>
          <w:rFonts w:ascii="Bookman Old Style" w:hAnsi="Bookman Old Style" w:cs="Arial"/>
          <w:i/>
          <w:sz w:val="22"/>
          <w:szCs w:val="22"/>
        </w:rPr>
        <w:t>1000.000</w:t>
      </w:r>
      <w:r w:rsidRPr="0031530D">
        <w:rPr>
          <w:rFonts w:ascii="Bookman Old Style" w:hAnsi="Bookman Old Style" w:cs="Arial"/>
          <w:i/>
          <w:sz w:val="22"/>
          <w:szCs w:val="22"/>
        </w:rPr>
        <w:t xml:space="preserve"> de sus usuarios.</w:t>
      </w:r>
    </w:p>
    <w:p w:rsidR="00B12F18" w:rsidRPr="0031530D" w:rsidRDefault="00B12F18" w:rsidP="0031530D">
      <w:pPr>
        <w:ind w:left="284" w:right="284"/>
        <w:jc w:val="both"/>
        <w:rPr>
          <w:rFonts w:ascii="Bookman Old Style" w:hAnsi="Bookman Old Style" w:cs="Arial"/>
          <w:i/>
          <w:sz w:val="22"/>
          <w:szCs w:val="22"/>
        </w:rPr>
      </w:pPr>
    </w:p>
    <w:p w:rsidR="0031530D" w:rsidRDefault="0031530D" w:rsidP="0031530D">
      <w:pPr>
        <w:ind w:left="284" w:right="284"/>
        <w:jc w:val="both"/>
        <w:rPr>
          <w:rFonts w:ascii="Bookman Old Style" w:hAnsi="Bookman Old Style" w:cs="Arial"/>
          <w:i/>
          <w:sz w:val="22"/>
          <w:szCs w:val="22"/>
        </w:rPr>
      </w:pPr>
      <w:r w:rsidRPr="0031530D">
        <w:rPr>
          <w:rFonts w:ascii="Bookman Old Style" w:hAnsi="Bookman Old Style" w:cs="Arial"/>
          <w:i/>
          <w:sz w:val="22"/>
          <w:szCs w:val="22"/>
        </w:rPr>
        <w:t xml:space="preserve">Estas circunstancias ponen de manifiesto </w:t>
      </w:r>
      <w:r w:rsidR="00B12F18">
        <w:rPr>
          <w:rFonts w:ascii="Bookman Old Style" w:hAnsi="Bookman Old Style" w:cs="Arial"/>
          <w:i/>
          <w:sz w:val="22"/>
          <w:szCs w:val="22"/>
        </w:rPr>
        <w:t>que</w:t>
      </w:r>
      <w:r w:rsidRPr="0031530D">
        <w:rPr>
          <w:rFonts w:ascii="Bookman Old Style" w:hAnsi="Bookman Old Style" w:cs="Arial"/>
          <w:i/>
          <w:sz w:val="22"/>
          <w:szCs w:val="22"/>
        </w:rPr>
        <w:t xml:space="preserve"> la aplicación de la capacidad de compra,</w:t>
      </w:r>
      <w:r w:rsidR="00B12F18">
        <w:rPr>
          <w:rFonts w:ascii="Bookman Old Style" w:hAnsi="Bookman Old Style" w:cs="Arial"/>
          <w:i/>
          <w:sz w:val="22"/>
          <w:szCs w:val="22"/>
        </w:rPr>
        <w:t xml:space="preserve"> </w:t>
      </w:r>
      <w:r w:rsidRPr="0031530D">
        <w:rPr>
          <w:rFonts w:ascii="Bookman Old Style" w:hAnsi="Bookman Old Style" w:cs="Arial"/>
          <w:i/>
          <w:sz w:val="22"/>
          <w:szCs w:val="22"/>
        </w:rPr>
        <w:t xml:space="preserve">en el caso de </w:t>
      </w:r>
      <w:r w:rsidR="00B12F18">
        <w:rPr>
          <w:rFonts w:ascii="Bookman Old Style" w:hAnsi="Bookman Old Style" w:cs="Arial"/>
          <w:i/>
          <w:sz w:val="22"/>
          <w:szCs w:val="22"/>
        </w:rPr>
        <w:t>CHICLO y de los demás distribuidores q</w:t>
      </w:r>
      <w:r w:rsidRPr="0031530D">
        <w:rPr>
          <w:rFonts w:ascii="Bookman Old Style" w:hAnsi="Bookman Old Style" w:cs="Arial"/>
          <w:i/>
          <w:sz w:val="22"/>
          <w:szCs w:val="22"/>
        </w:rPr>
        <w:t xml:space="preserve">ue se ven afectados, atentará contra el interés </w:t>
      </w:r>
      <w:r w:rsidR="00B12F18" w:rsidRPr="0031530D">
        <w:rPr>
          <w:rFonts w:ascii="Bookman Old Style" w:hAnsi="Bookman Old Style" w:cs="Arial"/>
          <w:i/>
          <w:sz w:val="22"/>
          <w:szCs w:val="22"/>
        </w:rPr>
        <w:t>general</w:t>
      </w:r>
      <w:r w:rsidRPr="0031530D">
        <w:rPr>
          <w:rFonts w:ascii="Bookman Old Style" w:hAnsi="Bookman Old Style" w:cs="Arial"/>
          <w:i/>
          <w:sz w:val="22"/>
          <w:szCs w:val="22"/>
        </w:rPr>
        <w:t xml:space="preserve"> </w:t>
      </w:r>
      <w:r w:rsidR="00B12F18">
        <w:rPr>
          <w:rFonts w:ascii="Bookman Old Style" w:hAnsi="Bookman Old Style" w:cs="Arial"/>
          <w:i/>
          <w:sz w:val="22"/>
          <w:szCs w:val="22"/>
        </w:rPr>
        <w:t>y la garantía</w:t>
      </w:r>
      <w:r w:rsidRPr="0031530D">
        <w:rPr>
          <w:rFonts w:ascii="Bookman Old Style" w:hAnsi="Bookman Old Style" w:cs="Arial"/>
          <w:i/>
          <w:sz w:val="22"/>
          <w:szCs w:val="22"/>
        </w:rPr>
        <w:t xml:space="preserve"> de prestación eficiente de los servicios</w:t>
      </w:r>
      <w:r w:rsidR="00B12F18">
        <w:rPr>
          <w:rFonts w:ascii="Bookman Old Style" w:hAnsi="Bookman Old Style" w:cs="Arial"/>
          <w:i/>
          <w:sz w:val="22"/>
          <w:szCs w:val="22"/>
        </w:rPr>
        <w:t xml:space="preserve"> públicos (…)</w:t>
      </w:r>
      <w:r w:rsidRPr="0031530D">
        <w:rPr>
          <w:rFonts w:ascii="Bookman Old Style" w:hAnsi="Bookman Old Style" w:cs="Arial"/>
          <w:i/>
          <w:sz w:val="22"/>
          <w:szCs w:val="22"/>
        </w:rPr>
        <w:t>.</w:t>
      </w:r>
    </w:p>
    <w:p w:rsidR="00B12F18" w:rsidRPr="0031530D" w:rsidRDefault="00B12F18" w:rsidP="00B12F18">
      <w:pPr>
        <w:ind w:left="0" w:right="284"/>
        <w:jc w:val="both"/>
        <w:rPr>
          <w:rFonts w:ascii="Bookman Old Style" w:hAnsi="Bookman Old Style" w:cs="Arial"/>
          <w:i/>
          <w:sz w:val="22"/>
          <w:szCs w:val="22"/>
        </w:rPr>
      </w:pPr>
    </w:p>
    <w:p w:rsidR="00B12F18" w:rsidRDefault="00B12F18" w:rsidP="00B12F18">
      <w:pPr>
        <w:numPr>
          <w:ilvl w:val="1"/>
          <w:numId w:val="43"/>
        </w:numPr>
        <w:ind w:right="284"/>
        <w:jc w:val="both"/>
        <w:rPr>
          <w:rFonts w:ascii="Bookman Old Style" w:hAnsi="Bookman Old Style" w:cs="Arial"/>
          <w:i/>
          <w:sz w:val="22"/>
          <w:szCs w:val="22"/>
        </w:rPr>
      </w:pPr>
      <w:r>
        <w:rPr>
          <w:rFonts w:ascii="Bookman Old Style" w:hAnsi="Bookman Old Style" w:cs="Arial"/>
          <w:i/>
          <w:sz w:val="22"/>
          <w:szCs w:val="22"/>
        </w:rPr>
        <w:t xml:space="preserve"> </w:t>
      </w:r>
      <w:r w:rsidRPr="00B12F18">
        <w:rPr>
          <w:rFonts w:ascii="Bookman Old Style" w:hAnsi="Bookman Old Style" w:cs="Arial"/>
          <w:i/>
          <w:sz w:val="22"/>
          <w:szCs w:val="22"/>
        </w:rPr>
        <w:t>FALSA MOTIVACIÓN DE LOS ACTOS ADMINISTRATIVOS:</w:t>
      </w:r>
    </w:p>
    <w:p w:rsidR="00B12F18" w:rsidRPr="00B12F18" w:rsidRDefault="00B12F18" w:rsidP="00B12F18">
      <w:pPr>
        <w:ind w:left="1004" w:right="284"/>
        <w:jc w:val="both"/>
        <w:rPr>
          <w:rFonts w:ascii="Bookman Old Style" w:hAnsi="Bookman Old Style" w:cs="Arial"/>
          <w:i/>
          <w:sz w:val="22"/>
          <w:szCs w:val="22"/>
        </w:rPr>
      </w:pPr>
    </w:p>
    <w:p w:rsidR="0031530D" w:rsidRDefault="00B12F18" w:rsidP="00B12F18">
      <w:pPr>
        <w:ind w:left="284" w:right="284"/>
        <w:jc w:val="both"/>
        <w:rPr>
          <w:rFonts w:ascii="Bookman Old Style" w:hAnsi="Bookman Old Style" w:cs="Arial"/>
          <w:i/>
          <w:sz w:val="22"/>
          <w:szCs w:val="22"/>
        </w:rPr>
      </w:pPr>
      <w:r w:rsidRPr="00B12F18">
        <w:rPr>
          <w:rFonts w:ascii="Bookman Old Style" w:hAnsi="Bookman Old Style" w:cs="Arial"/>
          <w:i/>
          <w:sz w:val="22"/>
          <w:szCs w:val="22"/>
        </w:rPr>
        <w:lastRenderedPageBreak/>
        <w:t xml:space="preserve">Consideramos que la CREG al no tener en cuenta la información efectivamente cargada ante el SUI por parte de CHILCO, está incurriendo en una falsa motivación del acto administrativo proferido, esto, teniendo en cuenta que las pruebas determinantes (cantidad de cilindros y tanques) para tomar la decisión, no fueron debidamente constatadas; El SUI es un sistema de información de acceso público por medio del cual, cualquier ciudadano puede conocer la información cargada a la fecha, la cual coincide con los valores de tanques y cilindros alegados en el presente recurso por CHILCO, </w:t>
      </w:r>
      <w:r w:rsidRPr="00B12F18">
        <w:rPr>
          <w:rFonts w:ascii="Bookman Old Style" w:hAnsi="Bookman Old Style" w:cs="Arial"/>
          <w:i/>
          <w:sz w:val="22"/>
          <w:szCs w:val="22"/>
          <w:u w:val="single"/>
        </w:rPr>
        <w:t>alrededor de 182.000 cilindros y más de 1600 tanques, valores que distan de la información tomada en cuenta por la CREG.</w:t>
      </w:r>
      <w:r>
        <w:rPr>
          <w:rFonts w:ascii="Bookman Old Style" w:hAnsi="Bookman Old Style" w:cs="Arial"/>
          <w:i/>
          <w:sz w:val="22"/>
          <w:szCs w:val="22"/>
          <w:u w:val="single"/>
        </w:rPr>
        <w:t xml:space="preserve"> </w:t>
      </w:r>
      <w:r>
        <w:rPr>
          <w:rFonts w:ascii="Bookman Old Style" w:hAnsi="Bookman Old Style" w:cs="Arial"/>
          <w:i/>
          <w:sz w:val="22"/>
          <w:szCs w:val="22"/>
        </w:rPr>
        <w:t>(…)</w:t>
      </w:r>
    </w:p>
    <w:p w:rsidR="00B12F18" w:rsidRDefault="00B12F18" w:rsidP="00B12F18">
      <w:pPr>
        <w:ind w:left="284" w:right="284"/>
        <w:jc w:val="both"/>
        <w:rPr>
          <w:rFonts w:ascii="Bookman Old Style" w:hAnsi="Bookman Old Style" w:cs="Arial"/>
          <w:i/>
          <w:sz w:val="22"/>
          <w:szCs w:val="22"/>
        </w:rPr>
      </w:pPr>
    </w:p>
    <w:p w:rsidR="00B12F18" w:rsidRPr="00B12F18" w:rsidRDefault="00B12F18" w:rsidP="00B12F18">
      <w:pPr>
        <w:ind w:left="284" w:right="284"/>
        <w:jc w:val="both"/>
        <w:rPr>
          <w:rFonts w:ascii="Bookman Old Style" w:hAnsi="Bookman Old Style" w:cs="Arial"/>
          <w:b/>
          <w:i/>
          <w:sz w:val="22"/>
          <w:szCs w:val="22"/>
          <w:u w:val="single"/>
        </w:rPr>
      </w:pPr>
      <w:r w:rsidRPr="00B12F18">
        <w:rPr>
          <w:rFonts w:ascii="Bookman Old Style" w:hAnsi="Bookman Old Style" w:cs="Arial"/>
          <w:b/>
          <w:i/>
          <w:sz w:val="22"/>
          <w:szCs w:val="22"/>
          <w:u w:val="single"/>
        </w:rPr>
        <w:t>Por lo anterior, la Resolución CREG 075 de 2016 debe considerar las cifras efectivamente reportadas por CHILCO ante el SUI, incluyendo el cargue posterior que se hizo por razones ajenas a su voluntad.</w:t>
      </w:r>
    </w:p>
    <w:p w:rsidR="00B12F18" w:rsidRPr="00B12F18" w:rsidRDefault="00B12F18" w:rsidP="00B12F18">
      <w:pPr>
        <w:ind w:left="284" w:right="284"/>
        <w:jc w:val="both"/>
        <w:rPr>
          <w:rFonts w:ascii="Bookman Old Style" w:hAnsi="Bookman Old Style" w:cs="Arial"/>
          <w:i/>
          <w:sz w:val="22"/>
          <w:szCs w:val="22"/>
        </w:rPr>
      </w:pPr>
    </w:p>
    <w:p w:rsidR="00B12F18" w:rsidRDefault="00B12F18" w:rsidP="00B12F18">
      <w:pPr>
        <w:ind w:left="284" w:right="284"/>
        <w:jc w:val="both"/>
        <w:rPr>
          <w:rFonts w:ascii="Bookman Old Style" w:hAnsi="Bookman Old Style" w:cs="Arial"/>
          <w:i/>
          <w:sz w:val="22"/>
          <w:szCs w:val="22"/>
        </w:rPr>
      </w:pPr>
      <w:r w:rsidRPr="00B12F18">
        <w:rPr>
          <w:rFonts w:ascii="Bookman Old Style" w:hAnsi="Bookman Old Style" w:cs="Arial"/>
          <w:i/>
          <w:sz w:val="22"/>
          <w:szCs w:val="22"/>
        </w:rPr>
        <w:t>1.4.</w:t>
      </w:r>
      <w:r w:rsidRPr="00B12F18">
        <w:rPr>
          <w:rFonts w:ascii="Bookman Old Style" w:hAnsi="Bookman Old Style" w:cs="Arial"/>
          <w:i/>
          <w:sz w:val="22"/>
          <w:szCs w:val="22"/>
        </w:rPr>
        <w:tab/>
        <w:t>NO CONSIDERACIÓN DE LOS DATOS REPORTADOS POR CHILCO ANTE LA SSPD</w:t>
      </w:r>
    </w:p>
    <w:p w:rsidR="00B12F18" w:rsidRPr="00B12F18" w:rsidRDefault="00B12F18" w:rsidP="00B12F18">
      <w:pPr>
        <w:ind w:left="284" w:right="284"/>
        <w:jc w:val="both"/>
        <w:rPr>
          <w:rFonts w:ascii="Bookman Old Style" w:hAnsi="Bookman Old Style" w:cs="Arial"/>
          <w:i/>
          <w:sz w:val="22"/>
          <w:szCs w:val="22"/>
        </w:rPr>
      </w:pPr>
    </w:p>
    <w:p w:rsidR="00B12F18" w:rsidRPr="00B12F18" w:rsidRDefault="00B12F18" w:rsidP="00B12F18">
      <w:pPr>
        <w:ind w:left="284" w:right="284"/>
        <w:jc w:val="both"/>
        <w:rPr>
          <w:rFonts w:ascii="Bookman Old Style" w:hAnsi="Bookman Old Style" w:cs="Arial"/>
          <w:i/>
          <w:sz w:val="22"/>
          <w:szCs w:val="22"/>
        </w:rPr>
      </w:pPr>
      <w:r w:rsidRPr="00B12F18">
        <w:rPr>
          <w:rFonts w:ascii="Bookman Old Style" w:hAnsi="Bookman Old Style" w:cs="Arial"/>
          <w:i/>
          <w:sz w:val="22"/>
          <w:szCs w:val="22"/>
        </w:rPr>
        <w:t>Con base en los reportes del sistema SUI, se puede constatar que CHILCO tiene 182.907 cilindros más de los que se han considerado por la CREG, así como un mayor número de tanques estacionarios.</w:t>
      </w:r>
    </w:p>
    <w:p w:rsidR="00B12F18" w:rsidRDefault="00B12F18" w:rsidP="00B12F18">
      <w:pPr>
        <w:ind w:left="284" w:right="284"/>
        <w:jc w:val="both"/>
        <w:rPr>
          <w:rFonts w:ascii="Bookman Old Style" w:hAnsi="Bookman Old Style" w:cs="Arial"/>
          <w:i/>
          <w:sz w:val="22"/>
          <w:szCs w:val="22"/>
        </w:rPr>
      </w:pPr>
    </w:p>
    <w:p w:rsidR="00B12F18" w:rsidRPr="00B12F18" w:rsidRDefault="00B12F18" w:rsidP="00B12F18">
      <w:pPr>
        <w:ind w:left="284" w:right="284"/>
        <w:jc w:val="both"/>
        <w:rPr>
          <w:rFonts w:ascii="Bookman Old Style" w:hAnsi="Bookman Old Style" w:cs="Arial"/>
          <w:i/>
          <w:sz w:val="22"/>
          <w:szCs w:val="22"/>
        </w:rPr>
      </w:pPr>
      <w:r w:rsidRPr="00B12F18">
        <w:rPr>
          <w:rFonts w:ascii="Bookman Old Style" w:hAnsi="Bookman Old Style" w:cs="Arial"/>
          <w:i/>
          <w:sz w:val="22"/>
          <w:szCs w:val="22"/>
        </w:rPr>
        <w:t>En efecto, la CREG no incluye en el cálculo la capacidad en cilindros el reporte realizado por CHILCO desde noviembre de 2012 en adelante, lo cual disminuye la capacidad de compra de CHILCO. Se adjuntan soportes de certificados de información de cilindros reportada desde Nov 2012 hasta la fecha.</w:t>
      </w:r>
    </w:p>
    <w:p w:rsidR="00B12F18" w:rsidRDefault="00B12F18" w:rsidP="00B12F18">
      <w:pPr>
        <w:ind w:left="284" w:right="284"/>
        <w:jc w:val="both"/>
        <w:rPr>
          <w:rFonts w:ascii="Bookman Old Style" w:hAnsi="Bookman Old Style" w:cs="Arial"/>
          <w:i/>
          <w:sz w:val="22"/>
          <w:szCs w:val="22"/>
        </w:rPr>
      </w:pPr>
    </w:p>
    <w:p w:rsidR="00B12F18" w:rsidRPr="00B12F18" w:rsidRDefault="00B12F18" w:rsidP="00B12F18">
      <w:pPr>
        <w:ind w:left="284" w:right="284"/>
        <w:jc w:val="both"/>
        <w:rPr>
          <w:rFonts w:ascii="Bookman Old Style" w:hAnsi="Bookman Old Style" w:cs="Arial"/>
          <w:i/>
          <w:sz w:val="22"/>
          <w:szCs w:val="22"/>
        </w:rPr>
      </w:pPr>
      <w:r w:rsidRPr="00B12F18">
        <w:rPr>
          <w:rFonts w:ascii="Bookman Old Style" w:hAnsi="Bookman Old Style" w:cs="Arial"/>
          <w:i/>
          <w:sz w:val="22"/>
          <w:szCs w:val="22"/>
        </w:rPr>
        <w:t>Adicionalmente, la CREG reporta 832 tanques estacionarios de los 1.665 que se encuentran cargados en el SUI. Al parecer, la CREG revisó los informes antes del 26 de mayo de 2016 y no tuvo en cuenta la información completa. Se adjuntan los reportes correspondientes, como prueba de lo afirmado.</w:t>
      </w:r>
    </w:p>
    <w:p w:rsidR="00B12F18" w:rsidRDefault="00B12F18" w:rsidP="00B12F18">
      <w:pPr>
        <w:ind w:left="284" w:right="284"/>
        <w:jc w:val="both"/>
        <w:rPr>
          <w:rFonts w:ascii="Bookman Old Style" w:hAnsi="Bookman Old Style" w:cs="Arial"/>
          <w:i/>
          <w:sz w:val="22"/>
          <w:szCs w:val="22"/>
        </w:rPr>
      </w:pPr>
    </w:p>
    <w:p w:rsidR="00B12F18" w:rsidRPr="00B12F18" w:rsidRDefault="00B12F18" w:rsidP="00B12F18">
      <w:pPr>
        <w:ind w:left="284" w:right="284"/>
        <w:jc w:val="both"/>
        <w:rPr>
          <w:rFonts w:ascii="Bookman Old Style" w:hAnsi="Bookman Old Style" w:cs="Arial"/>
          <w:i/>
          <w:sz w:val="22"/>
          <w:szCs w:val="22"/>
        </w:rPr>
      </w:pPr>
      <w:r w:rsidRPr="00B12F18">
        <w:rPr>
          <w:rFonts w:ascii="Bookman Old Style" w:hAnsi="Bookman Old Style" w:cs="Arial"/>
          <w:b/>
          <w:i/>
          <w:sz w:val="22"/>
          <w:szCs w:val="22"/>
          <w:u w:val="single"/>
        </w:rPr>
        <w:t>La información no estuvo cargada antes del 26 de mayo, por razones ajenas a la voluntad de CHILCO, por lo cual debe enmendarse la cifra considerada en la Resolución CREG 75 de 2016, como se explica a continuación</w:t>
      </w:r>
      <w:r w:rsidRPr="00B12F18">
        <w:rPr>
          <w:rFonts w:ascii="Bookman Old Style" w:hAnsi="Bookman Old Style" w:cs="Arial"/>
          <w:i/>
          <w:sz w:val="22"/>
          <w:szCs w:val="22"/>
        </w:rPr>
        <w:t>:</w:t>
      </w:r>
    </w:p>
    <w:p w:rsidR="0031530D" w:rsidRDefault="0031530D" w:rsidP="007D1246">
      <w:pPr>
        <w:ind w:left="284" w:right="284"/>
        <w:jc w:val="both"/>
        <w:rPr>
          <w:rFonts w:ascii="Bookman Old Style" w:hAnsi="Bookman Old Style" w:cs="Arial"/>
          <w:i/>
          <w:sz w:val="22"/>
          <w:szCs w:val="22"/>
        </w:rPr>
      </w:pPr>
    </w:p>
    <w:p w:rsidR="00B12F18" w:rsidRDefault="00B12F18" w:rsidP="00B12F18">
      <w:pPr>
        <w:ind w:left="284" w:right="284"/>
        <w:jc w:val="both"/>
        <w:rPr>
          <w:rFonts w:ascii="Bookman Old Style" w:hAnsi="Bookman Old Style" w:cs="Arial"/>
          <w:i/>
          <w:sz w:val="22"/>
          <w:szCs w:val="22"/>
        </w:rPr>
      </w:pPr>
      <w:r w:rsidRPr="00B12F18">
        <w:rPr>
          <w:rFonts w:ascii="Bookman Old Style" w:hAnsi="Bookman Old Style" w:cs="Arial"/>
          <w:i/>
          <w:sz w:val="22"/>
          <w:szCs w:val="22"/>
        </w:rPr>
        <w:t>Es preciso indicar que la información de tanques estacionarios de2015, sol</w:t>
      </w:r>
      <w:r>
        <w:rPr>
          <w:rFonts w:ascii="Bookman Old Style" w:hAnsi="Bookman Old Style" w:cs="Arial"/>
          <w:i/>
          <w:sz w:val="22"/>
          <w:szCs w:val="22"/>
        </w:rPr>
        <w:t>o fue posible cargarse en el SUI</w:t>
      </w:r>
      <w:r w:rsidRPr="00B12F18">
        <w:rPr>
          <w:rFonts w:ascii="Bookman Old Style" w:hAnsi="Bookman Old Style" w:cs="Arial"/>
          <w:i/>
          <w:sz w:val="22"/>
          <w:szCs w:val="22"/>
        </w:rPr>
        <w:t xml:space="preserve"> hasta el 26 de mayo de 2016 debido</w:t>
      </w:r>
      <w:r>
        <w:rPr>
          <w:rFonts w:ascii="Bookman Old Style" w:hAnsi="Bookman Old Style" w:cs="Arial"/>
          <w:i/>
          <w:sz w:val="22"/>
          <w:szCs w:val="22"/>
        </w:rPr>
        <w:t xml:space="preserve"> </w:t>
      </w:r>
      <w:r w:rsidRPr="00B12F18">
        <w:rPr>
          <w:rFonts w:ascii="Bookman Old Style" w:hAnsi="Bookman Old Style" w:cs="Arial"/>
          <w:i/>
          <w:sz w:val="22"/>
          <w:szCs w:val="22"/>
        </w:rPr>
        <w:t>a</w:t>
      </w:r>
      <w:r>
        <w:rPr>
          <w:rFonts w:ascii="Bookman Old Style" w:hAnsi="Bookman Old Style" w:cs="Arial"/>
          <w:i/>
          <w:sz w:val="22"/>
          <w:szCs w:val="22"/>
        </w:rPr>
        <w:t xml:space="preserve"> </w:t>
      </w:r>
      <w:r w:rsidRPr="00B12F18">
        <w:rPr>
          <w:rFonts w:ascii="Bookman Old Style" w:hAnsi="Bookman Old Style" w:cs="Arial"/>
          <w:i/>
          <w:sz w:val="22"/>
          <w:szCs w:val="22"/>
        </w:rPr>
        <w:t>un error que arrojaba el validador por los códigos DIVIPOLA, que habían sido tomados de l</w:t>
      </w:r>
      <w:r>
        <w:rPr>
          <w:rFonts w:ascii="Bookman Old Style" w:hAnsi="Bookman Old Style" w:cs="Arial"/>
          <w:i/>
          <w:sz w:val="22"/>
          <w:szCs w:val="22"/>
        </w:rPr>
        <w:t xml:space="preserve">as bases de información del SUI. </w:t>
      </w:r>
      <w:r w:rsidRPr="00B12F18">
        <w:rPr>
          <w:rFonts w:ascii="Bookman Old Style" w:hAnsi="Bookman Old Style" w:cs="Arial"/>
          <w:i/>
          <w:sz w:val="22"/>
          <w:szCs w:val="22"/>
        </w:rPr>
        <w:t>Por este error se abrió por parte de CHILCO la mesa de ayuda No 328701del 26 de enero de 2016 ante la SSPD informando el error en el cargue de los formatos de tanques estacionario</w:t>
      </w:r>
      <w:r>
        <w:rPr>
          <w:rFonts w:ascii="Bookman Old Style" w:hAnsi="Bookman Old Style" w:cs="Arial"/>
          <w:i/>
          <w:sz w:val="22"/>
          <w:szCs w:val="22"/>
        </w:rPr>
        <w:t xml:space="preserve"> </w:t>
      </w:r>
      <w:r w:rsidRPr="00B12F18">
        <w:rPr>
          <w:rFonts w:ascii="Bookman Old Style" w:hAnsi="Bookman Old Style" w:cs="Arial"/>
          <w:i/>
          <w:sz w:val="22"/>
          <w:szCs w:val="22"/>
        </w:rPr>
        <w:t>y</w:t>
      </w:r>
      <w:r>
        <w:rPr>
          <w:rFonts w:ascii="Bookman Old Style" w:hAnsi="Bookman Old Style" w:cs="Arial"/>
          <w:i/>
          <w:sz w:val="22"/>
          <w:szCs w:val="22"/>
        </w:rPr>
        <w:t xml:space="preserve"> </w:t>
      </w:r>
      <w:r w:rsidRPr="00B12F18">
        <w:rPr>
          <w:rFonts w:ascii="Bookman Old Style" w:hAnsi="Bookman Old Style" w:cs="Arial"/>
          <w:i/>
          <w:sz w:val="22"/>
          <w:szCs w:val="22"/>
        </w:rPr>
        <w:t>de expendios. Esta empresa también envió un correo electrónico el día 28 de enero de 2016</w:t>
      </w:r>
      <w:r>
        <w:rPr>
          <w:rFonts w:ascii="Bookman Old Style" w:hAnsi="Bookman Old Style" w:cs="Arial"/>
          <w:i/>
          <w:sz w:val="22"/>
          <w:szCs w:val="22"/>
        </w:rPr>
        <w:t xml:space="preserve"> </w:t>
      </w:r>
      <w:r w:rsidRPr="00B12F18">
        <w:rPr>
          <w:rFonts w:ascii="Bookman Old Style" w:hAnsi="Bookman Old Style" w:cs="Arial"/>
          <w:i/>
          <w:sz w:val="22"/>
          <w:szCs w:val="22"/>
        </w:rPr>
        <w:t>a</w:t>
      </w:r>
      <w:r>
        <w:rPr>
          <w:rFonts w:ascii="Bookman Old Style" w:hAnsi="Bookman Old Style" w:cs="Arial"/>
          <w:i/>
          <w:sz w:val="22"/>
          <w:szCs w:val="22"/>
        </w:rPr>
        <w:t xml:space="preserve"> </w:t>
      </w:r>
      <w:r w:rsidRPr="00B12F18">
        <w:rPr>
          <w:rFonts w:ascii="Bookman Old Style" w:hAnsi="Bookman Old Style" w:cs="Arial"/>
          <w:i/>
          <w:sz w:val="22"/>
          <w:szCs w:val="22"/>
        </w:rPr>
        <w:t>la SSPD, planteando la problemática</w:t>
      </w:r>
      <w:r>
        <w:rPr>
          <w:rFonts w:ascii="Bookman Old Style" w:hAnsi="Bookman Old Style" w:cs="Arial"/>
          <w:i/>
          <w:sz w:val="22"/>
          <w:szCs w:val="22"/>
        </w:rPr>
        <w:t xml:space="preserve"> </w:t>
      </w:r>
      <w:r w:rsidRPr="00B12F18">
        <w:rPr>
          <w:rFonts w:ascii="Bookman Old Style" w:hAnsi="Bookman Old Style" w:cs="Arial"/>
          <w:i/>
          <w:sz w:val="22"/>
          <w:szCs w:val="22"/>
        </w:rPr>
        <w:t>y</w:t>
      </w:r>
      <w:r>
        <w:rPr>
          <w:rFonts w:ascii="Bookman Old Style" w:hAnsi="Bookman Old Style" w:cs="Arial"/>
          <w:i/>
          <w:sz w:val="22"/>
          <w:szCs w:val="22"/>
        </w:rPr>
        <w:t xml:space="preserve"> </w:t>
      </w:r>
      <w:r w:rsidRPr="00B12F18">
        <w:rPr>
          <w:rFonts w:ascii="Bookman Old Style" w:hAnsi="Bookman Old Style" w:cs="Arial"/>
          <w:i/>
          <w:sz w:val="22"/>
          <w:szCs w:val="22"/>
        </w:rPr>
        <w:t>dado</w:t>
      </w:r>
      <w:r>
        <w:rPr>
          <w:rFonts w:ascii="Bookman Old Style" w:hAnsi="Bookman Old Style" w:cs="Arial"/>
          <w:i/>
          <w:sz w:val="22"/>
          <w:szCs w:val="22"/>
        </w:rPr>
        <w:t xml:space="preserve"> </w:t>
      </w:r>
      <w:r w:rsidRPr="00B12F18">
        <w:rPr>
          <w:rFonts w:ascii="Bookman Old Style" w:hAnsi="Bookman Old Style" w:cs="Arial"/>
          <w:i/>
          <w:sz w:val="22"/>
          <w:szCs w:val="22"/>
        </w:rPr>
        <w:t>que</w:t>
      </w:r>
      <w:r>
        <w:rPr>
          <w:rFonts w:ascii="Bookman Old Style" w:hAnsi="Bookman Old Style" w:cs="Arial"/>
          <w:i/>
          <w:sz w:val="22"/>
          <w:szCs w:val="22"/>
        </w:rPr>
        <w:t xml:space="preserve"> </w:t>
      </w:r>
      <w:r w:rsidRPr="00B12F18">
        <w:rPr>
          <w:rFonts w:ascii="Bookman Old Style" w:hAnsi="Bookman Old Style" w:cs="Arial"/>
          <w:i/>
          <w:sz w:val="22"/>
          <w:szCs w:val="22"/>
        </w:rPr>
        <w:t>la mesa de</w:t>
      </w:r>
      <w:r>
        <w:rPr>
          <w:rFonts w:ascii="Bookman Old Style" w:hAnsi="Bookman Old Style" w:cs="Arial"/>
          <w:i/>
          <w:sz w:val="22"/>
          <w:szCs w:val="22"/>
        </w:rPr>
        <w:t xml:space="preserve"> </w:t>
      </w:r>
      <w:r w:rsidRPr="00B12F18">
        <w:rPr>
          <w:rFonts w:ascii="Bookman Old Style" w:hAnsi="Bookman Old Style" w:cs="Arial"/>
          <w:i/>
          <w:sz w:val="22"/>
          <w:szCs w:val="22"/>
        </w:rPr>
        <w:t>ayuda seguía escalada al servicio técnico del</w:t>
      </w:r>
      <w:r>
        <w:rPr>
          <w:rFonts w:ascii="Bookman Old Style" w:hAnsi="Bookman Old Style" w:cs="Arial"/>
          <w:i/>
          <w:sz w:val="22"/>
          <w:szCs w:val="22"/>
        </w:rPr>
        <w:t xml:space="preserve"> SUI</w:t>
      </w:r>
      <w:r w:rsidRPr="00B12F18">
        <w:rPr>
          <w:rFonts w:ascii="Bookman Old Style" w:hAnsi="Bookman Old Style" w:cs="Arial"/>
          <w:i/>
          <w:sz w:val="22"/>
          <w:szCs w:val="22"/>
        </w:rPr>
        <w:t xml:space="preserve"> sin</w:t>
      </w:r>
      <w:r>
        <w:rPr>
          <w:rFonts w:ascii="Bookman Old Style" w:hAnsi="Bookman Old Style" w:cs="Arial"/>
          <w:i/>
          <w:sz w:val="22"/>
          <w:szCs w:val="22"/>
        </w:rPr>
        <w:t xml:space="preserve"> </w:t>
      </w:r>
      <w:r w:rsidRPr="00B12F18">
        <w:rPr>
          <w:rFonts w:ascii="Bookman Old Style" w:hAnsi="Bookman Old Style" w:cs="Arial"/>
          <w:i/>
          <w:sz w:val="22"/>
          <w:szCs w:val="22"/>
        </w:rPr>
        <w:t>recibir</w:t>
      </w:r>
      <w:r>
        <w:rPr>
          <w:rFonts w:ascii="Bookman Old Style" w:hAnsi="Bookman Old Style" w:cs="Arial"/>
          <w:i/>
          <w:sz w:val="22"/>
          <w:szCs w:val="22"/>
        </w:rPr>
        <w:t xml:space="preserve"> </w:t>
      </w:r>
      <w:r w:rsidRPr="00B12F18">
        <w:rPr>
          <w:rFonts w:ascii="Bookman Old Style" w:hAnsi="Bookman Old Style" w:cs="Arial"/>
          <w:i/>
          <w:sz w:val="22"/>
          <w:szCs w:val="22"/>
        </w:rPr>
        <w:t>respuesta</w:t>
      </w:r>
      <w:r>
        <w:rPr>
          <w:rFonts w:ascii="Bookman Old Style" w:hAnsi="Bookman Old Style" w:cs="Arial"/>
          <w:i/>
          <w:sz w:val="22"/>
          <w:szCs w:val="22"/>
        </w:rPr>
        <w:t xml:space="preserve"> </w:t>
      </w:r>
      <w:r w:rsidRPr="00B12F18">
        <w:rPr>
          <w:rFonts w:ascii="Bookman Old Style" w:hAnsi="Bookman Old Style" w:cs="Arial"/>
          <w:i/>
          <w:sz w:val="22"/>
          <w:szCs w:val="22"/>
        </w:rPr>
        <w:t>CHILCO</w:t>
      </w:r>
      <w:r>
        <w:rPr>
          <w:rFonts w:ascii="Bookman Old Style" w:hAnsi="Bookman Old Style" w:cs="Arial"/>
          <w:i/>
          <w:sz w:val="22"/>
          <w:szCs w:val="22"/>
        </w:rPr>
        <w:t xml:space="preserve"> </w:t>
      </w:r>
      <w:r w:rsidRPr="00B12F18">
        <w:rPr>
          <w:rFonts w:ascii="Bookman Old Style" w:hAnsi="Bookman Old Style" w:cs="Arial"/>
          <w:i/>
          <w:sz w:val="22"/>
          <w:szCs w:val="22"/>
        </w:rPr>
        <w:t>ni</w:t>
      </w:r>
      <w:r>
        <w:rPr>
          <w:rFonts w:ascii="Bookman Old Style" w:hAnsi="Bookman Old Style" w:cs="Arial"/>
          <w:i/>
          <w:sz w:val="22"/>
          <w:szCs w:val="22"/>
        </w:rPr>
        <w:t xml:space="preserve"> </w:t>
      </w:r>
      <w:r w:rsidRPr="00B12F18">
        <w:rPr>
          <w:rFonts w:ascii="Bookman Old Style" w:hAnsi="Bookman Old Style" w:cs="Arial"/>
          <w:i/>
          <w:sz w:val="22"/>
          <w:szCs w:val="22"/>
        </w:rPr>
        <w:t>solución</w:t>
      </w:r>
      <w:r>
        <w:rPr>
          <w:rFonts w:ascii="Bookman Old Style" w:hAnsi="Bookman Old Style" w:cs="Arial"/>
          <w:i/>
          <w:sz w:val="22"/>
          <w:szCs w:val="22"/>
        </w:rPr>
        <w:t xml:space="preserve"> </w:t>
      </w:r>
      <w:r w:rsidRPr="00B12F18">
        <w:rPr>
          <w:rFonts w:ascii="Bookman Old Style" w:hAnsi="Bookman Old Style" w:cs="Arial"/>
          <w:i/>
          <w:sz w:val="22"/>
          <w:szCs w:val="22"/>
        </w:rPr>
        <w:t>decidió</w:t>
      </w:r>
      <w:r>
        <w:rPr>
          <w:rFonts w:ascii="Bookman Old Style" w:hAnsi="Bookman Old Style" w:cs="Arial"/>
          <w:i/>
          <w:sz w:val="22"/>
          <w:szCs w:val="22"/>
        </w:rPr>
        <w:t xml:space="preserve"> </w:t>
      </w:r>
      <w:r w:rsidRPr="00B12F18">
        <w:rPr>
          <w:rFonts w:ascii="Bookman Old Style" w:hAnsi="Bookman Old Style" w:cs="Arial"/>
          <w:i/>
          <w:sz w:val="22"/>
          <w:szCs w:val="22"/>
        </w:rPr>
        <w:t>revisar. Como</w:t>
      </w:r>
      <w:r>
        <w:rPr>
          <w:rFonts w:ascii="Bookman Old Style" w:hAnsi="Bookman Old Style" w:cs="Arial"/>
          <w:i/>
          <w:sz w:val="22"/>
          <w:szCs w:val="22"/>
        </w:rPr>
        <w:t xml:space="preserve"> </w:t>
      </w:r>
      <w:r w:rsidRPr="00B12F18">
        <w:rPr>
          <w:rFonts w:ascii="Bookman Old Style" w:hAnsi="Bookman Old Style" w:cs="Arial"/>
          <w:i/>
          <w:sz w:val="22"/>
          <w:szCs w:val="22"/>
        </w:rPr>
        <w:t>la mesa</w:t>
      </w:r>
      <w:r>
        <w:rPr>
          <w:rFonts w:ascii="Bookman Old Style" w:hAnsi="Bookman Old Style" w:cs="Arial"/>
          <w:i/>
          <w:sz w:val="22"/>
          <w:szCs w:val="22"/>
        </w:rPr>
        <w:t xml:space="preserve"> </w:t>
      </w:r>
      <w:r w:rsidRPr="00B12F18">
        <w:rPr>
          <w:rFonts w:ascii="Bookman Old Style" w:hAnsi="Bookman Old Style" w:cs="Arial"/>
          <w:i/>
          <w:sz w:val="22"/>
          <w:szCs w:val="22"/>
        </w:rPr>
        <w:t>de ayuda seguía</w:t>
      </w:r>
      <w:r>
        <w:rPr>
          <w:rFonts w:ascii="Bookman Old Style" w:hAnsi="Bookman Old Style" w:cs="Arial"/>
          <w:i/>
          <w:sz w:val="22"/>
          <w:szCs w:val="22"/>
        </w:rPr>
        <w:t xml:space="preserve"> </w:t>
      </w:r>
      <w:r w:rsidRPr="00B12F18">
        <w:rPr>
          <w:rFonts w:ascii="Bookman Old Style" w:hAnsi="Bookman Old Style" w:cs="Arial"/>
          <w:i/>
          <w:sz w:val="22"/>
          <w:szCs w:val="22"/>
        </w:rPr>
        <w:t>escalada</w:t>
      </w:r>
      <w:r>
        <w:rPr>
          <w:rFonts w:ascii="Bookman Old Style" w:hAnsi="Bookman Old Style" w:cs="Arial"/>
          <w:i/>
          <w:sz w:val="22"/>
          <w:szCs w:val="22"/>
        </w:rPr>
        <w:t xml:space="preserve"> </w:t>
      </w:r>
      <w:r w:rsidRPr="00B12F18">
        <w:rPr>
          <w:rFonts w:ascii="Bookman Old Style" w:hAnsi="Bookman Old Style" w:cs="Arial"/>
          <w:i/>
          <w:sz w:val="22"/>
          <w:szCs w:val="22"/>
        </w:rPr>
        <w:t>al</w:t>
      </w:r>
      <w:r>
        <w:rPr>
          <w:rFonts w:ascii="Bookman Old Style" w:hAnsi="Bookman Old Style" w:cs="Arial"/>
          <w:i/>
          <w:sz w:val="22"/>
          <w:szCs w:val="22"/>
        </w:rPr>
        <w:t xml:space="preserve"> </w:t>
      </w:r>
      <w:r w:rsidRPr="00B12F18">
        <w:rPr>
          <w:rFonts w:ascii="Bookman Old Style" w:hAnsi="Bookman Old Style" w:cs="Arial"/>
          <w:i/>
          <w:sz w:val="22"/>
          <w:szCs w:val="22"/>
        </w:rPr>
        <w:t>servicio</w:t>
      </w:r>
      <w:r>
        <w:rPr>
          <w:rFonts w:ascii="Bookman Old Style" w:hAnsi="Bookman Old Style" w:cs="Arial"/>
          <w:i/>
          <w:sz w:val="22"/>
          <w:szCs w:val="22"/>
        </w:rPr>
        <w:t xml:space="preserve"> </w:t>
      </w:r>
      <w:r w:rsidRPr="00B12F18">
        <w:rPr>
          <w:rFonts w:ascii="Bookman Old Style" w:hAnsi="Bookman Old Style" w:cs="Arial"/>
          <w:i/>
          <w:sz w:val="22"/>
          <w:szCs w:val="22"/>
        </w:rPr>
        <w:t>técnico del SUI, la</w:t>
      </w:r>
      <w:r>
        <w:rPr>
          <w:rFonts w:ascii="Bookman Old Style" w:hAnsi="Bookman Old Style" w:cs="Arial"/>
          <w:i/>
          <w:sz w:val="22"/>
          <w:szCs w:val="22"/>
        </w:rPr>
        <w:t xml:space="preserve"> </w:t>
      </w:r>
      <w:r w:rsidRPr="00B12F18">
        <w:rPr>
          <w:rFonts w:ascii="Bookman Old Style" w:hAnsi="Bookman Old Style" w:cs="Arial"/>
          <w:i/>
          <w:sz w:val="22"/>
          <w:szCs w:val="22"/>
        </w:rPr>
        <w:t>empresa decidió revisar</w:t>
      </w:r>
      <w:r>
        <w:rPr>
          <w:rFonts w:ascii="Bookman Old Style" w:hAnsi="Bookman Old Style" w:cs="Arial"/>
          <w:i/>
          <w:sz w:val="22"/>
          <w:szCs w:val="22"/>
        </w:rPr>
        <w:t xml:space="preserve"> </w:t>
      </w:r>
      <w:r w:rsidRPr="00B12F18">
        <w:rPr>
          <w:rFonts w:ascii="Bookman Old Style" w:hAnsi="Bookman Old Style" w:cs="Arial"/>
          <w:i/>
          <w:sz w:val="22"/>
          <w:szCs w:val="22"/>
        </w:rPr>
        <w:t>el archivo de tanques estacionarios, y analizar cuales códigos DIVIPOLA generaban</w:t>
      </w:r>
      <w:r>
        <w:rPr>
          <w:rFonts w:ascii="Bookman Old Style" w:hAnsi="Bookman Old Style" w:cs="Arial"/>
          <w:i/>
          <w:sz w:val="22"/>
          <w:szCs w:val="22"/>
        </w:rPr>
        <w:t xml:space="preserve"> </w:t>
      </w:r>
      <w:r w:rsidRPr="00B12F18">
        <w:rPr>
          <w:rFonts w:ascii="Bookman Old Style" w:hAnsi="Bookman Old Style" w:cs="Arial"/>
          <w:i/>
          <w:sz w:val="22"/>
          <w:szCs w:val="22"/>
        </w:rPr>
        <w:t>el error; y luego</w:t>
      </w:r>
      <w:r>
        <w:rPr>
          <w:rFonts w:ascii="Bookman Old Style" w:hAnsi="Bookman Old Style" w:cs="Arial"/>
          <w:i/>
          <w:sz w:val="22"/>
          <w:szCs w:val="22"/>
        </w:rPr>
        <w:t xml:space="preserve"> </w:t>
      </w:r>
      <w:r w:rsidRPr="00B12F18">
        <w:rPr>
          <w:rFonts w:ascii="Bookman Old Style" w:hAnsi="Bookman Old Style" w:cs="Arial"/>
          <w:i/>
          <w:sz w:val="22"/>
          <w:szCs w:val="22"/>
        </w:rPr>
        <w:t>de confirmar las ubicaciones, y</w:t>
      </w:r>
      <w:r>
        <w:rPr>
          <w:rFonts w:ascii="Bookman Old Style" w:hAnsi="Bookman Old Style" w:cs="Arial"/>
          <w:i/>
          <w:sz w:val="22"/>
          <w:szCs w:val="22"/>
        </w:rPr>
        <w:t xml:space="preserve"> </w:t>
      </w:r>
      <w:r w:rsidRPr="00B12F18">
        <w:rPr>
          <w:rFonts w:ascii="Bookman Old Style" w:hAnsi="Bookman Old Style" w:cs="Arial"/>
          <w:i/>
          <w:sz w:val="22"/>
          <w:szCs w:val="22"/>
        </w:rPr>
        <w:t>asignarle un código DIVIPOLA al municipio más cercano,</w:t>
      </w:r>
      <w:r>
        <w:rPr>
          <w:rFonts w:ascii="Bookman Old Style" w:hAnsi="Bookman Old Style" w:cs="Arial"/>
          <w:i/>
          <w:sz w:val="22"/>
          <w:szCs w:val="22"/>
        </w:rPr>
        <w:t xml:space="preserve"> </w:t>
      </w:r>
      <w:r w:rsidRPr="00B12F18">
        <w:rPr>
          <w:rFonts w:ascii="Bookman Old Style" w:hAnsi="Bookman Old Style" w:cs="Arial"/>
          <w:i/>
          <w:sz w:val="22"/>
          <w:szCs w:val="22"/>
        </w:rPr>
        <w:t>CHILCO logró subir el reporte el día 26 de mayo de 2016, pese</w:t>
      </w:r>
      <w:r>
        <w:rPr>
          <w:rFonts w:ascii="Bookman Old Style" w:hAnsi="Bookman Old Style" w:cs="Arial"/>
          <w:i/>
          <w:sz w:val="22"/>
          <w:szCs w:val="22"/>
        </w:rPr>
        <w:t xml:space="preserve"> </w:t>
      </w:r>
      <w:r w:rsidRPr="00B12F18">
        <w:rPr>
          <w:rFonts w:ascii="Bookman Old Style" w:hAnsi="Bookman Old Style" w:cs="Arial"/>
          <w:i/>
          <w:sz w:val="22"/>
          <w:szCs w:val="22"/>
        </w:rPr>
        <w:t>a</w:t>
      </w:r>
      <w:r>
        <w:rPr>
          <w:rFonts w:ascii="Bookman Old Style" w:hAnsi="Bookman Old Style" w:cs="Arial"/>
          <w:i/>
          <w:sz w:val="22"/>
          <w:szCs w:val="22"/>
        </w:rPr>
        <w:t xml:space="preserve"> </w:t>
      </w:r>
      <w:r w:rsidRPr="00B12F18">
        <w:rPr>
          <w:rFonts w:ascii="Bookman Old Style" w:hAnsi="Bookman Old Style" w:cs="Arial"/>
          <w:i/>
          <w:sz w:val="22"/>
          <w:szCs w:val="22"/>
        </w:rPr>
        <w:t>que aún el SUI</w:t>
      </w:r>
      <w:r>
        <w:rPr>
          <w:rFonts w:ascii="Bookman Old Style" w:hAnsi="Bookman Old Style" w:cs="Arial"/>
          <w:i/>
          <w:sz w:val="22"/>
          <w:szCs w:val="22"/>
        </w:rPr>
        <w:t xml:space="preserve"> </w:t>
      </w:r>
      <w:r w:rsidRPr="00B12F18">
        <w:rPr>
          <w:rFonts w:ascii="Bookman Old Style" w:hAnsi="Bookman Old Style" w:cs="Arial"/>
          <w:i/>
          <w:sz w:val="22"/>
          <w:szCs w:val="22"/>
        </w:rPr>
        <w:t>no había dado una solución al respecto.</w:t>
      </w:r>
    </w:p>
    <w:p w:rsidR="00B12F18" w:rsidRPr="00B12F18" w:rsidRDefault="00B12F18" w:rsidP="00B12F18">
      <w:pPr>
        <w:ind w:left="284" w:right="284"/>
        <w:jc w:val="both"/>
        <w:rPr>
          <w:rFonts w:ascii="Bookman Old Style" w:hAnsi="Bookman Old Style" w:cs="Arial"/>
          <w:i/>
          <w:sz w:val="22"/>
          <w:szCs w:val="22"/>
        </w:rPr>
      </w:pPr>
    </w:p>
    <w:p w:rsidR="00B12F18" w:rsidRDefault="00B12F18" w:rsidP="00B12F18">
      <w:pPr>
        <w:ind w:left="284" w:right="284"/>
        <w:jc w:val="both"/>
        <w:rPr>
          <w:rFonts w:ascii="Bookman Old Style" w:hAnsi="Bookman Old Style" w:cs="Arial"/>
          <w:i/>
          <w:sz w:val="22"/>
          <w:szCs w:val="22"/>
        </w:rPr>
      </w:pPr>
      <w:r w:rsidRPr="00B12F18">
        <w:rPr>
          <w:rFonts w:ascii="Bookman Old Style" w:hAnsi="Bookman Old Style" w:cs="Arial"/>
          <w:i/>
          <w:sz w:val="22"/>
          <w:szCs w:val="22"/>
        </w:rPr>
        <w:t>Por lo anterior, es evidente que la Resolución CREG 0</w:t>
      </w:r>
      <w:r>
        <w:rPr>
          <w:rFonts w:ascii="Bookman Old Style" w:hAnsi="Bookman Old Style" w:cs="Arial"/>
          <w:i/>
          <w:sz w:val="22"/>
          <w:szCs w:val="22"/>
        </w:rPr>
        <w:t xml:space="preserve">75 de 2016fue expedida sin tener </w:t>
      </w:r>
      <w:r w:rsidRPr="00B12F18">
        <w:rPr>
          <w:rFonts w:ascii="Bookman Old Style" w:hAnsi="Bookman Old Style" w:cs="Arial"/>
          <w:i/>
          <w:sz w:val="22"/>
          <w:szCs w:val="22"/>
        </w:rPr>
        <w:t>en cuenta</w:t>
      </w:r>
      <w:r>
        <w:rPr>
          <w:rFonts w:ascii="Bookman Old Style" w:hAnsi="Bookman Old Style" w:cs="Arial"/>
          <w:i/>
          <w:sz w:val="22"/>
          <w:szCs w:val="22"/>
        </w:rPr>
        <w:t xml:space="preserve"> </w:t>
      </w:r>
      <w:r w:rsidRPr="00B12F18">
        <w:rPr>
          <w:rFonts w:ascii="Bookman Old Style" w:hAnsi="Bookman Old Style" w:cs="Arial"/>
          <w:i/>
          <w:sz w:val="22"/>
          <w:szCs w:val="22"/>
        </w:rPr>
        <w:t>las</w:t>
      </w:r>
      <w:r>
        <w:rPr>
          <w:rFonts w:ascii="Bookman Old Style" w:hAnsi="Bookman Old Style" w:cs="Arial"/>
          <w:i/>
          <w:sz w:val="22"/>
          <w:szCs w:val="22"/>
        </w:rPr>
        <w:t xml:space="preserve"> </w:t>
      </w:r>
      <w:r w:rsidRPr="00B12F18">
        <w:rPr>
          <w:rFonts w:ascii="Bookman Old Style" w:hAnsi="Bookman Old Style" w:cs="Arial"/>
          <w:i/>
          <w:sz w:val="22"/>
          <w:szCs w:val="22"/>
        </w:rPr>
        <w:t>cifras</w:t>
      </w:r>
      <w:r>
        <w:rPr>
          <w:rFonts w:ascii="Bookman Old Style" w:hAnsi="Bookman Old Style" w:cs="Arial"/>
          <w:i/>
          <w:sz w:val="22"/>
          <w:szCs w:val="22"/>
        </w:rPr>
        <w:t xml:space="preserve"> </w:t>
      </w:r>
      <w:r w:rsidRPr="00B12F18">
        <w:rPr>
          <w:rFonts w:ascii="Bookman Old Style" w:hAnsi="Bookman Old Style" w:cs="Arial"/>
          <w:i/>
          <w:sz w:val="22"/>
          <w:szCs w:val="22"/>
        </w:rPr>
        <w:t>efectivamente</w:t>
      </w:r>
      <w:r>
        <w:rPr>
          <w:rFonts w:ascii="Bookman Old Style" w:hAnsi="Bookman Old Style" w:cs="Arial"/>
          <w:i/>
          <w:sz w:val="22"/>
          <w:szCs w:val="22"/>
        </w:rPr>
        <w:t xml:space="preserve"> </w:t>
      </w:r>
      <w:r w:rsidRPr="00B12F18">
        <w:rPr>
          <w:rFonts w:ascii="Bookman Old Style" w:hAnsi="Bookman Old Style" w:cs="Arial"/>
          <w:i/>
          <w:sz w:val="22"/>
          <w:szCs w:val="22"/>
        </w:rPr>
        <w:t>reportadas</w:t>
      </w:r>
      <w:r>
        <w:rPr>
          <w:rFonts w:ascii="Bookman Old Style" w:hAnsi="Bookman Old Style" w:cs="Arial"/>
          <w:i/>
          <w:sz w:val="22"/>
          <w:szCs w:val="22"/>
        </w:rPr>
        <w:t xml:space="preserve"> </w:t>
      </w:r>
      <w:r w:rsidRPr="00B12F18">
        <w:rPr>
          <w:rFonts w:ascii="Bookman Old Style" w:hAnsi="Bookman Old Style" w:cs="Arial"/>
          <w:i/>
          <w:sz w:val="22"/>
          <w:szCs w:val="22"/>
        </w:rPr>
        <w:t>por</w:t>
      </w:r>
      <w:r>
        <w:rPr>
          <w:rFonts w:ascii="Bookman Old Style" w:hAnsi="Bookman Old Style" w:cs="Arial"/>
          <w:i/>
          <w:sz w:val="22"/>
          <w:szCs w:val="22"/>
        </w:rPr>
        <w:t xml:space="preserve"> </w:t>
      </w:r>
      <w:r w:rsidRPr="00B12F18">
        <w:rPr>
          <w:rFonts w:ascii="Bookman Old Style" w:hAnsi="Bookman Old Style" w:cs="Arial"/>
          <w:i/>
          <w:sz w:val="22"/>
          <w:szCs w:val="22"/>
        </w:rPr>
        <w:t>CHILCO</w:t>
      </w:r>
      <w:r>
        <w:rPr>
          <w:rFonts w:ascii="Bookman Old Style" w:hAnsi="Bookman Old Style" w:cs="Arial"/>
          <w:i/>
          <w:sz w:val="22"/>
          <w:szCs w:val="22"/>
        </w:rPr>
        <w:t xml:space="preserve"> </w:t>
      </w:r>
      <w:r w:rsidRPr="00B12F18">
        <w:rPr>
          <w:rFonts w:ascii="Bookman Old Style" w:hAnsi="Bookman Old Style" w:cs="Arial"/>
          <w:i/>
          <w:sz w:val="22"/>
          <w:szCs w:val="22"/>
        </w:rPr>
        <w:t>ante</w:t>
      </w:r>
      <w:r>
        <w:rPr>
          <w:rFonts w:ascii="Bookman Old Style" w:hAnsi="Bookman Old Style" w:cs="Arial"/>
          <w:i/>
          <w:sz w:val="22"/>
          <w:szCs w:val="22"/>
        </w:rPr>
        <w:t xml:space="preserve"> </w:t>
      </w:r>
      <w:r w:rsidRPr="00B12F18">
        <w:rPr>
          <w:rFonts w:ascii="Bookman Old Style" w:hAnsi="Bookman Old Style" w:cs="Arial"/>
          <w:i/>
          <w:sz w:val="22"/>
          <w:szCs w:val="22"/>
        </w:rPr>
        <w:t>el</w:t>
      </w:r>
      <w:r>
        <w:rPr>
          <w:rFonts w:ascii="Bookman Old Style" w:hAnsi="Bookman Old Style" w:cs="Arial"/>
          <w:i/>
          <w:sz w:val="22"/>
          <w:szCs w:val="22"/>
        </w:rPr>
        <w:t xml:space="preserve"> </w:t>
      </w:r>
      <w:proofErr w:type="spellStart"/>
      <w:r w:rsidRPr="00B12F18">
        <w:rPr>
          <w:rFonts w:ascii="Bookman Old Style" w:hAnsi="Bookman Old Style" w:cs="Arial"/>
          <w:i/>
          <w:sz w:val="22"/>
          <w:szCs w:val="22"/>
        </w:rPr>
        <w:t>SUl</w:t>
      </w:r>
      <w:proofErr w:type="spellEnd"/>
      <w:r w:rsidRPr="00B12F18">
        <w:rPr>
          <w:rFonts w:ascii="Bookman Old Style" w:hAnsi="Bookman Old Style" w:cs="Arial"/>
          <w:i/>
          <w:sz w:val="22"/>
          <w:szCs w:val="22"/>
        </w:rPr>
        <w:t>, incluyendo el</w:t>
      </w:r>
      <w:r>
        <w:rPr>
          <w:rFonts w:ascii="Bookman Old Style" w:hAnsi="Bookman Old Style" w:cs="Arial"/>
          <w:i/>
          <w:sz w:val="22"/>
          <w:szCs w:val="22"/>
        </w:rPr>
        <w:t xml:space="preserve"> </w:t>
      </w:r>
      <w:r w:rsidRPr="00B12F18">
        <w:rPr>
          <w:rFonts w:ascii="Bookman Old Style" w:hAnsi="Bookman Old Style" w:cs="Arial"/>
          <w:i/>
          <w:sz w:val="22"/>
          <w:szCs w:val="22"/>
        </w:rPr>
        <w:t>cargue posterior que se hizo por razones ajenas</w:t>
      </w:r>
      <w:r>
        <w:rPr>
          <w:rFonts w:ascii="Bookman Old Style" w:hAnsi="Bookman Old Style" w:cs="Arial"/>
          <w:i/>
          <w:sz w:val="22"/>
          <w:szCs w:val="22"/>
        </w:rPr>
        <w:t xml:space="preserve"> </w:t>
      </w:r>
      <w:r w:rsidRPr="00B12F18">
        <w:rPr>
          <w:rFonts w:ascii="Bookman Old Style" w:hAnsi="Bookman Old Style" w:cs="Arial"/>
          <w:i/>
          <w:sz w:val="22"/>
          <w:szCs w:val="22"/>
        </w:rPr>
        <w:t>a</w:t>
      </w:r>
      <w:r>
        <w:rPr>
          <w:rFonts w:ascii="Bookman Old Style" w:hAnsi="Bookman Old Style" w:cs="Arial"/>
          <w:i/>
          <w:sz w:val="22"/>
          <w:szCs w:val="22"/>
        </w:rPr>
        <w:t xml:space="preserve"> </w:t>
      </w:r>
      <w:r w:rsidRPr="00B12F18">
        <w:rPr>
          <w:rFonts w:ascii="Bookman Old Style" w:hAnsi="Bookman Old Style" w:cs="Arial"/>
          <w:i/>
          <w:sz w:val="22"/>
          <w:szCs w:val="22"/>
        </w:rPr>
        <w:t>su voluntad.</w:t>
      </w:r>
    </w:p>
    <w:p w:rsidR="00B12F18" w:rsidRPr="00B12F18" w:rsidRDefault="00B12F18" w:rsidP="00B12F18">
      <w:pPr>
        <w:ind w:left="284" w:right="284"/>
        <w:jc w:val="both"/>
        <w:rPr>
          <w:rFonts w:ascii="Bookman Old Style" w:hAnsi="Bookman Old Style" w:cs="Arial"/>
          <w:i/>
          <w:sz w:val="22"/>
          <w:szCs w:val="22"/>
        </w:rPr>
      </w:pPr>
    </w:p>
    <w:p w:rsidR="00B12F18" w:rsidRPr="002A3EB4" w:rsidRDefault="002A3EB4" w:rsidP="002A3EB4">
      <w:pPr>
        <w:pStyle w:val="Prrafodelista"/>
        <w:numPr>
          <w:ilvl w:val="1"/>
          <w:numId w:val="43"/>
        </w:numPr>
        <w:ind w:right="284"/>
        <w:jc w:val="both"/>
        <w:rPr>
          <w:rFonts w:ascii="Bookman Old Style" w:hAnsi="Bookman Old Style" w:cs="Arial"/>
          <w:i/>
          <w:sz w:val="22"/>
          <w:szCs w:val="22"/>
        </w:rPr>
      </w:pPr>
      <w:r>
        <w:rPr>
          <w:rFonts w:ascii="Bookman Old Style" w:hAnsi="Bookman Old Style" w:cs="Arial"/>
          <w:i/>
          <w:sz w:val="22"/>
          <w:szCs w:val="22"/>
        </w:rPr>
        <w:t xml:space="preserve"> </w:t>
      </w:r>
      <w:r w:rsidR="00B12F18" w:rsidRPr="002A3EB4">
        <w:rPr>
          <w:rFonts w:ascii="Bookman Old Style" w:hAnsi="Bookman Old Style" w:cs="Arial"/>
          <w:i/>
          <w:sz w:val="22"/>
          <w:szCs w:val="22"/>
        </w:rPr>
        <w:t>LIMITACIÓN DE LA CAPACIDAD DE COMPRA DE CHILCO</w:t>
      </w:r>
    </w:p>
    <w:p w:rsidR="002A3EB4" w:rsidRPr="002A3EB4" w:rsidRDefault="002A3EB4" w:rsidP="002A3EB4">
      <w:pPr>
        <w:pStyle w:val="Prrafodelista"/>
        <w:ind w:left="644" w:right="284"/>
        <w:jc w:val="both"/>
        <w:rPr>
          <w:rFonts w:ascii="Bookman Old Style" w:hAnsi="Bookman Old Style" w:cs="Arial"/>
          <w:i/>
          <w:sz w:val="22"/>
          <w:szCs w:val="22"/>
        </w:rPr>
      </w:pPr>
    </w:p>
    <w:p w:rsidR="00B12F18" w:rsidRDefault="00B12F18" w:rsidP="00B12F18">
      <w:pPr>
        <w:ind w:left="284" w:right="284"/>
        <w:jc w:val="both"/>
        <w:rPr>
          <w:rFonts w:ascii="Bookman Old Style" w:hAnsi="Bookman Old Style" w:cs="Arial"/>
          <w:i/>
          <w:sz w:val="22"/>
          <w:szCs w:val="22"/>
        </w:rPr>
      </w:pPr>
      <w:r w:rsidRPr="00B12F18">
        <w:rPr>
          <w:rFonts w:ascii="Bookman Old Style" w:hAnsi="Bookman Old Style" w:cs="Arial"/>
          <w:i/>
          <w:sz w:val="22"/>
          <w:szCs w:val="22"/>
        </w:rPr>
        <w:lastRenderedPageBreak/>
        <w:t>Las compras históricas de GLP realizadas por CHILCO corresponden</w:t>
      </w:r>
      <w:r>
        <w:rPr>
          <w:rFonts w:ascii="Bookman Old Style" w:hAnsi="Bookman Old Style" w:cs="Arial"/>
          <w:i/>
          <w:sz w:val="22"/>
          <w:szCs w:val="22"/>
        </w:rPr>
        <w:t xml:space="preserve"> </w:t>
      </w:r>
      <w:r w:rsidRPr="00B12F18">
        <w:rPr>
          <w:rFonts w:ascii="Bookman Old Style" w:hAnsi="Bookman Old Style" w:cs="Arial"/>
          <w:i/>
          <w:sz w:val="22"/>
          <w:szCs w:val="22"/>
        </w:rPr>
        <w:t>a</w:t>
      </w:r>
      <w:r>
        <w:rPr>
          <w:rFonts w:ascii="Bookman Old Style" w:hAnsi="Bookman Old Style" w:cs="Arial"/>
          <w:i/>
          <w:sz w:val="22"/>
          <w:szCs w:val="22"/>
        </w:rPr>
        <w:t xml:space="preserve"> </w:t>
      </w:r>
      <w:r w:rsidRPr="00B12F18">
        <w:rPr>
          <w:rFonts w:ascii="Bookman Old Style" w:hAnsi="Bookman Old Style" w:cs="Arial"/>
          <w:i/>
          <w:sz w:val="22"/>
          <w:szCs w:val="22"/>
        </w:rPr>
        <w:t>la capacidad de venta</w:t>
      </w:r>
      <w:r>
        <w:rPr>
          <w:rFonts w:ascii="Bookman Old Style" w:hAnsi="Bookman Old Style" w:cs="Arial"/>
          <w:i/>
          <w:sz w:val="22"/>
          <w:szCs w:val="22"/>
        </w:rPr>
        <w:t xml:space="preserve"> </w:t>
      </w:r>
      <w:r w:rsidRPr="00B12F18">
        <w:rPr>
          <w:rFonts w:ascii="Bookman Old Style" w:hAnsi="Bookman Old Style" w:cs="Arial"/>
          <w:i/>
          <w:sz w:val="22"/>
          <w:szCs w:val="22"/>
        </w:rPr>
        <w:t>de</w:t>
      </w:r>
      <w:r>
        <w:rPr>
          <w:rFonts w:ascii="Bookman Old Style" w:hAnsi="Bookman Old Style" w:cs="Arial"/>
          <w:i/>
          <w:sz w:val="22"/>
          <w:szCs w:val="22"/>
        </w:rPr>
        <w:t xml:space="preserve"> </w:t>
      </w:r>
      <w:r w:rsidRPr="00B12F18">
        <w:rPr>
          <w:rFonts w:ascii="Bookman Old Style" w:hAnsi="Bookman Old Style" w:cs="Arial"/>
          <w:i/>
          <w:sz w:val="22"/>
          <w:szCs w:val="22"/>
        </w:rPr>
        <w:t>esta</w:t>
      </w:r>
      <w:r>
        <w:rPr>
          <w:rFonts w:ascii="Bookman Old Style" w:hAnsi="Bookman Old Style" w:cs="Arial"/>
          <w:i/>
          <w:sz w:val="22"/>
          <w:szCs w:val="22"/>
        </w:rPr>
        <w:t xml:space="preserve"> </w:t>
      </w:r>
      <w:r w:rsidRPr="00B12F18">
        <w:rPr>
          <w:rFonts w:ascii="Bookman Old Style" w:hAnsi="Bookman Old Style" w:cs="Arial"/>
          <w:i/>
          <w:sz w:val="22"/>
          <w:szCs w:val="22"/>
        </w:rPr>
        <w:t>compañía</w:t>
      </w:r>
      <w:r>
        <w:rPr>
          <w:rFonts w:ascii="Bookman Old Style" w:hAnsi="Bookman Old Style" w:cs="Arial"/>
          <w:i/>
          <w:sz w:val="22"/>
          <w:szCs w:val="22"/>
        </w:rPr>
        <w:t xml:space="preserve"> </w:t>
      </w:r>
      <w:r w:rsidRPr="00B12F18">
        <w:rPr>
          <w:rFonts w:ascii="Bookman Old Style" w:hAnsi="Bookman Old Style" w:cs="Arial"/>
          <w:i/>
          <w:sz w:val="22"/>
          <w:szCs w:val="22"/>
        </w:rPr>
        <w:t>y la</w:t>
      </w:r>
      <w:r>
        <w:rPr>
          <w:rFonts w:ascii="Bookman Old Style" w:hAnsi="Bookman Old Style" w:cs="Arial"/>
          <w:i/>
          <w:sz w:val="22"/>
          <w:szCs w:val="22"/>
        </w:rPr>
        <w:t xml:space="preserve"> </w:t>
      </w:r>
      <w:r w:rsidRPr="00B12F18">
        <w:rPr>
          <w:rFonts w:ascii="Bookman Old Style" w:hAnsi="Bookman Old Style" w:cs="Arial"/>
          <w:i/>
          <w:sz w:val="22"/>
          <w:szCs w:val="22"/>
        </w:rPr>
        <w:t>demanda</w:t>
      </w:r>
      <w:r>
        <w:rPr>
          <w:rFonts w:ascii="Bookman Old Style" w:hAnsi="Bookman Old Style" w:cs="Arial"/>
          <w:i/>
          <w:sz w:val="22"/>
          <w:szCs w:val="22"/>
        </w:rPr>
        <w:t xml:space="preserve"> </w:t>
      </w:r>
      <w:r w:rsidRPr="00B12F18">
        <w:rPr>
          <w:rFonts w:ascii="Bookman Old Style" w:hAnsi="Bookman Old Style" w:cs="Arial"/>
          <w:i/>
          <w:sz w:val="22"/>
          <w:szCs w:val="22"/>
        </w:rPr>
        <w:t>que</w:t>
      </w:r>
      <w:r>
        <w:rPr>
          <w:rFonts w:ascii="Bookman Old Style" w:hAnsi="Bookman Old Style" w:cs="Arial"/>
          <w:i/>
          <w:sz w:val="22"/>
          <w:szCs w:val="22"/>
        </w:rPr>
        <w:t xml:space="preserve"> </w:t>
      </w:r>
      <w:r w:rsidRPr="00B12F18">
        <w:rPr>
          <w:rFonts w:ascii="Bookman Old Style" w:hAnsi="Bookman Old Style" w:cs="Arial"/>
          <w:i/>
          <w:sz w:val="22"/>
          <w:szCs w:val="22"/>
        </w:rPr>
        <w:t>atiende, por lo</w:t>
      </w:r>
      <w:r>
        <w:rPr>
          <w:rFonts w:ascii="Bookman Old Style" w:hAnsi="Bookman Old Style" w:cs="Arial"/>
          <w:i/>
          <w:sz w:val="22"/>
          <w:szCs w:val="22"/>
        </w:rPr>
        <w:t xml:space="preserve"> </w:t>
      </w:r>
      <w:r w:rsidRPr="00B12F18">
        <w:rPr>
          <w:rFonts w:ascii="Bookman Old Style" w:hAnsi="Bookman Old Style" w:cs="Arial"/>
          <w:i/>
          <w:sz w:val="22"/>
          <w:szCs w:val="22"/>
        </w:rPr>
        <w:t>que</w:t>
      </w:r>
      <w:r>
        <w:rPr>
          <w:rFonts w:ascii="Bookman Old Style" w:hAnsi="Bookman Old Style" w:cs="Arial"/>
          <w:i/>
          <w:sz w:val="22"/>
          <w:szCs w:val="22"/>
        </w:rPr>
        <w:t xml:space="preserve"> </w:t>
      </w:r>
      <w:r w:rsidRPr="00B12F18">
        <w:rPr>
          <w:rFonts w:ascii="Bookman Old Style" w:hAnsi="Bookman Old Style" w:cs="Arial"/>
          <w:i/>
          <w:sz w:val="22"/>
          <w:szCs w:val="22"/>
        </w:rPr>
        <w:t>la</w:t>
      </w:r>
      <w:r>
        <w:rPr>
          <w:rFonts w:ascii="Bookman Old Style" w:hAnsi="Bookman Old Style" w:cs="Arial"/>
          <w:i/>
          <w:sz w:val="22"/>
          <w:szCs w:val="22"/>
        </w:rPr>
        <w:t xml:space="preserve"> </w:t>
      </w:r>
      <w:r w:rsidRPr="00B12F18">
        <w:rPr>
          <w:rFonts w:ascii="Bookman Old Style" w:hAnsi="Bookman Old Style" w:cs="Arial"/>
          <w:i/>
          <w:sz w:val="22"/>
          <w:szCs w:val="22"/>
        </w:rPr>
        <w:t>aplicación</w:t>
      </w:r>
      <w:r>
        <w:rPr>
          <w:rFonts w:ascii="Bookman Old Style" w:hAnsi="Bookman Old Style" w:cs="Arial"/>
          <w:i/>
          <w:sz w:val="22"/>
          <w:szCs w:val="22"/>
        </w:rPr>
        <w:t xml:space="preserve"> </w:t>
      </w:r>
      <w:r w:rsidRPr="00B12F18">
        <w:rPr>
          <w:rFonts w:ascii="Bookman Old Style" w:hAnsi="Bookman Old Style" w:cs="Arial"/>
          <w:i/>
          <w:sz w:val="22"/>
          <w:szCs w:val="22"/>
        </w:rPr>
        <w:t>del</w:t>
      </w:r>
      <w:r>
        <w:rPr>
          <w:rFonts w:ascii="Bookman Old Style" w:hAnsi="Bookman Old Style" w:cs="Arial"/>
          <w:i/>
          <w:sz w:val="22"/>
          <w:szCs w:val="22"/>
        </w:rPr>
        <w:t xml:space="preserve"> </w:t>
      </w:r>
      <w:r w:rsidRPr="00B12F18">
        <w:rPr>
          <w:rFonts w:ascii="Bookman Old Style" w:hAnsi="Bookman Old Style" w:cs="Arial"/>
          <w:i/>
          <w:sz w:val="22"/>
          <w:szCs w:val="22"/>
        </w:rPr>
        <w:t>a capacidad de co</w:t>
      </w:r>
      <w:r>
        <w:rPr>
          <w:rFonts w:ascii="Bookman Old Style" w:hAnsi="Bookman Old Style" w:cs="Arial"/>
          <w:i/>
          <w:sz w:val="22"/>
          <w:szCs w:val="22"/>
        </w:rPr>
        <w:t xml:space="preserve">mpra determinada en el artículo 1 </w:t>
      </w:r>
      <w:r w:rsidRPr="00B12F18">
        <w:rPr>
          <w:rFonts w:ascii="Bookman Old Style" w:hAnsi="Bookman Old Style" w:cs="Arial"/>
          <w:i/>
          <w:sz w:val="22"/>
          <w:szCs w:val="22"/>
        </w:rPr>
        <w:t>de la Resolución CREG 75 de 2016, afectaría</w:t>
      </w:r>
      <w:r>
        <w:rPr>
          <w:rFonts w:ascii="Bookman Old Style" w:hAnsi="Bookman Old Style" w:cs="Arial"/>
          <w:i/>
          <w:sz w:val="22"/>
          <w:szCs w:val="22"/>
        </w:rPr>
        <w:t xml:space="preserve"> </w:t>
      </w:r>
      <w:r w:rsidRPr="00B12F18">
        <w:rPr>
          <w:rFonts w:ascii="Bookman Old Style" w:hAnsi="Bookman Old Style" w:cs="Arial"/>
          <w:i/>
          <w:sz w:val="22"/>
          <w:szCs w:val="22"/>
        </w:rPr>
        <w:t>en</w:t>
      </w:r>
      <w:r>
        <w:rPr>
          <w:rFonts w:ascii="Bookman Old Style" w:hAnsi="Bookman Old Style" w:cs="Arial"/>
          <w:i/>
          <w:sz w:val="22"/>
          <w:szCs w:val="22"/>
        </w:rPr>
        <w:t xml:space="preserve"> </w:t>
      </w:r>
      <w:r w:rsidRPr="00B12F18">
        <w:rPr>
          <w:rFonts w:ascii="Bookman Old Style" w:hAnsi="Bookman Old Style" w:cs="Arial"/>
          <w:i/>
          <w:sz w:val="22"/>
          <w:szCs w:val="22"/>
        </w:rPr>
        <w:t>forma</w:t>
      </w:r>
      <w:r>
        <w:rPr>
          <w:rFonts w:ascii="Bookman Old Style" w:hAnsi="Bookman Old Style" w:cs="Arial"/>
          <w:i/>
          <w:sz w:val="22"/>
          <w:szCs w:val="22"/>
        </w:rPr>
        <w:t xml:space="preserve"> </w:t>
      </w:r>
      <w:r w:rsidRPr="00B12F18">
        <w:rPr>
          <w:rFonts w:ascii="Bookman Old Style" w:hAnsi="Bookman Old Style" w:cs="Arial"/>
          <w:i/>
          <w:sz w:val="22"/>
          <w:szCs w:val="22"/>
        </w:rPr>
        <w:t>gravea mi representada</w:t>
      </w:r>
      <w:r>
        <w:rPr>
          <w:rFonts w:ascii="Bookman Old Style" w:hAnsi="Bookman Old Style" w:cs="Arial"/>
          <w:i/>
          <w:sz w:val="22"/>
          <w:szCs w:val="22"/>
        </w:rPr>
        <w:t xml:space="preserve"> </w:t>
      </w:r>
      <w:r w:rsidRPr="00B12F18">
        <w:rPr>
          <w:rFonts w:ascii="Bookman Old Style" w:hAnsi="Bookman Old Style" w:cs="Arial"/>
          <w:i/>
          <w:sz w:val="22"/>
          <w:szCs w:val="22"/>
        </w:rPr>
        <w:t>y peor aún a</w:t>
      </w:r>
      <w:r>
        <w:rPr>
          <w:rFonts w:ascii="Bookman Old Style" w:hAnsi="Bookman Old Style" w:cs="Arial"/>
          <w:i/>
          <w:sz w:val="22"/>
          <w:szCs w:val="22"/>
        </w:rPr>
        <w:t xml:space="preserve"> </w:t>
      </w:r>
      <w:r w:rsidRPr="00B12F18">
        <w:rPr>
          <w:rFonts w:ascii="Bookman Old Style" w:hAnsi="Bookman Old Style" w:cs="Arial"/>
          <w:i/>
          <w:sz w:val="22"/>
          <w:szCs w:val="22"/>
        </w:rPr>
        <w:t>los</w:t>
      </w:r>
      <w:r>
        <w:rPr>
          <w:rFonts w:ascii="Bookman Old Style" w:hAnsi="Bookman Old Style" w:cs="Arial"/>
          <w:i/>
          <w:sz w:val="22"/>
          <w:szCs w:val="22"/>
        </w:rPr>
        <w:t xml:space="preserve"> </w:t>
      </w:r>
      <w:r w:rsidRPr="00B12F18">
        <w:rPr>
          <w:rFonts w:ascii="Bookman Old Style" w:hAnsi="Bookman Old Style" w:cs="Arial"/>
          <w:i/>
          <w:sz w:val="22"/>
          <w:szCs w:val="22"/>
        </w:rPr>
        <w:t>usuarios</w:t>
      </w:r>
      <w:r>
        <w:rPr>
          <w:rFonts w:ascii="Bookman Old Style" w:hAnsi="Bookman Old Style" w:cs="Arial"/>
          <w:i/>
          <w:sz w:val="22"/>
          <w:szCs w:val="22"/>
        </w:rPr>
        <w:t xml:space="preserve"> </w:t>
      </w:r>
      <w:r w:rsidRPr="00B12F18">
        <w:rPr>
          <w:rFonts w:ascii="Bookman Old Style" w:hAnsi="Bookman Old Style" w:cs="Arial"/>
          <w:i/>
          <w:sz w:val="22"/>
          <w:szCs w:val="22"/>
        </w:rPr>
        <w:t>del</w:t>
      </w:r>
      <w:r>
        <w:rPr>
          <w:rFonts w:ascii="Bookman Old Style" w:hAnsi="Bookman Old Style" w:cs="Arial"/>
          <w:i/>
          <w:sz w:val="22"/>
          <w:szCs w:val="22"/>
        </w:rPr>
        <w:t xml:space="preserve"> </w:t>
      </w:r>
      <w:r w:rsidRPr="00B12F18">
        <w:rPr>
          <w:rFonts w:ascii="Bookman Old Style" w:hAnsi="Bookman Old Style" w:cs="Arial"/>
          <w:i/>
          <w:sz w:val="22"/>
          <w:szCs w:val="22"/>
        </w:rPr>
        <w:t>servicio público domiciliario. Lo anterior se evidencia en la tabla que se presenta a continuación;</w:t>
      </w:r>
    </w:p>
    <w:p w:rsidR="00B12F18" w:rsidRPr="00B12F18" w:rsidRDefault="00B12F18" w:rsidP="00B12F18">
      <w:pPr>
        <w:ind w:left="284" w:right="284"/>
        <w:jc w:val="both"/>
        <w:rPr>
          <w:rFonts w:ascii="Bookman Old Style" w:hAnsi="Bookman Old Style" w:cs="Arial"/>
          <w:i/>
          <w:sz w:val="22"/>
          <w:szCs w:val="22"/>
        </w:rPr>
      </w:pPr>
    </w:p>
    <w:p w:rsidR="00B12F18" w:rsidRDefault="00B12F18" w:rsidP="00B12F18">
      <w:pPr>
        <w:ind w:left="284" w:right="284"/>
        <w:jc w:val="center"/>
        <w:rPr>
          <w:rFonts w:ascii="Bookman Old Style" w:hAnsi="Bookman Old Style" w:cs="Arial"/>
          <w:i/>
          <w:sz w:val="22"/>
          <w:szCs w:val="22"/>
        </w:rPr>
      </w:pPr>
      <w:r w:rsidRPr="00B12F18">
        <w:rPr>
          <w:rFonts w:ascii="Bookman Old Style" w:hAnsi="Bookman Old Style" w:cs="Arial"/>
          <w:i/>
          <w:sz w:val="22"/>
          <w:szCs w:val="22"/>
        </w:rPr>
        <w:t>Tabla No1. Comparativo asignación semestral Ecopetrol Versus Histórico demanda</w:t>
      </w:r>
      <w:r>
        <w:rPr>
          <w:rFonts w:ascii="Bookman Old Style" w:hAnsi="Bookman Old Style" w:cs="Arial"/>
          <w:i/>
          <w:sz w:val="22"/>
          <w:szCs w:val="22"/>
        </w:rPr>
        <w:t xml:space="preserve"> </w:t>
      </w:r>
      <w:r w:rsidRPr="00B12F18">
        <w:rPr>
          <w:rFonts w:ascii="Bookman Old Style" w:hAnsi="Bookman Old Style" w:cs="Arial"/>
          <w:i/>
          <w:sz w:val="22"/>
          <w:szCs w:val="22"/>
        </w:rPr>
        <w:t>semestral CHILCO;</w:t>
      </w:r>
    </w:p>
    <w:p w:rsidR="00B12F18" w:rsidRPr="00B12F18" w:rsidRDefault="00B12F18" w:rsidP="00B12F18">
      <w:pPr>
        <w:ind w:left="284" w:right="284"/>
        <w:jc w:val="center"/>
        <w:rPr>
          <w:rFonts w:ascii="Bookman Old Style" w:hAnsi="Bookman Old Style" w:cs="Arial"/>
          <w:i/>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1670"/>
        <w:gridCol w:w="1584"/>
        <w:gridCol w:w="1018"/>
        <w:gridCol w:w="1507"/>
        <w:gridCol w:w="1536"/>
      </w:tblGrid>
      <w:tr w:rsidR="00B12F18" w:rsidRPr="00B12F18" w:rsidTr="00521029">
        <w:trPr>
          <w:trHeight w:hRule="exact" w:val="288"/>
          <w:jc w:val="center"/>
        </w:trPr>
        <w:tc>
          <w:tcPr>
            <w:tcW w:w="1670" w:type="dxa"/>
            <w:tcBorders>
              <w:top w:val="single" w:sz="4" w:space="0" w:color="auto"/>
              <w:left w:val="single" w:sz="4" w:space="0" w:color="auto"/>
              <w:bottom w:val="nil"/>
              <w:right w:val="nil"/>
            </w:tcBorders>
            <w:shd w:val="clear" w:color="auto" w:fill="FFFFFF"/>
            <w:vAlign w:val="bottom"/>
          </w:tcPr>
          <w:p w:rsidR="00B12F18" w:rsidRPr="00B12F18" w:rsidRDefault="00B12F18" w:rsidP="00B12F18">
            <w:pPr>
              <w:framePr w:w="7315" w:wrap="notBeside" w:vAnchor="text" w:hAnchor="text" w:xAlign="center" w:y="1"/>
              <w:widowControl w:val="0"/>
              <w:spacing w:line="140" w:lineRule="exact"/>
              <w:ind w:left="120"/>
              <w:rPr>
                <w:rFonts w:ascii="Bookman Old Style" w:hAnsi="Bookman Old Style" w:cs="Arial"/>
                <w:b/>
                <w:bCs/>
                <w:sz w:val="16"/>
                <w:szCs w:val="16"/>
                <w:lang w:val="es-ES_tradnl" w:eastAsia="es-CO"/>
              </w:rPr>
            </w:pPr>
            <w:r w:rsidRPr="00B12F18">
              <w:rPr>
                <w:rFonts w:ascii="Bookman Old Style" w:hAnsi="Bookman Old Style" w:cs="Arial"/>
                <w:color w:val="000000"/>
                <w:sz w:val="16"/>
                <w:szCs w:val="16"/>
                <w:lang w:val="en-US" w:eastAsia="en-US"/>
              </w:rPr>
              <w:t>CREG 053 (2011)</w:t>
            </w:r>
          </w:p>
        </w:tc>
        <w:tc>
          <w:tcPr>
            <w:tcW w:w="1584" w:type="dxa"/>
            <w:tcBorders>
              <w:top w:val="single" w:sz="4" w:space="0" w:color="auto"/>
              <w:left w:val="single" w:sz="4" w:space="0" w:color="auto"/>
              <w:bottom w:val="nil"/>
              <w:right w:val="nil"/>
            </w:tcBorders>
            <w:shd w:val="clear" w:color="auto" w:fill="FFFFFF"/>
            <w:vAlign w:val="bottom"/>
          </w:tcPr>
          <w:p w:rsidR="00B12F18" w:rsidRPr="00B12F18" w:rsidRDefault="00B12F18" w:rsidP="00B12F18">
            <w:pPr>
              <w:framePr w:w="7315" w:wrap="notBeside" w:vAnchor="text" w:hAnchor="text" w:xAlign="center" w:y="1"/>
              <w:widowControl w:val="0"/>
              <w:spacing w:line="140" w:lineRule="exact"/>
              <w:ind w:left="0" w:right="160"/>
              <w:jc w:val="right"/>
              <w:rPr>
                <w:rFonts w:ascii="Bookman Old Style" w:hAnsi="Bookman Old Style" w:cs="Arial"/>
                <w:b/>
                <w:bCs/>
                <w:sz w:val="16"/>
                <w:szCs w:val="16"/>
                <w:lang w:val="es-ES_tradnl" w:eastAsia="es-CO"/>
              </w:rPr>
            </w:pPr>
            <w:r w:rsidRPr="00B12F18">
              <w:rPr>
                <w:rFonts w:ascii="Bookman Old Style" w:hAnsi="Bookman Old Style" w:cs="Arial"/>
                <w:color w:val="000000"/>
                <w:sz w:val="16"/>
                <w:szCs w:val="16"/>
                <w:lang w:val="es-ES_tradnl" w:eastAsia="es-ES_tradnl"/>
              </w:rPr>
              <w:t>Res. 075 (2016)</w:t>
            </w:r>
          </w:p>
        </w:tc>
        <w:tc>
          <w:tcPr>
            <w:tcW w:w="1018" w:type="dxa"/>
            <w:vMerge w:val="restart"/>
            <w:tcBorders>
              <w:top w:val="single" w:sz="4" w:space="0" w:color="auto"/>
              <w:left w:val="single" w:sz="4" w:space="0" w:color="auto"/>
              <w:bottom w:val="nil"/>
              <w:right w:val="nil"/>
            </w:tcBorders>
            <w:shd w:val="clear" w:color="auto" w:fill="FFFFFF"/>
            <w:vAlign w:val="bottom"/>
          </w:tcPr>
          <w:p w:rsidR="00B12F18" w:rsidRPr="00B12F18" w:rsidRDefault="00E70778" w:rsidP="00B12F18">
            <w:pPr>
              <w:framePr w:w="7315" w:wrap="notBeside" w:vAnchor="text" w:hAnchor="text" w:xAlign="center" w:y="1"/>
              <w:widowControl w:val="0"/>
              <w:spacing w:after="60" w:line="140" w:lineRule="exact"/>
              <w:ind w:left="300"/>
              <w:rPr>
                <w:rFonts w:ascii="Bookman Old Style" w:hAnsi="Bookman Old Style" w:cs="Arial"/>
                <w:b/>
                <w:bCs/>
                <w:sz w:val="16"/>
                <w:szCs w:val="16"/>
                <w:lang w:val="es-ES_tradnl" w:eastAsia="es-CO"/>
              </w:rPr>
            </w:pPr>
            <w:r w:rsidRPr="00B12F18">
              <w:rPr>
                <w:rFonts w:ascii="Bookman Old Style" w:hAnsi="Bookman Old Style" w:cs="Arial"/>
                <w:color w:val="000000"/>
                <w:sz w:val="16"/>
                <w:szCs w:val="16"/>
                <w:lang w:val="es-ES_tradnl" w:eastAsia="es-ES_tradnl"/>
              </w:rPr>
              <w:t>Déficit</w:t>
            </w:r>
          </w:p>
          <w:p w:rsidR="00B12F18" w:rsidRPr="00B12F18" w:rsidRDefault="00B12F18" w:rsidP="00B12F18">
            <w:pPr>
              <w:framePr w:w="7315" w:wrap="notBeside" w:vAnchor="text" w:hAnchor="text" w:xAlign="center" w:y="1"/>
              <w:widowControl w:val="0"/>
              <w:spacing w:before="60" w:line="140" w:lineRule="exact"/>
              <w:ind w:left="120"/>
              <w:rPr>
                <w:rFonts w:ascii="Bookman Old Style" w:hAnsi="Bookman Old Style" w:cs="Arial"/>
                <w:b/>
                <w:bCs/>
                <w:sz w:val="16"/>
                <w:szCs w:val="16"/>
                <w:lang w:val="es-ES_tradnl" w:eastAsia="es-CO"/>
              </w:rPr>
            </w:pPr>
            <w:r w:rsidRPr="00B12F18">
              <w:rPr>
                <w:rFonts w:ascii="Bookman Old Style" w:hAnsi="Bookman Old Style" w:cs="Arial"/>
                <w:color w:val="000000"/>
                <w:sz w:val="16"/>
                <w:szCs w:val="16"/>
                <w:lang w:val="es-ES_tradnl" w:eastAsia="es-ES_tradnl"/>
              </w:rPr>
              <w:t>Asignación</w:t>
            </w:r>
          </w:p>
        </w:tc>
        <w:tc>
          <w:tcPr>
            <w:tcW w:w="1507" w:type="dxa"/>
            <w:vMerge w:val="restart"/>
            <w:tcBorders>
              <w:top w:val="single" w:sz="4" w:space="0" w:color="auto"/>
              <w:left w:val="single" w:sz="4" w:space="0" w:color="auto"/>
              <w:bottom w:val="nil"/>
              <w:right w:val="nil"/>
            </w:tcBorders>
            <w:shd w:val="clear" w:color="auto" w:fill="FFFFFF"/>
            <w:vAlign w:val="center"/>
          </w:tcPr>
          <w:p w:rsidR="00B12F18" w:rsidRPr="00B12F18" w:rsidRDefault="00B12F18" w:rsidP="00B12F18">
            <w:pPr>
              <w:framePr w:w="7315" w:wrap="notBeside" w:vAnchor="text" w:hAnchor="text" w:xAlign="center" w:y="1"/>
              <w:widowControl w:val="0"/>
              <w:spacing w:line="140" w:lineRule="exact"/>
              <w:ind w:left="0" w:right="80"/>
              <w:jc w:val="right"/>
              <w:rPr>
                <w:rFonts w:ascii="Bookman Old Style" w:hAnsi="Bookman Old Style" w:cs="Arial"/>
                <w:b/>
                <w:bCs/>
                <w:sz w:val="16"/>
                <w:szCs w:val="16"/>
                <w:lang w:val="es-ES_tradnl" w:eastAsia="es-CO"/>
              </w:rPr>
            </w:pPr>
            <w:r w:rsidRPr="00B12F18">
              <w:rPr>
                <w:rFonts w:ascii="Bookman Old Style" w:hAnsi="Bookman Old Style" w:cs="Arial"/>
                <w:color w:val="000000"/>
                <w:sz w:val="16"/>
                <w:szCs w:val="16"/>
                <w:lang w:val="es-ES_tradnl" w:eastAsia="es-ES_tradnl"/>
              </w:rPr>
              <w:t>Histórico Compras</w:t>
            </w:r>
          </w:p>
        </w:tc>
        <w:tc>
          <w:tcPr>
            <w:tcW w:w="1536" w:type="dxa"/>
            <w:vMerge w:val="restart"/>
            <w:tcBorders>
              <w:top w:val="single" w:sz="4" w:space="0" w:color="auto"/>
              <w:left w:val="single" w:sz="4" w:space="0" w:color="auto"/>
              <w:bottom w:val="nil"/>
              <w:right w:val="single" w:sz="4" w:space="0" w:color="auto"/>
            </w:tcBorders>
            <w:shd w:val="clear" w:color="auto" w:fill="FFFFFF"/>
            <w:vAlign w:val="center"/>
          </w:tcPr>
          <w:p w:rsidR="00B12F18" w:rsidRPr="00B12F18" w:rsidRDefault="00B12F18" w:rsidP="00B12F18">
            <w:pPr>
              <w:framePr w:w="7315" w:wrap="notBeside" w:vAnchor="text" w:hAnchor="text" w:xAlign="center" w:y="1"/>
              <w:widowControl w:val="0"/>
              <w:spacing w:line="140" w:lineRule="exact"/>
              <w:ind w:left="0" w:right="140"/>
              <w:jc w:val="right"/>
              <w:rPr>
                <w:rFonts w:ascii="Bookman Old Style" w:hAnsi="Bookman Old Style" w:cs="Arial"/>
                <w:b/>
                <w:bCs/>
                <w:sz w:val="16"/>
                <w:szCs w:val="16"/>
                <w:lang w:val="es-ES_tradnl" w:eastAsia="es-CO"/>
              </w:rPr>
            </w:pPr>
            <w:r w:rsidRPr="00B12F18">
              <w:rPr>
                <w:rFonts w:ascii="Bookman Old Style" w:hAnsi="Bookman Old Style" w:cs="Arial"/>
                <w:color w:val="000000"/>
                <w:sz w:val="16"/>
                <w:szCs w:val="16"/>
                <w:lang w:val="es-ES_tradnl" w:eastAsia="es-ES_tradnl"/>
              </w:rPr>
              <w:t xml:space="preserve">Histórico </w:t>
            </w:r>
            <w:proofErr w:type="spellStart"/>
            <w:r w:rsidRPr="00B12F18">
              <w:rPr>
                <w:rFonts w:ascii="Bookman Old Style" w:hAnsi="Bookman Old Style" w:cs="Arial"/>
                <w:color w:val="000000"/>
                <w:sz w:val="16"/>
                <w:szCs w:val="16"/>
                <w:lang w:val="es-ES_tradnl" w:eastAsia="es-ES_tradnl"/>
              </w:rPr>
              <w:t>VenBs</w:t>
            </w:r>
            <w:proofErr w:type="spellEnd"/>
          </w:p>
        </w:tc>
      </w:tr>
      <w:tr w:rsidR="00B12F18" w:rsidRPr="00B12F18" w:rsidTr="00521029">
        <w:trPr>
          <w:trHeight w:hRule="exact" w:val="278"/>
          <w:jc w:val="center"/>
        </w:trPr>
        <w:tc>
          <w:tcPr>
            <w:tcW w:w="1670" w:type="dxa"/>
            <w:tcBorders>
              <w:top w:val="single" w:sz="4" w:space="0" w:color="auto"/>
              <w:left w:val="single" w:sz="4" w:space="0" w:color="auto"/>
              <w:bottom w:val="nil"/>
              <w:right w:val="nil"/>
            </w:tcBorders>
            <w:shd w:val="clear" w:color="auto" w:fill="FFFFFF"/>
            <w:vAlign w:val="bottom"/>
          </w:tcPr>
          <w:p w:rsidR="00B12F18" w:rsidRPr="00B12F18" w:rsidRDefault="00B12F18" w:rsidP="00B12F18">
            <w:pPr>
              <w:framePr w:w="7315" w:wrap="notBeside" w:vAnchor="text" w:hAnchor="text" w:xAlign="center" w:y="1"/>
              <w:widowControl w:val="0"/>
              <w:spacing w:line="140" w:lineRule="exact"/>
              <w:ind w:left="240"/>
              <w:rPr>
                <w:rFonts w:ascii="Bookman Old Style" w:hAnsi="Bookman Old Style" w:cs="Arial"/>
                <w:b/>
                <w:bCs/>
                <w:sz w:val="16"/>
                <w:szCs w:val="16"/>
                <w:lang w:val="es-ES_tradnl" w:eastAsia="es-CO"/>
              </w:rPr>
            </w:pPr>
            <w:r w:rsidRPr="00B12F18">
              <w:rPr>
                <w:rFonts w:ascii="Bookman Old Style" w:hAnsi="Bookman Old Style" w:cs="Arial"/>
                <w:color w:val="000000"/>
                <w:sz w:val="16"/>
                <w:szCs w:val="16"/>
                <w:lang w:val="es-ES_tradnl" w:eastAsia="es-ES_tradnl"/>
              </w:rPr>
              <w:t xml:space="preserve">Asignación </w:t>
            </w:r>
            <w:r w:rsidRPr="00B12F18">
              <w:rPr>
                <w:rFonts w:ascii="Bookman Old Style" w:hAnsi="Bookman Old Style" w:cs="Arial"/>
                <w:color w:val="000000"/>
                <w:sz w:val="16"/>
                <w:szCs w:val="16"/>
                <w:lang w:val="en-US" w:eastAsia="en-US"/>
              </w:rPr>
              <w:t>ECP</w:t>
            </w:r>
          </w:p>
        </w:tc>
        <w:tc>
          <w:tcPr>
            <w:tcW w:w="1584" w:type="dxa"/>
            <w:tcBorders>
              <w:top w:val="single" w:sz="4" w:space="0" w:color="auto"/>
              <w:left w:val="single" w:sz="4" w:space="0" w:color="auto"/>
              <w:bottom w:val="nil"/>
              <w:right w:val="nil"/>
            </w:tcBorders>
            <w:shd w:val="clear" w:color="auto" w:fill="FFFFFF"/>
            <w:vAlign w:val="bottom"/>
          </w:tcPr>
          <w:p w:rsidR="00B12F18" w:rsidRPr="00B12F18" w:rsidRDefault="00B12F18" w:rsidP="00B12F18">
            <w:pPr>
              <w:framePr w:w="7315" w:wrap="notBeside" w:vAnchor="text" w:hAnchor="text" w:xAlign="center" w:y="1"/>
              <w:widowControl w:val="0"/>
              <w:spacing w:line="140" w:lineRule="exact"/>
              <w:ind w:left="0" w:right="160"/>
              <w:jc w:val="right"/>
              <w:rPr>
                <w:rFonts w:ascii="Bookman Old Style" w:hAnsi="Bookman Old Style" w:cs="Arial"/>
                <w:b/>
                <w:bCs/>
                <w:sz w:val="16"/>
                <w:szCs w:val="16"/>
                <w:lang w:val="es-ES_tradnl" w:eastAsia="es-CO"/>
              </w:rPr>
            </w:pPr>
            <w:r w:rsidRPr="00B12F18">
              <w:rPr>
                <w:rFonts w:ascii="Bookman Old Style" w:hAnsi="Bookman Old Style" w:cs="Arial"/>
                <w:color w:val="000000"/>
                <w:sz w:val="16"/>
                <w:szCs w:val="16"/>
                <w:lang w:val="es-ES_tradnl" w:eastAsia="es-ES_tradnl"/>
              </w:rPr>
              <w:t>Asignación ECP</w:t>
            </w:r>
          </w:p>
        </w:tc>
        <w:tc>
          <w:tcPr>
            <w:tcW w:w="1018" w:type="dxa"/>
            <w:vMerge/>
            <w:tcBorders>
              <w:top w:val="nil"/>
              <w:left w:val="single" w:sz="4" w:space="0" w:color="auto"/>
              <w:bottom w:val="nil"/>
              <w:right w:val="nil"/>
            </w:tcBorders>
            <w:shd w:val="clear" w:color="auto" w:fill="FFFFFF"/>
            <w:vAlign w:val="bottom"/>
          </w:tcPr>
          <w:p w:rsidR="00B12F18" w:rsidRPr="00B12F18" w:rsidRDefault="00B12F18" w:rsidP="00B12F18">
            <w:pPr>
              <w:framePr w:w="7315" w:wrap="notBeside" w:vAnchor="text" w:hAnchor="text" w:xAlign="center" w:y="1"/>
              <w:widowControl w:val="0"/>
              <w:spacing w:line="140" w:lineRule="exact"/>
              <w:ind w:left="0" w:right="160"/>
              <w:jc w:val="right"/>
              <w:rPr>
                <w:rFonts w:ascii="Bookman Old Style" w:hAnsi="Bookman Old Style" w:cs="Arial"/>
                <w:b/>
                <w:bCs/>
                <w:sz w:val="16"/>
                <w:szCs w:val="16"/>
                <w:lang w:val="es-ES_tradnl" w:eastAsia="es-CO"/>
              </w:rPr>
            </w:pPr>
          </w:p>
        </w:tc>
        <w:tc>
          <w:tcPr>
            <w:tcW w:w="1507" w:type="dxa"/>
            <w:vMerge/>
            <w:tcBorders>
              <w:top w:val="nil"/>
              <w:left w:val="single" w:sz="4" w:space="0" w:color="auto"/>
              <w:bottom w:val="nil"/>
              <w:right w:val="nil"/>
            </w:tcBorders>
            <w:shd w:val="clear" w:color="auto" w:fill="FFFFFF"/>
            <w:vAlign w:val="center"/>
          </w:tcPr>
          <w:p w:rsidR="00B12F18" w:rsidRPr="00B12F18" w:rsidRDefault="00B12F18" w:rsidP="00B12F18">
            <w:pPr>
              <w:framePr w:w="7315" w:wrap="notBeside" w:vAnchor="text" w:hAnchor="text" w:xAlign="center" w:y="1"/>
              <w:widowControl w:val="0"/>
              <w:spacing w:line="140" w:lineRule="exact"/>
              <w:ind w:left="0" w:right="160"/>
              <w:jc w:val="right"/>
              <w:rPr>
                <w:rFonts w:ascii="Bookman Old Style" w:hAnsi="Bookman Old Style" w:cs="Arial"/>
                <w:b/>
                <w:bCs/>
                <w:sz w:val="16"/>
                <w:szCs w:val="16"/>
                <w:lang w:val="es-ES_tradnl" w:eastAsia="es-CO"/>
              </w:rPr>
            </w:pPr>
          </w:p>
        </w:tc>
        <w:tc>
          <w:tcPr>
            <w:tcW w:w="1536" w:type="dxa"/>
            <w:vMerge/>
            <w:tcBorders>
              <w:top w:val="nil"/>
              <w:left w:val="single" w:sz="4" w:space="0" w:color="auto"/>
              <w:bottom w:val="nil"/>
              <w:right w:val="single" w:sz="4" w:space="0" w:color="auto"/>
            </w:tcBorders>
            <w:shd w:val="clear" w:color="auto" w:fill="FFFFFF"/>
            <w:vAlign w:val="center"/>
          </w:tcPr>
          <w:p w:rsidR="00B12F18" w:rsidRPr="00B12F18" w:rsidRDefault="00B12F18" w:rsidP="00B12F18">
            <w:pPr>
              <w:framePr w:w="7315" w:wrap="notBeside" w:vAnchor="text" w:hAnchor="text" w:xAlign="center" w:y="1"/>
              <w:widowControl w:val="0"/>
              <w:spacing w:line="140" w:lineRule="exact"/>
              <w:ind w:left="0" w:right="160"/>
              <w:jc w:val="right"/>
              <w:rPr>
                <w:rFonts w:ascii="Bookman Old Style" w:hAnsi="Bookman Old Style" w:cs="Arial"/>
                <w:b/>
                <w:bCs/>
                <w:sz w:val="16"/>
                <w:szCs w:val="16"/>
                <w:lang w:val="es-ES_tradnl" w:eastAsia="es-CO"/>
              </w:rPr>
            </w:pPr>
          </w:p>
        </w:tc>
      </w:tr>
      <w:tr w:rsidR="00B12F18" w:rsidRPr="00B12F18" w:rsidTr="00521029">
        <w:trPr>
          <w:trHeight w:hRule="exact" w:val="298"/>
          <w:jc w:val="center"/>
        </w:trPr>
        <w:tc>
          <w:tcPr>
            <w:tcW w:w="1670" w:type="dxa"/>
            <w:tcBorders>
              <w:top w:val="single" w:sz="4" w:space="0" w:color="auto"/>
              <w:left w:val="single" w:sz="4" w:space="0" w:color="auto"/>
              <w:bottom w:val="single" w:sz="4" w:space="0" w:color="auto"/>
              <w:right w:val="nil"/>
            </w:tcBorders>
            <w:shd w:val="clear" w:color="auto" w:fill="FFFFFF"/>
          </w:tcPr>
          <w:p w:rsidR="00B12F18" w:rsidRPr="00B12F18" w:rsidRDefault="00B12F18" w:rsidP="00B12F18">
            <w:pPr>
              <w:framePr w:w="7315" w:wrap="notBeside" w:vAnchor="text" w:hAnchor="text" w:xAlign="center" w:y="1"/>
              <w:widowControl w:val="0"/>
              <w:spacing w:line="140" w:lineRule="exact"/>
              <w:ind w:left="0" w:right="100"/>
              <w:jc w:val="right"/>
              <w:rPr>
                <w:rFonts w:ascii="Bookman Old Style" w:hAnsi="Bookman Old Style" w:cs="Arial"/>
                <w:b/>
                <w:bCs/>
                <w:sz w:val="16"/>
                <w:szCs w:val="16"/>
                <w:lang w:val="es-ES_tradnl" w:eastAsia="es-CO"/>
              </w:rPr>
            </w:pPr>
            <w:r w:rsidRPr="00B12F18">
              <w:rPr>
                <w:rFonts w:ascii="Bookman Old Style" w:hAnsi="Bookman Old Style" w:cs="Arial"/>
                <w:color w:val="000000"/>
                <w:sz w:val="16"/>
                <w:szCs w:val="16"/>
                <w:lang w:val="en-US" w:eastAsia="en-US"/>
              </w:rPr>
              <w:t>40.211.279</w:t>
            </w:r>
          </w:p>
        </w:tc>
        <w:tc>
          <w:tcPr>
            <w:tcW w:w="1584" w:type="dxa"/>
            <w:tcBorders>
              <w:top w:val="single" w:sz="4" w:space="0" w:color="auto"/>
              <w:left w:val="single" w:sz="4" w:space="0" w:color="auto"/>
              <w:bottom w:val="single" w:sz="4" w:space="0" w:color="auto"/>
              <w:right w:val="nil"/>
            </w:tcBorders>
            <w:shd w:val="clear" w:color="auto" w:fill="FFFFFF"/>
          </w:tcPr>
          <w:p w:rsidR="00B12F18" w:rsidRPr="00B12F18" w:rsidRDefault="00B12F18" w:rsidP="00B12F18">
            <w:pPr>
              <w:framePr w:w="7315" w:wrap="notBeside" w:vAnchor="text" w:hAnchor="text" w:xAlign="center" w:y="1"/>
              <w:widowControl w:val="0"/>
              <w:spacing w:line="140" w:lineRule="exact"/>
              <w:ind w:left="0" w:right="160"/>
              <w:jc w:val="right"/>
              <w:rPr>
                <w:rFonts w:ascii="Bookman Old Style" w:hAnsi="Bookman Old Style" w:cs="Arial"/>
                <w:b/>
                <w:bCs/>
                <w:sz w:val="16"/>
                <w:szCs w:val="16"/>
                <w:lang w:val="es-ES_tradnl" w:eastAsia="es-CO"/>
              </w:rPr>
            </w:pPr>
            <w:r w:rsidRPr="00B12F18">
              <w:rPr>
                <w:rFonts w:ascii="Bookman Old Style" w:hAnsi="Bookman Old Style" w:cs="Arial"/>
                <w:color w:val="000000"/>
                <w:sz w:val="16"/>
                <w:szCs w:val="16"/>
                <w:lang w:val="es-ES_tradnl" w:eastAsia="es-ES_tradnl"/>
              </w:rPr>
              <w:t>30.909.801</w:t>
            </w:r>
          </w:p>
        </w:tc>
        <w:tc>
          <w:tcPr>
            <w:tcW w:w="1018" w:type="dxa"/>
            <w:tcBorders>
              <w:top w:val="single" w:sz="4" w:space="0" w:color="auto"/>
              <w:left w:val="single" w:sz="4" w:space="0" w:color="auto"/>
              <w:bottom w:val="single" w:sz="4" w:space="0" w:color="auto"/>
              <w:right w:val="nil"/>
            </w:tcBorders>
            <w:shd w:val="clear" w:color="auto" w:fill="FFFFFF"/>
          </w:tcPr>
          <w:p w:rsidR="00B12F18" w:rsidRPr="00B12F18" w:rsidRDefault="00B12F18" w:rsidP="00B12F18">
            <w:pPr>
              <w:framePr w:w="7315" w:wrap="notBeside" w:vAnchor="text" w:hAnchor="text" w:xAlign="center" w:y="1"/>
              <w:widowControl w:val="0"/>
              <w:spacing w:line="140" w:lineRule="exact"/>
              <w:ind w:left="120"/>
              <w:rPr>
                <w:rFonts w:ascii="Bookman Old Style" w:hAnsi="Bookman Old Style" w:cs="Arial"/>
                <w:b/>
                <w:bCs/>
                <w:sz w:val="16"/>
                <w:szCs w:val="16"/>
                <w:lang w:val="es-ES_tradnl" w:eastAsia="es-CO"/>
              </w:rPr>
            </w:pPr>
            <w:r w:rsidRPr="00B12F18">
              <w:rPr>
                <w:rFonts w:ascii="Bookman Old Style" w:hAnsi="Bookman Old Style" w:cs="Arial"/>
                <w:color w:val="000000"/>
                <w:sz w:val="16"/>
                <w:szCs w:val="16"/>
                <w:lang w:val="es-ES_tradnl" w:eastAsia="es-ES_tradnl"/>
              </w:rPr>
              <w:t>9.301.478</w:t>
            </w:r>
          </w:p>
        </w:tc>
        <w:tc>
          <w:tcPr>
            <w:tcW w:w="1507" w:type="dxa"/>
            <w:tcBorders>
              <w:top w:val="single" w:sz="4" w:space="0" w:color="auto"/>
              <w:left w:val="single" w:sz="4" w:space="0" w:color="auto"/>
              <w:bottom w:val="single" w:sz="4" w:space="0" w:color="auto"/>
              <w:right w:val="nil"/>
            </w:tcBorders>
            <w:shd w:val="clear" w:color="auto" w:fill="FFFFFF"/>
          </w:tcPr>
          <w:p w:rsidR="00B12F18" w:rsidRPr="00B12F18" w:rsidRDefault="00B12F18" w:rsidP="00B12F18">
            <w:pPr>
              <w:framePr w:w="7315" w:wrap="notBeside" w:vAnchor="text" w:hAnchor="text" w:xAlign="center" w:y="1"/>
              <w:widowControl w:val="0"/>
              <w:spacing w:line="140" w:lineRule="exact"/>
              <w:ind w:left="0" w:right="80"/>
              <w:jc w:val="right"/>
              <w:rPr>
                <w:rFonts w:ascii="Bookman Old Style" w:hAnsi="Bookman Old Style" w:cs="Arial"/>
                <w:b/>
                <w:bCs/>
                <w:sz w:val="16"/>
                <w:szCs w:val="16"/>
                <w:lang w:val="es-ES_tradnl" w:eastAsia="es-CO"/>
              </w:rPr>
            </w:pPr>
            <w:r w:rsidRPr="00B12F18">
              <w:rPr>
                <w:rFonts w:ascii="Bookman Old Style" w:hAnsi="Bookman Old Style" w:cs="Arial"/>
                <w:color w:val="000000"/>
                <w:sz w:val="16"/>
                <w:szCs w:val="16"/>
                <w:lang w:val="es-ES_tradnl" w:eastAsia="es-ES_tradnl"/>
              </w:rPr>
              <w:t>39.854.630</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B12F18" w:rsidRPr="00B12F18" w:rsidRDefault="00B12F18" w:rsidP="00B12F18">
            <w:pPr>
              <w:framePr w:w="7315" w:wrap="notBeside" w:vAnchor="text" w:hAnchor="text" w:xAlign="center" w:y="1"/>
              <w:widowControl w:val="0"/>
              <w:spacing w:line="140" w:lineRule="exact"/>
              <w:ind w:left="0" w:right="140"/>
              <w:jc w:val="right"/>
              <w:rPr>
                <w:rFonts w:ascii="Bookman Old Style" w:hAnsi="Bookman Old Style" w:cs="Arial"/>
                <w:b/>
                <w:bCs/>
                <w:sz w:val="16"/>
                <w:szCs w:val="16"/>
                <w:lang w:val="es-ES_tradnl" w:eastAsia="es-CO"/>
              </w:rPr>
            </w:pPr>
            <w:r w:rsidRPr="00B12F18">
              <w:rPr>
                <w:rFonts w:ascii="Bookman Old Style" w:hAnsi="Bookman Old Style" w:cs="Arial"/>
                <w:color w:val="000000"/>
                <w:sz w:val="16"/>
                <w:szCs w:val="16"/>
                <w:lang w:val="es-ES_tradnl" w:eastAsia="es-ES_tradnl"/>
              </w:rPr>
              <w:t>39.839.572</w:t>
            </w:r>
          </w:p>
        </w:tc>
      </w:tr>
    </w:tbl>
    <w:p w:rsidR="00B12F18" w:rsidRPr="00B12F18" w:rsidRDefault="00B12F18" w:rsidP="00B12F18">
      <w:pPr>
        <w:widowControl w:val="0"/>
        <w:ind w:left="0"/>
        <w:rPr>
          <w:sz w:val="2"/>
          <w:szCs w:val="2"/>
          <w:lang w:val="es-ES_tradnl" w:eastAsia="es-CO"/>
        </w:rPr>
      </w:pPr>
    </w:p>
    <w:p w:rsidR="00B12F18" w:rsidRDefault="00B12F18" w:rsidP="00B12F18">
      <w:pPr>
        <w:ind w:left="284" w:right="284"/>
        <w:jc w:val="both"/>
        <w:rPr>
          <w:rFonts w:ascii="Bookman Old Style" w:hAnsi="Bookman Old Style" w:cs="Arial"/>
          <w:i/>
          <w:sz w:val="22"/>
          <w:szCs w:val="22"/>
        </w:rPr>
      </w:pPr>
    </w:p>
    <w:p w:rsidR="00B12F18" w:rsidRDefault="00B12F18" w:rsidP="00B12F18">
      <w:pPr>
        <w:ind w:left="284" w:right="284"/>
        <w:jc w:val="both"/>
        <w:rPr>
          <w:rFonts w:ascii="Bookman Old Style" w:hAnsi="Bookman Old Style" w:cs="Arial"/>
          <w:i/>
          <w:sz w:val="22"/>
          <w:szCs w:val="22"/>
        </w:rPr>
      </w:pPr>
      <w:r w:rsidRPr="00B12F18">
        <w:rPr>
          <w:rFonts w:ascii="Bookman Old Style" w:hAnsi="Bookman Old Style" w:cs="Arial"/>
          <w:i/>
          <w:sz w:val="22"/>
          <w:szCs w:val="22"/>
        </w:rPr>
        <w:t>De</w:t>
      </w:r>
      <w:r>
        <w:rPr>
          <w:rFonts w:ascii="Bookman Old Style" w:hAnsi="Bookman Old Style" w:cs="Arial"/>
          <w:i/>
          <w:sz w:val="22"/>
          <w:szCs w:val="22"/>
        </w:rPr>
        <w:t xml:space="preserve"> </w:t>
      </w:r>
      <w:r w:rsidRPr="00B12F18">
        <w:rPr>
          <w:rFonts w:ascii="Bookman Old Style" w:hAnsi="Bookman Old Style" w:cs="Arial"/>
          <w:i/>
          <w:sz w:val="22"/>
          <w:szCs w:val="22"/>
        </w:rPr>
        <w:t>mantenerse</w:t>
      </w:r>
      <w:r>
        <w:rPr>
          <w:rFonts w:ascii="Bookman Old Style" w:hAnsi="Bookman Old Style" w:cs="Arial"/>
          <w:i/>
          <w:sz w:val="22"/>
          <w:szCs w:val="22"/>
        </w:rPr>
        <w:t xml:space="preserve"> </w:t>
      </w:r>
      <w:r w:rsidRPr="00B12F18">
        <w:rPr>
          <w:rFonts w:ascii="Bookman Old Style" w:hAnsi="Bookman Old Style" w:cs="Arial"/>
          <w:i/>
          <w:sz w:val="22"/>
          <w:szCs w:val="22"/>
        </w:rPr>
        <w:t>los valores establecidos</w:t>
      </w:r>
      <w:r>
        <w:rPr>
          <w:rFonts w:ascii="Bookman Old Style" w:hAnsi="Bookman Old Style" w:cs="Arial"/>
          <w:i/>
          <w:sz w:val="22"/>
          <w:szCs w:val="22"/>
        </w:rPr>
        <w:t xml:space="preserve"> </w:t>
      </w:r>
      <w:r w:rsidRPr="00B12F18">
        <w:rPr>
          <w:rFonts w:ascii="Bookman Old Style" w:hAnsi="Bookman Old Style" w:cs="Arial"/>
          <w:i/>
          <w:sz w:val="22"/>
          <w:szCs w:val="22"/>
        </w:rPr>
        <w:t>para</w:t>
      </w:r>
      <w:r>
        <w:rPr>
          <w:rFonts w:ascii="Bookman Old Style" w:hAnsi="Bookman Old Style" w:cs="Arial"/>
          <w:i/>
          <w:sz w:val="22"/>
          <w:szCs w:val="22"/>
        </w:rPr>
        <w:t xml:space="preserve"> </w:t>
      </w:r>
      <w:r w:rsidRPr="00B12F18">
        <w:rPr>
          <w:rFonts w:ascii="Bookman Old Style" w:hAnsi="Bookman Old Style" w:cs="Arial"/>
          <w:i/>
          <w:sz w:val="22"/>
          <w:szCs w:val="22"/>
        </w:rPr>
        <w:t>CHILCO</w:t>
      </w:r>
      <w:r>
        <w:rPr>
          <w:rFonts w:ascii="Bookman Old Style" w:hAnsi="Bookman Old Style" w:cs="Arial"/>
          <w:i/>
          <w:sz w:val="22"/>
          <w:szCs w:val="22"/>
        </w:rPr>
        <w:t xml:space="preserve"> </w:t>
      </w:r>
      <w:r w:rsidRPr="00B12F18">
        <w:rPr>
          <w:rFonts w:ascii="Bookman Old Style" w:hAnsi="Bookman Old Style" w:cs="Arial"/>
          <w:i/>
          <w:sz w:val="22"/>
          <w:szCs w:val="22"/>
        </w:rPr>
        <w:t>en la Resolución CREG 75de 2016, como está demostrado se presentaría una grave restricción para operar en el mercado en las condiciones que ya ha ganado por su misma operación.</w:t>
      </w:r>
    </w:p>
    <w:p w:rsidR="00B12F18" w:rsidRPr="00B12F18" w:rsidRDefault="00B12F18" w:rsidP="00B12F18">
      <w:pPr>
        <w:ind w:left="284" w:right="284"/>
        <w:jc w:val="both"/>
        <w:rPr>
          <w:rFonts w:ascii="Bookman Old Style" w:hAnsi="Bookman Old Style" w:cs="Arial"/>
          <w:i/>
          <w:sz w:val="22"/>
          <w:szCs w:val="22"/>
        </w:rPr>
      </w:pPr>
    </w:p>
    <w:p w:rsidR="00B12F18" w:rsidRDefault="00B12F18" w:rsidP="00B12F18">
      <w:pPr>
        <w:ind w:left="284" w:right="284"/>
        <w:jc w:val="both"/>
        <w:rPr>
          <w:rFonts w:ascii="Bookman Old Style" w:hAnsi="Bookman Old Style" w:cs="Arial"/>
          <w:i/>
          <w:sz w:val="22"/>
          <w:szCs w:val="22"/>
        </w:rPr>
      </w:pPr>
      <w:r>
        <w:rPr>
          <w:rFonts w:ascii="Bookman Old Style" w:hAnsi="Bookman Old Style" w:cs="Arial"/>
          <w:i/>
          <w:sz w:val="22"/>
          <w:szCs w:val="22"/>
        </w:rPr>
        <w:t>Si</w:t>
      </w:r>
      <w:r w:rsidRPr="00B12F18">
        <w:rPr>
          <w:rFonts w:ascii="Bookman Old Style" w:hAnsi="Bookman Old Style" w:cs="Arial"/>
          <w:i/>
          <w:sz w:val="22"/>
          <w:szCs w:val="22"/>
        </w:rPr>
        <w:t xml:space="preserve"> bien entendemos que la limitación de la capacidad de compra busca poner parámetros de conducta</w:t>
      </w:r>
      <w:r>
        <w:rPr>
          <w:rFonts w:ascii="Bookman Old Style" w:hAnsi="Bookman Old Style" w:cs="Arial"/>
          <w:i/>
          <w:sz w:val="22"/>
          <w:szCs w:val="22"/>
        </w:rPr>
        <w:t xml:space="preserve"> </w:t>
      </w:r>
      <w:r w:rsidRPr="00B12F18">
        <w:rPr>
          <w:rFonts w:ascii="Bookman Old Style" w:hAnsi="Bookman Old Style" w:cs="Arial"/>
          <w:i/>
          <w:sz w:val="22"/>
          <w:szCs w:val="22"/>
        </w:rPr>
        <w:t>y</w:t>
      </w:r>
      <w:r>
        <w:rPr>
          <w:rFonts w:ascii="Bookman Old Style" w:hAnsi="Bookman Old Style" w:cs="Arial"/>
          <w:i/>
          <w:sz w:val="22"/>
          <w:szCs w:val="22"/>
        </w:rPr>
        <w:t xml:space="preserve"> </w:t>
      </w:r>
      <w:r w:rsidRPr="00B12F18">
        <w:rPr>
          <w:rFonts w:ascii="Bookman Old Style" w:hAnsi="Bookman Old Style" w:cs="Arial"/>
          <w:i/>
          <w:sz w:val="22"/>
          <w:szCs w:val="22"/>
        </w:rPr>
        <w:t>participación de los agentes</w:t>
      </w:r>
      <w:r>
        <w:rPr>
          <w:rFonts w:ascii="Bookman Old Style" w:hAnsi="Bookman Old Style" w:cs="Arial"/>
          <w:i/>
          <w:sz w:val="22"/>
          <w:szCs w:val="22"/>
        </w:rPr>
        <w:t xml:space="preserve"> </w:t>
      </w:r>
      <w:r w:rsidRPr="00B12F18">
        <w:rPr>
          <w:rFonts w:ascii="Bookman Old Style" w:hAnsi="Bookman Old Style" w:cs="Arial"/>
          <w:i/>
          <w:sz w:val="22"/>
          <w:szCs w:val="22"/>
        </w:rPr>
        <w:t>y</w:t>
      </w:r>
      <w:r>
        <w:rPr>
          <w:rFonts w:ascii="Bookman Old Style" w:hAnsi="Bookman Old Style" w:cs="Arial"/>
          <w:i/>
          <w:sz w:val="22"/>
          <w:szCs w:val="22"/>
        </w:rPr>
        <w:t xml:space="preserve"> </w:t>
      </w:r>
      <w:r w:rsidRPr="00B12F18">
        <w:rPr>
          <w:rFonts w:ascii="Bookman Old Style" w:hAnsi="Bookman Old Style" w:cs="Arial"/>
          <w:i/>
          <w:sz w:val="22"/>
          <w:szCs w:val="22"/>
        </w:rPr>
        <w:t>servir de obstáculo para la ilegalidad, sin embargo esta norma generaría como consecuencia inmediata la afectación</w:t>
      </w:r>
      <w:r>
        <w:rPr>
          <w:rFonts w:ascii="Bookman Old Style" w:hAnsi="Bookman Old Style" w:cs="Arial"/>
          <w:i/>
          <w:sz w:val="22"/>
          <w:szCs w:val="22"/>
        </w:rPr>
        <w:t xml:space="preserve"> </w:t>
      </w:r>
      <w:r w:rsidRPr="00B12F18">
        <w:rPr>
          <w:rFonts w:ascii="Bookman Old Style" w:hAnsi="Bookman Old Style" w:cs="Arial"/>
          <w:i/>
          <w:sz w:val="22"/>
          <w:szCs w:val="22"/>
        </w:rPr>
        <w:t>a</w:t>
      </w:r>
      <w:r>
        <w:rPr>
          <w:rFonts w:ascii="Bookman Old Style" w:hAnsi="Bookman Old Style" w:cs="Arial"/>
          <w:i/>
          <w:sz w:val="22"/>
          <w:szCs w:val="22"/>
        </w:rPr>
        <w:t xml:space="preserve"> CHILCO</w:t>
      </w:r>
      <w:r w:rsidRPr="00B12F18">
        <w:rPr>
          <w:rFonts w:ascii="Bookman Old Style" w:hAnsi="Bookman Old Style" w:cs="Arial"/>
          <w:i/>
          <w:sz w:val="22"/>
          <w:szCs w:val="22"/>
        </w:rPr>
        <w:t xml:space="preserve"> quien se ha caracterizado por el cumplimiento del marco legal</w:t>
      </w:r>
      <w:r>
        <w:rPr>
          <w:rFonts w:ascii="Bookman Old Style" w:hAnsi="Bookman Old Style" w:cs="Arial"/>
          <w:i/>
          <w:sz w:val="22"/>
          <w:szCs w:val="22"/>
        </w:rPr>
        <w:t xml:space="preserve"> </w:t>
      </w:r>
      <w:r w:rsidRPr="00B12F18">
        <w:rPr>
          <w:rFonts w:ascii="Bookman Old Style" w:hAnsi="Bookman Old Style" w:cs="Arial"/>
          <w:i/>
          <w:sz w:val="22"/>
          <w:szCs w:val="22"/>
        </w:rPr>
        <w:t>y que teniendo capital extranjero ha apostado</w:t>
      </w:r>
      <w:r>
        <w:rPr>
          <w:rFonts w:ascii="Bookman Old Style" w:hAnsi="Bookman Old Style" w:cs="Arial"/>
          <w:i/>
          <w:sz w:val="22"/>
          <w:szCs w:val="22"/>
        </w:rPr>
        <w:t xml:space="preserve"> </w:t>
      </w:r>
      <w:r w:rsidRPr="00B12F18">
        <w:rPr>
          <w:rFonts w:ascii="Bookman Old Style" w:hAnsi="Bookman Old Style" w:cs="Arial"/>
          <w:i/>
          <w:sz w:val="22"/>
          <w:szCs w:val="22"/>
        </w:rPr>
        <w:t>a</w:t>
      </w:r>
      <w:r>
        <w:rPr>
          <w:rFonts w:ascii="Bookman Old Style" w:hAnsi="Bookman Old Style" w:cs="Arial"/>
          <w:i/>
          <w:sz w:val="22"/>
          <w:szCs w:val="22"/>
        </w:rPr>
        <w:t xml:space="preserve"> </w:t>
      </w:r>
      <w:r w:rsidRPr="00B12F18">
        <w:rPr>
          <w:rFonts w:ascii="Bookman Old Style" w:hAnsi="Bookman Old Style" w:cs="Arial"/>
          <w:i/>
          <w:sz w:val="22"/>
          <w:szCs w:val="22"/>
        </w:rPr>
        <w:t>invertir en Colombia</w:t>
      </w:r>
      <w:r>
        <w:rPr>
          <w:rFonts w:ascii="Bookman Old Style" w:hAnsi="Bookman Old Style" w:cs="Arial"/>
          <w:i/>
          <w:sz w:val="22"/>
          <w:szCs w:val="22"/>
        </w:rPr>
        <w:t xml:space="preserve"> </w:t>
      </w:r>
      <w:r w:rsidRPr="00B12F18">
        <w:rPr>
          <w:rFonts w:ascii="Bookman Old Style" w:hAnsi="Bookman Old Style" w:cs="Arial"/>
          <w:i/>
          <w:sz w:val="22"/>
          <w:szCs w:val="22"/>
        </w:rPr>
        <w:t>y</w:t>
      </w:r>
      <w:r>
        <w:rPr>
          <w:rFonts w:ascii="Bookman Old Style" w:hAnsi="Bookman Old Style" w:cs="Arial"/>
          <w:i/>
          <w:sz w:val="22"/>
          <w:szCs w:val="22"/>
        </w:rPr>
        <w:t xml:space="preserve"> así responder a </w:t>
      </w:r>
      <w:r w:rsidRPr="00B12F18">
        <w:rPr>
          <w:rFonts w:ascii="Bookman Old Style" w:hAnsi="Bookman Old Style" w:cs="Arial"/>
          <w:i/>
          <w:sz w:val="22"/>
          <w:szCs w:val="22"/>
        </w:rPr>
        <w:t>las necesidades de los usua</w:t>
      </w:r>
      <w:r w:rsidR="0025091B">
        <w:rPr>
          <w:rFonts w:ascii="Bookman Old Style" w:hAnsi="Bookman Old Style" w:cs="Arial"/>
          <w:i/>
          <w:sz w:val="22"/>
          <w:szCs w:val="22"/>
        </w:rPr>
        <w:t>rios menos favorecidos del país (…)</w:t>
      </w:r>
    </w:p>
    <w:p w:rsidR="00B12F18" w:rsidRPr="00B12F18" w:rsidRDefault="00B12F18" w:rsidP="00B12F18">
      <w:pPr>
        <w:ind w:left="284" w:right="284"/>
        <w:jc w:val="both"/>
        <w:rPr>
          <w:rFonts w:ascii="Bookman Old Style" w:hAnsi="Bookman Old Style" w:cs="Arial"/>
          <w:i/>
          <w:sz w:val="22"/>
          <w:szCs w:val="22"/>
        </w:rPr>
      </w:pPr>
    </w:p>
    <w:p w:rsidR="00B12F18" w:rsidRPr="00B12F18" w:rsidRDefault="00B12F18" w:rsidP="0025091B">
      <w:pPr>
        <w:numPr>
          <w:ilvl w:val="0"/>
          <w:numId w:val="45"/>
        </w:numPr>
        <w:ind w:right="284"/>
        <w:jc w:val="both"/>
        <w:rPr>
          <w:rFonts w:ascii="Bookman Old Style" w:hAnsi="Bookman Old Style" w:cs="Arial"/>
          <w:i/>
          <w:sz w:val="22"/>
          <w:szCs w:val="22"/>
        </w:rPr>
      </w:pPr>
      <w:r w:rsidRPr="00B12F18">
        <w:rPr>
          <w:rFonts w:ascii="Bookman Old Style" w:hAnsi="Bookman Old Style" w:cs="Arial"/>
          <w:i/>
          <w:sz w:val="22"/>
          <w:szCs w:val="22"/>
        </w:rPr>
        <w:t>Cálculo de capacidad Cilindros</w:t>
      </w:r>
    </w:p>
    <w:p w:rsidR="0025091B" w:rsidRDefault="0025091B" w:rsidP="00B12F18">
      <w:pPr>
        <w:ind w:left="284" w:right="284"/>
        <w:jc w:val="both"/>
        <w:rPr>
          <w:rFonts w:ascii="Bookman Old Style" w:hAnsi="Bookman Old Style" w:cs="Arial"/>
          <w:i/>
          <w:sz w:val="22"/>
          <w:szCs w:val="22"/>
        </w:rPr>
      </w:pPr>
    </w:p>
    <w:p w:rsidR="00B12F18" w:rsidRDefault="00B12F18" w:rsidP="00B12F18">
      <w:pPr>
        <w:ind w:left="284" w:right="284"/>
        <w:jc w:val="both"/>
        <w:rPr>
          <w:rFonts w:ascii="Bookman Old Style" w:hAnsi="Bookman Old Style" w:cs="Arial"/>
          <w:i/>
          <w:sz w:val="22"/>
          <w:szCs w:val="22"/>
        </w:rPr>
      </w:pPr>
      <w:r w:rsidRPr="00B12F18">
        <w:rPr>
          <w:rFonts w:ascii="Bookman Old Style" w:hAnsi="Bookman Old Style" w:cs="Arial"/>
          <w:i/>
          <w:sz w:val="22"/>
          <w:szCs w:val="22"/>
        </w:rPr>
        <w:t>En</w:t>
      </w:r>
      <w:r w:rsidR="0025091B">
        <w:rPr>
          <w:rFonts w:ascii="Bookman Old Style" w:hAnsi="Bookman Old Style" w:cs="Arial"/>
          <w:i/>
          <w:sz w:val="22"/>
          <w:szCs w:val="22"/>
        </w:rPr>
        <w:t xml:space="preserve"> </w:t>
      </w:r>
      <w:r w:rsidRPr="00B12F18">
        <w:rPr>
          <w:rFonts w:ascii="Bookman Old Style" w:hAnsi="Bookman Old Style" w:cs="Arial"/>
          <w:i/>
          <w:sz w:val="22"/>
          <w:szCs w:val="22"/>
        </w:rPr>
        <w:t>efecto, la</w:t>
      </w:r>
      <w:r w:rsidR="0025091B">
        <w:rPr>
          <w:rFonts w:ascii="Bookman Old Style" w:hAnsi="Bookman Old Style" w:cs="Arial"/>
          <w:i/>
          <w:sz w:val="22"/>
          <w:szCs w:val="22"/>
        </w:rPr>
        <w:t xml:space="preserve"> </w:t>
      </w:r>
      <w:r w:rsidRPr="00B12F18">
        <w:rPr>
          <w:rFonts w:ascii="Bookman Old Style" w:hAnsi="Bookman Old Style" w:cs="Arial"/>
          <w:i/>
          <w:sz w:val="22"/>
          <w:szCs w:val="22"/>
        </w:rPr>
        <w:t>CREG no</w:t>
      </w:r>
      <w:r w:rsidR="0025091B">
        <w:rPr>
          <w:rFonts w:ascii="Bookman Old Style" w:hAnsi="Bookman Old Style" w:cs="Arial"/>
          <w:i/>
          <w:sz w:val="22"/>
          <w:szCs w:val="22"/>
        </w:rPr>
        <w:t xml:space="preserve"> </w:t>
      </w:r>
      <w:r w:rsidRPr="00B12F18">
        <w:rPr>
          <w:rFonts w:ascii="Bookman Old Style" w:hAnsi="Bookman Old Style" w:cs="Arial"/>
          <w:i/>
          <w:sz w:val="22"/>
          <w:szCs w:val="22"/>
        </w:rPr>
        <w:t>incluye</w:t>
      </w:r>
      <w:r w:rsidR="0025091B">
        <w:rPr>
          <w:rFonts w:ascii="Bookman Old Style" w:hAnsi="Bookman Old Style" w:cs="Arial"/>
          <w:i/>
          <w:sz w:val="22"/>
          <w:szCs w:val="22"/>
        </w:rPr>
        <w:t xml:space="preserve"> </w:t>
      </w:r>
      <w:r w:rsidRPr="00B12F18">
        <w:rPr>
          <w:rFonts w:ascii="Bookman Old Style" w:hAnsi="Bookman Old Style" w:cs="Arial"/>
          <w:i/>
          <w:sz w:val="22"/>
          <w:szCs w:val="22"/>
        </w:rPr>
        <w:t>en</w:t>
      </w:r>
      <w:r w:rsidR="0025091B">
        <w:rPr>
          <w:rFonts w:ascii="Bookman Old Style" w:hAnsi="Bookman Old Style" w:cs="Arial"/>
          <w:i/>
          <w:sz w:val="22"/>
          <w:szCs w:val="22"/>
        </w:rPr>
        <w:t xml:space="preserve"> </w:t>
      </w:r>
      <w:r w:rsidRPr="00B12F18">
        <w:rPr>
          <w:rFonts w:ascii="Bookman Old Style" w:hAnsi="Bookman Old Style" w:cs="Arial"/>
          <w:i/>
          <w:sz w:val="22"/>
          <w:szCs w:val="22"/>
        </w:rPr>
        <w:t>el</w:t>
      </w:r>
      <w:r w:rsidR="0025091B">
        <w:rPr>
          <w:rFonts w:ascii="Bookman Old Style" w:hAnsi="Bookman Old Style" w:cs="Arial"/>
          <w:i/>
          <w:sz w:val="22"/>
          <w:szCs w:val="22"/>
        </w:rPr>
        <w:t xml:space="preserve"> </w:t>
      </w:r>
      <w:r w:rsidRPr="00B12F18">
        <w:rPr>
          <w:rFonts w:ascii="Bookman Old Style" w:hAnsi="Bookman Old Style" w:cs="Arial"/>
          <w:i/>
          <w:sz w:val="22"/>
          <w:szCs w:val="22"/>
        </w:rPr>
        <w:t>cálculo</w:t>
      </w:r>
      <w:r w:rsidR="0025091B">
        <w:rPr>
          <w:rFonts w:ascii="Bookman Old Style" w:hAnsi="Bookman Old Style" w:cs="Arial"/>
          <w:i/>
          <w:sz w:val="22"/>
          <w:szCs w:val="22"/>
        </w:rPr>
        <w:t xml:space="preserve"> </w:t>
      </w:r>
      <w:r w:rsidRPr="00B12F18">
        <w:rPr>
          <w:rFonts w:ascii="Bookman Old Style" w:hAnsi="Bookman Old Style" w:cs="Arial"/>
          <w:i/>
          <w:sz w:val="22"/>
          <w:szCs w:val="22"/>
        </w:rPr>
        <w:t>de</w:t>
      </w:r>
      <w:r w:rsidR="0025091B">
        <w:rPr>
          <w:rFonts w:ascii="Bookman Old Style" w:hAnsi="Bookman Old Style" w:cs="Arial"/>
          <w:i/>
          <w:sz w:val="22"/>
          <w:szCs w:val="22"/>
        </w:rPr>
        <w:t xml:space="preserve"> </w:t>
      </w:r>
      <w:r w:rsidRPr="00B12F18">
        <w:rPr>
          <w:rFonts w:ascii="Bookman Old Style" w:hAnsi="Bookman Old Style" w:cs="Arial"/>
          <w:i/>
          <w:sz w:val="22"/>
          <w:szCs w:val="22"/>
        </w:rPr>
        <w:t>la</w:t>
      </w:r>
      <w:r w:rsidR="0025091B">
        <w:rPr>
          <w:rFonts w:ascii="Bookman Old Style" w:hAnsi="Bookman Old Style" w:cs="Arial"/>
          <w:i/>
          <w:sz w:val="22"/>
          <w:szCs w:val="22"/>
        </w:rPr>
        <w:t xml:space="preserve"> </w:t>
      </w:r>
      <w:r w:rsidRPr="00B12F18">
        <w:rPr>
          <w:rFonts w:ascii="Bookman Old Style" w:hAnsi="Bookman Old Style" w:cs="Arial"/>
          <w:i/>
          <w:sz w:val="22"/>
          <w:szCs w:val="22"/>
        </w:rPr>
        <w:t>capacidad</w:t>
      </w:r>
      <w:r w:rsidR="0025091B">
        <w:rPr>
          <w:rFonts w:ascii="Bookman Old Style" w:hAnsi="Bookman Old Style" w:cs="Arial"/>
          <w:i/>
          <w:sz w:val="22"/>
          <w:szCs w:val="22"/>
        </w:rPr>
        <w:t xml:space="preserve"> </w:t>
      </w:r>
      <w:r w:rsidRPr="00B12F18">
        <w:rPr>
          <w:rFonts w:ascii="Bookman Old Style" w:hAnsi="Bookman Old Style" w:cs="Arial"/>
          <w:i/>
          <w:sz w:val="22"/>
          <w:szCs w:val="22"/>
        </w:rPr>
        <w:t>en</w:t>
      </w:r>
      <w:r w:rsidR="0025091B">
        <w:rPr>
          <w:rFonts w:ascii="Bookman Old Style" w:hAnsi="Bookman Old Style" w:cs="Arial"/>
          <w:i/>
          <w:sz w:val="22"/>
          <w:szCs w:val="22"/>
        </w:rPr>
        <w:t xml:space="preserve"> </w:t>
      </w:r>
      <w:r w:rsidRPr="00B12F18">
        <w:rPr>
          <w:rFonts w:ascii="Bookman Old Style" w:hAnsi="Bookman Old Style" w:cs="Arial"/>
          <w:i/>
          <w:sz w:val="22"/>
          <w:szCs w:val="22"/>
        </w:rPr>
        <w:t>cilindros</w:t>
      </w:r>
      <w:r w:rsidR="0025091B">
        <w:rPr>
          <w:rFonts w:ascii="Bookman Old Style" w:hAnsi="Bookman Old Style" w:cs="Arial"/>
          <w:i/>
          <w:sz w:val="22"/>
          <w:szCs w:val="22"/>
        </w:rPr>
        <w:t xml:space="preserve"> </w:t>
      </w:r>
      <w:r w:rsidRPr="00B12F18">
        <w:rPr>
          <w:rFonts w:ascii="Bookman Old Style" w:hAnsi="Bookman Old Style" w:cs="Arial"/>
          <w:i/>
          <w:sz w:val="22"/>
          <w:szCs w:val="22"/>
        </w:rPr>
        <w:t>el reporte realizado</w:t>
      </w:r>
      <w:r w:rsidR="0025091B">
        <w:rPr>
          <w:rFonts w:ascii="Bookman Old Style" w:hAnsi="Bookman Old Style" w:cs="Arial"/>
          <w:i/>
          <w:sz w:val="22"/>
          <w:szCs w:val="22"/>
        </w:rPr>
        <w:t xml:space="preserve"> por CHILCO</w:t>
      </w:r>
      <w:r w:rsidRPr="00B12F18">
        <w:rPr>
          <w:rFonts w:ascii="Bookman Old Style" w:hAnsi="Bookman Old Style" w:cs="Arial"/>
          <w:i/>
          <w:sz w:val="22"/>
          <w:szCs w:val="22"/>
        </w:rPr>
        <w:t xml:space="preserve"> desde noviembre de</w:t>
      </w:r>
      <w:r w:rsidR="0025091B">
        <w:rPr>
          <w:rFonts w:ascii="Bookman Old Style" w:hAnsi="Bookman Old Style" w:cs="Arial"/>
          <w:i/>
          <w:sz w:val="22"/>
          <w:szCs w:val="22"/>
        </w:rPr>
        <w:t xml:space="preserve"> </w:t>
      </w:r>
      <w:r w:rsidRPr="00B12F18">
        <w:rPr>
          <w:rFonts w:ascii="Bookman Old Style" w:hAnsi="Bookman Old Style" w:cs="Arial"/>
          <w:i/>
          <w:sz w:val="22"/>
          <w:szCs w:val="22"/>
        </w:rPr>
        <w:t>2012</w:t>
      </w:r>
      <w:r w:rsidR="0025091B">
        <w:rPr>
          <w:rFonts w:ascii="Bookman Old Style" w:hAnsi="Bookman Old Style" w:cs="Arial"/>
          <w:i/>
          <w:sz w:val="22"/>
          <w:szCs w:val="22"/>
        </w:rPr>
        <w:t xml:space="preserve"> </w:t>
      </w:r>
      <w:r w:rsidRPr="00B12F18">
        <w:rPr>
          <w:rFonts w:ascii="Bookman Old Style" w:hAnsi="Bookman Old Style" w:cs="Arial"/>
          <w:i/>
          <w:sz w:val="22"/>
          <w:szCs w:val="22"/>
        </w:rPr>
        <w:t>en</w:t>
      </w:r>
      <w:r w:rsidR="0025091B">
        <w:rPr>
          <w:rFonts w:ascii="Bookman Old Style" w:hAnsi="Bookman Old Style" w:cs="Arial"/>
          <w:i/>
          <w:sz w:val="22"/>
          <w:szCs w:val="22"/>
        </w:rPr>
        <w:t xml:space="preserve"> </w:t>
      </w:r>
      <w:r w:rsidRPr="00B12F18">
        <w:rPr>
          <w:rFonts w:ascii="Bookman Old Style" w:hAnsi="Bookman Old Style" w:cs="Arial"/>
          <w:i/>
          <w:sz w:val="22"/>
          <w:szCs w:val="22"/>
        </w:rPr>
        <w:t>adelante, lo</w:t>
      </w:r>
      <w:r w:rsidR="0025091B">
        <w:rPr>
          <w:rFonts w:ascii="Bookman Old Style" w:hAnsi="Bookman Old Style" w:cs="Arial"/>
          <w:i/>
          <w:sz w:val="22"/>
          <w:szCs w:val="22"/>
        </w:rPr>
        <w:t xml:space="preserve"> </w:t>
      </w:r>
      <w:r w:rsidRPr="00B12F18">
        <w:rPr>
          <w:rFonts w:ascii="Bookman Old Style" w:hAnsi="Bookman Old Style" w:cs="Arial"/>
          <w:i/>
          <w:sz w:val="22"/>
          <w:szCs w:val="22"/>
        </w:rPr>
        <w:t>cual</w:t>
      </w:r>
      <w:r w:rsidR="0025091B">
        <w:rPr>
          <w:rFonts w:ascii="Bookman Old Style" w:hAnsi="Bookman Old Style" w:cs="Arial"/>
          <w:i/>
          <w:sz w:val="22"/>
          <w:szCs w:val="22"/>
        </w:rPr>
        <w:t xml:space="preserve"> </w:t>
      </w:r>
      <w:r w:rsidRPr="00B12F18">
        <w:rPr>
          <w:rFonts w:ascii="Bookman Old Style" w:hAnsi="Bookman Old Style" w:cs="Arial"/>
          <w:i/>
          <w:sz w:val="22"/>
          <w:szCs w:val="22"/>
        </w:rPr>
        <w:t>disminuye</w:t>
      </w:r>
      <w:r w:rsidR="0025091B">
        <w:rPr>
          <w:rFonts w:ascii="Bookman Old Style" w:hAnsi="Bookman Old Style" w:cs="Arial"/>
          <w:i/>
          <w:sz w:val="22"/>
          <w:szCs w:val="22"/>
        </w:rPr>
        <w:t xml:space="preserve"> </w:t>
      </w:r>
      <w:r w:rsidRPr="00B12F18">
        <w:rPr>
          <w:rFonts w:ascii="Bookman Old Style" w:hAnsi="Bookman Old Style" w:cs="Arial"/>
          <w:i/>
          <w:sz w:val="22"/>
          <w:szCs w:val="22"/>
        </w:rPr>
        <w:t xml:space="preserve">de forma errónea la capacidad de </w:t>
      </w:r>
      <w:r w:rsidR="0025091B">
        <w:rPr>
          <w:rFonts w:ascii="Bookman Old Style" w:hAnsi="Bookman Old Style" w:cs="Arial"/>
          <w:i/>
          <w:sz w:val="22"/>
          <w:szCs w:val="22"/>
        </w:rPr>
        <w:t>compra de CHILCO</w:t>
      </w:r>
      <w:r w:rsidRPr="00B12F18">
        <w:rPr>
          <w:rFonts w:ascii="Bookman Old Style" w:hAnsi="Bookman Old Style" w:cs="Arial"/>
          <w:i/>
          <w:sz w:val="22"/>
          <w:szCs w:val="22"/>
        </w:rPr>
        <w:t>. Como se evidencia en las pruebas que aportamos, los</w:t>
      </w:r>
      <w:r w:rsidR="0025091B">
        <w:rPr>
          <w:rFonts w:ascii="Bookman Old Style" w:hAnsi="Bookman Old Style" w:cs="Arial"/>
          <w:i/>
          <w:sz w:val="22"/>
          <w:szCs w:val="22"/>
        </w:rPr>
        <w:t xml:space="preserve"> soportes de certificados de información de cilindros reportados desde Nov 2012 hasta la fecha en el </w:t>
      </w:r>
      <w:proofErr w:type="spellStart"/>
      <w:r w:rsidR="0025091B">
        <w:rPr>
          <w:rFonts w:ascii="Bookman Old Style" w:hAnsi="Bookman Old Style" w:cs="Arial"/>
          <w:i/>
          <w:sz w:val="22"/>
          <w:szCs w:val="22"/>
        </w:rPr>
        <w:t>SUI</w:t>
      </w:r>
      <w:proofErr w:type="gramStart"/>
      <w:r w:rsidRPr="00B12F18">
        <w:rPr>
          <w:rFonts w:ascii="Bookman Old Style" w:hAnsi="Bookman Old Style" w:cs="Arial"/>
          <w:i/>
          <w:sz w:val="22"/>
          <w:szCs w:val="22"/>
        </w:rPr>
        <w:t>,el</w:t>
      </w:r>
      <w:proofErr w:type="spellEnd"/>
      <w:proofErr w:type="gramEnd"/>
      <w:r w:rsidRPr="00B12F18">
        <w:rPr>
          <w:rFonts w:ascii="Bookman Old Style" w:hAnsi="Bookman Old Style" w:cs="Arial"/>
          <w:i/>
          <w:sz w:val="22"/>
          <w:szCs w:val="22"/>
        </w:rPr>
        <w:t xml:space="preserve"> cálculo de capacidad de CHILCC genera un resultado mucho mayor al registrado por la CREG, como se m</w:t>
      </w:r>
      <w:r w:rsidR="0025091B">
        <w:rPr>
          <w:rFonts w:ascii="Bookman Old Style" w:hAnsi="Bookman Old Style" w:cs="Arial"/>
          <w:i/>
          <w:sz w:val="22"/>
          <w:szCs w:val="22"/>
        </w:rPr>
        <w:t>uestra en las siguientes tablas:</w:t>
      </w:r>
    </w:p>
    <w:p w:rsidR="0025091B" w:rsidRPr="00B12F18" w:rsidRDefault="0025091B" w:rsidP="00B12F18">
      <w:pPr>
        <w:ind w:left="284" w:right="284"/>
        <w:jc w:val="both"/>
        <w:rPr>
          <w:rFonts w:ascii="Bookman Old Style" w:hAnsi="Bookman Old Style" w:cs="Arial"/>
          <w:i/>
          <w:sz w:val="22"/>
          <w:szCs w:val="22"/>
        </w:rPr>
      </w:pPr>
    </w:p>
    <w:p w:rsidR="0025091B" w:rsidRDefault="00B12F18" w:rsidP="0025091B">
      <w:pPr>
        <w:ind w:left="284" w:right="284"/>
        <w:jc w:val="center"/>
        <w:rPr>
          <w:rFonts w:ascii="Bookman Old Style" w:hAnsi="Bookman Old Style" w:cs="Arial"/>
          <w:i/>
          <w:sz w:val="22"/>
          <w:szCs w:val="22"/>
        </w:rPr>
      </w:pPr>
      <w:r w:rsidRPr="00B12F18">
        <w:rPr>
          <w:rFonts w:ascii="Bookman Old Style" w:hAnsi="Bookman Old Style" w:cs="Arial"/>
          <w:i/>
          <w:sz w:val="22"/>
          <w:szCs w:val="22"/>
        </w:rPr>
        <w:t>Tabla No 2. Cilindros Certificados por el SUI No 2012 - Abril 2016</w:t>
      </w:r>
      <w:r>
        <w:rPr>
          <w:rFonts w:ascii="Bookman Old Style" w:hAnsi="Bookman Old Style" w:cs="Arial"/>
          <w:i/>
          <w:sz w:val="22"/>
          <w:szCs w:val="22"/>
        </w:rPr>
        <w:t xml:space="preserve"> </w:t>
      </w:r>
    </w:p>
    <w:p w:rsidR="0025091B" w:rsidRDefault="0025091B" w:rsidP="0025091B">
      <w:pPr>
        <w:ind w:left="284" w:right="284"/>
        <w:jc w:val="center"/>
        <w:rPr>
          <w:rFonts w:ascii="Bookman Old Style" w:hAnsi="Bookman Old Style" w:cs="Arial"/>
          <w:i/>
          <w:sz w:val="22"/>
          <w:szCs w:val="22"/>
        </w:rPr>
      </w:pPr>
    </w:p>
    <w:tbl>
      <w:tblPr>
        <w:tblW w:w="0" w:type="auto"/>
        <w:tblInd w:w="3318" w:type="dxa"/>
        <w:tblLayout w:type="fixed"/>
        <w:tblCellMar>
          <w:left w:w="0" w:type="dxa"/>
          <w:right w:w="0" w:type="dxa"/>
        </w:tblCellMar>
        <w:tblLook w:val="0000" w:firstRow="0" w:lastRow="0" w:firstColumn="0" w:lastColumn="0" w:noHBand="0" w:noVBand="0"/>
      </w:tblPr>
      <w:tblGrid>
        <w:gridCol w:w="1152"/>
        <w:gridCol w:w="1205"/>
      </w:tblGrid>
      <w:tr w:rsidR="0025091B" w:rsidRPr="0025091B" w:rsidTr="0025091B">
        <w:trPr>
          <w:trHeight w:hRule="exact" w:val="288"/>
        </w:trPr>
        <w:tc>
          <w:tcPr>
            <w:tcW w:w="1152" w:type="dxa"/>
            <w:tcBorders>
              <w:top w:val="single" w:sz="4" w:space="0" w:color="auto"/>
              <w:left w:val="single" w:sz="4" w:space="0" w:color="auto"/>
              <w:bottom w:val="nil"/>
              <w:right w:val="nil"/>
            </w:tcBorders>
            <w:shd w:val="clear" w:color="auto" w:fill="FFFFFF"/>
            <w:vAlign w:val="bottom"/>
          </w:tcPr>
          <w:p w:rsidR="0025091B" w:rsidRPr="0025091B" w:rsidRDefault="0025091B" w:rsidP="0025091B">
            <w:pPr>
              <w:widowControl w:val="0"/>
              <w:spacing w:line="150" w:lineRule="exact"/>
              <w:ind w:left="160"/>
              <w:rPr>
                <w:rFonts w:ascii="Bookman Old Style" w:hAnsi="Bookman Old Style" w:cs="Arial"/>
                <w:b/>
                <w:bCs/>
                <w:sz w:val="16"/>
                <w:szCs w:val="16"/>
                <w:lang w:val="es-ES_tradnl" w:eastAsia="es-CO"/>
              </w:rPr>
            </w:pPr>
            <w:r w:rsidRPr="0025091B">
              <w:rPr>
                <w:rFonts w:ascii="Bookman Old Style" w:hAnsi="Bookman Old Style" w:cs="Arial"/>
                <w:b/>
                <w:bCs/>
                <w:color w:val="000000"/>
                <w:sz w:val="16"/>
                <w:szCs w:val="16"/>
                <w:lang w:val="es-ES_tradnl" w:eastAsia="es-ES_tradnl"/>
              </w:rPr>
              <w:t>Concepto</w:t>
            </w:r>
          </w:p>
        </w:tc>
        <w:tc>
          <w:tcPr>
            <w:tcW w:w="1205" w:type="dxa"/>
            <w:tcBorders>
              <w:top w:val="single" w:sz="4" w:space="0" w:color="auto"/>
              <w:left w:val="nil"/>
              <w:bottom w:val="nil"/>
              <w:right w:val="single" w:sz="4" w:space="0" w:color="auto"/>
            </w:tcBorders>
            <w:shd w:val="clear" w:color="auto" w:fill="FFFFFF"/>
            <w:vAlign w:val="bottom"/>
          </w:tcPr>
          <w:p w:rsidR="0025091B" w:rsidRPr="0025091B" w:rsidRDefault="0025091B" w:rsidP="0025091B">
            <w:pPr>
              <w:widowControl w:val="0"/>
              <w:spacing w:line="150" w:lineRule="exact"/>
              <w:ind w:left="140"/>
              <w:rPr>
                <w:rFonts w:ascii="Bookman Old Style" w:hAnsi="Bookman Old Style" w:cs="Arial"/>
                <w:b/>
                <w:bCs/>
                <w:sz w:val="16"/>
                <w:szCs w:val="16"/>
                <w:lang w:val="es-ES_tradnl" w:eastAsia="es-CO"/>
              </w:rPr>
            </w:pPr>
            <w:r w:rsidRPr="0025091B">
              <w:rPr>
                <w:rFonts w:ascii="Bookman Old Style" w:hAnsi="Bookman Old Style" w:cs="Arial"/>
                <w:b/>
                <w:bCs/>
                <w:color w:val="000000"/>
                <w:sz w:val="16"/>
                <w:szCs w:val="16"/>
                <w:lang w:val="es-ES_tradnl" w:eastAsia="es-ES_tradnl"/>
              </w:rPr>
              <w:t>Cantidad</w:t>
            </w:r>
          </w:p>
        </w:tc>
      </w:tr>
      <w:tr w:rsidR="0025091B" w:rsidRPr="0025091B" w:rsidTr="0025091B">
        <w:trPr>
          <w:trHeight w:hRule="exact" w:val="288"/>
        </w:trPr>
        <w:tc>
          <w:tcPr>
            <w:tcW w:w="1152" w:type="dxa"/>
            <w:tcBorders>
              <w:top w:val="single" w:sz="4" w:space="0" w:color="auto"/>
              <w:left w:val="single" w:sz="4" w:space="0" w:color="auto"/>
              <w:bottom w:val="nil"/>
              <w:right w:val="nil"/>
            </w:tcBorders>
            <w:shd w:val="clear" w:color="auto" w:fill="FFFFFF"/>
            <w:vAlign w:val="bottom"/>
          </w:tcPr>
          <w:p w:rsidR="0025091B" w:rsidRPr="0025091B" w:rsidRDefault="0025091B" w:rsidP="0025091B">
            <w:pPr>
              <w:widowControl w:val="0"/>
              <w:spacing w:line="150" w:lineRule="exact"/>
              <w:ind w:left="60"/>
              <w:rPr>
                <w:rFonts w:ascii="Bookman Old Style" w:hAnsi="Bookman Old Style" w:cs="Arial"/>
                <w:b/>
                <w:bCs/>
                <w:sz w:val="16"/>
                <w:szCs w:val="16"/>
                <w:lang w:val="es-ES_tradnl" w:eastAsia="es-CO"/>
              </w:rPr>
            </w:pPr>
            <w:r w:rsidRPr="0025091B">
              <w:rPr>
                <w:rFonts w:ascii="Bookman Old Style" w:hAnsi="Bookman Old Style" w:cs="Arial"/>
                <w:color w:val="000000"/>
                <w:sz w:val="16"/>
                <w:szCs w:val="16"/>
                <w:lang w:val="es-ES_tradnl" w:eastAsia="es-ES_tradnl"/>
              </w:rPr>
              <w:t>Destrucción</w:t>
            </w:r>
          </w:p>
        </w:tc>
        <w:tc>
          <w:tcPr>
            <w:tcW w:w="1205" w:type="dxa"/>
            <w:tcBorders>
              <w:top w:val="single" w:sz="4" w:space="0" w:color="auto"/>
              <w:left w:val="nil"/>
              <w:bottom w:val="nil"/>
              <w:right w:val="single" w:sz="4" w:space="0" w:color="auto"/>
            </w:tcBorders>
            <w:shd w:val="clear" w:color="auto" w:fill="FFFFFF"/>
            <w:vAlign w:val="bottom"/>
          </w:tcPr>
          <w:p w:rsidR="0025091B" w:rsidRPr="0025091B" w:rsidRDefault="0025091B" w:rsidP="0025091B">
            <w:pPr>
              <w:widowControl w:val="0"/>
              <w:spacing w:line="150" w:lineRule="exact"/>
              <w:ind w:left="0" w:right="120"/>
              <w:jc w:val="right"/>
              <w:rPr>
                <w:rFonts w:ascii="Bookman Old Style" w:hAnsi="Bookman Old Style" w:cs="Arial"/>
                <w:b/>
                <w:bCs/>
                <w:sz w:val="16"/>
                <w:szCs w:val="16"/>
                <w:lang w:val="es-ES_tradnl" w:eastAsia="es-CO"/>
              </w:rPr>
            </w:pPr>
            <w:r w:rsidRPr="0025091B">
              <w:rPr>
                <w:rFonts w:ascii="Bookman Old Style" w:hAnsi="Bookman Old Style" w:cs="Arial"/>
                <w:color w:val="000000"/>
                <w:sz w:val="16"/>
                <w:szCs w:val="16"/>
                <w:lang w:val="es-ES_tradnl" w:eastAsia="es-ES_tradnl"/>
              </w:rPr>
              <w:t>593</w:t>
            </w:r>
          </w:p>
        </w:tc>
      </w:tr>
      <w:tr w:rsidR="0025091B" w:rsidRPr="0025091B" w:rsidTr="0025091B">
        <w:trPr>
          <w:trHeight w:hRule="exact" w:val="269"/>
        </w:trPr>
        <w:tc>
          <w:tcPr>
            <w:tcW w:w="1152" w:type="dxa"/>
            <w:tcBorders>
              <w:top w:val="nil"/>
              <w:left w:val="single" w:sz="4" w:space="0" w:color="auto"/>
              <w:bottom w:val="nil"/>
              <w:right w:val="nil"/>
            </w:tcBorders>
            <w:shd w:val="clear" w:color="auto" w:fill="FFFFFF"/>
            <w:vAlign w:val="center"/>
          </w:tcPr>
          <w:p w:rsidR="0025091B" w:rsidRPr="0025091B" w:rsidRDefault="0025091B" w:rsidP="0025091B">
            <w:pPr>
              <w:widowControl w:val="0"/>
              <w:spacing w:line="150" w:lineRule="exact"/>
              <w:ind w:left="60"/>
              <w:rPr>
                <w:rFonts w:ascii="Bookman Old Style" w:hAnsi="Bookman Old Style" w:cs="Arial"/>
                <w:b/>
                <w:bCs/>
                <w:sz w:val="16"/>
                <w:szCs w:val="16"/>
                <w:lang w:val="es-ES_tradnl" w:eastAsia="es-CO"/>
              </w:rPr>
            </w:pPr>
            <w:proofErr w:type="spellStart"/>
            <w:r w:rsidRPr="0025091B">
              <w:rPr>
                <w:rFonts w:ascii="Bookman Old Style" w:hAnsi="Bookman Old Style" w:cs="Arial"/>
                <w:color w:val="000000"/>
                <w:sz w:val="16"/>
                <w:szCs w:val="16"/>
                <w:lang w:val="es-ES_tradnl" w:eastAsia="es-ES_tradnl"/>
              </w:rPr>
              <w:t>Mto</w:t>
            </w:r>
            <w:proofErr w:type="spellEnd"/>
          </w:p>
        </w:tc>
        <w:tc>
          <w:tcPr>
            <w:tcW w:w="1205" w:type="dxa"/>
            <w:tcBorders>
              <w:top w:val="nil"/>
              <w:left w:val="nil"/>
              <w:bottom w:val="nil"/>
              <w:right w:val="single" w:sz="4" w:space="0" w:color="auto"/>
            </w:tcBorders>
            <w:shd w:val="clear" w:color="auto" w:fill="FFFFFF"/>
            <w:vAlign w:val="bottom"/>
          </w:tcPr>
          <w:p w:rsidR="0025091B" w:rsidRPr="0025091B" w:rsidRDefault="0025091B" w:rsidP="0025091B">
            <w:pPr>
              <w:widowControl w:val="0"/>
              <w:spacing w:line="150" w:lineRule="exact"/>
              <w:ind w:left="0" w:right="40"/>
              <w:jc w:val="right"/>
              <w:rPr>
                <w:rFonts w:ascii="Bookman Old Style" w:hAnsi="Bookman Old Style" w:cs="Arial"/>
                <w:b/>
                <w:bCs/>
                <w:sz w:val="16"/>
                <w:szCs w:val="16"/>
                <w:lang w:val="es-ES_tradnl" w:eastAsia="es-CO"/>
              </w:rPr>
            </w:pPr>
            <w:r w:rsidRPr="0025091B">
              <w:rPr>
                <w:rFonts w:ascii="Bookman Old Style" w:hAnsi="Bookman Old Style" w:cs="Arial"/>
                <w:color w:val="000000"/>
                <w:sz w:val="16"/>
                <w:szCs w:val="16"/>
                <w:lang w:val="es-ES_tradnl" w:eastAsia="es-ES_tradnl"/>
              </w:rPr>
              <w:t>1</w:t>
            </w:r>
          </w:p>
        </w:tc>
      </w:tr>
      <w:tr w:rsidR="0025091B" w:rsidRPr="0025091B" w:rsidTr="0025091B">
        <w:trPr>
          <w:trHeight w:hRule="exact" w:val="370"/>
        </w:trPr>
        <w:tc>
          <w:tcPr>
            <w:tcW w:w="1152" w:type="dxa"/>
            <w:tcBorders>
              <w:top w:val="nil"/>
              <w:left w:val="single" w:sz="4" w:space="0" w:color="auto"/>
              <w:bottom w:val="nil"/>
              <w:right w:val="nil"/>
            </w:tcBorders>
            <w:shd w:val="clear" w:color="auto" w:fill="FFFFFF"/>
            <w:vAlign w:val="bottom"/>
          </w:tcPr>
          <w:p w:rsidR="0025091B" w:rsidRPr="0025091B" w:rsidRDefault="0025091B" w:rsidP="0025091B">
            <w:pPr>
              <w:widowControl w:val="0"/>
              <w:spacing w:line="150" w:lineRule="exact"/>
              <w:ind w:left="60"/>
              <w:rPr>
                <w:rFonts w:ascii="Bookman Old Style" w:hAnsi="Bookman Old Style" w:cs="Arial"/>
                <w:b/>
                <w:bCs/>
                <w:sz w:val="16"/>
                <w:szCs w:val="16"/>
                <w:lang w:val="es-ES_tradnl" w:eastAsia="es-CO"/>
              </w:rPr>
            </w:pPr>
            <w:r w:rsidRPr="0025091B">
              <w:rPr>
                <w:rFonts w:ascii="Bookman Old Style" w:hAnsi="Bookman Old Style" w:cs="Arial"/>
                <w:color w:val="000000"/>
                <w:sz w:val="16"/>
                <w:szCs w:val="16"/>
                <w:lang w:val="es-ES_tradnl" w:eastAsia="es-ES_tradnl"/>
              </w:rPr>
              <w:t>Fabricación</w:t>
            </w:r>
          </w:p>
        </w:tc>
        <w:tc>
          <w:tcPr>
            <w:tcW w:w="1205" w:type="dxa"/>
            <w:tcBorders>
              <w:top w:val="nil"/>
              <w:left w:val="nil"/>
              <w:bottom w:val="nil"/>
              <w:right w:val="single" w:sz="4" w:space="0" w:color="auto"/>
            </w:tcBorders>
            <w:shd w:val="clear" w:color="auto" w:fill="FFFFFF"/>
            <w:vAlign w:val="bottom"/>
          </w:tcPr>
          <w:p w:rsidR="0025091B" w:rsidRPr="0025091B" w:rsidRDefault="0025091B" w:rsidP="0025091B">
            <w:pPr>
              <w:widowControl w:val="0"/>
              <w:spacing w:line="150" w:lineRule="exact"/>
              <w:ind w:left="0" w:right="120"/>
              <w:jc w:val="right"/>
              <w:rPr>
                <w:rFonts w:ascii="Bookman Old Style" w:hAnsi="Bookman Old Style" w:cs="Arial"/>
                <w:b/>
                <w:bCs/>
                <w:sz w:val="16"/>
                <w:szCs w:val="16"/>
                <w:lang w:val="es-ES_tradnl" w:eastAsia="es-CO"/>
              </w:rPr>
            </w:pPr>
            <w:r w:rsidRPr="0025091B">
              <w:rPr>
                <w:rFonts w:ascii="Bookman Old Style" w:hAnsi="Bookman Old Style" w:cs="Arial"/>
                <w:b/>
                <w:bCs/>
                <w:color w:val="000000"/>
                <w:sz w:val="16"/>
                <w:szCs w:val="16"/>
                <w:lang w:val="es-ES_tradnl" w:eastAsia="es-ES_tradnl"/>
              </w:rPr>
              <w:t>182.907</w:t>
            </w:r>
          </w:p>
        </w:tc>
      </w:tr>
      <w:tr w:rsidR="0025091B" w:rsidRPr="0025091B" w:rsidTr="0025091B">
        <w:trPr>
          <w:trHeight w:hRule="exact" w:val="250"/>
        </w:trPr>
        <w:tc>
          <w:tcPr>
            <w:tcW w:w="1152" w:type="dxa"/>
            <w:tcBorders>
              <w:top w:val="single" w:sz="4" w:space="0" w:color="auto"/>
              <w:left w:val="nil"/>
              <w:bottom w:val="nil"/>
              <w:right w:val="nil"/>
            </w:tcBorders>
            <w:shd w:val="clear" w:color="auto" w:fill="FFFFFF"/>
            <w:vAlign w:val="bottom"/>
          </w:tcPr>
          <w:p w:rsidR="0025091B" w:rsidRPr="0025091B" w:rsidRDefault="0025091B" w:rsidP="0025091B">
            <w:pPr>
              <w:widowControl w:val="0"/>
              <w:spacing w:line="150" w:lineRule="exact"/>
              <w:ind w:left="60"/>
              <w:rPr>
                <w:rFonts w:ascii="Bookman Old Style" w:hAnsi="Bookman Old Style" w:cs="Arial"/>
                <w:b/>
                <w:bCs/>
                <w:sz w:val="16"/>
                <w:szCs w:val="16"/>
                <w:lang w:val="es-ES_tradnl" w:eastAsia="es-CO"/>
              </w:rPr>
            </w:pPr>
            <w:r w:rsidRPr="0025091B">
              <w:rPr>
                <w:rFonts w:ascii="Bookman Old Style" w:hAnsi="Bookman Old Style" w:cs="Arial"/>
                <w:color w:val="000000"/>
                <w:sz w:val="16"/>
                <w:szCs w:val="16"/>
                <w:lang w:val="es-ES_tradnl" w:eastAsia="es-ES_tradnl"/>
              </w:rPr>
              <w:t>Total</w:t>
            </w:r>
          </w:p>
        </w:tc>
        <w:tc>
          <w:tcPr>
            <w:tcW w:w="1205" w:type="dxa"/>
            <w:tcBorders>
              <w:top w:val="single" w:sz="4" w:space="0" w:color="auto"/>
              <w:left w:val="nil"/>
              <w:bottom w:val="nil"/>
              <w:right w:val="nil"/>
            </w:tcBorders>
            <w:shd w:val="clear" w:color="auto" w:fill="FFFFFF"/>
            <w:vAlign w:val="bottom"/>
          </w:tcPr>
          <w:p w:rsidR="0025091B" w:rsidRPr="0025091B" w:rsidRDefault="0025091B" w:rsidP="0025091B">
            <w:pPr>
              <w:widowControl w:val="0"/>
              <w:spacing w:line="150" w:lineRule="exact"/>
              <w:ind w:left="0" w:right="120"/>
              <w:jc w:val="right"/>
              <w:rPr>
                <w:rFonts w:ascii="Bookman Old Style" w:hAnsi="Bookman Old Style" w:cs="Arial"/>
                <w:b/>
                <w:bCs/>
                <w:sz w:val="16"/>
                <w:szCs w:val="16"/>
                <w:lang w:val="es-ES_tradnl" w:eastAsia="es-CO"/>
              </w:rPr>
            </w:pPr>
            <w:r w:rsidRPr="0025091B">
              <w:rPr>
                <w:rFonts w:ascii="Bookman Old Style" w:hAnsi="Bookman Old Style" w:cs="Arial"/>
                <w:color w:val="000000"/>
                <w:sz w:val="16"/>
                <w:szCs w:val="16"/>
                <w:lang w:val="es-ES_tradnl" w:eastAsia="es-ES_tradnl"/>
              </w:rPr>
              <w:t>183.501</w:t>
            </w:r>
          </w:p>
        </w:tc>
      </w:tr>
    </w:tbl>
    <w:p w:rsidR="0025091B" w:rsidRDefault="0025091B" w:rsidP="0025091B">
      <w:pPr>
        <w:ind w:left="284" w:right="284"/>
        <w:jc w:val="center"/>
        <w:rPr>
          <w:color w:val="000000"/>
          <w:lang w:val="es-ES_tradnl" w:eastAsia="es-ES_tradnl"/>
        </w:rPr>
      </w:pPr>
    </w:p>
    <w:p w:rsidR="0025091B" w:rsidRPr="0025091B" w:rsidRDefault="0025091B" w:rsidP="0025091B">
      <w:pPr>
        <w:framePr w:w="4176" w:hSpace="2198" w:wrap="notBeside" w:vAnchor="text" w:hAnchor="text" w:xAlign="center" w:y="1"/>
        <w:widowControl w:val="0"/>
        <w:spacing w:line="150" w:lineRule="exact"/>
        <w:ind w:left="0"/>
        <w:jc w:val="center"/>
        <w:rPr>
          <w:rFonts w:ascii="Bookman Old Style" w:hAnsi="Bookman Old Style" w:cs="Arial"/>
          <w:b/>
          <w:bCs/>
          <w:sz w:val="16"/>
          <w:szCs w:val="16"/>
          <w:lang w:val="es-ES_tradnl" w:eastAsia="es-CO"/>
        </w:rPr>
      </w:pPr>
      <w:r w:rsidRPr="0025091B">
        <w:rPr>
          <w:rFonts w:ascii="Bookman Old Style" w:hAnsi="Bookman Old Style" w:cs="Arial"/>
          <w:b/>
          <w:bCs/>
          <w:color w:val="000000"/>
          <w:sz w:val="16"/>
          <w:szCs w:val="16"/>
          <w:u w:val="single"/>
          <w:lang w:val="es-ES_tradnl" w:eastAsia="es-ES_tradnl"/>
        </w:rPr>
        <w:t>Tabla No 3, Cilindros (Cap.2)</w:t>
      </w:r>
    </w:p>
    <w:tbl>
      <w:tblPr>
        <w:tblW w:w="0" w:type="auto"/>
        <w:jc w:val="center"/>
        <w:tblLayout w:type="fixed"/>
        <w:tblCellMar>
          <w:left w:w="0" w:type="dxa"/>
          <w:right w:w="0" w:type="dxa"/>
        </w:tblCellMar>
        <w:tblLook w:val="0000" w:firstRow="0" w:lastRow="0" w:firstColumn="0" w:lastColumn="0" w:noHBand="0" w:noVBand="0"/>
      </w:tblPr>
      <w:tblGrid>
        <w:gridCol w:w="1354"/>
        <w:gridCol w:w="1517"/>
        <w:gridCol w:w="1306"/>
      </w:tblGrid>
      <w:tr w:rsidR="0025091B" w:rsidRPr="0025091B" w:rsidTr="00521029">
        <w:trPr>
          <w:trHeight w:hRule="exact" w:val="326"/>
          <w:jc w:val="center"/>
        </w:trPr>
        <w:tc>
          <w:tcPr>
            <w:tcW w:w="1354" w:type="dxa"/>
            <w:tcBorders>
              <w:top w:val="single" w:sz="4" w:space="0" w:color="auto"/>
              <w:left w:val="single" w:sz="4" w:space="0" w:color="auto"/>
              <w:bottom w:val="nil"/>
              <w:right w:val="nil"/>
            </w:tcBorders>
            <w:shd w:val="clear" w:color="auto" w:fill="FFFFFF"/>
            <w:vAlign w:val="bottom"/>
          </w:tcPr>
          <w:p w:rsidR="0025091B" w:rsidRPr="0025091B" w:rsidRDefault="0025091B" w:rsidP="0025091B">
            <w:pPr>
              <w:framePr w:w="4176" w:hSpace="2198" w:wrap="notBeside" w:vAnchor="text" w:hAnchor="text" w:xAlign="center" w:y="1"/>
              <w:widowControl w:val="0"/>
              <w:spacing w:line="140" w:lineRule="exact"/>
              <w:ind w:left="0"/>
              <w:jc w:val="center"/>
              <w:rPr>
                <w:rFonts w:ascii="Bookman Old Style" w:hAnsi="Bookman Old Style" w:cs="Arial"/>
                <w:b/>
                <w:bCs/>
                <w:sz w:val="16"/>
                <w:szCs w:val="16"/>
                <w:lang w:val="es-ES_tradnl" w:eastAsia="es-CO"/>
              </w:rPr>
            </w:pPr>
            <w:proofErr w:type="spellStart"/>
            <w:r w:rsidRPr="0025091B">
              <w:rPr>
                <w:rFonts w:ascii="Bookman Old Style" w:hAnsi="Bookman Old Style" w:cs="Arial"/>
                <w:color w:val="000000"/>
                <w:sz w:val="16"/>
                <w:szCs w:val="16"/>
                <w:lang w:val="es-ES_tradnl" w:eastAsia="es-ES_tradnl"/>
              </w:rPr>
              <w:t>CPlB</w:t>
            </w:r>
            <w:proofErr w:type="spellEnd"/>
          </w:p>
        </w:tc>
        <w:tc>
          <w:tcPr>
            <w:tcW w:w="1517" w:type="dxa"/>
            <w:tcBorders>
              <w:top w:val="single" w:sz="4" w:space="0" w:color="auto"/>
              <w:left w:val="single" w:sz="4" w:space="0" w:color="auto"/>
              <w:bottom w:val="nil"/>
              <w:right w:val="nil"/>
            </w:tcBorders>
            <w:shd w:val="clear" w:color="auto" w:fill="FFFFFF"/>
            <w:vAlign w:val="bottom"/>
          </w:tcPr>
          <w:p w:rsidR="0025091B" w:rsidRPr="0025091B" w:rsidRDefault="0025091B" w:rsidP="0025091B">
            <w:pPr>
              <w:framePr w:w="4176" w:hSpace="2198" w:wrap="notBeside" w:vAnchor="text" w:hAnchor="text" w:xAlign="center" w:y="1"/>
              <w:widowControl w:val="0"/>
              <w:spacing w:line="140" w:lineRule="exact"/>
              <w:ind w:left="0"/>
              <w:jc w:val="center"/>
              <w:rPr>
                <w:rFonts w:ascii="Bookman Old Style" w:hAnsi="Bookman Old Style" w:cs="Arial"/>
                <w:b/>
                <w:bCs/>
                <w:sz w:val="16"/>
                <w:szCs w:val="16"/>
                <w:lang w:val="es-ES_tradnl" w:eastAsia="es-CO"/>
              </w:rPr>
            </w:pPr>
            <w:r w:rsidRPr="0025091B">
              <w:rPr>
                <w:rFonts w:ascii="Bookman Old Style" w:hAnsi="Bookman Old Style" w:cs="Arial"/>
                <w:smallCaps/>
                <w:color w:val="000000"/>
                <w:sz w:val="16"/>
                <w:szCs w:val="16"/>
                <w:lang w:val="es-ES_tradnl" w:eastAsia="es-ES_tradnl"/>
              </w:rPr>
              <w:t>NCcp.lb</w:t>
            </w:r>
          </w:p>
        </w:tc>
        <w:tc>
          <w:tcPr>
            <w:tcW w:w="1306" w:type="dxa"/>
            <w:tcBorders>
              <w:top w:val="single" w:sz="4" w:space="0" w:color="auto"/>
              <w:left w:val="single" w:sz="4" w:space="0" w:color="auto"/>
              <w:bottom w:val="nil"/>
              <w:right w:val="single" w:sz="4" w:space="0" w:color="auto"/>
            </w:tcBorders>
            <w:shd w:val="clear" w:color="auto" w:fill="FFFFFF"/>
            <w:vAlign w:val="bottom"/>
          </w:tcPr>
          <w:p w:rsidR="0025091B" w:rsidRPr="0025091B" w:rsidRDefault="0025091B" w:rsidP="0025091B">
            <w:pPr>
              <w:framePr w:w="4176" w:hSpace="2198" w:wrap="notBeside" w:vAnchor="text" w:hAnchor="text" w:xAlign="center" w:y="1"/>
              <w:widowControl w:val="0"/>
              <w:spacing w:line="140" w:lineRule="exact"/>
              <w:ind w:left="0" w:right="100"/>
              <w:jc w:val="right"/>
              <w:rPr>
                <w:rFonts w:ascii="Bookman Old Style" w:hAnsi="Bookman Old Style" w:cs="Arial"/>
                <w:b/>
                <w:bCs/>
                <w:sz w:val="16"/>
                <w:szCs w:val="16"/>
                <w:lang w:val="es-ES_tradnl" w:eastAsia="es-CO"/>
              </w:rPr>
            </w:pPr>
            <w:proofErr w:type="spellStart"/>
            <w:r w:rsidRPr="0025091B">
              <w:rPr>
                <w:rFonts w:ascii="Bookman Old Style" w:hAnsi="Bookman Old Style" w:cs="Arial"/>
                <w:color w:val="000000"/>
                <w:sz w:val="16"/>
                <w:szCs w:val="16"/>
                <w:lang w:val="es-ES_tradnl" w:eastAsia="es-ES_tradnl"/>
              </w:rPr>
              <w:t>CPus</w:t>
            </w:r>
            <w:proofErr w:type="spellEnd"/>
            <w:r w:rsidRPr="0025091B">
              <w:rPr>
                <w:rFonts w:ascii="Bookman Old Style" w:hAnsi="Bookman Old Style" w:cs="Arial"/>
                <w:color w:val="000000"/>
                <w:sz w:val="16"/>
                <w:szCs w:val="16"/>
                <w:lang w:val="es-ES_tradnl" w:eastAsia="es-ES_tradnl"/>
              </w:rPr>
              <w:t>-NCCP-</w:t>
            </w:r>
            <w:proofErr w:type="spellStart"/>
            <w:r w:rsidRPr="0025091B">
              <w:rPr>
                <w:rFonts w:ascii="Bookman Old Style" w:hAnsi="Bookman Old Style" w:cs="Arial"/>
                <w:color w:val="000000"/>
                <w:sz w:val="16"/>
                <w:szCs w:val="16"/>
                <w:lang w:val="es-ES_tradnl" w:eastAsia="es-ES_tradnl"/>
              </w:rPr>
              <w:t>lB</w:t>
            </w:r>
            <w:proofErr w:type="spellEnd"/>
          </w:p>
        </w:tc>
      </w:tr>
      <w:tr w:rsidR="0025091B" w:rsidRPr="0025091B" w:rsidTr="00521029">
        <w:trPr>
          <w:trHeight w:hRule="exact" w:val="278"/>
          <w:jc w:val="center"/>
        </w:trPr>
        <w:tc>
          <w:tcPr>
            <w:tcW w:w="1354" w:type="dxa"/>
            <w:tcBorders>
              <w:top w:val="single" w:sz="4" w:space="0" w:color="auto"/>
              <w:left w:val="single" w:sz="4" w:space="0" w:color="auto"/>
              <w:bottom w:val="nil"/>
              <w:right w:val="nil"/>
            </w:tcBorders>
            <w:shd w:val="clear" w:color="auto" w:fill="FFFFFF"/>
          </w:tcPr>
          <w:p w:rsidR="0025091B" w:rsidRPr="0025091B" w:rsidRDefault="0025091B" w:rsidP="0025091B">
            <w:pPr>
              <w:framePr w:w="4176" w:hSpace="2198" w:wrap="notBeside" w:vAnchor="text" w:hAnchor="text" w:xAlign="center" w:y="1"/>
              <w:widowControl w:val="0"/>
              <w:spacing w:line="140" w:lineRule="exact"/>
              <w:ind w:left="0" w:right="40"/>
              <w:jc w:val="right"/>
              <w:rPr>
                <w:rFonts w:ascii="Bookman Old Style" w:hAnsi="Bookman Old Style" w:cs="Arial"/>
                <w:b/>
                <w:bCs/>
                <w:sz w:val="16"/>
                <w:szCs w:val="16"/>
                <w:lang w:val="es-ES_tradnl" w:eastAsia="es-CO"/>
              </w:rPr>
            </w:pPr>
            <w:r w:rsidRPr="0025091B">
              <w:rPr>
                <w:rFonts w:ascii="Bookman Old Style" w:hAnsi="Bookman Old Style" w:cs="Arial"/>
                <w:color w:val="000000"/>
                <w:sz w:val="16"/>
                <w:szCs w:val="16"/>
                <w:lang w:val="es-ES_tradnl" w:eastAsia="es-ES_tradnl"/>
              </w:rPr>
              <w:t>33</w:t>
            </w:r>
          </w:p>
        </w:tc>
        <w:tc>
          <w:tcPr>
            <w:tcW w:w="1517" w:type="dxa"/>
            <w:tcBorders>
              <w:top w:val="single" w:sz="4" w:space="0" w:color="auto"/>
              <w:left w:val="single" w:sz="4" w:space="0" w:color="auto"/>
              <w:bottom w:val="nil"/>
              <w:right w:val="nil"/>
            </w:tcBorders>
            <w:shd w:val="clear" w:color="auto" w:fill="FFFFFF"/>
          </w:tcPr>
          <w:p w:rsidR="0025091B" w:rsidRPr="0025091B" w:rsidRDefault="0025091B" w:rsidP="0025091B">
            <w:pPr>
              <w:framePr w:w="4176" w:hSpace="2198" w:wrap="notBeside" w:vAnchor="text" w:hAnchor="text" w:xAlign="center" w:y="1"/>
              <w:widowControl w:val="0"/>
              <w:spacing w:line="140" w:lineRule="exact"/>
              <w:ind w:left="0" w:right="80"/>
              <w:jc w:val="right"/>
              <w:rPr>
                <w:rFonts w:ascii="Bookman Old Style" w:hAnsi="Bookman Old Style" w:cs="Arial"/>
                <w:b/>
                <w:bCs/>
                <w:sz w:val="16"/>
                <w:szCs w:val="16"/>
                <w:lang w:val="es-ES_tradnl" w:eastAsia="es-CO"/>
              </w:rPr>
            </w:pPr>
            <w:r w:rsidRPr="0025091B">
              <w:rPr>
                <w:rFonts w:ascii="Bookman Old Style" w:hAnsi="Bookman Old Style" w:cs="Arial"/>
                <w:color w:val="000000"/>
                <w:sz w:val="16"/>
                <w:szCs w:val="16"/>
                <w:lang w:val="es-ES_tradnl" w:eastAsia="es-ES_tradnl"/>
              </w:rPr>
              <w:t>52.919</w:t>
            </w:r>
          </w:p>
        </w:tc>
        <w:tc>
          <w:tcPr>
            <w:tcW w:w="1306" w:type="dxa"/>
            <w:tcBorders>
              <w:top w:val="single" w:sz="4" w:space="0" w:color="auto"/>
              <w:left w:val="single" w:sz="4" w:space="0" w:color="auto"/>
              <w:bottom w:val="nil"/>
              <w:right w:val="single" w:sz="4" w:space="0" w:color="auto"/>
            </w:tcBorders>
            <w:shd w:val="clear" w:color="auto" w:fill="FFFFFF"/>
          </w:tcPr>
          <w:p w:rsidR="0025091B" w:rsidRPr="0025091B" w:rsidRDefault="0025091B" w:rsidP="0025091B">
            <w:pPr>
              <w:framePr w:w="4176" w:hSpace="2198" w:wrap="notBeside" w:vAnchor="text" w:hAnchor="text" w:xAlign="center" w:y="1"/>
              <w:widowControl w:val="0"/>
              <w:spacing w:line="140" w:lineRule="exact"/>
              <w:ind w:left="0" w:right="100"/>
              <w:jc w:val="right"/>
              <w:rPr>
                <w:rFonts w:ascii="Bookman Old Style" w:hAnsi="Bookman Old Style" w:cs="Arial"/>
                <w:b/>
                <w:bCs/>
                <w:sz w:val="16"/>
                <w:szCs w:val="16"/>
                <w:lang w:val="es-ES_tradnl" w:eastAsia="es-CO"/>
              </w:rPr>
            </w:pPr>
            <w:r w:rsidRPr="0025091B">
              <w:rPr>
                <w:rFonts w:ascii="Bookman Old Style" w:hAnsi="Bookman Old Style" w:cs="Arial"/>
                <w:color w:val="000000"/>
                <w:sz w:val="16"/>
                <w:szCs w:val="16"/>
                <w:lang w:val="es-ES_tradnl" w:eastAsia="es-ES_tradnl"/>
              </w:rPr>
              <w:t>1 746.327</w:t>
            </w:r>
          </w:p>
        </w:tc>
      </w:tr>
      <w:tr w:rsidR="0025091B" w:rsidRPr="0025091B" w:rsidTr="00521029">
        <w:trPr>
          <w:trHeight w:hRule="exact" w:val="269"/>
          <w:jc w:val="center"/>
        </w:trPr>
        <w:tc>
          <w:tcPr>
            <w:tcW w:w="1354" w:type="dxa"/>
            <w:tcBorders>
              <w:top w:val="single" w:sz="4" w:space="0" w:color="auto"/>
              <w:left w:val="single" w:sz="4" w:space="0" w:color="auto"/>
              <w:bottom w:val="nil"/>
              <w:right w:val="nil"/>
            </w:tcBorders>
            <w:shd w:val="clear" w:color="auto" w:fill="FFFFFF"/>
          </w:tcPr>
          <w:p w:rsidR="0025091B" w:rsidRPr="0025091B" w:rsidRDefault="0025091B" w:rsidP="0025091B">
            <w:pPr>
              <w:framePr w:w="4176" w:hSpace="2198" w:wrap="notBeside" w:vAnchor="text" w:hAnchor="text" w:xAlign="center" w:y="1"/>
              <w:widowControl w:val="0"/>
              <w:spacing w:line="140" w:lineRule="exact"/>
              <w:ind w:left="0" w:right="40"/>
              <w:jc w:val="right"/>
              <w:rPr>
                <w:rFonts w:ascii="Bookman Old Style" w:hAnsi="Bookman Old Style" w:cs="Arial"/>
                <w:b/>
                <w:bCs/>
                <w:sz w:val="16"/>
                <w:szCs w:val="16"/>
                <w:lang w:val="es-ES_tradnl" w:eastAsia="es-CO"/>
              </w:rPr>
            </w:pPr>
            <w:r w:rsidRPr="0025091B">
              <w:rPr>
                <w:rFonts w:ascii="Bookman Old Style" w:hAnsi="Bookman Old Style" w:cs="Arial"/>
                <w:color w:val="000000"/>
                <w:sz w:val="16"/>
                <w:szCs w:val="16"/>
                <w:lang w:val="es-ES_tradnl" w:eastAsia="es-ES_tradnl"/>
              </w:rPr>
              <w:t>40</w:t>
            </w:r>
          </w:p>
        </w:tc>
        <w:tc>
          <w:tcPr>
            <w:tcW w:w="1517" w:type="dxa"/>
            <w:tcBorders>
              <w:top w:val="single" w:sz="4" w:space="0" w:color="auto"/>
              <w:left w:val="single" w:sz="4" w:space="0" w:color="auto"/>
              <w:bottom w:val="nil"/>
              <w:right w:val="nil"/>
            </w:tcBorders>
            <w:shd w:val="clear" w:color="auto" w:fill="FFFFFF"/>
          </w:tcPr>
          <w:p w:rsidR="0025091B" w:rsidRPr="0025091B" w:rsidRDefault="0025091B" w:rsidP="0025091B">
            <w:pPr>
              <w:framePr w:w="4176" w:hSpace="2198" w:wrap="notBeside" w:vAnchor="text" w:hAnchor="text" w:xAlign="center" w:y="1"/>
              <w:widowControl w:val="0"/>
              <w:spacing w:line="140" w:lineRule="exact"/>
              <w:ind w:left="0" w:right="80"/>
              <w:jc w:val="right"/>
              <w:rPr>
                <w:rFonts w:ascii="Bookman Old Style" w:hAnsi="Bookman Old Style" w:cs="Arial"/>
                <w:b/>
                <w:bCs/>
                <w:sz w:val="16"/>
                <w:szCs w:val="16"/>
                <w:lang w:val="es-ES_tradnl" w:eastAsia="es-CO"/>
              </w:rPr>
            </w:pPr>
            <w:r w:rsidRPr="0025091B">
              <w:rPr>
                <w:rFonts w:ascii="Bookman Old Style" w:hAnsi="Bookman Old Style" w:cs="Arial"/>
                <w:color w:val="000000"/>
                <w:sz w:val="16"/>
                <w:szCs w:val="16"/>
                <w:lang w:val="es-ES_tradnl" w:eastAsia="es-ES_tradnl"/>
              </w:rPr>
              <w:t>122 283</w:t>
            </w:r>
          </w:p>
        </w:tc>
        <w:tc>
          <w:tcPr>
            <w:tcW w:w="1306" w:type="dxa"/>
            <w:tcBorders>
              <w:top w:val="single" w:sz="4" w:space="0" w:color="auto"/>
              <w:left w:val="single" w:sz="4" w:space="0" w:color="auto"/>
              <w:bottom w:val="nil"/>
              <w:right w:val="single" w:sz="4" w:space="0" w:color="auto"/>
            </w:tcBorders>
            <w:shd w:val="clear" w:color="auto" w:fill="FFFFFF"/>
          </w:tcPr>
          <w:p w:rsidR="0025091B" w:rsidRPr="0025091B" w:rsidRDefault="0025091B" w:rsidP="0025091B">
            <w:pPr>
              <w:framePr w:w="4176" w:hSpace="2198" w:wrap="notBeside" w:vAnchor="text" w:hAnchor="text" w:xAlign="center" w:y="1"/>
              <w:widowControl w:val="0"/>
              <w:spacing w:line="140" w:lineRule="exact"/>
              <w:ind w:left="0" w:right="100"/>
              <w:jc w:val="right"/>
              <w:rPr>
                <w:rFonts w:ascii="Bookman Old Style" w:hAnsi="Bookman Old Style" w:cs="Arial"/>
                <w:b/>
                <w:bCs/>
                <w:sz w:val="16"/>
                <w:szCs w:val="16"/>
                <w:lang w:val="es-ES_tradnl" w:eastAsia="es-CO"/>
              </w:rPr>
            </w:pPr>
            <w:r w:rsidRPr="0025091B">
              <w:rPr>
                <w:rFonts w:ascii="Bookman Old Style" w:hAnsi="Bookman Old Style" w:cs="Arial"/>
                <w:color w:val="000000"/>
                <w:sz w:val="16"/>
                <w:szCs w:val="16"/>
                <w:lang w:val="es-ES_tradnl" w:eastAsia="es-ES_tradnl"/>
              </w:rPr>
              <w:t>4.842.407</w:t>
            </w:r>
          </w:p>
        </w:tc>
      </w:tr>
      <w:tr w:rsidR="0025091B" w:rsidRPr="0025091B" w:rsidTr="00521029">
        <w:trPr>
          <w:trHeight w:hRule="exact" w:val="298"/>
          <w:jc w:val="center"/>
        </w:trPr>
        <w:tc>
          <w:tcPr>
            <w:tcW w:w="1354" w:type="dxa"/>
            <w:tcBorders>
              <w:top w:val="single" w:sz="4" w:space="0" w:color="auto"/>
              <w:left w:val="single" w:sz="4" w:space="0" w:color="auto"/>
              <w:bottom w:val="single" w:sz="4" w:space="0" w:color="auto"/>
              <w:right w:val="nil"/>
            </w:tcBorders>
            <w:shd w:val="clear" w:color="auto" w:fill="FFFFFF"/>
            <w:vAlign w:val="center"/>
          </w:tcPr>
          <w:p w:rsidR="0025091B" w:rsidRPr="0025091B" w:rsidRDefault="0025091B" w:rsidP="0025091B">
            <w:pPr>
              <w:framePr w:w="4176" w:hSpace="2198" w:wrap="notBeside" w:vAnchor="text" w:hAnchor="text" w:xAlign="center" w:y="1"/>
              <w:widowControl w:val="0"/>
              <w:spacing w:line="140" w:lineRule="exact"/>
              <w:ind w:left="0" w:right="40"/>
              <w:jc w:val="right"/>
              <w:rPr>
                <w:rFonts w:ascii="Bookman Old Style" w:hAnsi="Bookman Old Style" w:cs="Arial"/>
                <w:b/>
                <w:bCs/>
                <w:sz w:val="16"/>
                <w:szCs w:val="16"/>
                <w:lang w:val="es-ES_tradnl" w:eastAsia="es-CO"/>
              </w:rPr>
            </w:pPr>
            <w:r w:rsidRPr="0025091B">
              <w:rPr>
                <w:rFonts w:ascii="Bookman Old Style" w:hAnsi="Bookman Old Style" w:cs="Arial"/>
                <w:color w:val="000000"/>
                <w:sz w:val="16"/>
                <w:szCs w:val="16"/>
                <w:lang w:val="es-ES_tradnl" w:eastAsia="es-ES_tradnl"/>
              </w:rPr>
              <w:t>100</w:t>
            </w:r>
          </w:p>
        </w:tc>
        <w:tc>
          <w:tcPr>
            <w:tcW w:w="1517" w:type="dxa"/>
            <w:tcBorders>
              <w:top w:val="single" w:sz="4" w:space="0" w:color="auto"/>
              <w:left w:val="single" w:sz="4" w:space="0" w:color="auto"/>
              <w:bottom w:val="single" w:sz="4" w:space="0" w:color="auto"/>
              <w:right w:val="nil"/>
            </w:tcBorders>
            <w:shd w:val="clear" w:color="auto" w:fill="FFFFFF"/>
          </w:tcPr>
          <w:p w:rsidR="0025091B" w:rsidRPr="0025091B" w:rsidRDefault="0025091B" w:rsidP="0025091B">
            <w:pPr>
              <w:framePr w:w="4176" w:hSpace="2198" w:wrap="notBeside" w:vAnchor="text" w:hAnchor="text" w:xAlign="center" w:y="1"/>
              <w:widowControl w:val="0"/>
              <w:spacing w:line="140" w:lineRule="exact"/>
              <w:ind w:left="0" w:right="80"/>
              <w:jc w:val="right"/>
              <w:rPr>
                <w:rFonts w:ascii="Bookman Old Style" w:hAnsi="Bookman Old Style" w:cs="Arial"/>
                <w:b/>
                <w:bCs/>
                <w:sz w:val="16"/>
                <w:szCs w:val="16"/>
                <w:lang w:val="es-ES_tradnl" w:eastAsia="es-CO"/>
              </w:rPr>
            </w:pPr>
            <w:r w:rsidRPr="0025091B">
              <w:rPr>
                <w:rFonts w:ascii="Bookman Old Style" w:hAnsi="Bookman Old Style" w:cs="Arial"/>
                <w:color w:val="000000"/>
                <w:sz w:val="16"/>
                <w:szCs w:val="16"/>
                <w:lang w:val="es-ES_tradnl" w:eastAsia="es-ES_tradnl"/>
              </w:rPr>
              <w:t>7.705</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25091B" w:rsidRPr="0025091B" w:rsidRDefault="0025091B" w:rsidP="0025091B">
            <w:pPr>
              <w:framePr w:w="4176" w:hSpace="2198" w:wrap="notBeside" w:vAnchor="text" w:hAnchor="text" w:xAlign="center" w:y="1"/>
              <w:widowControl w:val="0"/>
              <w:spacing w:line="140" w:lineRule="exact"/>
              <w:ind w:left="0" w:right="100"/>
              <w:jc w:val="right"/>
              <w:rPr>
                <w:rFonts w:ascii="Bookman Old Style" w:hAnsi="Bookman Old Style" w:cs="Arial"/>
                <w:b/>
                <w:bCs/>
                <w:sz w:val="16"/>
                <w:szCs w:val="16"/>
                <w:lang w:val="es-ES_tradnl" w:eastAsia="es-CO"/>
              </w:rPr>
            </w:pPr>
            <w:r w:rsidRPr="0025091B">
              <w:rPr>
                <w:rFonts w:ascii="Bookman Old Style" w:hAnsi="Bookman Old Style" w:cs="Arial"/>
                <w:color w:val="000000"/>
                <w:sz w:val="16"/>
                <w:szCs w:val="16"/>
                <w:lang w:val="es-ES_tradnl" w:eastAsia="es-ES_tradnl"/>
              </w:rPr>
              <w:t>770.500</w:t>
            </w:r>
          </w:p>
        </w:tc>
      </w:tr>
    </w:tbl>
    <w:p w:rsidR="0025091B" w:rsidRPr="0025091B" w:rsidRDefault="0025091B" w:rsidP="0025091B">
      <w:pPr>
        <w:framePr w:w="4176" w:hSpace="2198" w:wrap="notBeside" w:vAnchor="text" w:hAnchor="text" w:xAlign="center" w:y="1"/>
        <w:widowControl w:val="0"/>
        <w:tabs>
          <w:tab w:val="right" w:pos="2429"/>
          <w:tab w:val="right" w:pos="2736"/>
          <w:tab w:val="right" w:pos="3725"/>
          <w:tab w:val="right" w:pos="4032"/>
        </w:tabs>
        <w:spacing w:line="307" w:lineRule="exact"/>
        <w:ind w:left="0"/>
        <w:jc w:val="both"/>
        <w:rPr>
          <w:rFonts w:ascii="Bookman Old Style" w:hAnsi="Bookman Old Style" w:cs="Arial"/>
          <w:sz w:val="16"/>
          <w:szCs w:val="16"/>
          <w:lang w:val="es-ES_tradnl" w:eastAsia="es-CO"/>
        </w:rPr>
      </w:pPr>
      <w:r w:rsidRPr="0025091B">
        <w:rPr>
          <w:rFonts w:ascii="Bookman Old Style" w:hAnsi="Bookman Old Style" w:cs="Arial"/>
          <w:color w:val="000000"/>
          <w:sz w:val="16"/>
          <w:szCs w:val="16"/>
          <w:lang w:val="es-ES_tradnl" w:eastAsia="es-ES_tradnl"/>
        </w:rPr>
        <w:t>Total</w:t>
      </w:r>
      <w:r w:rsidRPr="0025091B">
        <w:rPr>
          <w:rFonts w:ascii="Bookman Old Style" w:hAnsi="Bookman Old Style" w:cs="Arial"/>
          <w:color w:val="000000"/>
          <w:sz w:val="16"/>
          <w:szCs w:val="16"/>
          <w:lang w:val="es-ES_tradnl" w:eastAsia="es-ES_tradnl"/>
        </w:rPr>
        <w:tab/>
        <w:t>182</w:t>
      </w:r>
      <w:r w:rsidRPr="0025091B">
        <w:rPr>
          <w:rFonts w:ascii="Bookman Old Style" w:hAnsi="Bookman Old Style" w:cs="Arial"/>
          <w:color w:val="000000"/>
          <w:sz w:val="16"/>
          <w:szCs w:val="16"/>
          <w:lang w:val="es-ES_tradnl" w:eastAsia="es-ES_tradnl"/>
        </w:rPr>
        <w:tab/>
        <w:t>907</w:t>
      </w:r>
      <w:r w:rsidRPr="0025091B">
        <w:rPr>
          <w:rFonts w:ascii="Bookman Old Style" w:hAnsi="Bookman Old Style" w:cs="Arial"/>
          <w:color w:val="000000"/>
          <w:sz w:val="16"/>
          <w:szCs w:val="16"/>
          <w:lang w:val="es-ES_tradnl" w:eastAsia="es-ES_tradnl"/>
        </w:rPr>
        <w:tab/>
        <w:t>7.359</w:t>
      </w:r>
      <w:r w:rsidRPr="0025091B">
        <w:rPr>
          <w:rFonts w:ascii="Bookman Old Style" w:hAnsi="Bookman Old Style" w:cs="Arial"/>
          <w:color w:val="000000"/>
          <w:sz w:val="16"/>
          <w:szCs w:val="16"/>
          <w:lang w:val="es-ES_tradnl" w:eastAsia="es-ES_tradnl"/>
        </w:rPr>
        <w:tab/>
        <w:t>234</w:t>
      </w:r>
    </w:p>
    <w:p w:rsidR="0025091B" w:rsidRPr="0025091B" w:rsidRDefault="0025091B" w:rsidP="0025091B">
      <w:pPr>
        <w:framePr w:w="4176" w:hSpace="2198" w:wrap="notBeside" w:vAnchor="text" w:hAnchor="text" w:xAlign="center" w:y="1"/>
        <w:widowControl w:val="0"/>
        <w:tabs>
          <w:tab w:val="right" w:pos="2112"/>
          <w:tab w:val="right" w:pos="2429"/>
          <w:tab w:val="right" w:pos="2736"/>
        </w:tabs>
        <w:spacing w:line="307" w:lineRule="exact"/>
        <w:ind w:left="0"/>
        <w:jc w:val="both"/>
        <w:rPr>
          <w:rFonts w:ascii="Bookman Old Style" w:hAnsi="Bookman Old Style" w:cs="Arial"/>
          <w:sz w:val="16"/>
          <w:szCs w:val="16"/>
          <w:lang w:val="es-ES_tradnl" w:eastAsia="es-CO"/>
        </w:rPr>
      </w:pPr>
      <w:proofErr w:type="spellStart"/>
      <w:r w:rsidRPr="0025091B">
        <w:rPr>
          <w:rFonts w:ascii="Bookman Old Style" w:hAnsi="Bookman Old Style" w:cs="Arial"/>
          <w:color w:val="000000"/>
          <w:sz w:val="16"/>
          <w:szCs w:val="16"/>
          <w:lang w:val="es-ES_tradnl" w:eastAsia="es-ES_tradnl"/>
        </w:rPr>
        <w:t>Cap.cili.Q</w:t>
      </w:r>
      <w:proofErr w:type="spellEnd"/>
      <w:r w:rsidRPr="0025091B">
        <w:rPr>
          <w:rFonts w:ascii="Bookman Old Style" w:hAnsi="Bookman Old Style" w:cs="Arial"/>
          <w:color w:val="000000"/>
          <w:sz w:val="16"/>
          <w:szCs w:val="16"/>
          <w:lang w:val="es-ES_tradnl" w:eastAsia="es-ES_tradnl"/>
        </w:rPr>
        <w:tab/>
        <w:t>20</w:t>
      </w:r>
      <w:r w:rsidRPr="0025091B">
        <w:rPr>
          <w:rFonts w:ascii="Bookman Old Style" w:hAnsi="Bookman Old Style" w:cs="Arial"/>
          <w:color w:val="000000"/>
          <w:sz w:val="16"/>
          <w:szCs w:val="16"/>
          <w:lang w:val="es-ES_tradnl" w:eastAsia="es-ES_tradnl"/>
        </w:rPr>
        <w:tab/>
        <w:t>046</w:t>
      </w:r>
      <w:r w:rsidRPr="0025091B">
        <w:rPr>
          <w:rFonts w:ascii="Bookman Old Style" w:hAnsi="Bookman Old Style" w:cs="Arial"/>
          <w:color w:val="000000"/>
          <w:sz w:val="16"/>
          <w:szCs w:val="16"/>
          <w:lang w:val="es-ES_tradnl" w:eastAsia="es-ES_tradnl"/>
        </w:rPr>
        <w:tab/>
        <w:t>553</w:t>
      </w:r>
    </w:p>
    <w:p w:rsidR="0025091B" w:rsidRPr="0025091B" w:rsidRDefault="0025091B" w:rsidP="0025091B">
      <w:pPr>
        <w:ind w:left="284" w:right="284"/>
        <w:jc w:val="center"/>
        <w:rPr>
          <w:rFonts w:ascii="Bookman Old Style" w:hAnsi="Bookman Old Style"/>
          <w:color w:val="000000"/>
          <w:sz w:val="16"/>
          <w:szCs w:val="16"/>
          <w:lang w:val="es-ES_tradnl" w:eastAsia="es-ES_tradnl"/>
        </w:rPr>
      </w:pPr>
    </w:p>
    <w:p w:rsidR="0025091B" w:rsidRDefault="0025091B" w:rsidP="0025091B">
      <w:pPr>
        <w:ind w:left="284" w:right="284"/>
        <w:jc w:val="both"/>
        <w:rPr>
          <w:rFonts w:ascii="Bookman Old Style" w:hAnsi="Bookman Old Style" w:cs="Arial"/>
          <w:i/>
          <w:sz w:val="22"/>
          <w:szCs w:val="22"/>
        </w:rPr>
      </w:pPr>
      <w:r w:rsidRPr="0025091B">
        <w:rPr>
          <w:color w:val="000000"/>
          <w:sz w:val="16"/>
          <w:szCs w:val="16"/>
          <w:lang w:val="es-ES_tradnl" w:eastAsia="es-ES_tradnl"/>
        </w:rPr>
        <w:t xml:space="preserve">• </w:t>
      </w:r>
      <w:r w:rsidRPr="0025091B">
        <w:rPr>
          <w:rFonts w:ascii="Bookman Old Style" w:hAnsi="Bookman Old Style" w:cs="Arial"/>
          <w:i/>
          <w:sz w:val="22"/>
          <w:szCs w:val="22"/>
        </w:rPr>
        <w:t>Cálculo de capacidad tanques estacionarios</w:t>
      </w:r>
    </w:p>
    <w:p w:rsidR="0025091B" w:rsidRPr="0025091B" w:rsidRDefault="0025091B" w:rsidP="0025091B">
      <w:pPr>
        <w:ind w:left="284" w:right="284"/>
        <w:jc w:val="both"/>
        <w:rPr>
          <w:rFonts w:ascii="Bookman Old Style" w:hAnsi="Bookman Old Style" w:cs="Arial"/>
          <w:i/>
          <w:sz w:val="22"/>
          <w:szCs w:val="22"/>
        </w:rPr>
      </w:pPr>
    </w:p>
    <w:p w:rsidR="0025091B" w:rsidRDefault="0025091B" w:rsidP="002A3EB4">
      <w:pPr>
        <w:ind w:left="284" w:right="284"/>
        <w:jc w:val="both"/>
        <w:rPr>
          <w:rFonts w:ascii="Bookman Old Style" w:hAnsi="Bookman Old Style" w:cs="Arial"/>
          <w:i/>
          <w:sz w:val="22"/>
          <w:szCs w:val="22"/>
        </w:rPr>
      </w:pPr>
      <w:r w:rsidRPr="0025091B">
        <w:rPr>
          <w:rFonts w:ascii="Bookman Old Style" w:hAnsi="Bookman Old Style" w:cs="Arial"/>
          <w:i/>
          <w:sz w:val="22"/>
          <w:szCs w:val="22"/>
        </w:rPr>
        <w:t xml:space="preserve">Adicionalmente, la CREG refiere 832 tanques estacionarios de los 1.665 que CHILCO efectivamente cargó en el SUI. La CREG revisó los informes el 10 de mayo de 2016 </w:t>
      </w:r>
      <w:r w:rsidRPr="0025091B">
        <w:rPr>
          <w:rFonts w:ascii="Bookman Old Style" w:hAnsi="Bookman Old Style" w:cs="Arial"/>
          <w:i/>
          <w:sz w:val="22"/>
          <w:szCs w:val="22"/>
        </w:rPr>
        <w:lastRenderedPageBreak/>
        <w:t>y no tuvo en cuenta la información completa; por lo cual debe modificarse la cifra considerada en la Resolución CREG 075 de 201</w:t>
      </w:r>
      <w:r>
        <w:rPr>
          <w:rFonts w:ascii="Bookman Old Style" w:hAnsi="Bookman Old Style" w:cs="Arial"/>
          <w:i/>
          <w:sz w:val="22"/>
          <w:szCs w:val="22"/>
        </w:rPr>
        <w:t xml:space="preserve">6. Como se indicó en el numeral </w:t>
      </w:r>
      <w:r w:rsidRPr="0025091B">
        <w:rPr>
          <w:rFonts w:ascii="Bookman Old Style" w:hAnsi="Bookman Old Style" w:cs="Arial"/>
          <w:i/>
          <w:sz w:val="22"/>
          <w:szCs w:val="22"/>
        </w:rPr>
        <w:t>1.4.</w:t>
      </w:r>
    </w:p>
    <w:p w:rsidR="0025091B" w:rsidRDefault="0025091B" w:rsidP="0025091B">
      <w:pPr>
        <w:ind w:left="284" w:right="284"/>
        <w:jc w:val="both"/>
        <w:rPr>
          <w:rFonts w:ascii="Bookman Old Style" w:hAnsi="Bookman Old Style" w:cs="Arial"/>
          <w:i/>
          <w:sz w:val="22"/>
          <w:szCs w:val="22"/>
        </w:rPr>
      </w:pPr>
      <w:r w:rsidRPr="0025091B">
        <w:rPr>
          <w:rFonts w:ascii="Bookman Old Style" w:hAnsi="Bookman Old Style" w:cs="Arial"/>
          <w:i/>
          <w:sz w:val="22"/>
          <w:szCs w:val="22"/>
        </w:rPr>
        <w:t>A continuación presentamos el cálculo de capacidad de tanques contemplando la información completa del SUI:</w:t>
      </w:r>
    </w:p>
    <w:p w:rsidR="0025091B" w:rsidRPr="0025091B" w:rsidRDefault="0025091B" w:rsidP="0025091B">
      <w:pPr>
        <w:ind w:left="284" w:right="284"/>
        <w:jc w:val="both"/>
        <w:rPr>
          <w:rFonts w:ascii="Bookman Old Style" w:hAnsi="Bookman Old Style" w:cs="Arial"/>
          <w:i/>
          <w:sz w:val="16"/>
          <w:szCs w:val="16"/>
        </w:rPr>
      </w:pPr>
    </w:p>
    <w:p w:rsidR="0025091B" w:rsidRPr="0025091B" w:rsidRDefault="0025091B" w:rsidP="0025091B">
      <w:pPr>
        <w:pStyle w:val="Style34"/>
        <w:shd w:val="clear" w:color="auto" w:fill="auto"/>
        <w:spacing w:line="240" w:lineRule="auto"/>
        <w:jc w:val="center"/>
        <w:rPr>
          <w:rFonts w:ascii="Bookman Old Style" w:hAnsi="Bookman Old Style" w:cs="Arial"/>
          <w:bCs/>
          <w:color w:val="000000"/>
          <w:sz w:val="16"/>
          <w:szCs w:val="16"/>
          <w:u w:val="single"/>
          <w:shd w:val="clear" w:color="auto" w:fill="FFFFFF"/>
          <w:lang w:eastAsia="es-ES_tradnl"/>
        </w:rPr>
      </w:pPr>
      <w:r w:rsidRPr="0025091B">
        <w:rPr>
          <w:rFonts w:ascii="Bookman Old Style" w:hAnsi="Bookman Old Style" w:cs="Arial"/>
          <w:i/>
          <w:sz w:val="16"/>
          <w:szCs w:val="16"/>
        </w:rPr>
        <w:t xml:space="preserve"> </w:t>
      </w:r>
      <w:r w:rsidRPr="0025091B">
        <w:rPr>
          <w:rFonts w:ascii="Bookman Old Style" w:hAnsi="Bookman Old Style" w:cs="Arial"/>
          <w:bCs/>
          <w:color w:val="000000"/>
          <w:sz w:val="16"/>
          <w:szCs w:val="16"/>
          <w:shd w:val="clear" w:color="auto" w:fill="FFFFFF"/>
          <w:lang w:eastAsia="es-ES_tradnl"/>
        </w:rPr>
        <w:t xml:space="preserve">Tabla No 4. Cálculo de Cap. TE </w:t>
      </w:r>
      <w:r w:rsidRPr="0025091B">
        <w:rPr>
          <w:rFonts w:ascii="Bookman Old Style" w:hAnsi="Bookman Old Style" w:cs="Arial"/>
          <w:bCs/>
          <w:color w:val="000000"/>
          <w:sz w:val="16"/>
          <w:szCs w:val="16"/>
          <w:u w:val="single"/>
          <w:shd w:val="clear" w:color="auto" w:fill="FFFFFF"/>
          <w:lang w:eastAsia="es-ES_tradnl"/>
        </w:rPr>
        <w:t>Tanques Estacionarios</w:t>
      </w:r>
    </w:p>
    <w:p w:rsidR="0025091B" w:rsidRPr="0025091B" w:rsidRDefault="0025091B" w:rsidP="0025091B">
      <w:pPr>
        <w:pStyle w:val="Style34"/>
        <w:shd w:val="clear" w:color="auto" w:fill="auto"/>
        <w:spacing w:line="240" w:lineRule="auto"/>
        <w:jc w:val="center"/>
        <w:rPr>
          <w:rFonts w:ascii="Bookman Old Style" w:hAnsi="Bookman Old Style" w:cs="Arial"/>
          <w:bCs/>
          <w:color w:val="000000"/>
          <w:sz w:val="16"/>
          <w:szCs w:val="16"/>
          <w:u w:val="single"/>
          <w:shd w:val="clear" w:color="auto" w:fill="FFFFFF"/>
          <w:lang w:eastAsia="es-ES_tradnl"/>
        </w:rPr>
      </w:pPr>
    </w:p>
    <w:p w:rsidR="0025091B" w:rsidRPr="0025091B" w:rsidRDefault="0025091B" w:rsidP="0025091B">
      <w:pPr>
        <w:pStyle w:val="Style34"/>
        <w:shd w:val="clear" w:color="auto" w:fill="auto"/>
        <w:spacing w:line="240" w:lineRule="auto"/>
        <w:jc w:val="center"/>
        <w:rPr>
          <w:rFonts w:ascii="Bookman Old Style" w:hAnsi="Bookman Old Style" w:cs="Arial"/>
          <w:bCs/>
          <w:sz w:val="16"/>
          <w:szCs w:val="16"/>
        </w:rPr>
      </w:pPr>
      <w:proofErr w:type="gramStart"/>
      <w:r w:rsidRPr="0025091B">
        <w:rPr>
          <w:rFonts w:ascii="Bookman Old Style" w:hAnsi="Bookman Old Style" w:cs="Arial"/>
          <w:bCs/>
          <w:sz w:val="16"/>
          <w:szCs w:val="16"/>
        </w:rPr>
        <w:t>cv</w:t>
      </w:r>
      <w:proofErr w:type="gramEnd"/>
      <w:r w:rsidRPr="0025091B">
        <w:rPr>
          <w:rFonts w:ascii="Bookman Old Style" w:hAnsi="Bookman Old Style" w:cs="Arial"/>
          <w:bCs/>
          <w:sz w:val="16"/>
          <w:szCs w:val="16"/>
        </w:rPr>
        <w:tab/>
      </w:r>
      <w:proofErr w:type="spellStart"/>
      <w:r w:rsidRPr="0025091B">
        <w:rPr>
          <w:rFonts w:ascii="Bookman Old Style" w:hAnsi="Bookman Old Style" w:cs="Arial"/>
          <w:bCs/>
          <w:sz w:val="16"/>
          <w:szCs w:val="16"/>
        </w:rPr>
        <w:t>NTEcv</w:t>
      </w:r>
      <w:proofErr w:type="spellEnd"/>
      <w:r w:rsidRPr="0025091B">
        <w:rPr>
          <w:rFonts w:ascii="Bookman Old Style" w:hAnsi="Bookman Old Style" w:cs="Arial"/>
          <w:bCs/>
          <w:sz w:val="16"/>
          <w:szCs w:val="16"/>
        </w:rPr>
        <w:tab/>
        <w:t>CV'NTECV</w:t>
      </w:r>
    </w:p>
    <w:p w:rsidR="0025091B" w:rsidRPr="0025091B" w:rsidRDefault="0025091B" w:rsidP="0025091B">
      <w:pPr>
        <w:pStyle w:val="Style34"/>
        <w:shd w:val="clear" w:color="auto" w:fill="auto"/>
        <w:spacing w:line="240" w:lineRule="auto"/>
        <w:jc w:val="center"/>
        <w:rPr>
          <w:rFonts w:ascii="Bookman Old Style" w:hAnsi="Bookman Old Style" w:cs="Arial"/>
          <w:bCs/>
          <w:sz w:val="16"/>
          <w:szCs w:val="16"/>
        </w:rPr>
      </w:pPr>
    </w:p>
    <w:p w:rsidR="0025091B" w:rsidRPr="0025091B" w:rsidRDefault="0025091B" w:rsidP="0025091B">
      <w:pPr>
        <w:pStyle w:val="Style34"/>
        <w:shd w:val="clear" w:color="auto" w:fill="auto"/>
        <w:spacing w:line="240" w:lineRule="auto"/>
        <w:jc w:val="center"/>
        <w:rPr>
          <w:rFonts w:ascii="Bookman Old Style" w:hAnsi="Bookman Old Style" w:cs="Arial"/>
          <w:bCs/>
          <w:sz w:val="16"/>
          <w:szCs w:val="16"/>
        </w:rPr>
      </w:pPr>
      <w:r w:rsidRPr="0025091B">
        <w:rPr>
          <w:rFonts w:ascii="Bookman Old Style" w:hAnsi="Bookman Old Style" w:cs="Arial"/>
          <w:bCs/>
          <w:sz w:val="16"/>
          <w:szCs w:val="16"/>
        </w:rPr>
        <w:t>(…)</w:t>
      </w:r>
    </w:p>
    <w:p w:rsidR="0025091B" w:rsidRDefault="0025091B" w:rsidP="0025091B">
      <w:pPr>
        <w:pStyle w:val="Style34"/>
        <w:shd w:val="clear" w:color="auto" w:fill="auto"/>
        <w:spacing w:line="240" w:lineRule="auto"/>
        <w:jc w:val="center"/>
        <w:rPr>
          <w:rFonts w:ascii="Bookman Old Style" w:hAnsi="Bookman Old Style" w:cs="Arial"/>
          <w:bCs/>
          <w:sz w:val="16"/>
          <w:szCs w:val="16"/>
        </w:rPr>
      </w:pPr>
      <w:r w:rsidRPr="0025091B">
        <w:rPr>
          <w:rFonts w:ascii="Bookman Old Style" w:hAnsi="Bookman Old Style" w:cs="Arial"/>
          <w:bCs/>
          <w:sz w:val="16"/>
          <w:szCs w:val="16"/>
        </w:rPr>
        <w:t>Total</w:t>
      </w:r>
      <w:r w:rsidRPr="0025091B">
        <w:rPr>
          <w:rFonts w:ascii="Bookman Old Style" w:hAnsi="Bookman Old Style" w:cs="Arial"/>
          <w:bCs/>
          <w:sz w:val="16"/>
          <w:szCs w:val="16"/>
        </w:rPr>
        <w:tab/>
        <w:t>1.665</w:t>
      </w:r>
      <w:r w:rsidRPr="0025091B">
        <w:rPr>
          <w:rFonts w:ascii="Bookman Old Style" w:hAnsi="Bookman Old Style" w:cs="Arial"/>
          <w:bCs/>
          <w:sz w:val="16"/>
          <w:szCs w:val="16"/>
        </w:rPr>
        <w:tab/>
        <w:t>733.542</w:t>
      </w:r>
    </w:p>
    <w:p w:rsidR="0025091B" w:rsidRDefault="0025091B" w:rsidP="0025091B">
      <w:pPr>
        <w:pStyle w:val="Style34"/>
        <w:shd w:val="clear" w:color="auto" w:fill="auto"/>
        <w:spacing w:line="240" w:lineRule="auto"/>
        <w:jc w:val="center"/>
        <w:rPr>
          <w:rFonts w:ascii="Bookman Old Style" w:hAnsi="Bookman Old Style" w:cs="Arial"/>
          <w:bCs/>
          <w:sz w:val="16"/>
          <w:szCs w:val="16"/>
        </w:rPr>
      </w:pPr>
    </w:p>
    <w:p w:rsidR="0025091B" w:rsidRDefault="0025091B" w:rsidP="0025091B">
      <w:pPr>
        <w:pStyle w:val="Style34"/>
        <w:shd w:val="clear" w:color="auto" w:fill="auto"/>
        <w:spacing w:line="240" w:lineRule="auto"/>
        <w:jc w:val="center"/>
        <w:rPr>
          <w:rFonts w:ascii="Bookman Old Style" w:hAnsi="Bookman Old Style" w:cs="Arial"/>
          <w:bCs/>
          <w:sz w:val="16"/>
          <w:szCs w:val="16"/>
        </w:rPr>
      </w:pPr>
      <w:proofErr w:type="spellStart"/>
      <w:r w:rsidRPr="0025091B">
        <w:rPr>
          <w:rFonts w:ascii="Bookman Old Style" w:hAnsi="Bookman Old Style" w:cs="Arial"/>
          <w:bCs/>
          <w:sz w:val="16"/>
          <w:szCs w:val="16"/>
        </w:rPr>
        <w:t>Cap.TEij</w:t>
      </w:r>
      <w:proofErr w:type="spellEnd"/>
      <w:r w:rsidRPr="0025091B">
        <w:rPr>
          <w:rFonts w:ascii="Bookman Old Style" w:hAnsi="Bookman Old Style" w:cs="Arial"/>
          <w:bCs/>
          <w:sz w:val="16"/>
          <w:szCs w:val="16"/>
        </w:rPr>
        <w:t xml:space="preserve"> 9.242.629</w:t>
      </w:r>
    </w:p>
    <w:p w:rsidR="0025091B" w:rsidRDefault="0025091B" w:rsidP="0025091B">
      <w:pPr>
        <w:pStyle w:val="Style34"/>
        <w:shd w:val="clear" w:color="auto" w:fill="auto"/>
        <w:spacing w:line="240" w:lineRule="auto"/>
        <w:rPr>
          <w:rFonts w:ascii="Bookman Old Style" w:hAnsi="Bookman Old Style" w:cs="Arial"/>
          <w:bCs/>
          <w:sz w:val="16"/>
          <w:szCs w:val="16"/>
        </w:rPr>
      </w:pPr>
    </w:p>
    <w:p w:rsidR="0025091B" w:rsidRPr="0025091B" w:rsidRDefault="0025091B" w:rsidP="0025091B">
      <w:pPr>
        <w:ind w:left="284" w:right="284"/>
        <w:jc w:val="both"/>
        <w:rPr>
          <w:rFonts w:ascii="Bookman Old Style" w:hAnsi="Bookman Old Style" w:cs="Arial"/>
          <w:i/>
          <w:sz w:val="22"/>
          <w:szCs w:val="22"/>
        </w:rPr>
      </w:pPr>
      <w:r w:rsidRPr="0025091B">
        <w:rPr>
          <w:rFonts w:ascii="Bookman Old Style" w:hAnsi="Bookman Old Style" w:cs="Arial"/>
          <w:i/>
          <w:sz w:val="22"/>
          <w:szCs w:val="22"/>
        </w:rPr>
        <w:t>• Relación entre ventas e inversión CHILCO</w:t>
      </w:r>
    </w:p>
    <w:p w:rsidR="0025091B" w:rsidRDefault="0025091B" w:rsidP="0025091B">
      <w:pPr>
        <w:ind w:left="284" w:right="284"/>
        <w:jc w:val="both"/>
        <w:rPr>
          <w:rFonts w:ascii="Bookman Old Style" w:hAnsi="Bookman Old Style" w:cs="Arial"/>
          <w:i/>
          <w:sz w:val="22"/>
          <w:szCs w:val="22"/>
        </w:rPr>
      </w:pPr>
    </w:p>
    <w:p w:rsidR="0025091B" w:rsidRPr="0025091B" w:rsidRDefault="0025091B" w:rsidP="0025091B">
      <w:pPr>
        <w:ind w:left="284" w:right="284"/>
        <w:jc w:val="both"/>
        <w:rPr>
          <w:rFonts w:ascii="Bookman Old Style" w:hAnsi="Bookman Old Style" w:cs="Arial"/>
          <w:i/>
          <w:sz w:val="22"/>
          <w:szCs w:val="22"/>
        </w:rPr>
      </w:pPr>
      <w:r w:rsidRPr="0025091B">
        <w:rPr>
          <w:rFonts w:ascii="Bookman Old Style" w:hAnsi="Bookman Old Style" w:cs="Arial"/>
          <w:i/>
          <w:sz w:val="22"/>
          <w:szCs w:val="22"/>
        </w:rPr>
        <w:t>Finalmente, el factor de Equivalencia de 0,3 que se dispone a aplicar en la resolución 075 (2016) debe modificarse para el caso de CHILCO; teniendo en cuenta que la capacidad de compra es una variable que también depende de:</w:t>
      </w:r>
    </w:p>
    <w:p w:rsidR="0025091B" w:rsidRDefault="0025091B" w:rsidP="0025091B">
      <w:pPr>
        <w:ind w:left="284" w:right="284"/>
        <w:jc w:val="both"/>
        <w:rPr>
          <w:rFonts w:ascii="Bookman Old Style" w:hAnsi="Bookman Old Style" w:cs="Arial"/>
          <w:i/>
          <w:sz w:val="22"/>
          <w:szCs w:val="22"/>
        </w:rPr>
      </w:pPr>
    </w:p>
    <w:p w:rsidR="0025091B" w:rsidRDefault="0025091B" w:rsidP="0025091B">
      <w:pPr>
        <w:ind w:left="284" w:right="284"/>
        <w:jc w:val="both"/>
        <w:rPr>
          <w:rFonts w:ascii="Bookman Old Style" w:hAnsi="Bookman Old Style" w:cs="Arial"/>
          <w:i/>
          <w:sz w:val="22"/>
          <w:szCs w:val="22"/>
        </w:rPr>
      </w:pPr>
      <w:r w:rsidRPr="0025091B">
        <w:rPr>
          <w:rFonts w:ascii="Bookman Old Style" w:hAnsi="Bookman Old Style" w:cs="Arial"/>
          <w:i/>
          <w:sz w:val="22"/>
          <w:szCs w:val="22"/>
        </w:rPr>
        <w:t>La capacidad logística del distribuidor: Un distribuidor puede tener mayor eficiencia en su</w:t>
      </w:r>
      <w:r w:rsidRPr="0025091B">
        <w:t xml:space="preserve"> </w:t>
      </w:r>
      <w:r w:rsidRPr="0025091B">
        <w:rPr>
          <w:rFonts w:ascii="Bookman Old Style" w:hAnsi="Bookman Old Style" w:cs="Arial"/>
          <w:i/>
          <w:sz w:val="22"/>
          <w:szCs w:val="22"/>
        </w:rPr>
        <w:t xml:space="preserve">rotación al poseer un mayor número de plantas de envasado, carros repartidores y canales de distribución, lo que implica que requiere menor capacidad de envasado. Para el caso de </w:t>
      </w:r>
      <w:r>
        <w:rPr>
          <w:rFonts w:ascii="Bookman Old Style" w:hAnsi="Bookman Old Style" w:cs="Arial"/>
          <w:i/>
          <w:sz w:val="22"/>
          <w:szCs w:val="22"/>
        </w:rPr>
        <w:t>CHILCO</w:t>
      </w:r>
      <w:r w:rsidRPr="0025091B">
        <w:rPr>
          <w:rFonts w:ascii="Bookman Old Style" w:hAnsi="Bookman Old Style" w:cs="Arial"/>
          <w:i/>
          <w:sz w:val="22"/>
          <w:szCs w:val="22"/>
        </w:rPr>
        <w:t xml:space="preserve"> la capacidad logística y de almacenamiento</w:t>
      </w:r>
      <w:r>
        <w:rPr>
          <w:rFonts w:ascii="Bookman Old Style" w:hAnsi="Bookman Old Style" w:cs="Arial"/>
          <w:i/>
          <w:sz w:val="22"/>
          <w:szCs w:val="22"/>
        </w:rPr>
        <w:t xml:space="preserve"> (…)</w:t>
      </w:r>
    </w:p>
    <w:p w:rsidR="0025091B" w:rsidRDefault="0025091B" w:rsidP="0025091B">
      <w:pPr>
        <w:ind w:left="284" w:right="284"/>
        <w:jc w:val="both"/>
        <w:rPr>
          <w:rFonts w:ascii="Bookman Old Style" w:hAnsi="Bookman Old Style" w:cs="Arial"/>
          <w:i/>
          <w:sz w:val="22"/>
          <w:szCs w:val="22"/>
        </w:rPr>
      </w:pPr>
    </w:p>
    <w:p w:rsidR="0025091B" w:rsidRPr="0025091B" w:rsidRDefault="0025091B" w:rsidP="0025091B">
      <w:pPr>
        <w:ind w:left="284" w:right="284"/>
        <w:jc w:val="both"/>
        <w:rPr>
          <w:rFonts w:ascii="Bookman Old Style" w:hAnsi="Bookman Old Style" w:cs="Arial"/>
          <w:i/>
          <w:sz w:val="22"/>
          <w:szCs w:val="22"/>
          <w:u w:val="single"/>
        </w:rPr>
      </w:pPr>
      <w:r w:rsidRPr="0025091B">
        <w:rPr>
          <w:rFonts w:ascii="Bookman Old Style" w:hAnsi="Bookman Old Style" w:cs="Arial"/>
          <w:i/>
          <w:sz w:val="22"/>
          <w:szCs w:val="22"/>
          <w:u w:val="single"/>
        </w:rPr>
        <w:t>Rotación y Participación de ventas por canal:</w:t>
      </w:r>
    </w:p>
    <w:p w:rsidR="0025091B" w:rsidRDefault="0025091B" w:rsidP="0025091B">
      <w:pPr>
        <w:ind w:left="284" w:right="284"/>
        <w:jc w:val="both"/>
        <w:rPr>
          <w:rFonts w:ascii="Bookman Old Style" w:hAnsi="Bookman Old Style" w:cs="Arial"/>
          <w:i/>
          <w:sz w:val="22"/>
          <w:szCs w:val="22"/>
        </w:rPr>
      </w:pPr>
    </w:p>
    <w:p w:rsidR="0025091B" w:rsidRDefault="0025091B" w:rsidP="0025091B">
      <w:pPr>
        <w:ind w:left="284" w:right="284"/>
        <w:jc w:val="both"/>
        <w:rPr>
          <w:rFonts w:ascii="Bookman Old Style" w:hAnsi="Bookman Old Style" w:cs="Arial"/>
          <w:i/>
          <w:sz w:val="22"/>
          <w:szCs w:val="22"/>
        </w:rPr>
      </w:pPr>
      <w:r w:rsidRPr="0025091B">
        <w:rPr>
          <w:rFonts w:ascii="Bookman Old Style" w:hAnsi="Bookman Old Style" w:cs="Arial"/>
          <w:i/>
          <w:sz w:val="22"/>
          <w:szCs w:val="22"/>
        </w:rPr>
        <w:t xml:space="preserve">CHILCO presenta otra gran diferencia respecto a la generalidad del mercado siendo la compañía más </w:t>
      </w:r>
      <w:proofErr w:type="spellStart"/>
      <w:r w:rsidRPr="0025091B">
        <w:rPr>
          <w:rFonts w:ascii="Bookman Old Style" w:hAnsi="Bookman Old Style" w:cs="Arial"/>
          <w:i/>
          <w:sz w:val="22"/>
          <w:szCs w:val="22"/>
        </w:rPr>
        <w:t>granelizada</w:t>
      </w:r>
      <w:proofErr w:type="spellEnd"/>
      <w:r w:rsidR="002A3EB4">
        <w:rPr>
          <w:rFonts w:ascii="Bookman Old Style" w:hAnsi="Bookman Old Style" w:cs="Arial"/>
          <w:i/>
          <w:sz w:val="22"/>
          <w:szCs w:val="22"/>
        </w:rPr>
        <w:t xml:space="preserve"> (sic)</w:t>
      </w:r>
      <w:r w:rsidRPr="0025091B">
        <w:rPr>
          <w:rFonts w:ascii="Bookman Old Style" w:hAnsi="Bookman Old Style" w:cs="Arial"/>
          <w:i/>
          <w:sz w:val="22"/>
          <w:szCs w:val="22"/>
        </w:rPr>
        <w:t xml:space="preserve"> de todas; mientras el mercado vende por granel el 22 %, CHILCO el 29%; la principal característica de este canal es que el volumen de ventas por cliente es mayor, generando eficiencias logísticas y de almacenamiento; además CHILCO tiene un </w:t>
      </w:r>
      <w:proofErr w:type="spellStart"/>
      <w:r w:rsidRPr="0025091B">
        <w:rPr>
          <w:rFonts w:ascii="Bookman Old Style" w:hAnsi="Bookman Old Style" w:cs="Arial"/>
          <w:i/>
          <w:sz w:val="22"/>
          <w:szCs w:val="22"/>
        </w:rPr>
        <w:t>pareto</w:t>
      </w:r>
      <w:proofErr w:type="spellEnd"/>
      <w:r w:rsidRPr="0025091B">
        <w:rPr>
          <w:rFonts w:ascii="Bookman Old Style" w:hAnsi="Bookman Old Style" w:cs="Arial"/>
          <w:i/>
          <w:sz w:val="22"/>
          <w:szCs w:val="22"/>
        </w:rPr>
        <w:t xml:space="preserve"> en el que el 80% de la venta la realiza en el 16% de los clientes.</w:t>
      </w:r>
      <w:r>
        <w:rPr>
          <w:rFonts w:ascii="Bookman Old Style" w:hAnsi="Bookman Old Style" w:cs="Arial"/>
          <w:i/>
          <w:sz w:val="22"/>
          <w:szCs w:val="22"/>
        </w:rPr>
        <w:t xml:space="preserve"> (…)</w:t>
      </w:r>
    </w:p>
    <w:p w:rsidR="0025091B" w:rsidRDefault="0025091B" w:rsidP="0025091B">
      <w:pPr>
        <w:ind w:left="284" w:right="284"/>
        <w:jc w:val="both"/>
        <w:rPr>
          <w:rFonts w:ascii="Bookman Old Style" w:hAnsi="Bookman Old Style" w:cs="Arial"/>
          <w:i/>
          <w:sz w:val="22"/>
          <w:szCs w:val="22"/>
        </w:rPr>
      </w:pPr>
    </w:p>
    <w:p w:rsidR="0025091B" w:rsidRDefault="0025091B" w:rsidP="0025091B">
      <w:pPr>
        <w:numPr>
          <w:ilvl w:val="0"/>
          <w:numId w:val="45"/>
        </w:numPr>
        <w:ind w:right="284"/>
        <w:jc w:val="both"/>
        <w:rPr>
          <w:rFonts w:ascii="Bookman Old Style" w:hAnsi="Bookman Old Style" w:cs="Arial"/>
          <w:i/>
          <w:sz w:val="22"/>
          <w:szCs w:val="22"/>
        </w:rPr>
      </w:pPr>
      <w:r w:rsidRPr="0025091B">
        <w:rPr>
          <w:rFonts w:ascii="Bookman Old Style" w:hAnsi="Bookman Old Style" w:cs="Arial"/>
          <w:i/>
          <w:sz w:val="22"/>
          <w:szCs w:val="22"/>
        </w:rPr>
        <w:t>Capacidad de Compra</w:t>
      </w:r>
    </w:p>
    <w:p w:rsidR="0025091B" w:rsidRPr="0025091B" w:rsidRDefault="0025091B" w:rsidP="0025091B">
      <w:pPr>
        <w:ind w:left="284" w:right="284"/>
        <w:jc w:val="both"/>
        <w:rPr>
          <w:rFonts w:ascii="Bookman Old Style" w:hAnsi="Bookman Old Style" w:cs="Arial"/>
          <w:i/>
          <w:sz w:val="22"/>
          <w:szCs w:val="22"/>
        </w:rPr>
      </w:pPr>
    </w:p>
    <w:p w:rsidR="0025091B" w:rsidRPr="0025091B" w:rsidRDefault="0025091B" w:rsidP="0025091B">
      <w:pPr>
        <w:ind w:left="284" w:right="284"/>
        <w:jc w:val="both"/>
        <w:rPr>
          <w:rFonts w:ascii="Bookman Old Style" w:hAnsi="Bookman Old Style" w:cs="Arial"/>
          <w:i/>
          <w:sz w:val="22"/>
          <w:szCs w:val="22"/>
        </w:rPr>
      </w:pPr>
      <w:r w:rsidRPr="0025091B">
        <w:rPr>
          <w:rFonts w:ascii="Bookman Old Style" w:hAnsi="Bookman Old Style" w:cs="Arial"/>
          <w:i/>
          <w:sz w:val="22"/>
          <w:szCs w:val="22"/>
        </w:rPr>
        <w:t>Dado lo anterior solicitamos a la CREG que para el caso de CHILCO se tengan en cuenta las siguientes consideraciones para recalcular la capacidad de compra:</w:t>
      </w:r>
    </w:p>
    <w:p w:rsidR="0025091B" w:rsidRDefault="0025091B" w:rsidP="0025091B">
      <w:pPr>
        <w:ind w:left="284" w:right="284"/>
        <w:jc w:val="both"/>
        <w:rPr>
          <w:rFonts w:ascii="Bookman Old Style" w:hAnsi="Bookman Old Style" w:cs="Arial"/>
          <w:i/>
          <w:sz w:val="22"/>
          <w:szCs w:val="22"/>
        </w:rPr>
      </w:pPr>
    </w:p>
    <w:p w:rsidR="0025091B" w:rsidRDefault="0025091B" w:rsidP="0025091B">
      <w:pPr>
        <w:ind w:left="284" w:right="284"/>
        <w:jc w:val="both"/>
        <w:rPr>
          <w:rFonts w:ascii="Bookman Old Style" w:hAnsi="Bookman Old Style" w:cs="Arial"/>
          <w:i/>
          <w:sz w:val="22"/>
          <w:szCs w:val="22"/>
        </w:rPr>
      </w:pPr>
      <w:r w:rsidRPr="0025091B">
        <w:rPr>
          <w:rFonts w:ascii="Bookman Old Style" w:hAnsi="Bookman Old Style" w:cs="Arial"/>
          <w:i/>
          <w:sz w:val="22"/>
          <w:szCs w:val="22"/>
        </w:rPr>
        <w:t>Consideración 1: Tomar para el cálculo de capacidad de compra la información de las tablas 3 y 4, conforme al ajust</w:t>
      </w:r>
      <w:r w:rsidR="00494422">
        <w:rPr>
          <w:rFonts w:ascii="Bookman Old Style" w:hAnsi="Bookman Old Style" w:cs="Arial"/>
          <w:i/>
          <w:sz w:val="22"/>
          <w:szCs w:val="22"/>
        </w:rPr>
        <w:t>e de información tomada del SUI (…)</w:t>
      </w:r>
    </w:p>
    <w:p w:rsidR="00494422" w:rsidRDefault="00494422" w:rsidP="0025091B">
      <w:pPr>
        <w:ind w:left="284" w:right="284"/>
        <w:jc w:val="both"/>
        <w:rPr>
          <w:rFonts w:ascii="Bookman Old Style" w:hAnsi="Bookman Old Style" w:cs="Arial"/>
          <w:i/>
          <w:sz w:val="22"/>
          <w:szCs w:val="22"/>
        </w:rPr>
      </w:pPr>
    </w:p>
    <w:p w:rsidR="00494422" w:rsidRDefault="00494422" w:rsidP="0025091B">
      <w:pPr>
        <w:ind w:left="284" w:right="284"/>
        <w:jc w:val="both"/>
        <w:rPr>
          <w:rFonts w:ascii="Bookman Old Style" w:hAnsi="Bookman Old Style" w:cs="Arial"/>
          <w:i/>
          <w:sz w:val="22"/>
          <w:szCs w:val="22"/>
        </w:rPr>
      </w:pPr>
      <w:r w:rsidRPr="00494422">
        <w:rPr>
          <w:rFonts w:ascii="Bookman Old Style" w:hAnsi="Bookman Old Style" w:cs="Arial"/>
          <w:i/>
          <w:sz w:val="22"/>
          <w:szCs w:val="22"/>
        </w:rPr>
        <w:t>Consideración 2: Basar el cálculo de capacidad de compra en el factor de equivalencia establecido en el cuadro 4 del documento soporte CREG 030 (2016), Pág. 136 y 137, correspondiente al coeficiente 61= 0,427, donde se relacionan ventas totales y capacidad total de envasado, en cilindros y tanques estacionarios. Lo anterior conforme a la eficiencia logística, rotación y participación del mercado de CHILCO.</w:t>
      </w:r>
      <w:r>
        <w:rPr>
          <w:rFonts w:ascii="Bookman Old Style" w:hAnsi="Bookman Old Style" w:cs="Arial"/>
          <w:i/>
          <w:sz w:val="22"/>
          <w:szCs w:val="22"/>
        </w:rPr>
        <w:t xml:space="preserve"> (…)</w:t>
      </w:r>
    </w:p>
    <w:p w:rsidR="00494422" w:rsidRDefault="00494422" w:rsidP="0025091B">
      <w:pPr>
        <w:ind w:left="284" w:right="284"/>
        <w:jc w:val="both"/>
        <w:rPr>
          <w:rFonts w:ascii="Bookman Old Style" w:hAnsi="Bookman Old Style" w:cs="Arial"/>
          <w:i/>
          <w:sz w:val="22"/>
          <w:szCs w:val="22"/>
        </w:rPr>
      </w:pPr>
    </w:p>
    <w:p w:rsidR="00494422" w:rsidRDefault="00494422" w:rsidP="00494422">
      <w:pPr>
        <w:ind w:left="284" w:right="284"/>
        <w:jc w:val="both"/>
        <w:rPr>
          <w:rFonts w:ascii="Bookman Old Style" w:hAnsi="Bookman Old Style" w:cs="Arial"/>
          <w:i/>
          <w:sz w:val="22"/>
          <w:szCs w:val="22"/>
        </w:rPr>
      </w:pPr>
      <w:r w:rsidRPr="00494422">
        <w:rPr>
          <w:rFonts w:ascii="Bookman Old Style" w:hAnsi="Bookman Old Style" w:cs="Arial"/>
          <w:i/>
          <w:sz w:val="22"/>
          <w:szCs w:val="22"/>
        </w:rPr>
        <w:t>II.</w:t>
      </w:r>
      <w:r w:rsidRPr="00494422">
        <w:rPr>
          <w:rFonts w:ascii="Bookman Old Style" w:hAnsi="Bookman Old Style" w:cs="Arial"/>
          <w:i/>
          <w:sz w:val="22"/>
          <w:szCs w:val="22"/>
        </w:rPr>
        <w:tab/>
        <w:t>FUNDAMENTOS DE LA REVOCATORIA DEL NUMERAL 4 DE LA CIRCULAR CREG 40 DE 2016</w:t>
      </w:r>
    </w:p>
    <w:p w:rsidR="00494422" w:rsidRPr="00494422" w:rsidRDefault="00494422" w:rsidP="00494422">
      <w:pPr>
        <w:ind w:left="284" w:right="284"/>
        <w:jc w:val="both"/>
        <w:rPr>
          <w:rFonts w:ascii="Bookman Old Style" w:hAnsi="Bookman Old Style" w:cs="Arial"/>
          <w:i/>
          <w:sz w:val="22"/>
          <w:szCs w:val="22"/>
        </w:rPr>
      </w:pPr>
    </w:p>
    <w:p w:rsidR="00494422" w:rsidRPr="00494422" w:rsidRDefault="00494422" w:rsidP="00494422">
      <w:pPr>
        <w:ind w:left="284" w:right="284"/>
        <w:jc w:val="both"/>
        <w:rPr>
          <w:rFonts w:ascii="Bookman Old Style" w:hAnsi="Bookman Old Style" w:cs="Arial"/>
          <w:i/>
          <w:sz w:val="22"/>
          <w:szCs w:val="22"/>
        </w:rPr>
      </w:pPr>
      <w:r w:rsidRPr="00494422">
        <w:rPr>
          <w:rFonts w:ascii="Bookman Old Style" w:hAnsi="Bookman Old Style" w:cs="Arial"/>
          <w:i/>
          <w:sz w:val="22"/>
          <w:szCs w:val="22"/>
        </w:rPr>
        <w:t>2.1.</w:t>
      </w:r>
      <w:r w:rsidRPr="00494422">
        <w:rPr>
          <w:rFonts w:ascii="Bookman Old Style" w:hAnsi="Bookman Old Style" w:cs="Arial"/>
          <w:i/>
          <w:sz w:val="22"/>
          <w:szCs w:val="22"/>
        </w:rPr>
        <w:tab/>
        <w:t>Violación de los principios de debido proceso y seguridad jurídica</w:t>
      </w:r>
    </w:p>
    <w:p w:rsidR="00494422" w:rsidRDefault="00494422" w:rsidP="00494422">
      <w:pPr>
        <w:ind w:left="284" w:right="284"/>
        <w:jc w:val="both"/>
        <w:rPr>
          <w:rFonts w:ascii="Bookman Old Style" w:hAnsi="Bookman Old Style" w:cs="Arial"/>
          <w:i/>
          <w:sz w:val="22"/>
          <w:szCs w:val="22"/>
        </w:rPr>
      </w:pPr>
    </w:p>
    <w:p w:rsidR="00494422" w:rsidRDefault="00494422" w:rsidP="00494422">
      <w:pPr>
        <w:ind w:left="284" w:right="284"/>
        <w:jc w:val="both"/>
        <w:rPr>
          <w:rFonts w:ascii="Bookman Old Style" w:hAnsi="Bookman Old Style" w:cs="Arial"/>
          <w:i/>
          <w:sz w:val="22"/>
          <w:szCs w:val="22"/>
        </w:rPr>
      </w:pPr>
      <w:r w:rsidRPr="00494422">
        <w:rPr>
          <w:rFonts w:ascii="Bookman Old Style" w:hAnsi="Bookman Old Style" w:cs="Arial"/>
          <w:i/>
          <w:sz w:val="22"/>
          <w:szCs w:val="22"/>
        </w:rPr>
        <w:t>Advirtiendo que era inminente la nueva oferta de GLP por parte de ECOPETROL y la imposibilidad de aplicar las Resoluciones CREG 063 y CREG 075 de 2016 para la misma, la CREG expidió la Circular CREG No. 040 del 22 de juni</w:t>
      </w:r>
      <w:r>
        <w:rPr>
          <w:rFonts w:ascii="Bookman Old Style" w:hAnsi="Bookman Old Style" w:cs="Arial"/>
          <w:i/>
          <w:sz w:val="22"/>
          <w:szCs w:val="22"/>
        </w:rPr>
        <w:t>o de 2016, con la finalidad de ‘aclarar’</w:t>
      </w:r>
      <w:r w:rsidRPr="00494422">
        <w:rPr>
          <w:rFonts w:ascii="Bookman Old Style" w:hAnsi="Bookman Old Style" w:cs="Arial"/>
          <w:i/>
          <w:sz w:val="22"/>
          <w:szCs w:val="22"/>
        </w:rPr>
        <w:t xml:space="preserve"> que la Resolución 075 de 2016 no podría ser aplicada para </w:t>
      </w:r>
      <w:r w:rsidRPr="00494422">
        <w:rPr>
          <w:rFonts w:ascii="Bookman Old Style" w:hAnsi="Bookman Old Style" w:cs="Arial"/>
          <w:i/>
          <w:sz w:val="22"/>
          <w:szCs w:val="22"/>
        </w:rPr>
        <w:lastRenderedPageBreak/>
        <w:t>esa oferta, en tanto la misma no está en firme. En el numeral 4) de la citada Circular, la CREG si permite su aplicación para afectar las cantidades de entrega de GLP, una vez esté en firme.</w:t>
      </w:r>
    </w:p>
    <w:p w:rsidR="00494422" w:rsidRDefault="00494422" w:rsidP="00494422">
      <w:pPr>
        <w:ind w:left="284" w:right="284"/>
        <w:jc w:val="both"/>
        <w:rPr>
          <w:rFonts w:ascii="Bookman Old Style" w:hAnsi="Bookman Old Style" w:cs="Arial"/>
          <w:i/>
          <w:sz w:val="22"/>
          <w:szCs w:val="22"/>
        </w:rPr>
      </w:pPr>
    </w:p>
    <w:p w:rsidR="00494422" w:rsidRDefault="00494422" w:rsidP="00494422">
      <w:pPr>
        <w:ind w:left="284" w:right="284"/>
        <w:jc w:val="both"/>
        <w:rPr>
          <w:rFonts w:ascii="Bookman Old Style" w:hAnsi="Bookman Old Style" w:cs="Arial"/>
          <w:i/>
          <w:sz w:val="22"/>
          <w:szCs w:val="22"/>
        </w:rPr>
      </w:pPr>
      <w:r>
        <w:rPr>
          <w:rFonts w:ascii="Bookman Old Style" w:hAnsi="Bookman Old Style" w:cs="Arial"/>
          <w:i/>
          <w:sz w:val="22"/>
          <w:szCs w:val="22"/>
        </w:rPr>
        <w:t>‘</w:t>
      </w:r>
      <w:r w:rsidRPr="00494422">
        <w:rPr>
          <w:rFonts w:ascii="Bookman Old Style" w:hAnsi="Bookman Old Style" w:cs="Arial"/>
          <w:i/>
          <w:sz w:val="22"/>
          <w:szCs w:val="22"/>
        </w:rPr>
        <w:t>Una vez las capacidades de compra determinadas mediante la Resolución CREG 075 de 2016, queden en firme y se hayan resuelto los recursos de las respectivas actuaciones administrativas, las entregas que el comercializador mayorista haga a los distribuidores no deberá exceder su capacidad de compra</w:t>
      </w:r>
      <w:r>
        <w:rPr>
          <w:rFonts w:ascii="Bookman Old Style" w:hAnsi="Bookman Old Style" w:cs="Arial"/>
          <w:i/>
          <w:sz w:val="22"/>
          <w:szCs w:val="22"/>
        </w:rPr>
        <w:t>’</w:t>
      </w:r>
    </w:p>
    <w:p w:rsidR="00494422" w:rsidRDefault="00494422" w:rsidP="00494422">
      <w:pPr>
        <w:ind w:left="284" w:right="284"/>
        <w:jc w:val="both"/>
        <w:rPr>
          <w:rFonts w:ascii="Bookman Old Style" w:hAnsi="Bookman Old Style" w:cs="Arial"/>
          <w:i/>
          <w:sz w:val="22"/>
          <w:szCs w:val="22"/>
        </w:rPr>
      </w:pPr>
    </w:p>
    <w:p w:rsidR="00494422" w:rsidRDefault="00494422" w:rsidP="00494422">
      <w:pPr>
        <w:ind w:left="284" w:right="284"/>
        <w:jc w:val="both"/>
        <w:rPr>
          <w:rFonts w:ascii="Bookman Old Style" w:hAnsi="Bookman Old Style" w:cs="Arial"/>
          <w:i/>
          <w:sz w:val="22"/>
          <w:szCs w:val="22"/>
        </w:rPr>
      </w:pPr>
      <w:r w:rsidRPr="00494422">
        <w:rPr>
          <w:rFonts w:ascii="Bookman Old Style" w:hAnsi="Bookman Old Style" w:cs="Arial"/>
          <w:i/>
          <w:sz w:val="22"/>
          <w:szCs w:val="22"/>
        </w:rPr>
        <w:t>En otras palabras, los distribuidores realizarán la oferta con base a la Resolución CREG 053 de 2011, pero sólo recibirán la cantidad de GLP afectada por su capacidad de compra con base a las Resoluciones CREG 063 y 075 de 2016, lo que, en últimas, significa que para una misma OPC aplicarán dos Resoluciones de la CREG diferentes, y que un derecho adquirido con ocasión de una oferta y con base a la primera norma citada, se verá afectado retroactivamente por normas posteriores. A esto se suma, que dados los recursos interpuestos contra la Resolución CREG 075 de 2016 por diferentes distribuidores, no se tiene certeza de la fecha de firmeza de la Resolución CREG 075 de 2016, lo que puede conllevar que las entregas del GLP tengan que realizarse, para un período, con las cantidades determinadas en la primera norma, y en otros períodos, con las cantidades afectadas por su capacidad de compra.</w:t>
      </w:r>
    </w:p>
    <w:p w:rsidR="00494422" w:rsidRPr="00494422" w:rsidRDefault="00494422" w:rsidP="00494422">
      <w:pPr>
        <w:ind w:left="284" w:right="284"/>
        <w:jc w:val="both"/>
        <w:rPr>
          <w:rFonts w:ascii="Bookman Old Style" w:hAnsi="Bookman Old Style" w:cs="Arial"/>
          <w:i/>
          <w:sz w:val="22"/>
          <w:szCs w:val="22"/>
        </w:rPr>
      </w:pPr>
    </w:p>
    <w:p w:rsidR="00494422" w:rsidRDefault="00494422" w:rsidP="00494422">
      <w:pPr>
        <w:ind w:left="284" w:right="284"/>
        <w:jc w:val="both"/>
        <w:rPr>
          <w:rFonts w:ascii="Bookman Old Style" w:hAnsi="Bookman Old Style" w:cs="Arial"/>
          <w:i/>
          <w:sz w:val="22"/>
          <w:szCs w:val="22"/>
        </w:rPr>
      </w:pPr>
      <w:r w:rsidRPr="00494422">
        <w:rPr>
          <w:rFonts w:ascii="Bookman Old Style" w:hAnsi="Bookman Old Style" w:cs="Arial"/>
          <w:i/>
          <w:sz w:val="22"/>
          <w:szCs w:val="22"/>
        </w:rPr>
        <w:t>Vía Circular, la CREG pretende modificar el contenido de la Resolución CREG 063 de 2016. Dicha resolución lo que establece es que son los distribuidores los que no pueden presentar una oferta mayor a su capacidad de compra, y no que el productor afectará la capacidad de compra con base a la fórmula al momento de la entrega del GLP. A su vez, con base en la Resolución CREG 63 de 2016, el productor debe realizar la oferta con base a la capacidad de compra y no como lo dispone la Circular CREG 40 de 2013, con base a las cantidades que aplican con base a la Resolución CREG 53 de 2011, y la entrega con base</w:t>
      </w:r>
      <w:r>
        <w:rPr>
          <w:rFonts w:ascii="Bookman Old Style" w:hAnsi="Bookman Old Style" w:cs="Arial"/>
          <w:i/>
          <w:sz w:val="22"/>
          <w:szCs w:val="22"/>
        </w:rPr>
        <w:t xml:space="preserve"> a la Resolución CREG 63 de 2016</w:t>
      </w:r>
      <w:r w:rsidRPr="00494422">
        <w:rPr>
          <w:rFonts w:ascii="Bookman Old Style" w:hAnsi="Bookman Old Style" w:cs="Arial"/>
          <w:i/>
          <w:sz w:val="22"/>
          <w:szCs w:val="22"/>
        </w:rPr>
        <w:t>.</w:t>
      </w:r>
      <w:r>
        <w:rPr>
          <w:rFonts w:ascii="Bookman Old Style" w:hAnsi="Bookman Old Style" w:cs="Arial"/>
          <w:i/>
          <w:sz w:val="22"/>
          <w:szCs w:val="22"/>
        </w:rPr>
        <w:t>” (Negrillas fuera de texto)</w:t>
      </w:r>
    </w:p>
    <w:p w:rsidR="004454DA" w:rsidRDefault="004454DA" w:rsidP="004454DA">
      <w:pPr>
        <w:ind w:left="0" w:right="284"/>
        <w:jc w:val="both"/>
        <w:rPr>
          <w:rFonts w:ascii="Bookman Old Style" w:hAnsi="Bookman Old Style" w:cs="Arial"/>
          <w:i/>
          <w:sz w:val="22"/>
          <w:szCs w:val="22"/>
        </w:rPr>
      </w:pPr>
    </w:p>
    <w:p w:rsidR="00B12F18" w:rsidRPr="004454DA" w:rsidRDefault="004454DA" w:rsidP="00D24BFC">
      <w:pPr>
        <w:pStyle w:val="Textoindependiente2"/>
        <w:spacing w:after="0" w:line="240" w:lineRule="auto"/>
        <w:ind w:left="-142" w:right="-142"/>
        <w:jc w:val="both"/>
        <w:rPr>
          <w:rFonts w:ascii="Bookman Old Style" w:hAnsi="Bookman Old Style"/>
        </w:rPr>
      </w:pPr>
      <w:r w:rsidRPr="004454DA">
        <w:rPr>
          <w:rFonts w:ascii="Bookman Old Style" w:hAnsi="Bookman Old Style" w:cs="Arial"/>
        </w:rPr>
        <w:t>Adicionalme</w:t>
      </w:r>
      <w:r w:rsidRPr="004454DA">
        <w:rPr>
          <w:rFonts w:ascii="Bookman Old Style" w:hAnsi="Bookman Old Style"/>
        </w:rPr>
        <w:t xml:space="preserve">nte, </w:t>
      </w:r>
      <w:r>
        <w:rPr>
          <w:rFonts w:ascii="Bookman Old Style" w:hAnsi="Bookman Old Style"/>
        </w:rPr>
        <w:t>Chilco</w:t>
      </w:r>
      <w:r w:rsidRPr="004454DA">
        <w:rPr>
          <w:rFonts w:ascii="Bookman Old Style" w:hAnsi="Bookman Old Style"/>
        </w:rPr>
        <w:t xml:space="preserve"> solicita se tenga como prueba </w:t>
      </w:r>
      <w:r>
        <w:rPr>
          <w:rFonts w:ascii="Bookman Old Style" w:hAnsi="Bookman Old Style"/>
        </w:rPr>
        <w:t>y soporte de sus argumentos certificaciones cargue al SUI de cilindros y tanques estacionarios, mesas de ayuda y gestiones en este sentido llevadas a cabo ante la Superintendencia de Servicios Públicos Domiciliarios.</w:t>
      </w:r>
    </w:p>
    <w:p w:rsidR="0045042D" w:rsidRPr="004454DA" w:rsidRDefault="0045042D" w:rsidP="004454DA">
      <w:pPr>
        <w:ind w:left="284" w:right="284"/>
        <w:jc w:val="both"/>
        <w:rPr>
          <w:rFonts w:ascii="Bookman Old Style" w:hAnsi="Bookman Old Style" w:cs="Arial"/>
          <w:i/>
          <w:sz w:val="22"/>
          <w:szCs w:val="22"/>
        </w:rPr>
      </w:pPr>
    </w:p>
    <w:p w:rsidR="00EE6670" w:rsidRPr="00EE6670" w:rsidRDefault="00EE6670" w:rsidP="00EE6670">
      <w:pPr>
        <w:pStyle w:val="Textoindependiente2"/>
        <w:spacing w:after="0" w:line="240" w:lineRule="auto"/>
        <w:ind w:left="-142" w:right="-142"/>
        <w:jc w:val="both"/>
        <w:rPr>
          <w:rFonts w:ascii="Bookman Old Style" w:hAnsi="Bookman Old Style"/>
          <w:b/>
          <w:szCs w:val="27"/>
        </w:rPr>
      </w:pPr>
      <w:r w:rsidRPr="00EE6670">
        <w:rPr>
          <w:rFonts w:ascii="Bookman Old Style" w:hAnsi="Bookman Old Style"/>
          <w:b/>
          <w:szCs w:val="27"/>
        </w:rPr>
        <w:t>3. Decreto y práctica de pruebas de oficio por parte de la CREG</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Teniendo en cuenta que dentro de los argumentos expuestos por la empresa a efectos de sustentar su recurso de reposición se encontraban elementos relacionados con una posible diferencia de información del Sistema Único de Información – SUI</w:t>
      </w:r>
      <w:r w:rsidR="004D7892">
        <w:rPr>
          <w:rFonts w:ascii="Bookman Old Style" w:hAnsi="Bookman Old Style"/>
          <w:szCs w:val="27"/>
        </w:rPr>
        <w:t>,</w:t>
      </w:r>
      <w:r w:rsidRPr="00EE6670">
        <w:rPr>
          <w:rFonts w:ascii="Bookman Old Style" w:hAnsi="Bookman Old Style"/>
          <w:szCs w:val="27"/>
        </w:rPr>
        <w:t xml:space="preserve"> en relación con el número </w:t>
      </w:r>
      <w:r w:rsidR="007D1246">
        <w:rPr>
          <w:rFonts w:ascii="Bookman Old Style" w:hAnsi="Bookman Old Style"/>
          <w:szCs w:val="27"/>
        </w:rPr>
        <w:t xml:space="preserve">de cilindros marcados y de </w:t>
      </w:r>
      <w:r w:rsidR="004D7892">
        <w:rPr>
          <w:rFonts w:ascii="Bookman Old Style" w:hAnsi="Bookman Old Style"/>
          <w:szCs w:val="27"/>
        </w:rPr>
        <w:t>tanques estacionarios</w:t>
      </w:r>
      <w:r w:rsidRPr="00EE6670">
        <w:rPr>
          <w:rFonts w:ascii="Bookman Old Style" w:hAnsi="Bookman Old Style"/>
          <w:szCs w:val="27"/>
        </w:rPr>
        <w:t xml:space="preserve"> efectivamente reportados por </w:t>
      </w:r>
      <w:r w:rsidR="00D24BFC">
        <w:rPr>
          <w:rFonts w:ascii="Bookman Old Style" w:hAnsi="Bookman Old Style"/>
          <w:szCs w:val="27"/>
        </w:rPr>
        <w:t>Chilco Distribuidora de Gas y Energía</w:t>
      </w:r>
      <w:r w:rsidR="00B13E0A">
        <w:rPr>
          <w:rFonts w:ascii="Bookman Old Style" w:hAnsi="Bookman Old Style"/>
          <w:szCs w:val="27"/>
        </w:rPr>
        <w:t xml:space="preserve">, </w:t>
      </w:r>
      <w:r w:rsidR="000E4A6C">
        <w:rPr>
          <w:rFonts w:ascii="Bookman Old Style" w:hAnsi="Bookman Old Style"/>
          <w:szCs w:val="27"/>
        </w:rPr>
        <w:t xml:space="preserve">por lo que </w:t>
      </w:r>
      <w:r w:rsidR="004D7892">
        <w:rPr>
          <w:rFonts w:ascii="Bookman Old Style" w:hAnsi="Bookman Old Style"/>
          <w:szCs w:val="27"/>
        </w:rPr>
        <w:t>esta Comisión de acuerdo con las</w:t>
      </w:r>
      <w:r w:rsidRPr="00EE6670">
        <w:rPr>
          <w:rFonts w:ascii="Bookman Old Style" w:hAnsi="Bookman Old Style"/>
          <w:szCs w:val="27"/>
        </w:rPr>
        <w:t xml:space="preserve"> facultades </w:t>
      </w:r>
      <w:r w:rsidR="004D7892">
        <w:rPr>
          <w:rFonts w:ascii="Bookman Old Style" w:hAnsi="Bookman Old Style"/>
          <w:szCs w:val="27"/>
        </w:rPr>
        <w:t xml:space="preserve">con las que cuenta en </w:t>
      </w:r>
      <w:r w:rsidR="002A3EB4">
        <w:rPr>
          <w:rFonts w:ascii="Bookman Old Style" w:hAnsi="Bookman Old Style"/>
          <w:szCs w:val="27"/>
        </w:rPr>
        <w:t>materia probatoria</w:t>
      </w:r>
      <w:r w:rsidRPr="00EE6670">
        <w:rPr>
          <w:rFonts w:ascii="Bookman Old Style" w:hAnsi="Bookman Old Style"/>
          <w:szCs w:val="27"/>
        </w:rPr>
        <w:t xml:space="preserve">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lastRenderedPageBreak/>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Para el efecto se remitirá a la Superintendencia la información del archivo Excel correspondiente al radicado CREG E-2016-005769, así como copia de los recursos de reposición interpuestos en contra de las resoluciones CREG 075 y 089 de 2016.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E6670" w:rsidRPr="00EE6670" w:rsidRDefault="00EE6670" w:rsidP="00EE6670">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6B1C94" w:rsidRPr="006B1C94" w:rsidTr="006B1C94">
        <w:trPr>
          <w:jc w:val="center"/>
        </w:trPr>
        <w:tc>
          <w:tcPr>
            <w:tcW w:w="2408"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EE6670" w:rsidRDefault="00EE6670" w:rsidP="00EE6670">
      <w:pPr>
        <w:pStyle w:val="Textoindependiente"/>
        <w:rPr>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EE6670" w:rsidRPr="007F1548" w:rsidRDefault="00EE6670" w:rsidP="00EE6670">
      <w:pPr>
        <w:jc w:val="both"/>
        <w:rPr>
          <w:rFonts w:ascii="Arial" w:hAnsi="Arial" w:cs="Arial"/>
          <w:bCs/>
          <w:sz w:val="22"/>
          <w:szCs w:val="22"/>
          <w:lang w:val="es-CO"/>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Posteriormente se expidió el Auto I-2016-004099 a efectos de incluir a las empresas Gases de Popayán y Electrogas dentro de la misma solicitud hecha a la Superintendencia, como parte del decreto y práctica de pruebas hecho inicialmente para 12 empresas distribuidoras en el Auto I-2016-003755.</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Ahora, mediante el Auto I-2016-004402 se amplió el plazo otorgado en los Autos I-2017-003755 e I-2017-004099 en 30 días adicionales al inicialmente previsto  informando de esta situación a la Superintendencia de Servicios Públicos Domiciliarios.  </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Default="00D24BFC" w:rsidP="00D24BFC">
      <w:pPr>
        <w:pStyle w:val="Textoindependiente2"/>
        <w:spacing w:after="0" w:line="240" w:lineRule="auto"/>
        <w:ind w:left="-142" w:right="-142"/>
        <w:jc w:val="both"/>
        <w:rPr>
          <w:rFonts w:ascii="Bookman Old Style" w:hAnsi="Bookman Old Style"/>
          <w:szCs w:val="27"/>
        </w:rPr>
      </w:pPr>
      <w:r w:rsidRPr="00D24BFC">
        <w:rPr>
          <w:rFonts w:ascii="Bookman Old Style" w:hAnsi="Bookman Old Style"/>
          <w:szCs w:val="27"/>
        </w:rPr>
        <w:lastRenderedPageBreak/>
        <w:t xml:space="preserve">Mediante oficio con radicado CREG E-2016-010390 de 23 de septiembre de 2016 la Superintendencia de Servicios Públicos Domiciliarios a través de la Delegada de Energía Eléctrica y Gas Combustible remitió la información solicitada por esta Comisión. En atención a lo anterior procederá esta Comisión a exponer el análisis de los resultados de la misma, así como resolver las consideraciones y argumentos expuestos por parte de </w:t>
      </w:r>
      <w:r w:rsidR="007169E7">
        <w:rPr>
          <w:rFonts w:ascii="Bookman Old Style" w:hAnsi="Bookman Old Style"/>
          <w:szCs w:val="27"/>
        </w:rPr>
        <w:t>Chilco Distribuidora de Gas y Energía</w:t>
      </w:r>
      <w:r w:rsidRPr="00D24BFC">
        <w:rPr>
          <w:rFonts w:ascii="Bookman Old Style" w:hAnsi="Bookman Old Style"/>
          <w:szCs w:val="27"/>
        </w:rPr>
        <w:t xml:space="preserve"> en su recurso frente a la Resolución CREG 075 de 2016.</w:t>
      </w:r>
    </w:p>
    <w:p w:rsidR="00D24BFC" w:rsidRDefault="00D24BFC" w:rsidP="00D126E3">
      <w:pPr>
        <w:widowControl w:val="0"/>
        <w:tabs>
          <w:tab w:val="right" w:pos="9498"/>
        </w:tabs>
        <w:adjustRightInd w:val="0"/>
        <w:ind w:left="0" w:right="-142"/>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0E4A6C"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075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w:t>
      </w:r>
      <w:r w:rsidR="004D378D">
        <w:rPr>
          <w:rFonts w:ascii="Bookman Old Style" w:hAnsi="Bookman Old Style"/>
          <w:szCs w:val="27"/>
        </w:rPr>
        <w:t>Chilco Distribuidora de Gas y Energía</w:t>
      </w:r>
      <w:r>
        <w:rPr>
          <w:rFonts w:ascii="Bookman Old Style" w:hAnsi="Bookman Old Style"/>
          <w:szCs w:val="27"/>
        </w:rPr>
        <w:t>, atendiendo los siguientes argumentos:</w:t>
      </w:r>
    </w:p>
    <w:p w:rsidR="000E4A6C" w:rsidRDefault="000E4A6C" w:rsidP="000E4A6C">
      <w:pPr>
        <w:pStyle w:val="Textoindependiente2"/>
        <w:spacing w:after="0" w:line="240" w:lineRule="auto"/>
        <w:ind w:left="0" w:right="-142"/>
        <w:jc w:val="both"/>
        <w:rPr>
          <w:rFonts w:ascii="Bookman Old Style" w:hAnsi="Bookman Old Style"/>
          <w:szCs w:val="27"/>
        </w:rPr>
      </w:pPr>
    </w:p>
    <w:p w:rsidR="004D378D" w:rsidRDefault="004D378D" w:rsidP="000E4A6C">
      <w:pPr>
        <w:pStyle w:val="Textoindependiente2"/>
        <w:numPr>
          <w:ilvl w:val="0"/>
          <w:numId w:val="40"/>
        </w:numPr>
        <w:spacing w:after="0" w:line="240" w:lineRule="auto"/>
        <w:ind w:right="-142"/>
        <w:jc w:val="both"/>
        <w:rPr>
          <w:rFonts w:ascii="Bookman Old Style" w:hAnsi="Bookman Old Style"/>
          <w:szCs w:val="27"/>
        </w:rPr>
      </w:pPr>
      <w:r>
        <w:rPr>
          <w:rFonts w:ascii="Bookman Old Style" w:hAnsi="Bookman Old Style"/>
          <w:szCs w:val="27"/>
        </w:rPr>
        <w:t>Una violación al debido proceso toda vez que no se decretó la práctica de pruebas a efectos de expedir la Resolución CREG 075 de 2016.</w:t>
      </w:r>
    </w:p>
    <w:p w:rsidR="004D378D" w:rsidRDefault="004D378D" w:rsidP="004D378D">
      <w:pPr>
        <w:pStyle w:val="Textoindependiente2"/>
        <w:spacing w:after="0" w:line="240" w:lineRule="auto"/>
        <w:ind w:left="218" w:right="-142"/>
        <w:jc w:val="both"/>
        <w:rPr>
          <w:rFonts w:ascii="Bookman Old Style" w:hAnsi="Bookman Old Style"/>
          <w:szCs w:val="27"/>
        </w:rPr>
      </w:pPr>
    </w:p>
    <w:p w:rsidR="004D378D" w:rsidRDefault="007169E7" w:rsidP="000E4A6C">
      <w:pPr>
        <w:pStyle w:val="Textoindependiente2"/>
        <w:numPr>
          <w:ilvl w:val="0"/>
          <w:numId w:val="40"/>
        </w:numPr>
        <w:spacing w:after="0" w:line="240" w:lineRule="auto"/>
        <w:ind w:right="-142"/>
        <w:jc w:val="both"/>
        <w:rPr>
          <w:rFonts w:ascii="Bookman Old Style" w:hAnsi="Bookman Old Style"/>
          <w:szCs w:val="27"/>
        </w:rPr>
      </w:pPr>
      <w:r>
        <w:rPr>
          <w:rFonts w:ascii="Bookman Old Style" w:hAnsi="Bookman Old Style"/>
          <w:szCs w:val="27"/>
        </w:rPr>
        <w:t xml:space="preserve">La afectación </w:t>
      </w:r>
      <w:r w:rsidR="004D378D">
        <w:rPr>
          <w:rFonts w:ascii="Bookman Old Style" w:hAnsi="Bookman Old Style"/>
          <w:szCs w:val="27"/>
        </w:rPr>
        <w:t>y limitación a la libre competencia a la libertad de empresa por parte del acto administrativo recurrido.</w:t>
      </w:r>
    </w:p>
    <w:p w:rsidR="004D378D" w:rsidRDefault="004D378D" w:rsidP="004D378D">
      <w:pPr>
        <w:pStyle w:val="Textoindependiente2"/>
        <w:spacing w:after="0" w:line="240" w:lineRule="auto"/>
        <w:ind w:left="218" w:right="-142"/>
        <w:jc w:val="both"/>
        <w:rPr>
          <w:rFonts w:ascii="Bookman Old Style" w:hAnsi="Bookman Old Style"/>
          <w:szCs w:val="27"/>
        </w:rPr>
      </w:pPr>
    </w:p>
    <w:p w:rsidR="000E4A6C" w:rsidRPr="004D378D" w:rsidRDefault="000E4A6C" w:rsidP="004D378D">
      <w:pPr>
        <w:pStyle w:val="Textoindependiente2"/>
        <w:numPr>
          <w:ilvl w:val="0"/>
          <w:numId w:val="40"/>
        </w:numPr>
        <w:spacing w:after="0" w:line="240" w:lineRule="auto"/>
        <w:ind w:right="-142"/>
        <w:jc w:val="both"/>
        <w:rPr>
          <w:rFonts w:ascii="Bookman Old Style" w:hAnsi="Bookman Old Style"/>
          <w:szCs w:val="27"/>
        </w:rPr>
      </w:pPr>
      <w:r w:rsidRPr="004D378D">
        <w:rPr>
          <w:rFonts w:ascii="Bookman Old Style" w:hAnsi="Bookman Old Style"/>
          <w:szCs w:val="27"/>
        </w:rPr>
        <w:t xml:space="preserve">La empresa advierte una diferencia en la información reportada en el Sistema Único de Información – SUI, utilizada por esta Comisión para efectos de llevar a cabo la definición de la capacidad de compra a nivel de </w:t>
      </w:r>
      <w:r w:rsidR="005853B5" w:rsidRPr="004D378D">
        <w:rPr>
          <w:rFonts w:ascii="Bookman Old Style" w:hAnsi="Bookman Old Style"/>
          <w:szCs w:val="27"/>
        </w:rPr>
        <w:t xml:space="preserve">cilindros marcados, como de </w:t>
      </w:r>
      <w:r w:rsidRPr="004D378D">
        <w:rPr>
          <w:rFonts w:ascii="Bookman Old Style" w:hAnsi="Bookman Old Style"/>
          <w:szCs w:val="27"/>
        </w:rPr>
        <w:t>tanques estacionarios.</w:t>
      </w:r>
      <w:r w:rsidR="004D378D">
        <w:rPr>
          <w:rFonts w:ascii="Bookman Old Style" w:hAnsi="Bookman Old Style"/>
          <w:szCs w:val="27"/>
        </w:rPr>
        <w:t xml:space="preserve"> </w:t>
      </w:r>
    </w:p>
    <w:p w:rsidR="000E4A6C" w:rsidRDefault="000E4A6C" w:rsidP="000E4A6C">
      <w:pPr>
        <w:pStyle w:val="Prrafodelista"/>
        <w:rPr>
          <w:rFonts w:ascii="Bookman Old Style" w:hAnsi="Bookman Old Style"/>
          <w:szCs w:val="27"/>
        </w:rPr>
      </w:pPr>
    </w:p>
    <w:p w:rsidR="000E4A6C" w:rsidRDefault="005853B5" w:rsidP="000E4A6C">
      <w:pPr>
        <w:pStyle w:val="Textoindependiente2"/>
        <w:numPr>
          <w:ilvl w:val="0"/>
          <w:numId w:val="40"/>
        </w:numPr>
        <w:spacing w:after="0" w:line="240" w:lineRule="auto"/>
        <w:ind w:right="-142"/>
        <w:jc w:val="both"/>
        <w:rPr>
          <w:rFonts w:ascii="Bookman Old Style" w:hAnsi="Bookman Old Style"/>
          <w:szCs w:val="27"/>
        </w:rPr>
      </w:pPr>
      <w:r>
        <w:rPr>
          <w:rFonts w:ascii="Bookman Old Style" w:hAnsi="Bookman Old Style"/>
          <w:szCs w:val="27"/>
        </w:rPr>
        <w:t>El factor de equivalencia</w:t>
      </w:r>
      <w:r w:rsidR="000E4A6C">
        <w:rPr>
          <w:rFonts w:ascii="Bookman Old Style" w:hAnsi="Bookman Old Style"/>
          <w:szCs w:val="27"/>
        </w:rPr>
        <w:t xml:space="preserve"> utilizado por la CREG desconoce la realidad operativa y </w:t>
      </w:r>
      <w:r w:rsidR="003B54E5">
        <w:rPr>
          <w:rFonts w:ascii="Bookman Old Style" w:hAnsi="Bookman Old Style"/>
          <w:szCs w:val="27"/>
        </w:rPr>
        <w:t>particular de la empresa a nivel de envasado de cilindros</w:t>
      </w:r>
      <w:r w:rsidR="004D378D">
        <w:rPr>
          <w:rFonts w:ascii="Bookman Old Style" w:hAnsi="Bookman Old Style"/>
          <w:szCs w:val="27"/>
        </w:rPr>
        <w:t xml:space="preserve"> y la prestación del servicio en tanques estacionarios</w:t>
      </w:r>
      <w:r w:rsidR="000E4A6C">
        <w:rPr>
          <w:rFonts w:ascii="Bookman Old Style" w:hAnsi="Bookman Old Style"/>
          <w:szCs w:val="27"/>
        </w:rPr>
        <w:t xml:space="preserve">, </w:t>
      </w:r>
      <w:r w:rsidR="003B54E5">
        <w:rPr>
          <w:rFonts w:ascii="Bookman Old Style" w:hAnsi="Bookman Old Style"/>
          <w:szCs w:val="27"/>
        </w:rPr>
        <w:t xml:space="preserve">el cual es superior al de las demás empresas. </w:t>
      </w:r>
    </w:p>
    <w:p w:rsidR="004D378D" w:rsidRDefault="004D378D" w:rsidP="004D378D">
      <w:pPr>
        <w:pStyle w:val="Prrafodelista"/>
        <w:rPr>
          <w:rFonts w:ascii="Bookman Old Style" w:hAnsi="Bookman Old Style"/>
          <w:szCs w:val="27"/>
        </w:rPr>
      </w:pPr>
    </w:p>
    <w:p w:rsidR="004D378D" w:rsidRPr="00CE7163" w:rsidRDefault="004D378D" w:rsidP="000E4A6C">
      <w:pPr>
        <w:pStyle w:val="Textoindependiente2"/>
        <w:numPr>
          <w:ilvl w:val="0"/>
          <w:numId w:val="40"/>
        </w:numPr>
        <w:spacing w:after="0" w:line="240" w:lineRule="auto"/>
        <w:ind w:right="-142"/>
        <w:jc w:val="both"/>
        <w:rPr>
          <w:rFonts w:ascii="Bookman Old Style" w:hAnsi="Bookman Old Style"/>
          <w:szCs w:val="27"/>
        </w:rPr>
      </w:pPr>
      <w:r>
        <w:rPr>
          <w:rFonts w:ascii="Bookman Old Style" w:hAnsi="Bookman Old Style"/>
          <w:szCs w:val="27"/>
        </w:rPr>
        <w:t>La procedencia de revocar el numeral 4 de la Circular CREG 040 de 2016.</w:t>
      </w:r>
    </w:p>
    <w:p w:rsidR="000E4A6C" w:rsidRDefault="000E4A6C" w:rsidP="000E4A6C">
      <w:pPr>
        <w:pStyle w:val="Textoindependiente2"/>
        <w:spacing w:after="0" w:line="240" w:lineRule="auto"/>
        <w:ind w:left="-142" w:right="-142"/>
        <w:jc w:val="both"/>
        <w:rPr>
          <w:rFonts w:ascii="Bookman Old Style" w:hAnsi="Bookman Old Style"/>
          <w:szCs w:val="27"/>
        </w:rPr>
      </w:pPr>
    </w:p>
    <w:p w:rsidR="000E4A6C"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 fin de resolver estos argumentos procede a resolverlos de manera específica, incluyendo el análisis de la información remitida a esta Comisión por parte de la Superintendencia de Servicios Públicos Domiciliarios como resultado del decretó y práctica de pruebas llevado a cabo por la CREG.</w:t>
      </w:r>
    </w:p>
    <w:p w:rsidR="00496008" w:rsidRDefault="00496008" w:rsidP="00496008">
      <w:pPr>
        <w:pStyle w:val="Textoindependiente2"/>
        <w:spacing w:after="0" w:line="240" w:lineRule="auto"/>
        <w:ind w:left="0" w:right="-142"/>
        <w:jc w:val="both"/>
        <w:rPr>
          <w:rFonts w:ascii="Bookman Old Style" w:hAnsi="Bookman Old Style"/>
          <w:szCs w:val="27"/>
        </w:rPr>
      </w:pPr>
    </w:p>
    <w:p w:rsidR="004D378D" w:rsidRDefault="004D378D" w:rsidP="00496008">
      <w:pPr>
        <w:pStyle w:val="Textoindependiente2"/>
        <w:numPr>
          <w:ilvl w:val="0"/>
          <w:numId w:val="45"/>
        </w:numPr>
        <w:spacing w:after="0" w:line="240" w:lineRule="auto"/>
        <w:ind w:right="-142"/>
        <w:jc w:val="both"/>
        <w:rPr>
          <w:rFonts w:ascii="Bookman Old Style" w:hAnsi="Bookman Old Style"/>
          <w:b/>
          <w:szCs w:val="27"/>
        </w:rPr>
      </w:pPr>
      <w:r>
        <w:rPr>
          <w:rFonts w:ascii="Bookman Old Style" w:hAnsi="Bookman Old Style"/>
          <w:b/>
          <w:szCs w:val="27"/>
        </w:rPr>
        <w:t>Consi</w:t>
      </w:r>
      <w:r w:rsidR="00496008">
        <w:rPr>
          <w:rFonts w:ascii="Bookman Old Style" w:hAnsi="Bookman Old Style"/>
          <w:b/>
          <w:szCs w:val="27"/>
        </w:rPr>
        <w:t>deraciones frente al numeral 1</w:t>
      </w:r>
      <w:r>
        <w:rPr>
          <w:rFonts w:ascii="Bookman Old Style" w:hAnsi="Bookman Old Style"/>
          <w:b/>
          <w:szCs w:val="27"/>
        </w:rPr>
        <w:t xml:space="preserve"> </w:t>
      </w:r>
    </w:p>
    <w:p w:rsidR="004D378D" w:rsidRDefault="004D378D" w:rsidP="000E4A6C">
      <w:pPr>
        <w:pStyle w:val="Textoindependiente2"/>
        <w:spacing w:after="0" w:line="240" w:lineRule="auto"/>
        <w:ind w:left="-142" w:right="-142"/>
        <w:jc w:val="both"/>
        <w:rPr>
          <w:rFonts w:ascii="Bookman Old Style" w:hAnsi="Bookman Old Style"/>
          <w:b/>
          <w:szCs w:val="27"/>
        </w:rPr>
      </w:pPr>
    </w:p>
    <w:p w:rsidR="004D378D" w:rsidRDefault="004D378D"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primer lugar, se debe precisar que no existe bajo ninguna circunstancia algún  elemento con respecto a una presunta violación del debido proceso dentro del trámite de las actuaciones administrativas que culminaron con la expedición de la Resolución CREG 075 de 2016, así como respecto de la forma en que fue definida la capacidad de compra por parte de esta Comisión en aplicación a lo previsto en el artículo 8 de la </w:t>
      </w:r>
      <w:r w:rsidR="00866E89">
        <w:rPr>
          <w:rFonts w:ascii="Bookman Old Style" w:hAnsi="Bookman Old Style"/>
          <w:szCs w:val="27"/>
        </w:rPr>
        <w:t>Resolución CREG 063 de 2016.</w:t>
      </w:r>
    </w:p>
    <w:p w:rsidR="00866E89" w:rsidRDefault="00866E89" w:rsidP="000E4A6C">
      <w:pPr>
        <w:pStyle w:val="Textoindependiente2"/>
        <w:spacing w:after="0" w:line="240" w:lineRule="auto"/>
        <w:ind w:left="-142" w:right="-142"/>
        <w:jc w:val="both"/>
        <w:rPr>
          <w:rFonts w:ascii="Bookman Old Style" w:hAnsi="Bookman Old Style"/>
          <w:szCs w:val="27"/>
        </w:rPr>
      </w:pPr>
    </w:p>
    <w:p w:rsidR="002A3EB4" w:rsidRDefault="00866E89"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particular y frente a la necesidad de decretar la práctica de pruebas como argumento frente un presunto vicio de legalidad del acto recurrido, desde la expedición de la Resolución CREG 063 de 2016, así como dentro del trámite de consulta de la misma, esta Comisión estableció que la aplicación de estas medidas </w:t>
      </w:r>
      <w:r>
        <w:rPr>
          <w:rFonts w:ascii="Bookman Old Style" w:hAnsi="Bookman Old Style"/>
          <w:szCs w:val="27"/>
        </w:rPr>
        <w:lastRenderedPageBreak/>
        <w:t>regulatorias debía considerar la información del Sistema Único de Información atendiendo lo</w:t>
      </w:r>
      <w:r w:rsidR="002A3EB4">
        <w:rPr>
          <w:rFonts w:ascii="Bookman Old Style" w:hAnsi="Bookman Old Style"/>
          <w:szCs w:val="27"/>
        </w:rPr>
        <w:t xml:space="preserve"> previsto en la Ley 689 de 2001. Lo anterior, teniendo en cuenta</w:t>
      </w:r>
      <w:r>
        <w:rPr>
          <w:rFonts w:ascii="Bookman Old Style" w:hAnsi="Bookman Old Style"/>
          <w:szCs w:val="27"/>
        </w:rPr>
        <w:t xml:space="preserve"> la relevancia que dicho sistema de información tiene, en particular respecto a la prestación del servicio público domiciliario de GLP, toda vez que allí se encuentran reportados los activos de las empresas, tanto a nivel de cilindros como de tanques atendidos, siendo esta la información oficial y fidedigna que debía considerar la Comisión para efectos de la aplicación y definición de la capacidad de compra.</w:t>
      </w:r>
      <w:r w:rsidR="00521029">
        <w:rPr>
          <w:rFonts w:ascii="Bookman Old Style" w:hAnsi="Bookman Old Style"/>
          <w:szCs w:val="27"/>
        </w:rPr>
        <w:t xml:space="preserve"> </w:t>
      </w:r>
    </w:p>
    <w:p w:rsidR="002A3EB4" w:rsidRDefault="002A3EB4" w:rsidP="000E4A6C">
      <w:pPr>
        <w:pStyle w:val="Textoindependiente2"/>
        <w:spacing w:after="0" w:line="240" w:lineRule="auto"/>
        <w:ind w:left="-142" w:right="-142"/>
        <w:jc w:val="both"/>
        <w:rPr>
          <w:rFonts w:ascii="Bookman Old Style" w:hAnsi="Bookman Old Style"/>
          <w:szCs w:val="27"/>
        </w:rPr>
      </w:pPr>
    </w:p>
    <w:p w:rsidR="00866E89" w:rsidRDefault="00521029"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Así mismo, el reporte de información de activos es una obligación regulatoria que ha sido consagrada principalmente atendiendo el cambio de esquema de marca y lo previsto en el reglamento de distribución y/o comercialización minorista de GLP previsto en la Resolución CREG 023 de 2008.</w:t>
      </w:r>
    </w:p>
    <w:p w:rsidR="00521029" w:rsidRDefault="00521029" w:rsidP="000E4A6C">
      <w:pPr>
        <w:pStyle w:val="Textoindependiente2"/>
        <w:spacing w:after="0" w:line="240" w:lineRule="auto"/>
        <w:ind w:left="-142" w:right="-142"/>
        <w:jc w:val="both"/>
        <w:rPr>
          <w:rFonts w:ascii="Bookman Old Style" w:hAnsi="Bookman Old Style"/>
          <w:szCs w:val="27"/>
        </w:rPr>
      </w:pPr>
    </w:p>
    <w:p w:rsidR="00521029" w:rsidRPr="00521029" w:rsidRDefault="00521029" w:rsidP="0052102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Teniendo en cuenta lo anterior y </w:t>
      </w:r>
      <w:r w:rsidR="002A3EB4">
        <w:rPr>
          <w:rFonts w:ascii="Bookman Old Style" w:hAnsi="Bookman Old Style"/>
          <w:szCs w:val="27"/>
        </w:rPr>
        <w:t xml:space="preserve">ante </w:t>
      </w:r>
      <w:r>
        <w:rPr>
          <w:rFonts w:ascii="Bookman Old Style" w:hAnsi="Bookman Old Style"/>
          <w:szCs w:val="27"/>
        </w:rPr>
        <w:t xml:space="preserve">la necesidad de considerar la información del SUI a efectos de dar aplicación a lo previsto en los artículos 8 y 9 de la Resolución CREG 063 de 2016, evento que se encuentra expreso en este acto administrativo,  </w:t>
      </w:r>
      <w:r w:rsidRPr="00FB2E5A">
        <w:rPr>
          <w:rFonts w:ascii="Bookman Old Style" w:eastAsia="MS Mincho" w:hAnsi="Bookman Old Style" w:cs="Arial"/>
          <w:lang w:val="es-ES_tradnl"/>
        </w:rPr>
        <w:t>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FB2E5A">
        <w:rPr>
          <w:rFonts w:ascii="Bookman Old Style" w:eastAsia="MS Mincho" w:hAnsi="Bookman Old Style" w:cs="Arial"/>
          <w:vertAlign w:val="superscript"/>
          <w:lang w:val="es-ES_tradnl"/>
        </w:rPr>
        <w:footnoteReference w:id="5"/>
      </w:r>
      <w:r w:rsidRPr="00FB2E5A">
        <w:rPr>
          <w:rFonts w:ascii="Bookman Old Style" w:eastAsia="MS Mincho" w:hAnsi="Bookman Old Style" w:cs="Arial"/>
          <w:lang w:val="es-ES_tradnl"/>
        </w:rPr>
        <w:t xml:space="preserve">. </w:t>
      </w:r>
    </w:p>
    <w:p w:rsidR="004D378D" w:rsidRPr="00521029" w:rsidRDefault="004D378D" w:rsidP="000E4A6C">
      <w:pPr>
        <w:pStyle w:val="Textoindependiente2"/>
        <w:spacing w:after="0" w:line="240" w:lineRule="auto"/>
        <w:ind w:left="-142" w:right="-142"/>
        <w:jc w:val="both"/>
        <w:rPr>
          <w:rFonts w:ascii="Bookman Old Style" w:hAnsi="Bookman Old Style"/>
          <w:szCs w:val="27"/>
          <w:lang w:val="es-ES_tradnl"/>
        </w:rPr>
      </w:pPr>
    </w:p>
    <w:p w:rsidR="002A3EB4" w:rsidRDefault="00521029" w:rsidP="0052102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Una vez remitida dicha información, la Comisión consideró que contaba</w:t>
      </w:r>
      <w:r w:rsidRPr="00521029">
        <w:rPr>
          <w:rFonts w:ascii="Bookman Old Style" w:hAnsi="Bookman Old Style"/>
          <w:szCs w:val="27"/>
        </w:rPr>
        <w:t xml:space="preserve"> con la información oficial, pertinente, necesaria y útil para lo cual procede a llevar a cabo el cálculo para la definición de la capacidad de compra a que hace referencia el artículo 8 de la Resolución CREG 063 de 2016, en los términos allí previstos.</w:t>
      </w:r>
      <w:r>
        <w:rPr>
          <w:rFonts w:ascii="Bookman Old Style" w:hAnsi="Bookman Old Style"/>
          <w:szCs w:val="27"/>
        </w:rPr>
        <w:t xml:space="preserve"> </w:t>
      </w:r>
    </w:p>
    <w:p w:rsidR="002A3EB4" w:rsidRDefault="002A3EB4" w:rsidP="00521029">
      <w:pPr>
        <w:pStyle w:val="Textoindependiente2"/>
        <w:spacing w:after="0" w:line="240" w:lineRule="auto"/>
        <w:ind w:left="-142" w:right="-142"/>
        <w:jc w:val="both"/>
        <w:rPr>
          <w:rFonts w:ascii="Bookman Old Style" w:hAnsi="Bookman Old Style"/>
          <w:szCs w:val="27"/>
        </w:rPr>
      </w:pPr>
    </w:p>
    <w:p w:rsidR="004D378D" w:rsidRDefault="00521029" w:rsidP="0052102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este sentido, se establecía que contaba con toda la información necesaria a efectos de tomar una decisión particular para cada distribuidor en aplicación a lo previsto en la Ley 142 de 1994 y en la regulación para el caso de la definición de la capacidad de compra, razón por la cual, no se debía llevar cabo la práctica de pruebas, toda vez que las mismas no eran necesarias a efectos de tomar una decisión, resaltando igualmente la naturaleza y el tratamiento que la Ley 689 de 2011 le ha dado a dicha información.</w:t>
      </w:r>
    </w:p>
    <w:p w:rsidR="00521029" w:rsidRDefault="00521029" w:rsidP="00521029">
      <w:pPr>
        <w:pStyle w:val="Textoindependiente2"/>
        <w:spacing w:after="0" w:line="240" w:lineRule="auto"/>
        <w:ind w:left="-142" w:right="-142"/>
        <w:jc w:val="both"/>
        <w:rPr>
          <w:rFonts w:ascii="Bookman Old Style" w:hAnsi="Bookman Old Style"/>
          <w:szCs w:val="27"/>
        </w:rPr>
      </w:pPr>
    </w:p>
    <w:p w:rsidR="00521029" w:rsidRDefault="00521029" w:rsidP="0052102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De acuerdo con esto, se advierte que esta Comisión dentro del trámite de la actuación administrativa no negó el decretó de práctica de pruebas como lo manifiesta la recurrente, ni por el contrario advirtió la necesidad de llevar cabo la práctica de pruebas fuera del trámite de solicitud de la información oficial al SUI a la Superintendencia de Servicios Públicos Domiciliarios, ni se encontraba en la </w:t>
      </w:r>
      <w:r>
        <w:rPr>
          <w:rFonts w:ascii="Bookman Old Style" w:hAnsi="Bookman Old Style"/>
          <w:szCs w:val="27"/>
        </w:rPr>
        <w:lastRenderedPageBreak/>
        <w:t xml:space="preserve">obligación de decretar la práctica de pruebas adicionales como lo advierte la recurrente, cuando ya se contaba con toda la información oficial y necesaria, es decir, se </w:t>
      </w:r>
      <w:r w:rsidR="00CE701E">
        <w:rPr>
          <w:rFonts w:ascii="Bookman Old Style" w:hAnsi="Bookman Old Style"/>
          <w:szCs w:val="27"/>
        </w:rPr>
        <w:t>contaba</w:t>
      </w:r>
      <w:r>
        <w:rPr>
          <w:rFonts w:ascii="Bookman Old Style" w:hAnsi="Bookman Old Style"/>
          <w:szCs w:val="27"/>
        </w:rPr>
        <w:t xml:space="preserve"> con todos los elementos de juicio </w:t>
      </w:r>
      <w:r w:rsidR="002A3EB4">
        <w:rPr>
          <w:rFonts w:ascii="Bookman Old Style" w:hAnsi="Bookman Old Style"/>
          <w:szCs w:val="27"/>
        </w:rPr>
        <w:t xml:space="preserve">necesarios </w:t>
      </w:r>
      <w:r>
        <w:rPr>
          <w:rFonts w:ascii="Bookman Old Style" w:hAnsi="Bookman Old Style"/>
          <w:szCs w:val="27"/>
        </w:rPr>
        <w:t xml:space="preserve">para llevar a cabo la toma de una decisión. </w:t>
      </w:r>
    </w:p>
    <w:p w:rsidR="00CE701E" w:rsidRDefault="00CE701E" w:rsidP="00521029">
      <w:pPr>
        <w:pStyle w:val="Textoindependiente2"/>
        <w:spacing w:after="0" w:line="240" w:lineRule="auto"/>
        <w:ind w:left="-142" w:right="-142"/>
        <w:jc w:val="both"/>
        <w:rPr>
          <w:rFonts w:ascii="Bookman Old Style" w:hAnsi="Bookman Old Style"/>
          <w:szCs w:val="27"/>
        </w:rPr>
      </w:pPr>
    </w:p>
    <w:p w:rsidR="00CE701E" w:rsidRDefault="00CE701E" w:rsidP="0052102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Así mismo, la información del SUI, la cual corresponde a un reporte hecho por parte de los agentes sujetos a la regulación de esta Comisión y vigilados por parte de la Superintendencia de Servicios Públicos Domiciliarios, no corresponde a una prueba técnica como lo manifiesta la recurrente, la cual esté sujeta a un trámite de contradicción especial o particular, como ocurren con el caso del peritaje o del testimonio técnico. Por el contrario, ya se ha precisado la naturaleza oficial que tiene dicha información, siendo los agentes como el caso de la recurrente, los obligados y responsables de llevar a cabo el reporte de dicha información en los términos y plazos definidos en este caso por la Superintendencia de Servicios Públicos Domiciliarios. </w:t>
      </w:r>
    </w:p>
    <w:p w:rsidR="00CE701E" w:rsidRDefault="00CE701E" w:rsidP="00521029">
      <w:pPr>
        <w:pStyle w:val="Textoindependiente2"/>
        <w:spacing w:after="0" w:line="240" w:lineRule="auto"/>
        <w:ind w:left="-142" w:right="-142"/>
        <w:jc w:val="both"/>
        <w:rPr>
          <w:rFonts w:ascii="Bookman Old Style" w:hAnsi="Bookman Old Style"/>
          <w:szCs w:val="27"/>
        </w:rPr>
      </w:pPr>
    </w:p>
    <w:p w:rsidR="002A3EB4" w:rsidRDefault="00CE701E" w:rsidP="002A3EB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De acuerdo con lo expuesto, no encuentra la Comisión o se evidencia la presunta violación al debido proceso en los términos expuestos por la recurrente, por lo que este argumento no lleva a modificar lo consignado en la Resolución CREG 075 de 2016. </w:t>
      </w:r>
    </w:p>
    <w:p w:rsidR="002A3EB4" w:rsidRDefault="002A3EB4" w:rsidP="002A3EB4">
      <w:pPr>
        <w:pStyle w:val="Textoindependiente2"/>
        <w:spacing w:after="0" w:line="240" w:lineRule="auto"/>
        <w:ind w:left="-142" w:right="-142"/>
        <w:jc w:val="both"/>
        <w:rPr>
          <w:rFonts w:ascii="Bookman Old Style" w:hAnsi="Bookman Old Style"/>
          <w:szCs w:val="27"/>
        </w:rPr>
      </w:pPr>
    </w:p>
    <w:p w:rsidR="004D378D" w:rsidRPr="00496008" w:rsidRDefault="00496008" w:rsidP="00496008">
      <w:pPr>
        <w:pStyle w:val="Textoindependiente2"/>
        <w:numPr>
          <w:ilvl w:val="0"/>
          <w:numId w:val="45"/>
        </w:numPr>
        <w:spacing w:after="0" w:line="240" w:lineRule="auto"/>
        <w:ind w:right="-142"/>
        <w:jc w:val="both"/>
        <w:rPr>
          <w:rFonts w:ascii="Bookman Old Style" w:hAnsi="Bookman Old Style"/>
          <w:b/>
          <w:szCs w:val="27"/>
        </w:rPr>
      </w:pPr>
      <w:r w:rsidRPr="00496008">
        <w:rPr>
          <w:rFonts w:ascii="Bookman Old Style" w:hAnsi="Bookman Old Style"/>
          <w:b/>
          <w:szCs w:val="27"/>
        </w:rPr>
        <w:t>Consideraciones frente al numeral 2.</w:t>
      </w:r>
    </w:p>
    <w:p w:rsidR="000E4A6C" w:rsidRDefault="000E4A6C" w:rsidP="000E4A6C">
      <w:pPr>
        <w:pStyle w:val="Textoindependiente2"/>
        <w:spacing w:after="0" w:line="240" w:lineRule="auto"/>
        <w:ind w:left="-142" w:right="-142"/>
        <w:jc w:val="both"/>
        <w:rPr>
          <w:rFonts w:ascii="Bookman Old Style" w:hAnsi="Bookman Old Style"/>
          <w:szCs w:val="27"/>
        </w:rPr>
      </w:pPr>
    </w:p>
    <w:p w:rsidR="002A3EB4" w:rsidRDefault="00496008" w:rsidP="00496008">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primer lugar, se advierte que objeto la Resolución CREG 075 de 2016 corresponde </w:t>
      </w:r>
      <w:r w:rsidRPr="00496008">
        <w:rPr>
          <w:rFonts w:ascii="Bookman Old Style" w:hAnsi="Bookman Old Style"/>
          <w:szCs w:val="27"/>
        </w:rPr>
        <w:t xml:space="preserve">al procedimiento y la forma en que fue llevada a cabo la definición de la capacidad de compra en los términos previstos en este acto administrativo para el caso particular de la empresa </w:t>
      </w:r>
      <w:r>
        <w:rPr>
          <w:rFonts w:ascii="Bookman Old Style" w:hAnsi="Bookman Old Style"/>
          <w:szCs w:val="27"/>
        </w:rPr>
        <w:t xml:space="preserve">Chilco, en aplicación de las fórmulas previstas en el artículo 8 de la Resolución CREG 063 de 2016. </w:t>
      </w:r>
    </w:p>
    <w:p w:rsidR="002A3EB4" w:rsidRDefault="002A3EB4" w:rsidP="00496008">
      <w:pPr>
        <w:pStyle w:val="Textoindependiente2"/>
        <w:spacing w:after="0" w:line="240" w:lineRule="auto"/>
        <w:ind w:left="-142" w:right="-142"/>
        <w:jc w:val="both"/>
        <w:rPr>
          <w:rFonts w:ascii="Bookman Old Style" w:hAnsi="Bookman Old Style"/>
          <w:szCs w:val="27"/>
        </w:rPr>
      </w:pPr>
    </w:p>
    <w:p w:rsidR="00496008" w:rsidRDefault="00496008" w:rsidP="00496008">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De acuerdo con esto, los argumentos que se exponen en este numeral en relación con una posible violación a la libertad de empresa y a la libre competencia, no están dirigidos a cuestionar el objeto del acto administrativo particular recurrido, sino que por el contrario, estos  </w:t>
      </w:r>
      <w:r w:rsidRPr="00496008">
        <w:rPr>
          <w:rFonts w:ascii="Bookman Old Style" w:hAnsi="Bookman Old Style"/>
          <w:szCs w:val="27"/>
        </w:rPr>
        <w:t xml:space="preserve">argumentos están dirigidos a cuestionar de manera general y abstracta la legalidad de la Resolución CREG 063 de 2016, en particular el artículo 8, con respecto a </w:t>
      </w:r>
      <w:r>
        <w:rPr>
          <w:rFonts w:ascii="Bookman Old Style" w:hAnsi="Bookman Old Style"/>
          <w:szCs w:val="27"/>
        </w:rPr>
        <w:t>los efectos que genera la expedición de la medida regulatoria incorporada en este acto administrativo</w:t>
      </w:r>
      <w:r w:rsidRPr="00496008">
        <w:rPr>
          <w:rFonts w:ascii="Bookman Old Style" w:hAnsi="Bookman Old Style"/>
          <w:szCs w:val="27"/>
        </w:rPr>
        <w:t>.</w:t>
      </w:r>
    </w:p>
    <w:p w:rsidR="00496008" w:rsidRDefault="00496008" w:rsidP="00496008">
      <w:pPr>
        <w:pStyle w:val="Textoindependiente2"/>
        <w:spacing w:after="0" w:line="240" w:lineRule="auto"/>
        <w:ind w:left="-142" w:right="-142"/>
        <w:jc w:val="both"/>
        <w:rPr>
          <w:rFonts w:ascii="Bookman Old Style" w:hAnsi="Bookman Old Style"/>
          <w:szCs w:val="27"/>
        </w:rPr>
      </w:pPr>
    </w:p>
    <w:p w:rsidR="00965DF7" w:rsidRDefault="00496008" w:rsidP="00965DF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Sin perjuicio de lo anterior, </w:t>
      </w:r>
      <w:r w:rsidR="00965DF7">
        <w:rPr>
          <w:rFonts w:ascii="Bookman Old Style" w:hAnsi="Bookman Old Style"/>
          <w:szCs w:val="27"/>
        </w:rPr>
        <w:t xml:space="preserve">se debe tener en cuenta que estos cuestionamientos en relación con una posible afectación a la libertad de empresa y a la libre competencia con la expedición de la Resolución CREG 063 de 2016 fueron analizados y expuestos por parte de esta Comisión dentro del proceso de consulta de dicho acto administrativo y fueron consignados en dicha resolución, así como en el documento soporte </w:t>
      </w:r>
      <w:r w:rsidR="00965DF7" w:rsidRPr="00107423">
        <w:rPr>
          <w:rFonts w:ascii="Bookman Old Style" w:hAnsi="Bookman Old Style"/>
          <w:szCs w:val="27"/>
        </w:rPr>
        <w:t>030 de 2016</w:t>
      </w:r>
      <w:r w:rsidR="00965DF7">
        <w:rPr>
          <w:rFonts w:ascii="Bookman Old Style" w:hAnsi="Bookman Old Style"/>
          <w:szCs w:val="27"/>
        </w:rPr>
        <w:t>.</w:t>
      </w:r>
    </w:p>
    <w:p w:rsidR="00965DF7" w:rsidRDefault="00965DF7" w:rsidP="00965DF7">
      <w:pPr>
        <w:pStyle w:val="Textoindependiente2"/>
        <w:spacing w:after="0" w:line="240" w:lineRule="auto"/>
        <w:ind w:left="-142" w:right="-142"/>
        <w:jc w:val="both"/>
        <w:rPr>
          <w:rFonts w:ascii="Bookman Old Style" w:hAnsi="Bookman Old Style"/>
          <w:szCs w:val="27"/>
        </w:rPr>
      </w:pPr>
    </w:p>
    <w:p w:rsidR="00965DF7" w:rsidRDefault="00965DF7" w:rsidP="00965DF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w:t>
      </w:r>
      <w:r w:rsidR="002A3EB4">
        <w:rPr>
          <w:rFonts w:ascii="Bookman Old Style" w:hAnsi="Bookman Old Style"/>
          <w:szCs w:val="27"/>
        </w:rPr>
        <w:t>esto</w:t>
      </w:r>
      <w:r>
        <w:rPr>
          <w:rFonts w:ascii="Bookman Old Style" w:hAnsi="Bookman Old Style"/>
          <w:szCs w:val="27"/>
        </w:rPr>
        <w:t>, se debe tener en cuenta que en dicho documento esta Comisión analizó extensamente los argumentos relacionados con una posible afectación a la libre competencia, frente a lo cual expuso lo siguiente:</w:t>
      </w:r>
    </w:p>
    <w:p w:rsidR="00965DF7" w:rsidRDefault="00965DF7" w:rsidP="00965DF7">
      <w:pPr>
        <w:pStyle w:val="Textoindependiente2"/>
        <w:spacing w:after="0" w:line="240" w:lineRule="auto"/>
        <w:ind w:left="-142" w:right="-142"/>
        <w:jc w:val="both"/>
        <w:rPr>
          <w:rFonts w:ascii="Bookman Old Style" w:hAnsi="Bookman Old Style"/>
          <w:szCs w:val="27"/>
        </w:rPr>
      </w:pPr>
    </w:p>
    <w:p w:rsidR="00965DF7" w:rsidRPr="0036643C" w:rsidRDefault="00965DF7" w:rsidP="00965DF7">
      <w:pPr>
        <w:ind w:left="284" w:right="284"/>
        <w:jc w:val="both"/>
        <w:rPr>
          <w:rFonts w:ascii="Bookman Old Style" w:hAnsi="Bookman Old Style"/>
          <w:sz w:val="22"/>
          <w:szCs w:val="22"/>
          <w:lang w:val="es-ES_tradnl"/>
        </w:rPr>
      </w:pPr>
      <w:r>
        <w:rPr>
          <w:rFonts w:ascii="Bookman Old Style" w:eastAsia="Calibri" w:hAnsi="Bookman Old Style" w:cs="Arial"/>
          <w:sz w:val="22"/>
          <w:szCs w:val="22"/>
          <w:lang w:val="es-MX" w:eastAsia="en-US"/>
        </w:rPr>
        <w:t>“</w:t>
      </w:r>
      <w:r w:rsidRPr="0036643C">
        <w:rPr>
          <w:rFonts w:ascii="Bookman Old Style" w:eastAsia="Calibri" w:hAnsi="Bookman Old Style" w:cs="Arial"/>
          <w:sz w:val="22"/>
          <w:szCs w:val="22"/>
          <w:lang w:val="es-MX" w:eastAsia="en-US"/>
        </w:rPr>
        <w:t>Ahora, en relación respecto a la incidencia de estas medidas regulatorios a la libre competencia en los mercados, en este caso respecto de la prestación del servicio público domiciliario de GLP, se debe tener en cuenta que en el numeral 4º de este documento esta Comisión, c</w:t>
      </w:r>
      <w:proofErr w:type="spellStart"/>
      <w:r w:rsidRPr="0036643C">
        <w:rPr>
          <w:rFonts w:ascii="Bookman Old Style" w:hAnsi="Bookman Old Style"/>
          <w:sz w:val="22"/>
          <w:szCs w:val="22"/>
          <w:lang w:val="es-ES_tradnl"/>
        </w:rPr>
        <w:t>on</w:t>
      </w:r>
      <w:proofErr w:type="spellEnd"/>
      <w:r w:rsidRPr="0036643C">
        <w:rPr>
          <w:rFonts w:ascii="Bookman Old Style" w:hAnsi="Bookman Old Style"/>
          <w:sz w:val="22"/>
          <w:szCs w:val="22"/>
          <w:lang w:val="es-ES_tradnl"/>
        </w:rPr>
        <w:t xml:space="preserve"> base en lo establecido en el artículo 4 del Decreto </w:t>
      </w:r>
      <w:r w:rsidRPr="0036643C">
        <w:rPr>
          <w:rFonts w:ascii="Bookman Old Style" w:hAnsi="Bookman Old Style"/>
          <w:sz w:val="22"/>
          <w:szCs w:val="22"/>
          <w:lang w:val="es-ES_tradnl"/>
        </w:rPr>
        <w:lastRenderedPageBreak/>
        <w:t>2897 de 2010</w:t>
      </w:r>
      <w:r w:rsidRPr="0036643C">
        <w:rPr>
          <w:rFonts w:ascii="Bookman Old Style" w:hAnsi="Bookman Old Style"/>
          <w:sz w:val="22"/>
          <w:szCs w:val="22"/>
          <w:vertAlign w:val="superscript"/>
          <w:lang w:val="es-ES_tradnl"/>
        </w:rPr>
        <w:footnoteReference w:id="6"/>
      </w:r>
      <w:r w:rsidRPr="0036643C">
        <w:rPr>
          <w:rFonts w:ascii="Bookman Old Style" w:hAnsi="Bookman Old Style"/>
          <w:sz w:val="22"/>
          <w:szCs w:val="22"/>
          <w:lang w:val="es-ES_tradnl"/>
        </w:rPr>
        <w:t>, reglamentario de la Ley 1340 de 2009, respondió el cuestionario establecido por la Superintendencia de Industria y Comercio para efectos de evaluar la incidencia de la propuesta regulatoria sobre la libre competencia de los mercados.</w:t>
      </w:r>
    </w:p>
    <w:p w:rsidR="00965DF7" w:rsidRPr="0036643C" w:rsidRDefault="00965DF7" w:rsidP="00965DF7">
      <w:pPr>
        <w:ind w:left="284" w:right="284"/>
        <w:jc w:val="both"/>
        <w:rPr>
          <w:rFonts w:ascii="Bookman Old Style" w:hAnsi="Bookman Old Style"/>
          <w:sz w:val="22"/>
          <w:szCs w:val="22"/>
          <w:lang w:val="es-ES_tradnl"/>
        </w:rPr>
      </w:pPr>
    </w:p>
    <w:p w:rsidR="00965DF7" w:rsidRPr="0036643C" w:rsidRDefault="00965DF7" w:rsidP="00965DF7">
      <w:pPr>
        <w:ind w:left="284" w:right="284"/>
        <w:jc w:val="both"/>
        <w:rPr>
          <w:rFonts w:ascii="Bookman Old Style" w:hAnsi="Bookman Old Style"/>
          <w:sz w:val="22"/>
          <w:szCs w:val="22"/>
          <w:lang w:val="es-ES_tradnl"/>
        </w:rPr>
      </w:pPr>
      <w:r w:rsidRPr="0036643C">
        <w:rPr>
          <w:rFonts w:ascii="Bookman Old Style" w:hAnsi="Bookman Old Style"/>
          <w:sz w:val="22"/>
          <w:szCs w:val="22"/>
          <w:lang w:val="es-ES_tradnl"/>
        </w:rPr>
        <w:t>De acuerdo con lo previsto en estas normas y la evaluación hecha por la Comisión, se debe tener en cuenta que dicha evaluación tuvo en cuenta lo previsto en el numeral 2 del artículo 2.2.30.6 del Decreto 1074 de 2015, el cual establece con respecto a las reglas aplicables para informar sobre un proyecto de acto administrativo lo siguiente:</w:t>
      </w:r>
    </w:p>
    <w:p w:rsidR="00965DF7" w:rsidRPr="0036643C" w:rsidRDefault="00965DF7" w:rsidP="00965DF7">
      <w:pPr>
        <w:ind w:left="284" w:right="284"/>
        <w:jc w:val="both"/>
        <w:rPr>
          <w:rFonts w:ascii="Bookman Old Style" w:eastAsia="Calibri" w:hAnsi="Bookman Old Style" w:cs="Arial"/>
          <w:sz w:val="22"/>
          <w:szCs w:val="22"/>
          <w:lang w:val="es-ES_tradnl" w:eastAsia="en-US"/>
        </w:rPr>
      </w:pPr>
    </w:p>
    <w:p w:rsidR="00965DF7" w:rsidRPr="0036643C" w:rsidRDefault="00965DF7" w:rsidP="00965DF7">
      <w:pPr>
        <w:ind w:left="284" w:right="284"/>
        <w:jc w:val="both"/>
        <w:rPr>
          <w:rFonts w:ascii="Bookman Old Style" w:eastAsia="Calibri" w:hAnsi="Bookman Old Style" w:cs="Arial"/>
          <w:i/>
          <w:sz w:val="22"/>
          <w:szCs w:val="22"/>
          <w:lang w:val="es-ES_tradnl" w:eastAsia="en-US"/>
        </w:rPr>
      </w:pPr>
      <w:r>
        <w:rPr>
          <w:rFonts w:ascii="Bookman Old Style" w:eastAsia="Calibri" w:hAnsi="Bookman Old Style" w:cs="Arial"/>
          <w:sz w:val="22"/>
          <w:szCs w:val="22"/>
          <w:lang w:val="es-ES_tradnl" w:eastAsia="en-US"/>
        </w:rPr>
        <w:t>‘</w:t>
      </w:r>
      <w:r w:rsidRPr="0036643C">
        <w:rPr>
          <w:rFonts w:ascii="Bookman Old Style" w:eastAsia="Calibri" w:hAnsi="Bookman Old Style" w:cs="Arial"/>
          <w:i/>
          <w:sz w:val="22"/>
          <w:szCs w:val="22"/>
          <w:lang w:val="es-ES_tradnl" w:eastAsia="en-US"/>
        </w:rPr>
        <w:t xml:space="preserve">2. Cuando la respuesta que dé a cualquiera de las preguntas centrales contenidas en el cuestionario resulta afirmativa, antes de enviar proyecto a la Superintendencia de Industria y Comercio, </w:t>
      </w:r>
      <w:r w:rsidRPr="0036643C">
        <w:rPr>
          <w:rFonts w:ascii="Bookman Old Style" w:eastAsia="Calibri" w:hAnsi="Bookman Old Style" w:cs="Arial"/>
          <w:i/>
          <w:sz w:val="22"/>
          <w:szCs w:val="22"/>
          <w:u w:val="single"/>
          <w:lang w:val="es-ES_tradnl" w:eastAsia="en-US"/>
        </w:rPr>
        <w:t>podrá modificarlo o considerar otras opciones regulatorias</w:t>
      </w:r>
      <w:r w:rsidRPr="0036643C">
        <w:rPr>
          <w:rFonts w:ascii="Bookman Old Style" w:eastAsia="Calibri" w:hAnsi="Bookman Old Style" w:cs="Arial"/>
          <w:i/>
          <w:sz w:val="22"/>
          <w:szCs w:val="22"/>
          <w:lang w:val="es-ES_tradnl" w:eastAsia="en-US"/>
        </w:rPr>
        <w:t>.</w:t>
      </w:r>
    </w:p>
    <w:p w:rsidR="00965DF7" w:rsidRPr="0036643C" w:rsidRDefault="00965DF7" w:rsidP="00965DF7">
      <w:pPr>
        <w:ind w:left="284" w:right="284"/>
        <w:jc w:val="both"/>
        <w:rPr>
          <w:rFonts w:ascii="Bookman Old Style" w:eastAsia="Calibri" w:hAnsi="Bookman Old Style" w:cs="Arial"/>
          <w:i/>
          <w:sz w:val="22"/>
          <w:szCs w:val="22"/>
          <w:lang w:val="es-ES_tradnl" w:eastAsia="en-US"/>
        </w:rPr>
      </w:pPr>
    </w:p>
    <w:p w:rsidR="00965DF7" w:rsidRPr="0036643C" w:rsidRDefault="00965DF7" w:rsidP="00965DF7">
      <w:pPr>
        <w:ind w:left="284" w:right="284"/>
        <w:jc w:val="both"/>
        <w:rPr>
          <w:rFonts w:ascii="Bookman Old Style" w:eastAsia="Calibri" w:hAnsi="Bookman Old Style" w:cs="Arial"/>
          <w:i/>
          <w:sz w:val="22"/>
          <w:szCs w:val="22"/>
          <w:u w:val="single"/>
          <w:lang w:val="es-ES_tradnl" w:eastAsia="en-US"/>
        </w:rPr>
      </w:pPr>
      <w:r w:rsidRPr="0036643C">
        <w:rPr>
          <w:rFonts w:ascii="Bookman Old Style" w:eastAsia="Calibri" w:hAnsi="Bookman Old Style" w:cs="Arial"/>
          <w:i/>
          <w:sz w:val="22"/>
          <w:szCs w:val="22"/>
          <w:lang w:val="es-ES_tradnl" w:eastAsia="en-US"/>
        </w:rPr>
        <w:t xml:space="preserve">En uno u otro caso </w:t>
      </w:r>
      <w:r w:rsidRPr="0036643C">
        <w:rPr>
          <w:rFonts w:ascii="Bookman Old Style" w:eastAsia="Calibri" w:hAnsi="Bookman Old Style" w:cs="Arial"/>
          <w:i/>
          <w:sz w:val="22"/>
          <w:szCs w:val="22"/>
          <w:u w:val="single"/>
          <w:lang w:val="es-ES_tradnl" w:eastAsia="en-US"/>
        </w:rPr>
        <w:t>procurará compensar o mitigar las restricciones de la libre competencia de manera que logre los fines regulatorios que se propone pero con las menores restricciones posibles sobre la libre competencia en el mercado o mercados relevantes relacionados en los cuales el acto puede producir efectos.</w:t>
      </w:r>
    </w:p>
    <w:p w:rsidR="00965DF7" w:rsidRPr="0036643C" w:rsidRDefault="00965DF7" w:rsidP="00965DF7">
      <w:pPr>
        <w:ind w:left="284" w:right="284"/>
        <w:jc w:val="both"/>
        <w:rPr>
          <w:rFonts w:ascii="Bookman Old Style" w:eastAsia="Calibri" w:hAnsi="Bookman Old Style" w:cs="Arial"/>
          <w:i/>
          <w:sz w:val="22"/>
          <w:szCs w:val="22"/>
          <w:lang w:val="es-ES_tradnl" w:eastAsia="en-US"/>
        </w:rPr>
      </w:pPr>
    </w:p>
    <w:p w:rsidR="00965DF7" w:rsidRPr="0036643C" w:rsidRDefault="00965DF7" w:rsidP="00965DF7">
      <w:pPr>
        <w:ind w:left="284" w:right="284"/>
        <w:jc w:val="both"/>
        <w:rPr>
          <w:rFonts w:ascii="Bookman Old Style" w:eastAsia="Calibri" w:hAnsi="Bookman Old Style" w:cs="Arial"/>
          <w:i/>
          <w:sz w:val="22"/>
          <w:szCs w:val="22"/>
          <w:lang w:val="es-ES_tradnl" w:eastAsia="en-US"/>
        </w:rPr>
      </w:pPr>
      <w:r w:rsidRPr="0036643C">
        <w:rPr>
          <w:rFonts w:ascii="Bookman Old Style" w:eastAsia="Calibri" w:hAnsi="Bookman Old Style" w:cs="Arial"/>
          <w:i/>
          <w:sz w:val="22"/>
          <w:szCs w:val="22"/>
          <w:lang w:val="es-ES_tradnl" w:eastAsia="en-US"/>
        </w:rPr>
        <w:t>Si de realizar el análisis a que se numeral la autoridad considera que el proyecto final que encuentra más conveniente adoptar aún produce los efectos a que se una o más de las preguntas centrales contenidas en cuestionario, deberá informar a la Superintendencia Industr</w:t>
      </w:r>
      <w:r>
        <w:rPr>
          <w:rFonts w:ascii="Bookman Old Style" w:eastAsia="Calibri" w:hAnsi="Bookman Old Style" w:cs="Arial"/>
          <w:i/>
          <w:sz w:val="22"/>
          <w:szCs w:val="22"/>
          <w:lang w:val="es-ES_tradnl" w:eastAsia="en-US"/>
        </w:rPr>
        <w:t>ia y Comercio sobre el proyecto’</w:t>
      </w:r>
      <w:r w:rsidRPr="0036643C">
        <w:rPr>
          <w:rFonts w:ascii="Bookman Old Style" w:eastAsia="Calibri" w:hAnsi="Bookman Old Style" w:cs="Arial"/>
          <w:i/>
          <w:sz w:val="22"/>
          <w:szCs w:val="22"/>
          <w:lang w:val="es-ES_tradnl" w:eastAsia="en-US"/>
        </w:rPr>
        <w:t>.</w:t>
      </w:r>
    </w:p>
    <w:p w:rsidR="00965DF7" w:rsidRPr="0036643C" w:rsidRDefault="00965DF7" w:rsidP="00965DF7">
      <w:pPr>
        <w:ind w:left="284" w:right="284"/>
        <w:jc w:val="both"/>
        <w:rPr>
          <w:rFonts w:ascii="Bookman Old Style" w:eastAsia="Calibri" w:hAnsi="Bookman Old Style" w:cs="Arial"/>
          <w:sz w:val="22"/>
          <w:szCs w:val="22"/>
          <w:lang w:val="es-ES_tradnl" w:eastAsia="en-US"/>
        </w:rPr>
      </w:pPr>
    </w:p>
    <w:p w:rsidR="00965DF7" w:rsidRPr="0036643C" w:rsidRDefault="00965DF7" w:rsidP="00965DF7">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 xml:space="preserve">En relación con lo anterior, en primer lugar esta Comisión ha evaluado la existencia de otras alternativas regulatorias a fin de dar cumplimiento a los fines y objetivos perseguidos por esta norma, en relación con garantizar la debida prestación del servicio de GLP en cilindros y tanques estacionarios, reforzando igualmente la operatividad del esquema de cilindros marcados en el cual se sustenta el marco regulatorio para la prestación del servicio, así como las responsabilidades, obligaciones y derechos con los que se cuenta por parte de empresas y usuarios dentro de la actividad de distribución de GLP. </w:t>
      </w:r>
    </w:p>
    <w:p w:rsidR="00965DF7" w:rsidRPr="0036643C" w:rsidRDefault="00965DF7" w:rsidP="00965DF7">
      <w:pPr>
        <w:ind w:left="284" w:right="284"/>
        <w:jc w:val="both"/>
        <w:rPr>
          <w:rFonts w:ascii="Bookman Old Style" w:eastAsia="Calibri" w:hAnsi="Bookman Old Style" w:cs="Arial"/>
          <w:sz w:val="22"/>
          <w:szCs w:val="22"/>
          <w:lang w:val="es-ES_tradnl" w:eastAsia="en-US"/>
        </w:rPr>
      </w:pPr>
    </w:p>
    <w:p w:rsidR="00965DF7" w:rsidRPr="0036643C" w:rsidRDefault="00965DF7" w:rsidP="002A3EB4">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 xml:space="preserve">En este sentido, estas consideraciones han implicado la evaluación del alternativas regulatorias, entre otras: i) la de no emitir nueva regulación, es decir, no expedir ninguna media regulatoria y mantener el esquema regulatorio actual del cual hacen parte los parámetros de conducta (obligaciones, responsabilidades y/o prohibiciones) de los agentes que realizan las actividades de comercialización mayorista y distribución de GLP, a fin de que el cumplimiento de los objetivos perseguidos por la propuesta regulatoria se vean materializados a través de las labores de inspección, vigilancia y control a cargo de la Superintendencia de Servicios Públicos Domiciliarios - SSPD. Esto ha sido expuesto por los intervinientes y agentes dentro de la consulta y el proceso de socialización de la propuesta de la Resolución CREG 221 de 2015; ii) expedir una media regulatoria, para lo cual, se debe establecer cuál es la medida de intervención, desde el punto de vista de orientar las conductas de los agentes dentro de las actividades de comercialización mayorista y distribución de GLP, que pueda generar en mayor grado el cumplimiento de los fines y objetivos a los que hace referencia la propuesta regulatoria de acuerdo con lo previsto en la Ley 142 de 1994 y el artículo 62 de la Ley 1151 de 2007 y que a su vez genere un menor impacto entre los agentes, impacto que debe tener en el cumplimiento de otros elementos normativos, como es el caso de la normativa en materia de libre competencia a que hace la Ley 1341 de 2009.  </w:t>
      </w:r>
    </w:p>
    <w:p w:rsidR="00965DF7" w:rsidRPr="0036643C" w:rsidRDefault="00965DF7" w:rsidP="00965DF7">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lastRenderedPageBreak/>
        <w:t xml:space="preserve">En el caso de la primera alternativa, se debe tener en cuenta que a efectos de llevar a cabo el cambio de esquema de cilindros universales a un parque de cilindros marcados propiedad de los distribuidores en cumplimiento a los fines en relación con la prestación del servicio previstos en la Ley 142 de 1994, como del artículo 62 de la Ley 1151 de 2007, a partir del año 2008 la CREG expidió una serie de medidas regulatorias de las cuales hacen parte las resoluciones CREG 045 de 2008, 177 de 2011 y 098 de 2012. De igual forma, dentro de las medidas tendientes para el cambio de esquema y la forma como se debería prestar el servicio a los usuarios, la CREG expidió el reglamento de distribución y/o comercialización minorista de GLP, en el cual se incorporan las reglas, obligaciones y responsabilidades a las que se someten los agentes que van a realizar estas actividades. Estas medidas, así como aquellas en materia tarifaria, incorporaban igualmente incentivos a efectos de que los agentes contarán con las inversiones en cilindros marcados necesarias para llevar a cabo la prestación del servicio.  </w:t>
      </w:r>
    </w:p>
    <w:p w:rsidR="00965DF7" w:rsidRPr="0036643C" w:rsidRDefault="00965DF7" w:rsidP="00965DF7">
      <w:pPr>
        <w:ind w:left="284" w:right="284"/>
        <w:jc w:val="both"/>
        <w:rPr>
          <w:rFonts w:ascii="Bookman Old Style" w:eastAsia="Calibri" w:hAnsi="Bookman Old Style" w:cs="Arial"/>
          <w:sz w:val="22"/>
          <w:szCs w:val="22"/>
          <w:lang w:val="es-ES_tradnl" w:eastAsia="en-US"/>
        </w:rPr>
      </w:pPr>
    </w:p>
    <w:p w:rsidR="00965DF7" w:rsidRPr="0036643C" w:rsidRDefault="00965DF7" w:rsidP="00965DF7">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Adicionalmente, como se ha explicado, las medidas regulatorias en su conjunto, tanto para las actividades de comercialización mayorista como para la distribución de GLP, implican que los parámetros de conducta generan una responsabilidad compartida y un control mutuo, entendido este como el cumplimiento de las obligaciones y responsabilidades entre los agentes que interactúan dentro de alguna de las actividades que hacen parte del mercado y la prestación del servicio de GLP.</w:t>
      </w:r>
    </w:p>
    <w:p w:rsidR="00965DF7" w:rsidRPr="0036643C" w:rsidRDefault="00965DF7" w:rsidP="00965DF7">
      <w:pPr>
        <w:ind w:left="284" w:right="284"/>
        <w:jc w:val="both"/>
        <w:rPr>
          <w:rFonts w:ascii="Bookman Old Style" w:eastAsia="Calibri" w:hAnsi="Bookman Old Style" w:cs="Arial"/>
          <w:sz w:val="22"/>
          <w:szCs w:val="22"/>
          <w:lang w:val="es-ES_tradnl" w:eastAsia="en-US"/>
        </w:rPr>
      </w:pPr>
    </w:p>
    <w:p w:rsidR="00965DF7" w:rsidRPr="0036643C" w:rsidRDefault="00965DF7" w:rsidP="00965DF7">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 xml:space="preserve">De acuerdo con lo anterior, si bien a partir de dicho momento se contaba con un esquema regulatorio claro y consistente a efectos de llevar a cabo la prestación del servicio de GLP atendiendo el nuevo esquema, se ha evidenciado que con posterioridad a dicho momento y de acuerdo con lo manifestado por los agentes en diversos espacios, las comunicaciones enviadas por las diversas autoridades de supervisión, vigilancia y control, la existencia de una problemática alrededor de las conductas que se vienen presentando dentro de la prestación del servicio público domiciliario de GLP, las cuales han pasado de eventos aislados y específicos y se han convertido en un elemento sistemático que viene afectando el mercado de GLP, tanto a nivel de usuarios en relación con la forma en que se viene prestando el servicio, así como a las empresas apegadas a la regulación, toda vez que estas conductas afectan las inversiones de estas empresas, la forma en que estos compiten dentro del mercado, poniendo en peligro el esquema regulatorio en el que se sustenta la prestación de este servicio público domiciliario. No es un dato menor que estas conductas ya representan aproximadamente un porcentaje del 15% del mercado de GLP de acuerdo con la información expuesta por parte de los agentes. </w:t>
      </w:r>
    </w:p>
    <w:p w:rsidR="00965DF7" w:rsidRPr="0036643C" w:rsidRDefault="00965DF7" w:rsidP="00965DF7">
      <w:pPr>
        <w:ind w:left="284" w:right="284"/>
        <w:jc w:val="both"/>
        <w:rPr>
          <w:rFonts w:ascii="Bookman Old Style" w:eastAsia="Calibri" w:hAnsi="Bookman Old Style" w:cs="Arial"/>
          <w:sz w:val="22"/>
          <w:szCs w:val="22"/>
          <w:lang w:val="es-ES_tradnl" w:eastAsia="en-US"/>
        </w:rPr>
      </w:pPr>
    </w:p>
    <w:p w:rsidR="00965DF7" w:rsidRPr="0036643C" w:rsidRDefault="00965DF7" w:rsidP="00965DF7">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 xml:space="preserve">En este sentido, a pesar de existir este marco regulatorio, la existencia de estos eventos no se pueden supeditar exclusivamente a la capacidad de supervisión, vigilancia y control. Como se ha expuesto en este documento, la regulación implica la evaluación y la expedición de medias regulatorias eficientes, </w:t>
      </w:r>
      <w:r w:rsidRPr="0036643C">
        <w:rPr>
          <w:rFonts w:ascii="Bookman Old Style" w:eastAsia="Calibri" w:hAnsi="Bookman Old Style" w:cs="Arial"/>
          <w:sz w:val="22"/>
          <w:szCs w:val="22"/>
          <w:shd w:val="clear" w:color="auto" w:fill="FFFFFF"/>
          <w:lang w:val="es-CO" w:eastAsia="es-ES_tradnl"/>
        </w:rPr>
        <w:t xml:space="preserve">e igualmente eficaces, entendidas estas como el cumplimiento que de las mismas se deben realizar por parte de los agentes. Si bien la regulación, en relación con los parámetros de conducta implica que estas tienen un grado de coerción en cuanto su complimiento, como de la realización de aquellas conductas que no están permitidas (prohibiciones), mal haría el regulador en expedir medidas que no sean realizables o que no sean verificables por parte de la autoridad de supervisión y control. </w:t>
      </w: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r w:rsidRPr="0036643C">
        <w:rPr>
          <w:rFonts w:ascii="Bookman Old Style" w:eastAsia="Calibri" w:hAnsi="Bookman Old Style" w:cs="Arial"/>
          <w:sz w:val="22"/>
          <w:szCs w:val="22"/>
          <w:shd w:val="clear" w:color="auto" w:fill="FFFFFF"/>
          <w:lang w:val="es-CO" w:eastAsia="es-ES_tradnl"/>
        </w:rPr>
        <w:t xml:space="preserve">En este sentido no puede el regulador emitir una medida regulatoria y a la espera de su cumplimiento, así como expedir una decisión y que sea la entidad de supervisión y control la que obligue a los agentes a que se cumpla. </w:t>
      </w: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r w:rsidRPr="0036643C">
        <w:rPr>
          <w:rFonts w:ascii="Bookman Old Style" w:eastAsia="Calibri" w:hAnsi="Bookman Old Style" w:cs="Arial"/>
          <w:sz w:val="22"/>
          <w:szCs w:val="22"/>
          <w:shd w:val="clear" w:color="auto" w:fill="FFFFFF"/>
          <w:lang w:val="es-CO" w:eastAsia="es-ES_tradnl"/>
        </w:rPr>
        <w:t xml:space="preserve">Por el contrario, la regulación debe considerar medidas regulatorias eficaces y eficientes, las cuales incluyan incentivos o lo que la misma Corte Constitucional define como “orientar” las conductas de los agentes regulados a llevar a cabo su cumplimiento, por lo que dicho cumplimiento no se debe dar a través de la expedición de un acto de ejecución por parte del órgano de supervisión y control, ya que a este le corresponde es investigar y sancionar las conductas que vayan en contra de la regulación y no hacerla cumplir en cada caso concreto, ya que son los agentes </w:t>
      </w:r>
      <w:r w:rsidRPr="0036643C">
        <w:rPr>
          <w:rFonts w:ascii="Bookman Old Style" w:eastAsia="Calibri" w:hAnsi="Bookman Old Style" w:cs="Arial"/>
          <w:i/>
          <w:sz w:val="22"/>
          <w:szCs w:val="22"/>
          <w:shd w:val="clear" w:color="auto" w:fill="FFFFFF"/>
          <w:lang w:val="es-CO" w:eastAsia="es-ES_tradnl"/>
        </w:rPr>
        <w:t>per se</w:t>
      </w:r>
      <w:r w:rsidRPr="0036643C">
        <w:rPr>
          <w:rFonts w:ascii="Bookman Old Style" w:eastAsia="Calibri" w:hAnsi="Bookman Old Style" w:cs="Arial"/>
          <w:sz w:val="22"/>
          <w:szCs w:val="22"/>
          <w:shd w:val="clear" w:color="auto" w:fill="FFFFFF"/>
          <w:lang w:val="es-CO" w:eastAsia="es-ES_tradnl"/>
        </w:rPr>
        <w:t xml:space="preserve"> quienes deben acatarla. Ejemplo de esto ha sido la expedición de medidas tales como las consagradas en las resoluciones CREG 178 de 2011 en relación con la prohibición de cilindros marcados para circulación y uso para la prestación del servicio, la resolución CREG 164 de 2014 en relación con la existencia de cilindros marcados remanentes, así como ajustes al reglamento de comercialización mayorista mediante la Resolución CREG 174 de 2014 a fin de hacer más transparente la publicidad de la información, incluyendo quien realiza compras en el mercado de libre de GLP. Estas medidas de igual forma persiguen objetivos y fines dentro de la prestación del servicio público domiciliario de GLP en el mismo sentido de la propuesta regulatoria de la Resolución CREG 221 de 2015.</w:t>
      </w: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p>
    <w:p w:rsidR="00965DF7" w:rsidRPr="0036643C" w:rsidRDefault="00965DF7" w:rsidP="00965DF7">
      <w:pPr>
        <w:ind w:left="284" w:right="284"/>
        <w:contextualSpacing/>
        <w:jc w:val="both"/>
        <w:rPr>
          <w:rFonts w:ascii="Bookman Old Style" w:eastAsia="Calibri" w:hAnsi="Bookman Old Style" w:cs="Arial"/>
          <w:sz w:val="22"/>
          <w:szCs w:val="22"/>
          <w:shd w:val="clear" w:color="auto" w:fill="FFFFFF"/>
          <w:lang w:val="es-CO" w:eastAsia="es-ES_tradnl"/>
        </w:rPr>
      </w:pPr>
      <w:r w:rsidRPr="0036643C">
        <w:rPr>
          <w:rFonts w:ascii="Bookman Old Style" w:eastAsia="Calibri" w:hAnsi="Bookman Old Style" w:cs="Arial"/>
          <w:sz w:val="22"/>
          <w:szCs w:val="22"/>
          <w:shd w:val="clear" w:color="auto" w:fill="FFFFFF"/>
          <w:lang w:val="es-CO" w:eastAsia="es-ES_tradnl"/>
        </w:rPr>
        <w:t xml:space="preserve">En este sentido, la Comisión encuentra que el no emitir una medida regulatoria y abstenerse de expedir una medida de intervención no logra el cumplimiento de los fines y objetivos perseguidos por la regulación y la Ley. Esto más aún cuando de la misma información del Sistema Único de Información – SUI se establece la existencia de una situación anómala relacionada con el nivel de coherencia entre las ventas que se realizan algunos agentes a los usuarios finales y las inversiones en activos (cilindros y tanques estacionarios) con las que se deberían contar para llevar a cabo dichas ventas. Esta situación claramente afecta el esquema de prestación del servicio público domiciliario de GLP, al mercado de dicho servicio, así como a los agentes que en debida forma dan cumplimiento a la regulación. </w:t>
      </w: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p>
    <w:p w:rsidR="00965DF7" w:rsidRPr="0036643C" w:rsidRDefault="00965DF7" w:rsidP="00965DF7">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shd w:val="clear" w:color="auto" w:fill="FFFFFF"/>
          <w:lang w:val="es-CO" w:eastAsia="es-ES_tradnl"/>
        </w:rPr>
        <w:t xml:space="preserve">Ahora, teniendo en cuenta la pertinencia de expedir una medida, la Comisión evalúo cuál medida de intervención dentro del mercado de GLP y específicamente, cuál parámetro de conducta entendido como la orientación al actuar de los agentes que realizan alguna de estas actividades </w:t>
      </w:r>
      <w:r w:rsidRPr="0036643C">
        <w:rPr>
          <w:rFonts w:ascii="Bookman Old Style" w:eastAsia="Calibri" w:hAnsi="Bookman Old Style" w:cs="Arial"/>
          <w:sz w:val="22"/>
          <w:szCs w:val="22"/>
          <w:lang w:val="es-ES_tradnl" w:eastAsia="en-US"/>
        </w:rPr>
        <w:t>generan un mayor grado el cumplimiento de los fines y objetivos a los que hace referencia la propuesta regulatoria y que a su vez, genere un menor impacto entre los agentes, así como el cumplimiento de otros elementos normativos, como es el caso de la normativa en materia de libre competencia a que hace la Ley 1341 de 2009.</w:t>
      </w: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r w:rsidRPr="0036643C">
        <w:rPr>
          <w:rFonts w:ascii="Bookman Old Style" w:eastAsia="Calibri" w:hAnsi="Bookman Old Style" w:cs="Arial"/>
          <w:sz w:val="22"/>
          <w:szCs w:val="22"/>
          <w:shd w:val="clear" w:color="auto" w:fill="FFFFFF"/>
          <w:lang w:val="es-CO" w:eastAsia="es-ES_tradnl"/>
        </w:rPr>
        <w:t>En relación con lo anterior, la medida relativa a la definición de una capacidad de compra y las demás responsabilidades y obligaciones incorporadas en los reglamentos mayorista y minorista a nivel de información y control, así como la forma en que esta se encuentra definida dentro de la propuesta regulatoria, obedece a un parámetro razonable y debidamente sustentado y analizado a nivel estadístico y econométrico. Además correspondería a una medida que generaría un impacto menor en el mercado de GLP en relación con la participación de los agentes. De la misma forma que no afectaría otros elementos relacionados con la debida prestación de este servicio.</w:t>
      </w: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r w:rsidRPr="0036643C">
        <w:rPr>
          <w:rFonts w:ascii="Bookman Old Style" w:eastAsia="Calibri" w:hAnsi="Bookman Old Style" w:cs="Arial"/>
          <w:sz w:val="22"/>
          <w:szCs w:val="22"/>
          <w:shd w:val="clear" w:color="auto" w:fill="FFFFFF"/>
          <w:lang w:val="es-CO" w:eastAsia="es-ES_tradnl"/>
        </w:rPr>
        <w:t xml:space="preserve">Actualmente de acuerdo con la información registrada en el SUI las ventas de los distribuidores durante el año 2014 suman 484 millones kilogramos, al implementar la medida en mención, de acuerdo con la capacidad de compra existente actual de todos los agentes que realizan la actividad de distribución de GLP, el mercado podría disponer de 615 millones kg de acuerdo con las inversiones para envasado con las que hoy cuenta dichos agentes. </w:t>
      </w: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r w:rsidRPr="0036643C">
        <w:rPr>
          <w:rFonts w:ascii="Bookman Old Style" w:eastAsia="Calibri" w:hAnsi="Bookman Old Style" w:cs="Arial"/>
          <w:sz w:val="22"/>
          <w:szCs w:val="22"/>
          <w:shd w:val="clear" w:color="auto" w:fill="FFFFFF"/>
          <w:lang w:val="es-CO" w:eastAsia="es-ES_tradnl"/>
        </w:rPr>
        <w:lastRenderedPageBreak/>
        <w:t>Adicionalmente, si se implementara la medida propuesta en este momento, solo se restringirían las compras de GLP a 8% de los distribuidores; los cuales en la medida en que llegaran a ajustar sus inversiones a los niveles razonables</w:t>
      </w:r>
      <w:r w:rsidRPr="0036643C">
        <w:rPr>
          <w:rFonts w:ascii="Bookman Old Style" w:eastAsia="Calibri" w:hAnsi="Bookman Old Style" w:cs="Arial"/>
          <w:sz w:val="22"/>
          <w:szCs w:val="22"/>
          <w:shd w:val="clear" w:color="auto" w:fill="FFFFFF"/>
          <w:vertAlign w:val="superscript"/>
          <w:lang w:val="es-CO" w:eastAsia="es-ES_tradnl"/>
        </w:rPr>
        <w:footnoteReference w:id="7"/>
      </w:r>
      <w:r w:rsidRPr="0036643C">
        <w:rPr>
          <w:rFonts w:ascii="Bookman Old Style" w:eastAsia="Calibri" w:hAnsi="Bookman Old Style" w:cs="Arial"/>
          <w:sz w:val="22"/>
          <w:szCs w:val="22"/>
          <w:shd w:val="clear" w:color="auto" w:fill="FFFFFF"/>
          <w:lang w:val="es-CO" w:eastAsia="es-ES_tradnl"/>
        </w:rPr>
        <w:t xml:space="preserve">, que son requeridos para atender su mercado, bajo el incentivo propuesto, podrán comprar el producto que puede envasar y posteriormente atender su mercado en las condiciones de competencia que están previstos en la regulación expedida por esta comisión en materia de distribución y comercialización minorista de GLP, de libertad vigilada. Igualmente se advierte que la medida no afectaría la atención del usuario ya que con la capacidad de compra existe actual de todos los agentes, se garantiza el abastecimiento del mercado. </w:t>
      </w: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r w:rsidRPr="0036643C">
        <w:rPr>
          <w:rFonts w:ascii="Bookman Old Style" w:eastAsia="Calibri" w:hAnsi="Bookman Old Style" w:cs="Arial"/>
          <w:sz w:val="22"/>
          <w:szCs w:val="22"/>
          <w:shd w:val="clear" w:color="auto" w:fill="FFFFFF"/>
          <w:lang w:val="es-CO" w:eastAsia="es-ES_tradnl"/>
        </w:rPr>
        <w:t xml:space="preserve">Es así que, si bien la adopción de esta medida, en particular, la relativa a la definición de una capacidad de compra en la comercialización mayorista por parte de los distribuidores, puede generar incidencia en la libre competencia en los términos del cuestionario diligenciado en el presente documento, la Comisión encuentra que esta medida permitiría dar cumplimiento de los objetivos a que hace referencia la propuesta regulatoria, así como permitiría un ejercicio más eficaz y eficiente de la labor de supervisión, vigilancia y control en esta materia.  Asimismo, propende por proteger las inversiones que los distribuidores han realizado desde la implementación del esquema de marcas. </w:t>
      </w: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r w:rsidRPr="0036643C">
        <w:rPr>
          <w:rFonts w:ascii="Bookman Old Style" w:eastAsia="Calibri" w:hAnsi="Bookman Old Style" w:cs="Arial"/>
          <w:sz w:val="22"/>
          <w:szCs w:val="22"/>
          <w:shd w:val="clear" w:color="auto" w:fill="FFFFFF"/>
          <w:lang w:val="es-CO" w:eastAsia="es-ES_tradnl"/>
        </w:rPr>
        <w:t>Por el contrario existen alternativas más intrusivas que no permiten llegar al mismo grado de eficacia y el cumplimiento de los objetivos perseguidos mediante la presente propuesta, como sería el caso de: 1) la asignación de cupos, a pesar de no estar en un escenario deficitario de producto; 2) establecer tarifas que correspondan a nivel de activos de cada distribuidor, que puedan generar la presencia de diferentes precios en un mismo mercado y llevar a que no se promueva la competencia; 3), generar incentivos perversos, desde el punto de vista tarifario, que generen ineficiencias relacionadas con el descreme de mercado, lo cual implicaría entre otras no llevar a cabo inversiones en activos propios y usar cilindros que no son de su propiedad.</w:t>
      </w:r>
    </w:p>
    <w:p w:rsidR="00965DF7" w:rsidRPr="0036643C" w:rsidRDefault="00965DF7" w:rsidP="00965DF7">
      <w:pPr>
        <w:ind w:left="284" w:right="284"/>
        <w:jc w:val="both"/>
        <w:rPr>
          <w:rFonts w:ascii="Bookman Old Style" w:eastAsia="Calibri" w:hAnsi="Bookman Old Style" w:cs="Arial"/>
          <w:sz w:val="22"/>
          <w:szCs w:val="22"/>
          <w:shd w:val="clear" w:color="auto" w:fill="FFFFFF"/>
          <w:lang w:val="es-CO" w:eastAsia="es-ES_tradnl"/>
        </w:rPr>
      </w:pPr>
    </w:p>
    <w:p w:rsidR="00965DF7" w:rsidRPr="0036643C" w:rsidRDefault="00965DF7" w:rsidP="00965DF7">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Igualmente, la forma en que se encuentra definida la capacidad de compra de acuerdo con lo previsto en la propuesta de la Resolución CREG 221 de 2015 y el análisis técnico y económico incorporado en el documento de soporte 143 de 2015, fundamentado en análisis econométricos y estadísticos consignados en los numerales 3 y siguientes, permite establecer que los agentes que se ven impactados por la medida regulatoria propuesta dentro del mercado de GLP y la participación en dicho mercado (atendiendo la normativa en materia de libre competencia) es reducido, frente a los agentes que no se verían afectados en su situación actual. Tal como se ha expuesto, en el caso de los agentes que realizan compras en el mercado mayorista y que cuentan con niveles de inversiones en cilindros marcados razonables y necesarias para llevar a cabo la actividad de distribución de GLP, de acuerdo con lo previsto en la propuesta, no se verían afectados con dicha medida y su participación en el mercado. Esto, más aún cuando la misma regulación del cambio de esquema, así como aquella a nivel tarifario han incentivado a los agentes desde el año 2008 hasta hoy a contar con un parque de cilindros marcados de su propiedad necesario y acorde con el nivel de ventas con el que se pretende competir dentro de la actividad de distribución y/o comercialización minorista de GLP.</w:t>
      </w:r>
    </w:p>
    <w:p w:rsidR="00965DF7" w:rsidRPr="0036643C" w:rsidRDefault="00965DF7" w:rsidP="00965DF7">
      <w:pPr>
        <w:ind w:left="284" w:right="284"/>
        <w:jc w:val="both"/>
        <w:rPr>
          <w:rFonts w:ascii="Bookman Old Style" w:eastAsia="Calibri" w:hAnsi="Bookman Old Style" w:cs="Arial"/>
          <w:sz w:val="22"/>
          <w:szCs w:val="22"/>
          <w:lang w:val="es-ES_tradnl" w:eastAsia="en-US"/>
        </w:rPr>
      </w:pPr>
    </w:p>
    <w:p w:rsidR="00965DF7" w:rsidRPr="0036643C" w:rsidRDefault="00965DF7" w:rsidP="00965DF7">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 xml:space="preserve">Frente a estos agentes que no cuentan con este nivel de inversiones, la información del SUI en relación con el nivel de ventas y nivel de activos, así como de las compras en el mayorista, no atiende un parámetro razonable ni tiene una relación lógica en </w:t>
      </w:r>
      <w:r w:rsidRPr="0036643C">
        <w:rPr>
          <w:rFonts w:ascii="Bookman Old Style" w:eastAsia="Calibri" w:hAnsi="Bookman Old Style" w:cs="Arial"/>
          <w:sz w:val="22"/>
          <w:szCs w:val="22"/>
          <w:lang w:val="es-ES_tradnl" w:eastAsia="en-US"/>
        </w:rPr>
        <w:lastRenderedPageBreak/>
        <w:t xml:space="preserve">la forma como se lleva a cabo la prestación de este servicio público, por lo que las conductas que estos realizan pueden estar afectando el esquema regulatorio y la forma como se debe llevar a cabo la prestación del servicio de GLP, en perjuicio de los demás agentes que acatan la regulación y de los usuarios finales. </w:t>
      </w:r>
    </w:p>
    <w:p w:rsidR="00965DF7" w:rsidRPr="0036643C" w:rsidRDefault="00965DF7" w:rsidP="00965DF7">
      <w:pPr>
        <w:ind w:left="284" w:right="284"/>
        <w:jc w:val="both"/>
        <w:rPr>
          <w:rFonts w:ascii="Bookman Old Style" w:eastAsia="Calibri" w:hAnsi="Bookman Old Style" w:cs="Arial"/>
          <w:sz w:val="22"/>
          <w:szCs w:val="22"/>
          <w:lang w:val="es-ES_tradnl" w:eastAsia="en-US"/>
        </w:rPr>
      </w:pPr>
    </w:p>
    <w:p w:rsidR="00965DF7" w:rsidRPr="0036643C" w:rsidRDefault="00965DF7" w:rsidP="00965DF7">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 xml:space="preserve">En este sentido, esta medida no está dirigida a limitar la participación de los agentes dentro del mercado de GLP sino a fortalecer sus conductas y la forma como estos desarrollan las actividades de comercialización mayorista y distribución sean coherentes con lo dispuesto en la regulación y la forma en que estos deben actuar en el mercado frente a los demás agentes, ya que de lo contrario, dichas conductas estarían afectando la prestación del servicio y el desarrollo de la competencia en la medida en que los agentes que no realizan las inversiones necesarias para la prestación del servicio obtienen ventajas sobre el precio de venta final; así como los fines y objetivos a los que se ha hecho referencia, que persigue la prestación del servicio público domiciliario de GLP de acuerdo con lo previsto en la Ley 142 de 1994 y el artículo 62 de la Ley 1151 de 2007.   </w:t>
      </w:r>
    </w:p>
    <w:p w:rsidR="00965DF7" w:rsidRPr="0036643C" w:rsidRDefault="00965DF7" w:rsidP="00965DF7">
      <w:pPr>
        <w:ind w:left="284" w:right="284"/>
        <w:jc w:val="both"/>
        <w:rPr>
          <w:rFonts w:ascii="Bookman Old Style" w:eastAsia="Calibri" w:hAnsi="Bookman Old Style" w:cs="Arial"/>
          <w:sz w:val="22"/>
          <w:szCs w:val="22"/>
          <w:lang w:val="es-ES_tradnl" w:eastAsia="en-US"/>
        </w:rPr>
      </w:pPr>
    </w:p>
    <w:p w:rsidR="00965DF7" w:rsidRPr="0036643C" w:rsidRDefault="00965DF7" w:rsidP="00965DF7">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En este sentido, la Comisión encuentra que la medida regulatoria propuesta genera un menor impacto a nivel de la participación de los agentes y del mercado, toda vez que deberán participar aquellos agentes que desarrollen conductas coherentes que no afecten el mercado de GLP, así como aquellos que den cumplimiento a la regulación incluida la forma como se lleva a cabo la prestación del servicio de GLP. De esta forma la Comisión encuentra que se encuentran compensados y mitigados los eventos en los cuales la medida regulatoria propuesta puede generar una afectación en materia de libre competencia y participación en el mercado, logrando el cumplimiento de los fines regulatorios a los que se hace referencia en la parte motiva de la propuesta, su documento de soporte, así como en el presente documento en materia de servicios públicos domiciliarios y particularmente el esquema de marca en que se sustenta la formalidad, seguridad y responsabilidad para prestación del servicio público de GLP.</w:t>
      </w:r>
    </w:p>
    <w:p w:rsidR="00965DF7" w:rsidRPr="0036643C" w:rsidRDefault="00965DF7" w:rsidP="00965DF7">
      <w:pPr>
        <w:ind w:left="284" w:right="284"/>
        <w:jc w:val="both"/>
        <w:rPr>
          <w:rFonts w:ascii="Bookman Old Style" w:eastAsia="Calibri" w:hAnsi="Bookman Old Style" w:cs="Arial"/>
          <w:sz w:val="22"/>
          <w:szCs w:val="22"/>
          <w:lang w:val="es-ES_tradnl" w:eastAsia="en-US"/>
        </w:rPr>
      </w:pPr>
    </w:p>
    <w:p w:rsidR="00965DF7" w:rsidRPr="0036643C" w:rsidRDefault="00965DF7" w:rsidP="00965DF7">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 xml:space="preserve">Ahora, esta mitigación o menor impacto de la medida propuesta con respecto a la participación de los agentes en el mercado de GLP se ve igualmente como una menor incidencia en la libre competencia en la medida en que los agentes que alcancen un nivel de inversiones eficiente para su operación comercial (y ajustado a la regulación), no se ven excluidos o limitados en su participación dentro del mercado de GLP. De esta forma, la medida regulatoria no les impide ni les prohíbe en ningún momento de la participación en el mercado de GLP, toda vez que cuentan con la alternativa o posibilidad de ajustarse al mismo parámetro regulatorio exigido a los agentes que estén en las mismas condiciones para desarrollar la actividad de distribución de GLP o realizar compras en el mercado mayorista. </w:t>
      </w:r>
    </w:p>
    <w:p w:rsidR="00965DF7" w:rsidRPr="0036643C" w:rsidRDefault="00965DF7" w:rsidP="00965DF7">
      <w:pPr>
        <w:ind w:left="284" w:right="284"/>
        <w:jc w:val="both"/>
        <w:rPr>
          <w:rFonts w:ascii="Bookman Old Style" w:eastAsia="Calibri" w:hAnsi="Bookman Old Style" w:cs="Arial"/>
          <w:sz w:val="22"/>
          <w:szCs w:val="22"/>
          <w:lang w:val="es-ES_tradnl" w:eastAsia="en-US"/>
        </w:rPr>
      </w:pPr>
    </w:p>
    <w:p w:rsidR="00965DF7" w:rsidRPr="0036643C" w:rsidRDefault="00965DF7" w:rsidP="00965DF7">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 xml:space="preserve">De la misma forma, se debe tener en cuenta que la medida propuesta no eleva los costos de entrada o salida de estos agentes. Esto, teniendo en cuenta que la regulación en materia tarifaria, particularmente lo previsto en la Resolución CREG 001 de 2009 ha fomentado para el esquema de marca la remuneración y el incentivo a fin de que los agentes cuenten con las inversiones necesarias y razonables, propias de la actividad, para prestar el servicio. Igualmente, la medida no tiene afectación o implicaciones en materia de precio o a nivel tarifario. </w:t>
      </w:r>
      <w:r>
        <w:rPr>
          <w:rFonts w:ascii="Bookman Old Style" w:eastAsia="Calibri" w:hAnsi="Bookman Old Style" w:cs="Arial"/>
          <w:sz w:val="22"/>
          <w:szCs w:val="22"/>
          <w:lang w:val="es-ES_tradnl" w:eastAsia="en-US"/>
        </w:rPr>
        <w:t>“</w:t>
      </w:r>
    </w:p>
    <w:p w:rsidR="00965DF7" w:rsidRDefault="00965DF7" w:rsidP="00965DF7">
      <w:pPr>
        <w:pStyle w:val="Textoindependiente2"/>
        <w:spacing w:after="0" w:line="240" w:lineRule="auto"/>
        <w:ind w:left="-142" w:right="-142"/>
        <w:jc w:val="both"/>
        <w:rPr>
          <w:rFonts w:ascii="Bookman Old Style" w:hAnsi="Bookman Old Style"/>
          <w:szCs w:val="27"/>
          <w:lang w:val="es-ES_tradnl"/>
        </w:rPr>
      </w:pPr>
    </w:p>
    <w:p w:rsidR="002A3EB4" w:rsidRDefault="00965DF7" w:rsidP="00965DF7">
      <w:pPr>
        <w:pStyle w:val="Textoindependiente2"/>
        <w:spacing w:after="0" w:line="240" w:lineRule="auto"/>
        <w:ind w:left="-142" w:right="-142"/>
        <w:jc w:val="both"/>
        <w:rPr>
          <w:rFonts w:ascii="Bookman Old Style" w:hAnsi="Bookman Old Style"/>
          <w:lang w:val="es-ES_tradnl"/>
        </w:rPr>
      </w:pPr>
      <w:r>
        <w:rPr>
          <w:rFonts w:ascii="Bookman Old Style" w:hAnsi="Bookman Old Style"/>
          <w:szCs w:val="27"/>
          <w:lang w:val="es-ES_tradnl"/>
        </w:rPr>
        <w:lastRenderedPageBreak/>
        <w:t xml:space="preserve">Ahora, se debe tener en cuenta que con </w:t>
      </w:r>
      <w:r w:rsidRPr="00E65D8D">
        <w:rPr>
          <w:rFonts w:ascii="Bookman Old Style" w:hAnsi="Bookman Old Style"/>
          <w:lang w:val="es-ES_tradnl"/>
        </w:rPr>
        <w:t>base en lo establecido en el artículo 4 del Decreto 2897 de 2010, reglamentario de la Ley 1340 de 2009</w:t>
      </w:r>
      <w:r w:rsidRPr="00E65D8D">
        <w:rPr>
          <w:rFonts w:ascii="Bookman Old Style" w:hAnsi="Bookman Old Style"/>
          <w:vertAlign w:val="superscript"/>
          <w:lang w:val="es-ES_tradnl"/>
        </w:rPr>
        <w:footnoteReference w:id="8"/>
      </w:r>
      <w:r w:rsidRPr="00E65D8D">
        <w:rPr>
          <w:rFonts w:ascii="Bookman Old Style" w:hAnsi="Bookman Old Style"/>
          <w:lang w:val="es-ES_tradnl"/>
        </w:rPr>
        <w:t xml:space="preserve">, </w:t>
      </w:r>
      <w:r>
        <w:rPr>
          <w:rFonts w:ascii="Bookman Old Style" w:hAnsi="Bookman Old Style"/>
          <w:lang w:val="es-ES_tradnl"/>
        </w:rPr>
        <w:t xml:space="preserve">la Comisión </w:t>
      </w:r>
      <w:r w:rsidRPr="00E65D8D">
        <w:rPr>
          <w:rFonts w:ascii="Bookman Old Style" w:hAnsi="Bookman Old Style"/>
          <w:lang w:val="es-ES_tradnl"/>
        </w:rPr>
        <w:t xml:space="preserve">respondió el cuestionario establecido por la Superintendencia de Industria y Comercio para efectos de evaluar la incidencia sobre la libre competencia de los mercados. </w:t>
      </w:r>
    </w:p>
    <w:p w:rsidR="002A3EB4" w:rsidRDefault="002A3EB4" w:rsidP="00965DF7">
      <w:pPr>
        <w:pStyle w:val="Textoindependiente2"/>
        <w:spacing w:after="0" w:line="240" w:lineRule="auto"/>
        <w:ind w:left="-142" w:right="-142"/>
        <w:jc w:val="both"/>
        <w:rPr>
          <w:rFonts w:ascii="Bookman Old Style" w:hAnsi="Bookman Old Style"/>
          <w:lang w:val="es-ES_tradnl"/>
        </w:rPr>
      </w:pPr>
    </w:p>
    <w:p w:rsidR="00965DF7" w:rsidRDefault="00965DF7" w:rsidP="00965DF7">
      <w:pPr>
        <w:pStyle w:val="Textoindependiente2"/>
        <w:spacing w:after="0" w:line="240" w:lineRule="auto"/>
        <w:ind w:left="-142" w:right="-142"/>
        <w:jc w:val="both"/>
        <w:rPr>
          <w:rFonts w:ascii="Bookman Old Style" w:hAnsi="Bookman Old Style"/>
          <w:lang w:val="es-ES_tradnl"/>
        </w:rPr>
      </w:pPr>
      <w:r w:rsidRPr="00E65D8D">
        <w:rPr>
          <w:rFonts w:ascii="Bookman Old Style" w:hAnsi="Bookman Old Style"/>
          <w:lang w:val="es-ES_tradnl"/>
        </w:rPr>
        <w:t>En el Documento CREG 030 de 2016 se transcribe el cuestionario al que se refiere el artículo 5 del Decreto 2897 de 2010.</w:t>
      </w:r>
      <w:r>
        <w:rPr>
          <w:rFonts w:ascii="Bookman Old Style" w:hAnsi="Bookman Old Style"/>
          <w:lang w:val="es-ES_tradnl"/>
        </w:rPr>
        <w:t xml:space="preserve"> En este sentido, m</w:t>
      </w:r>
      <w:r w:rsidRPr="00E65D8D">
        <w:rPr>
          <w:rFonts w:ascii="Bookman Old Style" w:hAnsi="Bookman Old Style"/>
          <w:lang w:val="es-ES_tradnl"/>
        </w:rPr>
        <w:t>ediante comunicación con radicado CREG S-2016-001715, radicado SIC 16-088496, se informó de la propuesta regulatoria, así como los demás documentos que de esta hace parte, a la Superintendencia de Industria y Comercio en cumplimiento del requisito previsto en el numeral 2.2.2.30.3  del Decreto 1078 de 2015.</w:t>
      </w:r>
    </w:p>
    <w:p w:rsidR="00965DF7" w:rsidRDefault="00965DF7" w:rsidP="00965DF7">
      <w:pPr>
        <w:pStyle w:val="Textoindependiente2"/>
        <w:spacing w:after="0" w:line="240" w:lineRule="auto"/>
        <w:ind w:left="-142" w:right="-142"/>
        <w:jc w:val="both"/>
        <w:rPr>
          <w:rFonts w:ascii="Bookman Old Style" w:hAnsi="Bookman Old Style"/>
          <w:lang w:val="es-ES_tradnl"/>
        </w:rPr>
      </w:pPr>
    </w:p>
    <w:p w:rsidR="00965DF7" w:rsidRPr="00E65D8D" w:rsidRDefault="00965DF7" w:rsidP="00965DF7">
      <w:pPr>
        <w:pStyle w:val="Textoindependiente2"/>
        <w:spacing w:after="0" w:line="240" w:lineRule="auto"/>
        <w:ind w:left="-142" w:right="-142"/>
        <w:jc w:val="both"/>
        <w:rPr>
          <w:rFonts w:ascii="Bookman Old Style" w:hAnsi="Bookman Old Style"/>
          <w:szCs w:val="27"/>
          <w:lang w:val="es-ES_tradnl"/>
        </w:rPr>
      </w:pPr>
      <w:r w:rsidRPr="00E65D8D">
        <w:rPr>
          <w:rFonts w:ascii="Bookman Old Style" w:hAnsi="Bookman Old Style"/>
          <w:lang w:val="es-ES_tradnl"/>
        </w:rPr>
        <w:t>Mediante comunicación con radicado CREG E-2016-004751 de 22 de abril de 2016 la Superintendencia de Industria y Comercio emitió el concepto en relación con la abogacía de la competencia, en el cual formulo tres (3) recomendaciones en relación con el contenido del proyecto:</w:t>
      </w:r>
    </w:p>
    <w:p w:rsidR="00965DF7" w:rsidRPr="00E65D8D" w:rsidRDefault="00965DF7" w:rsidP="00965DF7">
      <w:pPr>
        <w:ind w:left="0"/>
        <w:jc w:val="both"/>
        <w:rPr>
          <w:rFonts w:ascii="Bookman Old Style" w:hAnsi="Bookman Old Style"/>
          <w:lang w:val="es-ES_tradnl"/>
        </w:rPr>
      </w:pPr>
    </w:p>
    <w:p w:rsidR="00965DF7" w:rsidRPr="00E65D8D" w:rsidRDefault="00965DF7" w:rsidP="00965DF7">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“i)</w:t>
      </w:r>
      <w:r w:rsidRPr="00E65D8D">
        <w:rPr>
          <w:rFonts w:ascii="Bookman Old Style" w:hAnsi="Bookman Old Style"/>
          <w:sz w:val="22"/>
          <w:szCs w:val="22"/>
          <w:lang w:val="es-ES_tradnl"/>
        </w:rPr>
        <w:tab/>
        <w:t xml:space="preserve">Con el fin de mitigar el riesgo de ‘free </w:t>
      </w:r>
      <w:proofErr w:type="spellStart"/>
      <w:r w:rsidRPr="00E65D8D">
        <w:rPr>
          <w:rFonts w:ascii="Bookman Old Style" w:hAnsi="Bookman Old Style"/>
          <w:sz w:val="22"/>
          <w:szCs w:val="22"/>
          <w:lang w:val="es-ES_tradnl"/>
        </w:rPr>
        <w:t>riding</w:t>
      </w:r>
      <w:proofErr w:type="spellEnd"/>
      <w:r w:rsidRPr="00E65D8D">
        <w:rPr>
          <w:rFonts w:ascii="Bookman Old Style" w:hAnsi="Bookman Old Style"/>
          <w:sz w:val="22"/>
          <w:szCs w:val="22"/>
          <w:lang w:val="es-ES_tradnl"/>
        </w:rPr>
        <w:t>’ y evitar que se desincentive el crecimiento de las inversiones de los distribuidores en el mercado, se podría condicionar la entrega efectiva de GLP, en vez de la compra, a la existencia de capacidad disponible. Así, el distribuidor podría resultar asignatario de cantidades de GLP superiores a su capacidad disponible.</w:t>
      </w:r>
    </w:p>
    <w:p w:rsidR="00965DF7" w:rsidRPr="00E65D8D" w:rsidRDefault="00965DF7" w:rsidP="00965DF7">
      <w:pPr>
        <w:ind w:left="284" w:right="284"/>
        <w:jc w:val="both"/>
        <w:rPr>
          <w:rFonts w:ascii="Bookman Old Style" w:hAnsi="Bookman Old Style"/>
          <w:sz w:val="22"/>
          <w:szCs w:val="22"/>
          <w:lang w:val="es-ES_tradnl"/>
        </w:rPr>
      </w:pPr>
    </w:p>
    <w:p w:rsidR="00965DF7" w:rsidRPr="00E65D8D" w:rsidRDefault="00965DF7" w:rsidP="00965DF7">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Ahora bien, de acoger esta recomendación, sería necesario que el regulador considere la posibilidad de permitirle a los comercializadores mayoristas vender aquellas cantidades comprometidas pero no que pudieron ser entregadas por ausencia de capacidad disponible del distribuidor.</w:t>
      </w:r>
    </w:p>
    <w:p w:rsidR="00965DF7" w:rsidRPr="00E65D8D" w:rsidRDefault="00965DF7" w:rsidP="00965DF7">
      <w:pPr>
        <w:ind w:left="284" w:right="284"/>
        <w:jc w:val="both"/>
        <w:rPr>
          <w:rFonts w:ascii="Bookman Old Style" w:hAnsi="Bookman Old Style"/>
          <w:sz w:val="22"/>
          <w:szCs w:val="22"/>
          <w:lang w:val="es-ES_tradnl"/>
        </w:rPr>
      </w:pPr>
    </w:p>
    <w:p w:rsidR="00965DF7" w:rsidRPr="00E65D8D" w:rsidRDefault="00965DF7" w:rsidP="00965DF7">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ii)</w:t>
      </w:r>
      <w:r w:rsidRPr="00E65D8D">
        <w:rPr>
          <w:rFonts w:ascii="Bookman Old Style" w:hAnsi="Bookman Old Style"/>
          <w:sz w:val="22"/>
          <w:szCs w:val="22"/>
          <w:lang w:val="es-ES_tradnl"/>
        </w:rPr>
        <w:tab/>
        <w:t>A futuro, en caso de que el regulador implemente las subastas como mecanismo de determinación de precios y cantidades vendidas de GLP, evitar la publicación de la capacidad máxima de compra y de la capacidad disponible de compra de cada distribuidor.</w:t>
      </w:r>
    </w:p>
    <w:p w:rsidR="00965DF7" w:rsidRPr="00E65D8D" w:rsidRDefault="00965DF7" w:rsidP="00965DF7">
      <w:pPr>
        <w:ind w:left="284" w:right="284"/>
        <w:jc w:val="both"/>
        <w:rPr>
          <w:rFonts w:ascii="Bookman Old Style" w:hAnsi="Bookman Old Style"/>
          <w:sz w:val="22"/>
          <w:szCs w:val="22"/>
          <w:lang w:val="es-ES_tradnl"/>
        </w:rPr>
      </w:pPr>
    </w:p>
    <w:p w:rsidR="00965DF7" w:rsidRPr="00E65D8D" w:rsidRDefault="00965DF7" w:rsidP="00965DF7">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iii)</w:t>
      </w:r>
      <w:r w:rsidRPr="00E65D8D">
        <w:rPr>
          <w:rFonts w:ascii="Bookman Old Style" w:hAnsi="Bookman Old Style"/>
          <w:sz w:val="22"/>
          <w:szCs w:val="22"/>
          <w:lang w:val="es-ES_tradnl"/>
        </w:rPr>
        <w:tab/>
        <w:t>Diseñar un mecanismo de trazabilidad que permite identificar posibles declaraciones sobreestimadas de la capacidad de envasado.”</w:t>
      </w:r>
    </w:p>
    <w:p w:rsidR="00965DF7" w:rsidRPr="00E65D8D" w:rsidRDefault="00965DF7" w:rsidP="00965DF7">
      <w:pPr>
        <w:ind w:left="0"/>
        <w:jc w:val="both"/>
        <w:rPr>
          <w:rFonts w:ascii="Bookman Old Style" w:hAnsi="Bookman Old Style"/>
          <w:lang w:val="es-ES_tradnl"/>
        </w:rPr>
      </w:pPr>
    </w:p>
    <w:p w:rsidR="00965DF7" w:rsidRPr="00E65D8D" w:rsidRDefault="00965DF7" w:rsidP="002A3EB4">
      <w:pPr>
        <w:pStyle w:val="Textoindependiente2"/>
        <w:spacing w:after="0" w:line="240" w:lineRule="auto"/>
        <w:ind w:left="-142" w:right="-142"/>
        <w:jc w:val="both"/>
        <w:rPr>
          <w:rFonts w:ascii="Bookman Old Style" w:hAnsi="Bookman Old Style"/>
          <w:lang w:val="es-ES_tradnl"/>
        </w:rPr>
      </w:pPr>
      <w:r>
        <w:rPr>
          <w:rFonts w:ascii="Bookman Old Style" w:hAnsi="Bookman Old Style"/>
          <w:lang w:val="es-ES_tradnl"/>
        </w:rPr>
        <w:t xml:space="preserve">Dichas recomendaciones fueron incorporadas en la Resolución CREG 063 de 2016 y fueron objeto de respuesta </w:t>
      </w:r>
      <w:r w:rsidRPr="00E65D8D">
        <w:rPr>
          <w:rFonts w:ascii="Bookman Old Style" w:hAnsi="Bookman Old Style"/>
          <w:lang w:val="es-ES_tradnl"/>
        </w:rPr>
        <w:t xml:space="preserve">por parte de esta Comisión </w:t>
      </w:r>
      <w:r>
        <w:rPr>
          <w:rFonts w:ascii="Bookman Old Style" w:hAnsi="Bookman Old Style"/>
          <w:lang w:val="es-ES_tradnl"/>
        </w:rPr>
        <w:t>en dicho acto administrativo como en su documento soporte para lo cual se expuso</w:t>
      </w:r>
      <w:r w:rsidRPr="00E65D8D">
        <w:rPr>
          <w:rFonts w:ascii="Bookman Old Style" w:hAnsi="Bookman Old Style"/>
          <w:lang w:val="es-ES_tradnl"/>
        </w:rPr>
        <w:t xml:space="preserve"> lo siguiente:</w:t>
      </w:r>
    </w:p>
    <w:p w:rsidR="00965DF7" w:rsidRPr="00E65D8D" w:rsidRDefault="00965DF7" w:rsidP="00965DF7">
      <w:pPr>
        <w:ind w:left="0"/>
        <w:jc w:val="both"/>
        <w:rPr>
          <w:rFonts w:ascii="Bookman Old Style" w:hAnsi="Bookman Old Style"/>
          <w:lang w:val="es-ES_tradnl"/>
        </w:rPr>
      </w:pPr>
    </w:p>
    <w:p w:rsidR="00965DF7" w:rsidRPr="00E65D8D" w:rsidRDefault="00965DF7" w:rsidP="00965DF7">
      <w:pPr>
        <w:ind w:left="284" w:right="284"/>
        <w:jc w:val="both"/>
        <w:rPr>
          <w:rFonts w:ascii="Bookman Old Style" w:hAnsi="Bookman Old Style"/>
          <w:sz w:val="22"/>
          <w:szCs w:val="22"/>
          <w:lang w:val="es-ES_tradnl"/>
        </w:rPr>
      </w:pPr>
      <w:r>
        <w:rPr>
          <w:rFonts w:ascii="Bookman Old Style" w:hAnsi="Bookman Old Style"/>
          <w:sz w:val="22"/>
          <w:szCs w:val="22"/>
          <w:lang w:val="es-ES_tradnl"/>
        </w:rPr>
        <w:t>“</w:t>
      </w:r>
      <w:r w:rsidRPr="00E65D8D">
        <w:rPr>
          <w:rFonts w:ascii="Bookman Old Style" w:hAnsi="Bookman Old Style"/>
          <w:sz w:val="22"/>
          <w:szCs w:val="22"/>
          <w:lang w:val="es-ES_tradnl"/>
        </w:rPr>
        <w:t>Frente a la alternativa de enfocar la medida regulatoria propuesta en relación con la entrega efectiva de GLP a la existencia de capacidad disponible, en vez de la compra, se debe tener en cuenta que esta alternativa fue analizada por la Comisión, sin embargo, la misma no fue implementada toda vez que esto no permitiría dar cumplimiento a los principios y objetivos que se persigue la regulación dentro de la comercialización mayorista de GLP en el marco de la Ley 142 de 1994, los cuales tienen relación con: i) garantizar la asignación de producto con precio regulado en condiciones transparentes y no discriminatorias; ii) contar permanentemente con una adecuada estimación del balance entre oferta y demanda; iii) contar con una imagen integrada de toda la oferta disponible.</w:t>
      </w:r>
    </w:p>
    <w:p w:rsidR="00965DF7" w:rsidRPr="00E65D8D" w:rsidRDefault="00965DF7" w:rsidP="00965DF7">
      <w:pPr>
        <w:ind w:left="284" w:right="284"/>
        <w:jc w:val="both"/>
        <w:rPr>
          <w:rFonts w:ascii="Bookman Old Style" w:hAnsi="Bookman Old Style"/>
          <w:sz w:val="22"/>
          <w:szCs w:val="22"/>
          <w:lang w:val="es-ES_tradnl"/>
        </w:rPr>
      </w:pPr>
    </w:p>
    <w:p w:rsidR="00965DF7" w:rsidRPr="00E65D8D" w:rsidRDefault="00965DF7" w:rsidP="00965DF7">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lastRenderedPageBreak/>
        <w:t xml:space="preserve">Los mecanismos regulatorios definidos, tanto a nivel de precio regulado, así como respecto a las obligaciones, responsabilidades de los agentes, incluido el mecanismo de asignación del producto dentro del reglamento de comercialización mayorista, están dirigidos a incentivar la oferta de GLP dentro de la prestación del servicio público domiciliario de manera eficiente, que lleve al comercializador mayorista con precio regulado a que incorpore dentro de la oferta de la OPC inicial la totalidad del GLP disponible y previsible dentro del período de la OPC, siendo excepcional la aplicación de la OPC adicional para el producto que no tiene dichas características, es decir, disuadiéndolo de ofrecer producto en una OPC adicional cuando no sea procedente. </w:t>
      </w:r>
    </w:p>
    <w:p w:rsidR="00965DF7" w:rsidRPr="00E65D8D" w:rsidRDefault="00965DF7" w:rsidP="00965DF7">
      <w:pPr>
        <w:ind w:left="284" w:right="284"/>
        <w:jc w:val="both"/>
        <w:rPr>
          <w:rFonts w:ascii="Bookman Old Style" w:hAnsi="Bookman Old Style"/>
          <w:sz w:val="22"/>
          <w:szCs w:val="22"/>
          <w:lang w:val="es-ES_tradnl"/>
        </w:rPr>
      </w:pPr>
    </w:p>
    <w:p w:rsidR="00965DF7" w:rsidRPr="00E65D8D" w:rsidRDefault="00965DF7" w:rsidP="00965DF7">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Para ello, le corresponde al comercializador mayorista ofrecer el producto de manera independiente para cada fuente de producción nacional y de manera simultánea para todas ellas, estableciendo las cantidades disponibles en cada punto de producción, de considerarlo necesario, informando el detalle para cada mes que refleje las condiciones reales y previsibles de disponibilidad. Además el comercializador mayorista, deberá incorporar las variaciones en la producción o importación previsibles, generadas por cualquier causa, en la oferta de venta de GLP disponible y, manteniendo los criterios definidos en la regulación aplicables al precio del producto que se ofrece en una OPC adicional.</w:t>
      </w:r>
    </w:p>
    <w:p w:rsidR="00965DF7" w:rsidRPr="00E65D8D" w:rsidRDefault="00965DF7" w:rsidP="00965DF7">
      <w:pPr>
        <w:ind w:left="284" w:right="284"/>
        <w:jc w:val="both"/>
        <w:rPr>
          <w:rFonts w:ascii="Bookman Old Style" w:hAnsi="Bookman Old Style"/>
          <w:sz w:val="22"/>
          <w:szCs w:val="22"/>
          <w:lang w:val="es-ES_tradnl"/>
        </w:rPr>
      </w:pPr>
    </w:p>
    <w:p w:rsidR="00965DF7" w:rsidRPr="00E65D8D" w:rsidRDefault="00965DF7" w:rsidP="00965DF7">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 xml:space="preserve">En este sentido, en el caso de que la propuesta regulatoria se sustentara en la capacidad disponible y no en la capacidad de compra: i) no permitiría tener un panorama claro de la oferta de producto y del balance oferta demanda lo más cercano posible a la realidad, considerando aquellas posibles variaciones que pueden llegar a darse en la producción o importación de producto; ii) en relación con el anterior literal, esto afectaría la participación de los agentes dentro del mercado, tanto en el incentivo que existe al comercializador mayorista con precio regulado a ofrecer todo el GLP para el servicio público domiciliario, así como en cuanto al GLP que le podría ser asignado a un comercializador mayorista y el criterio de neutralidad como parte de la aplicación del mecanismo de asignación de la OPC; iii) este panorama es necesario regulatoriamente a efecto de adoptar medidas como parte del balance oferta demanda de GLP; iv) se llevarían a cabo compras de GLP por fuera de la OPC inicial, es decir, se estaría llevando a cabo OPC adicionales para el GLP que no se pueda entregar como aplicación de la presente propuesta regulatoria, toda vez que regulatoriamente la OPC inicial es el escenario que se tiene previsto para realizar la totalidad de las transacciones de GLP en el mercado mayorista, siendo excepcional dicha aplicación para el GLP que no sea disponible y previsible, más no para aquel que no sea entregado. Esto crearía un mercado secundario que no está concebido claramente por la regulación lo que puede llevar a la desnaturalización de la OPC inicial. </w:t>
      </w:r>
    </w:p>
    <w:p w:rsidR="00965DF7" w:rsidRPr="00E65D8D" w:rsidRDefault="00965DF7" w:rsidP="00965DF7">
      <w:pPr>
        <w:ind w:left="284" w:right="284"/>
        <w:jc w:val="both"/>
        <w:rPr>
          <w:rFonts w:ascii="Bookman Old Style" w:hAnsi="Bookman Old Style"/>
          <w:sz w:val="22"/>
          <w:szCs w:val="22"/>
          <w:lang w:val="es-ES_tradnl"/>
        </w:rPr>
      </w:pPr>
    </w:p>
    <w:p w:rsidR="00965DF7" w:rsidRPr="00E65D8D" w:rsidRDefault="00965DF7" w:rsidP="00965DF7">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Igualmente, la propuesta regulatoria no genera un desincentivo al crecimiento de los distribuidores en el mercado de GLP, toda vez que las medidas propuestas están orientadas y dirigidas dentro de los fines que persigue la prestación de los servicios públicos domiciliarios consagrados en la Ley 142 de 1994, así como a los fines a los cuales se sujeta la regulación (sociales y económicos), cuando dentro del objeto de la propuesta se establece que las medidas propuestas se han de expedir “a fin de evitar que se presenten eventos que afecten el marco regulatorio y la forma como se debe realizar la prestación del servicio público domiciliario de GLP”. Sumado a esto la capacidad de compra total del mercado supera las ventas, dejando una brecha para el crecimiento del mercado formal.</w:t>
      </w:r>
    </w:p>
    <w:p w:rsidR="00965DF7" w:rsidRPr="00E65D8D" w:rsidRDefault="00965DF7" w:rsidP="00965DF7">
      <w:pPr>
        <w:ind w:left="284" w:right="284"/>
        <w:jc w:val="both"/>
        <w:rPr>
          <w:rFonts w:ascii="Bookman Old Style" w:hAnsi="Bookman Old Style"/>
          <w:sz w:val="22"/>
          <w:szCs w:val="22"/>
          <w:lang w:val="es-ES_tradnl"/>
        </w:rPr>
      </w:pPr>
    </w:p>
    <w:p w:rsidR="00965DF7" w:rsidRPr="00E65D8D" w:rsidRDefault="00965DF7" w:rsidP="00965DF7">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 xml:space="preserve">Es por esto que la propuesta regulatoria hace referencia a que las medidas adoptadas corresponden a establecer “parámetros de conducta y la participación de los agentes” dentro de las actividades de comercialización mayorista y </w:t>
      </w:r>
      <w:r w:rsidRPr="00E65D8D">
        <w:rPr>
          <w:rFonts w:ascii="Bookman Old Style" w:hAnsi="Bookman Old Style"/>
          <w:sz w:val="22"/>
          <w:szCs w:val="22"/>
          <w:lang w:val="es-ES_tradnl"/>
        </w:rPr>
        <w:lastRenderedPageBreak/>
        <w:t xml:space="preserve">distribución de GLP, por lo que las disposiciones que allí se incorporan están relacionadas con la forma en que los agentes deben conducirse o comportarse a efectos de llevar a cabo la compra y venta de GLP a nivel mayorista, teniendo en cuenta la relación que esto tiene con la actividad de distribución, atendiendo la forma en que esta se debe llevar a cabo. Lo anterior, principalmente a nivel de la gestión y el incentivo a contar con las inversiones razonables y necesarias para llevar a cabo dicha actividad; razón por la cual, la aplicación de dichas medidas están directamente relacionadas con los reglamentos de comercialización mayorista y minorista de GLP. </w:t>
      </w:r>
    </w:p>
    <w:p w:rsidR="00965DF7" w:rsidRPr="00E65D8D" w:rsidRDefault="00965DF7" w:rsidP="00965DF7">
      <w:pPr>
        <w:ind w:left="284" w:right="284"/>
        <w:jc w:val="both"/>
        <w:rPr>
          <w:rFonts w:ascii="Bookman Old Style" w:hAnsi="Bookman Old Style"/>
          <w:sz w:val="22"/>
          <w:szCs w:val="22"/>
          <w:lang w:val="es-ES_tradnl"/>
        </w:rPr>
      </w:pPr>
    </w:p>
    <w:p w:rsidR="00965DF7" w:rsidRPr="00E65D8D" w:rsidRDefault="00965DF7" w:rsidP="00965DF7">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 xml:space="preserve">En este sentido, el articulado propuesto y las medidas que allí se incluyen establecen criterios que deben ser considerados para la compra y venta de GLP dentro de la comercialización mayorista, sea con precio regulado o con precio libre. Para esto la adquisición del producto por parte de los distribuidores se dará en relación con el nivel de activos (cilindros y tanques estacionarios), y su capacidad de envase, las cuales tienen relación con la actividad de distribución de GLP, así como medidas con respecto al reporte de información en el Sistema Único de Información – SUI, sin que por esto se limite la participación de los agentes en el mercado, toda vez que en el caso de dar cumplimiento a dichas medidas estos podrán mantener su participación en el mercado, más aun teniendo en cuenta que dicha actividad se rige por un esquema regulatorio de libertad vigilada. </w:t>
      </w:r>
    </w:p>
    <w:p w:rsidR="00965DF7" w:rsidRPr="00E65D8D" w:rsidRDefault="00965DF7" w:rsidP="00965DF7">
      <w:pPr>
        <w:ind w:left="284" w:right="284"/>
        <w:jc w:val="both"/>
        <w:rPr>
          <w:rFonts w:ascii="Bookman Old Style" w:hAnsi="Bookman Old Style"/>
          <w:sz w:val="22"/>
          <w:szCs w:val="22"/>
          <w:lang w:val="es-ES_tradnl"/>
        </w:rPr>
      </w:pPr>
    </w:p>
    <w:p w:rsidR="00965DF7" w:rsidRPr="00E65D8D" w:rsidRDefault="00965DF7" w:rsidP="00965DF7">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 xml:space="preserve">Por lo anterior, se establece que esta alternativa basada en la capacidad de entrega genera impactos negativos a nivel regulatorio dentro de los fines y objetivos perseguidos por la comercialización mayorista de GLP, dentro de los cuales se encuentran evitar que el acceso al producto se convierta en una barrera para la competencia en la distribución y comercialización minorista de GLP o en una ventaja para aumentar la posición dominante de algún agente, así como no se ajusta a los incentivos y los mecanismos diseñados por la regulación para el correcto funcionamiento del mecanismo de asignación de producto y la conducta de los agentes, en materia de oferta de producto al mercado nacional, así como la señal de precio existente. </w:t>
      </w:r>
    </w:p>
    <w:p w:rsidR="00965DF7" w:rsidRPr="00E65D8D" w:rsidRDefault="00965DF7" w:rsidP="00965DF7">
      <w:pPr>
        <w:ind w:left="284" w:right="284"/>
        <w:jc w:val="both"/>
        <w:rPr>
          <w:rFonts w:ascii="Bookman Old Style" w:hAnsi="Bookman Old Style"/>
          <w:sz w:val="22"/>
          <w:szCs w:val="22"/>
          <w:lang w:val="es-ES_tradnl"/>
        </w:rPr>
      </w:pPr>
    </w:p>
    <w:p w:rsidR="00965DF7" w:rsidRPr="00E65D8D" w:rsidRDefault="00965DF7" w:rsidP="00965DF7">
      <w:pPr>
        <w:ind w:left="284" w:right="284"/>
        <w:jc w:val="both"/>
        <w:rPr>
          <w:rFonts w:ascii="Bookman Old Style" w:hAnsi="Bookman Old Style"/>
          <w:sz w:val="22"/>
          <w:szCs w:val="22"/>
          <w:lang w:val="es-CO"/>
        </w:rPr>
      </w:pPr>
      <w:r w:rsidRPr="00E65D8D">
        <w:rPr>
          <w:rFonts w:ascii="Bookman Old Style" w:hAnsi="Bookman Old Style"/>
          <w:sz w:val="22"/>
          <w:szCs w:val="22"/>
          <w:lang w:val="es-CO"/>
        </w:rPr>
        <w:t>Ahora bien, para el caso de la aplicación de la propuesta regulatoria dentro de un esquema de subasta que reemplace el esquema actual de comercialización mayorista previsto, entre otras, en las resoluciones CREG 053 de 2011 y 066 de 2007, esta Comisión analizará su compatibilidad y aplicación dentro de dicho esquema, incluyendo los impactos que esto tenga en materia de libre competencia de acuerdo con el análisis que se haga en materia de abogacía de la competencia, donde en caso de ser propuesto, dicha medida regulatoria será enviada a la Superintendencia de Industria y Comercio en caso de que proceda. En este sentido, la presente propuesta regulatoria se limita al mecanismo de comercialización previsto actual dentro del reglamento de comercialización mayorista dentro de la Resolución CREG 053 de 2011.</w:t>
      </w:r>
    </w:p>
    <w:p w:rsidR="00965DF7" w:rsidRPr="00E65D8D" w:rsidRDefault="00965DF7" w:rsidP="00965DF7">
      <w:pPr>
        <w:ind w:left="284" w:right="284"/>
        <w:jc w:val="both"/>
        <w:rPr>
          <w:rFonts w:ascii="Bookman Old Style" w:hAnsi="Bookman Old Style"/>
          <w:sz w:val="22"/>
          <w:szCs w:val="22"/>
          <w:lang w:val="es-CO"/>
        </w:rPr>
      </w:pPr>
    </w:p>
    <w:p w:rsidR="00965DF7" w:rsidRPr="00E65D8D" w:rsidRDefault="00965DF7" w:rsidP="00965DF7">
      <w:pPr>
        <w:ind w:left="284" w:right="284"/>
        <w:jc w:val="both"/>
        <w:rPr>
          <w:rFonts w:ascii="Bookman Old Style" w:hAnsi="Bookman Old Style"/>
          <w:sz w:val="22"/>
          <w:szCs w:val="22"/>
          <w:lang w:val="es-CO"/>
        </w:rPr>
      </w:pPr>
      <w:r w:rsidRPr="00E65D8D">
        <w:rPr>
          <w:rFonts w:ascii="Bookman Old Style" w:hAnsi="Bookman Old Style"/>
          <w:sz w:val="22"/>
          <w:szCs w:val="22"/>
          <w:lang w:val="es-CO"/>
        </w:rPr>
        <w:t>Finalmente, en cuanto al posible incentivo de sobreestimar la capacidad de envasado en cilindros ante posibles</w:t>
      </w:r>
      <w:r w:rsidRPr="00E65D8D">
        <w:rPr>
          <w:rFonts w:ascii="Bookman Old Style" w:hAnsi="Bookman Old Style"/>
          <w:sz w:val="22"/>
          <w:szCs w:val="22"/>
        </w:rPr>
        <w:t xml:space="preserve"> </w:t>
      </w:r>
      <w:r w:rsidRPr="00E65D8D">
        <w:rPr>
          <w:rFonts w:ascii="Bookman Old Style" w:hAnsi="Bookman Old Style"/>
          <w:sz w:val="22"/>
          <w:szCs w:val="22"/>
          <w:lang w:val="es-CO"/>
        </w:rPr>
        <w:t>conductas estratégicas de los distribuidores consistentes en reportar al SUI más cilindros de los que realmente tienen</w:t>
      </w:r>
      <w:r w:rsidRPr="00E65D8D">
        <w:rPr>
          <w:rFonts w:ascii="Bookman Old Style" w:hAnsi="Bookman Old Style"/>
          <w:sz w:val="22"/>
          <w:szCs w:val="22"/>
        </w:rPr>
        <w:t xml:space="preserve"> y </w:t>
      </w:r>
      <w:r w:rsidRPr="00E65D8D">
        <w:rPr>
          <w:rFonts w:ascii="Bookman Old Style" w:hAnsi="Bookman Old Style"/>
          <w:sz w:val="22"/>
          <w:szCs w:val="22"/>
          <w:lang w:val="es-CO"/>
        </w:rPr>
        <w:t xml:space="preserve">diseñar un mecanismo de trazabilidad que permite identificar posibles declaraciones sobreestimadas de la capacidad de envasado, se debe tener en cuenta que la información en relación con el nivel de inversiones y en particular de los cilindros marcados se encuentra en cabeza de la Superintendencia de Servicios Públicos Domiciliarios. </w:t>
      </w:r>
    </w:p>
    <w:p w:rsidR="00965DF7" w:rsidRPr="00E65D8D" w:rsidRDefault="00965DF7" w:rsidP="00965DF7">
      <w:pPr>
        <w:ind w:left="284" w:right="284"/>
        <w:jc w:val="both"/>
        <w:rPr>
          <w:rFonts w:ascii="Bookman Old Style" w:hAnsi="Bookman Old Style"/>
          <w:sz w:val="22"/>
          <w:szCs w:val="22"/>
          <w:lang w:val="es-CO"/>
        </w:rPr>
      </w:pPr>
    </w:p>
    <w:p w:rsidR="00965DF7" w:rsidRPr="00E65D8D" w:rsidRDefault="00965DF7" w:rsidP="00965DF7">
      <w:pPr>
        <w:ind w:left="284" w:right="284"/>
        <w:jc w:val="both"/>
        <w:rPr>
          <w:rFonts w:ascii="Bookman Old Style" w:hAnsi="Bookman Old Style"/>
          <w:sz w:val="22"/>
          <w:szCs w:val="22"/>
          <w:lang w:val="es-CO"/>
        </w:rPr>
      </w:pPr>
      <w:r w:rsidRPr="00E65D8D">
        <w:rPr>
          <w:rFonts w:ascii="Bookman Old Style" w:hAnsi="Bookman Old Style"/>
          <w:sz w:val="22"/>
          <w:szCs w:val="22"/>
          <w:lang w:val="es-CO"/>
        </w:rPr>
        <w:t xml:space="preserve">Sin embargo y con respecto a esta preocupación, esta Comisión dentro del período de la consulta, como parte de la implementación de la propuesta definitiva, así </w:t>
      </w:r>
      <w:r w:rsidRPr="00E65D8D">
        <w:rPr>
          <w:rFonts w:ascii="Bookman Old Style" w:hAnsi="Bookman Old Style"/>
          <w:sz w:val="22"/>
          <w:szCs w:val="22"/>
          <w:lang w:val="es-CO"/>
        </w:rPr>
        <w:lastRenderedPageBreak/>
        <w:t>como atendiendo los comentarios de los agentes en relación con la información del SICMA y el SUI, entre otros, ha venido adelantando un trabajo coordinado con la Dirección Técnica de Gas Combustible de dicha superintendencia a efectos de establecer el estado y el grado de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w:t>
      </w:r>
    </w:p>
    <w:p w:rsidR="00965DF7" w:rsidRPr="00E65D8D" w:rsidRDefault="00965DF7" w:rsidP="00965DF7">
      <w:pPr>
        <w:ind w:left="284" w:right="284"/>
        <w:jc w:val="both"/>
        <w:rPr>
          <w:rFonts w:ascii="Bookman Old Style" w:hAnsi="Bookman Old Style"/>
          <w:sz w:val="22"/>
          <w:szCs w:val="22"/>
          <w:lang w:val="es-CO"/>
        </w:rPr>
      </w:pPr>
    </w:p>
    <w:p w:rsidR="00965DF7" w:rsidRPr="00E65D8D" w:rsidRDefault="00965DF7" w:rsidP="00965DF7">
      <w:pPr>
        <w:ind w:left="284" w:right="284"/>
        <w:jc w:val="both"/>
        <w:rPr>
          <w:rFonts w:ascii="Bookman Old Style" w:hAnsi="Bookman Old Style"/>
          <w:sz w:val="22"/>
          <w:szCs w:val="22"/>
          <w:lang w:val="es-CO"/>
        </w:rPr>
      </w:pPr>
      <w:r w:rsidRPr="00E65D8D">
        <w:rPr>
          <w:rFonts w:ascii="Bookman Old Style" w:hAnsi="Bookman Old Style"/>
          <w:sz w:val="22"/>
          <w:szCs w:val="22"/>
          <w:lang w:val="es-CO"/>
        </w:rPr>
        <w:t>Así mismo, se le ha manifestado a esta superintendencia la necesidad de que dicha herramienta, además de ser pública en cuanto a la información que contiene, permita un control y verificación en eventos como los expresados por la Superintendencia de Industria y Comercio. Sin perjuicio de lo anterior, esta circunstancia será informada directamente a dicha Entidad, como dentro de la discusión de la presente propuesta regulatoria como Entid</w:t>
      </w:r>
      <w:r>
        <w:rPr>
          <w:rFonts w:ascii="Bookman Old Style" w:hAnsi="Bookman Old Style"/>
          <w:sz w:val="22"/>
          <w:szCs w:val="22"/>
          <w:lang w:val="es-CO"/>
        </w:rPr>
        <w:t>ad participante de la Comisión</w:t>
      </w:r>
      <w:r w:rsidRPr="00E65D8D">
        <w:rPr>
          <w:rFonts w:ascii="Bookman Old Style" w:hAnsi="Bookman Old Style"/>
          <w:sz w:val="22"/>
          <w:szCs w:val="22"/>
          <w:lang w:val="es-ES_tradnl"/>
        </w:rPr>
        <w:t>.</w:t>
      </w:r>
      <w:r>
        <w:rPr>
          <w:rFonts w:ascii="Bookman Old Style" w:hAnsi="Bookman Old Style"/>
          <w:sz w:val="22"/>
          <w:szCs w:val="22"/>
          <w:lang w:val="es-ES_tradnl"/>
        </w:rPr>
        <w:t>”</w:t>
      </w:r>
    </w:p>
    <w:p w:rsidR="00965DF7" w:rsidRDefault="00965DF7" w:rsidP="00965DF7">
      <w:pPr>
        <w:pStyle w:val="Textoindependiente2"/>
        <w:spacing w:after="0" w:line="240" w:lineRule="auto"/>
        <w:ind w:left="-142" w:right="-142"/>
        <w:jc w:val="both"/>
        <w:rPr>
          <w:rFonts w:ascii="Bookman Old Style" w:hAnsi="Bookman Old Style"/>
          <w:szCs w:val="27"/>
          <w:lang w:val="es-CO"/>
        </w:rPr>
      </w:pPr>
    </w:p>
    <w:p w:rsidR="00965DF7" w:rsidRPr="00CA3850" w:rsidRDefault="00965DF7" w:rsidP="00965DF7">
      <w:pPr>
        <w:pStyle w:val="Textoindependiente2"/>
        <w:spacing w:after="0" w:line="240" w:lineRule="auto"/>
        <w:ind w:left="-142" w:right="-142"/>
        <w:jc w:val="both"/>
        <w:rPr>
          <w:rFonts w:ascii="Bookman Old Style" w:hAnsi="Bookman Old Style"/>
          <w:lang w:val="es-ES_tradnl"/>
        </w:rPr>
      </w:pPr>
      <w:r>
        <w:rPr>
          <w:rFonts w:ascii="Bookman Old Style" w:hAnsi="Bookman Old Style"/>
          <w:szCs w:val="27"/>
          <w:lang w:val="es-CO"/>
        </w:rPr>
        <w:t xml:space="preserve">En este punto, </w:t>
      </w:r>
      <w:r w:rsidRPr="00CA3850">
        <w:rPr>
          <w:rFonts w:ascii="Bookman Old Style" w:hAnsi="Bookman Old Style"/>
          <w:szCs w:val="27"/>
          <w:lang w:val="es-CO"/>
        </w:rPr>
        <w:t xml:space="preserve">debemos hacer énfasis en que esta Comisión </w:t>
      </w:r>
      <w:r>
        <w:rPr>
          <w:rFonts w:ascii="Bookman Old Style" w:hAnsi="Bookman Old Style"/>
          <w:szCs w:val="27"/>
          <w:lang w:val="es-CO"/>
        </w:rPr>
        <w:t>dio estricto cumplimiento</w:t>
      </w:r>
      <w:r w:rsidRPr="00CA3850">
        <w:rPr>
          <w:rFonts w:ascii="Bookman Old Style" w:hAnsi="Bookman Old Style"/>
          <w:szCs w:val="27"/>
          <w:lang w:val="es-CO"/>
        </w:rPr>
        <w:t xml:space="preserve"> cabalmente con la obligación establecida en la Ley 1340 de 2009 </w:t>
      </w:r>
      <w:r>
        <w:rPr>
          <w:rFonts w:ascii="Bookman Old Style" w:hAnsi="Bookman Old Style"/>
          <w:szCs w:val="27"/>
          <w:lang w:val="es-CO"/>
        </w:rPr>
        <w:t xml:space="preserve"> y en el </w:t>
      </w:r>
      <w:r w:rsidRPr="00E65D8D">
        <w:rPr>
          <w:rFonts w:ascii="Bookman Old Style" w:hAnsi="Bookman Old Style"/>
          <w:lang w:val="es-ES_tradnl"/>
        </w:rPr>
        <w:t>artículo 4 del Decreto 2897 de 2010</w:t>
      </w:r>
      <w:r w:rsidRPr="00E65D8D">
        <w:rPr>
          <w:rFonts w:ascii="Bookman Old Style" w:hAnsi="Bookman Old Style"/>
          <w:vertAlign w:val="superscript"/>
          <w:lang w:val="es-ES_tradnl"/>
        </w:rPr>
        <w:footnoteReference w:id="9"/>
      </w:r>
      <w:r>
        <w:rPr>
          <w:rFonts w:ascii="Bookman Old Style" w:hAnsi="Bookman Old Style"/>
          <w:lang w:val="es-ES_tradnl"/>
        </w:rPr>
        <w:t xml:space="preserve"> en materia de abogacía de la competencia. No sobra advertir en este punto que el H. Consejo de Estado en su Sala de Consulta y Servicio Civil precisó igualmente la aplicación de este mecanismo, con base en las normas citadas, resaltando en este caso </w:t>
      </w:r>
      <w:r w:rsidRPr="00CA3850">
        <w:rPr>
          <w:rFonts w:ascii="Bookman Old Style" w:hAnsi="Bookman Old Style" w:cs="Arial"/>
          <w:spacing w:val="-5"/>
          <w:lang w:val="es-CO" w:eastAsia="en-US"/>
        </w:rPr>
        <w:t>la autonomía que tiene el análisis que se debe hacer por parte de los entes reguladores a fin de establecer si un proyecto regulatorio tiene incidencia o no en la libre competencia y la obligatoriedad de enviar dicho proyecto a la Superintendencia, sólo en la medida que esto sea procedente, es decir, cuando alguna de las respuesta a dicho cuestionario sea afirmativa. Con respecto a esto la Sala de Consulta y Servicio Civil del Consejo de Estado expuso que:</w:t>
      </w:r>
    </w:p>
    <w:p w:rsidR="00965DF7" w:rsidRPr="00CA3850" w:rsidRDefault="00965DF7" w:rsidP="00965DF7">
      <w:pPr>
        <w:ind w:left="0"/>
        <w:jc w:val="both"/>
        <w:rPr>
          <w:rFonts w:ascii="Bookman Old Style" w:hAnsi="Bookman Old Style" w:cs="Arial"/>
          <w:i/>
          <w:spacing w:val="-5"/>
          <w:lang w:val="es-CO" w:eastAsia="en-US"/>
        </w:rPr>
      </w:pPr>
    </w:p>
    <w:p w:rsidR="00965DF7" w:rsidRPr="00CA3850" w:rsidRDefault="00965DF7" w:rsidP="00965DF7">
      <w:pPr>
        <w:ind w:left="284" w:right="284"/>
        <w:jc w:val="both"/>
        <w:rPr>
          <w:rFonts w:ascii="Bookman Old Style" w:hAnsi="Bookman Old Style" w:cs="Arial"/>
          <w:i/>
          <w:spacing w:val="-5"/>
          <w:sz w:val="22"/>
          <w:szCs w:val="22"/>
          <w:lang w:val="es-CO" w:eastAsia="en-US"/>
        </w:rPr>
      </w:pPr>
      <w:r w:rsidRPr="00CA3850">
        <w:rPr>
          <w:rFonts w:ascii="Bookman Old Style" w:hAnsi="Bookman Old Style" w:cs="Arial"/>
          <w:i/>
          <w:spacing w:val="-5"/>
          <w:sz w:val="22"/>
          <w:szCs w:val="22"/>
          <w:lang w:val="es-CO" w:eastAsia="en-US"/>
        </w:rPr>
        <w:t>“(iv) Debe tratarse de un proyecto de regulación que puedan incidir en la libre competencia.</w:t>
      </w:r>
    </w:p>
    <w:p w:rsidR="00965DF7" w:rsidRPr="00CA3850" w:rsidRDefault="00965DF7" w:rsidP="00965DF7">
      <w:pPr>
        <w:ind w:left="284" w:right="284"/>
        <w:jc w:val="both"/>
        <w:rPr>
          <w:rFonts w:ascii="Bookman Old Style" w:hAnsi="Bookman Old Style" w:cs="Arial"/>
          <w:i/>
          <w:spacing w:val="-5"/>
          <w:sz w:val="22"/>
          <w:szCs w:val="22"/>
          <w:lang w:val="es-CO" w:eastAsia="en-US"/>
        </w:rPr>
      </w:pPr>
    </w:p>
    <w:p w:rsidR="00965DF7" w:rsidRPr="00CA3850" w:rsidRDefault="00965DF7" w:rsidP="00965DF7">
      <w:pPr>
        <w:ind w:left="284" w:right="284"/>
        <w:jc w:val="both"/>
        <w:rPr>
          <w:rFonts w:ascii="Bookman Old Style" w:hAnsi="Bookman Old Style" w:cs="Arial"/>
          <w:i/>
          <w:spacing w:val="-5"/>
          <w:sz w:val="22"/>
          <w:szCs w:val="22"/>
          <w:lang w:val="es-CO" w:eastAsia="en-US"/>
        </w:rPr>
      </w:pPr>
      <w:r w:rsidRPr="00CA3850">
        <w:rPr>
          <w:rFonts w:ascii="Bookman Old Style" w:hAnsi="Bookman Old Style" w:cs="Arial"/>
          <w:i/>
          <w:spacing w:val="-5"/>
          <w:sz w:val="22"/>
          <w:szCs w:val="22"/>
          <w:lang w:val="es-CO" w:eastAsia="en-US"/>
        </w:rPr>
        <w:t xml:space="preserve">Por otra parte, los proyectos de regulación administrativa que deben informarse </w:t>
      </w:r>
      <w:r w:rsidRPr="00CA3850">
        <w:rPr>
          <w:rFonts w:ascii="Bookman Old Style" w:hAnsi="Bookman Old Style" w:cs="Arial"/>
          <w:i/>
          <w:spacing w:val="-5"/>
          <w:sz w:val="22"/>
          <w:szCs w:val="22"/>
          <w:u w:val="single"/>
          <w:lang w:val="es-CO" w:eastAsia="en-US"/>
        </w:rPr>
        <w:t>son aquellos que ‘pueden tener incidencia para la libre competencia de los mercados’.</w:t>
      </w:r>
      <w:r w:rsidRPr="00CA3850">
        <w:rPr>
          <w:rFonts w:ascii="Bookman Old Style" w:hAnsi="Bookman Old Style" w:cs="Arial"/>
          <w:i/>
          <w:spacing w:val="-5"/>
          <w:sz w:val="22"/>
          <w:szCs w:val="22"/>
          <w:lang w:val="es-CO" w:eastAsia="en-US"/>
        </w:rPr>
        <w:t xml:space="preserve"> Esta condición supone </w:t>
      </w:r>
      <w:r w:rsidRPr="00CA3850">
        <w:rPr>
          <w:rFonts w:ascii="Bookman Old Style" w:hAnsi="Bookman Old Style" w:cs="Arial"/>
          <w:i/>
          <w:spacing w:val="-5"/>
          <w:sz w:val="22"/>
          <w:szCs w:val="22"/>
          <w:u w:val="single"/>
          <w:lang w:val="es-CO" w:eastAsia="en-US"/>
        </w:rPr>
        <w:t xml:space="preserve">un deber de evaluación previa de cada autoridad de regulación sobre el impacto de ésta en materia de libre competencia, </w:t>
      </w:r>
      <w:r w:rsidRPr="00CA3850">
        <w:rPr>
          <w:rFonts w:ascii="Bookman Old Style" w:hAnsi="Bookman Old Style" w:cs="Arial"/>
          <w:i/>
          <w:spacing w:val="-5"/>
          <w:sz w:val="22"/>
          <w:szCs w:val="22"/>
          <w:lang w:val="es-CO" w:eastAsia="en-US"/>
        </w:rPr>
        <w:t>caso en el cual, de ser afirmativa la respuesta, es imperativo informar a la Superintendencia de Industria y Comercio,  en los términos en que ha quedado expuesto.</w:t>
      </w:r>
    </w:p>
    <w:p w:rsidR="00965DF7" w:rsidRPr="00CA3850" w:rsidRDefault="00965DF7" w:rsidP="00965DF7">
      <w:pPr>
        <w:ind w:left="284" w:right="284"/>
        <w:jc w:val="both"/>
        <w:rPr>
          <w:rFonts w:ascii="Bookman Old Style" w:hAnsi="Bookman Old Style" w:cs="Arial"/>
          <w:i/>
          <w:spacing w:val="-5"/>
          <w:sz w:val="22"/>
          <w:szCs w:val="22"/>
          <w:lang w:val="es-CO" w:eastAsia="en-US"/>
        </w:rPr>
      </w:pPr>
    </w:p>
    <w:p w:rsidR="00965DF7" w:rsidRPr="00CA3850" w:rsidRDefault="00965DF7" w:rsidP="00965DF7">
      <w:pPr>
        <w:ind w:left="284" w:right="284"/>
        <w:jc w:val="both"/>
        <w:rPr>
          <w:rFonts w:ascii="Bookman Old Style" w:hAnsi="Bookman Old Style" w:cs="Arial"/>
          <w:i/>
          <w:spacing w:val="-5"/>
          <w:sz w:val="22"/>
          <w:szCs w:val="22"/>
          <w:lang w:val="es-CO" w:eastAsia="en-US"/>
        </w:rPr>
      </w:pPr>
      <w:r w:rsidRPr="00CA3850">
        <w:rPr>
          <w:rFonts w:ascii="Bookman Old Style" w:hAnsi="Bookman Old Style" w:cs="Arial"/>
          <w:i/>
          <w:spacing w:val="-5"/>
          <w:sz w:val="22"/>
          <w:szCs w:val="22"/>
          <w:lang w:val="es-CO" w:eastAsia="en-US"/>
        </w:rPr>
        <w:t>(…) En ese sentido, la autoridad de regulación debe examinar previamente si se adecua a alguno de los criterios que señala dicho artículo y de esta manera cumplir, cuando sea procedente, con el deber de informar.”</w:t>
      </w:r>
      <w:r w:rsidRPr="00CA3850">
        <w:rPr>
          <w:rFonts w:ascii="Bookman Old Style" w:hAnsi="Bookman Old Style" w:cs="Arial"/>
          <w:i/>
          <w:spacing w:val="-5"/>
          <w:sz w:val="22"/>
          <w:szCs w:val="22"/>
          <w:vertAlign w:val="superscript"/>
          <w:lang w:val="es-CO" w:eastAsia="en-US"/>
        </w:rPr>
        <w:footnoteReference w:id="10"/>
      </w:r>
      <w:r w:rsidRPr="00CA3850">
        <w:rPr>
          <w:rFonts w:ascii="Bookman Old Style" w:hAnsi="Bookman Old Style" w:cs="Arial"/>
          <w:i/>
          <w:spacing w:val="-5"/>
          <w:sz w:val="22"/>
          <w:szCs w:val="22"/>
          <w:lang w:val="es-CO" w:eastAsia="en-US"/>
        </w:rPr>
        <w:t>(Resaltado fuera de texto)</w:t>
      </w:r>
    </w:p>
    <w:p w:rsidR="00965DF7" w:rsidRPr="00CA3850" w:rsidRDefault="00965DF7" w:rsidP="00965DF7">
      <w:pPr>
        <w:ind w:left="0"/>
        <w:jc w:val="both"/>
        <w:rPr>
          <w:rFonts w:ascii="Bookman Old Style" w:hAnsi="Bookman Old Style" w:cs="Arial"/>
          <w:spacing w:val="-5"/>
          <w:lang w:val="es-CO" w:eastAsia="en-US"/>
        </w:rPr>
      </w:pPr>
    </w:p>
    <w:p w:rsidR="00965DF7" w:rsidRPr="00CA3850" w:rsidRDefault="00965DF7" w:rsidP="00965DF7">
      <w:pPr>
        <w:pStyle w:val="Textoindependiente2"/>
        <w:spacing w:after="0" w:line="240" w:lineRule="auto"/>
        <w:ind w:left="-142" w:right="-142"/>
        <w:jc w:val="both"/>
        <w:rPr>
          <w:rFonts w:ascii="Bookman Old Style" w:hAnsi="Bookman Old Style" w:cs="Arial"/>
          <w:spacing w:val="-5"/>
          <w:lang w:val="es-CO" w:eastAsia="en-US"/>
        </w:rPr>
      </w:pPr>
      <w:r w:rsidRPr="00CA3850">
        <w:rPr>
          <w:rFonts w:ascii="Bookman Old Style" w:hAnsi="Bookman Old Style" w:cs="Arial"/>
          <w:spacing w:val="-5"/>
          <w:lang w:val="es-CO" w:eastAsia="en-US"/>
        </w:rPr>
        <w:t xml:space="preserve">Así las cosas, consideramos que es claro que si bien la Superintendencia de Industria y Comercio tiene la función de conocer y pronunciarse sobre los proyectos regulatorios, ni la ley ni el decreto establecen que sea sobre todos los proyectos regulatorios sino únicamente sobre los que puedan tener incidencia sobre la libre competencia en un mercado. Por mandato del decreto reglamentario de la Ley 1340 mencionada, la forma de determinar si un proyecto puede tener incidencia en la libre competencia, que dé </w:t>
      </w:r>
      <w:r w:rsidRPr="00CA3850">
        <w:rPr>
          <w:rFonts w:ascii="Bookman Old Style" w:hAnsi="Bookman Old Style" w:cs="Arial"/>
          <w:spacing w:val="-5"/>
          <w:lang w:val="es-CO" w:eastAsia="en-US"/>
        </w:rPr>
        <w:lastRenderedPageBreak/>
        <w:t xml:space="preserve">lugar a la notificación del mismo a la SIC, es diligenciando el formulario y sólo si esa autoevaluación arroja una respuesta positiva la CREG está en la obligación de enviar el proyecto a la Superintendencia. </w:t>
      </w:r>
    </w:p>
    <w:p w:rsidR="00965DF7" w:rsidRPr="00CA3850" w:rsidRDefault="00965DF7" w:rsidP="00965DF7">
      <w:pPr>
        <w:ind w:left="0"/>
        <w:jc w:val="both"/>
        <w:rPr>
          <w:rFonts w:ascii="Bookman Old Style" w:hAnsi="Bookman Old Style" w:cs="Arial"/>
          <w:spacing w:val="-5"/>
          <w:lang w:val="es-CO" w:eastAsia="en-US"/>
        </w:rPr>
      </w:pPr>
    </w:p>
    <w:p w:rsidR="00965DF7" w:rsidRDefault="00965DF7" w:rsidP="00965DF7">
      <w:pPr>
        <w:pStyle w:val="Textoindependiente2"/>
        <w:spacing w:after="0" w:line="240" w:lineRule="auto"/>
        <w:ind w:left="-142" w:right="-142"/>
        <w:jc w:val="both"/>
        <w:rPr>
          <w:rFonts w:ascii="Bookman Old Style" w:hAnsi="Bookman Old Style" w:cs="Arial"/>
          <w:spacing w:val="-5"/>
          <w:lang w:val="es-CO" w:eastAsia="en-US"/>
        </w:rPr>
      </w:pPr>
      <w:r w:rsidRPr="00CA3850">
        <w:rPr>
          <w:rFonts w:ascii="Bookman Old Style" w:hAnsi="Bookman Old Style" w:cs="Arial"/>
          <w:spacing w:val="-5"/>
          <w:lang w:val="es-CO" w:eastAsia="en-US"/>
        </w:rPr>
        <w:t>En este sentido, se debe recordar que la misma jurisprudencia administrativa ha precisado que “</w:t>
      </w:r>
      <w:r w:rsidRPr="00CA3850">
        <w:rPr>
          <w:rFonts w:ascii="Bookman Old Style" w:hAnsi="Bookman Old Style" w:cs="Arial"/>
          <w:i/>
          <w:spacing w:val="-5"/>
          <w:lang w:val="es-CO" w:eastAsia="en-US"/>
        </w:rPr>
        <w:t>la abogacía de la competencia no interfiere sobre la autonomía funcional de las autoridades de regulación, en la medida que estas mantienen la decisión final de expedir o no actos generales que se derivan de sus competencias constitucionales y legales y de acoger o no las observaciones hechas por la Superintendencia de Industria y Comercio desde la perspectiva de la libre competencia”</w:t>
      </w:r>
      <w:r w:rsidRPr="00CA3850">
        <w:rPr>
          <w:rFonts w:ascii="Bookman Old Style" w:hAnsi="Bookman Old Style" w:cs="Arial"/>
          <w:i/>
          <w:spacing w:val="-5"/>
          <w:vertAlign w:val="superscript"/>
          <w:lang w:val="es-CO" w:eastAsia="en-US"/>
        </w:rPr>
        <w:footnoteReference w:id="11"/>
      </w:r>
      <w:r w:rsidRPr="00CA3850">
        <w:rPr>
          <w:rFonts w:ascii="Bookman Old Style" w:hAnsi="Bookman Old Style" w:cs="Arial"/>
          <w:spacing w:val="-5"/>
          <w:lang w:val="es-CO" w:eastAsia="en-US"/>
        </w:rPr>
        <w:t>.</w:t>
      </w:r>
    </w:p>
    <w:p w:rsidR="00965DF7" w:rsidRDefault="00965DF7" w:rsidP="00965DF7">
      <w:pPr>
        <w:pStyle w:val="Textoindependiente2"/>
        <w:spacing w:after="0" w:line="240" w:lineRule="auto"/>
        <w:ind w:left="-142" w:right="-142"/>
        <w:jc w:val="both"/>
        <w:rPr>
          <w:rFonts w:ascii="Bookman Old Style" w:hAnsi="Bookman Old Style" w:cs="Arial"/>
          <w:spacing w:val="-5"/>
          <w:lang w:val="es-CO" w:eastAsia="en-US"/>
        </w:rPr>
      </w:pPr>
    </w:p>
    <w:p w:rsidR="00965DF7" w:rsidRDefault="00965DF7" w:rsidP="00965DF7">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 xml:space="preserve">De acuerdo con </w:t>
      </w:r>
      <w:r w:rsidRPr="00CA3850">
        <w:rPr>
          <w:rFonts w:ascii="Bookman Old Style" w:hAnsi="Bookman Old Style" w:cs="Arial"/>
          <w:spacing w:val="-5"/>
          <w:lang w:val="es-CO" w:eastAsia="en-US"/>
        </w:rPr>
        <w:t xml:space="preserve">la jurisprudencia administrativa </w:t>
      </w:r>
      <w:r>
        <w:rPr>
          <w:rFonts w:ascii="Bookman Old Style" w:hAnsi="Bookman Old Style" w:cs="Arial"/>
          <w:spacing w:val="-5"/>
          <w:lang w:val="es-CO" w:eastAsia="en-US"/>
        </w:rPr>
        <w:t xml:space="preserve">citada, </w:t>
      </w:r>
      <w:r w:rsidRPr="00CA3850">
        <w:rPr>
          <w:rFonts w:ascii="Bookman Old Style" w:hAnsi="Bookman Old Style" w:cs="Arial"/>
          <w:spacing w:val="-5"/>
          <w:lang w:val="es-CO" w:eastAsia="en-US"/>
        </w:rPr>
        <w:t xml:space="preserve">el análisis en relación con si un proyecto de regulación afecta o no la libre competencia se debe realizar por parte de la autoridad que expide la regulación, así como, que el ejercicio de la función en materia de abogacía de la competencia no debe interferir sobre la autonomía funcional de las autoridades de regulación, en la medida que estas mantienen la decisión final de expedir o no actos generales que se derivan de sus competencias constitucionales y legales. </w:t>
      </w:r>
      <w:r>
        <w:rPr>
          <w:rFonts w:ascii="Bookman Old Style" w:hAnsi="Bookman Old Style" w:cs="Arial"/>
          <w:spacing w:val="-5"/>
          <w:lang w:val="es-CO" w:eastAsia="en-US"/>
        </w:rPr>
        <w:t>Es por esto que esta Comisión en la Resolución CREG 063 de 2016 consideró que:</w:t>
      </w:r>
    </w:p>
    <w:p w:rsidR="00965DF7" w:rsidRDefault="00965DF7" w:rsidP="00965DF7">
      <w:pPr>
        <w:pStyle w:val="Textoindependiente2"/>
        <w:spacing w:after="0" w:line="240" w:lineRule="auto"/>
        <w:ind w:left="-142" w:right="-142"/>
        <w:jc w:val="both"/>
        <w:rPr>
          <w:rFonts w:ascii="Bookman Old Style" w:hAnsi="Bookman Old Style" w:cs="Arial"/>
          <w:spacing w:val="-5"/>
          <w:lang w:val="es-CO" w:eastAsia="en-US"/>
        </w:rPr>
      </w:pPr>
    </w:p>
    <w:p w:rsidR="00965DF7" w:rsidRDefault="00965DF7" w:rsidP="00965DF7">
      <w:pPr>
        <w:pStyle w:val="Textoindependiente2"/>
        <w:spacing w:after="0" w:line="240" w:lineRule="auto"/>
        <w:ind w:left="284" w:right="284"/>
        <w:jc w:val="both"/>
        <w:rPr>
          <w:rFonts w:ascii="Bookman Old Style" w:hAnsi="Bookman Old Style"/>
          <w:sz w:val="22"/>
          <w:szCs w:val="22"/>
          <w:lang w:val="es-ES_tradnl"/>
        </w:rPr>
      </w:pPr>
      <w:r>
        <w:rPr>
          <w:rFonts w:ascii="Bookman Old Style" w:hAnsi="Bookman Old Style"/>
          <w:sz w:val="22"/>
          <w:szCs w:val="22"/>
          <w:lang w:val="es-CO"/>
        </w:rPr>
        <w:t>“</w:t>
      </w:r>
      <w:r w:rsidRPr="00E65D8D">
        <w:rPr>
          <w:rFonts w:ascii="Bookman Old Style" w:hAnsi="Bookman Old Style"/>
          <w:sz w:val="22"/>
          <w:szCs w:val="22"/>
          <w:lang w:val="es-CO"/>
        </w:rPr>
        <w:t xml:space="preserve">De acuerdo con lo expuesto, una vez analizadas, evaluadas y respondidas las recomendaciones hechas por la Superintendencia de Industria y Comercio, se considera procedente proseguir con la presente propuesta regulatoria para su aprobación por parte de la Comisión atendido los fines y objetivos perseguidos y las motivaciones de orden jurídico, técnico y económico que la sustentan. </w:t>
      </w:r>
      <w:r w:rsidRPr="00E65D8D">
        <w:rPr>
          <w:rFonts w:ascii="Bookman Old Style" w:hAnsi="Bookman Old Style"/>
          <w:sz w:val="22"/>
          <w:szCs w:val="22"/>
          <w:lang w:val="es-ES_tradnl"/>
        </w:rPr>
        <w:t>El detalle de este análisis se encuentra consignado en el documento CREG 030 de 2016</w:t>
      </w:r>
      <w:r>
        <w:rPr>
          <w:rFonts w:ascii="Bookman Old Style" w:hAnsi="Bookman Old Style"/>
          <w:sz w:val="22"/>
          <w:szCs w:val="22"/>
          <w:lang w:val="es-ES_tradnl"/>
        </w:rPr>
        <w:t>”.</w:t>
      </w:r>
    </w:p>
    <w:p w:rsidR="00965DF7" w:rsidRPr="00CA3850" w:rsidRDefault="00965DF7" w:rsidP="00965DF7">
      <w:pPr>
        <w:pStyle w:val="Textoindependiente2"/>
        <w:spacing w:after="0" w:line="240" w:lineRule="auto"/>
        <w:ind w:left="284" w:right="284"/>
        <w:jc w:val="both"/>
        <w:rPr>
          <w:rFonts w:ascii="Bookman Old Style" w:hAnsi="Bookman Old Style" w:cs="Arial"/>
          <w:spacing w:val="-5"/>
          <w:lang w:val="es-CO" w:eastAsia="en-US"/>
        </w:rPr>
      </w:pPr>
    </w:p>
    <w:p w:rsidR="00DB5631" w:rsidRDefault="00965DF7" w:rsidP="00496008">
      <w:pPr>
        <w:pStyle w:val="Textoindependiente2"/>
        <w:spacing w:after="0" w:line="240" w:lineRule="auto"/>
        <w:ind w:left="-142" w:right="-142"/>
        <w:jc w:val="both"/>
        <w:rPr>
          <w:rFonts w:ascii="Bookman Old Style" w:hAnsi="Bookman Old Style"/>
          <w:szCs w:val="27"/>
          <w:lang w:val="es-CO"/>
        </w:rPr>
      </w:pPr>
      <w:r>
        <w:rPr>
          <w:rFonts w:ascii="Bookman Old Style" w:hAnsi="Bookman Old Style"/>
          <w:szCs w:val="27"/>
          <w:lang w:val="es-CO"/>
        </w:rPr>
        <w:t xml:space="preserve">Finalmente, en cuanto a una posible afectación al interés general y la posibilidad de que se vean desatendidos los usuarios de GLP en la prestación del servicio, la regulación </w:t>
      </w:r>
      <w:r w:rsidR="00DB5631">
        <w:rPr>
          <w:rFonts w:ascii="Bookman Old Style" w:hAnsi="Bookman Old Style"/>
          <w:szCs w:val="27"/>
          <w:lang w:val="es-CO"/>
        </w:rPr>
        <w:t>en materia de distribución de GLP plantea un esquema de libertad vigilada</w:t>
      </w:r>
      <w:r w:rsidR="003603A7">
        <w:rPr>
          <w:rFonts w:ascii="Bookman Old Style" w:hAnsi="Bookman Old Style"/>
          <w:szCs w:val="27"/>
          <w:lang w:val="es-CO"/>
        </w:rPr>
        <w:t xml:space="preserve"> basado en la competencia entre agentes,</w:t>
      </w:r>
      <w:r w:rsidR="00DB5631">
        <w:rPr>
          <w:rFonts w:ascii="Bookman Old Style" w:hAnsi="Bookman Old Style"/>
          <w:szCs w:val="27"/>
          <w:lang w:val="es-CO"/>
        </w:rPr>
        <w:t xml:space="preserve"> en el cual el usuario es libre de escoger su prestador del servicio, atendiendo en este caso lo previsto en la Ley 142 de 1994. Así mismo, se precisó al momento de expedir la Resoluci</w:t>
      </w:r>
      <w:r w:rsidR="003603A7">
        <w:rPr>
          <w:rFonts w:ascii="Bookman Old Style" w:hAnsi="Bookman Old Style"/>
          <w:szCs w:val="27"/>
          <w:lang w:val="es-CO"/>
        </w:rPr>
        <w:t>ón CREG 063 de 2016 se expuso que no se generaría dicha afectación, entre otros, teniendo en cuenta que</w:t>
      </w:r>
      <w:r w:rsidR="00DB5631">
        <w:rPr>
          <w:rFonts w:ascii="Bookman Old Style" w:hAnsi="Bookman Old Style"/>
          <w:szCs w:val="27"/>
          <w:lang w:val="es-CO"/>
        </w:rPr>
        <w:t>:</w:t>
      </w:r>
    </w:p>
    <w:p w:rsidR="00DB5631" w:rsidRDefault="00DB5631" w:rsidP="00496008">
      <w:pPr>
        <w:pStyle w:val="Textoindependiente2"/>
        <w:spacing w:after="0" w:line="240" w:lineRule="auto"/>
        <w:ind w:left="-142" w:right="-142"/>
        <w:jc w:val="both"/>
        <w:rPr>
          <w:rFonts w:ascii="Bookman Old Style" w:hAnsi="Bookman Old Style"/>
          <w:szCs w:val="27"/>
          <w:lang w:val="es-CO"/>
        </w:rPr>
      </w:pPr>
    </w:p>
    <w:p w:rsidR="00965DF7" w:rsidRPr="00DB5631" w:rsidRDefault="00DB5631" w:rsidP="00DB5631">
      <w:pPr>
        <w:pStyle w:val="Textoindependiente2"/>
        <w:spacing w:after="0" w:line="240" w:lineRule="auto"/>
        <w:ind w:left="284" w:right="284"/>
        <w:jc w:val="both"/>
        <w:rPr>
          <w:rFonts w:ascii="Bookman Old Style" w:hAnsi="Bookman Old Style"/>
          <w:sz w:val="22"/>
          <w:szCs w:val="22"/>
          <w:lang w:val="es-CO"/>
        </w:rPr>
      </w:pPr>
      <w:r>
        <w:rPr>
          <w:rFonts w:ascii="Bookman Old Style" w:hAnsi="Bookman Old Style"/>
          <w:sz w:val="22"/>
          <w:szCs w:val="22"/>
          <w:lang w:val="es-CO"/>
        </w:rPr>
        <w:t xml:space="preserve">“ (…) </w:t>
      </w:r>
      <w:r w:rsidRPr="00DB5631">
        <w:rPr>
          <w:rFonts w:ascii="Bookman Old Style" w:hAnsi="Bookman Old Style"/>
          <w:sz w:val="22"/>
          <w:szCs w:val="22"/>
          <w:lang w:val="es-CO"/>
        </w:rPr>
        <w:t>si</w:t>
      </w:r>
      <w:r w:rsidRPr="00DB5631">
        <w:rPr>
          <w:rFonts w:ascii="Bookman Old Style" w:hAnsi="Bookman Old Style"/>
          <w:szCs w:val="27"/>
          <w:lang w:val="es-CO"/>
        </w:rPr>
        <w:t xml:space="preserve"> </w:t>
      </w:r>
      <w:r w:rsidRPr="00DB5631">
        <w:rPr>
          <w:rFonts w:ascii="Bookman Old Style" w:hAnsi="Bookman Old Style"/>
          <w:sz w:val="22"/>
          <w:szCs w:val="22"/>
          <w:lang w:val="es-CO"/>
        </w:rPr>
        <w:t>se implementara la medida propuesta en este momento, solo se restringirían las compras de GLP a 8% de los distribuidores; los cuales en la medida en que llegaran a ajustar sus inversiones a los niveles razonables , que son requeridos para atender su mercado, bajo el incentivo propuesto, podrán comprar el producto que puede envasar y posteriormente atender su mercado en las condiciones de competencia que están previstos en la regulación expedida por esta comisión en materia de distribución y comercialización minorista de GLP, de libertad vigilada. Igualmente se advierte que la medida no afectaría la atención del usuario ya que con la capacidad de compra existe actual de todos los agentes, se garantiza el abastecimiento del mercado.</w:t>
      </w:r>
      <w:r w:rsidR="003603A7">
        <w:rPr>
          <w:rFonts w:ascii="Bookman Old Style" w:hAnsi="Bookman Old Style"/>
          <w:sz w:val="22"/>
          <w:szCs w:val="22"/>
          <w:lang w:val="es-CO"/>
        </w:rPr>
        <w:t>”</w:t>
      </w:r>
    </w:p>
    <w:p w:rsidR="00965DF7" w:rsidRPr="00DB5631" w:rsidRDefault="00965DF7" w:rsidP="00DB5631">
      <w:pPr>
        <w:pStyle w:val="Textoindependiente2"/>
        <w:spacing w:after="0" w:line="240" w:lineRule="auto"/>
        <w:ind w:left="284" w:right="284"/>
        <w:jc w:val="both"/>
        <w:rPr>
          <w:rFonts w:ascii="Bookman Old Style" w:hAnsi="Bookman Old Style"/>
          <w:sz w:val="22"/>
          <w:szCs w:val="22"/>
          <w:lang w:val="es-CO"/>
        </w:rPr>
      </w:pPr>
    </w:p>
    <w:p w:rsidR="00965DF7" w:rsidRDefault="003603A7" w:rsidP="002A3EB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De acuerdo con lo expuesto, no encuentra los argumentos expuestos por el recurrente en relación con una posible afectación a la libertad de empresa, como a la libre competencia, razón por la cual, estos argumentos </w:t>
      </w:r>
      <w:r w:rsidRPr="003603A7">
        <w:rPr>
          <w:rFonts w:ascii="Bookman Old Style" w:hAnsi="Bookman Old Style"/>
          <w:szCs w:val="27"/>
        </w:rPr>
        <w:t>no lleva</w:t>
      </w:r>
      <w:r>
        <w:rPr>
          <w:rFonts w:ascii="Bookman Old Style" w:hAnsi="Bookman Old Style"/>
          <w:szCs w:val="27"/>
        </w:rPr>
        <w:t>n</w:t>
      </w:r>
      <w:r w:rsidRPr="003603A7">
        <w:rPr>
          <w:rFonts w:ascii="Bookman Old Style" w:hAnsi="Bookman Old Style"/>
          <w:szCs w:val="27"/>
        </w:rPr>
        <w:t xml:space="preserve"> a modificar lo consignado en la Resolución CREG 075 de 2016.</w:t>
      </w:r>
    </w:p>
    <w:p w:rsidR="00965DF7" w:rsidRPr="00334A2B" w:rsidRDefault="00334A2B" w:rsidP="00496008">
      <w:pPr>
        <w:pStyle w:val="Textoindependiente2"/>
        <w:spacing w:after="0" w:line="240" w:lineRule="auto"/>
        <w:ind w:left="-142" w:right="-142"/>
        <w:jc w:val="both"/>
        <w:rPr>
          <w:rFonts w:ascii="Bookman Old Style" w:hAnsi="Bookman Old Style"/>
          <w:b/>
          <w:szCs w:val="27"/>
        </w:rPr>
      </w:pPr>
      <w:r w:rsidRPr="00334A2B">
        <w:rPr>
          <w:rFonts w:ascii="Bookman Old Style" w:hAnsi="Bookman Old Style"/>
          <w:b/>
          <w:szCs w:val="27"/>
        </w:rPr>
        <w:lastRenderedPageBreak/>
        <w:t>•</w:t>
      </w:r>
      <w:r w:rsidRPr="00334A2B">
        <w:rPr>
          <w:rFonts w:ascii="Bookman Old Style" w:hAnsi="Bookman Old Style"/>
          <w:b/>
          <w:szCs w:val="27"/>
        </w:rPr>
        <w:tab/>
        <w:t xml:space="preserve">Consideraciones frente al numeral 4 </w:t>
      </w:r>
    </w:p>
    <w:p w:rsidR="00965DF7" w:rsidRDefault="00965DF7" w:rsidP="00496008">
      <w:pPr>
        <w:pStyle w:val="Textoindependiente2"/>
        <w:spacing w:after="0" w:line="240" w:lineRule="auto"/>
        <w:ind w:left="-142" w:right="-142"/>
        <w:jc w:val="both"/>
        <w:rPr>
          <w:rFonts w:ascii="Bookman Old Style" w:hAnsi="Bookman Old Style"/>
          <w:szCs w:val="27"/>
        </w:rPr>
      </w:pPr>
    </w:p>
    <w:p w:rsidR="00334A2B" w:rsidRDefault="00334A2B" w:rsidP="00334A2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Se debe advertir que esta Comisión dentro de la expedición de la Resolución CREG 063 de 2016 llevo a cabo y aplicó el procedimiento de consulta previsto, entre otros, atendiendo las normas del numeral 8, artículo 8 de la Ley 1437 de 2011, el Decreto 2696 de 2004, así como la Resolución CREG 097 de 2004, dando la oportunidad a los agentes de exponer las observaciones y comentarios que se tuvieran sobre el contenido de la propuesta regulatoria de la Resolución CREG 221 de 2015.</w:t>
      </w:r>
    </w:p>
    <w:p w:rsidR="00334A2B" w:rsidRDefault="00334A2B" w:rsidP="00334A2B">
      <w:pPr>
        <w:pStyle w:val="Textoindependiente2"/>
        <w:spacing w:after="0" w:line="240" w:lineRule="auto"/>
        <w:ind w:left="-142" w:right="-142"/>
        <w:jc w:val="both"/>
        <w:rPr>
          <w:rFonts w:ascii="Bookman Old Style" w:hAnsi="Bookman Old Style"/>
          <w:szCs w:val="27"/>
        </w:rPr>
      </w:pPr>
    </w:p>
    <w:p w:rsidR="00334A2B" w:rsidRDefault="00334A2B" w:rsidP="00334A2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el proceso de consulta implica dar la oportunidad, así c</w:t>
      </w:r>
      <w:r w:rsidR="00885091">
        <w:rPr>
          <w:rFonts w:ascii="Bookman Old Style" w:hAnsi="Bookman Old Style"/>
          <w:szCs w:val="27"/>
        </w:rPr>
        <w:t>omo atender y dar respuesta a lo</w:t>
      </w:r>
      <w:r>
        <w:rPr>
          <w:rFonts w:ascii="Bookman Old Style" w:hAnsi="Bookman Old Style"/>
          <w:szCs w:val="27"/>
        </w:rPr>
        <w:t xml:space="preserve">s comentarios, observaciones formuladas por los interesados, sin que esto implique acoger de forma obligatoria los comentarios que se realicen. Por el contrario, si los mismos no se consideran ajustados y procedentes en atención a los fines y objetos de la propuesta regulatoria, esto hará parte de la repuesta que se emita por parte de la Comisión. </w:t>
      </w:r>
    </w:p>
    <w:p w:rsidR="00334A2B" w:rsidRDefault="00334A2B" w:rsidP="00334A2B">
      <w:pPr>
        <w:pStyle w:val="Textoindependiente2"/>
        <w:spacing w:after="0" w:line="240" w:lineRule="auto"/>
        <w:ind w:left="-142" w:right="-142"/>
        <w:jc w:val="both"/>
        <w:rPr>
          <w:rFonts w:ascii="Bookman Old Style" w:hAnsi="Bookman Old Style"/>
          <w:szCs w:val="27"/>
        </w:rPr>
      </w:pPr>
    </w:p>
    <w:p w:rsidR="00334A2B" w:rsidRDefault="00334A2B" w:rsidP="00334A2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Es por esto que frente a lo que manifiesta la recurrente, en respuesta al comentario 20 esta Comisión frente a lo manifestado por la empresa expuso que </w:t>
      </w:r>
      <w:r w:rsidRPr="0026190F">
        <w:rPr>
          <w:rFonts w:ascii="Bookman Old Style" w:hAnsi="Bookman Old Style"/>
          <w:szCs w:val="27"/>
        </w:rPr>
        <w:t>la medición de la capacidad de envasado considera la rotación de tanques estacionarios y de cilindros</w:t>
      </w:r>
      <w:r>
        <w:rPr>
          <w:rFonts w:ascii="Bookman Old Style" w:hAnsi="Bookman Old Style"/>
          <w:szCs w:val="27"/>
        </w:rPr>
        <w:t xml:space="preserve"> atendiendo, incluyendo el f</w:t>
      </w:r>
      <w:r w:rsidRPr="00971FF2">
        <w:rPr>
          <w:rFonts w:ascii="Bookman Old Style" w:hAnsi="Bookman Old Style"/>
          <w:szCs w:val="27"/>
        </w:rPr>
        <w:t>actor de equivalencia de envasado en cil</w:t>
      </w:r>
      <w:r>
        <w:rPr>
          <w:rFonts w:ascii="Bookman Old Style" w:hAnsi="Bookman Old Style"/>
          <w:szCs w:val="27"/>
        </w:rPr>
        <w:t xml:space="preserve">indros y tanques estacionarios, aspectos que están precedidos de un </w:t>
      </w:r>
      <w:r w:rsidRPr="00967468">
        <w:rPr>
          <w:rFonts w:ascii="Bookman Old Style" w:hAnsi="Bookman Old Style"/>
          <w:szCs w:val="27"/>
        </w:rPr>
        <w:t>análisis técn</w:t>
      </w:r>
      <w:r>
        <w:rPr>
          <w:rFonts w:ascii="Bookman Old Style" w:hAnsi="Bookman Old Style"/>
          <w:szCs w:val="27"/>
        </w:rPr>
        <w:t xml:space="preserve">ico y económico incorporado en </w:t>
      </w:r>
      <w:r w:rsidRPr="00967468">
        <w:rPr>
          <w:rFonts w:ascii="Bookman Old Style" w:hAnsi="Bookman Old Style"/>
          <w:szCs w:val="27"/>
        </w:rPr>
        <w:t>l</w:t>
      </w:r>
      <w:r>
        <w:rPr>
          <w:rFonts w:ascii="Bookman Old Style" w:hAnsi="Bookman Old Style"/>
          <w:szCs w:val="27"/>
        </w:rPr>
        <w:t>os</w:t>
      </w:r>
      <w:r w:rsidRPr="00967468">
        <w:rPr>
          <w:rFonts w:ascii="Bookman Old Style" w:hAnsi="Bookman Old Style"/>
          <w:szCs w:val="27"/>
        </w:rPr>
        <w:t xml:space="preserve"> documento</w:t>
      </w:r>
      <w:r>
        <w:rPr>
          <w:rFonts w:ascii="Bookman Old Style" w:hAnsi="Bookman Old Style"/>
          <w:szCs w:val="27"/>
        </w:rPr>
        <w:t>s</w:t>
      </w:r>
      <w:r w:rsidRPr="00967468">
        <w:rPr>
          <w:rFonts w:ascii="Bookman Old Style" w:hAnsi="Bookman Old Style"/>
          <w:szCs w:val="27"/>
        </w:rPr>
        <w:t xml:space="preserve"> de soporte 143 de 2015</w:t>
      </w:r>
      <w:r>
        <w:rPr>
          <w:rFonts w:ascii="Bookman Old Style" w:hAnsi="Bookman Old Style"/>
          <w:szCs w:val="27"/>
        </w:rPr>
        <w:t xml:space="preserve"> y 030 de 2016</w:t>
      </w:r>
      <w:r w:rsidRPr="00967468">
        <w:rPr>
          <w:rFonts w:ascii="Bookman Old Style" w:hAnsi="Bookman Old Style"/>
          <w:szCs w:val="27"/>
        </w:rPr>
        <w:t>, fundamentado en análisis econométricos y estadísticos</w:t>
      </w:r>
      <w:r>
        <w:rPr>
          <w:rFonts w:ascii="Bookman Old Style" w:hAnsi="Bookman Old Style"/>
          <w:szCs w:val="27"/>
        </w:rPr>
        <w:t>, entre otras, atendiendo variables tales como las ventas e inversión en envasado, de las cuales hacen parte la i</w:t>
      </w:r>
      <w:r w:rsidRPr="00971FF2">
        <w:rPr>
          <w:rFonts w:ascii="Bookman Old Style" w:hAnsi="Bookman Old Style"/>
          <w:szCs w:val="27"/>
        </w:rPr>
        <w:t>nversión en cilindros y tanques estacionarios</w:t>
      </w:r>
      <w:r>
        <w:rPr>
          <w:rFonts w:ascii="Bookman Old Style" w:hAnsi="Bookman Old Style"/>
          <w:szCs w:val="27"/>
        </w:rPr>
        <w:t xml:space="preserve">, la evolución de las ventas, la relación de las ventas y la inversión, así como un análisis estadístico de la información que hace parte de estas variables, incluida la reportada al Sistema Único de Información – SUI, el cual permitió definir un parámetro razonable entre la relación inversiones – ventas y compras en el mercado mayorista, ligado a la forma en que se lleva la prestación del servicio público domiciliario de GLP. </w:t>
      </w:r>
    </w:p>
    <w:p w:rsidR="00334A2B" w:rsidRDefault="00334A2B" w:rsidP="00334A2B">
      <w:pPr>
        <w:pStyle w:val="Textoindependiente2"/>
        <w:spacing w:after="0" w:line="240" w:lineRule="auto"/>
        <w:ind w:left="-142" w:right="-142"/>
        <w:jc w:val="both"/>
        <w:rPr>
          <w:rFonts w:ascii="Bookman Old Style" w:hAnsi="Bookman Old Style"/>
          <w:szCs w:val="27"/>
        </w:rPr>
      </w:pPr>
    </w:p>
    <w:p w:rsidR="00334A2B" w:rsidRDefault="00334A2B" w:rsidP="00334A2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relación con lo anterior, dentro del documento soporte 030 de 2016 se expuso por parte de esta Comisión lo siguiente en relación con la rotación de los cilindros:</w:t>
      </w:r>
    </w:p>
    <w:p w:rsidR="00334A2B" w:rsidRDefault="00334A2B" w:rsidP="00334A2B">
      <w:pPr>
        <w:pStyle w:val="Textoindependiente2"/>
        <w:spacing w:after="0" w:line="240" w:lineRule="auto"/>
        <w:ind w:left="0" w:right="-142"/>
        <w:jc w:val="both"/>
        <w:rPr>
          <w:rFonts w:ascii="Bookman Old Style" w:hAnsi="Bookman Old Style"/>
          <w:szCs w:val="27"/>
        </w:rPr>
      </w:pPr>
    </w:p>
    <w:p w:rsidR="00334A2B" w:rsidRPr="006C06D7" w:rsidRDefault="00334A2B" w:rsidP="00334A2B">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“La capacidad de compra está relacionada con la capacidad de envase en cilindros y en tanques estacionarios, de acuerdo con lo establecido en el parágrafo 1 del artículo 8 de la propuesta de resolución.</w:t>
      </w:r>
    </w:p>
    <w:p w:rsidR="00334A2B" w:rsidRPr="006C06D7" w:rsidRDefault="00334A2B" w:rsidP="00334A2B">
      <w:pPr>
        <w:pStyle w:val="Textoindependiente2"/>
        <w:spacing w:after="0" w:line="240" w:lineRule="auto"/>
        <w:ind w:left="284" w:right="284"/>
        <w:jc w:val="both"/>
        <w:rPr>
          <w:rFonts w:ascii="Bookman Old Style" w:hAnsi="Bookman Old Style"/>
          <w:i/>
          <w:sz w:val="22"/>
          <w:szCs w:val="22"/>
        </w:rPr>
      </w:pPr>
    </w:p>
    <w:p w:rsidR="00334A2B" w:rsidRDefault="00334A2B" w:rsidP="00334A2B">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Respecto a la rotación de cilindros, la suma de la capacidad de envasado en cilindros se calcula en cilindros equivalentes de 40 libras y un factor de rotación de un cilindro de esta presentación al mes:</w:t>
      </w:r>
    </w:p>
    <w:p w:rsidR="00376390" w:rsidRPr="006C06D7" w:rsidRDefault="00376390" w:rsidP="00334A2B">
      <w:pPr>
        <w:pStyle w:val="Textoindependiente2"/>
        <w:spacing w:after="0" w:line="240" w:lineRule="auto"/>
        <w:ind w:left="284" w:right="284"/>
        <w:jc w:val="both"/>
        <w:rPr>
          <w:rFonts w:ascii="Bookman Old Style" w:hAnsi="Bookman Old Style"/>
          <w:i/>
          <w:sz w:val="22"/>
          <w:szCs w:val="22"/>
        </w:rPr>
      </w:pPr>
    </w:p>
    <w:p w:rsidR="00334A2B" w:rsidRPr="006C06D7" w:rsidRDefault="00334A2B" w:rsidP="00334A2B">
      <w:pPr>
        <w:jc w:val="both"/>
        <w:rPr>
          <w:rFonts w:ascii="Arial" w:hAnsi="Arial" w:cs="Arial"/>
          <w:i/>
          <w:sz w:val="20"/>
        </w:rPr>
      </w:pPr>
    </w:p>
    <w:p w:rsidR="00334A2B" w:rsidRPr="006C06D7" w:rsidRDefault="007A4361" w:rsidP="00334A2B">
      <w:pPr>
        <w:pStyle w:val="Textonotapie"/>
        <w:jc w:val="center"/>
        <w:rPr>
          <w:rFonts w:eastAsia="Times New Roman"/>
          <w:i/>
          <w:sz w:val="22"/>
          <w:szCs w:val="22"/>
        </w:rPr>
      </w:pPr>
      <m:oMath>
        <m:r>
          <w:rPr>
            <w:rFonts w:ascii="Cambria Math" w:hAnsi="Cambria Math"/>
            <w:sz w:val="22"/>
            <w:szCs w:val="22"/>
          </w:rPr>
          <m:t>Factor de rotación=</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40</m:t>
                </m:r>
              </m:e>
              <m:sub>
                <m:f>
                  <m:fPr>
                    <m:type m:val="skw"/>
                    <m:ctrlPr>
                      <w:rPr>
                        <w:rFonts w:ascii="Cambria Math" w:hAnsi="Cambria Math"/>
                        <w:i/>
                        <w:sz w:val="22"/>
                        <w:szCs w:val="22"/>
                      </w:rPr>
                    </m:ctrlPr>
                  </m:fPr>
                  <m:num>
                    <m:r>
                      <w:rPr>
                        <w:rFonts w:ascii="Cambria Math" w:hAnsi="Cambria Math"/>
                        <w:sz w:val="22"/>
                        <w:szCs w:val="22"/>
                      </w:rPr>
                      <m:t>lb</m:t>
                    </m:r>
                  </m:num>
                  <m:den>
                    <m:r>
                      <w:rPr>
                        <w:rFonts w:ascii="Cambria Math" w:hAnsi="Cambria Math"/>
                        <w:sz w:val="22"/>
                        <w:szCs w:val="22"/>
                      </w:rPr>
                      <m:t>mes</m:t>
                    </m:r>
                  </m:den>
                </m:f>
              </m:sub>
            </m:sSub>
          </m:num>
          <m:den>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lb</m:t>
                </m:r>
              </m:sub>
            </m:sSub>
          </m:den>
        </m:f>
      </m:oMath>
      <w:r w:rsidR="00334A2B" w:rsidRPr="006C06D7">
        <w:rPr>
          <w:rFonts w:eastAsia="Times New Roman"/>
          <w:i/>
          <w:sz w:val="22"/>
          <w:szCs w:val="22"/>
        </w:rPr>
        <w:t xml:space="preserve">   </w:t>
      </w:r>
      <w:r w:rsidR="00334A2B" w:rsidRPr="006C06D7">
        <w:rPr>
          <w:rFonts w:eastAsia="Times New Roman"/>
          <w:i/>
          <w:sz w:val="22"/>
          <w:szCs w:val="22"/>
        </w:rPr>
        <w:tab/>
      </w:r>
      <w:proofErr w:type="gramStart"/>
      <w:r w:rsidR="00334A2B" w:rsidRPr="006C06D7">
        <w:rPr>
          <w:rFonts w:eastAsia="Times New Roman"/>
          <w:i/>
          <w:sz w:val="22"/>
          <w:szCs w:val="22"/>
        </w:rPr>
        <w:t>y</w:t>
      </w:r>
      <w:proofErr w:type="gramEnd"/>
      <w:r w:rsidR="00334A2B" w:rsidRPr="006C06D7">
        <w:rPr>
          <w:rFonts w:eastAsia="Times New Roman"/>
          <w:i/>
          <w:sz w:val="22"/>
          <w:szCs w:val="22"/>
        </w:rPr>
        <w:t>,</w:t>
      </w:r>
      <w:r w:rsidR="00334A2B" w:rsidRPr="006C06D7">
        <w:rPr>
          <w:rFonts w:eastAsia="Times New Roman"/>
          <w:i/>
          <w:sz w:val="22"/>
          <w:szCs w:val="22"/>
        </w:rPr>
        <w:tab/>
        <w:t xml:space="preserve"> </w:t>
      </w:r>
      <m:oMath>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lb</m:t>
            </m:r>
          </m:sub>
        </m:sSub>
        <m:r>
          <w:rPr>
            <w:rFonts w:ascii="Cambria Math" w:eastAsia="Times New Roman"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rPr>
              <m:t>CP</m:t>
            </m:r>
          </m:sub>
          <m:sup/>
          <m:e>
            <m:r>
              <w:rPr>
                <w:rFonts w:ascii="Cambria Math" w:hAnsi="Cambria Math"/>
                <w:sz w:val="22"/>
                <w:szCs w:val="22"/>
              </w:rPr>
              <m:t>CP*N</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CP</m:t>
                </m:r>
              </m:sub>
            </m:sSub>
          </m:e>
        </m:nary>
      </m:oMath>
    </w:p>
    <w:p w:rsidR="00334A2B" w:rsidRPr="006C06D7" w:rsidRDefault="00334A2B" w:rsidP="00334A2B">
      <w:pPr>
        <w:pStyle w:val="Textoindependiente2"/>
        <w:spacing w:after="0" w:line="240" w:lineRule="auto"/>
        <w:ind w:left="284" w:right="284"/>
        <w:jc w:val="both"/>
        <w:rPr>
          <w:rFonts w:ascii="Bookman Old Style" w:hAnsi="Bookman Old Style"/>
          <w:i/>
          <w:sz w:val="22"/>
          <w:szCs w:val="22"/>
        </w:rPr>
      </w:pPr>
    </w:p>
    <w:p w:rsidR="00376390" w:rsidRDefault="00376390" w:rsidP="00334A2B">
      <w:pPr>
        <w:pStyle w:val="Textoindependiente2"/>
        <w:spacing w:after="0" w:line="240" w:lineRule="auto"/>
        <w:ind w:left="284" w:right="284"/>
        <w:jc w:val="both"/>
        <w:rPr>
          <w:rFonts w:ascii="Bookman Old Style" w:hAnsi="Bookman Old Style"/>
          <w:i/>
          <w:sz w:val="22"/>
          <w:szCs w:val="22"/>
        </w:rPr>
      </w:pPr>
    </w:p>
    <w:p w:rsidR="00334A2B" w:rsidRPr="006C06D7" w:rsidRDefault="00334A2B" w:rsidP="00334A2B">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 xml:space="preserve">Calculando la capacidad de envasado al año y reemplazando las anteriores ecuaciones, se tiene: </w:t>
      </w:r>
    </w:p>
    <w:p w:rsidR="00334A2B" w:rsidRPr="006C06D7" w:rsidRDefault="007A4361" w:rsidP="00334A2B">
      <w:pPr>
        <w:pStyle w:val="Textonotapie"/>
        <w:jc w:val="center"/>
        <w:rPr>
          <w:rFonts w:eastAsia="Times New Roman"/>
          <w:i/>
        </w:rPr>
      </w:pPr>
      <w:r w:rsidRPr="006C06D7">
        <w:rPr>
          <w:rFonts w:eastAsia="Times New Roman"/>
          <w:i/>
          <w:noProof/>
          <w:lang w:eastAsia="es-CO"/>
        </w:rPr>
        <w:lastRenderedPageBreak/>
        <w:drawing>
          <wp:inline distT="0" distB="0" distL="0" distR="0">
            <wp:extent cx="4325620" cy="1232535"/>
            <wp:effectExtent l="0" t="0" r="0" b="5715"/>
            <wp:docPr id="6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5620" cy="1232535"/>
                    </a:xfrm>
                    <a:prstGeom prst="rect">
                      <a:avLst/>
                    </a:prstGeom>
                    <a:noFill/>
                    <a:ln>
                      <a:noFill/>
                    </a:ln>
                  </pic:spPr>
                </pic:pic>
              </a:graphicData>
            </a:graphic>
          </wp:inline>
        </w:drawing>
      </w:r>
    </w:p>
    <w:p w:rsidR="00334A2B" w:rsidRPr="006C06D7" w:rsidRDefault="00334A2B" w:rsidP="00334A2B">
      <w:pPr>
        <w:pStyle w:val="Textonotapie"/>
        <w:jc w:val="both"/>
        <w:rPr>
          <w:rFonts w:eastAsia="Times New Roman"/>
          <w:i/>
        </w:rPr>
      </w:pPr>
    </w:p>
    <w:p w:rsidR="00334A2B" w:rsidRPr="006C06D7" w:rsidRDefault="007A4361" w:rsidP="00334A2B">
      <w:pPr>
        <w:pStyle w:val="Textoindependiente2"/>
        <w:spacing w:after="0" w:line="240" w:lineRule="auto"/>
        <w:ind w:left="284" w:right="284"/>
        <w:jc w:val="both"/>
        <w:rPr>
          <w:rFonts w:ascii="Bookman Old Style" w:hAnsi="Bookman Old Style"/>
          <w:i/>
          <w:sz w:val="22"/>
          <w:szCs w:val="22"/>
        </w:rPr>
      </w:pPr>
      <m:oMath>
        <m:r>
          <w:rPr>
            <w:rFonts w:ascii="Cambria Math" w:hAnsi="Cambria Math" w:cs="Arial"/>
            <w:sz w:val="22"/>
            <w:szCs w:val="22"/>
          </w:rPr>
          <m:t>C</m:t>
        </m:r>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lb</m:t>
            </m:r>
          </m:sub>
        </m:sSub>
      </m:oMath>
      <w:r w:rsidR="00334A2B" w:rsidRPr="006C06D7">
        <w:rPr>
          <w:rFonts w:ascii="Bookman Old Style" w:hAnsi="Bookman Old Style"/>
          <w:i/>
          <w:sz w:val="22"/>
          <w:szCs w:val="22"/>
        </w:rPr>
        <w:t xml:space="preserve">, corresponde al código de presentación del cilindro en el cual se quiera calcular la equivalencia de capacidad de envasado, reemplazando </w:t>
      </w:r>
      <m:oMath>
        <m:r>
          <w:rPr>
            <w:rFonts w:ascii="Cambria Math" w:hAnsi="Cambria Math" w:cs="Arial"/>
            <w:sz w:val="22"/>
            <w:szCs w:val="22"/>
          </w:rPr>
          <m:t>C</m:t>
        </m:r>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lb</m:t>
            </m:r>
          </m:sub>
        </m:sSub>
      </m:oMath>
      <w:r w:rsidR="00334A2B" w:rsidRPr="006C06D7">
        <w:rPr>
          <w:rFonts w:ascii="Bookman Old Style" w:hAnsi="Bookman Old Style"/>
          <w:i/>
          <w:sz w:val="22"/>
          <w:szCs w:val="22"/>
        </w:rPr>
        <w:t xml:space="preserve"> por 40lb, se obtiene la capacidad total de envase en cilindros.”</w:t>
      </w:r>
    </w:p>
    <w:p w:rsidR="00334A2B" w:rsidRPr="008E423A" w:rsidRDefault="00334A2B" w:rsidP="00334A2B">
      <w:pPr>
        <w:pStyle w:val="Textoindependiente2"/>
        <w:spacing w:after="0" w:line="240" w:lineRule="auto"/>
        <w:ind w:left="284" w:right="284"/>
        <w:jc w:val="both"/>
        <w:rPr>
          <w:rFonts w:ascii="Bookman Old Style" w:hAnsi="Bookman Old Style"/>
          <w:sz w:val="22"/>
          <w:szCs w:val="22"/>
        </w:rPr>
      </w:pPr>
    </w:p>
    <w:p w:rsidR="00334A2B" w:rsidRPr="008E423A" w:rsidRDefault="00334A2B" w:rsidP="00334A2B">
      <w:pPr>
        <w:pStyle w:val="Textoindependiente2"/>
        <w:spacing w:after="0" w:line="240" w:lineRule="auto"/>
        <w:ind w:left="-142" w:right="-142"/>
        <w:jc w:val="both"/>
        <w:rPr>
          <w:rFonts w:ascii="Bookman Old Style" w:hAnsi="Bookman Old Style"/>
          <w:szCs w:val="27"/>
        </w:rPr>
      </w:pPr>
      <w:r w:rsidRPr="008E423A">
        <w:rPr>
          <w:rFonts w:ascii="Bookman Old Style" w:hAnsi="Bookman Old Style"/>
          <w:szCs w:val="27"/>
        </w:rPr>
        <w:t xml:space="preserve">Así mismo, en el anexo de la Resolución CREG 063 de 2016 en relación </w:t>
      </w:r>
      <w:r>
        <w:rPr>
          <w:rFonts w:ascii="Bookman Old Style" w:hAnsi="Bookman Old Style"/>
          <w:szCs w:val="27"/>
        </w:rPr>
        <w:t xml:space="preserve">con </w:t>
      </w:r>
      <w:r w:rsidRPr="008E423A">
        <w:rPr>
          <w:rFonts w:ascii="Bookman Old Style" w:hAnsi="Bookman Old Style"/>
          <w:szCs w:val="27"/>
        </w:rPr>
        <w:t>este mismo elemento se expuso:</w:t>
      </w:r>
    </w:p>
    <w:p w:rsidR="00334A2B" w:rsidRDefault="00334A2B" w:rsidP="00334A2B">
      <w:pPr>
        <w:pStyle w:val="Textoindependiente2"/>
        <w:spacing w:after="0" w:line="240" w:lineRule="auto"/>
        <w:ind w:left="0" w:right="284"/>
        <w:jc w:val="both"/>
        <w:rPr>
          <w:rFonts w:ascii="Bookman Old Style" w:hAnsi="Bookman Old Style"/>
          <w:sz w:val="22"/>
          <w:szCs w:val="22"/>
        </w:rPr>
      </w:pPr>
    </w:p>
    <w:p w:rsidR="00334A2B" w:rsidRPr="006C06D7" w:rsidRDefault="00334A2B" w:rsidP="00334A2B">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“Cuando la relación se analiza para el envasado en cilindros marcados, el tamaño del cilindro determina la rotación del mismo entre el oferente (i.e., un distribuidor) y un usuario final. Un cilindro de cuarenta libras puede cambiar de manos al menos seis meses al año; uno de mayor tamaño (</w:t>
      </w:r>
      <w:proofErr w:type="spellStart"/>
      <w:r w:rsidRPr="006C06D7">
        <w:rPr>
          <w:rFonts w:ascii="Bookman Old Style" w:hAnsi="Bookman Old Style"/>
          <w:i/>
          <w:sz w:val="22"/>
          <w:szCs w:val="22"/>
        </w:rPr>
        <w:t>e.g</w:t>
      </w:r>
      <w:proofErr w:type="spellEnd"/>
      <w:r w:rsidRPr="006C06D7">
        <w:rPr>
          <w:rFonts w:ascii="Bookman Old Style" w:hAnsi="Bookman Old Style"/>
          <w:i/>
          <w:sz w:val="22"/>
          <w:szCs w:val="22"/>
        </w:rPr>
        <w:t>., cien libras) puede hacerlo un poco más de tres veces si el usuario es residencial</w:t>
      </w:r>
      <w:r w:rsidRPr="006C06D7">
        <w:rPr>
          <w:rFonts w:ascii="Bookman Old Style" w:hAnsi="Bookman Old Style"/>
          <w:i/>
          <w:sz w:val="22"/>
          <w:szCs w:val="22"/>
        </w:rPr>
        <w:footnoteReference w:id="12"/>
      </w:r>
      <w:r w:rsidRPr="006C06D7">
        <w:rPr>
          <w:rFonts w:ascii="Bookman Old Style" w:hAnsi="Bookman Old Style"/>
          <w:i/>
          <w:sz w:val="22"/>
          <w:szCs w:val="22"/>
        </w:rPr>
        <w:t>. Esto implica que un distribuidor no necesariamente vende todos los meses para una presentación</w:t>
      </w:r>
      <w:r w:rsidRPr="006C06D7">
        <w:rPr>
          <w:rFonts w:ascii="Bookman Old Style" w:hAnsi="Bookman Old Style"/>
          <w:i/>
          <w:sz w:val="22"/>
          <w:szCs w:val="22"/>
        </w:rPr>
        <w:footnoteReference w:id="13"/>
      </w:r>
      <w:r w:rsidRPr="006C06D7">
        <w:rPr>
          <w:rFonts w:ascii="Bookman Old Style" w:hAnsi="Bookman Old Style"/>
          <w:i/>
          <w:sz w:val="22"/>
          <w:szCs w:val="22"/>
        </w:rPr>
        <w:t xml:space="preserve"> sino que las transacciones ocurren de acuerdo a la rotación (</w:t>
      </w:r>
      <w:proofErr w:type="spellStart"/>
      <w:r w:rsidRPr="006C06D7">
        <w:rPr>
          <w:rFonts w:ascii="Bookman Old Style" w:hAnsi="Bookman Old Style"/>
          <w:i/>
          <w:sz w:val="22"/>
          <w:szCs w:val="22"/>
        </w:rPr>
        <w:t>e.g</w:t>
      </w:r>
      <w:proofErr w:type="spellEnd"/>
      <w:r w:rsidRPr="006C06D7">
        <w:rPr>
          <w:rFonts w:ascii="Bookman Old Style" w:hAnsi="Bookman Old Style"/>
          <w:i/>
          <w:sz w:val="22"/>
          <w:szCs w:val="22"/>
        </w:rPr>
        <w:t xml:space="preserve">., semanal, mensual, bimensual, anual). Esta es una razón adicional (particular al mercado residencial) por la cual la relación es estrictamente menor a uno.  </w:t>
      </w:r>
    </w:p>
    <w:p w:rsidR="00334A2B" w:rsidRPr="006C06D7" w:rsidRDefault="00334A2B" w:rsidP="00334A2B">
      <w:pPr>
        <w:pStyle w:val="Textoindependiente2"/>
        <w:spacing w:after="0" w:line="240" w:lineRule="auto"/>
        <w:ind w:left="284" w:right="284"/>
        <w:jc w:val="both"/>
        <w:rPr>
          <w:rFonts w:ascii="Bookman Old Style" w:hAnsi="Bookman Old Style"/>
          <w:i/>
          <w:sz w:val="22"/>
          <w:szCs w:val="22"/>
        </w:rPr>
      </w:pPr>
    </w:p>
    <w:p w:rsidR="00334A2B" w:rsidRPr="006C06D7" w:rsidRDefault="00334A2B" w:rsidP="00334A2B">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Dado que el acervo de cilindros se encuentra particionado por presentaciones de distintas capacidades, y la rotación de cilindros determina los registros de ventas, una forma adecuada para realizar un análisis de esta relación es “estandarizarla” o establecerla en “equivalentes” a un tipo de presentación (</w:t>
      </w:r>
      <w:proofErr w:type="spellStart"/>
      <w:r w:rsidRPr="006C06D7">
        <w:rPr>
          <w:rFonts w:ascii="Bookman Old Style" w:hAnsi="Bookman Old Style"/>
          <w:i/>
          <w:sz w:val="22"/>
          <w:szCs w:val="22"/>
        </w:rPr>
        <w:t>e.g</w:t>
      </w:r>
      <w:proofErr w:type="spellEnd"/>
      <w:r w:rsidRPr="006C06D7">
        <w:rPr>
          <w:rFonts w:ascii="Bookman Old Style" w:hAnsi="Bookman Old Style"/>
          <w:i/>
          <w:sz w:val="22"/>
          <w:szCs w:val="22"/>
        </w:rPr>
        <w:t>., cuarenta libras) y considerar como unidad temporal, años:</w:t>
      </w:r>
    </w:p>
    <w:p w:rsidR="00334A2B" w:rsidRPr="006C06D7" w:rsidRDefault="00334A2B" w:rsidP="00334A2B">
      <w:pPr>
        <w:pStyle w:val="Textoindependiente2"/>
        <w:spacing w:after="0" w:line="240" w:lineRule="auto"/>
        <w:ind w:left="284" w:right="284"/>
        <w:jc w:val="both"/>
        <w:rPr>
          <w:rFonts w:ascii="Bookman Old Style" w:hAnsi="Bookman Old Style"/>
          <w:i/>
          <w:sz w:val="22"/>
          <w:szCs w:val="22"/>
        </w:rPr>
      </w:pPr>
    </w:p>
    <w:p w:rsidR="00334A2B" w:rsidRPr="006C06D7" w:rsidRDefault="00334A2B" w:rsidP="00334A2B">
      <w:pPr>
        <w:contextualSpacing/>
        <w:jc w:val="both"/>
        <w:rPr>
          <w:rFonts w:ascii="Arial" w:hAnsi="Arial" w:cs="Arial"/>
          <w:i/>
        </w:rPr>
      </w:pPr>
    </w:p>
    <w:p w:rsidR="00334A2B" w:rsidRPr="007A4361" w:rsidRDefault="007A4361" w:rsidP="00334A2B">
      <w:pPr>
        <w:contextualSpacing/>
        <w:jc w:val="center"/>
        <w:rPr>
          <w:rFonts w:ascii="Arial" w:hAnsi="Arial" w:cs="Arial"/>
          <w:i/>
        </w:rPr>
      </w:pPr>
      <m:oMathPara>
        <m:oMath>
          <m:r>
            <w:rPr>
              <w:rFonts w:ascii="Cambria Math" w:hAnsi="Cambria Math" w:cs="Arial"/>
            </w:rPr>
            <m:t>Relación Ajustada Ventas Inversión =</m:t>
          </m:r>
          <m:f>
            <m:fPr>
              <m:ctrlPr>
                <w:rPr>
                  <w:rFonts w:ascii="Cambria Math" w:hAnsi="Cambria Math" w:cs="Arial"/>
                  <w:i/>
                </w:rPr>
              </m:ctrlPr>
            </m:fPr>
            <m:num>
              <m:r>
                <w:rPr>
                  <w:rFonts w:ascii="Cambria Math" w:hAnsi="Cambria Math" w:cs="Arial"/>
                </w:rPr>
                <m:t>Ventas anuales equivalentes</m:t>
              </m:r>
            </m:num>
            <m:den>
              <m:r>
                <w:rPr>
                  <w:rFonts w:ascii="Cambria Math" w:hAnsi="Cambria Math" w:cs="Arial"/>
                </w:rPr>
                <m:t xml:space="preserve">MR×stock equivalente de cilindros  </m:t>
              </m:r>
            </m:den>
          </m:f>
        </m:oMath>
      </m:oMathPara>
    </w:p>
    <w:p w:rsidR="00334A2B" w:rsidRPr="006C06D7" w:rsidRDefault="00334A2B" w:rsidP="00334A2B">
      <w:pPr>
        <w:contextualSpacing/>
        <w:jc w:val="both"/>
        <w:rPr>
          <w:rFonts w:ascii="Arial" w:hAnsi="Arial" w:cs="Arial"/>
          <w:i/>
        </w:rPr>
      </w:pPr>
    </w:p>
    <w:p w:rsidR="00334A2B" w:rsidRPr="006C06D7" w:rsidRDefault="00334A2B" w:rsidP="00334A2B">
      <w:pPr>
        <w:contextualSpacing/>
        <w:jc w:val="both"/>
        <w:rPr>
          <w:rFonts w:ascii="Arial" w:hAnsi="Arial" w:cs="Arial"/>
          <w:i/>
        </w:rPr>
      </w:pPr>
      <w:r w:rsidRPr="006C06D7">
        <w:rPr>
          <w:rFonts w:ascii="Arial" w:hAnsi="Arial" w:cs="Arial"/>
          <w:i/>
        </w:rPr>
        <w:t xml:space="preserve"> </w:t>
      </w:r>
    </w:p>
    <w:p w:rsidR="00334A2B" w:rsidRPr="006C06D7" w:rsidRDefault="00334A2B" w:rsidP="00334A2B">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 xml:space="preserve">Donde </w:t>
      </w:r>
      <m:oMath>
        <m:r>
          <w:rPr>
            <w:rFonts w:ascii="Cambria Math" w:hAnsi="Cambria Math" w:cs="Arial"/>
          </w:rPr>
          <m:t>MR</m:t>
        </m:r>
      </m:oMath>
      <w:r w:rsidRPr="006C06D7">
        <w:rPr>
          <w:rFonts w:ascii="Bookman Old Style" w:hAnsi="Bookman Old Style"/>
          <w:i/>
          <w:sz w:val="22"/>
          <w:szCs w:val="22"/>
        </w:rPr>
        <w:t xml:space="preserve"> es el promedio de meses en que un distribuidor reporta ventas. Obsérvese que este número es menor o igual a doce (12) debido a que depende de los reportes de ventas de cada tipo de cilindro. </w:t>
      </w:r>
    </w:p>
    <w:p w:rsidR="00334A2B" w:rsidRPr="006C06D7" w:rsidRDefault="00334A2B" w:rsidP="00334A2B">
      <w:pPr>
        <w:pStyle w:val="Textoindependiente2"/>
        <w:spacing w:after="0" w:line="240" w:lineRule="auto"/>
        <w:ind w:left="284" w:right="284"/>
        <w:jc w:val="both"/>
        <w:rPr>
          <w:rFonts w:ascii="Bookman Old Style" w:hAnsi="Bookman Old Style"/>
          <w:i/>
          <w:sz w:val="22"/>
          <w:szCs w:val="22"/>
        </w:rPr>
      </w:pPr>
    </w:p>
    <w:p w:rsidR="00334A2B" w:rsidRPr="006C06D7" w:rsidRDefault="00334A2B" w:rsidP="00334A2B">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Esta relación se analiza utilizando los reportes hechos por distribuidores y comercializadores minoristas a la Superintendencia de Servicios Públicos Domiciliarios (SSPD), a través del SUI. El</w:t>
      </w:r>
      <w:r w:rsidR="00B035D2">
        <w:rPr>
          <w:rFonts w:ascii="Bookman Old Style" w:hAnsi="Bookman Old Style"/>
          <w:i/>
          <w:sz w:val="22"/>
          <w:szCs w:val="22"/>
        </w:rPr>
        <w:t xml:space="preserve"> Grafico </w:t>
      </w:r>
      <w:r w:rsidR="00905448">
        <w:rPr>
          <w:rFonts w:ascii="Bookman Old Style" w:hAnsi="Bookman Old Style"/>
          <w:i/>
          <w:sz w:val="22"/>
          <w:szCs w:val="22"/>
        </w:rPr>
        <w:t>1</w:t>
      </w:r>
      <w:r w:rsidR="00B035D2">
        <w:rPr>
          <w:rFonts w:ascii="Bookman Old Style" w:hAnsi="Bookman Old Style"/>
          <w:i/>
          <w:sz w:val="22"/>
          <w:szCs w:val="22"/>
        </w:rPr>
        <w:t>2</w:t>
      </w:r>
      <w:r w:rsidRPr="006C06D7">
        <w:rPr>
          <w:rFonts w:ascii="Bookman Old Style" w:hAnsi="Bookman Old Style"/>
          <w:i/>
          <w:sz w:val="22"/>
          <w:szCs w:val="22"/>
        </w:rPr>
        <w:t xml:space="preserve"> exhibe un histograma de la relación anual ajustada ventas-inversión de distribuidores</w:t>
      </w:r>
      <w:r w:rsidRPr="006C06D7">
        <w:rPr>
          <w:rFonts w:ascii="Bookman Old Style" w:hAnsi="Bookman Old Style"/>
          <w:i/>
          <w:sz w:val="22"/>
          <w:szCs w:val="22"/>
        </w:rPr>
        <w:footnoteReference w:id="14"/>
      </w:r>
      <w:r w:rsidRPr="006C06D7">
        <w:rPr>
          <w:rFonts w:ascii="Bookman Old Style" w:hAnsi="Bookman Old Style"/>
          <w:i/>
          <w:sz w:val="22"/>
          <w:szCs w:val="22"/>
        </w:rPr>
        <w:t xml:space="preserve"> utilizando la información disponible para el período 2008-2014</w:t>
      </w:r>
      <w:r w:rsidRPr="006C06D7">
        <w:rPr>
          <w:rFonts w:ascii="Bookman Old Style" w:hAnsi="Bookman Old Style"/>
          <w:i/>
          <w:sz w:val="22"/>
          <w:szCs w:val="22"/>
        </w:rPr>
        <w:footnoteReference w:id="15"/>
      </w:r>
      <w:r w:rsidRPr="006C06D7">
        <w:rPr>
          <w:rFonts w:ascii="Bookman Old Style" w:hAnsi="Bookman Old Style"/>
          <w:i/>
          <w:sz w:val="22"/>
          <w:szCs w:val="22"/>
        </w:rPr>
        <w:t>. Como se observa, la relación tiene un mayor peso probabilístico entre 0,5 y 0,7, lo que indica que para vender un cilindro de GLP, un distribuidor debe tener al menos entre uno y dos cilindros a su disposición.”</w:t>
      </w:r>
    </w:p>
    <w:p w:rsidR="00334A2B" w:rsidRDefault="00334A2B" w:rsidP="00334A2B">
      <w:pPr>
        <w:pStyle w:val="Textoindependiente2"/>
        <w:spacing w:after="0" w:line="240" w:lineRule="auto"/>
        <w:ind w:left="0" w:right="284"/>
        <w:jc w:val="both"/>
        <w:rPr>
          <w:rFonts w:ascii="Bookman Old Style" w:hAnsi="Bookman Old Style"/>
          <w:sz w:val="22"/>
          <w:szCs w:val="22"/>
        </w:rPr>
      </w:pPr>
    </w:p>
    <w:p w:rsidR="00334A2B" w:rsidRPr="005B27D9" w:rsidRDefault="00334A2B" w:rsidP="00334A2B">
      <w:pPr>
        <w:pStyle w:val="Textoindependiente2"/>
        <w:spacing w:after="0" w:line="240" w:lineRule="auto"/>
        <w:ind w:left="0" w:right="284"/>
        <w:jc w:val="both"/>
        <w:rPr>
          <w:rFonts w:ascii="Bookman Old Style" w:hAnsi="Bookman Old Style"/>
        </w:rPr>
      </w:pPr>
      <w:r>
        <w:rPr>
          <w:rFonts w:ascii="Bookman Old Style" w:hAnsi="Bookman Old Style"/>
        </w:rPr>
        <w:t>En concordancia con lo anterior y frente al factor de equivalencia, dentro de este análisis la Comisión expuso lo siguiente:</w:t>
      </w:r>
    </w:p>
    <w:p w:rsidR="00334A2B" w:rsidRDefault="00334A2B" w:rsidP="00334A2B">
      <w:pPr>
        <w:pStyle w:val="Textoindependiente2"/>
        <w:spacing w:after="0" w:line="240" w:lineRule="auto"/>
        <w:ind w:left="0" w:right="284"/>
        <w:jc w:val="both"/>
        <w:rPr>
          <w:rFonts w:ascii="Bookman Old Style" w:hAnsi="Bookman Old Style"/>
          <w:sz w:val="22"/>
          <w:szCs w:val="22"/>
        </w:rPr>
      </w:pPr>
    </w:p>
    <w:p w:rsidR="00334A2B" w:rsidRPr="00885091" w:rsidRDefault="00334A2B" w:rsidP="00334A2B">
      <w:pPr>
        <w:pStyle w:val="Textoindependiente2"/>
        <w:spacing w:after="0" w:line="240" w:lineRule="auto"/>
        <w:ind w:left="284" w:right="284"/>
        <w:jc w:val="both"/>
        <w:rPr>
          <w:rFonts w:ascii="Bookman Old Style" w:hAnsi="Bookman Old Style"/>
          <w:i/>
          <w:sz w:val="22"/>
          <w:szCs w:val="22"/>
        </w:rPr>
      </w:pPr>
      <w:r w:rsidRPr="00885091">
        <w:rPr>
          <w:rFonts w:ascii="Bookman Old Style" w:hAnsi="Bookman Old Style"/>
          <w:i/>
          <w:sz w:val="22"/>
          <w:szCs w:val="22"/>
        </w:rPr>
        <w:t>“Nuevamente se observa que la relación econométrica y sus coeficientes son estadísticamente significativos. El coeficiente β_1 es 0,306, lo cual indica que para vender un kilogramo adicional de GLP se requiere de 3,26 kilogramos de capacidad de envasado en tanques estacionarios. Alternativamente, por cada kilogramo de capacidad de envasado en tanques estacionarios atendidos, el distribuidor puede vender 0,306 kilogramos anualmente.</w:t>
      </w:r>
    </w:p>
    <w:p w:rsidR="00334A2B" w:rsidRPr="00885091" w:rsidRDefault="00334A2B" w:rsidP="00334A2B">
      <w:pPr>
        <w:pStyle w:val="Textoindependiente2"/>
        <w:spacing w:after="0" w:line="240" w:lineRule="auto"/>
        <w:ind w:left="284" w:right="284"/>
        <w:jc w:val="both"/>
        <w:rPr>
          <w:rFonts w:ascii="Bookman Old Style" w:hAnsi="Bookman Old Style"/>
          <w:i/>
          <w:sz w:val="22"/>
          <w:szCs w:val="22"/>
        </w:rPr>
      </w:pPr>
    </w:p>
    <w:p w:rsidR="00334A2B" w:rsidRPr="00885091" w:rsidRDefault="00334A2B" w:rsidP="00334A2B">
      <w:pPr>
        <w:pStyle w:val="Textoindependiente2"/>
        <w:spacing w:after="0" w:line="240" w:lineRule="auto"/>
        <w:ind w:left="284" w:right="284"/>
        <w:jc w:val="both"/>
        <w:rPr>
          <w:rFonts w:ascii="Bookman Old Style" w:hAnsi="Bookman Old Style"/>
          <w:i/>
          <w:sz w:val="22"/>
          <w:szCs w:val="22"/>
        </w:rPr>
      </w:pPr>
      <w:r w:rsidRPr="00885091">
        <w:rPr>
          <w:rFonts w:ascii="Bookman Old Style" w:hAnsi="Bookman Old Style"/>
          <w:i/>
          <w:sz w:val="22"/>
          <w:szCs w:val="22"/>
        </w:rPr>
        <w:t>(…)</w:t>
      </w:r>
    </w:p>
    <w:p w:rsidR="00334A2B" w:rsidRPr="00885091" w:rsidRDefault="00334A2B" w:rsidP="00334A2B">
      <w:pPr>
        <w:pStyle w:val="Textoindependiente2"/>
        <w:spacing w:after="0" w:line="240" w:lineRule="auto"/>
        <w:ind w:left="284" w:right="284"/>
        <w:jc w:val="both"/>
        <w:rPr>
          <w:rFonts w:ascii="Bookman Old Style" w:hAnsi="Bookman Old Style"/>
          <w:i/>
          <w:sz w:val="22"/>
          <w:szCs w:val="22"/>
        </w:rPr>
      </w:pPr>
    </w:p>
    <w:p w:rsidR="00334A2B" w:rsidRPr="00885091" w:rsidRDefault="00334A2B" w:rsidP="00334A2B">
      <w:pPr>
        <w:pStyle w:val="Textoindependiente2"/>
        <w:spacing w:after="0" w:line="240" w:lineRule="auto"/>
        <w:ind w:left="284" w:right="284"/>
        <w:jc w:val="both"/>
        <w:rPr>
          <w:rFonts w:ascii="Bookman Old Style" w:hAnsi="Bookman Old Style"/>
          <w:i/>
          <w:sz w:val="22"/>
          <w:szCs w:val="22"/>
        </w:rPr>
      </w:pPr>
      <w:r w:rsidRPr="00885091">
        <w:rPr>
          <w:rFonts w:ascii="Bookman Old Style" w:hAnsi="Bookman Old Style"/>
          <w:i/>
          <w:sz w:val="22"/>
          <w:szCs w:val="22"/>
        </w:rPr>
        <w:t>“Ahora, realizando este mismo análisis con las empresas que únicamente se encontraban activas en el 2014, se encuentra que el 71% de ellas tenían esta razón igual o menor a 0,08, es decir, disponían de al menos 12,5 kilogramos de capacidad de envasado para vender un kilogramo de GLP. El 94,1% de las empresas activas exhibían una razón inferior a 0,31. Ello, en conclusión, confirma uno de los hechos estilizados de la actividad de distribución y comercialización minorista de GLP: desde 2008 y a través de los años, las empresas han adquirido una capacidad de envasado que supera los niveles de compra de GLP en el mercado mayorista.”</w:t>
      </w:r>
    </w:p>
    <w:p w:rsidR="00334A2B" w:rsidRPr="00885091" w:rsidRDefault="00334A2B" w:rsidP="00334A2B">
      <w:pPr>
        <w:pStyle w:val="Textoindependiente2"/>
        <w:spacing w:after="0" w:line="240" w:lineRule="auto"/>
        <w:ind w:left="-142" w:right="-142"/>
        <w:jc w:val="both"/>
        <w:rPr>
          <w:rFonts w:ascii="Bookman Old Style" w:hAnsi="Bookman Old Style"/>
          <w:i/>
          <w:szCs w:val="27"/>
        </w:rPr>
      </w:pPr>
    </w:p>
    <w:p w:rsidR="002A3EB4" w:rsidRDefault="00334A2B" w:rsidP="00334A2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relación con lo anterior, esta Comisión expuso dentro del trámite de consulta el análisis general aplicable a la rotación de las inversiones, así al factor de equivalencia para las empresas distribuidoras, dando respuesta en debida forma a los comentarios, incluidos los de la empresa recurrente con respecto a el porque la definición de la capacidad de compra se debía realizar de acuerdo con el procedimiento y la forma definida en el artículo 8 y las formulas allí establecidas, atendien</w:t>
      </w:r>
      <w:r w:rsidR="002A3EB4">
        <w:rPr>
          <w:rFonts w:ascii="Bookman Old Style" w:hAnsi="Bookman Old Style"/>
          <w:szCs w:val="27"/>
        </w:rPr>
        <w:t>do los análisis que la preceden.</w:t>
      </w:r>
    </w:p>
    <w:p w:rsidR="002A3EB4" w:rsidRDefault="002A3EB4" w:rsidP="00334A2B">
      <w:pPr>
        <w:pStyle w:val="Textoindependiente2"/>
        <w:spacing w:after="0" w:line="240" w:lineRule="auto"/>
        <w:ind w:left="-142" w:right="-142"/>
        <w:jc w:val="both"/>
        <w:rPr>
          <w:rFonts w:ascii="Bookman Old Style" w:hAnsi="Bookman Old Style"/>
          <w:szCs w:val="27"/>
        </w:rPr>
      </w:pPr>
    </w:p>
    <w:p w:rsidR="00334A2B" w:rsidRDefault="002A3EB4" w:rsidP="00334A2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De igual forma se advirtió que no existía justificación para </w:t>
      </w:r>
      <w:r w:rsidR="00334A2B">
        <w:rPr>
          <w:rFonts w:ascii="Bookman Old Style" w:hAnsi="Bookman Old Style"/>
          <w:szCs w:val="27"/>
        </w:rPr>
        <w:t>crear tratamientos diferenciados o específicos con respecto a la forma en que se debe definir la capacidad de compra, incluyendo elementos tales como la rotación de las inversiones, aspectos relacionados con subsidios y el factor de equivalencia, en la medida que dicho tratamiento se debía realizar de manera general y bajo los mismos lineamientos para todos los distribuidores.</w:t>
      </w:r>
    </w:p>
    <w:p w:rsidR="00334A2B" w:rsidRDefault="00334A2B" w:rsidP="00334A2B">
      <w:pPr>
        <w:pStyle w:val="Textoindependiente2"/>
        <w:spacing w:after="0" w:line="240" w:lineRule="auto"/>
        <w:ind w:left="-142" w:right="-142"/>
        <w:jc w:val="both"/>
        <w:rPr>
          <w:rFonts w:ascii="Bookman Old Style" w:hAnsi="Bookman Old Style"/>
          <w:szCs w:val="27"/>
        </w:rPr>
      </w:pPr>
    </w:p>
    <w:p w:rsidR="00334A2B" w:rsidRDefault="00334A2B" w:rsidP="00334A2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Es por esto que no atender un comentario y dando debida respuesta al mismo como parte del proceso de consulta no puede entenderse como un elemento que afecte la validez, eficacia y la legalidad de la Resolución CREG 075 de 2016, no siendo procedentes los argumentos expuestos en el recursos </w:t>
      </w:r>
      <w:r w:rsidR="00885091">
        <w:rPr>
          <w:rFonts w:ascii="Bookman Old Style" w:hAnsi="Bookman Old Style"/>
          <w:szCs w:val="27"/>
        </w:rPr>
        <w:t>en este sentido en los numerales 1.1 y 1.5 del recurso de reposición</w:t>
      </w:r>
      <w:r>
        <w:rPr>
          <w:rFonts w:ascii="Bookman Old Style" w:hAnsi="Bookman Old Style"/>
          <w:szCs w:val="27"/>
        </w:rPr>
        <w:t>.</w:t>
      </w:r>
    </w:p>
    <w:p w:rsidR="00334A2B" w:rsidRDefault="00334A2B" w:rsidP="00334A2B">
      <w:pPr>
        <w:pStyle w:val="Textoindependiente2"/>
        <w:spacing w:after="0" w:line="240" w:lineRule="auto"/>
        <w:ind w:left="0" w:right="-142"/>
        <w:jc w:val="both"/>
        <w:rPr>
          <w:rFonts w:ascii="Bookman Old Style" w:hAnsi="Bookman Old Style"/>
          <w:szCs w:val="27"/>
        </w:rPr>
      </w:pPr>
    </w:p>
    <w:p w:rsidR="00334A2B" w:rsidRDefault="00334A2B" w:rsidP="00334A2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se debe tener en cuenta igualmente que la empresa dentro del recurso de reposición cuestiona de manera específica el f</w:t>
      </w:r>
      <w:r w:rsidRPr="00971FF2">
        <w:rPr>
          <w:rFonts w:ascii="Bookman Old Style" w:hAnsi="Bookman Old Style"/>
          <w:szCs w:val="27"/>
        </w:rPr>
        <w:t>actor de equivalencia de envasado en cilindros y tanques estacionarios</w:t>
      </w:r>
      <w:r>
        <w:rPr>
          <w:rFonts w:ascii="Bookman Old Style" w:hAnsi="Bookman Old Style"/>
          <w:szCs w:val="27"/>
        </w:rPr>
        <w:t>, toda vez que consideran ellos, se encuentran en una situación particular y específica en relación con</w:t>
      </w:r>
      <w:r w:rsidR="00885091">
        <w:rPr>
          <w:rFonts w:ascii="Bookman Old Style" w:hAnsi="Bookman Old Style"/>
          <w:szCs w:val="27"/>
        </w:rPr>
        <w:t xml:space="preserve"> la existencia de un grado de eficiencia con respecto a</w:t>
      </w:r>
      <w:r>
        <w:rPr>
          <w:rFonts w:ascii="Bookman Old Style" w:hAnsi="Bookman Old Style"/>
          <w:szCs w:val="27"/>
        </w:rPr>
        <w:t xml:space="preserve"> la rotación de sus cilindros y el llenado de sus tanques, </w:t>
      </w:r>
      <w:r w:rsidR="00885091">
        <w:rPr>
          <w:rFonts w:ascii="Bookman Old Style" w:hAnsi="Bookman Old Style"/>
          <w:szCs w:val="27"/>
        </w:rPr>
        <w:t xml:space="preserve">así como </w:t>
      </w:r>
      <w:r>
        <w:rPr>
          <w:rFonts w:ascii="Bookman Old Style" w:hAnsi="Bookman Old Style"/>
          <w:szCs w:val="27"/>
        </w:rPr>
        <w:t xml:space="preserve">las condiciones de mercado </w:t>
      </w:r>
      <w:r w:rsidR="00885091">
        <w:rPr>
          <w:rFonts w:ascii="Bookman Old Style" w:hAnsi="Bookman Old Style"/>
          <w:szCs w:val="27"/>
        </w:rPr>
        <w:t>de dicha empresa</w:t>
      </w:r>
      <w:r>
        <w:rPr>
          <w:rFonts w:ascii="Bookman Old Style" w:hAnsi="Bookman Old Style"/>
          <w:szCs w:val="27"/>
        </w:rPr>
        <w:t xml:space="preserve">, lo cual debe generar que la determinación de la capacidad de compra para esta empresa atendiendo un factor de equivalencia sea diferente al 0,3 previsto en la Resolución CREG 063 de 2016, considerando que dicho factor para su caso debería corresponder a </w:t>
      </w:r>
      <w:r w:rsidR="00885091">
        <w:rPr>
          <w:rFonts w:ascii="Bookman Old Style" w:hAnsi="Bookman Old Style"/>
          <w:szCs w:val="27"/>
        </w:rPr>
        <w:t>0,427</w:t>
      </w:r>
      <w:r>
        <w:rPr>
          <w:rFonts w:ascii="Bookman Old Style" w:hAnsi="Bookman Old Style"/>
          <w:szCs w:val="27"/>
        </w:rPr>
        <w:t>.</w:t>
      </w:r>
    </w:p>
    <w:p w:rsidR="00334A2B" w:rsidRDefault="00334A2B" w:rsidP="00334A2B">
      <w:pPr>
        <w:pStyle w:val="Textoindependiente2"/>
        <w:spacing w:after="0" w:line="240" w:lineRule="auto"/>
        <w:ind w:left="0" w:right="-142"/>
        <w:jc w:val="both"/>
        <w:rPr>
          <w:rFonts w:ascii="Bookman Old Style" w:hAnsi="Bookman Old Style"/>
          <w:szCs w:val="27"/>
        </w:rPr>
      </w:pPr>
    </w:p>
    <w:p w:rsidR="00334A2B" w:rsidRDefault="00334A2B" w:rsidP="00334A2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 xml:space="preserve">En este punto, la Comisión encuentra que los argumentos expuestos por la empresa </w:t>
      </w:r>
      <w:r w:rsidR="00885091">
        <w:rPr>
          <w:rFonts w:ascii="Bookman Old Style" w:hAnsi="Bookman Old Style"/>
          <w:szCs w:val="27"/>
        </w:rPr>
        <w:t>Chilco</w:t>
      </w:r>
      <w:r>
        <w:rPr>
          <w:rFonts w:ascii="Bookman Old Style" w:hAnsi="Bookman Old Style"/>
          <w:szCs w:val="27"/>
        </w:rPr>
        <w:t xml:space="preserve"> no llevan a modificar o revocar lo consagrado en el artículo 1 de la Resolución CREG 075 de 2016 en cuanto a la aplicación realizada por la Comisión a efectos de determinar la capacidad de compra de acuerdo con lo previsto en el artículo 8 de este acto administrativo, toda vez que no se advierte una indebida aplicación del mismo o un error en la forma de llevar a cabo dicho procedimiento por parte de esta Comisión. </w:t>
      </w:r>
    </w:p>
    <w:p w:rsidR="00334A2B" w:rsidRDefault="00334A2B" w:rsidP="00334A2B">
      <w:pPr>
        <w:pStyle w:val="Textoindependiente2"/>
        <w:spacing w:after="0" w:line="240" w:lineRule="auto"/>
        <w:ind w:left="-142" w:right="-142"/>
        <w:jc w:val="both"/>
        <w:rPr>
          <w:rFonts w:ascii="Bookman Old Style" w:hAnsi="Bookman Old Style"/>
          <w:szCs w:val="27"/>
        </w:rPr>
      </w:pPr>
    </w:p>
    <w:p w:rsidR="00334A2B" w:rsidRDefault="00334A2B" w:rsidP="00334A2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Así mismo, dichos argumentos no generan o motivan por parte de esta Comisión que se realice un tratamiento diferenciado a la empresa </w:t>
      </w:r>
      <w:r w:rsidR="00885091">
        <w:rPr>
          <w:rFonts w:ascii="Bookman Old Style" w:hAnsi="Bookman Old Style"/>
          <w:szCs w:val="27"/>
        </w:rPr>
        <w:t>Chilco</w:t>
      </w:r>
      <w:r>
        <w:rPr>
          <w:rFonts w:ascii="Bookman Old Style" w:hAnsi="Bookman Old Style"/>
          <w:szCs w:val="27"/>
        </w:rPr>
        <w:t xml:space="preserve"> a efectos de resolver el presente recurso de reposición, ya que no se advierte un motivo </w:t>
      </w:r>
      <w:r w:rsidRPr="00936888">
        <w:rPr>
          <w:rFonts w:ascii="Bookman Old Style" w:hAnsi="Bookman Old Style"/>
          <w:szCs w:val="27"/>
        </w:rPr>
        <w:t>justificado</w:t>
      </w:r>
      <w:r>
        <w:rPr>
          <w:rFonts w:ascii="Bookman Old Style" w:hAnsi="Bookman Old Style"/>
          <w:szCs w:val="27"/>
        </w:rPr>
        <w:t xml:space="preserve">, sustentado económica, técnica y jurídicamente, sino que por el contrario, el análisis expuesto por esta Comisión en los documentos soporte en relación con lo previsto en el artículo 8 de la Resolución CREG 063 de 2016, atendiendo las variables allí consignadas (e. g. </w:t>
      </w:r>
      <w:r w:rsidRPr="004926FE">
        <w:rPr>
          <w:rFonts w:ascii="Bookman Old Style" w:hAnsi="Bookman Old Style"/>
          <w:szCs w:val="27"/>
        </w:rPr>
        <w:t>inversión en envasado</w:t>
      </w:r>
      <w:r>
        <w:rPr>
          <w:rFonts w:ascii="Bookman Old Style" w:hAnsi="Bookman Old Style"/>
          <w:szCs w:val="27"/>
        </w:rPr>
        <w:t xml:space="preserve">), permite establecer que existe un mismo criterio de equiparación y comparación entre todos los agentes, incluyendo esto para la definición del </w:t>
      </w:r>
      <w:r w:rsidRPr="00241733">
        <w:rPr>
          <w:rFonts w:ascii="Bookman Old Style" w:hAnsi="Bookman Old Style"/>
          <w:szCs w:val="27"/>
        </w:rPr>
        <w:t>factor de equivalencia de envasado en cilindros y tanques estacionarios</w:t>
      </w:r>
      <w:r>
        <w:rPr>
          <w:rFonts w:ascii="Bookman Old Style" w:hAnsi="Bookman Old Style"/>
          <w:szCs w:val="27"/>
        </w:rPr>
        <w:t xml:space="preserve">, por lo que allí se advierte y se refleja en la definición del artículo 8, que se debe dar un tratamiento igualitario y simétrico a los distribuidores de GLP en relación con la Resolución CREG 063 de 2016. </w:t>
      </w:r>
    </w:p>
    <w:p w:rsidR="00334A2B" w:rsidRDefault="00334A2B" w:rsidP="00334A2B">
      <w:pPr>
        <w:pStyle w:val="Textoindependiente2"/>
        <w:spacing w:after="0" w:line="240" w:lineRule="auto"/>
        <w:ind w:left="-142" w:right="-142"/>
        <w:jc w:val="both"/>
        <w:rPr>
          <w:rFonts w:ascii="Bookman Old Style" w:hAnsi="Bookman Old Style"/>
          <w:szCs w:val="27"/>
        </w:rPr>
      </w:pPr>
    </w:p>
    <w:p w:rsidR="00334A2B" w:rsidRDefault="00334A2B" w:rsidP="00334A2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Es así que dentro del trámite de consulta, incluyendo la expedición de las resoluciones CREG 221 de 2015 y 063 de 2016, esta Comisión estableció atendiendo los análisis expuestos en los anexos del documento soporte de dichos actos administrativo, así como atendiendo las observaciones e inquietudes formuladas por los agentes, que los parámetros y elementos respecto de los cuales se debía definir la capacidad de compra debían partir de un mismo supuesto, relativo a que se debía dar el mismo tratamiento a los distribuidores y que dichos parámetros debían ser de orden general. </w:t>
      </w:r>
    </w:p>
    <w:p w:rsidR="00334A2B" w:rsidRDefault="00334A2B" w:rsidP="00334A2B">
      <w:pPr>
        <w:pStyle w:val="Textoindependiente2"/>
        <w:spacing w:after="0" w:line="240" w:lineRule="auto"/>
        <w:ind w:left="-142" w:right="-142"/>
        <w:jc w:val="both"/>
        <w:rPr>
          <w:rFonts w:ascii="Bookman Old Style" w:hAnsi="Bookman Old Style"/>
          <w:szCs w:val="27"/>
        </w:rPr>
      </w:pPr>
    </w:p>
    <w:p w:rsidR="002A3EB4" w:rsidRDefault="00334A2B" w:rsidP="00334A2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Esto, a </w:t>
      </w:r>
      <w:r w:rsidRPr="003B4690">
        <w:rPr>
          <w:rFonts w:ascii="Bookman Old Style" w:hAnsi="Bookman Old Style"/>
          <w:szCs w:val="27"/>
        </w:rPr>
        <w:t>fin de dar cumplimiento a los presupuestos y mandatos propios del principio de igualdad, materializados en materia de servicios públicos en el criterio de neutralidad del artículo 87 de la Ley 142 de 1994, como lo son el de dar un trato idéntico a destinatarios que se encuentren en circunstancias idénticas, así como el de dar un trato paritario a destinatarios cuyas situaciones presenten similitudes y diferencias, pero las similitudes sean más relevantes a pesar de las diferencias, como es el caso de los agentes distribuidores para efectos de la determinación de la capacidad de compra</w:t>
      </w:r>
      <w:r w:rsidR="00916F00">
        <w:rPr>
          <w:rFonts w:ascii="Bookman Old Style" w:hAnsi="Bookman Old Style"/>
          <w:szCs w:val="27"/>
        </w:rPr>
        <w:t xml:space="preserve"> y la forma como se </w:t>
      </w:r>
      <w:r w:rsidR="00F478B7">
        <w:rPr>
          <w:rFonts w:ascii="Bookman Old Style" w:hAnsi="Bookman Old Style"/>
          <w:szCs w:val="27"/>
        </w:rPr>
        <w:t>lleva</w:t>
      </w:r>
      <w:r w:rsidR="00916F00">
        <w:rPr>
          <w:rFonts w:ascii="Bookman Old Style" w:hAnsi="Bookman Old Style"/>
          <w:szCs w:val="27"/>
        </w:rPr>
        <w:t xml:space="preserve"> a cabo la prestación del servicio</w:t>
      </w:r>
      <w:r w:rsidRPr="003B4690">
        <w:rPr>
          <w:rFonts w:ascii="Bookman Old Style" w:hAnsi="Bookman Old Style"/>
          <w:szCs w:val="27"/>
        </w:rPr>
        <w:t>.</w:t>
      </w:r>
      <w:r>
        <w:rPr>
          <w:rFonts w:ascii="Bookman Old Style" w:hAnsi="Bookman Old Style"/>
          <w:szCs w:val="27"/>
        </w:rPr>
        <w:t xml:space="preserve"> </w:t>
      </w:r>
    </w:p>
    <w:p w:rsidR="002A3EB4" w:rsidRDefault="002A3EB4" w:rsidP="00334A2B">
      <w:pPr>
        <w:pStyle w:val="Textoindependiente2"/>
        <w:spacing w:after="0" w:line="240" w:lineRule="auto"/>
        <w:ind w:left="-142" w:right="-142"/>
        <w:jc w:val="both"/>
        <w:rPr>
          <w:rFonts w:ascii="Bookman Old Style" w:hAnsi="Bookman Old Style"/>
          <w:szCs w:val="27"/>
        </w:rPr>
      </w:pPr>
    </w:p>
    <w:p w:rsidR="00334A2B" w:rsidRDefault="00334A2B" w:rsidP="00334A2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Es por esto que</w:t>
      </w:r>
      <w:r w:rsidRPr="008B2512">
        <w:rPr>
          <w:rFonts w:ascii="Bookman Old Style" w:hAnsi="Bookman Old Style"/>
          <w:szCs w:val="27"/>
        </w:rPr>
        <w:t xml:space="preserve">, no se identificaron </w:t>
      </w:r>
      <w:r>
        <w:rPr>
          <w:rFonts w:ascii="Bookman Old Style" w:hAnsi="Bookman Old Style"/>
          <w:szCs w:val="27"/>
        </w:rPr>
        <w:t xml:space="preserve">al momento de la expedición de la Resolución CREG 063 de 2016 </w:t>
      </w:r>
      <w:r w:rsidRPr="008B2512">
        <w:rPr>
          <w:rFonts w:ascii="Bookman Old Style" w:hAnsi="Bookman Old Style"/>
          <w:szCs w:val="27"/>
        </w:rPr>
        <w:t>elementos respecto de los cuales se generara o se encontrará llevar a cabo un tratamiento diferenciado para los agentes que prestan el servicio en cilindros y tanques estacionarios a efectos de establecer la forma como se debía definir la capacidad de compra</w:t>
      </w:r>
      <w:r>
        <w:rPr>
          <w:rFonts w:ascii="Bookman Old Style" w:hAnsi="Bookman Old Style"/>
          <w:szCs w:val="27"/>
        </w:rPr>
        <w:t xml:space="preserve">, incluyendo el caso expuesto por parte de </w:t>
      </w:r>
      <w:r w:rsidR="00916F00">
        <w:rPr>
          <w:rFonts w:ascii="Bookman Old Style" w:hAnsi="Bookman Old Style"/>
          <w:szCs w:val="27"/>
        </w:rPr>
        <w:t>Chilco</w:t>
      </w:r>
      <w:r w:rsidRPr="008B2512">
        <w:rPr>
          <w:rFonts w:ascii="Bookman Old Style" w:hAnsi="Bookman Old Style"/>
          <w:szCs w:val="27"/>
        </w:rPr>
        <w:t>.</w:t>
      </w:r>
    </w:p>
    <w:p w:rsidR="00334A2B" w:rsidRDefault="00334A2B" w:rsidP="00334A2B">
      <w:pPr>
        <w:pStyle w:val="Textoindependiente2"/>
        <w:spacing w:after="0" w:line="240" w:lineRule="auto"/>
        <w:ind w:left="0" w:right="-142"/>
        <w:jc w:val="both"/>
        <w:rPr>
          <w:rFonts w:ascii="Bookman Old Style" w:hAnsi="Bookman Old Style"/>
          <w:szCs w:val="27"/>
        </w:rPr>
      </w:pPr>
    </w:p>
    <w:p w:rsidR="00334A2B" w:rsidRDefault="00334A2B" w:rsidP="00334A2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Ejemplo de lo anterior es lo expuesto en el documento soporte de la Resolución CREG 063 de 2016, donde en respuesta a este tipo de solicitudes esta Comisión precisó lo siguiente:</w:t>
      </w:r>
    </w:p>
    <w:p w:rsidR="00334A2B" w:rsidRPr="003B4690" w:rsidRDefault="00334A2B" w:rsidP="00334A2B">
      <w:pPr>
        <w:pStyle w:val="Textoindependiente2"/>
        <w:spacing w:after="0" w:line="240" w:lineRule="auto"/>
        <w:ind w:left="-142" w:right="-142"/>
        <w:jc w:val="both"/>
        <w:rPr>
          <w:rFonts w:ascii="Bookman Old Style" w:hAnsi="Bookman Old Style"/>
          <w:szCs w:val="27"/>
        </w:rPr>
      </w:pPr>
    </w:p>
    <w:p w:rsidR="00334A2B" w:rsidRDefault="00334A2B" w:rsidP="00334A2B">
      <w:pPr>
        <w:pStyle w:val="Textoindependiente2"/>
        <w:spacing w:after="0" w:line="240" w:lineRule="auto"/>
        <w:ind w:left="284" w:right="284"/>
        <w:jc w:val="both"/>
        <w:rPr>
          <w:rFonts w:ascii="Bookman Old Style" w:hAnsi="Bookman Old Style"/>
          <w:szCs w:val="27"/>
        </w:rPr>
      </w:pPr>
      <w:r>
        <w:rPr>
          <w:rFonts w:ascii="Bookman Old Style" w:hAnsi="Bookman Old Style"/>
          <w:sz w:val="22"/>
          <w:szCs w:val="22"/>
        </w:rPr>
        <w:t>“</w:t>
      </w:r>
      <w:r w:rsidRPr="003B4690">
        <w:rPr>
          <w:rFonts w:ascii="Bookman Old Style" w:hAnsi="Bookman Old Style"/>
          <w:sz w:val="22"/>
          <w:szCs w:val="22"/>
        </w:rPr>
        <w:t xml:space="preserve">En relación con estos comentarios se debe precisar que la propuesta regulatoria en ningún momento fomenta o incentiva la práctica de conductas o prácticas restrictivas a la competencia en los términos que allí menciona, </w:t>
      </w:r>
      <w:r w:rsidRPr="003B4690">
        <w:rPr>
          <w:rFonts w:ascii="Bookman Old Style" w:hAnsi="Bookman Old Style"/>
          <w:sz w:val="22"/>
          <w:szCs w:val="22"/>
          <w:u w:val="single"/>
        </w:rPr>
        <w:t xml:space="preserve">toda vez que esta </w:t>
      </w:r>
      <w:r w:rsidRPr="003B4690">
        <w:rPr>
          <w:rFonts w:ascii="Bookman Old Style" w:hAnsi="Bookman Old Style"/>
          <w:sz w:val="22"/>
          <w:szCs w:val="22"/>
          <w:u w:val="single"/>
        </w:rPr>
        <w:lastRenderedPageBreak/>
        <w:t>da el mismo tratamiento a todos los agentes que van a realizar compras en el mercado mayorista, sin fomentar en ningún caso un trato preferencial o específico que permita que algún agente pueda adquirir producto a fin de generar un acaparamiento el mercado</w:t>
      </w:r>
      <w:r w:rsidRPr="003B4690">
        <w:rPr>
          <w:rFonts w:ascii="Bookman Old Style" w:hAnsi="Bookman Old Style"/>
          <w:sz w:val="22"/>
          <w:szCs w:val="22"/>
        </w:rPr>
        <w:t>. En este sentido, cualquier agente puede comprar en el mercado mayorista las cantidades de GLP que pueda distribuir y la asignación de las cantidades se hará de acuerdo con el mecanismo existente, donde para el caso del GLP con precio regulado corresponde a las OPC del reglamento de comercialización mayorista</w:t>
      </w:r>
      <w:r>
        <w:rPr>
          <w:rFonts w:ascii="Bookman Old Style" w:hAnsi="Bookman Old Style"/>
          <w:sz w:val="22"/>
          <w:szCs w:val="22"/>
        </w:rPr>
        <w:t>” (Resaltado fuera de texto)</w:t>
      </w:r>
    </w:p>
    <w:p w:rsidR="00334A2B" w:rsidRDefault="00334A2B" w:rsidP="00334A2B">
      <w:pPr>
        <w:pStyle w:val="Textoindependiente2"/>
        <w:spacing w:after="0" w:line="240" w:lineRule="auto"/>
        <w:ind w:left="-142" w:right="-142"/>
        <w:jc w:val="both"/>
        <w:rPr>
          <w:rFonts w:ascii="Bookman Old Style" w:hAnsi="Bookman Old Style"/>
          <w:szCs w:val="27"/>
        </w:rPr>
      </w:pPr>
    </w:p>
    <w:p w:rsidR="002A3EB4" w:rsidRDefault="00334A2B" w:rsidP="00334A2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Adicionalmente, se debe tener en cuenta que e</w:t>
      </w:r>
      <w:r w:rsidRPr="0006576D">
        <w:rPr>
          <w:rFonts w:ascii="Bookman Old Style" w:hAnsi="Bookman Old Style"/>
          <w:szCs w:val="27"/>
        </w:rPr>
        <w:t xml:space="preserve">stos </w:t>
      </w:r>
      <w:r>
        <w:rPr>
          <w:rFonts w:ascii="Bookman Old Style" w:hAnsi="Bookman Old Style"/>
          <w:szCs w:val="27"/>
        </w:rPr>
        <w:t xml:space="preserve">argumentos están dirigidos a cuestionar de manera general y abstracta la legalidad de la Resolución CREG 063 de 2016, en particular el artículo 8, con respecto a </w:t>
      </w:r>
      <w:r w:rsidRPr="0006576D">
        <w:rPr>
          <w:rFonts w:ascii="Bookman Old Style" w:hAnsi="Bookman Old Style"/>
          <w:szCs w:val="27"/>
        </w:rPr>
        <w:t>la forma en que se estableció</w:t>
      </w:r>
      <w:r>
        <w:rPr>
          <w:rFonts w:ascii="Bookman Old Style" w:hAnsi="Bookman Old Style"/>
          <w:szCs w:val="27"/>
        </w:rPr>
        <w:t xml:space="preserve"> y se definieron los parámetros para la definición de la capacidad de compra.</w:t>
      </w:r>
      <w:r w:rsidRPr="0006576D">
        <w:rPr>
          <w:rFonts w:ascii="Bookman Old Style" w:hAnsi="Bookman Old Style"/>
          <w:szCs w:val="27"/>
        </w:rPr>
        <w:t xml:space="preserve"> </w:t>
      </w:r>
    </w:p>
    <w:p w:rsidR="002A3EB4" w:rsidRDefault="002A3EB4" w:rsidP="00334A2B">
      <w:pPr>
        <w:pStyle w:val="Textoindependiente2"/>
        <w:spacing w:after="0" w:line="240" w:lineRule="auto"/>
        <w:ind w:left="-142" w:right="-142"/>
        <w:jc w:val="both"/>
        <w:rPr>
          <w:rFonts w:ascii="Bookman Old Style" w:hAnsi="Bookman Old Style"/>
          <w:szCs w:val="27"/>
        </w:rPr>
      </w:pPr>
    </w:p>
    <w:p w:rsidR="00334A2B" w:rsidRDefault="00334A2B" w:rsidP="00334A2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se advierte que el objeto de la Resolución CREG 075 de 2016 corresponde al procedimiento y la forma en que fue llevada a cabo la definición de la capacidad de compra en los términos previstos en este acto administrativo para el caso particular de la empresa </w:t>
      </w:r>
      <w:r w:rsidR="00916F00">
        <w:rPr>
          <w:rFonts w:ascii="Bookman Old Style" w:hAnsi="Bookman Old Style"/>
          <w:szCs w:val="27"/>
        </w:rPr>
        <w:t>Chilco</w:t>
      </w:r>
      <w:r>
        <w:rPr>
          <w:rFonts w:ascii="Bookman Old Style" w:hAnsi="Bookman Old Style"/>
          <w:szCs w:val="27"/>
        </w:rPr>
        <w:t xml:space="preserve">, razón por la cual, se establece que estos cuestionamientos dentro del recurso de reposición en este punto no están dirigidos, ni tienen relación con el objeto del acto impugnado, </w:t>
      </w:r>
      <w:r w:rsidRPr="0006576D">
        <w:rPr>
          <w:rFonts w:ascii="Bookman Old Style" w:hAnsi="Bookman Old Style"/>
          <w:szCs w:val="27"/>
        </w:rPr>
        <w:t xml:space="preserve">no siendo </w:t>
      </w:r>
      <w:r>
        <w:rPr>
          <w:rFonts w:ascii="Bookman Old Style" w:hAnsi="Bookman Old Style"/>
          <w:szCs w:val="27"/>
        </w:rPr>
        <w:t>este el</w:t>
      </w:r>
      <w:r w:rsidRPr="0006576D">
        <w:rPr>
          <w:rFonts w:ascii="Bookman Old Style" w:hAnsi="Bookman Old Style"/>
          <w:szCs w:val="27"/>
        </w:rPr>
        <w:t xml:space="preserve"> espacio para cuestionar la legalidad de la medida de carácter general.</w:t>
      </w:r>
    </w:p>
    <w:p w:rsidR="00334A2B" w:rsidRDefault="00334A2B" w:rsidP="00334A2B">
      <w:pPr>
        <w:pStyle w:val="Textoindependiente2"/>
        <w:spacing w:after="0" w:line="240" w:lineRule="auto"/>
        <w:ind w:left="0" w:right="-142"/>
        <w:jc w:val="both"/>
        <w:rPr>
          <w:rFonts w:ascii="Bookman Old Style" w:hAnsi="Bookman Old Style"/>
          <w:szCs w:val="27"/>
        </w:rPr>
      </w:pPr>
    </w:p>
    <w:p w:rsidR="00334A2B" w:rsidRDefault="00334A2B" w:rsidP="00916F00">
      <w:pPr>
        <w:pStyle w:val="Textoindependiente2"/>
        <w:spacing w:after="0" w:line="240" w:lineRule="auto"/>
        <w:ind w:left="-142" w:right="-142"/>
        <w:jc w:val="both"/>
        <w:rPr>
          <w:rFonts w:ascii="Bookman Old Style" w:hAnsi="Bookman Old Style"/>
          <w:szCs w:val="27"/>
        </w:rPr>
      </w:pPr>
      <w:r w:rsidRPr="00DB633B">
        <w:rPr>
          <w:rFonts w:ascii="Bookman Old Style" w:hAnsi="Bookman Old Style"/>
          <w:szCs w:val="27"/>
        </w:rPr>
        <w:t xml:space="preserve">Es por esto que una vez analizadas las consideraciones expuestas por </w:t>
      </w:r>
      <w:r w:rsidR="00916F00">
        <w:rPr>
          <w:rFonts w:ascii="Bookman Old Style" w:hAnsi="Bookman Old Style"/>
          <w:szCs w:val="27"/>
        </w:rPr>
        <w:t>Chilco</w:t>
      </w:r>
      <w:r w:rsidRPr="00DB633B">
        <w:rPr>
          <w:rFonts w:ascii="Bookman Old Style" w:hAnsi="Bookman Old Style"/>
          <w:szCs w:val="27"/>
        </w:rPr>
        <w:t xml:space="preserve"> en el recurso de reposición</w:t>
      </w:r>
      <w:r w:rsidR="00916F00">
        <w:rPr>
          <w:rFonts w:ascii="Bookman Old Style" w:hAnsi="Bookman Old Style"/>
          <w:szCs w:val="27"/>
        </w:rPr>
        <w:t xml:space="preserve"> y la solicitud específica que realiza, denominada “consideración 2” de llevar a cabo una modificación de la definición de la capacidad de compra con base en un “coeficiente B1:0,427” no son procedentes de acuerdo con lo expuesto en el presente aparte</w:t>
      </w:r>
      <w:r w:rsidRPr="00DB633B">
        <w:rPr>
          <w:rFonts w:ascii="Bookman Old Style" w:hAnsi="Bookman Old Style"/>
          <w:szCs w:val="27"/>
        </w:rPr>
        <w:t>, razón por la cual no llevan a revocar o modificar la decisión adoptada por la CREG en la Resolución CREG 075 de 2016.</w:t>
      </w:r>
    </w:p>
    <w:p w:rsidR="00135474" w:rsidRDefault="00135474" w:rsidP="00916F00">
      <w:pPr>
        <w:pStyle w:val="Textoindependiente2"/>
        <w:spacing w:after="0" w:line="240" w:lineRule="auto"/>
        <w:ind w:left="-142" w:right="-142"/>
        <w:jc w:val="both"/>
        <w:rPr>
          <w:rFonts w:ascii="Bookman Old Style" w:hAnsi="Bookman Old Style"/>
          <w:szCs w:val="27"/>
        </w:rPr>
      </w:pPr>
    </w:p>
    <w:p w:rsidR="00135474" w:rsidRPr="00135474" w:rsidRDefault="00135474" w:rsidP="00135474">
      <w:pPr>
        <w:pStyle w:val="Textoindependiente2"/>
        <w:numPr>
          <w:ilvl w:val="0"/>
          <w:numId w:val="45"/>
        </w:numPr>
        <w:spacing w:after="0" w:line="240" w:lineRule="auto"/>
        <w:ind w:right="-142"/>
        <w:jc w:val="both"/>
        <w:rPr>
          <w:rFonts w:ascii="Bookman Old Style" w:hAnsi="Bookman Old Style"/>
          <w:b/>
          <w:szCs w:val="27"/>
        </w:rPr>
      </w:pPr>
      <w:r w:rsidRPr="00135474">
        <w:rPr>
          <w:rFonts w:ascii="Bookman Old Style" w:hAnsi="Bookman Old Style"/>
          <w:b/>
          <w:szCs w:val="27"/>
        </w:rPr>
        <w:t>Consideraciones frente al numeral 5</w:t>
      </w:r>
    </w:p>
    <w:p w:rsidR="00334A2B" w:rsidRDefault="00334A2B" w:rsidP="00496008">
      <w:pPr>
        <w:pStyle w:val="Textoindependiente2"/>
        <w:spacing w:after="0" w:line="240" w:lineRule="auto"/>
        <w:ind w:left="-142" w:right="-142"/>
        <w:jc w:val="both"/>
        <w:rPr>
          <w:rFonts w:ascii="Bookman Old Style" w:hAnsi="Bookman Old Style"/>
          <w:szCs w:val="27"/>
        </w:rPr>
      </w:pPr>
    </w:p>
    <w:p w:rsidR="00793834" w:rsidRDefault="00135474" w:rsidP="0079383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primer lugar, </w:t>
      </w:r>
      <w:r w:rsidR="00793834">
        <w:rPr>
          <w:rFonts w:ascii="Bookman Old Style" w:hAnsi="Bookman Old Style"/>
          <w:szCs w:val="27"/>
        </w:rPr>
        <w:t xml:space="preserve">se debe tener en cuenta que la solicitud de revocatoria parcial del numeral 4 de la Circular CREG 040 de 2016 no es procedente dentro del trámite del recurso de reposición interpuesto contra la Resolución CREG 075 de 2016, toda vez que </w:t>
      </w:r>
      <w:r w:rsidR="00FF37A1">
        <w:rPr>
          <w:rFonts w:ascii="Bookman Old Style" w:hAnsi="Bookman Old Style"/>
          <w:szCs w:val="27"/>
        </w:rPr>
        <w:t xml:space="preserve">el objeto del recurso se </w:t>
      </w:r>
      <w:r w:rsidR="00793834">
        <w:rPr>
          <w:rFonts w:ascii="Bookman Old Style" w:hAnsi="Bookman Old Style"/>
          <w:szCs w:val="27"/>
        </w:rPr>
        <w:t>está</w:t>
      </w:r>
      <w:r w:rsidR="00FF37A1">
        <w:rPr>
          <w:rFonts w:ascii="Bookman Old Style" w:hAnsi="Bookman Old Style"/>
          <w:szCs w:val="27"/>
        </w:rPr>
        <w:t xml:space="preserve"> limita</w:t>
      </w:r>
      <w:r w:rsidR="00793834">
        <w:rPr>
          <w:rFonts w:ascii="Bookman Old Style" w:hAnsi="Bookman Old Style"/>
          <w:szCs w:val="27"/>
        </w:rPr>
        <w:t xml:space="preserve"> a que esta Comisión </w:t>
      </w:r>
      <w:r w:rsidR="00793834" w:rsidRPr="00793834">
        <w:rPr>
          <w:rFonts w:ascii="Bookman Old Style" w:hAnsi="Bookman Old Style"/>
          <w:szCs w:val="27"/>
        </w:rPr>
        <w:t>aclare</w:t>
      </w:r>
      <w:r w:rsidR="00793834">
        <w:rPr>
          <w:rFonts w:ascii="Bookman Old Style" w:hAnsi="Bookman Old Style"/>
          <w:szCs w:val="27"/>
        </w:rPr>
        <w:t xml:space="preserve">, modifique, adicione o revoque </w:t>
      </w:r>
      <w:r w:rsidR="00FF37A1">
        <w:rPr>
          <w:rFonts w:ascii="Bookman Old Style" w:hAnsi="Bookman Old Style"/>
          <w:szCs w:val="27"/>
        </w:rPr>
        <w:t>un acto administrativo, el cual no corresponde a la Circular CREG 040 de 2016, más aún cuando la circular mencionada</w:t>
      </w:r>
      <w:r w:rsidR="00793834">
        <w:rPr>
          <w:rFonts w:ascii="Bookman Old Style" w:hAnsi="Bookman Old Style"/>
          <w:szCs w:val="27"/>
        </w:rPr>
        <w:t xml:space="preserve"> no es objeto de dicho recurso. Por esta razón no le corresponde a esta Comisión al momento de decidir el presente recurso analizar la revocatoria de una circular que no es objeto de impugnación.</w:t>
      </w:r>
    </w:p>
    <w:p w:rsidR="00793834" w:rsidRDefault="00793834" w:rsidP="00793834">
      <w:pPr>
        <w:pStyle w:val="Textoindependiente2"/>
        <w:spacing w:after="0" w:line="240" w:lineRule="auto"/>
        <w:ind w:left="-142" w:right="-142"/>
        <w:jc w:val="both"/>
        <w:rPr>
          <w:rFonts w:ascii="Bookman Old Style" w:hAnsi="Bookman Old Style"/>
          <w:szCs w:val="27"/>
        </w:rPr>
      </w:pPr>
    </w:p>
    <w:p w:rsidR="00D52BC6" w:rsidRDefault="00793834" w:rsidP="0079383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Sin perjuicio de lo anterior, </w:t>
      </w:r>
      <w:r w:rsidR="00B279C2">
        <w:rPr>
          <w:rFonts w:ascii="Bookman Old Style" w:hAnsi="Bookman Old Style"/>
          <w:szCs w:val="27"/>
        </w:rPr>
        <w:t xml:space="preserve">se ha de considerar que </w:t>
      </w:r>
      <w:r w:rsidR="00135474">
        <w:rPr>
          <w:rFonts w:ascii="Bookman Old Style" w:hAnsi="Bookman Old Style"/>
          <w:szCs w:val="27"/>
        </w:rPr>
        <w:t>la expedición de la Circular CREG 040 de 2016 se realizó de manera informativa</w:t>
      </w:r>
      <w:r>
        <w:rPr>
          <w:rFonts w:ascii="Bookman Old Style" w:hAnsi="Bookman Old Style"/>
          <w:szCs w:val="27"/>
        </w:rPr>
        <w:t xml:space="preserve"> y específica</w:t>
      </w:r>
      <w:r w:rsidR="00135474">
        <w:rPr>
          <w:rFonts w:ascii="Bookman Old Style" w:hAnsi="Bookman Old Style"/>
          <w:szCs w:val="27"/>
        </w:rPr>
        <w:t xml:space="preserve"> a fin de precisar el entendimiento que se debía dar a la aplicación de lo dispuesto en la Resolución CREG 063 de 2016, en particular, </w:t>
      </w:r>
      <w:r>
        <w:rPr>
          <w:rFonts w:ascii="Bookman Old Style" w:hAnsi="Bookman Old Style"/>
          <w:szCs w:val="27"/>
        </w:rPr>
        <w:t>frente a</w:t>
      </w:r>
      <w:r w:rsidR="00135474">
        <w:rPr>
          <w:rFonts w:ascii="Bookman Old Style" w:hAnsi="Bookman Old Style"/>
          <w:szCs w:val="27"/>
        </w:rPr>
        <w:t xml:space="preserve"> la OPC que se deb</w:t>
      </w:r>
      <w:r>
        <w:rPr>
          <w:rFonts w:ascii="Bookman Old Style" w:hAnsi="Bookman Old Style"/>
          <w:szCs w:val="27"/>
        </w:rPr>
        <w:t>ía llevar a cabo para</w:t>
      </w:r>
      <w:r w:rsidR="00135474">
        <w:rPr>
          <w:rFonts w:ascii="Bookman Old Style" w:hAnsi="Bookman Old Style"/>
          <w:szCs w:val="27"/>
        </w:rPr>
        <w:t xml:space="preserve"> el período de julio a diciembre de 2016</w:t>
      </w:r>
      <w:r>
        <w:rPr>
          <w:rFonts w:ascii="Bookman Old Style" w:hAnsi="Bookman Old Style"/>
          <w:szCs w:val="27"/>
        </w:rPr>
        <w:t>. En este sentido,</w:t>
      </w:r>
      <w:r w:rsidR="00135474">
        <w:rPr>
          <w:rFonts w:ascii="Bookman Old Style" w:hAnsi="Bookman Old Style"/>
          <w:szCs w:val="27"/>
        </w:rPr>
        <w:t xml:space="preserve"> la Circular </w:t>
      </w:r>
      <w:r w:rsidR="00135474" w:rsidRPr="00135474">
        <w:rPr>
          <w:rFonts w:ascii="Bookman Old Style" w:hAnsi="Bookman Old Style"/>
          <w:szCs w:val="27"/>
        </w:rPr>
        <w:t>CREG 040 de 2016</w:t>
      </w:r>
      <w:r w:rsidR="00135474">
        <w:rPr>
          <w:rFonts w:ascii="Bookman Old Style" w:hAnsi="Bookman Old Style"/>
          <w:szCs w:val="27"/>
        </w:rPr>
        <w:t xml:space="preserve"> no corresponde a un acto administrativo de carácter general</w:t>
      </w:r>
      <w:r w:rsidR="002A3EB4">
        <w:rPr>
          <w:rFonts w:ascii="Bookman Old Style" w:hAnsi="Bookman Old Style"/>
          <w:szCs w:val="27"/>
        </w:rPr>
        <w:t xml:space="preserve"> expedido por la CREG</w:t>
      </w:r>
      <w:r w:rsidR="00135474">
        <w:rPr>
          <w:rFonts w:ascii="Bookman Old Style" w:hAnsi="Bookman Old Style"/>
          <w:szCs w:val="27"/>
        </w:rPr>
        <w:t xml:space="preserve">, </w:t>
      </w:r>
      <w:r>
        <w:rPr>
          <w:rFonts w:ascii="Bookman Old Style" w:hAnsi="Bookman Old Style"/>
          <w:szCs w:val="27"/>
        </w:rPr>
        <w:t>razón por la cual</w:t>
      </w:r>
      <w:r w:rsidR="00135474">
        <w:rPr>
          <w:rFonts w:ascii="Bookman Old Style" w:hAnsi="Bookman Old Style"/>
          <w:szCs w:val="27"/>
        </w:rPr>
        <w:t xml:space="preserve">, este no tiene la capacidad de modificar o </w:t>
      </w:r>
      <w:r w:rsidR="00FE6D32">
        <w:rPr>
          <w:rFonts w:ascii="Bookman Old Style" w:hAnsi="Bookman Old Style"/>
          <w:szCs w:val="27"/>
        </w:rPr>
        <w:t>ajustar</w:t>
      </w:r>
      <w:r w:rsidR="00135474">
        <w:rPr>
          <w:rFonts w:ascii="Bookman Old Style" w:hAnsi="Bookman Old Style"/>
          <w:szCs w:val="27"/>
        </w:rPr>
        <w:t xml:space="preserve"> lo dispuesto en la Resolución CREG 063 de 2016.</w:t>
      </w:r>
    </w:p>
    <w:p w:rsidR="00793834" w:rsidRDefault="00793834" w:rsidP="00793834">
      <w:pPr>
        <w:pStyle w:val="Textoindependiente2"/>
        <w:spacing w:after="0" w:line="240" w:lineRule="auto"/>
        <w:ind w:left="0" w:right="-142"/>
        <w:jc w:val="both"/>
        <w:rPr>
          <w:rFonts w:ascii="Bookman Old Style" w:hAnsi="Bookman Old Style"/>
          <w:szCs w:val="27"/>
        </w:rPr>
      </w:pPr>
    </w:p>
    <w:p w:rsidR="00334A2B" w:rsidRDefault="00FE6D32" w:rsidP="0079383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l</w:t>
      </w:r>
      <w:r w:rsidR="00793834">
        <w:rPr>
          <w:rFonts w:ascii="Bookman Old Style" w:hAnsi="Bookman Old Style"/>
          <w:szCs w:val="27"/>
        </w:rPr>
        <w:t xml:space="preserve">a Resolución CREG 063 de 2016 en su artículo 9 establece que </w:t>
      </w:r>
      <w:r w:rsidR="00793834" w:rsidRPr="00793834">
        <w:rPr>
          <w:rFonts w:ascii="Bookman Old Style" w:hAnsi="Bookman Old Style"/>
          <w:szCs w:val="27"/>
        </w:rPr>
        <w:t xml:space="preserve">la CREG determinará y publicará, </w:t>
      </w:r>
      <w:r w:rsidR="00793834">
        <w:rPr>
          <w:rFonts w:ascii="Bookman Old Style" w:hAnsi="Bookman Old Style"/>
          <w:szCs w:val="27"/>
        </w:rPr>
        <w:t xml:space="preserve">con </w:t>
      </w:r>
      <w:r w:rsidR="00793834" w:rsidRPr="00793834">
        <w:rPr>
          <w:rFonts w:ascii="Bookman Old Style" w:hAnsi="Bookman Old Style"/>
          <w:szCs w:val="27"/>
        </w:rPr>
        <w:t xml:space="preserve">anterioridad al inicio del periodo de compra, la </w:t>
      </w:r>
      <w:r w:rsidR="00793834" w:rsidRPr="00793834">
        <w:rPr>
          <w:rFonts w:ascii="Bookman Old Style" w:hAnsi="Bookman Old Style"/>
          <w:szCs w:val="27"/>
        </w:rPr>
        <w:lastRenderedPageBreak/>
        <w:t>capacidad de compra de cada distribuid</w:t>
      </w:r>
      <w:r w:rsidR="00793834">
        <w:rPr>
          <w:rFonts w:ascii="Bookman Old Style" w:hAnsi="Bookman Old Style"/>
          <w:szCs w:val="27"/>
        </w:rPr>
        <w:t xml:space="preserve">or. Así mismo, el período de compra ha sido definido como el </w:t>
      </w:r>
      <w:r w:rsidR="00793834" w:rsidRPr="00793834">
        <w:rPr>
          <w:rFonts w:ascii="Bookman Old Style" w:hAnsi="Bookman Old Style"/>
          <w:szCs w:val="27"/>
        </w:rPr>
        <w:t>periodo de 6 meses que inicia un primero (1) de julio de cada año y terminará el treinta y uno (31) de diciembre del mismo año o aquel que inicia del primero (1) de enero de cada año y termina el treinta (30) de junio del mismo año.</w:t>
      </w:r>
    </w:p>
    <w:p w:rsidR="00334A2B" w:rsidRDefault="00334A2B" w:rsidP="00496008">
      <w:pPr>
        <w:pStyle w:val="Textoindependiente2"/>
        <w:spacing w:after="0" w:line="240" w:lineRule="auto"/>
        <w:ind w:left="-142" w:right="-142"/>
        <w:jc w:val="both"/>
        <w:rPr>
          <w:rFonts w:ascii="Bookman Old Style" w:hAnsi="Bookman Old Style"/>
          <w:szCs w:val="27"/>
        </w:rPr>
      </w:pPr>
    </w:p>
    <w:p w:rsidR="002A3EB4" w:rsidRDefault="00793834" w:rsidP="00496008">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De acuerdo con lo anterior, se concluye entonces que para la aplicación de la </w:t>
      </w:r>
      <w:r w:rsidR="00FE6D32">
        <w:rPr>
          <w:rFonts w:ascii="Bookman Old Style" w:hAnsi="Bookman Old Style"/>
          <w:szCs w:val="27"/>
        </w:rPr>
        <w:t xml:space="preserve">capacidad de compra, así como el cumplimiento de las obligaciones consagradas en la Resolución CREG 063 de 2016 para el caso de </w:t>
      </w:r>
      <w:r>
        <w:rPr>
          <w:rFonts w:ascii="Bookman Old Style" w:hAnsi="Bookman Old Style"/>
          <w:szCs w:val="27"/>
        </w:rPr>
        <w:t xml:space="preserve">los comercializadores mayoristas y los distribuidores, </w:t>
      </w:r>
      <w:r w:rsidR="00FE6D32">
        <w:rPr>
          <w:rFonts w:ascii="Bookman Old Style" w:hAnsi="Bookman Old Style"/>
          <w:szCs w:val="27"/>
        </w:rPr>
        <w:t>dicha capacidad</w:t>
      </w:r>
      <w:r>
        <w:rPr>
          <w:rFonts w:ascii="Bookman Old Style" w:hAnsi="Bookman Old Style"/>
          <w:szCs w:val="27"/>
        </w:rPr>
        <w:t xml:space="preserve"> debe estar definida y publicada por la CREG con anterioridad al inicio de un período de compra.</w:t>
      </w:r>
      <w:r w:rsidR="00B279C2">
        <w:rPr>
          <w:rFonts w:ascii="Bookman Old Style" w:hAnsi="Bookman Old Style"/>
          <w:szCs w:val="27"/>
        </w:rPr>
        <w:t xml:space="preserve"> </w:t>
      </w:r>
    </w:p>
    <w:p w:rsidR="002A3EB4" w:rsidRDefault="002A3EB4" w:rsidP="00496008">
      <w:pPr>
        <w:pStyle w:val="Textoindependiente2"/>
        <w:spacing w:after="0" w:line="240" w:lineRule="auto"/>
        <w:ind w:left="-142" w:right="-142"/>
        <w:jc w:val="both"/>
        <w:rPr>
          <w:rFonts w:ascii="Bookman Old Style" w:hAnsi="Bookman Old Style"/>
          <w:szCs w:val="27"/>
        </w:rPr>
      </w:pPr>
    </w:p>
    <w:p w:rsidR="00334A2B" w:rsidRDefault="00B279C2" w:rsidP="00496008">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Se entiende que dicho período para el caso de la capacidad de compra que se definió en las resoluciones CREG 075 y 089 de 2016 será el período de compra que </w:t>
      </w:r>
      <w:r w:rsidRPr="00B279C2">
        <w:rPr>
          <w:rFonts w:ascii="Bookman Old Style" w:hAnsi="Bookman Old Style"/>
          <w:szCs w:val="27"/>
        </w:rPr>
        <w:t>inicia del primero (1) de enero y termina el treinta (30) de junio</w:t>
      </w:r>
      <w:r>
        <w:rPr>
          <w:rFonts w:ascii="Bookman Old Style" w:hAnsi="Bookman Old Style"/>
          <w:szCs w:val="27"/>
        </w:rPr>
        <w:t xml:space="preserve"> de 2017,</w:t>
      </w:r>
      <w:r w:rsidR="002A3EB4">
        <w:rPr>
          <w:rFonts w:ascii="Bookman Old Style" w:hAnsi="Bookman Old Style"/>
          <w:szCs w:val="27"/>
        </w:rPr>
        <w:t xml:space="preserve"> en la medida que se lleve a cabo dicha publicación por parte dela Comisión,</w:t>
      </w:r>
      <w:r>
        <w:rPr>
          <w:rFonts w:ascii="Bookman Old Style" w:hAnsi="Bookman Old Style"/>
          <w:szCs w:val="27"/>
        </w:rPr>
        <w:t xml:space="preserve"> toda vez que </w:t>
      </w:r>
      <w:r w:rsidR="00FE6D32">
        <w:rPr>
          <w:rFonts w:ascii="Bookman Old Style" w:hAnsi="Bookman Old Style"/>
          <w:szCs w:val="27"/>
        </w:rPr>
        <w:t xml:space="preserve">la capacidad de compra </w:t>
      </w:r>
      <w:r>
        <w:rPr>
          <w:rFonts w:ascii="Bookman Old Style" w:hAnsi="Bookman Old Style"/>
          <w:szCs w:val="27"/>
        </w:rPr>
        <w:t xml:space="preserve">no fue definida y publicada por la Comisión con anterioridad a un periodo de compra que comprendiera el (1) de julio </w:t>
      </w:r>
      <w:r w:rsidRPr="00B279C2">
        <w:rPr>
          <w:rFonts w:ascii="Bookman Old Style" w:hAnsi="Bookman Old Style"/>
          <w:szCs w:val="27"/>
        </w:rPr>
        <w:t>y el treinta y uno (31) de diciembre</w:t>
      </w:r>
      <w:r>
        <w:rPr>
          <w:rFonts w:ascii="Bookman Old Style" w:hAnsi="Bookman Old Style"/>
          <w:szCs w:val="27"/>
        </w:rPr>
        <w:t xml:space="preserve"> del presente año. </w:t>
      </w:r>
    </w:p>
    <w:p w:rsidR="00B279C2" w:rsidRDefault="00B279C2" w:rsidP="00496008">
      <w:pPr>
        <w:pStyle w:val="Textoindependiente2"/>
        <w:spacing w:after="0" w:line="240" w:lineRule="auto"/>
        <w:ind w:left="-142" w:right="-142"/>
        <w:jc w:val="both"/>
        <w:rPr>
          <w:rFonts w:ascii="Bookman Old Style" w:hAnsi="Bookman Old Style"/>
          <w:szCs w:val="27"/>
        </w:rPr>
      </w:pPr>
    </w:p>
    <w:p w:rsidR="00B279C2" w:rsidRDefault="00B279C2" w:rsidP="00496008">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Lo anterior, toda vez que dichos actos administrativos fueron objeto de recursos de reposición por parte de algunos distribuidores, por lo que para efectos de transparencia y </w:t>
      </w:r>
      <w:r w:rsidR="00FE6D32">
        <w:rPr>
          <w:rFonts w:ascii="Bookman Old Style" w:hAnsi="Bookman Old Style"/>
          <w:szCs w:val="27"/>
        </w:rPr>
        <w:t xml:space="preserve">para </w:t>
      </w:r>
      <w:r>
        <w:rPr>
          <w:rFonts w:ascii="Bookman Old Style" w:hAnsi="Bookman Old Style"/>
          <w:szCs w:val="27"/>
        </w:rPr>
        <w:t>una correcta aplicación de la regulación, la Comisión ha considerado que la publicación a que se hace referencia en el artículo 9  de la Resoluci</w:t>
      </w:r>
      <w:r w:rsidR="00FE6D32">
        <w:rPr>
          <w:rFonts w:ascii="Bookman Old Style" w:hAnsi="Bookman Old Style"/>
          <w:szCs w:val="27"/>
        </w:rPr>
        <w:t xml:space="preserve">ón CREG </w:t>
      </w:r>
      <w:r>
        <w:rPr>
          <w:rFonts w:ascii="Bookman Old Style" w:hAnsi="Bookman Old Style"/>
          <w:szCs w:val="27"/>
        </w:rPr>
        <w:t>063 de 2016 se debe hacer una vez todas las actuaciones administrativas que fueron resueltas en las resoluciones CREG 075 y 089 de 2016 estén en firme.</w:t>
      </w:r>
    </w:p>
    <w:p w:rsidR="00793834" w:rsidRDefault="00793834" w:rsidP="00496008">
      <w:pPr>
        <w:pStyle w:val="Textoindependiente2"/>
        <w:spacing w:after="0" w:line="240" w:lineRule="auto"/>
        <w:ind w:left="-142" w:right="-142"/>
        <w:jc w:val="both"/>
        <w:rPr>
          <w:rFonts w:ascii="Bookman Old Style" w:hAnsi="Bookman Old Style"/>
          <w:szCs w:val="27"/>
        </w:rPr>
      </w:pPr>
    </w:p>
    <w:p w:rsidR="00793834" w:rsidRDefault="00793834" w:rsidP="00AD2158">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Es por esto que </w:t>
      </w:r>
      <w:r w:rsidR="00AD2158">
        <w:rPr>
          <w:rFonts w:ascii="Bookman Old Style" w:hAnsi="Bookman Old Style"/>
          <w:szCs w:val="27"/>
        </w:rPr>
        <w:t>el efecto</w:t>
      </w:r>
      <w:r>
        <w:rPr>
          <w:rFonts w:ascii="Bookman Old Style" w:hAnsi="Bookman Old Style"/>
          <w:szCs w:val="27"/>
        </w:rPr>
        <w:t xml:space="preserve"> consignado en el numeral 4 de la Circular CREG 040 de 2016</w:t>
      </w:r>
      <w:r w:rsidR="00AD2158">
        <w:rPr>
          <w:rFonts w:ascii="Bookman Old Style" w:hAnsi="Bookman Old Style"/>
          <w:szCs w:val="27"/>
        </w:rPr>
        <w:t>, es decir, la existencia de un ajuste en las cantidades contratadas y que se deban entregar por parte del comercializador mayorista a los distribuidores, en este caso atendiendo las capacidades de compra que hayan sido definidas</w:t>
      </w:r>
      <w:r w:rsidR="00AD2158">
        <w:rPr>
          <w:rStyle w:val="Refdenotaalpie"/>
          <w:rFonts w:ascii="Bookman Old Style" w:hAnsi="Bookman Old Style"/>
          <w:szCs w:val="27"/>
        </w:rPr>
        <w:footnoteReference w:id="16"/>
      </w:r>
      <w:r w:rsidR="00AD2158">
        <w:rPr>
          <w:rFonts w:ascii="Bookman Old Style" w:hAnsi="Bookman Old Style"/>
          <w:szCs w:val="27"/>
        </w:rPr>
        <w:t xml:space="preserve"> y publicadas por esta Comisión, será resultado de lo que las partes así hayan previsto y consignado en los contratos de suministro se hayan suscrito, incluidos aquellos derivados de las OPC para el caso del comercializador mayorista con precio regulado, </w:t>
      </w:r>
      <w:r w:rsidR="00B279C2">
        <w:rPr>
          <w:rFonts w:ascii="Bookman Old Style" w:hAnsi="Bookman Old Style"/>
          <w:szCs w:val="27"/>
        </w:rPr>
        <w:t xml:space="preserve">en el marco del principio de la autonomía de la voluntad </w:t>
      </w:r>
      <w:r w:rsidR="00AD2158">
        <w:rPr>
          <w:rFonts w:ascii="Bookman Old Style" w:hAnsi="Bookman Old Style"/>
          <w:szCs w:val="27"/>
        </w:rPr>
        <w:t>contractual</w:t>
      </w:r>
      <w:r w:rsidR="00C75F93">
        <w:rPr>
          <w:rFonts w:ascii="Bookman Old Style" w:hAnsi="Bookman Old Style"/>
          <w:szCs w:val="27"/>
        </w:rPr>
        <w:t>, sin perjuicio de la afectación que genere a la regulación, entre otros con respecto a la firmeza de las cantidades contractuales, genere este tipo de disposiciones contractuales</w:t>
      </w:r>
      <w:r w:rsidR="00B279C2">
        <w:rPr>
          <w:rFonts w:ascii="Bookman Old Style" w:hAnsi="Bookman Old Style"/>
          <w:szCs w:val="27"/>
        </w:rPr>
        <w:t xml:space="preserve">. </w:t>
      </w:r>
    </w:p>
    <w:p w:rsidR="00334A2B" w:rsidRDefault="00334A2B" w:rsidP="00496008">
      <w:pPr>
        <w:pStyle w:val="Textoindependiente2"/>
        <w:spacing w:after="0" w:line="240" w:lineRule="auto"/>
        <w:ind w:left="-142" w:right="-142"/>
        <w:jc w:val="both"/>
        <w:rPr>
          <w:rFonts w:ascii="Bookman Old Style" w:hAnsi="Bookman Old Style"/>
          <w:szCs w:val="27"/>
        </w:rPr>
      </w:pPr>
    </w:p>
    <w:p w:rsidR="00FE6D32" w:rsidRDefault="00FE6D32" w:rsidP="00496008">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De acuerdo con lo expuesto, la solicitud de revocatoria parcial hecha por Chilco no es procedente, ni la misma debe ser resuelta dentro del presente recurso de reposición.</w:t>
      </w:r>
    </w:p>
    <w:p w:rsidR="00FE6D32" w:rsidRDefault="00FE6D32" w:rsidP="00496008">
      <w:pPr>
        <w:pStyle w:val="Textoindependiente2"/>
        <w:spacing w:after="0" w:line="240" w:lineRule="auto"/>
        <w:ind w:left="-142" w:right="-142"/>
        <w:jc w:val="both"/>
        <w:rPr>
          <w:rFonts w:ascii="Bookman Old Style" w:hAnsi="Bookman Old Style"/>
          <w:szCs w:val="27"/>
        </w:rPr>
      </w:pPr>
    </w:p>
    <w:p w:rsidR="00FE6D32" w:rsidRPr="00BE1396" w:rsidRDefault="00BE1396" w:rsidP="00FE6D32">
      <w:pPr>
        <w:pStyle w:val="Textoindependiente2"/>
        <w:numPr>
          <w:ilvl w:val="0"/>
          <w:numId w:val="45"/>
        </w:numPr>
        <w:spacing w:after="0" w:line="240" w:lineRule="auto"/>
        <w:ind w:right="-142"/>
        <w:jc w:val="both"/>
        <w:rPr>
          <w:rFonts w:ascii="Bookman Old Style" w:hAnsi="Bookman Old Style"/>
          <w:b/>
          <w:szCs w:val="27"/>
        </w:rPr>
      </w:pPr>
      <w:r w:rsidRPr="00BE1396">
        <w:rPr>
          <w:rFonts w:ascii="Bookman Old Style" w:hAnsi="Bookman Old Style"/>
          <w:b/>
          <w:szCs w:val="27"/>
        </w:rPr>
        <w:t>Consideraciones frente al numeral 3</w:t>
      </w:r>
    </w:p>
    <w:p w:rsidR="00334A2B" w:rsidRDefault="00334A2B" w:rsidP="00496008">
      <w:pPr>
        <w:pStyle w:val="Textoindependiente2"/>
        <w:spacing w:after="0" w:line="240" w:lineRule="auto"/>
        <w:ind w:left="-142" w:right="-142"/>
        <w:jc w:val="both"/>
        <w:rPr>
          <w:rFonts w:ascii="Bookman Old Style" w:hAnsi="Bookman Old Style"/>
          <w:szCs w:val="27"/>
        </w:rPr>
      </w:pPr>
    </w:p>
    <w:p w:rsidR="00BE1396" w:rsidRDefault="00BE1396" w:rsidP="00BE1396">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en estos puntos, principalmente aquellos denominados </w:t>
      </w:r>
      <w:r w:rsidR="00BB63C5">
        <w:rPr>
          <w:rFonts w:ascii="Bookman Old Style" w:hAnsi="Bookman Old Style"/>
          <w:szCs w:val="27"/>
        </w:rPr>
        <w:t xml:space="preserve"> “1.4 no consideración de los datos reportados por Chilco ante la SSPD” y nos apartes “cálculo de la capacidad </w:t>
      </w:r>
      <w:r w:rsidR="00BB63C5">
        <w:rPr>
          <w:rFonts w:ascii="Bookman Old Style" w:hAnsi="Bookman Old Style"/>
          <w:szCs w:val="27"/>
        </w:rPr>
        <w:lastRenderedPageBreak/>
        <w:t xml:space="preserve">en cilindros” y “cálculo capacidad en tanques estacionarios”, </w:t>
      </w:r>
      <w:r>
        <w:rPr>
          <w:rFonts w:ascii="Bookman Old Style" w:hAnsi="Bookman Old Style"/>
          <w:szCs w:val="27"/>
        </w:rPr>
        <w:t xml:space="preserve">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075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w:t>
      </w:r>
      <w:r w:rsidR="00BB63C5">
        <w:rPr>
          <w:rFonts w:ascii="Bookman Old Style" w:hAnsi="Bookman Old Style"/>
          <w:szCs w:val="27"/>
        </w:rPr>
        <w:t>Chilco</w:t>
      </w:r>
      <w:r>
        <w:rPr>
          <w:rFonts w:ascii="Bookman Old Style" w:hAnsi="Bookman Old Style"/>
          <w:szCs w:val="27"/>
        </w:rPr>
        <w:t>, en la medida que esta empresa advierte una diferencia en la información reportada en el Sistema Único de Información – SUI, utilizada por esta Comisión para efectos de llevar a cabo la definición de la capacidad de compra.</w:t>
      </w:r>
    </w:p>
    <w:p w:rsidR="007169E7" w:rsidRDefault="007169E7" w:rsidP="007169E7">
      <w:pPr>
        <w:pStyle w:val="Textoindependiente2"/>
        <w:spacing w:after="0" w:line="240" w:lineRule="auto"/>
        <w:ind w:left="0" w:right="-142"/>
        <w:jc w:val="both"/>
        <w:rPr>
          <w:rFonts w:ascii="Bookman Old Style" w:hAnsi="Bookman Old Style"/>
          <w:szCs w:val="27"/>
        </w:rPr>
      </w:pPr>
    </w:p>
    <w:p w:rsidR="007169E7" w:rsidRDefault="007169E7" w:rsidP="007169E7">
      <w:pPr>
        <w:ind w:left="-142" w:right="-142"/>
        <w:jc w:val="both"/>
        <w:rPr>
          <w:rFonts w:ascii="Bookman Old Style" w:hAnsi="Bookman Old Style"/>
          <w:szCs w:val="27"/>
        </w:rPr>
      </w:pPr>
      <w:r w:rsidRPr="00AF57EF">
        <w:rPr>
          <w:rFonts w:ascii="Bookman Old Style" w:hAnsi="Bookman Old Style"/>
          <w:szCs w:val="27"/>
        </w:rPr>
        <w:t>Frente a la información remitida a esta Comisión en atención a los autos de prueba decretados, la Superintendencia de Servicios Públicos Domiciliarios informa lo siguiente</w:t>
      </w:r>
      <w:r w:rsidRPr="00AF57EF">
        <w:rPr>
          <w:rFonts w:ascii="Bookman Old Style" w:hAnsi="Bookman Old Style"/>
          <w:szCs w:val="27"/>
          <w:vertAlign w:val="superscript"/>
        </w:rPr>
        <w:footnoteReference w:id="17"/>
      </w:r>
      <w:r>
        <w:rPr>
          <w:rFonts w:ascii="Bookman Old Style" w:hAnsi="Bookman Old Style"/>
          <w:szCs w:val="27"/>
        </w:rPr>
        <w:t>:</w:t>
      </w:r>
    </w:p>
    <w:p w:rsidR="00692A55" w:rsidRDefault="00692A55" w:rsidP="007169E7">
      <w:pPr>
        <w:ind w:left="-142" w:right="-142"/>
        <w:jc w:val="both"/>
        <w:rPr>
          <w:rFonts w:ascii="Bookman Old Style" w:hAnsi="Bookman Old Style"/>
          <w:szCs w:val="27"/>
        </w:rPr>
      </w:pPr>
    </w:p>
    <w:p w:rsidR="00692A55" w:rsidRDefault="007A4361" w:rsidP="007169E7">
      <w:pPr>
        <w:ind w:left="-142" w:right="-142"/>
        <w:jc w:val="both"/>
        <w:rPr>
          <w:rFonts w:ascii="Bookman Old Style" w:hAnsi="Bookman Old Style"/>
          <w:szCs w:val="27"/>
        </w:rPr>
      </w:pPr>
      <w:r w:rsidRPr="00692A55">
        <w:rPr>
          <w:rFonts w:ascii="Bookman Old Style" w:hAnsi="Bookman Old Style"/>
          <w:noProof/>
          <w:szCs w:val="27"/>
          <w:lang w:val="es-CO" w:eastAsia="es-CO"/>
        </w:rPr>
        <w:drawing>
          <wp:inline distT="0" distB="0" distL="0" distR="0">
            <wp:extent cx="5931535" cy="2609850"/>
            <wp:effectExtent l="0" t="0" r="0"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1535" cy="2609850"/>
                    </a:xfrm>
                    <a:prstGeom prst="rect">
                      <a:avLst/>
                    </a:prstGeom>
                    <a:noFill/>
                    <a:ln>
                      <a:noFill/>
                    </a:ln>
                  </pic:spPr>
                </pic:pic>
              </a:graphicData>
            </a:graphic>
          </wp:inline>
        </w:drawing>
      </w:r>
    </w:p>
    <w:p w:rsidR="007169E7" w:rsidRDefault="007169E7" w:rsidP="007169E7">
      <w:pPr>
        <w:ind w:left="-142" w:right="-142"/>
        <w:jc w:val="both"/>
        <w:rPr>
          <w:rFonts w:ascii="Bookman Old Style" w:hAnsi="Bookman Old Style"/>
          <w:szCs w:val="27"/>
        </w:rPr>
      </w:pPr>
    </w:p>
    <w:p w:rsidR="007169E7" w:rsidRDefault="007A4361" w:rsidP="007169E7">
      <w:pPr>
        <w:ind w:left="-142" w:right="-142"/>
        <w:jc w:val="center"/>
        <w:rPr>
          <w:rFonts w:ascii="Bookman Old Style" w:hAnsi="Bookman Old Style"/>
          <w:szCs w:val="27"/>
        </w:rPr>
      </w:pPr>
      <w:r w:rsidRPr="00692A55">
        <w:rPr>
          <w:rFonts w:ascii="Bookman Old Style" w:hAnsi="Bookman Old Style"/>
          <w:noProof/>
          <w:szCs w:val="27"/>
          <w:lang w:val="es-CO" w:eastAsia="es-CO"/>
        </w:rPr>
        <w:drawing>
          <wp:inline distT="0" distB="0" distL="0" distR="0">
            <wp:extent cx="5939790" cy="485775"/>
            <wp:effectExtent l="0" t="0" r="3810" b="9525"/>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485775"/>
                    </a:xfrm>
                    <a:prstGeom prst="rect">
                      <a:avLst/>
                    </a:prstGeom>
                    <a:noFill/>
                    <a:ln>
                      <a:noFill/>
                    </a:ln>
                  </pic:spPr>
                </pic:pic>
              </a:graphicData>
            </a:graphic>
          </wp:inline>
        </w:drawing>
      </w:r>
    </w:p>
    <w:p w:rsidR="007169E7" w:rsidRDefault="007169E7" w:rsidP="00692A55">
      <w:pPr>
        <w:ind w:left="0" w:right="-142"/>
        <w:rPr>
          <w:rFonts w:ascii="Bookman Old Style" w:hAnsi="Bookman Old Style"/>
          <w:szCs w:val="27"/>
        </w:rPr>
      </w:pPr>
    </w:p>
    <w:p w:rsidR="007169E7" w:rsidRDefault="007169E7" w:rsidP="007169E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Con respecto a la información de tanques estacionarios, se debe precisar en primer lugar que esta Comisión </w:t>
      </w:r>
      <w:r w:rsidRPr="00A45909">
        <w:rPr>
          <w:rFonts w:ascii="Bookman Old Style" w:hAnsi="Bookman Old Style"/>
          <w:szCs w:val="27"/>
        </w:rPr>
        <w:t>atendiendo el procedimiento establecido en el artículo 8 de la Resolución CREG 063 de 2016</w:t>
      </w:r>
      <w:r>
        <w:rPr>
          <w:rFonts w:ascii="Bookman Old Style" w:hAnsi="Bookman Old Style"/>
          <w:szCs w:val="27"/>
        </w:rPr>
        <w:t>, llevo a cabo la definición de la capacidad de compra en la Resolución CREG 075 de 2016</w:t>
      </w:r>
      <w:r w:rsidRPr="00A45909">
        <w:rPr>
          <w:rFonts w:ascii="Bookman Old Style" w:hAnsi="Bookman Old Style"/>
          <w:szCs w:val="27"/>
        </w:rPr>
        <w:t xml:space="preserve"> con información </w:t>
      </w:r>
      <w:r>
        <w:rPr>
          <w:rFonts w:ascii="Bookman Old Style" w:hAnsi="Bookman Old Style"/>
          <w:szCs w:val="27"/>
        </w:rPr>
        <w:t>publicada en e</w:t>
      </w:r>
      <w:r w:rsidRPr="00A45909">
        <w:rPr>
          <w:rFonts w:ascii="Bookman Old Style" w:hAnsi="Bookman Old Style"/>
          <w:szCs w:val="27"/>
        </w:rPr>
        <w:t xml:space="preserve">l Sistema Único de Información – </w:t>
      </w:r>
      <w:r>
        <w:rPr>
          <w:rFonts w:ascii="Bookman Old Style" w:hAnsi="Bookman Old Style"/>
          <w:szCs w:val="27"/>
        </w:rPr>
        <w:t>SUI</w:t>
      </w:r>
      <w:r w:rsidRPr="00A45909">
        <w:rPr>
          <w:rFonts w:ascii="Bookman Old Style" w:hAnsi="Bookman Old Style"/>
          <w:szCs w:val="27"/>
        </w:rPr>
        <w:t xml:space="preserve"> con corte al 10 de mayo de 2016.</w:t>
      </w:r>
    </w:p>
    <w:p w:rsidR="007169E7" w:rsidRDefault="007169E7" w:rsidP="007169E7">
      <w:pPr>
        <w:pStyle w:val="Textoindependiente2"/>
        <w:spacing w:after="0" w:line="240" w:lineRule="auto"/>
        <w:ind w:left="0" w:right="-142"/>
        <w:jc w:val="both"/>
        <w:rPr>
          <w:rFonts w:ascii="Bookman Old Style" w:hAnsi="Bookman Old Style"/>
          <w:szCs w:val="27"/>
        </w:rPr>
      </w:pPr>
    </w:p>
    <w:p w:rsidR="007169E7" w:rsidRDefault="007169E7" w:rsidP="007169E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Ahora, en atención a lo expuesto por parte de la Superintendencia de Servicios Públicos Domiciliarios como resultado del decretó y práctica de pruebas llevado a cabo por la CREG, se establece la procedencia de modificar la Resolución CREG 075 de 2016 en relación con la definición de la capacidad de compra para la empresa </w:t>
      </w:r>
      <w:r w:rsidR="00692A55">
        <w:rPr>
          <w:rFonts w:ascii="Bookman Old Style" w:hAnsi="Bookman Old Style"/>
          <w:szCs w:val="27"/>
        </w:rPr>
        <w:t>Chilco Distribuidora de Gas y Energía</w:t>
      </w:r>
      <w:r>
        <w:rPr>
          <w:rFonts w:ascii="Bookman Old Style" w:hAnsi="Bookman Old Style"/>
          <w:szCs w:val="27"/>
        </w:rPr>
        <w:t xml:space="preserve"> S.A.</w:t>
      </w:r>
      <w:r w:rsidR="00692A55">
        <w:rPr>
          <w:rFonts w:ascii="Bookman Old Style" w:hAnsi="Bookman Old Style"/>
          <w:szCs w:val="27"/>
        </w:rPr>
        <w:t>S.</w:t>
      </w:r>
      <w:r>
        <w:rPr>
          <w:rFonts w:ascii="Bookman Old Style" w:hAnsi="Bookman Old Style"/>
          <w:szCs w:val="27"/>
        </w:rPr>
        <w:t xml:space="preserve"> E.S.P.</w:t>
      </w:r>
    </w:p>
    <w:p w:rsidR="007169E7" w:rsidRDefault="007169E7" w:rsidP="007169E7">
      <w:pPr>
        <w:pStyle w:val="Textoindependiente2"/>
        <w:spacing w:after="0" w:line="240" w:lineRule="auto"/>
        <w:ind w:left="-142" w:right="-142"/>
        <w:jc w:val="both"/>
        <w:rPr>
          <w:rFonts w:ascii="Bookman Old Style" w:hAnsi="Bookman Old Style"/>
          <w:szCs w:val="27"/>
        </w:rPr>
      </w:pPr>
    </w:p>
    <w:p w:rsidR="007169E7" w:rsidRPr="003E59E7" w:rsidRDefault="007169E7" w:rsidP="007169E7">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t xml:space="preserve">Una vez expuestos los anteriores argumentos, la Comisión de Regulación de Energía y Gas, en su sesión No. </w:t>
      </w:r>
      <w:r w:rsidR="00F478B7">
        <w:rPr>
          <w:rFonts w:ascii="Bookman Old Style" w:hAnsi="Bookman Old Style"/>
          <w:szCs w:val="27"/>
        </w:rPr>
        <w:t>746</w:t>
      </w:r>
      <w:r w:rsidRPr="003E59E7">
        <w:rPr>
          <w:rFonts w:ascii="Bookman Old Style" w:hAnsi="Bookman Old Style"/>
          <w:szCs w:val="27"/>
        </w:rPr>
        <w:t xml:space="preserve"> del </w:t>
      </w:r>
      <w:r w:rsidR="00F478B7">
        <w:rPr>
          <w:rFonts w:ascii="Bookman Old Style" w:hAnsi="Bookman Old Style"/>
          <w:szCs w:val="27"/>
        </w:rPr>
        <w:t>21</w:t>
      </w:r>
      <w:r w:rsidRPr="003E59E7">
        <w:rPr>
          <w:rFonts w:ascii="Bookman Old Style" w:hAnsi="Bookman Old Style"/>
          <w:szCs w:val="27"/>
        </w:rPr>
        <w:t xml:space="preserve"> de </w:t>
      </w:r>
      <w:r w:rsidR="00F478B7">
        <w:rPr>
          <w:rFonts w:ascii="Bookman Old Style" w:hAnsi="Bookman Old Style"/>
          <w:szCs w:val="27"/>
        </w:rPr>
        <w:t>noviembre</w:t>
      </w:r>
      <w:r w:rsidRPr="003E59E7">
        <w:rPr>
          <w:rFonts w:ascii="Bookman Old Style" w:hAnsi="Bookman Old Style"/>
          <w:szCs w:val="27"/>
        </w:rPr>
        <w:t xml:space="preserve"> de 201</w:t>
      </w:r>
      <w:r>
        <w:rPr>
          <w:rFonts w:ascii="Bookman Old Style" w:hAnsi="Bookman Old Style"/>
          <w:szCs w:val="27"/>
        </w:rPr>
        <w:t>6, acordó expedir la presente r</w:t>
      </w:r>
      <w:r w:rsidRPr="003E59E7">
        <w:rPr>
          <w:rFonts w:ascii="Bookman Old Style" w:hAnsi="Bookman Old Style"/>
          <w:szCs w:val="27"/>
        </w:rPr>
        <w:t>esolución.</w:t>
      </w:r>
    </w:p>
    <w:p w:rsidR="007169E7" w:rsidRDefault="007169E7" w:rsidP="007169E7">
      <w:pPr>
        <w:pStyle w:val="Textoindependiente2"/>
        <w:spacing w:after="0" w:line="240" w:lineRule="auto"/>
        <w:ind w:left="-142" w:right="-142"/>
        <w:jc w:val="both"/>
        <w:rPr>
          <w:rFonts w:ascii="Bookman Old Style" w:hAnsi="Bookman Old Style"/>
          <w:szCs w:val="27"/>
        </w:rPr>
      </w:pPr>
    </w:p>
    <w:p w:rsidR="007169E7" w:rsidRDefault="007169E7" w:rsidP="007169E7">
      <w:pPr>
        <w:tabs>
          <w:tab w:val="right" w:pos="9498"/>
        </w:tabs>
        <w:ind w:left="0" w:right="-142"/>
        <w:jc w:val="both"/>
        <w:rPr>
          <w:rFonts w:ascii="Bookman Old Style" w:hAnsi="Bookman Old Style"/>
          <w:bCs/>
          <w:sz w:val="20"/>
        </w:rPr>
      </w:pPr>
    </w:p>
    <w:p w:rsidR="00C75F93" w:rsidRPr="003234E2" w:rsidRDefault="00C75F93" w:rsidP="007169E7">
      <w:pPr>
        <w:tabs>
          <w:tab w:val="right" w:pos="9498"/>
        </w:tabs>
        <w:ind w:left="0" w:right="-142"/>
        <w:jc w:val="both"/>
        <w:rPr>
          <w:rFonts w:ascii="Bookman Old Style" w:hAnsi="Bookman Old Style"/>
          <w:bCs/>
          <w:sz w:val="20"/>
        </w:rPr>
      </w:pPr>
    </w:p>
    <w:p w:rsidR="00376390" w:rsidRDefault="00376390" w:rsidP="007169E7">
      <w:pPr>
        <w:tabs>
          <w:tab w:val="right" w:pos="9498"/>
        </w:tabs>
        <w:ind w:left="0" w:right="-142"/>
        <w:jc w:val="center"/>
        <w:rPr>
          <w:rFonts w:ascii="Bookman Old Style" w:hAnsi="Bookman Old Style" w:cs="Arial"/>
          <w:b/>
          <w:spacing w:val="80"/>
        </w:rPr>
      </w:pPr>
    </w:p>
    <w:p w:rsidR="007169E7" w:rsidRPr="00BB7AEA" w:rsidRDefault="007169E7" w:rsidP="007169E7">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Pr>
          <w:rFonts w:ascii="Bookman Old Style" w:hAnsi="Bookman Old Style" w:cs="Arial"/>
        </w:rPr>
        <w:t>:</w:t>
      </w:r>
    </w:p>
    <w:p w:rsidR="007169E7" w:rsidRDefault="007169E7" w:rsidP="007169E7">
      <w:pPr>
        <w:tabs>
          <w:tab w:val="right" w:pos="9498"/>
        </w:tabs>
        <w:ind w:left="0" w:right="-142"/>
        <w:jc w:val="both"/>
        <w:rPr>
          <w:rFonts w:ascii="Bookman Old Style" w:hAnsi="Bookman Old Style" w:cs="Arial"/>
          <w:b/>
          <w:spacing w:val="-3"/>
          <w:sz w:val="20"/>
        </w:rPr>
      </w:pPr>
    </w:p>
    <w:p w:rsidR="00692A55" w:rsidRPr="003234E2" w:rsidRDefault="00692A55" w:rsidP="007169E7">
      <w:pPr>
        <w:tabs>
          <w:tab w:val="right" w:pos="9498"/>
        </w:tabs>
        <w:ind w:left="0" w:right="-142"/>
        <w:jc w:val="both"/>
        <w:rPr>
          <w:rFonts w:ascii="Bookman Old Style" w:hAnsi="Bookman Old Style" w:cs="Arial"/>
          <w:b/>
          <w:spacing w:val="-3"/>
          <w:sz w:val="20"/>
        </w:rPr>
      </w:pPr>
    </w:p>
    <w:p w:rsidR="00692A55" w:rsidRDefault="007169E7" w:rsidP="007169E7">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sidR="00692A55">
        <w:rPr>
          <w:rFonts w:ascii="Bookman Old Style" w:hAnsi="Bookman Old Style"/>
          <w:szCs w:val="27"/>
        </w:rPr>
        <w:t>Negar por improcedentes las solicitudes listadas en los numerales 1, 2, 4 y 5 de la presente resolución de acuerdo con las consideraciones expuestas.</w:t>
      </w:r>
    </w:p>
    <w:p w:rsidR="00692A55" w:rsidRDefault="00692A55" w:rsidP="007169E7">
      <w:pPr>
        <w:pStyle w:val="Textoindependiente2"/>
        <w:spacing w:after="0" w:line="240" w:lineRule="auto"/>
        <w:ind w:left="-142" w:right="-142"/>
        <w:jc w:val="both"/>
        <w:rPr>
          <w:rFonts w:ascii="Bookman Old Style" w:hAnsi="Bookman Old Style"/>
          <w:szCs w:val="27"/>
        </w:rPr>
      </w:pPr>
    </w:p>
    <w:p w:rsidR="007169E7" w:rsidRDefault="00692A55" w:rsidP="007169E7">
      <w:pPr>
        <w:pStyle w:val="Textoindependiente2"/>
        <w:spacing w:after="0" w:line="240" w:lineRule="auto"/>
        <w:ind w:left="-142" w:right="-142"/>
        <w:jc w:val="both"/>
        <w:rPr>
          <w:rFonts w:ascii="Bookman Old Style" w:hAnsi="Bookman Old Style"/>
          <w:szCs w:val="27"/>
        </w:rPr>
      </w:pPr>
      <w:r w:rsidRPr="00692A55">
        <w:rPr>
          <w:rFonts w:ascii="Bookman Old Style" w:hAnsi="Bookman Old Style"/>
          <w:b/>
          <w:szCs w:val="27"/>
        </w:rPr>
        <w:t>Artículo 2.</w:t>
      </w:r>
      <w:r>
        <w:rPr>
          <w:rFonts w:ascii="Bookman Old Style" w:hAnsi="Bookman Old Style"/>
          <w:szCs w:val="27"/>
        </w:rPr>
        <w:t xml:space="preserve"> </w:t>
      </w:r>
      <w:r w:rsidR="007169E7">
        <w:rPr>
          <w:rFonts w:ascii="Bookman Old Style" w:hAnsi="Bookman Old Style"/>
          <w:szCs w:val="27"/>
        </w:rPr>
        <w:t>Modificar el artículo 1 de la Resolución CREG 075 de 2016 de la siguiente forma:</w:t>
      </w:r>
    </w:p>
    <w:p w:rsidR="007169E7" w:rsidRDefault="007169E7" w:rsidP="007169E7">
      <w:pPr>
        <w:pStyle w:val="Textoindependiente2"/>
        <w:spacing w:after="0" w:line="240" w:lineRule="auto"/>
        <w:ind w:left="-142" w:right="-142"/>
        <w:jc w:val="both"/>
        <w:rPr>
          <w:rFonts w:ascii="Bookman Old Style" w:hAnsi="Bookman Old Style"/>
          <w:szCs w:val="27"/>
        </w:rPr>
      </w:pPr>
    </w:p>
    <w:p w:rsidR="007169E7" w:rsidRDefault="007169E7" w:rsidP="007169E7">
      <w:pPr>
        <w:pStyle w:val="Textoindependiente2"/>
        <w:spacing w:after="0" w:line="240" w:lineRule="auto"/>
        <w:ind w:left="-142" w:right="-142"/>
        <w:jc w:val="both"/>
        <w:rPr>
          <w:rFonts w:ascii="Bookman Old Style" w:hAnsi="Bookman Old Style"/>
          <w:szCs w:val="27"/>
        </w:rPr>
      </w:pPr>
      <w:r w:rsidRPr="00E16D13">
        <w:rPr>
          <w:rFonts w:ascii="Bookman Old Style" w:hAnsi="Bookman Old Style"/>
          <w:szCs w:val="27"/>
        </w:rPr>
        <w:t>La siguiente corresponde a la Capacidad de Compra para cada uno de los códigos SUI de las empresas:</w:t>
      </w:r>
    </w:p>
    <w:p w:rsidR="007169E7" w:rsidRDefault="007169E7" w:rsidP="007169E7">
      <w:pPr>
        <w:pStyle w:val="Textoindependiente2"/>
        <w:spacing w:after="0" w:line="240" w:lineRule="auto"/>
        <w:ind w:left="-142" w:right="-142"/>
        <w:jc w:val="both"/>
        <w:rPr>
          <w:rFonts w:ascii="Bookman Old Style" w:hAnsi="Bookman Old Style"/>
          <w:szCs w:val="27"/>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7169E7" w:rsidRPr="00C139AB" w:rsidTr="00D06DF1">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69E7" w:rsidRPr="00C139AB" w:rsidRDefault="007169E7" w:rsidP="00CB0253">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7169E7" w:rsidRPr="00C139AB" w:rsidRDefault="007169E7" w:rsidP="00CB0253">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7169E7" w:rsidRPr="00C139AB" w:rsidRDefault="007169E7" w:rsidP="00CB0253">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Capacidad de compra</w:t>
            </w:r>
            <w:r>
              <w:rPr>
                <w:rFonts w:ascii="Bookman Old Style" w:hAnsi="Bookman Old Style"/>
                <w:b/>
                <w:bCs/>
                <w:color w:val="000000"/>
                <w:sz w:val="18"/>
                <w:szCs w:val="18"/>
                <w:lang w:eastAsia="es-CO"/>
              </w:rPr>
              <w:t xml:space="preserve">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7169E7" w:rsidRPr="00FB4BC2" w:rsidTr="00CB0253">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69E7" w:rsidRPr="00E16D13" w:rsidRDefault="00E723D6" w:rsidP="00CB0253">
            <w:pPr>
              <w:ind w:left="0"/>
              <w:rPr>
                <w:rFonts w:ascii="Bookman Old Style" w:hAnsi="Bookman Old Style"/>
                <w:sz w:val="18"/>
                <w:szCs w:val="18"/>
              </w:rPr>
            </w:pPr>
            <w:r>
              <w:rPr>
                <w:rFonts w:ascii="Bookman Old Style" w:hAnsi="Bookman Old Style"/>
                <w:sz w:val="18"/>
                <w:szCs w:val="18"/>
              </w:rPr>
              <w:t>24869</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7169E7" w:rsidRPr="00E16D13" w:rsidRDefault="00E723D6" w:rsidP="00CB0253">
            <w:pPr>
              <w:ind w:left="0"/>
              <w:rPr>
                <w:rFonts w:ascii="Bookman Old Style" w:hAnsi="Bookman Old Style"/>
                <w:sz w:val="18"/>
                <w:szCs w:val="18"/>
              </w:rPr>
            </w:pPr>
            <w:r>
              <w:rPr>
                <w:rFonts w:ascii="Bookman Old Style" w:hAnsi="Bookman Old Style"/>
                <w:sz w:val="18"/>
                <w:szCs w:val="18"/>
              </w:rPr>
              <w:t>CHILCO DISTRIBUIDORA DE GAS Y ENERGÍA</w:t>
            </w:r>
            <w:r w:rsidR="007169E7">
              <w:rPr>
                <w:rFonts w:ascii="Bookman Old Style" w:hAnsi="Bookman Old Style"/>
                <w:sz w:val="18"/>
                <w:szCs w:val="18"/>
              </w:rPr>
              <w:t xml:space="preserve"> S.A.</w:t>
            </w:r>
            <w:r>
              <w:rPr>
                <w:rFonts w:ascii="Bookman Old Style" w:hAnsi="Bookman Old Style"/>
                <w:sz w:val="18"/>
                <w:szCs w:val="18"/>
              </w:rPr>
              <w:t>S.</w:t>
            </w:r>
            <w:r w:rsidR="007169E7">
              <w:rPr>
                <w:rFonts w:ascii="Bookman Old Style" w:hAnsi="Bookman Old Style"/>
                <w:sz w:val="18"/>
                <w:szCs w:val="18"/>
              </w:rPr>
              <w:t xml:space="preserve">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7169E7" w:rsidRPr="00E16D13" w:rsidRDefault="00CB0253" w:rsidP="00CB0253">
            <w:pPr>
              <w:ind w:left="0"/>
              <w:rPr>
                <w:rFonts w:ascii="Bookman Old Style" w:hAnsi="Bookman Old Style"/>
                <w:sz w:val="18"/>
                <w:szCs w:val="18"/>
              </w:rPr>
            </w:pPr>
            <w:r>
              <w:rPr>
                <w:rFonts w:ascii="Bookman Old Style" w:hAnsi="Bookman Old Style"/>
                <w:sz w:val="18"/>
                <w:szCs w:val="18"/>
              </w:rPr>
              <w:t>37.881.742</w:t>
            </w:r>
          </w:p>
        </w:tc>
      </w:tr>
    </w:tbl>
    <w:p w:rsidR="007169E7" w:rsidRDefault="007169E7" w:rsidP="007169E7">
      <w:pPr>
        <w:tabs>
          <w:tab w:val="right" w:pos="9498"/>
        </w:tabs>
        <w:ind w:left="0" w:right="-142"/>
        <w:jc w:val="both"/>
        <w:rPr>
          <w:rFonts w:ascii="Bookman Old Style" w:hAnsi="Bookman Old Style" w:cs="Arial"/>
          <w:b/>
          <w:bCs/>
          <w:color w:val="666666"/>
          <w:sz w:val="27"/>
          <w:szCs w:val="27"/>
          <w:lang w:val="es-CO" w:eastAsia="es-CO"/>
        </w:rPr>
      </w:pPr>
    </w:p>
    <w:p w:rsidR="007169E7" w:rsidRDefault="00692A55" w:rsidP="007169E7">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t>Artículo 3</w:t>
      </w:r>
      <w:r w:rsidR="007169E7" w:rsidRPr="003E59E7">
        <w:rPr>
          <w:rFonts w:ascii="Bookman Old Style" w:hAnsi="Bookman Old Style"/>
          <w:b/>
          <w:szCs w:val="27"/>
        </w:rPr>
        <w:t>.</w:t>
      </w:r>
      <w:r w:rsidR="007169E7">
        <w:rPr>
          <w:rFonts w:ascii="Bookman Old Style" w:hAnsi="Bookman Old Style"/>
          <w:szCs w:val="27"/>
        </w:rPr>
        <w:t xml:space="preserve"> Modificar el Anexo de la </w:t>
      </w:r>
      <w:r w:rsidR="007169E7" w:rsidRPr="00E16D13">
        <w:rPr>
          <w:rFonts w:ascii="Bookman Old Style" w:hAnsi="Bookman Old Style"/>
          <w:szCs w:val="27"/>
        </w:rPr>
        <w:t>Resolución CREG 075 de 2016 de la siguiente forma:</w:t>
      </w:r>
    </w:p>
    <w:p w:rsidR="007169E7" w:rsidRDefault="007169E7" w:rsidP="007169E7">
      <w:pPr>
        <w:pStyle w:val="Textoindependiente2"/>
        <w:spacing w:after="0" w:line="240" w:lineRule="auto"/>
        <w:ind w:left="-142" w:right="-142"/>
        <w:jc w:val="both"/>
        <w:rPr>
          <w:rFonts w:ascii="Bookman Old Style" w:hAnsi="Bookman Old Style"/>
          <w:szCs w:val="27"/>
        </w:rPr>
      </w:pPr>
    </w:p>
    <w:p w:rsidR="00CB0253" w:rsidRPr="00CD74B5" w:rsidRDefault="00CB0253" w:rsidP="00CB0253">
      <w:pPr>
        <w:ind w:right="-93"/>
        <w:jc w:val="center"/>
        <w:rPr>
          <w:rFonts w:ascii="Bookman Old Style" w:eastAsia="MS Mincho" w:hAnsi="Bookman Old Style" w:cs="Arial"/>
          <w:b/>
        </w:rPr>
      </w:pPr>
      <w:r w:rsidRPr="00CD74B5">
        <w:rPr>
          <w:rFonts w:ascii="Bookman Old Style" w:eastAsia="MS Mincho" w:hAnsi="Bookman Old Style" w:cs="Arial"/>
          <w:b/>
        </w:rPr>
        <w:t>CAPACIDAD DE COMPRA</w:t>
      </w:r>
    </w:p>
    <w:p w:rsidR="00CB0253" w:rsidRDefault="00CB0253" w:rsidP="00CB0253">
      <w:pPr>
        <w:jc w:val="both"/>
        <w:rPr>
          <w:rFonts w:ascii="Bookman Old Style" w:hAnsi="Bookman Old Style"/>
        </w:rPr>
      </w:pPr>
    </w:p>
    <w:p w:rsidR="00CB0253" w:rsidRDefault="00CB0253" w:rsidP="00CB0253">
      <w:pPr>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CB0253" w:rsidRDefault="00CB0253" w:rsidP="00CB0253">
      <w:pPr>
        <w:jc w:val="both"/>
        <w:rPr>
          <w:rFonts w:ascii="Bookman Old Style" w:hAnsi="Bookman Old Style"/>
        </w:rPr>
      </w:pPr>
    </w:p>
    <w:p w:rsidR="00CB0253" w:rsidRDefault="00CB0253" w:rsidP="00CB0253">
      <w:pPr>
        <w:pStyle w:val="Prrafodelista"/>
        <w:numPr>
          <w:ilvl w:val="0"/>
          <w:numId w:val="46"/>
        </w:numPr>
        <w:contextualSpacing/>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CB0253">
        <w:rPr>
          <w:rFonts w:ascii="Bookman Old Style"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CB0253" w:rsidRPr="001C513B" w:rsidRDefault="00CB0253" w:rsidP="00CB0253">
      <w:pPr>
        <w:pStyle w:val="Prrafodelista"/>
        <w:jc w:val="both"/>
        <w:rPr>
          <w:rFonts w:ascii="Bookman Old Style" w:hAnsi="Bookman Old Style"/>
          <w:sz w:val="24"/>
          <w:szCs w:val="24"/>
        </w:rPr>
      </w:pPr>
    </w:p>
    <w:tbl>
      <w:tblPr>
        <w:tblW w:w="9487" w:type="dxa"/>
        <w:jc w:val="center"/>
        <w:tblCellMar>
          <w:left w:w="70" w:type="dxa"/>
          <w:right w:w="70" w:type="dxa"/>
        </w:tblCellMar>
        <w:tblLook w:val="04A0" w:firstRow="1" w:lastRow="0" w:firstColumn="1" w:lastColumn="0" w:noHBand="0" w:noVBand="1"/>
      </w:tblPr>
      <w:tblGrid>
        <w:gridCol w:w="844"/>
        <w:gridCol w:w="868"/>
        <w:gridCol w:w="688"/>
        <w:gridCol w:w="756"/>
        <w:gridCol w:w="756"/>
        <w:gridCol w:w="868"/>
        <w:gridCol w:w="868"/>
        <w:gridCol w:w="704"/>
        <w:gridCol w:w="832"/>
        <w:gridCol w:w="1037"/>
        <w:gridCol w:w="1266"/>
      </w:tblGrid>
      <w:tr w:rsidR="00CB0253" w:rsidRPr="00CF4873" w:rsidTr="002A3EB4">
        <w:trPr>
          <w:trHeight w:val="570"/>
          <w:tblHeader/>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253" w:rsidRPr="00313D63" w:rsidRDefault="00CB0253" w:rsidP="00CB025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Código SUI</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CB0253" w:rsidRPr="00313D63" w:rsidRDefault="00CB0253" w:rsidP="00CB025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 Lb</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CB0253" w:rsidRPr="00313D63" w:rsidRDefault="00CB0253" w:rsidP="00CB025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15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B0253" w:rsidRPr="00313D63" w:rsidRDefault="00CB0253" w:rsidP="00CB025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20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B0253" w:rsidRPr="00313D63" w:rsidRDefault="00CB0253" w:rsidP="00CB025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24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CB0253" w:rsidRPr="00313D63" w:rsidRDefault="00CB0253" w:rsidP="00CB0253">
            <w:pPr>
              <w:ind w:left="0"/>
              <w:jc w:val="center"/>
              <w:rPr>
                <w:rFonts w:ascii="Bookman Old Style" w:hAnsi="Bookman Old Style"/>
                <w:b/>
                <w:bCs/>
                <w:color w:val="000000"/>
                <w:sz w:val="16"/>
                <w:szCs w:val="16"/>
                <w:lang w:eastAsia="es-CO"/>
              </w:rPr>
            </w:pPr>
            <w:r>
              <w:rPr>
                <w:rFonts w:ascii="Bookman Old Style" w:hAnsi="Bookman Old Style"/>
                <w:b/>
                <w:bCs/>
                <w:color w:val="000000"/>
                <w:sz w:val="16"/>
                <w:szCs w:val="16"/>
                <w:lang w:eastAsia="es-CO"/>
              </w:rPr>
              <w:t>30</w:t>
            </w:r>
            <w:r w:rsidRPr="00313D63">
              <w:rPr>
                <w:rFonts w:ascii="Bookman Old Style" w:hAnsi="Bookman Old Style"/>
                <w:b/>
                <w:bCs/>
                <w:color w:val="000000"/>
                <w:sz w:val="16"/>
                <w:szCs w:val="16"/>
                <w:lang w:eastAsia="es-CO"/>
              </w:rPr>
              <w:t xml:space="preserve">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CB0253" w:rsidRPr="00313D63" w:rsidRDefault="00CB0253" w:rsidP="00CB025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40 Lb</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CB0253" w:rsidRPr="00313D63" w:rsidRDefault="00CB0253" w:rsidP="00CB025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80 Lb</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CB0253" w:rsidRPr="00313D63" w:rsidRDefault="00CB0253" w:rsidP="00CB025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100 Lb</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CB0253" w:rsidRPr="00313D63" w:rsidRDefault="00CB0253" w:rsidP="00CB025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Total conteo</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CB0253" w:rsidRPr="007A4361" w:rsidRDefault="007A4361" w:rsidP="00CB0253">
            <w:pPr>
              <w:ind w:left="0"/>
              <w:jc w:val="center"/>
              <w:rPr>
                <w:rFonts w:ascii="Bookman Old Style" w:hAnsi="Bookman Old Style"/>
                <w:b/>
                <w:bCs/>
                <w:color w:val="000000"/>
                <w:sz w:val="16"/>
                <w:szCs w:val="16"/>
                <w:lang w:eastAsia="es-CO"/>
              </w:rPr>
            </w:pPr>
            <m:oMathPara>
              <m:oMathParaPr>
                <m:jc m:val="center"/>
              </m:oMathParaPr>
              <m:oMath>
                <m:r>
                  <m:rPr>
                    <m:sty m:val="bi"/>
                  </m:rPr>
                  <w:rPr>
                    <w:rFonts w:ascii="Cambria Math" w:hAnsi="Cambria Math"/>
                    <w:color w:val="000000"/>
                    <w:sz w:val="16"/>
                    <w:szCs w:val="16"/>
                  </w:rPr>
                  <m:t>Cap.</m:t>
                </m:r>
                <m:sSub>
                  <m:sSubPr>
                    <m:ctrlPr>
                      <w:rPr>
                        <w:rFonts w:ascii="Cambria Math" w:hAnsi="Cambria Math"/>
                        <w:b/>
                        <w:bCs/>
                        <w:i/>
                        <w:iCs/>
                        <w:color w:val="000000"/>
                        <w:sz w:val="16"/>
                        <w:szCs w:val="16"/>
                      </w:rPr>
                    </m:ctrlPr>
                  </m:sSubPr>
                  <m:e>
                    <m:r>
                      <m:rPr>
                        <m:sty m:val="bi"/>
                      </m:rPr>
                      <w:rPr>
                        <w:rFonts w:ascii="Cambria Math" w:hAnsi="Cambria Math"/>
                        <w:color w:val="000000"/>
                        <w:sz w:val="16"/>
                        <w:szCs w:val="16"/>
                      </w:rPr>
                      <m:t>1</m:t>
                    </m:r>
                  </m:e>
                  <m:sub>
                    <m:r>
                      <m:rPr>
                        <m:sty m:val="bi"/>
                      </m:rPr>
                      <w:rPr>
                        <w:rFonts w:ascii="Cambria Math" w:hAnsi="Cambria Math"/>
                        <w:color w:val="000000"/>
                        <w:sz w:val="16"/>
                        <w:szCs w:val="16"/>
                      </w:rPr>
                      <m:t>i,t</m:t>
                    </m:r>
                  </m:sub>
                </m:sSub>
              </m:oMath>
            </m:oMathPara>
          </w:p>
        </w:tc>
      </w:tr>
      <w:tr w:rsidR="00CB0253" w:rsidRPr="00CF4873" w:rsidTr="002A3EB4">
        <w:trPr>
          <w:trHeight w:val="40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CB0253" w:rsidRPr="0093479E" w:rsidRDefault="00CB0253" w:rsidP="00CB0253">
            <w:pPr>
              <w:ind w:left="0"/>
              <w:jc w:val="center"/>
              <w:rPr>
                <w:rFonts w:ascii="Bookman Old Style" w:hAnsi="Bookman Old Style"/>
                <w:color w:val="000000"/>
                <w:sz w:val="18"/>
                <w:szCs w:val="20"/>
              </w:rPr>
            </w:pPr>
            <w:r>
              <w:rPr>
                <w:rFonts w:ascii="Bookman Old Style" w:hAnsi="Bookman Old Style"/>
                <w:color w:val="000000"/>
                <w:sz w:val="18"/>
                <w:szCs w:val="20"/>
              </w:rPr>
              <w:t>24869</w:t>
            </w:r>
          </w:p>
        </w:tc>
        <w:tc>
          <w:tcPr>
            <w:tcW w:w="868" w:type="dxa"/>
            <w:tcBorders>
              <w:top w:val="nil"/>
              <w:left w:val="nil"/>
              <w:bottom w:val="single" w:sz="4" w:space="0" w:color="auto"/>
              <w:right w:val="single" w:sz="4" w:space="0" w:color="auto"/>
            </w:tcBorders>
            <w:shd w:val="clear" w:color="auto" w:fill="auto"/>
            <w:noWrap/>
          </w:tcPr>
          <w:p w:rsidR="00CB0253" w:rsidRDefault="00CB0253" w:rsidP="00CB0253">
            <w:pPr>
              <w:ind w:left="0"/>
              <w:jc w:val="center"/>
            </w:pPr>
            <w:r>
              <w:rPr>
                <w:rFonts w:ascii="Bookman Old Style" w:hAnsi="Bookman Old Style"/>
                <w:color w:val="000000"/>
                <w:sz w:val="18"/>
                <w:szCs w:val="18"/>
              </w:rPr>
              <w:t>105</w:t>
            </w:r>
          </w:p>
        </w:tc>
        <w:tc>
          <w:tcPr>
            <w:tcW w:w="688" w:type="dxa"/>
            <w:tcBorders>
              <w:top w:val="nil"/>
              <w:left w:val="nil"/>
              <w:bottom w:val="single" w:sz="4" w:space="0" w:color="auto"/>
              <w:right w:val="single" w:sz="4" w:space="0" w:color="auto"/>
            </w:tcBorders>
            <w:shd w:val="clear" w:color="auto" w:fill="auto"/>
            <w:noWrap/>
          </w:tcPr>
          <w:p w:rsidR="00CB0253" w:rsidRDefault="00CB0253" w:rsidP="00CB0253">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tcPr>
          <w:p w:rsidR="00CB0253" w:rsidRDefault="00CB0253" w:rsidP="00CB0253">
            <w:pPr>
              <w:ind w:left="0"/>
              <w:jc w:val="center"/>
            </w:pPr>
            <w:r>
              <w:rPr>
                <w:rFonts w:ascii="Bookman Old Style" w:hAnsi="Bookman Old Style"/>
                <w:color w:val="000000"/>
                <w:sz w:val="18"/>
                <w:szCs w:val="18"/>
              </w:rPr>
              <w:t>6.018</w:t>
            </w:r>
          </w:p>
        </w:tc>
        <w:tc>
          <w:tcPr>
            <w:tcW w:w="756" w:type="dxa"/>
            <w:tcBorders>
              <w:top w:val="nil"/>
              <w:left w:val="nil"/>
              <w:bottom w:val="single" w:sz="4" w:space="0" w:color="auto"/>
              <w:right w:val="single" w:sz="4" w:space="0" w:color="auto"/>
            </w:tcBorders>
            <w:shd w:val="clear" w:color="auto" w:fill="auto"/>
            <w:noWrap/>
          </w:tcPr>
          <w:p w:rsidR="00CB0253" w:rsidRDefault="00CB0253" w:rsidP="00CB0253">
            <w:pPr>
              <w:ind w:left="0"/>
              <w:jc w:val="center"/>
            </w:pPr>
            <w:r w:rsidRPr="00211461">
              <w:rPr>
                <w:rFonts w:ascii="Bookman Old Style" w:hAnsi="Bookman Old Style"/>
                <w:color w:val="000000"/>
                <w:sz w:val="18"/>
                <w:szCs w:val="18"/>
              </w:rPr>
              <w:t>NR*</w:t>
            </w:r>
          </w:p>
        </w:tc>
        <w:tc>
          <w:tcPr>
            <w:tcW w:w="868" w:type="dxa"/>
            <w:tcBorders>
              <w:top w:val="nil"/>
              <w:left w:val="nil"/>
              <w:bottom w:val="single" w:sz="4" w:space="0" w:color="auto"/>
              <w:right w:val="single" w:sz="4" w:space="0" w:color="auto"/>
            </w:tcBorders>
            <w:shd w:val="clear" w:color="auto" w:fill="auto"/>
            <w:noWrap/>
          </w:tcPr>
          <w:p w:rsidR="00CB0253" w:rsidRDefault="00CB0253" w:rsidP="00CB0253">
            <w:pPr>
              <w:ind w:left="0"/>
              <w:jc w:val="center"/>
            </w:pPr>
            <w:r>
              <w:rPr>
                <w:rFonts w:ascii="Bookman Old Style" w:hAnsi="Bookman Old Style"/>
                <w:color w:val="000000"/>
                <w:sz w:val="18"/>
                <w:szCs w:val="18"/>
              </w:rPr>
              <w:t>384.588</w:t>
            </w:r>
          </w:p>
        </w:tc>
        <w:tc>
          <w:tcPr>
            <w:tcW w:w="868" w:type="dxa"/>
            <w:tcBorders>
              <w:top w:val="nil"/>
              <w:left w:val="nil"/>
              <w:bottom w:val="single" w:sz="4" w:space="0" w:color="auto"/>
              <w:right w:val="single" w:sz="4" w:space="0" w:color="auto"/>
            </w:tcBorders>
            <w:shd w:val="clear" w:color="auto" w:fill="auto"/>
            <w:noWrap/>
          </w:tcPr>
          <w:p w:rsidR="00CB0253" w:rsidRDefault="00CB0253" w:rsidP="00CB0253">
            <w:pPr>
              <w:ind w:left="0"/>
              <w:jc w:val="center"/>
            </w:pPr>
            <w:r>
              <w:rPr>
                <w:rFonts w:ascii="Bookman Old Style" w:hAnsi="Bookman Old Style"/>
                <w:color w:val="000000"/>
                <w:sz w:val="18"/>
                <w:szCs w:val="18"/>
              </w:rPr>
              <w:t>429.096</w:t>
            </w:r>
          </w:p>
        </w:tc>
        <w:tc>
          <w:tcPr>
            <w:tcW w:w="704" w:type="dxa"/>
            <w:tcBorders>
              <w:top w:val="nil"/>
              <w:left w:val="nil"/>
              <w:bottom w:val="single" w:sz="4" w:space="0" w:color="auto"/>
              <w:right w:val="single" w:sz="4" w:space="0" w:color="auto"/>
            </w:tcBorders>
            <w:shd w:val="clear" w:color="auto" w:fill="auto"/>
            <w:noWrap/>
          </w:tcPr>
          <w:p w:rsidR="00CB0253" w:rsidRDefault="00CB0253" w:rsidP="00CB0253">
            <w:pPr>
              <w:ind w:left="0"/>
              <w:jc w:val="center"/>
            </w:pPr>
            <w:r>
              <w:rPr>
                <w:rFonts w:ascii="Bookman Old Style" w:hAnsi="Bookman Old Style"/>
                <w:color w:val="000000"/>
                <w:sz w:val="18"/>
                <w:szCs w:val="18"/>
              </w:rPr>
              <w:t>920</w:t>
            </w:r>
          </w:p>
        </w:tc>
        <w:tc>
          <w:tcPr>
            <w:tcW w:w="832" w:type="dxa"/>
            <w:tcBorders>
              <w:top w:val="nil"/>
              <w:left w:val="nil"/>
              <w:bottom w:val="single" w:sz="4" w:space="0" w:color="auto"/>
              <w:right w:val="single" w:sz="4" w:space="0" w:color="auto"/>
            </w:tcBorders>
            <w:shd w:val="clear" w:color="auto" w:fill="auto"/>
            <w:noWrap/>
          </w:tcPr>
          <w:p w:rsidR="00CB0253" w:rsidRDefault="00CB0253" w:rsidP="00CB0253">
            <w:pPr>
              <w:ind w:left="0"/>
              <w:jc w:val="center"/>
            </w:pPr>
            <w:r>
              <w:rPr>
                <w:rFonts w:ascii="Bookman Old Style" w:hAnsi="Bookman Old Style"/>
                <w:color w:val="000000"/>
                <w:sz w:val="18"/>
                <w:szCs w:val="18"/>
              </w:rPr>
              <w:t>43.673</w:t>
            </w:r>
          </w:p>
        </w:tc>
        <w:tc>
          <w:tcPr>
            <w:tcW w:w="1037" w:type="dxa"/>
            <w:tcBorders>
              <w:top w:val="nil"/>
              <w:left w:val="nil"/>
              <w:bottom w:val="single" w:sz="4" w:space="0" w:color="auto"/>
              <w:right w:val="single" w:sz="4" w:space="0" w:color="auto"/>
            </w:tcBorders>
            <w:shd w:val="clear" w:color="auto" w:fill="auto"/>
            <w:noWrap/>
          </w:tcPr>
          <w:p w:rsidR="00CB0253" w:rsidRDefault="00CB0253" w:rsidP="00CB0253">
            <w:pPr>
              <w:ind w:left="0"/>
              <w:jc w:val="center"/>
            </w:pPr>
            <w:r>
              <w:rPr>
                <w:rFonts w:ascii="Bookman Old Style" w:hAnsi="Bookman Old Style"/>
                <w:color w:val="000000"/>
                <w:sz w:val="18"/>
                <w:szCs w:val="18"/>
              </w:rPr>
              <w:t>864.400</w:t>
            </w:r>
          </w:p>
        </w:tc>
        <w:tc>
          <w:tcPr>
            <w:tcW w:w="1266" w:type="dxa"/>
            <w:tcBorders>
              <w:top w:val="nil"/>
              <w:left w:val="nil"/>
              <w:bottom w:val="single" w:sz="4" w:space="0" w:color="auto"/>
              <w:right w:val="single" w:sz="4" w:space="0" w:color="auto"/>
            </w:tcBorders>
            <w:shd w:val="clear" w:color="auto" w:fill="auto"/>
            <w:noWrap/>
          </w:tcPr>
          <w:p w:rsidR="00CB0253" w:rsidRDefault="00CB0253" w:rsidP="00CB0253">
            <w:pPr>
              <w:ind w:left="0"/>
              <w:jc w:val="center"/>
            </w:pPr>
            <w:r>
              <w:rPr>
                <w:rFonts w:ascii="Bookman Old Style" w:hAnsi="Bookman Old Style"/>
                <w:color w:val="000000"/>
                <w:sz w:val="18"/>
                <w:szCs w:val="18"/>
              </w:rPr>
              <w:t>93.753.417</w:t>
            </w:r>
          </w:p>
        </w:tc>
      </w:tr>
    </w:tbl>
    <w:p w:rsidR="00CB0253" w:rsidRDefault="00CB0253" w:rsidP="00CB0253">
      <w:pPr>
        <w:jc w:val="center"/>
        <w:rPr>
          <w:rFonts w:ascii="Bookman Old Style" w:hAnsi="Bookman Old Style"/>
          <w:sz w:val="18"/>
        </w:rPr>
      </w:pPr>
      <w:r>
        <w:rPr>
          <w:rFonts w:ascii="Bookman Old Style" w:hAnsi="Bookman Old Style"/>
          <w:sz w:val="18"/>
        </w:rPr>
        <w:t>NR</w:t>
      </w:r>
      <w:r w:rsidRPr="002B4873">
        <w:rPr>
          <w:rFonts w:ascii="Bookman Old Style" w:hAnsi="Bookman Old Style"/>
          <w:sz w:val="18"/>
        </w:rPr>
        <w:t>*</w:t>
      </w:r>
      <w:r>
        <w:rPr>
          <w:rFonts w:ascii="Bookman Old Style" w:hAnsi="Bookman Old Style"/>
          <w:sz w:val="18"/>
        </w:rPr>
        <w:t xml:space="preserve">: No presenta registro de información en el SUI, </w:t>
      </w:r>
      <w:r w:rsidRPr="00074962">
        <w:rPr>
          <w:rFonts w:ascii="Bookman Old Style" w:hAnsi="Bookman Old Style"/>
          <w:sz w:val="18"/>
        </w:rPr>
        <w:t>de acuerdo con la información registrada al SUI</w:t>
      </w:r>
      <w:r>
        <w:rPr>
          <w:rFonts w:ascii="Bookman Old Style" w:hAnsi="Bookman Old Style"/>
          <w:sz w:val="18"/>
        </w:rPr>
        <w:t>, por AIC proyectos,</w:t>
      </w:r>
      <w:r w:rsidRPr="00074962">
        <w:rPr>
          <w:rFonts w:ascii="Bookman Old Style" w:hAnsi="Bookman Old Style"/>
          <w:sz w:val="18"/>
        </w:rPr>
        <w:t xml:space="preserve"> desde</w:t>
      </w:r>
      <w:r>
        <w:rPr>
          <w:rFonts w:ascii="Bookman Old Style" w:hAnsi="Bookman Old Style"/>
          <w:sz w:val="18"/>
        </w:rPr>
        <w:t xml:space="preserve"> 2008 hasta 2012.</w:t>
      </w:r>
    </w:p>
    <w:p w:rsidR="00F478B7" w:rsidRDefault="00F478B7" w:rsidP="00CB0253">
      <w:pPr>
        <w:jc w:val="center"/>
        <w:rPr>
          <w:rFonts w:ascii="Bookman Old Style" w:hAnsi="Bookman Old Style"/>
        </w:rPr>
      </w:pPr>
    </w:p>
    <w:p w:rsidR="00CB0253" w:rsidRPr="002E47EE" w:rsidRDefault="00CB0253" w:rsidP="00CB0253">
      <w:pPr>
        <w:pStyle w:val="Prrafodelista"/>
        <w:numPr>
          <w:ilvl w:val="0"/>
          <w:numId w:val="46"/>
        </w:numPr>
        <w:contextualSpacing/>
        <w:jc w:val="both"/>
        <w:rPr>
          <w:rFonts w:ascii="Bookman Old Style" w:hAnsi="Bookman Old Style"/>
          <w:sz w:val="24"/>
          <w:szCs w:val="24"/>
        </w:rPr>
      </w:pPr>
      <w:r>
        <w:rPr>
          <w:rFonts w:ascii="Bookman Old Style" w:hAnsi="Bookman Old Style"/>
          <w:sz w:val="24"/>
          <w:szCs w:val="24"/>
        </w:rPr>
        <w:t xml:space="preserve">De acuerdo con parágrafo 2 del artículo 8 de la resolución CREG 063 de 2016, se calcula la </w:t>
      </w:r>
      <w:r w:rsidRPr="00AE5D16">
        <w:rPr>
          <w:rFonts w:ascii="Bookman Old Style" w:hAnsi="Bookman Old Style"/>
          <w:sz w:val="24"/>
          <w:szCs w:val="24"/>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CB0253">
        <w:rPr>
          <w:rFonts w:ascii="Bookman Old Style" w:hAnsi="Bookman Old Style"/>
          <w:iCs/>
          <w:sz w:val="24"/>
          <w:szCs w:val="24"/>
        </w:rPr>
        <w:t xml:space="preserve">, a continuación se muestra el conteo de cilindros por código de presentación para cada uno de los códigos SUI de las empresas. </w:t>
      </w:r>
    </w:p>
    <w:tbl>
      <w:tblPr>
        <w:tblStyle w:val="Tablaconcuadrcula"/>
        <w:tblW w:w="0" w:type="auto"/>
        <w:jc w:val="center"/>
        <w:tblLook w:val="04A0" w:firstRow="1" w:lastRow="0" w:firstColumn="1" w:lastColumn="0" w:noHBand="0" w:noVBand="1"/>
      </w:tblPr>
      <w:tblGrid>
        <w:gridCol w:w="1473"/>
        <w:gridCol w:w="1792"/>
      </w:tblGrid>
      <w:tr w:rsidR="00CB0253" w:rsidRPr="00060097" w:rsidTr="00376390">
        <w:trPr>
          <w:trHeight w:val="443"/>
          <w:tblHeader/>
          <w:jc w:val="center"/>
        </w:trPr>
        <w:tc>
          <w:tcPr>
            <w:tcW w:w="1473" w:type="dxa"/>
            <w:vAlign w:val="center"/>
          </w:tcPr>
          <w:p w:rsidR="00CB0253" w:rsidRPr="00060097" w:rsidRDefault="00CB0253" w:rsidP="002A3EB4">
            <w:pPr>
              <w:jc w:val="center"/>
              <w:rPr>
                <w:rFonts w:ascii="Bookman Old Style" w:hAnsi="Bookman Old Style"/>
                <w:b/>
                <w:sz w:val="18"/>
                <w:szCs w:val="18"/>
              </w:rPr>
            </w:pPr>
            <w:r w:rsidRPr="00060097">
              <w:rPr>
                <w:rFonts w:ascii="Bookman Old Style" w:hAnsi="Bookman Old Style"/>
                <w:b/>
                <w:sz w:val="18"/>
                <w:szCs w:val="18"/>
              </w:rPr>
              <w:t>Código SUI</w:t>
            </w:r>
          </w:p>
        </w:tc>
        <w:tc>
          <w:tcPr>
            <w:tcW w:w="1792" w:type="dxa"/>
            <w:vAlign w:val="center"/>
          </w:tcPr>
          <w:p w:rsidR="00CB0253" w:rsidRPr="00216D63" w:rsidRDefault="00CB0253" w:rsidP="002A3EB4">
            <w:pPr>
              <w:jc w:val="center"/>
              <w:rPr>
                <w:rFonts w:ascii="Bookman Old Style" w:hAnsi="Bookman Old Style"/>
                <w:b/>
                <w:sz w:val="18"/>
                <w:szCs w:val="18"/>
              </w:rPr>
            </w:pPr>
            <w:r>
              <w:rPr>
                <w:rFonts w:ascii="Bookman Old Style" w:hAnsi="Bookman Old Style"/>
                <w:b/>
                <w:sz w:val="18"/>
                <w:szCs w:val="18"/>
              </w:rPr>
              <w:t>24869</w:t>
            </w:r>
          </w:p>
        </w:tc>
      </w:tr>
      <w:tr w:rsidR="00CB0253" w:rsidRPr="00060097" w:rsidTr="00CB0253">
        <w:trPr>
          <w:trHeight w:val="443"/>
          <w:jc w:val="center"/>
        </w:trPr>
        <w:tc>
          <w:tcPr>
            <w:tcW w:w="1473" w:type="dxa"/>
            <w:vAlign w:val="center"/>
          </w:tcPr>
          <w:p w:rsidR="00CB0253" w:rsidRPr="00060097" w:rsidRDefault="00CB0253" w:rsidP="00CB025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4 Kg</w:t>
            </w:r>
          </w:p>
        </w:tc>
        <w:tc>
          <w:tcPr>
            <w:tcW w:w="1792" w:type="dxa"/>
            <w:vAlign w:val="center"/>
          </w:tcPr>
          <w:p w:rsidR="00CB0253" w:rsidRDefault="00CB0253" w:rsidP="00CB0253">
            <w:pPr>
              <w:ind w:left="0"/>
              <w:jc w:val="center"/>
            </w:pPr>
            <w:r w:rsidRPr="00E73D7E">
              <w:rPr>
                <w:rFonts w:ascii="Bookman Old Style" w:hAnsi="Bookman Old Style"/>
                <w:sz w:val="18"/>
              </w:rPr>
              <w:t>NR*</w:t>
            </w:r>
          </w:p>
        </w:tc>
      </w:tr>
      <w:tr w:rsidR="00CB0253" w:rsidRPr="00060097" w:rsidTr="00CB0253">
        <w:trPr>
          <w:trHeight w:val="443"/>
          <w:jc w:val="center"/>
        </w:trPr>
        <w:tc>
          <w:tcPr>
            <w:tcW w:w="1473" w:type="dxa"/>
            <w:vAlign w:val="center"/>
          </w:tcPr>
          <w:p w:rsidR="00CB0253" w:rsidRPr="00060097" w:rsidRDefault="00CB0253" w:rsidP="00CB025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5 Kg</w:t>
            </w:r>
          </w:p>
        </w:tc>
        <w:tc>
          <w:tcPr>
            <w:tcW w:w="1792" w:type="dxa"/>
            <w:vAlign w:val="center"/>
          </w:tcPr>
          <w:p w:rsidR="00CB0253" w:rsidRDefault="00CB0253" w:rsidP="00CB0253">
            <w:pPr>
              <w:ind w:left="0"/>
              <w:jc w:val="center"/>
            </w:pPr>
            <w:r w:rsidRPr="00E73D7E">
              <w:rPr>
                <w:rFonts w:ascii="Bookman Old Style" w:hAnsi="Bookman Old Style"/>
                <w:sz w:val="18"/>
              </w:rPr>
              <w:t>NR*</w:t>
            </w:r>
          </w:p>
        </w:tc>
      </w:tr>
      <w:tr w:rsidR="00CB0253" w:rsidRPr="00060097" w:rsidTr="00CB0253">
        <w:trPr>
          <w:trHeight w:val="443"/>
          <w:jc w:val="center"/>
        </w:trPr>
        <w:tc>
          <w:tcPr>
            <w:tcW w:w="1473" w:type="dxa"/>
            <w:vAlign w:val="center"/>
          </w:tcPr>
          <w:p w:rsidR="00CB0253" w:rsidRPr="00060097" w:rsidRDefault="00CB0253" w:rsidP="00CB025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7 Kg</w:t>
            </w:r>
          </w:p>
        </w:tc>
        <w:tc>
          <w:tcPr>
            <w:tcW w:w="1792" w:type="dxa"/>
            <w:vAlign w:val="center"/>
          </w:tcPr>
          <w:p w:rsidR="00CB0253" w:rsidRDefault="00CB0253" w:rsidP="00CB0253">
            <w:pPr>
              <w:ind w:left="0"/>
              <w:jc w:val="center"/>
            </w:pPr>
            <w:r w:rsidRPr="00E73D7E">
              <w:rPr>
                <w:rFonts w:ascii="Bookman Old Style" w:hAnsi="Bookman Old Style"/>
                <w:sz w:val="18"/>
              </w:rPr>
              <w:t>NR*</w:t>
            </w:r>
          </w:p>
        </w:tc>
      </w:tr>
      <w:tr w:rsidR="00CB0253" w:rsidRPr="00060097" w:rsidTr="00CB0253">
        <w:trPr>
          <w:trHeight w:val="443"/>
          <w:jc w:val="center"/>
        </w:trPr>
        <w:tc>
          <w:tcPr>
            <w:tcW w:w="1473" w:type="dxa"/>
            <w:vAlign w:val="center"/>
          </w:tcPr>
          <w:p w:rsidR="00CB0253" w:rsidRPr="00060097" w:rsidRDefault="00CB0253" w:rsidP="00CB025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9 Kg</w:t>
            </w:r>
          </w:p>
        </w:tc>
        <w:tc>
          <w:tcPr>
            <w:tcW w:w="1792" w:type="dxa"/>
            <w:vAlign w:val="center"/>
          </w:tcPr>
          <w:p w:rsidR="00CB0253" w:rsidRDefault="00CB0253" w:rsidP="00CB0253">
            <w:pPr>
              <w:ind w:left="0"/>
              <w:jc w:val="center"/>
            </w:pPr>
            <w:r w:rsidRPr="00E73D7E">
              <w:rPr>
                <w:rFonts w:ascii="Bookman Old Style" w:hAnsi="Bookman Old Style"/>
                <w:sz w:val="18"/>
              </w:rPr>
              <w:t>NR*</w:t>
            </w:r>
          </w:p>
        </w:tc>
      </w:tr>
      <w:tr w:rsidR="00CB0253" w:rsidRPr="00060097" w:rsidTr="00CB0253">
        <w:trPr>
          <w:trHeight w:val="443"/>
          <w:jc w:val="center"/>
        </w:trPr>
        <w:tc>
          <w:tcPr>
            <w:tcW w:w="1473" w:type="dxa"/>
            <w:vAlign w:val="center"/>
          </w:tcPr>
          <w:p w:rsidR="00CB0253" w:rsidRPr="00060097" w:rsidRDefault="00CB0253" w:rsidP="00CB025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10 Kg</w:t>
            </w:r>
          </w:p>
        </w:tc>
        <w:tc>
          <w:tcPr>
            <w:tcW w:w="1792" w:type="dxa"/>
            <w:vAlign w:val="center"/>
          </w:tcPr>
          <w:p w:rsidR="00CB0253" w:rsidRDefault="00CB0253" w:rsidP="00CB0253">
            <w:pPr>
              <w:ind w:left="0"/>
              <w:jc w:val="center"/>
            </w:pPr>
            <w:r w:rsidRPr="00E73D7E">
              <w:rPr>
                <w:rFonts w:ascii="Bookman Old Style" w:hAnsi="Bookman Old Style"/>
                <w:sz w:val="18"/>
              </w:rPr>
              <w:t>NR*</w:t>
            </w:r>
          </w:p>
        </w:tc>
      </w:tr>
      <w:tr w:rsidR="00CB0253" w:rsidRPr="00060097" w:rsidTr="00CB0253">
        <w:trPr>
          <w:trHeight w:val="443"/>
          <w:jc w:val="center"/>
        </w:trPr>
        <w:tc>
          <w:tcPr>
            <w:tcW w:w="1473" w:type="dxa"/>
            <w:vAlign w:val="center"/>
          </w:tcPr>
          <w:p w:rsidR="00CB0253" w:rsidRPr="00060097" w:rsidRDefault="00CB0253" w:rsidP="00CB025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15 Kg</w:t>
            </w:r>
          </w:p>
        </w:tc>
        <w:tc>
          <w:tcPr>
            <w:tcW w:w="1792" w:type="dxa"/>
            <w:vAlign w:val="center"/>
          </w:tcPr>
          <w:p w:rsidR="00CB0253" w:rsidRPr="00060097" w:rsidRDefault="00CB0253" w:rsidP="00CB0253">
            <w:pPr>
              <w:ind w:left="0"/>
              <w:jc w:val="center"/>
              <w:rPr>
                <w:rFonts w:ascii="Bookman Old Style" w:hAnsi="Bookman Old Style"/>
                <w:sz w:val="18"/>
                <w:szCs w:val="18"/>
              </w:rPr>
            </w:pPr>
            <w:r>
              <w:rPr>
                <w:rFonts w:ascii="Bookman Old Style" w:hAnsi="Bookman Old Style"/>
                <w:sz w:val="18"/>
                <w:szCs w:val="18"/>
              </w:rPr>
              <w:t>52.919</w:t>
            </w:r>
          </w:p>
        </w:tc>
      </w:tr>
      <w:tr w:rsidR="00CB0253" w:rsidRPr="00060097" w:rsidTr="00CB0253">
        <w:trPr>
          <w:trHeight w:val="443"/>
          <w:jc w:val="center"/>
        </w:trPr>
        <w:tc>
          <w:tcPr>
            <w:tcW w:w="1473" w:type="dxa"/>
            <w:vAlign w:val="center"/>
          </w:tcPr>
          <w:p w:rsidR="00CB0253" w:rsidRPr="00060097" w:rsidRDefault="00CB0253" w:rsidP="00CB025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lastRenderedPageBreak/>
              <w:t>18 Kg</w:t>
            </w:r>
          </w:p>
        </w:tc>
        <w:tc>
          <w:tcPr>
            <w:tcW w:w="1792" w:type="dxa"/>
            <w:vAlign w:val="center"/>
          </w:tcPr>
          <w:p w:rsidR="00CB0253" w:rsidRPr="00060097" w:rsidRDefault="00CB0253" w:rsidP="00CB0253">
            <w:pPr>
              <w:ind w:left="0"/>
              <w:jc w:val="center"/>
              <w:rPr>
                <w:rFonts w:ascii="Bookman Old Style" w:hAnsi="Bookman Old Style"/>
                <w:sz w:val="18"/>
                <w:szCs w:val="18"/>
              </w:rPr>
            </w:pPr>
            <w:r>
              <w:rPr>
                <w:rFonts w:ascii="Bookman Old Style" w:hAnsi="Bookman Old Style"/>
                <w:sz w:val="18"/>
                <w:szCs w:val="18"/>
              </w:rPr>
              <w:t>127.282</w:t>
            </w:r>
          </w:p>
        </w:tc>
      </w:tr>
      <w:tr w:rsidR="00CB0253" w:rsidRPr="00060097" w:rsidTr="00CB0253">
        <w:trPr>
          <w:trHeight w:val="443"/>
          <w:jc w:val="center"/>
        </w:trPr>
        <w:tc>
          <w:tcPr>
            <w:tcW w:w="1473" w:type="dxa"/>
            <w:vAlign w:val="center"/>
          </w:tcPr>
          <w:p w:rsidR="00CB0253" w:rsidRPr="00060097" w:rsidRDefault="00CB0253" w:rsidP="00CB025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20 Kg</w:t>
            </w:r>
          </w:p>
        </w:tc>
        <w:tc>
          <w:tcPr>
            <w:tcW w:w="1792" w:type="dxa"/>
            <w:vAlign w:val="center"/>
          </w:tcPr>
          <w:p w:rsidR="00CB0253" w:rsidRDefault="00CB0253" w:rsidP="00CB0253">
            <w:pPr>
              <w:ind w:left="0"/>
              <w:jc w:val="center"/>
            </w:pPr>
            <w:r w:rsidRPr="008D60FC">
              <w:rPr>
                <w:rFonts w:ascii="Bookman Old Style" w:hAnsi="Bookman Old Style"/>
                <w:sz w:val="18"/>
              </w:rPr>
              <w:t>NR*</w:t>
            </w:r>
          </w:p>
        </w:tc>
      </w:tr>
      <w:tr w:rsidR="00CB0253" w:rsidRPr="00060097" w:rsidTr="00CB0253">
        <w:trPr>
          <w:trHeight w:val="443"/>
          <w:jc w:val="center"/>
        </w:trPr>
        <w:tc>
          <w:tcPr>
            <w:tcW w:w="1473" w:type="dxa"/>
            <w:vAlign w:val="center"/>
          </w:tcPr>
          <w:p w:rsidR="00CB0253" w:rsidRPr="00060097" w:rsidRDefault="00CB0253" w:rsidP="00CB025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30 Kg</w:t>
            </w:r>
          </w:p>
        </w:tc>
        <w:tc>
          <w:tcPr>
            <w:tcW w:w="1792" w:type="dxa"/>
            <w:vAlign w:val="center"/>
          </w:tcPr>
          <w:p w:rsidR="00CB0253" w:rsidRDefault="00CB0253" w:rsidP="00CB0253">
            <w:pPr>
              <w:ind w:left="0"/>
              <w:jc w:val="center"/>
            </w:pPr>
            <w:r w:rsidRPr="008D60FC">
              <w:rPr>
                <w:rFonts w:ascii="Bookman Old Style" w:hAnsi="Bookman Old Style"/>
                <w:sz w:val="18"/>
              </w:rPr>
              <w:t>NR*</w:t>
            </w:r>
          </w:p>
        </w:tc>
      </w:tr>
      <w:tr w:rsidR="00CB0253" w:rsidRPr="00060097" w:rsidTr="00CB0253">
        <w:trPr>
          <w:trHeight w:val="443"/>
          <w:jc w:val="center"/>
        </w:trPr>
        <w:tc>
          <w:tcPr>
            <w:tcW w:w="1473" w:type="dxa"/>
            <w:vAlign w:val="center"/>
          </w:tcPr>
          <w:p w:rsidR="00CB0253" w:rsidRPr="00060097" w:rsidRDefault="00CB0253" w:rsidP="00CB025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33 Kg</w:t>
            </w:r>
          </w:p>
        </w:tc>
        <w:tc>
          <w:tcPr>
            <w:tcW w:w="1792" w:type="dxa"/>
            <w:vAlign w:val="center"/>
          </w:tcPr>
          <w:p w:rsidR="00CB0253" w:rsidRDefault="00CB0253" w:rsidP="00CB0253">
            <w:pPr>
              <w:ind w:left="0"/>
              <w:jc w:val="center"/>
            </w:pPr>
            <w:r w:rsidRPr="008D60FC">
              <w:rPr>
                <w:rFonts w:ascii="Bookman Old Style" w:hAnsi="Bookman Old Style"/>
                <w:sz w:val="18"/>
              </w:rPr>
              <w:t>NR*</w:t>
            </w:r>
          </w:p>
        </w:tc>
      </w:tr>
      <w:tr w:rsidR="00CB0253" w:rsidRPr="00060097" w:rsidTr="00CB0253">
        <w:trPr>
          <w:trHeight w:val="443"/>
          <w:jc w:val="center"/>
        </w:trPr>
        <w:tc>
          <w:tcPr>
            <w:tcW w:w="1473" w:type="dxa"/>
            <w:vAlign w:val="center"/>
          </w:tcPr>
          <w:p w:rsidR="00CB0253" w:rsidRPr="00060097" w:rsidRDefault="00CB0253" w:rsidP="00CB025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35 Kg</w:t>
            </w:r>
          </w:p>
        </w:tc>
        <w:tc>
          <w:tcPr>
            <w:tcW w:w="1792" w:type="dxa"/>
            <w:vAlign w:val="center"/>
          </w:tcPr>
          <w:p w:rsidR="00CB0253" w:rsidRDefault="00CB0253" w:rsidP="00CB0253">
            <w:pPr>
              <w:ind w:left="0"/>
              <w:jc w:val="center"/>
            </w:pPr>
            <w:r w:rsidRPr="008D60FC">
              <w:rPr>
                <w:rFonts w:ascii="Bookman Old Style" w:hAnsi="Bookman Old Style"/>
                <w:sz w:val="18"/>
              </w:rPr>
              <w:t>NR*</w:t>
            </w:r>
          </w:p>
        </w:tc>
      </w:tr>
      <w:tr w:rsidR="00CB0253" w:rsidRPr="00060097" w:rsidTr="00CB0253">
        <w:trPr>
          <w:trHeight w:val="443"/>
          <w:jc w:val="center"/>
        </w:trPr>
        <w:tc>
          <w:tcPr>
            <w:tcW w:w="1473" w:type="dxa"/>
            <w:vAlign w:val="center"/>
          </w:tcPr>
          <w:p w:rsidR="00CB0253" w:rsidRPr="00060097" w:rsidRDefault="00CB0253" w:rsidP="00CB025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40 Kg</w:t>
            </w:r>
          </w:p>
        </w:tc>
        <w:tc>
          <w:tcPr>
            <w:tcW w:w="1792" w:type="dxa"/>
            <w:vAlign w:val="center"/>
          </w:tcPr>
          <w:p w:rsidR="00CB0253" w:rsidRDefault="00CB0253" w:rsidP="00CB0253">
            <w:pPr>
              <w:ind w:left="0"/>
              <w:jc w:val="center"/>
            </w:pPr>
            <w:r w:rsidRPr="008D60FC">
              <w:rPr>
                <w:rFonts w:ascii="Bookman Old Style" w:hAnsi="Bookman Old Style"/>
                <w:sz w:val="18"/>
              </w:rPr>
              <w:t>NR*</w:t>
            </w:r>
          </w:p>
        </w:tc>
      </w:tr>
      <w:tr w:rsidR="00CB0253" w:rsidRPr="00060097" w:rsidTr="00CB0253">
        <w:trPr>
          <w:trHeight w:val="443"/>
          <w:jc w:val="center"/>
        </w:trPr>
        <w:tc>
          <w:tcPr>
            <w:tcW w:w="1473" w:type="dxa"/>
            <w:vAlign w:val="center"/>
          </w:tcPr>
          <w:p w:rsidR="00CB0253" w:rsidRPr="00060097" w:rsidRDefault="00CB0253" w:rsidP="00CB025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45 Kg</w:t>
            </w:r>
          </w:p>
        </w:tc>
        <w:tc>
          <w:tcPr>
            <w:tcW w:w="1792" w:type="dxa"/>
            <w:vAlign w:val="center"/>
          </w:tcPr>
          <w:p w:rsidR="00CB0253" w:rsidRPr="00060097" w:rsidRDefault="00CB0253" w:rsidP="00CB0253">
            <w:pPr>
              <w:ind w:left="0"/>
              <w:jc w:val="center"/>
              <w:rPr>
                <w:rFonts w:ascii="Bookman Old Style" w:hAnsi="Bookman Old Style"/>
                <w:sz w:val="18"/>
                <w:szCs w:val="18"/>
              </w:rPr>
            </w:pPr>
            <w:r>
              <w:rPr>
                <w:rFonts w:ascii="Bookman Old Style" w:hAnsi="Bookman Old Style"/>
                <w:sz w:val="18"/>
                <w:szCs w:val="18"/>
              </w:rPr>
              <w:t>7.705</w:t>
            </w:r>
          </w:p>
        </w:tc>
      </w:tr>
      <w:tr w:rsidR="00CB0253" w:rsidRPr="00060097" w:rsidTr="00CB0253">
        <w:trPr>
          <w:trHeight w:val="443"/>
          <w:jc w:val="center"/>
        </w:trPr>
        <w:tc>
          <w:tcPr>
            <w:tcW w:w="1473" w:type="dxa"/>
            <w:vAlign w:val="center"/>
          </w:tcPr>
          <w:p w:rsidR="00CB0253" w:rsidRPr="00060097" w:rsidRDefault="00CB0253" w:rsidP="00CB025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100 Kg</w:t>
            </w:r>
          </w:p>
        </w:tc>
        <w:tc>
          <w:tcPr>
            <w:tcW w:w="1792" w:type="dxa"/>
            <w:vAlign w:val="center"/>
          </w:tcPr>
          <w:p w:rsidR="00CB0253" w:rsidRPr="00060097" w:rsidRDefault="00CB0253" w:rsidP="00CB0253">
            <w:pPr>
              <w:ind w:left="0"/>
              <w:jc w:val="center"/>
              <w:rPr>
                <w:rFonts w:ascii="Bookman Old Style" w:hAnsi="Bookman Old Style"/>
                <w:sz w:val="18"/>
                <w:szCs w:val="18"/>
              </w:rPr>
            </w:pPr>
            <w:r w:rsidRPr="00074962">
              <w:rPr>
                <w:rFonts w:ascii="Bookman Old Style" w:hAnsi="Bookman Old Style"/>
                <w:sz w:val="18"/>
              </w:rPr>
              <w:t>NR*</w:t>
            </w:r>
          </w:p>
        </w:tc>
      </w:tr>
      <w:tr w:rsidR="00CB0253" w:rsidRPr="00060097" w:rsidTr="00CB0253">
        <w:trPr>
          <w:trHeight w:val="443"/>
          <w:jc w:val="center"/>
        </w:trPr>
        <w:tc>
          <w:tcPr>
            <w:tcW w:w="1473" w:type="dxa"/>
            <w:vAlign w:val="center"/>
          </w:tcPr>
          <w:p w:rsidR="00CB0253" w:rsidRPr="00060097" w:rsidRDefault="00CB0253" w:rsidP="00CB025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Total general</w:t>
            </w:r>
          </w:p>
        </w:tc>
        <w:tc>
          <w:tcPr>
            <w:tcW w:w="1792" w:type="dxa"/>
            <w:vAlign w:val="center"/>
          </w:tcPr>
          <w:p w:rsidR="00CB0253" w:rsidRPr="00060097" w:rsidRDefault="00CB0253" w:rsidP="00CB0253">
            <w:pPr>
              <w:ind w:left="0"/>
              <w:jc w:val="center"/>
              <w:rPr>
                <w:rFonts w:ascii="Bookman Old Style" w:hAnsi="Bookman Old Style"/>
                <w:sz w:val="18"/>
                <w:szCs w:val="18"/>
              </w:rPr>
            </w:pPr>
            <w:r>
              <w:rPr>
                <w:rFonts w:ascii="Bookman Old Style" w:hAnsi="Bookman Old Style"/>
                <w:sz w:val="18"/>
                <w:szCs w:val="18"/>
              </w:rPr>
              <w:t>187.906</w:t>
            </w:r>
          </w:p>
        </w:tc>
      </w:tr>
      <w:tr w:rsidR="00CB0253" w:rsidRPr="00060097" w:rsidTr="00CB0253">
        <w:trPr>
          <w:trHeight w:val="443"/>
          <w:jc w:val="center"/>
        </w:trPr>
        <w:tc>
          <w:tcPr>
            <w:tcW w:w="1473" w:type="dxa"/>
            <w:vAlign w:val="center"/>
          </w:tcPr>
          <w:p w:rsidR="00CB0253" w:rsidRPr="007A4361" w:rsidRDefault="007A4361" w:rsidP="00CB0253">
            <w:pPr>
              <w:ind w:left="0"/>
              <w:jc w:val="center"/>
              <w:rPr>
                <w:rFonts w:ascii="Bookman Old Style" w:hAnsi="Bookman Old Style"/>
                <w:b/>
                <w:color w:val="000000"/>
                <w:sz w:val="18"/>
                <w:szCs w:val="18"/>
              </w:rPr>
            </w:pPr>
            <m:oMathPara>
              <m:oMath>
                <m:r>
                  <m:rPr>
                    <m:sty m:val="bi"/>
                  </m:rPr>
                  <w:rPr>
                    <w:rFonts w:ascii="Cambria Math" w:hAnsi="Cambria Math"/>
                    <w:color w:val="000000"/>
                    <w:sz w:val="18"/>
                    <w:szCs w:val="18"/>
                  </w:rPr>
                  <m:t>Cap.</m:t>
                </m:r>
                <m:sSub>
                  <m:sSubPr>
                    <m:ctrlPr>
                      <w:rPr>
                        <w:rFonts w:ascii="Cambria Math" w:hAnsi="Cambria Math"/>
                        <w:b/>
                        <w:i/>
                        <w:color w:val="000000"/>
                        <w:sz w:val="18"/>
                        <w:szCs w:val="18"/>
                        <w:lang w:eastAsia="es-CO"/>
                      </w:rPr>
                    </m:ctrlPr>
                  </m:sSubPr>
                  <m:e>
                    <m:r>
                      <m:rPr>
                        <m:sty m:val="bi"/>
                      </m:rPr>
                      <w:rPr>
                        <w:rFonts w:ascii="Cambria Math" w:hAnsi="Cambria Math"/>
                        <w:color w:val="000000"/>
                        <w:sz w:val="18"/>
                        <w:szCs w:val="18"/>
                      </w:rPr>
                      <m:t>2</m:t>
                    </m:r>
                  </m:e>
                  <m:sub>
                    <m:r>
                      <m:rPr>
                        <m:sty m:val="bi"/>
                      </m:rPr>
                      <w:rPr>
                        <w:rFonts w:ascii="Cambria Math" w:hAnsi="Cambria Math"/>
                        <w:color w:val="000000"/>
                        <w:sz w:val="18"/>
                        <w:szCs w:val="18"/>
                      </w:rPr>
                      <m:t>i,t</m:t>
                    </m:r>
                  </m:sub>
                </m:sSub>
                <m:r>
                  <m:rPr>
                    <m:sty m:val="bi"/>
                  </m:rPr>
                  <w:rPr>
                    <w:rFonts w:ascii="Cambria Math" w:hAnsi="Cambria Math"/>
                    <w:color w:val="000000"/>
                    <w:sz w:val="18"/>
                    <w:szCs w:val="18"/>
                  </w:rPr>
                  <m:t xml:space="preserve"> </m:t>
                </m:r>
              </m:oMath>
            </m:oMathPara>
          </w:p>
        </w:tc>
        <w:tc>
          <w:tcPr>
            <w:tcW w:w="1792" w:type="dxa"/>
            <w:vAlign w:val="center"/>
          </w:tcPr>
          <w:p w:rsidR="00CB0253" w:rsidRPr="00060097" w:rsidRDefault="00CB0253" w:rsidP="00CB0253">
            <w:pPr>
              <w:ind w:left="0"/>
              <w:jc w:val="center"/>
              <w:rPr>
                <w:rFonts w:ascii="Bookman Old Style" w:hAnsi="Bookman Old Style"/>
                <w:sz w:val="18"/>
                <w:szCs w:val="18"/>
              </w:rPr>
            </w:pPr>
            <w:r>
              <w:rPr>
                <w:rFonts w:ascii="Bookman Old Style" w:hAnsi="Bookman Old Style"/>
                <w:sz w:val="18"/>
                <w:szCs w:val="18"/>
              </w:rPr>
              <w:t>20.589.516</w:t>
            </w:r>
          </w:p>
        </w:tc>
      </w:tr>
    </w:tbl>
    <w:p w:rsidR="00CB0253" w:rsidRPr="00074962" w:rsidRDefault="00CB0253" w:rsidP="00CB0253">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CB0253" w:rsidRDefault="00CB0253" w:rsidP="00CB0253">
      <w:pPr>
        <w:jc w:val="center"/>
        <w:rPr>
          <w:rFonts w:ascii="Bookman Old Style" w:hAnsi="Bookman Old Style"/>
          <w:sz w:val="18"/>
        </w:rPr>
      </w:pPr>
    </w:p>
    <w:p w:rsidR="00CB0253" w:rsidRPr="00CB0253" w:rsidRDefault="00CB0253" w:rsidP="00CB0253">
      <w:pPr>
        <w:pStyle w:val="Prrafodelista"/>
        <w:numPr>
          <w:ilvl w:val="0"/>
          <w:numId w:val="46"/>
        </w:numPr>
        <w:contextualSpacing/>
        <w:jc w:val="both"/>
        <w:rPr>
          <w:rFonts w:ascii="Bookman Old Style" w:eastAsia="Calibri" w:hAnsi="Bookman Old Style"/>
          <w:sz w:val="24"/>
          <w:szCs w:val="24"/>
        </w:rPr>
      </w:pPr>
      <w:r>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CB0253">
        <w:rPr>
          <w:rFonts w:ascii="Bookman Old Style" w:hAnsi="Bookman Old Style"/>
          <w:iCs/>
          <w:sz w:val="24"/>
          <w:szCs w:val="24"/>
        </w:rPr>
        <w:t xml:space="preserve">, a continuación se muestra el conteo de cilindros por código de presentación para cada uno de los códigos SUI de las empresas. </w:t>
      </w:r>
    </w:p>
    <w:p w:rsidR="00CB0253" w:rsidRPr="0089470C" w:rsidRDefault="00CB0253" w:rsidP="00CB0253">
      <w:pPr>
        <w:pStyle w:val="Prrafodelista"/>
        <w:ind w:left="720"/>
        <w:jc w:val="both"/>
        <w:rPr>
          <w:rFonts w:ascii="Bookman Old Style" w:hAnsi="Bookman Old Style"/>
          <w:sz w:val="24"/>
          <w:szCs w:val="24"/>
        </w:rPr>
      </w:pPr>
    </w:p>
    <w:tbl>
      <w:tblPr>
        <w:tblW w:w="6040" w:type="dxa"/>
        <w:jc w:val="center"/>
        <w:tblCellMar>
          <w:left w:w="70" w:type="dxa"/>
          <w:right w:w="70" w:type="dxa"/>
        </w:tblCellMar>
        <w:tblLook w:val="04A0" w:firstRow="1" w:lastRow="0" w:firstColumn="1" w:lastColumn="0" w:noHBand="0" w:noVBand="1"/>
      </w:tblPr>
      <w:tblGrid>
        <w:gridCol w:w="1420"/>
        <w:gridCol w:w="1660"/>
        <w:gridCol w:w="1360"/>
        <w:gridCol w:w="1600"/>
      </w:tblGrid>
      <w:tr w:rsidR="00CB0253" w:rsidRPr="00074962" w:rsidTr="003B3A39">
        <w:trPr>
          <w:trHeight w:val="405"/>
          <w:tblHeader/>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253" w:rsidRPr="00074962" w:rsidRDefault="00CB0253" w:rsidP="003B3A39">
            <w:pPr>
              <w:ind w:left="67"/>
              <w:jc w:val="center"/>
              <w:rPr>
                <w:rFonts w:ascii="Bookman Old Style" w:hAnsi="Bookman Old Style"/>
                <w:color w:val="000000"/>
                <w:sz w:val="20"/>
                <w:szCs w:val="20"/>
                <w:lang w:eastAsia="es-CO"/>
              </w:rPr>
            </w:pPr>
            <w:r w:rsidRPr="00074962">
              <w:rPr>
                <w:rFonts w:ascii="Bookman Old Style" w:hAnsi="Bookman Old Style"/>
                <w:b/>
                <w:bCs/>
                <w:color w:val="000000"/>
                <w:sz w:val="20"/>
                <w:szCs w:val="20"/>
                <w:lang w:eastAsia="es-CO"/>
              </w:rPr>
              <w:t>Código SUI</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CB0253" w:rsidRPr="007A4361" w:rsidRDefault="007A4361" w:rsidP="003B3A39">
            <w:pPr>
              <w:ind w:left="67"/>
              <w:jc w:val="cente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1</m:t>
                    </m:r>
                  </m:e>
                  <m:sub>
                    <m:r>
                      <m:rPr>
                        <m:sty m:val="bi"/>
                      </m:rPr>
                      <w:rPr>
                        <w:rFonts w:ascii="Cambria Math" w:hAnsi="Cambria Math"/>
                        <w:color w:val="000000"/>
                        <w:sz w:val="20"/>
                        <w:szCs w:val="20"/>
                        <w:lang w:eastAsia="es-CO"/>
                      </w:rPr>
                      <m:t>i,t</m:t>
                    </m:r>
                  </m:sub>
                </m:sSub>
              </m:oMath>
            </m:oMathPara>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CB0253" w:rsidRPr="007A4361" w:rsidRDefault="007A4361" w:rsidP="003B3A39">
            <w:pPr>
              <w:ind w:left="67"/>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2</m:t>
                    </m:r>
                  </m:e>
                  <m:sub>
                    <m:r>
                      <m:rPr>
                        <m:sty m:val="bi"/>
                      </m:rPr>
                      <w:rPr>
                        <w:rFonts w:ascii="Cambria Math" w:hAnsi="Cambria Math"/>
                        <w:color w:val="000000"/>
                        <w:sz w:val="20"/>
                        <w:szCs w:val="20"/>
                        <w:lang w:eastAsia="es-CO"/>
                      </w:rPr>
                      <m:t>i,t</m:t>
                    </m:r>
                  </m:sub>
                </m:sSub>
              </m:oMath>
            </m:oMathPara>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CB0253" w:rsidRPr="007A4361" w:rsidRDefault="007A4361" w:rsidP="003B3A39">
            <w:pPr>
              <w:ind w:left="67"/>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r>
      <w:tr w:rsidR="003B3A39" w:rsidRPr="00074962" w:rsidTr="003B3A39">
        <w:trPr>
          <w:trHeight w:val="311"/>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3A39" w:rsidRPr="0093479E" w:rsidRDefault="003B3A39" w:rsidP="003B3A39">
            <w:pPr>
              <w:ind w:left="67"/>
              <w:jc w:val="center"/>
              <w:rPr>
                <w:rFonts w:ascii="Bookman Old Style" w:hAnsi="Bookman Old Style"/>
                <w:color w:val="000000"/>
                <w:sz w:val="18"/>
                <w:szCs w:val="20"/>
              </w:rPr>
            </w:pPr>
            <w:r>
              <w:rPr>
                <w:rFonts w:ascii="Bookman Old Style" w:hAnsi="Bookman Old Style"/>
                <w:color w:val="000000"/>
                <w:sz w:val="18"/>
                <w:szCs w:val="20"/>
              </w:rPr>
              <w:t>24869</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3B3A39" w:rsidRDefault="003B3A39" w:rsidP="003B3A39">
            <w:pPr>
              <w:ind w:left="67"/>
              <w:jc w:val="center"/>
              <w:rPr>
                <w:rFonts w:ascii="Bookman Old Style" w:hAnsi="Bookman Old Style"/>
                <w:color w:val="000000"/>
                <w:sz w:val="20"/>
                <w:szCs w:val="20"/>
                <w:lang w:val="es-CO" w:eastAsia="es-CO"/>
              </w:rPr>
            </w:pPr>
            <w:r>
              <w:rPr>
                <w:rFonts w:ascii="Bookman Old Style" w:hAnsi="Bookman Old Style"/>
                <w:color w:val="000000"/>
                <w:sz w:val="20"/>
                <w:szCs w:val="20"/>
              </w:rPr>
              <w:t>93.753.417</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3B3A39" w:rsidRDefault="003B3A39" w:rsidP="003B3A39">
            <w:pPr>
              <w:ind w:left="67"/>
              <w:jc w:val="center"/>
              <w:rPr>
                <w:rFonts w:ascii="Bookman Old Style" w:hAnsi="Bookman Old Style"/>
                <w:color w:val="000000"/>
                <w:sz w:val="20"/>
                <w:szCs w:val="20"/>
              </w:rPr>
            </w:pPr>
            <w:r>
              <w:rPr>
                <w:rFonts w:ascii="Bookman Old Style" w:hAnsi="Bookman Old Style"/>
                <w:color w:val="000000"/>
                <w:sz w:val="20"/>
                <w:szCs w:val="20"/>
              </w:rPr>
              <w:t>20.589.516</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3B3A39" w:rsidRDefault="003B3A39" w:rsidP="003B3A39">
            <w:pPr>
              <w:ind w:left="67"/>
              <w:jc w:val="center"/>
              <w:rPr>
                <w:rFonts w:ascii="Bookman Old Style" w:hAnsi="Bookman Old Style"/>
                <w:color w:val="000000"/>
                <w:sz w:val="20"/>
                <w:szCs w:val="20"/>
              </w:rPr>
            </w:pPr>
            <w:r>
              <w:rPr>
                <w:rFonts w:ascii="Bookman Old Style" w:hAnsi="Bookman Old Style"/>
                <w:color w:val="000000"/>
                <w:sz w:val="20"/>
                <w:szCs w:val="20"/>
              </w:rPr>
              <w:t>114.342.933</w:t>
            </w:r>
          </w:p>
        </w:tc>
      </w:tr>
    </w:tbl>
    <w:p w:rsidR="00376390" w:rsidRDefault="00376390" w:rsidP="00CB0253">
      <w:pPr>
        <w:jc w:val="center"/>
        <w:rPr>
          <w:rFonts w:ascii="Bookman Old Style" w:hAnsi="Bookman Old Style"/>
          <w:sz w:val="18"/>
        </w:rPr>
      </w:pPr>
    </w:p>
    <w:p w:rsidR="00CB0253" w:rsidRPr="00074962" w:rsidRDefault="00CB0253" w:rsidP="00CB0253">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CB0253" w:rsidRDefault="00CB0253" w:rsidP="00CB0253">
      <w:pPr>
        <w:rPr>
          <w:rFonts w:ascii="Bookman Old Style" w:hAnsi="Bookman Old Style"/>
        </w:rPr>
      </w:pPr>
    </w:p>
    <w:p w:rsidR="00CB0253" w:rsidRPr="004443F3" w:rsidRDefault="00CB0253" w:rsidP="00CB0253">
      <w:pPr>
        <w:pStyle w:val="Prrafodelista"/>
        <w:numPr>
          <w:ilvl w:val="0"/>
          <w:numId w:val="46"/>
        </w:numPr>
        <w:contextualSpacing/>
        <w:jc w:val="both"/>
        <w:rPr>
          <w:rFonts w:ascii="Bookman Old Style" w:hAnsi="Bookman Old Style"/>
          <w:sz w:val="24"/>
          <w:szCs w:val="24"/>
        </w:rPr>
      </w:pPr>
      <w:r w:rsidRPr="004443F3">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CB0253">
        <w:rPr>
          <w:rFonts w:ascii="Bookman Old Style" w:hAnsi="Bookman Old Style"/>
          <w:iCs/>
          <w:sz w:val="24"/>
          <w:szCs w:val="24"/>
        </w:rPr>
        <w:t xml:space="preserve">, a continuación se muestra el conteo de cilindros por código de presentación para cada uno de los códigos SUI de las empresas. </w:t>
      </w:r>
    </w:p>
    <w:tbl>
      <w:tblPr>
        <w:tblW w:w="6492" w:type="dxa"/>
        <w:jc w:val="center"/>
        <w:tblCellMar>
          <w:left w:w="70" w:type="dxa"/>
          <w:right w:w="70" w:type="dxa"/>
        </w:tblCellMar>
        <w:tblLook w:val="04A0" w:firstRow="1" w:lastRow="0" w:firstColumn="1" w:lastColumn="0" w:noHBand="0" w:noVBand="1"/>
      </w:tblPr>
      <w:tblGrid>
        <w:gridCol w:w="1266"/>
        <w:gridCol w:w="1640"/>
        <w:gridCol w:w="1882"/>
        <w:gridCol w:w="1704"/>
      </w:tblGrid>
      <w:tr w:rsidR="00CB0253" w:rsidRPr="0056639C" w:rsidTr="003B3A39">
        <w:trPr>
          <w:trHeight w:val="791"/>
          <w:jc w:val="center"/>
        </w:trPr>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253" w:rsidRPr="0056639C" w:rsidRDefault="00CB0253" w:rsidP="003B3A39">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Código SUI</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CB0253" w:rsidRPr="0056639C" w:rsidRDefault="00CB0253" w:rsidP="003B3A39">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Capacidad total (</w:t>
            </w:r>
            <w:proofErr w:type="spellStart"/>
            <w:r w:rsidRPr="0056639C">
              <w:rPr>
                <w:rFonts w:ascii="Bookman Old Style" w:hAnsi="Bookman Old Style"/>
                <w:b/>
                <w:bCs/>
                <w:color w:val="000000"/>
                <w:sz w:val="20"/>
                <w:szCs w:val="20"/>
                <w:lang w:eastAsia="es-CO"/>
              </w:rPr>
              <w:t>gl</w:t>
            </w:r>
            <w:proofErr w:type="spellEnd"/>
            <w:r w:rsidRPr="0056639C">
              <w:rPr>
                <w:rFonts w:ascii="Bookman Old Style" w:hAnsi="Bookman Old Style"/>
                <w:b/>
                <w:bCs/>
                <w:color w:val="000000"/>
                <w:sz w:val="20"/>
                <w:szCs w:val="20"/>
                <w:lang w:eastAsia="es-CO"/>
              </w:rPr>
              <w:t>)</w:t>
            </w:r>
            <w:r>
              <w:rPr>
                <w:rFonts w:ascii="Bookman Old Style" w:hAnsi="Bookman Old Style"/>
                <w:b/>
                <w:bCs/>
                <w:color w:val="000000"/>
                <w:sz w:val="20"/>
                <w:szCs w:val="20"/>
                <w:lang w:eastAsia="es-CO"/>
              </w:rPr>
              <w:t xml:space="preserve"> (</w:t>
            </w:r>
            <m:oMath>
              <m:nary>
                <m:naryPr>
                  <m:chr m:val="∑"/>
                  <m:limLoc m:val="undOvr"/>
                  <m:subHide m:val="1"/>
                  <m:supHide m:val="1"/>
                  <m:ctrlPr>
                    <w:rPr>
                      <w:rFonts w:ascii="Cambria Math" w:hAnsi="Cambria Math"/>
                      <w:b/>
                      <w:bCs/>
                      <w:i/>
                      <w:color w:val="000000"/>
                      <w:sz w:val="20"/>
                      <w:szCs w:val="20"/>
                      <w:lang w:eastAsia="es-CO"/>
                    </w:rPr>
                  </m:ctrlPr>
                </m:naryPr>
                <m:sub/>
                <m:sup/>
                <m:e>
                  <m:r>
                    <m:rPr>
                      <m:sty m:val="bi"/>
                    </m:rPr>
                    <w:rPr>
                      <w:rFonts w:ascii="Cambria Math" w:hAnsi="Cambria Math"/>
                      <w:color w:val="000000"/>
                      <w:sz w:val="20"/>
                      <w:szCs w:val="20"/>
                      <w:lang w:eastAsia="es-CO"/>
                    </w:rPr>
                    <m:t>CV*NT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e>
              </m:nary>
            </m:oMath>
            <w:r>
              <w:rPr>
                <w:rFonts w:ascii="Bookman Old Style" w:hAnsi="Bookman Old Style"/>
                <w:b/>
                <w:bCs/>
                <w:color w:val="000000"/>
                <w:sz w:val="20"/>
                <w:szCs w:val="20"/>
                <w:lang w:eastAsia="es-CO"/>
              </w:rPr>
              <w:t>)</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CB0253" w:rsidRPr="0056639C" w:rsidRDefault="00CB0253" w:rsidP="003B3A39">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Número tanques estacionarios</w:t>
            </w:r>
            <w:r>
              <w:rPr>
                <w:rFonts w:ascii="Bookman Old Style" w:hAnsi="Bookman Old Style"/>
                <w:b/>
                <w:bCs/>
                <w:color w:val="000000"/>
                <w:sz w:val="20"/>
                <w:szCs w:val="20"/>
                <w:lang w:eastAsia="es-CO"/>
              </w:rPr>
              <w:t xml:space="preserve"> (</w:t>
            </w:r>
            <m:oMath>
              <m:r>
                <m:rPr>
                  <m:sty m:val="bi"/>
                </m:rPr>
                <w:rPr>
                  <w:rFonts w:ascii="Cambria Math" w:hAnsi="Cambria Math"/>
                  <w:color w:val="000000"/>
                  <w:sz w:val="20"/>
                  <w:szCs w:val="20"/>
                  <w:lang w:eastAsia="es-CO"/>
                </w:rPr>
                <m:t>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oMath>
            <w:r>
              <w:rPr>
                <w:rFonts w:ascii="Bookman Old Style" w:hAnsi="Bookman Old Style"/>
                <w:b/>
                <w:bCs/>
                <w:color w:val="000000"/>
                <w:sz w:val="20"/>
                <w:szCs w:val="20"/>
                <w:lang w:eastAsia="es-CO"/>
              </w:rPr>
              <w:t>)</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CB0253" w:rsidRPr="0056639C" w:rsidRDefault="007A4361" w:rsidP="003B3A39">
            <w:pPr>
              <w:ind w:left="67"/>
              <w:jc w:val="center"/>
              <w:rPr>
                <w:rFonts w:ascii="Bookman Old Style" w:hAnsi="Bookman Old Style"/>
                <w:b/>
                <w:bCs/>
                <w:color w:val="000000"/>
                <w:sz w:val="20"/>
                <w:szCs w:val="20"/>
                <w:lang w:eastAsia="es-CO"/>
              </w:rPr>
            </w:pPr>
            <m:oMath>
              <m:r>
                <m:rPr>
                  <m:sty m:val="bi"/>
                </m:rPr>
                <w:rPr>
                  <w:rFonts w:ascii="Cambria Math" w:hAnsi="Cambria Math"/>
                </w:rPr>
                <m:t>Cap.</m:t>
              </m:r>
              <m:sSub>
                <m:sSubPr>
                  <m:ctrlPr>
                    <w:rPr>
                      <w:rFonts w:ascii="Cambria Math" w:hAnsi="Cambria Math"/>
                      <w:b/>
                      <w:i/>
                      <w:iCs/>
                    </w:rPr>
                  </m:ctrlPr>
                </m:sSubPr>
                <m:e>
                  <m:r>
                    <m:rPr>
                      <m:sty m:val="bi"/>
                    </m:rPr>
                    <w:rPr>
                      <w:rFonts w:ascii="Cambria Math" w:hAnsi="Cambria Math"/>
                    </w:rPr>
                    <m:t>TE</m:t>
                  </m:r>
                </m:e>
                <m:sub>
                  <m:r>
                    <m:rPr>
                      <m:sty m:val="bi"/>
                    </m:rPr>
                    <w:rPr>
                      <w:rFonts w:ascii="Cambria Math" w:hAnsi="Cambria Math"/>
                    </w:rPr>
                    <m:t>i,t</m:t>
                  </m:r>
                </m:sub>
              </m:sSub>
            </m:oMath>
            <w:r w:rsidR="00CB0253" w:rsidRPr="0056639C">
              <w:rPr>
                <w:rFonts w:ascii="Bookman Old Style" w:hAnsi="Bookman Old Style"/>
                <w:b/>
                <w:bCs/>
                <w:color w:val="000000"/>
                <w:sz w:val="20"/>
                <w:szCs w:val="20"/>
                <w:lang w:eastAsia="es-CO"/>
              </w:rPr>
              <w:t> </w:t>
            </w:r>
          </w:p>
        </w:tc>
      </w:tr>
      <w:tr w:rsidR="003B3A39" w:rsidRPr="0056639C" w:rsidTr="003B3A39">
        <w:trPr>
          <w:trHeight w:val="300"/>
          <w:jc w:val="center"/>
        </w:trPr>
        <w:tc>
          <w:tcPr>
            <w:tcW w:w="1266" w:type="dxa"/>
            <w:tcBorders>
              <w:top w:val="nil"/>
              <w:left w:val="single" w:sz="4" w:space="0" w:color="auto"/>
              <w:bottom w:val="single" w:sz="4" w:space="0" w:color="auto"/>
              <w:right w:val="single" w:sz="4" w:space="0" w:color="auto"/>
            </w:tcBorders>
            <w:shd w:val="clear" w:color="auto" w:fill="auto"/>
            <w:noWrap/>
            <w:vAlign w:val="center"/>
          </w:tcPr>
          <w:p w:rsidR="003B3A39" w:rsidRPr="0093479E" w:rsidRDefault="003B3A39" w:rsidP="003B3A39">
            <w:pPr>
              <w:ind w:left="0"/>
              <w:jc w:val="center"/>
              <w:rPr>
                <w:rFonts w:ascii="Bookman Old Style" w:hAnsi="Bookman Old Style"/>
                <w:color w:val="000000"/>
                <w:sz w:val="18"/>
                <w:szCs w:val="20"/>
              </w:rPr>
            </w:pPr>
            <w:r>
              <w:rPr>
                <w:rFonts w:ascii="Bookman Old Style" w:hAnsi="Bookman Old Style"/>
                <w:color w:val="000000"/>
                <w:sz w:val="18"/>
                <w:szCs w:val="20"/>
              </w:rPr>
              <w:t>24869</w:t>
            </w:r>
          </w:p>
        </w:tc>
        <w:tc>
          <w:tcPr>
            <w:tcW w:w="1640" w:type="dxa"/>
            <w:tcBorders>
              <w:top w:val="nil"/>
              <w:left w:val="nil"/>
              <w:bottom w:val="single" w:sz="4" w:space="0" w:color="auto"/>
              <w:right w:val="single" w:sz="4" w:space="0" w:color="auto"/>
            </w:tcBorders>
            <w:shd w:val="clear" w:color="auto" w:fill="auto"/>
            <w:noWrap/>
            <w:vAlign w:val="center"/>
          </w:tcPr>
          <w:p w:rsidR="003B3A39" w:rsidRPr="003B3A39" w:rsidRDefault="003B3A39" w:rsidP="003B3A39">
            <w:pPr>
              <w:ind w:left="0"/>
              <w:jc w:val="center"/>
              <w:rPr>
                <w:rFonts w:ascii="Bookman Old Style" w:hAnsi="Bookman Old Style"/>
                <w:color w:val="000000"/>
                <w:sz w:val="18"/>
                <w:szCs w:val="18"/>
                <w:lang w:val="es-CO" w:eastAsia="es-CO"/>
              </w:rPr>
            </w:pPr>
            <w:r w:rsidRPr="003B3A39">
              <w:rPr>
                <w:rFonts w:ascii="Bookman Old Style" w:hAnsi="Bookman Old Style"/>
                <w:color w:val="000000"/>
                <w:sz w:val="18"/>
                <w:szCs w:val="18"/>
              </w:rPr>
              <w:t>733.542</w:t>
            </w:r>
          </w:p>
        </w:tc>
        <w:tc>
          <w:tcPr>
            <w:tcW w:w="1882" w:type="dxa"/>
            <w:tcBorders>
              <w:top w:val="nil"/>
              <w:left w:val="nil"/>
              <w:bottom w:val="single" w:sz="4" w:space="0" w:color="auto"/>
              <w:right w:val="single" w:sz="4" w:space="0" w:color="auto"/>
            </w:tcBorders>
            <w:shd w:val="clear" w:color="auto" w:fill="auto"/>
            <w:noWrap/>
            <w:vAlign w:val="center"/>
          </w:tcPr>
          <w:p w:rsidR="003B3A39" w:rsidRPr="003B3A39" w:rsidRDefault="003B3A39" w:rsidP="003B3A39">
            <w:pPr>
              <w:ind w:left="0"/>
              <w:jc w:val="center"/>
              <w:rPr>
                <w:rFonts w:ascii="Bookman Old Style" w:hAnsi="Bookman Old Style"/>
                <w:color w:val="000000"/>
                <w:sz w:val="18"/>
                <w:szCs w:val="18"/>
              </w:rPr>
            </w:pPr>
            <w:r w:rsidRPr="003B3A39">
              <w:rPr>
                <w:rFonts w:ascii="Bookman Old Style" w:hAnsi="Bookman Old Style"/>
                <w:color w:val="000000"/>
                <w:sz w:val="18"/>
                <w:szCs w:val="18"/>
              </w:rPr>
              <w:t>1.665</w:t>
            </w:r>
          </w:p>
        </w:tc>
        <w:tc>
          <w:tcPr>
            <w:tcW w:w="1704" w:type="dxa"/>
            <w:tcBorders>
              <w:top w:val="nil"/>
              <w:left w:val="nil"/>
              <w:bottom w:val="single" w:sz="4" w:space="0" w:color="auto"/>
              <w:right w:val="single" w:sz="4" w:space="0" w:color="auto"/>
            </w:tcBorders>
            <w:shd w:val="clear" w:color="auto" w:fill="auto"/>
            <w:noWrap/>
            <w:vAlign w:val="center"/>
          </w:tcPr>
          <w:p w:rsidR="003B3A39" w:rsidRPr="003B3A39" w:rsidRDefault="003B3A39" w:rsidP="003B3A39">
            <w:pPr>
              <w:ind w:left="0"/>
              <w:jc w:val="center"/>
              <w:rPr>
                <w:rFonts w:ascii="Bookman Old Style" w:hAnsi="Bookman Old Style"/>
                <w:color w:val="000000"/>
                <w:sz w:val="18"/>
                <w:szCs w:val="18"/>
              </w:rPr>
            </w:pPr>
            <w:r w:rsidRPr="003B3A39">
              <w:rPr>
                <w:rFonts w:ascii="Bookman Old Style" w:hAnsi="Bookman Old Style"/>
                <w:color w:val="000000"/>
                <w:sz w:val="18"/>
                <w:szCs w:val="18"/>
              </w:rPr>
              <w:t>9.242.629</w:t>
            </w:r>
          </w:p>
        </w:tc>
      </w:tr>
    </w:tbl>
    <w:p w:rsidR="00CB0253" w:rsidRDefault="00CB0253" w:rsidP="00CB0253">
      <w:pPr>
        <w:pStyle w:val="Prrafodelista"/>
        <w:jc w:val="both"/>
        <w:rPr>
          <w:rFonts w:ascii="Bookman Old Style" w:hAnsi="Bookman Old Style"/>
          <w:sz w:val="24"/>
          <w:szCs w:val="24"/>
        </w:rPr>
      </w:pPr>
    </w:p>
    <w:p w:rsidR="00CB0253" w:rsidRPr="004443F3" w:rsidRDefault="00CB0253" w:rsidP="00CB0253">
      <w:pPr>
        <w:pStyle w:val="Prrafodelista"/>
        <w:numPr>
          <w:ilvl w:val="0"/>
          <w:numId w:val="46"/>
        </w:numPr>
        <w:spacing w:after="200" w:line="276" w:lineRule="auto"/>
        <w:contextualSpacing/>
        <w:rPr>
          <w:rFonts w:ascii="Bookman Old Style" w:hAnsi="Bookman Old Style"/>
          <w:sz w:val="24"/>
          <w:szCs w:val="24"/>
        </w:rPr>
      </w:pPr>
      <w:r w:rsidRPr="004443F3">
        <w:rPr>
          <w:rFonts w:ascii="Bookman Old Style" w:hAnsi="Bookman Old Style"/>
          <w:sz w:val="24"/>
          <w:szCs w:val="24"/>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CB0253">
        <w:rPr>
          <w:rFonts w:ascii="Bookman Old Style" w:hAnsi="Bookman Old Style"/>
          <w:iCs/>
          <w:sz w:val="24"/>
          <w:szCs w:val="24"/>
        </w:rPr>
        <w:t xml:space="preserve">, a continuación se muestra el conteo de cilindros por código de presentación para cada uno de los códigos SUI de las empresas. </w:t>
      </w:r>
    </w:p>
    <w:p w:rsidR="00CB0253" w:rsidRDefault="00CB0253" w:rsidP="00CB0253">
      <w:pPr>
        <w:pStyle w:val="Prrafodelista"/>
        <w:ind w:left="0"/>
        <w:jc w:val="center"/>
        <w:rPr>
          <w:rFonts w:ascii="Bookman Old Style" w:hAnsi="Bookman Old Style"/>
          <w:sz w:val="18"/>
          <w:szCs w:val="24"/>
        </w:rPr>
      </w:pPr>
    </w:p>
    <w:tbl>
      <w:tblPr>
        <w:tblW w:w="6340" w:type="dxa"/>
        <w:jc w:val="center"/>
        <w:tblCellMar>
          <w:left w:w="70" w:type="dxa"/>
          <w:right w:w="70" w:type="dxa"/>
        </w:tblCellMar>
        <w:tblLook w:val="04A0" w:firstRow="1" w:lastRow="0" w:firstColumn="1" w:lastColumn="0" w:noHBand="0" w:noVBand="1"/>
      </w:tblPr>
      <w:tblGrid>
        <w:gridCol w:w="1420"/>
        <w:gridCol w:w="1700"/>
        <w:gridCol w:w="1704"/>
        <w:gridCol w:w="1516"/>
      </w:tblGrid>
      <w:tr w:rsidR="00CB0253" w:rsidRPr="000768E2" w:rsidTr="003B3A39">
        <w:trPr>
          <w:trHeight w:val="570"/>
          <w:tblHeader/>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253" w:rsidRPr="000768E2" w:rsidRDefault="00CB0253" w:rsidP="003B3A39">
            <w:pPr>
              <w:ind w:left="67"/>
              <w:jc w:val="center"/>
              <w:rPr>
                <w:rFonts w:ascii="Bookman Old Style" w:hAnsi="Bookman Old Style"/>
                <w:b/>
                <w:bCs/>
                <w:color w:val="000000"/>
                <w:sz w:val="20"/>
                <w:szCs w:val="20"/>
                <w:lang w:eastAsia="es-CO"/>
              </w:rPr>
            </w:pPr>
            <w:r w:rsidRPr="000768E2">
              <w:rPr>
                <w:rFonts w:ascii="Bookman Old Style" w:hAnsi="Bookman Old Style"/>
                <w:b/>
                <w:bCs/>
                <w:color w:val="000000"/>
                <w:sz w:val="20"/>
                <w:szCs w:val="20"/>
                <w:lang w:eastAsia="es-CO"/>
              </w:rPr>
              <w:t>Código SUI</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CB0253" w:rsidRPr="007A4361" w:rsidRDefault="007A4361" w:rsidP="003B3A39">
            <w:pPr>
              <w:ind w:left="67"/>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rsidR="00CB0253" w:rsidRPr="007A4361" w:rsidRDefault="007A4361" w:rsidP="003B3A39">
            <w:pPr>
              <w:ind w:left="67"/>
              <w:rPr>
                <w:rFonts w:ascii="Bookman Old Style" w:hAnsi="Bookman Old Style"/>
                <w:b/>
                <w:bCs/>
                <w:color w:val="000000"/>
                <w:sz w:val="20"/>
                <w:szCs w:val="20"/>
                <w:lang w:eastAsia="es-CO"/>
              </w:rPr>
            </w:pPr>
            <m:oMathPara>
              <m:oMath>
                <m:r>
                  <m:rPr>
                    <m:sty m:val="bi"/>
                  </m:rPr>
                  <w:rPr>
                    <w:rFonts w:ascii="Cambria Math" w:hAnsi="Cambria Math"/>
                    <w:sz w:val="20"/>
                    <w:szCs w:val="20"/>
                  </w:rPr>
                  <m:t>Cap.</m:t>
                </m:r>
                <m:sSub>
                  <m:sSubPr>
                    <m:ctrlPr>
                      <w:rPr>
                        <w:rFonts w:ascii="Cambria Math" w:hAnsi="Cambria Math"/>
                        <w:b/>
                        <w:i/>
                        <w:iCs/>
                        <w:sz w:val="20"/>
                        <w:szCs w:val="20"/>
                      </w:rPr>
                    </m:ctrlPr>
                  </m:sSubPr>
                  <m:e>
                    <m:r>
                      <m:rPr>
                        <m:sty m:val="bi"/>
                      </m:rPr>
                      <w:rPr>
                        <w:rFonts w:ascii="Cambria Math" w:hAnsi="Cambria Math"/>
                        <w:sz w:val="20"/>
                        <w:szCs w:val="20"/>
                      </w:rPr>
                      <m:t>TE</m:t>
                    </m:r>
                  </m:e>
                  <m:sub>
                    <m:r>
                      <m:rPr>
                        <m:sty m:val="bi"/>
                      </m:rPr>
                      <w:rPr>
                        <w:rFonts w:ascii="Cambria Math" w:hAnsi="Cambria Math"/>
                        <w:sz w:val="20"/>
                        <w:szCs w:val="20"/>
                      </w:rPr>
                      <m:t>i,t</m:t>
                    </m:r>
                  </m:sub>
                </m:sSub>
              </m:oMath>
            </m:oMathPara>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rsidR="00CB0253" w:rsidRPr="007A4361" w:rsidRDefault="007A4361" w:rsidP="003B3A39">
            <w:pPr>
              <w:ind w:left="67"/>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m:oMathPara>
          </w:p>
        </w:tc>
      </w:tr>
      <w:tr w:rsidR="003B3A39" w:rsidRPr="000768E2" w:rsidTr="003B3A39">
        <w:trPr>
          <w:trHeight w:val="22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3B3A39" w:rsidRPr="0093479E" w:rsidRDefault="003B3A39" w:rsidP="003B3A39">
            <w:pPr>
              <w:ind w:left="67"/>
              <w:jc w:val="center"/>
              <w:rPr>
                <w:rFonts w:ascii="Bookman Old Style" w:hAnsi="Bookman Old Style"/>
                <w:color w:val="000000"/>
                <w:sz w:val="18"/>
                <w:szCs w:val="20"/>
              </w:rPr>
            </w:pPr>
            <w:r>
              <w:rPr>
                <w:rFonts w:ascii="Bookman Old Style" w:hAnsi="Bookman Old Style"/>
                <w:color w:val="000000"/>
                <w:sz w:val="18"/>
                <w:szCs w:val="20"/>
              </w:rPr>
              <w:t>24869</w:t>
            </w:r>
          </w:p>
        </w:tc>
        <w:tc>
          <w:tcPr>
            <w:tcW w:w="1700" w:type="dxa"/>
            <w:tcBorders>
              <w:top w:val="nil"/>
              <w:left w:val="nil"/>
              <w:bottom w:val="single" w:sz="4" w:space="0" w:color="auto"/>
              <w:right w:val="single" w:sz="4" w:space="0" w:color="auto"/>
            </w:tcBorders>
            <w:shd w:val="clear" w:color="auto" w:fill="auto"/>
            <w:noWrap/>
            <w:vAlign w:val="center"/>
          </w:tcPr>
          <w:p w:rsidR="003B3A39" w:rsidRPr="003B3A39" w:rsidRDefault="003B3A39" w:rsidP="003B3A39">
            <w:pPr>
              <w:ind w:left="0"/>
              <w:jc w:val="right"/>
              <w:rPr>
                <w:rFonts w:ascii="Bookman Old Style" w:hAnsi="Bookman Old Style"/>
                <w:color w:val="000000"/>
                <w:sz w:val="18"/>
                <w:szCs w:val="18"/>
                <w:lang w:val="es-CO" w:eastAsia="es-CO"/>
              </w:rPr>
            </w:pPr>
            <w:r w:rsidRPr="003B3A39">
              <w:rPr>
                <w:rFonts w:ascii="Bookman Old Style" w:hAnsi="Bookman Old Style"/>
                <w:color w:val="000000"/>
                <w:sz w:val="18"/>
                <w:szCs w:val="18"/>
              </w:rPr>
              <w:t>114.342.933</w:t>
            </w:r>
          </w:p>
        </w:tc>
        <w:tc>
          <w:tcPr>
            <w:tcW w:w="1704" w:type="dxa"/>
            <w:tcBorders>
              <w:top w:val="nil"/>
              <w:left w:val="nil"/>
              <w:bottom w:val="single" w:sz="4" w:space="0" w:color="auto"/>
              <w:right w:val="single" w:sz="4" w:space="0" w:color="auto"/>
            </w:tcBorders>
            <w:shd w:val="clear" w:color="auto" w:fill="auto"/>
            <w:noWrap/>
            <w:vAlign w:val="center"/>
          </w:tcPr>
          <w:p w:rsidR="003B3A39" w:rsidRPr="003B3A39" w:rsidRDefault="003B3A39" w:rsidP="003B3A39">
            <w:pPr>
              <w:ind w:left="66"/>
              <w:jc w:val="right"/>
              <w:rPr>
                <w:rFonts w:ascii="Bookman Old Style" w:hAnsi="Bookman Old Style"/>
                <w:color w:val="000000"/>
                <w:sz w:val="18"/>
                <w:szCs w:val="18"/>
              </w:rPr>
            </w:pPr>
            <w:r w:rsidRPr="003B3A39">
              <w:rPr>
                <w:rFonts w:ascii="Bookman Old Style" w:hAnsi="Bookman Old Style"/>
                <w:color w:val="000000"/>
                <w:sz w:val="18"/>
                <w:szCs w:val="18"/>
              </w:rPr>
              <w:t>9.242.629</w:t>
            </w:r>
          </w:p>
        </w:tc>
        <w:tc>
          <w:tcPr>
            <w:tcW w:w="1516" w:type="dxa"/>
            <w:tcBorders>
              <w:top w:val="nil"/>
              <w:left w:val="nil"/>
              <w:bottom w:val="single" w:sz="4" w:space="0" w:color="auto"/>
              <w:right w:val="single" w:sz="4" w:space="0" w:color="auto"/>
            </w:tcBorders>
            <w:shd w:val="clear" w:color="auto" w:fill="auto"/>
            <w:noWrap/>
            <w:vAlign w:val="center"/>
          </w:tcPr>
          <w:p w:rsidR="003B3A39" w:rsidRPr="003B3A39" w:rsidRDefault="003B3A39" w:rsidP="003B3A39">
            <w:pPr>
              <w:ind w:left="0"/>
              <w:jc w:val="right"/>
              <w:rPr>
                <w:rFonts w:ascii="Bookman Old Style" w:hAnsi="Bookman Old Style"/>
                <w:color w:val="000000"/>
                <w:sz w:val="18"/>
                <w:szCs w:val="18"/>
              </w:rPr>
            </w:pPr>
            <w:r w:rsidRPr="003B3A39">
              <w:rPr>
                <w:rFonts w:ascii="Bookman Old Style" w:hAnsi="Bookman Old Style"/>
                <w:color w:val="000000"/>
                <w:sz w:val="18"/>
                <w:szCs w:val="18"/>
              </w:rPr>
              <w:t>37.881.742</w:t>
            </w:r>
          </w:p>
        </w:tc>
      </w:tr>
    </w:tbl>
    <w:p w:rsidR="00CB0253" w:rsidRPr="002B4873" w:rsidRDefault="00CB0253" w:rsidP="00CB0253">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7169E7" w:rsidRDefault="007169E7" w:rsidP="007169E7">
      <w:pPr>
        <w:pStyle w:val="Textoindependiente2"/>
        <w:spacing w:after="0" w:line="240" w:lineRule="auto"/>
        <w:ind w:left="-142" w:right="-142"/>
        <w:jc w:val="both"/>
        <w:rPr>
          <w:rFonts w:ascii="Bookman Old Style" w:hAnsi="Bookman Old Style"/>
          <w:szCs w:val="27"/>
        </w:rPr>
      </w:pPr>
    </w:p>
    <w:p w:rsidR="007169E7" w:rsidRDefault="007169E7" w:rsidP="007169E7">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lastRenderedPageBreak/>
        <w:t>Art</w:t>
      </w:r>
      <w:r w:rsidR="00692A55">
        <w:rPr>
          <w:rFonts w:ascii="Bookman Old Style" w:hAnsi="Bookman Old Style"/>
          <w:b/>
          <w:szCs w:val="27"/>
        </w:rPr>
        <w:t>ículo 4</w:t>
      </w:r>
      <w:r>
        <w:rPr>
          <w:rFonts w:ascii="Bookman Old Style" w:hAnsi="Bookman Old Style"/>
          <w:b/>
          <w:szCs w:val="27"/>
        </w:rPr>
        <w:t xml:space="preserve">. </w:t>
      </w:r>
      <w:r>
        <w:rPr>
          <w:rFonts w:ascii="Bookman Old Style" w:hAnsi="Bookman Old Style"/>
          <w:szCs w:val="27"/>
        </w:rPr>
        <w:t>La presente r</w:t>
      </w:r>
      <w:r w:rsidRPr="003E59E7">
        <w:rPr>
          <w:rFonts w:ascii="Bookman Old Style" w:hAnsi="Bookman Old Style"/>
          <w:szCs w:val="27"/>
        </w:rPr>
        <w:t xml:space="preserve">esolución deberá notificarse a la empresa </w:t>
      </w:r>
      <w:r w:rsidR="00692A55">
        <w:rPr>
          <w:rFonts w:ascii="Bookman Old Style" w:hAnsi="Bookman Old Style"/>
          <w:szCs w:val="27"/>
        </w:rPr>
        <w:t>Chilco Distribuidora de Gas y Energía</w:t>
      </w:r>
      <w:r>
        <w:rPr>
          <w:rFonts w:ascii="Bookman Old Style" w:hAnsi="Bookman Old Style"/>
          <w:szCs w:val="27"/>
        </w:rPr>
        <w:t xml:space="preserve"> S.A.</w:t>
      </w:r>
      <w:r w:rsidR="00692A55">
        <w:rPr>
          <w:rFonts w:ascii="Bookman Old Style" w:hAnsi="Bookman Old Style"/>
          <w:szCs w:val="27"/>
        </w:rPr>
        <w:t>S</w:t>
      </w:r>
      <w:r>
        <w:rPr>
          <w:rFonts w:ascii="Bookman Old Style" w:hAnsi="Bookman Old Style"/>
          <w:szCs w:val="27"/>
        </w:rPr>
        <w:t xml:space="preserve"> E.S.P. </w:t>
      </w:r>
      <w:r w:rsidRPr="00067308">
        <w:rPr>
          <w:rFonts w:ascii="Bookman Old Style" w:hAnsi="Bookman Old Style"/>
          <w:szCs w:val="27"/>
        </w:rPr>
        <w:t>Contra lo aquí dispuesto no procede recurso alguno por haber finalizado la actuación administrativa correspondiente a la presentación de recursos previsto en la Ley.</w:t>
      </w:r>
    </w:p>
    <w:p w:rsidR="007169E7" w:rsidRDefault="007169E7" w:rsidP="007169E7">
      <w:pPr>
        <w:tabs>
          <w:tab w:val="right" w:pos="9498"/>
        </w:tabs>
        <w:ind w:left="0" w:right="-142"/>
        <w:rPr>
          <w:rFonts w:ascii="Bookman Old Style" w:hAnsi="Bookman Old Style" w:cs="Arial"/>
          <w:sz w:val="22"/>
        </w:rPr>
      </w:pPr>
    </w:p>
    <w:p w:rsidR="007169E7" w:rsidRPr="003234E2" w:rsidRDefault="007169E7" w:rsidP="007169E7">
      <w:pPr>
        <w:tabs>
          <w:tab w:val="right" w:pos="9498"/>
        </w:tabs>
        <w:ind w:left="0" w:right="-142"/>
        <w:rPr>
          <w:rFonts w:ascii="Bookman Old Style" w:hAnsi="Bookman Old Style" w:cs="Arial"/>
          <w:sz w:val="22"/>
        </w:rPr>
      </w:pPr>
    </w:p>
    <w:p w:rsidR="007169E7" w:rsidRPr="005023D3" w:rsidRDefault="007169E7" w:rsidP="007169E7">
      <w:pPr>
        <w:ind w:left="-181"/>
        <w:jc w:val="center"/>
        <w:rPr>
          <w:rFonts w:ascii="Bookman Old Style" w:hAnsi="Bookman Old Style" w:cs="Arial"/>
          <w:b/>
        </w:rPr>
      </w:pPr>
      <w:r>
        <w:rPr>
          <w:rFonts w:ascii="Bookman Old Style" w:hAnsi="Bookman Old Style" w:cs="Arial"/>
          <w:b/>
        </w:rPr>
        <w:t xml:space="preserve">     NOTIFÍQUESE </w:t>
      </w:r>
      <w:r w:rsidRPr="005023D3">
        <w:rPr>
          <w:rFonts w:ascii="Bookman Old Style" w:hAnsi="Bookman Old Style" w:cs="Arial"/>
          <w:b/>
        </w:rPr>
        <w:t>Y CÚMPLASE,</w:t>
      </w:r>
    </w:p>
    <w:p w:rsidR="007169E7" w:rsidRPr="003234E2" w:rsidRDefault="007169E7" w:rsidP="007169E7">
      <w:pPr>
        <w:ind w:left="0"/>
        <w:rPr>
          <w:rFonts w:ascii="Bookman Old Style" w:hAnsi="Bookman Old Style" w:cs="Arial"/>
          <w:sz w:val="20"/>
          <w:szCs w:val="20"/>
        </w:rPr>
      </w:pPr>
    </w:p>
    <w:p w:rsidR="007169E7" w:rsidRPr="00BA698C" w:rsidRDefault="007169E7" w:rsidP="007169E7">
      <w:pPr>
        <w:ind w:left="0"/>
        <w:rPr>
          <w:rFonts w:ascii="Bookman Old Style" w:hAnsi="Bookman Old Style" w:cs="Arial"/>
          <w:szCs w:val="20"/>
        </w:rPr>
      </w:pPr>
      <w:r w:rsidRPr="005023D3">
        <w:rPr>
          <w:rFonts w:ascii="Bookman Old Style" w:hAnsi="Bookman Old Style" w:cs="Arial"/>
          <w:szCs w:val="20"/>
        </w:rPr>
        <w:t>Dada en Bogotá, D.C.</w:t>
      </w: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C75F93" w:rsidRPr="00A14C71" w:rsidTr="005D266B">
        <w:trPr>
          <w:tblCellSpacing w:w="0" w:type="dxa"/>
          <w:jc w:val="center"/>
        </w:trPr>
        <w:tc>
          <w:tcPr>
            <w:tcW w:w="5529" w:type="dxa"/>
            <w:hideMark/>
          </w:tcPr>
          <w:p w:rsidR="00C75F93" w:rsidRPr="00A14C71" w:rsidRDefault="00C75F93" w:rsidP="005D266B">
            <w:pPr>
              <w:ind w:left="0"/>
              <w:rPr>
                <w:rFonts w:ascii="Bookman Old Style" w:hAnsi="Bookman Old Style" w:cs="Arial"/>
                <w:b/>
                <w:spacing w:val="-3"/>
              </w:rPr>
            </w:pPr>
          </w:p>
          <w:p w:rsidR="00C75F93" w:rsidRPr="00A14C71" w:rsidRDefault="00C75F93" w:rsidP="005D266B">
            <w:pPr>
              <w:ind w:left="0"/>
              <w:rPr>
                <w:rFonts w:ascii="Bookman Old Style" w:hAnsi="Bookman Old Style" w:cs="Arial"/>
                <w:b/>
                <w:spacing w:val="-3"/>
              </w:rPr>
            </w:pPr>
          </w:p>
          <w:p w:rsidR="00C75F93" w:rsidRPr="00A14C71" w:rsidRDefault="00C75F93" w:rsidP="005D266B">
            <w:pPr>
              <w:ind w:left="0"/>
              <w:rPr>
                <w:rFonts w:ascii="Bookman Old Style" w:hAnsi="Bookman Old Style" w:cs="Arial"/>
                <w:b/>
                <w:spacing w:val="-3"/>
              </w:rPr>
            </w:pPr>
          </w:p>
          <w:p w:rsidR="00C75F93" w:rsidRPr="00A14C71" w:rsidRDefault="00C75F93" w:rsidP="005D266B">
            <w:pPr>
              <w:ind w:left="66"/>
              <w:jc w:val="center"/>
              <w:rPr>
                <w:rFonts w:ascii="Bookman Old Style" w:hAnsi="Bookman Old Style" w:cs="Arial"/>
                <w:b/>
                <w:spacing w:val="-3"/>
              </w:rPr>
            </w:pPr>
          </w:p>
          <w:p w:rsidR="00C75F93" w:rsidRPr="00A14C71" w:rsidRDefault="00C75F93"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C75F93" w:rsidRPr="00A14C71" w:rsidRDefault="00C75F93" w:rsidP="005D266B">
            <w:pPr>
              <w:ind w:left="89"/>
              <w:jc w:val="center"/>
              <w:rPr>
                <w:rFonts w:ascii="Bookman Old Style" w:hAnsi="Bookman Old Style" w:cs="Arial"/>
                <w:b/>
                <w:spacing w:val="-3"/>
              </w:rPr>
            </w:pPr>
          </w:p>
          <w:p w:rsidR="00C75F93" w:rsidRPr="00A14C71" w:rsidRDefault="00C75F93" w:rsidP="005D266B">
            <w:pPr>
              <w:ind w:left="89"/>
              <w:jc w:val="center"/>
              <w:rPr>
                <w:rFonts w:ascii="Bookman Old Style" w:hAnsi="Bookman Old Style" w:cs="Arial"/>
                <w:b/>
                <w:spacing w:val="-3"/>
              </w:rPr>
            </w:pPr>
          </w:p>
          <w:p w:rsidR="00C75F93" w:rsidRPr="00A14C71" w:rsidRDefault="00C75F93" w:rsidP="005D266B">
            <w:pPr>
              <w:ind w:left="89"/>
              <w:jc w:val="center"/>
              <w:rPr>
                <w:rFonts w:ascii="Bookman Old Style" w:hAnsi="Bookman Old Style" w:cs="Arial"/>
                <w:b/>
                <w:spacing w:val="-3"/>
              </w:rPr>
            </w:pPr>
          </w:p>
          <w:p w:rsidR="00C75F93" w:rsidRPr="00A14C71" w:rsidRDefault="00C75F93" w:rsidP="005D266B">
            <w:pPr>
              <w:ind w:left="89"/>
              <w:jc w:val="center"/>
              <w:rPr>
                <w:rFonts w:ascii="Bookman Old Style" w:hAnsi="Bookman Old Style" w:cs="Arial"/>
                <w:b/>
                <w:spacing w:val="-3"/>
              </w:rPr>
            </w:pPr>
          </w:p>
          <w:p w:rsidR="00C75F93" w:rsidRPr="00A14C71" w:rsidRDefault="00C75F93"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C75F93" w:rsidRPr="00A14C71" w:rsidTr="005D266B">
        <w:trPr>
          <w:tblCellSpacing w:w="0" w:type="dxa"/>
          <w:jc w:val="center"/>
        </w:trPr>
        <w:tc>
          <w:tcPr>
            <w:tcW w:w="5529" w:type="dxa"/>
            <w:hideMark/>
          </w:tcPr>
          <w:p w:rsidR="00C75F93" w:rsidRDefault="00C75F93"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376390" w:rsidRPr="00A14C71" w:rsidRDefault="00376390"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C75F93" w:rsidRPr="00A14C71" w:rsidRDefault="00C75F93"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C75F93" w:rsidRPr="00A14C71" w:rsidTr="005D266B">
        <w:trPr>
          <w:tblCellSpacing w:w="0" w:type="dxa"/>
          <w:jc w:val="center"/>
        </w:trPr>
        <w:tc>
          <w:tcPr>
            <w:tcW w:w="5529" w:type="dxa"/>
            <w:hideMark/>
          </w:tcPr>
          <w:p w:rsidR="00C75F93" w:rsidRPr="00A14C71" w:rsidRDefault="00C75F93"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C75F93" w:rsidRPr="00A14C71" w:rsidRDefault="00C75F93" w:rsidP="005D266B">
            <w:pPr>
              <w:ind w:left="0"/>
              <w:jc w:val="center"/>
              <w:rPr>
                <w:rFonts w:ascii="Bookman Old Style" w:eastAsia="Arial Unicode MS" w:hAnsi="Bookman Old Style" w:cs="Arial"/>
                <w:color w:val="000000"/>
              </w:rPr>
            </w:pPr>
          </w:p>
        </w:tc>
      </w:tr>
    </w:tbl>
    <w:p w:rsidR="007169E7" w:rsidRDefault="007169E7" w:rsidP="007169E7">
      <w:pPr>
        <w:ind w:left="0"/>
        <w:rPr>
          <w:rFonts w:ascii="Bookman Old Style" w:hAnsi="Bookman Old Style" w:cs="Arial"/>
          <w:sz w:val="22"/>
          <w:szCs w:val="20"/>
        </w:rPr>
      </w:pPr>
    </w:p>
    <w:p w:rsidR="007169E7" w:rsidRPr="00FE2D9D" w:rsidRDefault="007169E7" w:rsidP="007169E7">
      <w:pPr>
        <w:ind w:left="0"/>
        <w:rPr>
          <w:rFonts w:ascii="Bookman Old Style" w:hAnsi="Bookman Old Style" w:cs="Arial"/>
          <w:sz w:val="22"/>
          <w:szCs w:val="20"/>
        </w:rPr>
      </w:pPr>
    </w:p>
    <w:p w:rsidR="007169E7" w:rsidRDefault="007169E7" w:rsidP="007169E7">
      <w:pPr>
        <w:rPr>
          <w:rFonts w:ascii="Bookman Old Style" w:hAnsi="Bookman Old Style" w:cs="Arial"/>
          <w:szCs w:val="20"/>
        </w:rPr>
      </w:pPr>
    </w:p>
    <w:p w:rsidR="007169E7" w:rsidRDefault="007169E7" w:rsidP="007169E7">
      <w:pPr>
        <w:rPr>
          <w:rFonts w:ascii="Bookman Old Style" w:hAnsi="Bookman Old Style" w:cs="Arial"/>
          <w:szCs w:val="20"/>
        </w:rPr>
      </w:pPr>
    </w:p>
    <w:p w:rsidR="007169E7" w:rsidRPr="00FE2D9D" w:rsidRDefault="007169E7" w:rsidP="007169E7">
      <w:pPr>
        <w:rPr>
          <w:rFonts w:ascii="Bookman Old Style" w:hAnsi="Bookman Old Style" w:cs="Arial"/>
          <w:szCs w:val="20"/>
        </w:rPr>
      </w:pPr>
    </w:p>
    <w:p w:rsidR="007169E7" w:rsidRPr="003234E2" w:rsidRDefault="007169E7" w:rsidP="007169E7">
      <w:pPr>
        <w:ind w:left="0"/>
        <w:rPr>
          <w:sz w:val="20"/>
        </w:rPr>
      </w:pPr>
    </w:p>
    <w:p w:rsidR="00334A2B" w:rsidRDefault="00334A2B" w:rsidP="00F478B7">
      <w:pPr>
        <w:pStyle w:val="Textoindependiente2"/>
        <w:spacing w:after="0" w:line="240" w:lineRule="auto"/>
        <w:ind w:left="0" w:right="-142"/>
        <w:jc w:val="both"/>
        <w:rPr>
          <w:rFonts w:ascii="Bookman Old Style" w:hAnsi="Bookman Old Style"/>
          <w:szCs w:val="27"/>
        </w:rPr>
      </w:pPr>
    </w:p>
    <w:sectPr w:rsidR="00334A2B" w:rsidSect="00D549B1">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B58" w:rsidRDefault="00FD6B58">
      <w:r>
        <w:separator/>
      </w:r>
    </w:p>
  </w:endnote>
  <w:endnote w:type="continuationSeparator" w:id="0">
    <w:p w:rsidR="00FD6B58" w:rsidRDefault="00FD6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B58" w:rsidRDefault="00FD6B58">
      <w:r>
        <w:separator/>
      </w:r>
    </w:p>
  </w:footnote>
  <w:footnote w:type="continuationSeparator" w:id="0">
    <w:p w:rsidR="00FD6B58" w:rsidRDefault="00FD6B58">
      <w:r>
        <w:continuationSeparator/>
      </w:r>
    </w:p>
  </w:footnote>
  <w:footnote w:id="1">
    <w:p w:rsidR="002A3EB4" w:rsidRPr="00EC3BB2" w:rsidRDefault="002A3EB4"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2A3EB4" w:rsidRPr="00BD1622" w:rsidRDefault="002A3EB4"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2A3EB4" w:rsidRPr="00FC2C01" w:rsidRDefault="002A3EB4" w:rsidP="00BA05D2">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sidRPr="00FC2C01">
        <w:rPr>
          <w:rFonts w:ascii="Bookman Old Style" w:hAnsi="Bookman Old Style" w:cs="Arial"/>
          <w:sz w:val="16"/>
          <w:szCs w:val="16"/>
        </w:rPr>
        <w:t>Artículo  67. Notificación personal. Las decisiones que pongan término a una actuación administrativa se notificarán personalmente al interesado, a su representante o apoderado, o a la persona debidamente autorizada por el interesado para notificarse.</w:t>
      </w:r>
    </w:p>
    <w:p w:rsidR="002A3EB4" w:rsidRPr="00FC2C01" w:rsidRDefault="002A3EB4" w:rsidP="00BA05D2">
      <w:pPr>
        <w:pStyle w:val="Textonotapie"/>
        <w:jc w:val="both"/>
        <w:rPr>
          <w:rFonts w:ascii="Bookman Old Style" w:hAnsi="Bookman Old Style" w:cs="Arial"/>
          <w:sz w:val="16"/>
          <w:szCs w:val="16"/>
        </w:rPr>
      </w:pPr>
    </w:p>
    <w:p w:rsidR="002A3EB4" w:rsidRPr="00CD67E2" w:rsidRDefault="002A3EB4" w:rsidP="00BA05D2">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footnote>
  <w:footnote w:id="4">
    <w:p w:rsidR="002A3EB4" w:rsidRPr="00FA7CDB" w:rsidRDefault="002A3EB4" w:rsidP="00CD67E2">
      <w:pPr>
        <w:pStyle w:val="Textonotapie"/>
        <w:jc w:val="both"/>
        <w:rPr>
          <w:rFonts w:ascii="Bookman Old Style" w:hAnsi="Bookman Old Style" w:cs="Arial"/>
          <w:sz w:val="16"/>
          <w:szCs w:val="16"/>
        </w:rPr>
      </w:pPr>
    </w:p>
    <w:p w:rsidR="002A3EB4" w:rsidRPr="00FA7CDB" w:rsidRDefault="002A3EB4"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2A3EB4" w:rsidRPr="00FA7CDB" w:rsidRDefault="002A3EB4"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2A3EB4" w:rsidRPr="00FA7CDB" w:rsidRDefault="002A3EB4"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2A3EB4" w:rsidRPr="00FA7CDB" w:rsidRDefault="002A3EB4"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2A3EB4" w:rsidRDefault="002A3EB4"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5">
    <w:p w:rsidR="002A3EB4" w:rsidRPr="00FB2E5A" w:rsidRDefault="002A3EB4" w:rsidP="00521029">
      <w:pPr>
        <w:pStyle w:val="Textonotapie"/>
        <w:jc w:val="both"/>
        <w:rPr>
          <w:rFonts w:ascii="Bookman Old Style" w:hAnsi="Bookman Old Style"/>
          <w:sz w:val="16"/>
          <w:szCs w:val="16"/>
        </w:rPr>
      </w:pPr>
      <w:r w:rsidRPr="00FB2E5A">
        <w:rPr>
          <w:rStyle w:val="Refdenotaalpie"/>
          <w:rFonts w:ascii="Bookman Old Style" w:hAnsi="Bookman Old Style"/>
          <w:sz w:val="16"/>
          <w:szCs w:val="16"/>
        </w:rPr>
        <w:footnoteRef/>
      </w:r>
      <w:r w:rsidRPr="00FB2E5A">
        <w:rPr>
          <w:rFonts w:ascii="Bookman Old Style" w:hAnsi="Bookman Old Style"/>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FB2E5A">
        <w:rPr>
          <w:rFonts w:ascii="Bookman Old Style" w:hAnsi="Bookman Old Style"/>
        </w:rPr>
        <w:t xml:space="preserve"> </w:t>
      </w:r>
      <w:r w:rsidRPr="00FB2E5A">
        <w:rPr>
          <w:rFonts w:ascii="Bookman Old Style" w:hAnsi="Bookman Old Style"/>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6">
    <w:p w:rsidR="002A3EB4" w:rsidRPr="00965DF7" w:rsidRDefault="002A3EB4" w:rsidP="00965DF7">
      <w:pPr>
        <w:pStyle w:val="Textonotapie"/>
        <w:jc w:val="both"/>
        <w:rPr>
          <w:rFonts w:ascii="Bookman Old Style" w:hAnsi="Bookman Old Style" w:cs="Arial"/>
          <w:sz w:val="16"/>
          <w:szCs w:val="16"/>
        </w:rPr>
      </w:pPr>
      <w:r w:rsidRPr="00965DF7">
        <w:rPr>
          <w:rFonts w:ascii="Bookman Old Style" w:hAnsi="Bookman Old Style" w:cs="Arial"/>
          <w:sz w:val="16"/>
          <w:szCs w:val="16"/>
        </w:rPr>
        <w:footnoteRef/>
      </w:r>
      <w:r w:rsidRPr="00965DF7">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 w:id="7">
    <w:p w:rsidR="002A3EB4" w:rsidRPr="0036643C" w:rsidRDefault="002A3EB4" w:rsidP="00965DF7">
      <w:pPr>
        <w:pStyle w:val="Textonotapie"/>
        <w:jc w:val="both"/>
        <w:rPr>
          <w:rFonts w:ascii="Bookman Old Style" w:hAnsi="Bookman Old Style"/>
          <w:sz w:val="16"/>
          <w:szCs w:val="16"/>
        </w:rPr>
      </w:pPr>
      <w:r w:rsidRPr="0036643C">
        <w:rPr>
          <w:rStyle w:val="Refdenotaalpie"/>
          <w:rFonts w:ascii="Bookman Old Style" w:hAnsi="Bookman Old Style"/>
          <w:sz w:val="16"/>
          <w:szCs w:val="16"/>
        </w:rPr>
        <w:footnoteRef/>
      </w:r>
      <w:r w:rsidRPr="0036643C">
        <w:rPr>
          <w:rFonts w:ascii="Bookman Old Style" w:hAnsi="Bookman Old Style"/>
          <w:sz w:val="16"/>
          <w:szCs w:val="16"/>
        </w:rPr>
        <w:t xml:space="preserve"> Atendiendo el análisis expuesto por esta Comisión en el la sección 3 del documento 143 de 2015 así como el ANEXO 1 del presente documento.</w:t>
      </w:r>
    </w:p>
  </w:footnote>
  <w:footnote w:id="8">
    <w:p w:rsidR="002A3EB4" w:rsidRPr="00137978" w:rsidRDefault="002A3EB4" w:rsidP="00965DF7">
      <w:pPr>
        <w:pStyle w:val="Textonotapie"/>
        <w:jc w:val="both"/>
      </w:pPr>
      <w:r w:rsidRPr="00137978">
        <w:rPr>
          <w:rFonts w:ascii="Bookman Old Style" w:hAnsi="Bookman Old Style" w:cs="Arial"/>
          <w:sz w:val="16"/>
          <w:szCs w:val="16"/>
        </w:rPr>
        <w:footnoteRef/>
      </w:r>
      <w:r w:rsidRPr="00137978">
        <w:rPr>
          <w:rFonts w:ascii="Bookman Old Style" w:hAnsi="Bookman Old Style" w:cs="Arial"/>
          <w:sz w:val="16"/>
          <w:szCs w:val="16"/>
        </w:rPr>
        <w:t xml:space="preserve"> Se debe precisar que estas disposiciones se encuentran recogidas actualmente en los numerales 2.2.</w:t>
      </w:r>
      <w:r>
        <w:rPr>
          <w:rFonts w:ascii="Bookman Old Style" w:hAnsi="Bookman Old Style" w:cs="Arial"/>
          <w:sz w:val="16"/>
          <w:szCs w:val="16"/>
        </w:rPr>
        <w:t>30</w:t>
      </w:r>
      <w:r w:rsidRPr="00137978">
        <w:rPr>
          <w:rFonts w:ascii="Bookman Old Style" w:hAnsi="Bookman Old Style" w:cs="Arial"/>
          <w:sz w:val="16"/>
          <w:szCs w:val="16"/>
        </w:rPr>
        <w:t>.1 y siguientes del Decreto 1078 de 2015.</w:t>
      </w:r>
    </w:p>
  </w:footnote>
  <w:footnote w:id="9">
    <w:p w:rsidR="002A3EB4" w:rsidRPr="00241587" w:rsidRDefault="002A3EB4" w:rsidP="00965DF7">
      <w:pPr>
        <w:pStyle w:val="Textonotapie"/>
        <w:jc w:val="both"/>
        <w:rPr>
          <w:rFonts w:ascii="Bookman Old Style" w:hAnsi="Bookman Old Style"/>
        </w:rPr>
      </w:pPr>
      <w:r w:rsidRPr="00241587">
        <w:rPr>
          <w:rFonts w:ascii="Bookman Old Style" w:hAnsi="Bookman Old Style" w:cs="Arial"/>
          <w:sz w:val="16"/>
          <w:szCs w:val="16"/>
        </w:rPr>
        <w:footnoteRef/>
      </w:r>
      <w:r w:rsidRPr="00241587">
        <w:rPr>
          <w:rFonts w:ascii="Bookman Old Style" w:hAnsi="Bookman Old Style" w:cs="Arial"/>
          <w:sz w:val="16"/>
          <w:szCs w:val="16"/>
        </w:rPr>
        <w:t xml:space="preserve"> Se debe precisar que estas disposiciones se encuentran recogidas actualmente en los numerales 2.2.30.1 y siguientes del Decreto 1078 de 2015.</w:t>
      </w:r>
    </w:p>
  </w:footnote>
  <w:footnote w:id="10">
    <w:p w:rsidR="002A3EB4" w:rsidRPr="007A2D47" w:rsidRDefault="002A3EB4" w:rsidP="00965DF7">
      <w:pPr>
        <w:pStyle w:val="Textonotapie"/>
        <w:jc w:val="both"/>
        <w:rPr>
          <w:rFonts w:ascii="Arial" w:hAnsi="Arial" w:cs="Arial"/>
          <w:sz w:val="16"/>
          <w:szCs w:val="16"/>
        </w:rPr>
      </w:pPr>
      <w:r w:rsidRPr="00241587">
        <w:rPr>
          <w:rStyle w:val="Refdenotaalpie"/>
          <w:rFonts w:ascii="Bookman Old Style" w:hAnsi="Bookman Old Style" w:cs="Arial"/>
          <w:sz w:val="16"/>
          <w:szCs w:val="16"/>
        </w:rPr>
        <w:footnoteRef/>
      </w:r>
      <w:r w:rsidRPr="00241587">
        <w:rPr>
          <w:rFonts w:ascii="Bookman Old Style" w:hAnsi="Bookman Old Style" w:cs="Arial"/>
          <w:sz w:val="16"/>
          <w:szCs w:val="16"/>
        </w:rPr>
        <w:t xml:space="preserve"> Consejo de Estado, Sala de Consulta y Servicio Civil, Concepto radicación interna 2138, Consejero Ponente, William Zambrano Cetina.</w:t>
      </w:r>
    </w:p>
  </w:footnote>
  <w:footnote w:id="11">
    <w:p w:rsidR="002A3EB4" w:rsidRPr="00241587" w:rsidRDefault="002A3EB4" w:rsidP="00965DF7">
      <w:pPr>
        <w:pStyle w:val="Textonotapie"/>
        <w:jc w:val="both"/>
        <w:rPr>
          <w:rFonts w:ascii="Bookman Old Style" w:hAnsi="Bookman Old Style"/>
        </w:rPr>
      </w:pPr>
      <w:r w:rsidRPr="00241587">
        <w:rPr>
          <w:rFonts w:ascii="Bookman Old Style" w:hAnsi="Bookman Old Style" w:cs="Arial"/>
          <w:sz w:val="16"/>
          <w:szCs w:val="16"/>
        </w:rPr>
        <w:footnoteRef/>
      </w:r>
      <w:r w:rsidRPr="00241587">
        <w:rPr>
          <w:rFonts w:ascii="Bookman Old Style" w:hAnsi="Bookman Old Style" w:cs="Arial"/>
          <w:sz w:val="16"/>
          <w:szCs w:val="16"/>
        </w:rPr>
        <w:t xml:space="preserve"> Consejo de Estado, Sala de Consulta y Servicio Civil, Concepto radicación interna 2138, Consejero Ponente, William Zambrano Cetina.</w:t>
      </w:r>
    </w:p>
  </w:footnote>
  <w:footnote w:id="12">
    <w:p w:rsidR="002A3EB4" w:rsidRPr="005B27D9" w:rsidRDefault="002A3EB4" w:rsidP="00334A2B">
      <w:pPr>
        <w:pStyle w:val="Textonotapie"/>
        <w:jc w:val="both"/>
        <w:rPr>
          <w:rFonts w:ascii="Bookman Old Style" w:hAnsi="Bookman Old Style" w:cs="Arial"/>
          <w:sz w:val="16"/>
          <w:szCs w:val="16"/>
        </w:rPr>
      </w:pPr>
      <w:r w:rsidRPr="005B27D9">
        <w:rPr>
          <w:rStyle w:val="Refdenotaalpie"/>
          <w:rFonts w:ascii="Bookman Old Style" w:hAnsi="Bookman Old Style" w:cs="Arial"/>
          <w:sz w:val="16"/>
          <w:szCs w:val="16"/>
        </w:rPr>
        <w:footnoteRef/>
      </w:r>
      <w:r w:rsidRPr="005B27D9">
        <w:rPr>
          <w:rFonts w:ascii="Bookman Old Style" w:hAnsi="Bookman Old Style" w:cs="Arial"/>
          <w:sz w:val="16"/>
          <w:szCs w:val="16"/>
        </w:rPr>
        <w:t xml:space="preserve"> Que un cilindro rota cada dos meses indica que el usuario requiere comprar GLP cada dos meses para suplir su consumo.</w:t>
      </w:r>
    </w:p>
  </w:footnote>
  <w:footnote w:id="13">
    <w:p w:rsidR="002A3EB4" w:rsidRPr="005B27D9" w:rsidRDefault="002A3EB4" w:rsidP="00334A2B">
      <w:pPr>
        <w:pStyle w:val="Textonotapie"/>
        <w:jc w:val="both"/>
        <w:rPr>
          <w:rFonts w:ascii="Bookman Old Style" w:hAnsi="Bookman Old Style" w:cs="Arial"/>
          <w:sz w:val="16"/>
          <w:szCs w:val="16"/>
        </w:rPr>
      </w:pPr>
      <w:r w:rsidRPr="005B27D9">
        <w:rPr>
          <w:rStyle w:val="Refdenotaalpie"/>
          <w:rFonts w:ascii="Bookman Old Style" w:hAnsi="Bookman Old Style" w:cs="Arial"/>
          <w:sz w:val="16"/>
          <w:szCs w:val="16"/>
        </w:rPr>
        <w:footnoteRef/>
      </w:r>
      <w:r w:rsidRPr="005B27D9">
        <w:rPr>
          <w:rFonts w:ascii="Bookman Old Style" w:hAnsi="Bookman Old Style" w:cs="Arial"/>
          <w:sz w:val="16"/>
          <w:szCs w:val="16"/>
        </w:rPr>
        <w:t xml:space="preserve"> Un usuario residencial que demanda cilindros de cuarenta libras podría comprar GLP cada dos meses. </w:t>
      </w:r>
    </w:p>
  </w:footnote>
  <w:footnote w:id="14">
    <w:p w:rsidR="002A3EB4" w:rsidRPr="005B27D9" w:rsidRDefault="002A3EB4" w:rsidP="00334A2B">
      <w:pPr>
        <w:pStyle w:val="Textonotapie"/>
        <w:jc w:val="both"/>
        <w:rPr>
          <w:rFonts w:ascii="Bookman Old Style" w:hAnsi="Bookman Old Style" w:cs="Arial"/>
          <w:sz w:val="16"/>
          <w:szCs w:val="16"/>
        </w:rPr>
      </w:pPr>
      <w:r w:rsidRPr="005B27D9">
        <w:rPr>
          <w:rStyle w:val="Refdenotaalpie"/>
          <w:rFonts w:ascii="Bookman Old Style" w:hAnsi="Bookman Old Style" w:cs="Arial"/>
          <w:sz w:val="16"/>
          <w:szCs w:val="16"/>
        </w:rPr>
        <w:footnoteRef/>
      </w:r>
      <w:r w:rsidRPr="005B27D9">
        <w:rPr>
          <w:rFonts w:ascii="Bookman Old Style" w:hAnsi="Bookman Old Style" w:cs="Arial"/>
          <w:sz w:val="16"/>
          <w:szCs w:val="16"/>
        </w:rPr>
        <w:t xml:space="preserve"> Los datos del SUI muestra que muchos de los distribuidores no registran sus inversiones en estos activos. En muchos casos, el nivel de </w:t>
      </w:r>
      <w:proofErr w:type="spellStart"/>
      <w:r w:rsidRPr="005B27D9">
        <w:rPr>
          <w:rFonts w:ascii="Bookman Old Style" w:hAnsi="Bookman Old Style" w:cs="Arial"/>
          <w:sz w:val="16"/>
          <w:szCs w:val="16"/>
        </w:rPr>
        <w:t>subregistro</w:t>
      </w:r>
      <w:proofErr w:type="spellEnd"/>
      <w:r w:rsidRPr="005B27D9">
        <w:rPr>
          <w:rFonts w:ascii="Bookman Old Style" w:hAnsi="Bookman Old Style" w:cs="Arial"/>
          <w:sz w:val="16"/>
          <w:szCs w:val="16"/>
        </w:rPr>
        <w:t xml:space="preserve"> es tal que la relación estimada es significativamente superior a uno.</w:t>
      </w:r>
    </w:p>
  </w:footnote>
  <w:footnote w:id="15">
    <w:p w:rsidR="002A3EB4" w:rsidRPr="009D437F" w:rsidRDefault="002A3EB4" w:rsidP="00334A2B">
      <w:pPr>
        <w:pStyle w:val="Textonotapie"/>
        <w:jc w:val="both"/>
        <w:rPr>
          <w:rFonts w:ascii="Arial" w:hAnsi="Arial" w:cs="Arial"/>
          <w:sz w:val="18"/>
          <w:szCs w:val="18"/>
        </w:rPr>
      </w:pPr>
      <w:r w:rsidRPr="005B27D9">
        <w:rPr>
          <w:rStyle w:val="Refdenotaalpie"/>
          <w:rFonts w:ascii="Bookman Old Style" w:hAnsi="Bookman Old Style" w:cs="Arial"/>
          <w:sz w:val="16"/>
          <w:szCs w:val="16"/>
        </w:rPr>
        <w:footnoteRef/>
      </w:r>
      <w:r w:rsidRPr="005B27D9">
        <w:rPr>
          <w:rFonts w:ascii="Bookman Old Style" w:hAnsi="Bookman Old Style" w:cs="Arial"/>
          <w:sz w:val="16"/>
          <w:szCs w:val="16"/>
        </w:rPr>
        <w:t xml:space="preserve"> Para cada año se calcula la relación ventas e inversión de cada distribuidor y se filtra para aquellos que la relación definida en esta sección se cumple. Luego, se obtiene la relación promedio para cada distribuidor con la cual se construye el histograma.</w:t>
      </w:r>
    </w:p>
  </w:footnote>
  <w:footnote w:id="16">
    <w:p w:rsidR="002A3EB4" w:rsidRPr="00AD2158" w:rsidRDefault="002A3EB4" w:rsidP="00AD2158">
      <w:pPr>
        <w:pStyle w:val="Textonotapie"/>
        <w:jc w:val="both"/>
        <w:rPr>
          <w:rFonts w:ascii="Bookman Old Style" w:hAnsi="Bookman Old Style"/>
          <w:sz w:val="16"/>
          <w:szCs w:val="16"/>
        </w:rPr>
      </w:pPr>
      <w:r w:rsidRPr="00AD2158">
        <w:rPr>
          <w:rStyle w:val="Refdenotaalpie"/>
          <w:rFonts w:ascii="Bookman Old Style" w:hAnsi="Bookman Old Style"/>
          <w:sz w:val="16"/>
          <w:szCs w:val="16"/>
        </w:rPr>
        <w:footnoteRef/>
      </w:r>
      <w:r w:rsidRPr="00AD2158">
        <w:rPr>
          <w:rFonts w:ascii="Bookman Old Style" w:hAnsi="Bookman Old Style"/>
          <w:sz w:val="16"/>
          <w:szCs w:val="16"/>
        </w:rPr>
        <w:t xml:space="preserve"> Resoluciones CREG 075 y 089 de 2016, así como en los actos administrativos que resuelvan los recursos de reposición interpuestos contra estos actos administrativos.</w:t>
      </w:r>
    </w:p>
  </w:footnote>
  <w:footnote w:id="17">
    <w:p w:rsidR="002A3EB4" w:rsidRPr="00BB7AEA" w:rsidRDefault="002A3EB4" w:rsidP="007169E7">
      <w:pPr>
        <w:pStyle w:val="Textonotapie"/>
        <w:jc w:val="both"/>
        <w:rPr>
          <w:rFonts w:ascii="Bookman Old Style" w:hAnsi="Bookman Old Style"/>
          <w:sz w:val="16"/>
          <w:szCs w:val="16"/>
        </w:rPr>
      </w:pPr>
      <w:r w:rsidRPr="00BB7AEA">
        <w:rPr>
          <w:rStyle w:val="Refdenotaalpie"/>
          <w:rFonts w:ascii="Bookman Old Style" w:hAnsi="Bookman Old Style"/>
          <w:sz w:val="16"/>
          <w:szCs w:val="16"/>
        </w:rPr>
        <w:footnoteRef/>
      </w:r>
      <w:r w:rsidRPr="00BB7AEA">
        <w:rPr>
          <w:rFonts w:ascii="Bookman Old Style" w:hAnsi="Bookman Old Style"/>
          <w:sz w:val="16"/>
          <w:szCs w:val="16"/>
        </w:rPr>
        <w:t xml:space="preserve"> La información remitida por la Superintendencia de Servicios Públicos Domiciliarios hace parte del expediente administrativo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B4" w:rsidRDefault="002A3EB4" w:rsidP="00951F79">
    <w:pPr>
      <w:pStyle w:val="Ttulo1"/>
      <w:ind w:right="6"/>
      <w:jc w:val="left"/>
      <w:rPr>
        <w:rFonts w:ascii="Bookman Old Style" w:hAnsi="Bookman Old Style" w:cs="Arial"/>
        <w:b w:val="0"/>
        <w:sz w:val="22"/>
        <w:szCs w:val="22"/>
      </w:rPr>
    </w:pPr>
  </w:p>
  <w:p w:rsidR="002A3EB4" w:rsidRPr="00951F79" w:rsidRDefault="002A3EB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36F31">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36F31">
      <w:fldChar w:fldCharType="begin"/>
    </w:r>
    <w:r w:rsidR="00A36F31">
      <w:instrText xml:space="preserve"> NUMPAGES  \* MERGEFORMAT </w:instrText>
    </w:r>
    <w:r w:rsidR="00A36F31">
      <w:fldChar w:fldCharType="separate"/>
    </w:r>
    <w:r w:rsidR="00A36F31" w:rsidRPr="00A36F31">
      <w:rPr>
        <w:rFonts w:ascii="Bookman Old Style" w:hAnsi="Bookman Old Style" w:cs="Arial"/>
        <w:b w:val="0"/>
        <w:noProof/>
        <w:sz w:val="22"/>
        <w:szCs w:val="22"/>
      </w:rPr>
      <w:t>38</w:t>
    </w:r>
    <w:r w:rsidR="00A36F31">
      <w:rPr>
        <w:rFonts w:ascii="Bookman Old Style" w:hAnsi="Bookman Old Style" w:cs="Arial"/>
        <w:b w:val="0"/>
        <w:noProof/>
        <w:sz w:val="22"/>
        <w:szCs w:val="22"/>
      </w:rPr>
      <w:fldChar w:fldCharType="end"/>
    </w:r>
  </w:p>
  <w:p w:rsidR="002A3EB4" w:rsidRDefault="002A3EB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7E9FB"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2A3EB4" w:rsidRPr="00616D65" w:rsidRDefault="002A3EB4"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sidRPr="00603DD8">
      <w:rPr>
        <w:rFonts w:ascii="Bookman Old Style" w:hAnsi="Bookman Old Style" w:cs="Arial"/>
        <w:sz w:val="22"/>
        <w:szCs w:val="22"/>
      </w:rPr>
      <w:t xml:space="preserve">Chilco Distribuidora de Gas y Energía S.A.S. E.S.P. </w:t>
    </w:r>
    <w:r w:rsidRPr="0081562F">
      <w:rPr>
        <w:rFonts w:ascii="Bookman Old Style" w:hAnsi="Bookman Old Style" w:cs="Arial"/>
        <w:sz w:val="22"/>
        <w:szCs w:val="22"/>
      </w:rPr>
      <w:t xml:space="preserve">contra la Resolución CREG </w:t>
    </w:r>
    <w:r>
      <w:rPr>
        <w:rFonts w:ascii="Bookman Old Style" w:hAnsi="Bookman Old Style" w:cs="Arial"/>
        <w:sz w:val="22"/>
        <w:szCs w:val="22"/>
      </w:rPr>
      <w:t>075</w:t>
    </w:r>
    <w:r w:rsidRPr="0081562F">
      <w:rPr>
        <w:rFonts w:ascii="Bookman Old Style" w:hAnsi="Bookman Old Style" w:cs="Arial"/>
        <w:sz w:val="22"/>
        <w:szCs w:val="22"/>
      </w:rPr>
      <w:t xml:space="preserve"> de 2016.</w:t>
    </w:r>
  </w:p>
  <w:p w:rsidR="002A3EB4" w:rsidRPr="00730C9E" w:rsidRDefault="002A3EB4"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ED4435"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B4" w:rsidRDefault="002A3EB4"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A3EB4" w:rsidRDefault="002A3EB4">
    <w:pPr>
      <w:pStyle w:val="Encabezado"/>
      <w:jc w:val="center"/>
      <w:rPr>
        <w:rFonts w:ascii="Arial" w:hAnsi="Arial" w:cs="Arial"/>
        <w:spacing w:val="20"/>
        <w:sz w:val="20"/>
      </w:rPr>
    </w:pPr>
  </w:p>
  <w:p w:rsidR="002A3EB4" w:rsidRDefault="002A3EB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50C4A"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4"/>
    <w:lvl w:ilvl="0">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0000009"/>
    <w:multiLevelType w:val="multilevel"/>
    <w:tmpl w:val="00000008"/>
    <w:lvl w:ilvl="0">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1">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1.%1."/>
      <w:lvlJc w:val="left"/>
      <w:rPr>
        <w:rFonts w:ascii="Arial" w:hAnsi="Arial" w:cs="Arial"/>
        <w:b/>
        <w:bCs/>
        <w:i w:val="0"/>
        <w:iCs w:val="0"/>
        <w:smallCaps w:val="0"/>
        <w:strike w:val="0"/>
        <w:color w:val="000000"/>
        <w:spacing w:val="0"/>
        <w:w w:val="100"/>
        <w:position w:val="0"/>
        <w:sz w:val="18"/>
        <w:szCs w:val="18"/>
        <w:u w:val="none"/>
      </w:rPr>
    </w:lvl>
  </w:abstractNum>
  <w:abstractNum w:abstractNumId="2"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081E25A9"/>
    <w:multiLevelType w:val="hybridMultilevel"/>
    <w:tmpl w:val="390AA722"/>
    <w:lvl w:ilvl="0" w:tplc="4F4C82E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E0603AA"/>
    <w:multiLevelType w:val="hybridMultilevel"/>
    <w:tmpl w:val="6336A47C"/>
    <w:lvl w:ilvl="0" w:tplc="19CCFD62">
      <w:start w:val="190"/>
      <w:numFmt w:val="bullet"/>
      <w:lvlText w:val="-"/>
      <w:lvlJc w:val="left"/>
      <w:pPr>
        <w:ind w:left="1004" w:hanging="360"/>
      </w:pPr>
      <w:rPr>
        <w:rFonts w:ascii="Bookman Old Style" w:eastAsia="Times New Roman" w:hAnsi="Bookman Old Style" w:cs="Aria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4"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7632FF8"/>
    <w:multiLevelType w:val="multilevel"/>
    <w:tmpl w:val="F6303B04"/>
    <w:lvl w:ilvl="0">
      <w:start w:val="1"/>
      <w:numFmt w:val="decimal"/>
      <w:lvlText w:val="%1."/>
      <w:lvlJc w:val="left"/>
      <w:pPr>
        <w:ind w:left="384" w:hanging="38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1" w15:restartNumberingAfterBreak="0">
    <w:nsid w:val="3EC01567"/>
    <w:multiLevelType w:val="hybridMultilevel"/>
    <w:tmpl w:val="AC723F76"/>
    <w:lvl w:ilvl="0" w:tplc="1AC07D2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2" w15:restartNumberingAfterBreak="0">
    <w:nsid w:val="45FC18E6"/>
    <w:multiLevelType w:val="hybridMultilevel"/>
    <w:tmpl w:val="E7509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64B532B"/>
    <w:multiLevelType w:val="hybridMultilevel"/>
    <w:tmpl w:val="89D2C1AC"/>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2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C1604DB"/>
    <w:multiLevelType w:val="multilevel"/>
    <w:tmpl w:val="F9F4D0E4"/>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6"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69680EF2"/>
    <w:multiLevelType w:val="hybridMultilevel"/>
    <w:tmpl w:val="DDB860DC"/>
    <w:lvl w:ilvl="0" w:tplc="7BB08B64">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8"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7055A9F"/>
    <w:multiLevelType w:val="hybridMultilevel"/>
    <w:tmpl w:val="4C0A70D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43"/>
  </w:num>
  <w:num w:numId="4">
    <w:abstractNumId w:val="16"/>
  </w:num>
  <w:num w:numId="5">
    <w:abstractNumId w:val="30"/>
  </w:num>
  <w:num w:numId="6">
    <w:abstractNumId w:val="5"/>
  </w:num>
  <w:num w:numId="7">
    <w:abstractNumId w:val="4"/>
  </w:num>
  <w:num w:numId="8">
    <w:abstractNumId w:val="34"/>
  </w:num>
  <w:num w:numId="9">
    <w:abstractNumId w:val="32"/>
  </w:num>
  <w:num w:numId="10">
    <w:abstractNumId w:val="24"/>
  </w:num>
  <w:num w:numId="11">
    <w:abstractNumId w:val="44"/>
  </w:num>
  <w:num w:numId="12">
    <w:abstractNumId w:val="40"/>
  </w:num>
  <w:num w:numId="13">
    <w:abstractNumId w:val="19"/>
  </w:num>
  <w:num w:numId="14">
    <w:abstractNumId w:val="3"/>
  </w:num>
  <w:num w:numId="15">
    <w:abstractNumId w:val="25"/>
  </w:num>
  <w:num w:numId="16">
    <w:abstractNumId w:val="2"/>
  </w:num>
  <w:num w:numId="17">
    <w:abstractNumId w:val="41"/>
  </w:num>
  <w:num w:numId="18">
    <w:abstractNumId w:val="11"/>
  </w:num>
  <w:num w:numId="19">
    <w:abstractNumId w:val="26"/>
  </w:num>
  <w:num w:numId="20">
    <w:abstractNumId w:val="28"/>
  </w:num>
  <w:num w:numId="21">
    <w:abstractNumId w:val="39"/>
  </w:num>
  <w:num w:numId="22">
    <w:abstractNumId w:val="33"/>
  </w:num>
  <w:num w:numId="23">
    <w:abstractNumId w:val="38"/>
  </w:num>
  <w:num w:numId="24">
    <w:abstractNumId w:val="15"/>
  </w:num>
  <w:num w:numId="25">
    <w:abstractNumId w:val="12"/>
  </w:num>
  <w:num w:numId="26">
    <w:abstractNumId w:val="29"/>
  </w:num>
  <w:num w:numId="27">
    <w:abstractNumId w:val="9"/>
  </w:num>
  <w:num w:numId="28">
    <w:abstractNumId w:val="10"/>
  </w:num>
  <w:num w:numId="29">
    <w:abstractNumId w:val="18"/>
  </w:num>
  <w:num w:numId="30">
    <w:abstractNumId w:val="36"/>
  </w:num>
  <w:num w:numId="31">
    <w:abstractNumId w:val="14"/>
  </w:num>
  <w:num w:numId="32">
    <w:abstractNumId w:val="20"/>
  </w:num>
  <w:num w:numId="33">
    <w:abstractNumId w:val="35"/>
  </w:num>
  <w:num w:numId="34">
    <w:abstractNumId w:val="45"/>
  </w:num>
  <w:num w:numId="35">
    <w:abstractNumId w:val="6"/>
  </w:num>
  <w:num w:numId="36">
    <w:abstractNumId w:val="7"/>
  </w:num>
  <w:num w:numId="37">
    <w:abstractNumId w:val="0"/>
  </w:num>
  <w:num w:numId="38">
    <w:abstractNumId w:val="21"/>
  </w:num>
  <w:num w:numId="39">
    <w:abstractNumId w:val="13"/>
  </w:num>
  <w:num w:numId="40">
    <w:abstractNumId w:val="37"/>
  </w:num>
  <w:num w:numId="41">
    <w:abstractNumId w:val="27"/>
  </w:num>
  <w:num w:numId="42">
    <w:abstractNumId w:val="17"/>
  </w:num>
  <w:num w:numId="43">
    <w:abstractNumId w:val="31"/>
  </w:num>
  <w:num w:numId="44">
    <w:abstractNumId w:val="1"/>
  </w:num>
  <w:num w:numId="45">
    <w:abstractNumId w:val="4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4FE0"/>
    <w:rsid w:val="00025383"/>
    <w:rsid w:val="000275B9"/>
    <w:rsid w:val="0003034D"/>
    <w:rsid w:val="000337A6"/>
    <w:rsid w:val="00034816"/>
    <w:rsid w:val="00034C6F"/>
    <w:rsid w:val="00034F40"/>
    <w:rsid w:val="000432F7"/>
    <w:rsid w:val="0004674A"/>
    <w:rsid w:val="00050346"/>
    <w:rsid w:val="000537E8"/>
    <w:rsid w:val="00060D57"/>
    <w:rsid w:val="000623A6"/>
    <w:rsid w:val="00063657"/>
    <w:rsid w:val="00065504"/>
    <w:rsid w:val="000657E2"/>
    <w:rsid w:val="00066D23"/>
    <w:rsid w:val="00067308"/>
    <w:rsid w:val="00070222"/>
    <w:rsid w:val="00070B2B"/>
    <w:rsid w:val="00072400"/>
    <w:rsid w:val="0007402F"/>
    <w:rsid w:val="0007548D"/>
    <w:rsid w:val="00076680"/>
    <w:rsid w:val="00076A1D"/>
    <w:rsid w:val="0008073E"/>
    <w:rsid w:val="00084B8C"/>
    <w:rsid w:val="000867FA"/>
    <w:rsid w:val="00087733"/>
    <w:rsid w:val="00090E52"/>
    <w:rsid w:val="00091CDB"/>
    <w:rsid w:val="00092215"/>
    <w:rsid w:val="00096E1F"/>
    <w:rsid w:val="00097013"/>
    <w:rsid w:val="000A061F"/>
    <w:rsid w:val="000A19AC"/>
    <w:rsid w:val="000A2705"/>
    <w:rsid w:val="000B03C2"/>
    <w:rsid w:val="000B20EA"/>
    <w:rsid w:val="000B27E6"/>
    <w:rsid w:val="000B48BF"/>
    <w:rsid w:val="000B4B19"/>
    <w:rsid w:val="000B52EA"/>
    <w:rsid w:val="000B667A"/>
    <w:rsid w:val="000C27EB"/>
    <w:rsid w:val="000C6FE5"/>
    <w:rsid w:val="000D22D4"/>
    <w:rsid w:val="000D26F8"/>
    <w:rsid w:val="000E01B8"/>
    <w:rsid w:val="000E38F7"/>
    <w:rsid w:val="000E4A6C"/>
    <w:rsid w:val="000F1132"/>
    <w:rsid w:val="000F410B"/>
    <w:rsid w:val="000F5641"/>
    <w:rsid w:val="00100A80"/>
    <w:rsid w:val="00100EBA"/>
    <w:rsid w:val="00103ECB"/>
    <w:rsid w:val="0010707E"/>
    <w:rsid w:val="00111AE3"/>
    <w:rsid w:val="00112FAE"/>
    <w:rsid w:val="00113128"/>
    <w:rsid w:val="0011359D"/>
    <w:rsid w:val="00115E75"/>
    <w:rsid w:val="0011665A"/>
    <w:rsid w:val="00116953"/>
    <w:rsid w:val="001206A0"/>
    <w:rsid w:val="0012200E"/>
    <w:rsid w:val="00122C3D"/>
    <w:rsid w:val="00130821"/>
    <w:rsid w:val="00135474"/>
    <w:rsid w:val="0014017F"/>
    <w:rsid w:val="001405C6"/>
    <w:rsid w:val="00141013"/>
    <w:rsid w:val="00142085"/>
    <w:rsid w:val="00142711"/>
    <w:rsid w:val="00143C0C"/>
    <w:rsid w:val="0014428A"/>
    <w:rsid w:val="00144441"/>
    <w:rsid w:val="00151E8C"/>
    <w:rsid w:val="001635F2"/>
    <w:rsid w:val="0016590D"/>
    <w:rsid w:val="001670CB"/>
    <w:rsid w:val="00167993"/>
    <w:rsid w:val="001779AB"/>
    <w:rsid w:val="00177FE3"/>
    <w:rsid w:val="00182917"/>
    <w:rsid w:val="0018547A"/>
    <w:rsid w:val="00191FB9"/>
    <w:rsid w:val="00192CBF"/>
    <w:rsid w:val="00192FF1"/>
    <w:rsid w:val="001946B2"/>
    <w:rsid w:val="00195B37"/>
    <w:rsid w:val="00195E5B"/>
    <w:rsid w:val="001A4274"/>
    <w:rsid w:val="001A43F3"/>
    <w:rsid w:val="001A59B6"/>
    <w:rsid w:val="001A5A68"/>
    <w:rsid w:val="001A5F1B"/>
    <w:rsid w:val="001B1780"/>
    <w:rsid w:val="001B1C22"/>
    <w:rsid w:val="001B34C6"/>
    <w:rsid w:val="001B5CDD"/>
    <w:rsid w:val="001B6003"/>
    <w:rsid w:val="001B61EB"/>
    <w:rsid w:val="001B68FA"/>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2A88"/>
    <w:rsid w:val="00214F04"/>
    <w:rsid w:val="00215B3E"/>
    <w:rsid w:val="00216767"/>
    <w:rsid w:val="00217BEC"/>
    <w:rsid w:val="002205E2"/>
    <w:rsid w:val="00221498"/>
    <w:rsid w:val="00221A27"/>
    <w:rsid w:val="00223B98"/>
    <w:rsid w:val="00226B1A"/>
    <w:rsid w:val="00233E7D"/>
    <w:rsid w:val="00240455"/>
    <w:rsid w:val="00241399"/>
    <w:rsid w:val="00241733"/>
    <w:rsid w:val="00241898"/>
    <w:rsid w:val="00241F57"/>
    <w:rsid w:val="00244B23"/>
    <w:rsid w:val="00244C3F"/>
    <w:rsid w:val="00246AA1"/>
    <w:rsid w:val="00246C1A"/>
    <w:rsid w:val="0025091B"/>
    <w:rsid w:val="002528AF"/>
    <w:rsid w:val="00253E07"/>
    <w:rsid w:val="002606C2"/>
    <w:rsid w:val="002606F0"/>
    <w:rsid w:val="00260CE3"/>
    <w:rsid w:val="00266CD6"/>
    <w:rsid w:val="002709FC"/>
    <w:rsid w:val="00273C18"/>
    <w:rsid w:val="00275DAB"/>
    <w:rsid w:val="00275FA7"/>
    <w:rsid w:val="002817D6"/>
    <w:rsid w:val="002870E7"/>
    <w:rsid w:val="0029597D"/>
    <w:rsid w:val="00295B70"/>
    <w:rsid w:val="00297D3E"/>
    <w:rsid w:val="002A01F2"/>
    <w:rsid w:val="002A3EB4"/>
    <w:rsid w:val="002A452D"/>
    <w:rsid w:val="002A4E70"/>
    <w:rsid w:val="002A579E"/>
    <w:rsid w:val="002A782A"/>
    <w:rsid w:val="002A7F80"/>
    <w:rsid w:val="002B11E2"/>
    <w:rsid w:val="002B18C8"/>
    <w:rsid w:val="002B24B8"/>
    <w:rsid w:val="002B3063"/>
    <w:rsid w:val="002B38EF"/>
    <w:rsid w:val="002B3CF4"/>
    <w:rsid w:val="002B43F8"/>
    <w:rsid w:val="002C5546"/>
    <w:rsid w:val="002D23DD"/>
    <w:rsid w:val="002D3AE9"/>
    <w:rsid w:val="002D4510"/>
    <w:rsid w:val="002D656D"/>
    <w:rsid w:val="002D6B5D"/>
    <w:rsid w:val="002D7D3D"/>
    <w:rsid w:val="002E06B1"/>
    <w:rsid w:val="002E3349"/>
    <w:rsid w:val="002F0734"/>
    <w:rsid w:val="002F22A0"/>
    <w:rsid w:val="002F32A4"/>
    <w:rsid w:val="002F46E7"/>
    <w:rsid w:val="002F5A0E"/>
    <w:rsid w:val="00304121"/>
    <w:rsid w:val="00306779"/>
    <w:rsid w:val="003101DA"/>
    <w:rsid w:val="00314757"/>
    <w:rsid w:val="0031530D"/>
    <w:rsid w:val="00316A9A"/>
    <w:rsid w:val="00317791"/>
    <w:rsid w:val="003211CE"/>
    <w:rsid w:val="003234E2"/>
    <w:rsid w:val="0032669A"/>
    <w:rsid w:val="00332B81"/>
    <w:rsid w:val="00332BE1"/>
    <w:rsid w:val="003330F3"/>
    <w:rsid w:val="00333DFB"/>
    <w:rsid w:val="00334A2B"/>
    <w:rsid w:val="00335916"/>
    <w:rsid w:val="00341341"/>
    <w:rsid w:val="00346E50"/>
    <w:rsid w:val="0035403A"/>
    <w:rsid w:val="003603A7"/>
    <w:rsid w:val="00360E6C"/>
    <w:rsid w:val="003638D6"/>
    <w:rsid w:val="0036394B"/>
    <w:rsid w:val="00366D5C"/>
    <w:rsid w:val="003674CD"/>
    <w:rsid w:val="0036751E"/>
    <w:rsid w:val="003709B5"/>
    <w:rsid w:val="00373D56"/>
    <w:rsid w:val="00374471"/>
    <w:rsid w:val="003759C2"/>
    <w:rsid w:val="00376390"/>
    <w:rsid w:val="00376A8A"/>
    <w:rsid w:val="00380F4F"/>
    <w:rsid w:val="00381139"/>
    <w:rsid w:val="0038380F"/>
    <w:rsid w:val="003846C6"/>
    <w:rsid w:val="0038623A"/>
    <w:rsid w:val="0039315E"/>
    <w:rsid w:val="00393F0D"/>
    <w:rsid w:val="003943C4"/>
    <w:rsid w:val="00397365"/>
    <w:rsid w:val="003A31F6"/>
    <w:rsid w:val="003A3AAF"/>
    <w:rsid w:val="003B10B0"/>
    <w:rsid w:val="003B10B9"/>
    <w:rsid w:val="003B17FC"/>
    <w:rsid w:val="003B3A39"/>
    <w:rsid w:val="003B4844"/>
    <w:rsid w:val="003B54E5"/>
    <w:rsid w:val="003B6A60"/>
    <w:rsid w:val="003B769B"/>
    <w:rsid w:val="003C157F"/>
    <w:rsid w:val="003C1AEF"/>
    <w:rsid w:val="003C3447"/>
    <w:rsid w:val="003C35A2"/>
    <w:rsid w:val="003C5787"/>
    <w:rsid w:val="003D076C"/>
    <w:rsid w:val="003D2A46"/>
    <w:rsid w:val="003D47BD"/>
    <w:rsid w:val="003D5E91"/>
    <w:rsid w:val="003E26E3"/>
    <w:rsid w:val="003E3304"/>
    <w:rsid w:val="003E41AA"/>
    <w:rsid w:val="003E4875"/>
    <w:rsid w:val="003E59E7"/>
    <w:rsid w:val="003E628D"/>
    <w:rsid w:val="003E78B5"/>
    <w:rsid w:val="003F023F"/>
    <w:rsid w:val="003F3E5B"/>
    <w:rsid w:val="003F6ACE"/>
    <w:rsid w:val="00404DA1"/>
    <w:rsid w:val="00406B33"/>
    <w:rsid w:val="00407E99"/>
    <w:rsid w:val="00412BB6"/>
    <w:rsid w:val="00415BAB"/>
    <w:rsid w:val="00415ED2"/>
    <w:rsid w:val="00417B3D"/>
    <w:rsid w:val="0042068C"/>
    <w:rsid w:val="00426523"/>
    <w:rsid w:val="00433128"/>
    <w:rsid w:val="00435119"/>
    <w:rsid w:val="0044048C"/>
    <w:rsid w:val="00441C4E"/>
    <w:rsid w:val="00442915"/>
    <w:rsid w:val="00443C12"/>
    <w:rsid w:val="00443D9A"/>
    <w:rsid w:val="00444A03"/>
    <w:rsid w:val="004454DA"/>
    <w:rsid w:val="00447C6D"/>
    <w:rsid w:val="0045042D"/>
    <w:rsid w:val="00451434"/>
    <w:rsid w:val="004526E0"/>
    <w:rsid w:val="004532A9"/>
    <w:rsid w:val="00454019"/>
    <w:rsid w:val="004551B3"/>
    <w:rsid w:val="00456FE2"/>
    <w:rsid w:val="00457D70"/>
    <w:rsid w:val="0046024D"/>
    <w:rsid w:val="0046176B"/>
    <w:rsid w:val="00463F18"/>
    <w:rsid w:val="004708A3"/>
    <w:rsid w:val="0047122B"/>
    <w:rsid w:val="00473B7A"/>
    <w:rsid w:val="0047410D"/>
    <w:rsid w:val="00481A57"/>
    <w:rsid w:val="004822BE"/>
    <w:rsid w:val="00483A01"/>
    <w:rsid w:val="00490647"/>
    <w:rsid w:val="00491E18"/>
    <w:rsid w:val="004926FE"/>
    <w:rsid w:val="00493726"/>
    <w:rsid w:val="00494422"/>
    <w:rsid w:val="00495A52"/>
    <w:rsid w:val="00496008"/>
    <w:rsid w:val="004960E9"/>
    <w:rsid w:val="004A2E88"/>
    <w:rsid w:val="004A5305"/>
    <w:rsid w:val="004A6EE1"/>
    <w:rsid w:val="004B0C00"/>
    <w:rsid w:val="004B78C1"/>
    <w:rsid w:val="004C0BFE"/>
    <w:rsid w:val="004C19C2"/>
    <w:rsid w:val="004C7BD8"/>
    <w:rsid w:val="004D19FA"/>
    <w:rsid w:val="004D1BE8"/>
    <w:rsid w:val="004D3045"/>
    <w:rsid w:val="004D378D"/>
    <w:rsid w:val="004D7634"/>
    <w:rsid w:val="004D7892"/>
    <w:rsid w:val="004E1536"/>
    <w:rsid w:val="004E198F"/>
    <w:rsid w:val="004E33F2"/>
    <w:rsid w:val="004F3744"/>
    <w:rsid w:val="004F7D1F"/>
    <w:rsid w:val="0050015E"/>
    <w:rsid w:val="00503267"/>
    <w:rsid w:val="00510398"/>
    <w:rsid w:val="0051257C"/>
    <w:rsid w:val="00513865"/>
    <w:rsid w:val="00515932"/>
    <w:rsid w:val="00521029"/>
    <w:rsid w:val="00521349"/>
    <w:rsid w:val="005217A1"/>
    <w:rsid w:val="00525153"/>
    <w:rsid w:val="005300D3"/>
    <w:rsid w:val="00535B16"/>
    <w:rsid w:val="00536323"/>
    <w:rsid w:val="0054284F"/>
    <w:rsid w:val="00544F82"/>
    <w:rsid w:val="005457C2"/>
    <w:rsid w:val="00547183"/>
    <w:rsid w:val="005536C8"/>
    <w:rsid w:val="005544E8"/>
    <w:rsid w:val="00554FFF"/>
    <w:rsid w:val="00557C22"/>
    <w:rsid w:val="00567915"/>
    <w:rsid w:val="00573970"/>
    <w:rsid w:val="00573C98"/>
    <w:rsid w:val="005750EF"/>
    <w:rsid w:val="00575ABF"/>
    <w:rsid w:val="00581094"/>
    <w:rsid w:val="0058201E"/>
    <w:rsid w:val="005853B5"/>
    <w:rsid w:val="00593C4F"/>
    <w:rsid w:val="005946A8"/>
    <w:rsid w:val="00596B5A"/>
    <w:rsid w:val="00596EEA"/>
    <w:rsid w:val="00596EFA"/>
    <w:rsid w:val="005972F1"/>
    <w:rsid w:val="005A0D57"/>
    <w:rsid w:val="005A1309"/>
    <w:rsid w:val="005A4407"/>
    <w:rsid w:val="005A59EF"/>
    <w:rsid w:val="005A6E1A"/>
    <w:rsid w:val="005B1B14"/>
    <w:rsid w:val="005B47F5"/>
    <w:rsid w:val="005C41AF"/>
    <w:rsid w:val="005C568C"/>
    <w:rsid w:val="005C6BB2"/>
    <w:rsid w:val="005C6E8F"/>
    <w:rsid w:val="005D77A0"/>
    <w:rsid w:val="005E035F"/>
    <w:rsid w:val="005E253A"/>
    <w:rsid w:val="005E260A"/>
    <w:rsid w:val="005E42A6"/>
    <w:rsid w:val="005E44A9"/>
    <w:rsid w:val="005E7350"/>
    <w:rsid w:val="005F26E0"/>
    <w:rsid w:val="005F49DD"/>
    <w:rsid w:val="005F4BB9"/>
    <w:rsid w:val="005F5F07"/>
    <w:rsid w:val="005F6F41"/>
    <w:rsid w:val="005F7184"/>
    <w:rsid w:val="00603DD8"/>
    <w:rsid w:val="00606FD6"/>
    <w:rsid w:val="00612CEA"/>
    <w:rsid w:val="00616D65"/>
    <w:rsid w:val="0062102E"/>
    <w:rsid w:val="00621590"/>
    <w:rsid w:val="006234BC"/>
    <w:rsid w:val="00625DC6"/>
    <w:rsid w:val="00630F5A"/>
    <w:rsid w:val="00631E8F"/>
    <w:rsid w:val="00635B0A"/>
    <w:rsid w:val="00640301"/>
    <w:rsid w:val="00640E4D"/>
    <w:rsid w:val="00642281"/>
    <w:rsid w:val="0064391D"/>
    <w:rsid w:val="0064486D"/>
    <w:rsid w:val="00645549"/>
    <w:rsid w:val="00647A97"/>
    <w:rsid w:val="00651821"/>
    <w:rsid w:val="00652F6D"/>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7EF"/>
    <w:rsid w:val="00686E48"/>
    <w:rsid w:val="00690C05"/>
    <w:rsid w:val="00692A55"/>
    <w:rsid w:val="00693339"/>
    <w:rsid w:val="006965D3"/>
    <w:rsid w:val="00697556"/>
    <w:rsid w:val="006A01FE"/>
    <w:rsid w:val="006A4917"/>
    <w:rsid w:val="006A4D4F"/>
    <w:rsid w:val="006A5FD7"/>
    <w:rsid w:val="006B0FE8"/>
    <w:rsid w:val="006B1C64"/>
    <w:rsid w:val="006B1C94"/>
    <w:rsid w:val="006B4647"/>
    <w:rsid w:val="006B4C2B"/>
    <w:rsid w:val="006B6D47"/>
    <w:rsid w:val="006C2624"/>
    <w:rsid w:val="006C5AFE"/>
    <w:rsid w:val="006C709E"/>
    <w:rsid w:val="006D3C10"/>
    <w:rsid w:val="006D3E42"/>
    <w:rsid w:val="006D5418"/>
    <w:rsid w:val="006D6139"/>
    <w:rsid w:val="006D79D9"/>
    <w:rsid w:val="006E6198"/>
    <w:rsid w:val="006E73A5"/>
    <w:rsid w:val="006E7E8B"/>
    <w:rsid w:val="006F02B8"/>
    <w:rsid w:val="006F193C"/>
    <w:rsid w:val="006F1D41"/>
    <w:rsid w:val="006F3BDC"/>
    <w:rsid w:val="006F586A"/>
    <w:rsid w:val="006F6D95"/>
    <w:rsid w:val="006F73FB"/>
    <w:rsid w:val="006F7765"/>
    <w:rsid w:val="00703722"/>
    <w:rsid w:val="00704759"/>
    <w:rsid w:val="00705E2A"/>
    <w:rsid w:val="00706F13"/>
    <w:rsid w:val="007072E8"/>
    <w:rsid w:val="00710289"/>
    <w:rsid w:val="0071618D"/>
    <w:rsid w:val="007169E7"/>
    <w:rsid w:val="00717187"/>
    <w:rsid w:val="00720F3F"/>
    <w:rsid w:val="0072310E"/>
    <w:rsid w:val="00725FA4"/>
    <w:rsid w:val="00726A1D"/>
    <w:rsid w:val="00730825"/>
    <w:rsid w:val="00730B0C"/>
    <w:rsid w:val="00730C9E"/>
    <w:rsid w:val="0073215E"/>
    <w:rsid w:val="00732179"/>
    <w:rsid w:val="00733551"/>
    <w:rsid w:val="00735FB9"/>
    <w:rsid w:val="0074029E"/>
    <w:rsid w:val="00740446"/>
    <w:rsid w:val="00740A1D"/>
    <w:rsid w:val="007438A9"/>
    <w:rsid w:val="0074491E"/>
    <w:rsid w:val="00744B02"/>
    <w:rsid w:val="007507BF"/>
    <w:rsid w:val="00751023"/>
    <w:rsid w:val="00755165"/>
    <w:rsid w:val="00755A34"/>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90CEA"/>
    <w:rsid w:val="00792D35"/>
    <w:rsid w:val="00793152"/>
    <w:rsid w:val="00793834"/>
    <w:rsid w:val="00795983"/>
    <w:rsid w:val="00795BFB"/>
    <w:rsid w:val="00796875"/>
    <w:rsid w:val="007974F9"/>
    <w:rsid w:val="007A0FE6"/>
    <w:rsid w:val="007A2F35"/>
    <w:rsid w:val="007A4361"/>
    <w:rsid w:val="007B122F"/>
    <w:rsid w:val="007B1F48"/>
    <w:rsid w:val="007B2760"/>
    <w:rsid w:val="007B40C9"/>
    <w:rsid w:val="007B453E"/>
    <w:rsid w:val="007C56A8"/>
    <w:rsid w:val="007C6762"/>
    <w:rsid w:val="007D111E"/>
    <w:rsid w:val="007D1246"/>
    <w:rsid w:val="007D195A"/>
    <w:rsid w:val="007D1EE9"/>
    <w:rsid w:val="007E1F80"/>
    <w:rsid w:val="007E3AB1"/>
    <w:rsid w:val="007F0732"/>
    <w:rsid w:val="007F278C"/>
    <w:rsid w:val="008009C2"/>
    <w:rsid w:val="00802179"/>
    <w:rsid w:val="00802330"/>
    <w:rsid w:val="00804473"/>
    <w:rsid w:val="00804B35"/>
    <w:rsid w:val="00806C01"/>
    <w:rsid w:val="008074E7"/>
    <w:rsid w:val="00810E7F"/>
    <w:rsid w:val="008112E8"/>
    <w:rsid w:val="008136C3"/>
    <w:rsid w:val="008148CC"/>
    <w:rsid w:val="0081562F"/>
    <w:rsid w:val="00820A7B"/>
    <w:rsid w:val="008211A4"/>
    <w:rsid w:val="00823A07"/>
    <w:rsid w:val="008251F0"/>
    <w:rsid w:val="00825B13"/>
    <w:rsid w:val="00832398"/>
    <w:rsid w:val="00833BEE"/>
    <w:rsid w:val="008348CB"/>
    <w:rsid w:val="00836006"/>
    <w:rsid w:val="008403F6"/>
    <w:rsid w:val="00850F85"/>
    <w:rsid w:val="00854C37"/>
    <w:rsid w:val="0085598C"/>
    <w:rsid w:val="00862B36"/>
    <w:rsid w:val="00864289"/>
    <w:rsid w:val="00865BD4"/>
    <w:rsid w:val="00866E89"/>
    <w:rsid w:val="008679A0"/>
    <w:rsid w:val="00873150"/>
    <w:rsid w:val="0087657D"/>
    <w:rsid w:val="008807D5"/>
    <w:rsid w:val="00880832"/>
    <w:rsid w:val="00882263"/>
    <w:rsid w:val="00883C72"/>
    <w:rsid w:val="00885091"/>
    <w:rsid w:val="00885F45"/>
    <w:rsid w:val="00886EE1"/>
    <w:rsid w:val="0088727D"/>
    <w:rsid w:val="00895F71"/>
    <w:rsid w:val="0089643C"/>
    <w:rsid w:val="00897C75"/>
    <w:rsid w:val="008A0383"/>
    <w:rsid w:val="008A2456"/>
    <w:rsid w:val="008A4076"/>
    <w:rsid w:val="008A657A"/>
    <w:rsid w:val="008B413B"/>
    <w:rsid w:val="008C1130"/>
    <w:rsid w:val="008C3095"/>
    <w:rsid w:val="008D0995"/>
    <w:rsid w:val="008D18E6"/>
    <w:rsid w:val="008D191F"/>
    <w:rsid w:val="008D2C00"/>
    <w:rsid w:val="008D464B"/>
    <w:rsid w:val="008D675E"/>
    <w:rsid w:val="008D7A9B"/>
    <w:rsid w:val="008E02E1"/>
    <w:rsid w:val="008E2BF5"/>
    <w:rsid w:val="008E61CB"/>
    <w:rsid w:val="008E7049"/>
    <w:rsid w:val="008E76AC"/>
    <w:rsid w:val="008F1017"/>
    <w:rsid w:val="008F21F6"/>
    <w:rsid w:val="008F2A14"/>
    <w:rsid w:val="008F3972"/>
    <w:rsid w:val="009004E0"/>
    <w:rsid w:val="00900CA0"/>
    <w:rsid w:val="009011F4"/>
    <w:rsid w:val="00902D87"/>
    <w:rsid w:val="0090417A"/>
    <w:rsid w:val="00905448"/>
    <w:rsid w:val="0090775A"/>
    <w:rsid w:val="00913905"/>
    <w:rsid w:val="00916247"/>
    <w:rsid w:val="00916F00"/>
    <w:rsid w:val="00917874"/>
    <w:rsid w:val="0092279E"/>
    <w:rsid w:val="00922CA7"/>
    <w:rsid w:val="009246BD"/>
    <w:rsid w:val="009269A7"/>
    <w:rsid w:val="009270E0"/>
    <w:rsid w:val="00927FA3"/>
    <w:rsid w:val="00931F7E"/>
    <w:rsid w:val="0093345C"/>
    <w:rsid w:val="00936888"/>
    <w:rsid w:val="00937565"/>
    <w:rsid w:val="009410CB"/>
    <w:rsid w:val="009438AD"/>
    <w:rsid w:val="00945A3C"/>
    <w:rsid w:val="00950E0A"/>
    <w:rsid w:val="00951F79"/>
    <w:rsid w:val="00952ADF"/>
    <w:rsid w:val="00952F4A"/>
    <w:rsid w:val="00960049"/>
    <w:rsid w:val="00960FB7"/>
    <w:rsid w:val="00962962"/>
    <w:rsid w:val="00963809"/>
    <w:rsid w:val="00965DF7"/>
    <w:rsid w:val="00967121"/>
    <w:rsid w:val="00967468"/>
    <w:rsid w:val="00970C82"/>
    <w:rsid w:val="00971FF2"/>
    <w:rsid w:val="00973049"/>
    <w:rsid w:val="009742E8"/>
    <w:rsid w:val="00974AB5"/>
    <w:rsid w:val="00980704"/>
    <w:rsid w:val="009813EE"/>
    <w:rsid w:val="0098213C"/>
    <w:rsid w:val="00985A22"/>
    <w:rsid w:val="00986161"/>
    <w:rsid w:val="0098706D"/>
    <w:rsid w:val="009935FB"/>
    <w:rsid w:val="0099379E"/>
    <w:rsid w:val="009955D1"/>
    <w:rsid w:val="0099780A"/>
    <w:rsid w:val="009A6E35"/>
    <w:rsid w:val="009B2AED"/>
    <w:rsid w:val="009B3501"/>
    <w:rsid w:val="009C0467"/>
    <w:rsid w:val="009C1F60"/>
    <w:rsid w:val="009C6488"/>
    <w:rsid w:val="009C6539"/>
    <w:rsid w:val="009C7A49"/>
    <w:rsid w:val="009D0036"/>
    <w:rsid w:val="009D15DF"/>
    <w:rsid w:val="009D262C"/>
    <w:rsid w:val="009D42C8"/>
    <w:rsid w:val="009D53A9"/>
    <w:rsid w:val="009D56A3"/>
    <w:rsid w:val="009E11C8"/>
    <w:rsid w:val="009E2F5E"/>
    <w:rsid w:val="009E6478"/>
    <w:rsid w:val="009E7A7F"/>
    <w:rsid w:val="009F0D98"/>
    <w:rsid w:val="009F4A3B"/>
    <w:rsid w:val="009F4A54"/>
    <w:rsid w:val="009F4B06"/>
    <w:rsid w:val="009F4BEC"/>
    <w:rsid w:val="00A00879"/>
    <w:rsid w:val="00A04C6F"/>
    <w:rsid w:val="00A10A0B"/>
    <w:rsid w:val="00A1296D"/>
    <w:rsid w:val="00A16385"/>
    <w:rsid w:val="00A21A33"/>
    <w:rsid w:val="00A22D58"/>
    <w:rsid w:val="00A23A1B"/>
    <w:rsid w:val="00A25FD7"/>
    <w:rsid w:val="00A30197"/>
    <w:rsid w:val="00A35FEF"/>
    <w:rsid w:val="00A36F31"/>
    <w:rsid w:val="00A40EC5"/>
    <w:rsid w:val="00A419BB"/>
    <w:rsid w:val="00A42FAB"/>
    <w:rsid w:val="00A433C5"/>
    <w:rsid w:val="00A43AFF"/>
    <w:rsid w:val="00A478A0"/>
    <w:rsid w:val="00A47F3A"/>
    <w:rsid w:val="00A50502"/>
    <w:rsid w:val="00A5373F"/>
    <w:rsid w:val="00A54052"/>
    <w:rsid w:val="00A631A3"/>
    <w:rsid w:val="00A654DC"/>
    <w:rsid w:val="00A658CC"/>
    <w:rsid w:val="00A70F81"/>
    <w:rsid w:val="00A74AF2"/>
    <w:rsid w:val="00A7793A"/>
    <w:rsid w:val="00A8027B"/>
    <w:rsid w:val="00A87B7A"/>
    <w:rsid w:val="00AA4CC7"/>
    <w:rsid w:val="00AA4F68"/>
    <w:rsid w:val="00AA5E8E"/>
    <w:rsid w:val="00AB2A7D"/>
    <w:rsid w:val="00AB2ACC"/>
    <w:rsid w:val="00AB6CA7"/>
    <w:rsid w:val="00AB6CE2"/>
    <w:rsid w:val="00AC20F9"/>
    <w:rsid w:val="00AC453E"/>
    <w:rsid w:val="00AC7A58"/>
    <w:rsid w:val="00AD01E4"/>
    <w:rsid w:val="00AD0844"/>
    <w:rsid w:val="00AD0858"/>
    <w:rsid w:val="00AD1559"/>
    <w:rsid w:val="00AD2158"/>
    <w:rsid w:val="00AD4DB6"/>
    <w:rsid w:val="00AD5E02"/>
    <w:rsid w:val="00AE556C"/>
    <w:rsid w:val="00AE7340"/>
    <w:rsid w:val="00AE7DA4"/>
    <w:rsid w:val="00AF1558"/>
    <w:rsid w:val="00AF1BBD"/>
    <w:rsid w:val="00AF3B72"/>
    <w:rsid w:val="00AF3BE3"/>
    <w:rsid w:val="00AF6DEF"/>
    <w:rsid w:val="00B01B73"/>
    <w:rsid w:val="00B035D2"/>
    <w:rsid w:val="00B04B81"/>
    <w:rsid w:val="00B05626"/>
    <w:rsid w:val="00B05914"/>
    <w:rsid w:val="00B10207"/>
    <w:rsid w:val="00B12F18"/>
    <w:rsid w:val="00B13E0A"/>
    <w:rsid w:val="00B13E74"/>
    <w:rsid w:val="00B141E7"/>
    <w:rsid w:val="00B16D10"/>
    <w:rsid w:val="00B23A09"/>
    <w:rsid w:val="00B279C2"/>
    <w:rsid w:val="00B309B2"/>
    <w:rsid w:val="00B31959"/>
    <w:rsid w:val="00B351B4"/>
    <w:rsid w:val="00B36712"/>
    <w:rsid w:val="00B36FE8"/>
    <w:rsid w:val="00B43FE4"/>
    <w:rsid w:val="00B46BCA"/>
    <w:rsid w:val="00B4775D"/>
    <w:rsid w:val="00B526A3"/>
    <w:rsid w:val="00B54F3C"/>
    <w:rsid w:val="00B55F26"/>
    <w:rsid w:val="00B563ED"/>
    <w:rsid w:val="00B60A3F"/>
    <w:rsid w:val="00B60A77"/>
    <w:rsid w:val="00B63B12"/>
    <w:rsid w:val="00B717D6"/>
    <w:rsid w:val="00B747A1"/>
    <w:rsid w:val="00B74F1F"/>
    <w:rsid w:val="00B75ED9"/>
    <w:rsid w:val="00B7686B"/>
    <w:rsid w:val="00B825E3"/>
    <w:rsid w:val="00B8328F"/>
    <w:rsid w:val="00B83F3A"/>
    <w:rsid w:val="00B848E4"/>
    <w:rsid w:val="00B87806"/>
    <w:rsid w:val="00B87EC9"/>
    <w:rsid w:val="00B905E0"/>
    <w:rsid w:val="00B92BC9"/>
    <w:rsid w:val="00B92EAC"/>
    <w:rsid w:val="00BA05D2"/>
    <w:rsid w:val="00BA3201"/>
    <w:rsid w:val="00BA3338"/>
    <w:rsid w:val="00BA67CD"/>
    <w:rsid w:val="00BA698C"/>
    <w:rsid w:val="00BB076C"/>
    <w:rsid w:val="00BB63C5"/>
    <w:rsid w:val="00BC2BE8"/>
    <w:rsid w:val="00BC38FD"/>
    <w:rsid w:val="00BC4AE4"/>
    <w:rsid w:val="00BC794F"/>
    <w:rsid w:val="00BD0385"/>
    <w:rsid w:val="00BD0898"/>
    <w:rsid w:val="00BD1622"/>
    <w:rsid w:val="00BD3267"/>
    <w:rsid w:val="00BD57F2"/>
    <w:rsid w:val="00BE1396"/>
    <w:rsid w:val="00BF35DB"/>
    <w:rsid w:val="00BF4008"/>
    <w:rsid w:val="00BF4A20"/>
    <w:rsid w:val="00C013F0"/>
    <w:rsid w:val="00C034CB"/>
    <w:rsid w:val="00C051A8"/>
    <w:rsid w:val="00C054BC"/>
    <w:rsid w:val="00C0554D"/>
    <w:rsid w:val="00C11DE1"/>
    <w:rsid w:val="00C122C4"/>
    <w:rsid w:val="00C15604"/>
    <w:rsid w:val="00C15CDD"/>
    <w:rsid w:val="00C17897"/>
    <w:rsid w:val="00C17DB0"/>
    <w:rsid w:val="00C20BF7"/>
    <w:rsid w:val="00C22517"/>
    <w:rsid w:val="00C225E7"/>
    <w:rsid w:val="00C255F8"/>
    <w:rsid w:val="00C2670B"/>
    <w:rsid w:val="00C322F9"/>
    <w:rsid w:val="00C350E9"/>
    <w:rsid w:val="00C3527A"/>
    <w:rsid w:val="00C35B2B"/>
    <w:rsid w:val="00C3612F"/>
    <w:rsid w:val="00C400BD"/>
    <w:rsid w:val="00C409D5"/>
    <w:rsid w:val="00C4104C"/>
    <w:rsid w:val="00C435C3"/>
    <w:rsid w:val="00C53E81"/>
    <w:rsid w:val="00C609F5"/>
    <w:rsid w:val="00C6234B"/>
    <w:rsid w:val="00C62D01"/>
    <w:rsid w:val="00C63EAE"/>
    <w:rsid w:val="00C63FC3"/>
    <w:rsid w:val="00C64697"/>
    <w:rsid w:val="00C667C1"/>
    <w:rsid w:val="00C70A73"/>
    <w:rsid w:val="00C721CE"/>
    <w:rsid w:val="00C7430C"/>
    <w:rsid w:val="00C7517C"/>
    <w:rsid w:val="00C75F93"/>
    <w:rsid w:val="00C7629F"/>
    <w:rsid w:val="00C820DC"/>
    <w:rsid w:val="00C841DE"/>
    <w:rsid w:val="00C85364"/>
    <w:rsid w:val="00C8661B"/>
    <w:rsid w:val="00C90ED8"/>
    <w:rsid w:val="00C9491C"/>
    <w:rsid w:val="00CA139A"/>
    <w:rsid w:val="00CA2899"/>
    <w:rsid w:val="00CA2B1D"/>
    <w:rsid w:val="00CA3A3D"/>
    <w:rsid w:val="00CA77FB"/>
    <w:rsid w:val="00CB0253"/>
    <w:rsid w:val="00CB379B"/>
    <w:rsid w:val="00CB3D87"/>
    <w:rsid w:val="00CB460F"/>
    <w:rsid w:val="00CB4ACB"/>
    <w:rsid w:val="00CB5DD0"/>
    <w:rsid w:val="00CB605B"/>
    <w:rsid w:val="00CB7F94"/>
    <w:rsid w:val="00CC0B0B"/>
    <w:rsid w:val="00CC51D4"/>
    <w:rsid w:val="00CC65DA"/>
    <w:rsid w:val="00CD0158"/>
    <w:rsid w:val="00CD3BBA"/>
    <w:rsid w:val="00CD67E2"/>
    <w:rsid w:val="00CD75E7"/>
    <w:rsid w:val="00CE1EEF"/>
    <w:rsid w:val="00CE21E3"/>
    <w:rsid w:val="00CE701E"/>
    <w:rsid w:val="00CF21B9"/>
    <w:rsid w:val="00CF6BF9"/>
    <w:rsid w:val="00CF7CC6"/>
    <w:rsid w:val="00D0082F"/>
    <w:rsid w:val="00D01F0A"/>
    <w:rsid w:val="00D03800"/>
    <w:rsid w:val="00D03E47"/>
    <w:rsid w:val="00D065D3"/>
    <w:rsid w:val="00D06DF1"/>
    <w:rsid w:val="00D11415"/>
    <w:rsid w:val="00D126E3"/>
    <w:rsid w:val="00D14C94"/>
    <w:rsid w:val="00D16F2E"/>
    <w:rsid w:val="00D20911"/>
    <w:rsid w:val="00D24BFC"/>
    <w:rsid w:val="00D27114"/>
    <w:rsid w:val="00D313EC"/>
    <w:rsid w:val="00D32669"/>
    <w:rsid w:val="00D342A6"/>
    <w:rsid w:val="00D356D0"/>
    <w:rsid w:val="00D35AB2"/>
    <w:rsid w:val="00D36ABB"/>
    <w:rsid w:val="00D40598"/>
    <w:rsid w:val="00D42A15"/>
    <w:rsid w:val="00D460EB"/>
    <w:rsid w:val="00D464BF"/>
    <w:rsid w:val="00D47AB0"/>
    <w:rsid w:val="00D52BC6"/>
    <w:rsid w:val="00D53E26"/>
    <w:rsid w:val="00D549B1"/>
    <w:rsid w:val="00D55DCB"/>
    <w:rsid w:val="00D6036E"/>
    <w:rsid w:val="00D607B1"/>
    <w:rsid w:val="00D62044"/>
    <w:rsid w:val="00D639B7"/>
    <w:rsid w:val="00D7035A"/>
    <w:rsid w:val="00D74A42"/>
    <w:rsid w:val="00D74BAC"/>
    <w:rsid w:val="00D82268"/>
    <w:rsid w:val="00D83101"/>
    <w:rsid w:val="00D84F46"/>
    <w:rsid w:val="00D92EC6"/>
    <w:rsid w:val="00D95493"/>
    <w:rsid w:val="00D96E9A"/>
    <w:rsid w:val="00DA0D65"/>
    <w:rsid w:val="00DA3ED9"/>
    <w:rsid w:val="00DA4135"/>
    <w:rsid w:val="00DA4BB6"/>
    <w:rsid w:val="00DB122B"/>
    <w:rsid w:val="00DB5631"/>
    <w:rsid w:val="00DB7AC1"/>
    <w:rsid w:val="00DC2818"/>
    <w:rsid w:val="00DC2D17"/>
    <w:rsid w:val="00DC3340"/>
    <w:rsid w:val="00DD192E"/>
    <w:rsid w:val="00DD3CE8"/>
    <w:rsid w:val="00DD4F0E"/>
    <w:rsid w:val="00DE4017"/>
    <w:rsid w:val="00DF070D"/>
    <w:rsid w:val="00DF0BF0"/>
    <w:rsid w:val="00DF465D"/>
    <w:rsid w:val="00DF4E15"/>
    <w:rsid w:val="00DF4F58"/>
    <w:rsid w:val="00DF7B9C"/>
    <w:rsid w:val="00E010B3"/>
    <w:rsid w:val="00E0158D"/>
    <w:rsid w:val="00E0456C"/>
    <w:rsid w:val="00E048D6"/>
    <w:rsid w:val="00E05E0A"/>
    <w:rsid w:val="00E06ECE"/>
    <w:rsid w:val="00E101ED"/>
    <w:rsid w:val="00E14E26"/>
    <w:rsid w:val="00E15D29"/>
    <w:rsid w:val="00E20A83"/>
    <w:rsid w:val="00E20AA8"/>
    <w:rsid w:val="00E21057"/>
    <w:rsid w:val="00E233B4"/>
    <w:rsid w:val="00E3198B"/>
    <w:rsid w:val="00E35D4F"/>
    <w:rsid w:val="00E37248"/>
    <w:rsid w:val="00E37400"/>
    <w:rsid w:val="00E41DFD"/>
    <w:rsid w:val="00E436A8"/>
    <w:rsid w:val="00E43916"/>
    <w:rsid w:val="00E534CF"/>
    <w:rsid w:val="00E56ED5"/>
    <w:rsid w:val="00E57338"/>
    <w:rsid w:val="00E61467"/>
    <w:rsid w:val="00E61DA0"/>
    <w:rsid w:val="00E7046A"/>
    <w:rsid w:val="00E70778"/>
    <w:rsid w:val="00E723D6"/>
    <w:rsid w:val="00E72868"/>
    <w:rsid w:val="00E72C5E"/>
    <w:rsid w:val="00E81CB4"/>
    <w:rsid w:val="00E8585B"/>
    <w:rsid w:val="00E877F1"/>
    <w:rsid w:val="00E958BA"/>
    <w:rsid w:val="00EA1547"/>
    <w:rsid w:val="00EA20EE"/>
    <w:rsid w:val="00EA3F15"/>
    <w:rsid w:val="00EA7847"/>
    <w:rsid w:val="00EB1916"/>
    <w:rsid w:val="00EB2614"/>
    <w:rsid w:val="00EB3344"/>
    <w:rsid w:val="00EB4BA1"/>
    <w:rsid w:val="00EB54E4"/>
    <w:rsid w:val="00EC28B2"/>
    <w:rsid w:val="00EC3BB2"/>
    <w:rsid w:val="00ED028D"/>
    <w:rsid w:val="00ED048C"/>
    <w:rsid w:val="00ED1F55"/>
    <w:rsid w:val="00ED5722"/>
    <w:rsid w:val="00EE0855"/>
    <w:rsid w:val="00EE25CE"/>
    <w:rsid w:val="00EE2E6E"/>
    <w:rsid w:val="00EE6670"/>
    <w:rsid w:val="00EF3822"/>
    <w:rsid w:val="00EF78A2"/>
    <w:rsid w:val="00F0000A"/>
    <w:rsid w:val="00F01F07"/>
    <w:rsid w:val="00F03154"/>
    <w:rsid w:val="00F0499E"/>
    <w:rsid w:val="00F06BB2"/>
    <w:rsid w:val="00F0759E"/>
    <w:rsid w:val="00F1260B"/>
    <w:rsid w:val="00F14B80"/>
    <w:rsid w:val="00F15477"/>
    <w:rsid w:val="00F16F1A"/>
    <w:rsid w:val="00F205F5"/>
    <w:rsid w:val="00F22B1C"/>
    <w:rsid w:val="00F22E25"/>
    <w:rsid w:val="00F30C51"/>
    <w:rsid w:val="00F30F7F"/>
    <w:rsid w:val="00F31FCD"/>
    <w:rsid w:val="00F32D64"/>
    <w:rsid w:val="00F35523"/>
    <w:rsid w:val="00F369F8"/>
    <w:rsid w:val="00F37CD2"/>
    <w:rsid w:val="00F4350B"/>
    <w:rsid w:val="00F43F5B"/>
    <w:rsid w:val="00F452BE"/>
    <w:rsid w:val="00F471E0"/>
    <w:rsid w:val="00F478B7"/>
    <w:rsid w:val="00F509F9"/>
    <w:rsid w:val="00F50EDA"/>
    <w:rsid w:val="00F5143E"/>
    <w:rsid w:val="00F53BD8"/>
    <w:rsid w:val="00F57246"/>
    <w:rsid w:val="00F630ED"/>
    <w:rsid w:val="00F75127"/>
    <w:rsid w:val="00F75280"/>
    <w:rsid w:val="00F821A3"/>
    <w:rsid w:val="00F9314A"/>
    <w:rsid w:val="00F95C9F"/>
    <w:rsid w:val="00FA0494"/>
    <w:rsid w:val="00FA049B"/>
    <w:rsid w:val="00FA717D"/>
    <w:rsid w:val="00FA79AB"/>
    <w:rsid w:val="00FA7CDB"/>
    <w:rsid w:val="00FB5E09"/>
    <w:rsid w:val="00FB6E4D"/>
    <w:rsid w:val="00FC40BA"/>
    <w:rsid w:val="00FC462E"/>
    <w:rsid w:val="00FC55EF"/>
    <w:rsid w:val="00FC58EF"/>
    <w:rsid w:val="00FD33DF"/>
    <w:rsid w:val="00FD6B58"/>
    <w:rsid w:val="00FD6BF7"/>
    <w:rsid w:val="00FD7259"/>
    <w:rsid w:val="00FE01D4"/>
    <w:rsid w:val="00FE1FDD"/>
    <w:rsid w:val="00FE2D9D"/>
    <w:rsid w:val="00FE39D7"/>
    <w:rsid w:val="00FE3F15"/>
    <w:rsid w:val="00FE6D32"/>
    <w:rsid w:val="00FF1CBF"/>
    <w:rsid w:val="00FF2AEA"/>
    <w:rsid w:val="00FF37A1"/>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1DC57A9-995F-472F-AD76-E212ADE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aliases w:val="Título"/>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aliases w:val="Títul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aliases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30">
    <w:name w:val="Char Style 30"/>
    <w:link w:val="Style29"/>
    <w:uiPriority w:val="99"/>
    <w:rsid w:val="00EE6670"/>
    <w:rPr>
      <w:rFonts w:ascii="Courier New" w:hAnsi="Courier New" w:cs="Courier New"/>
      <w:sz w:val="17"/>
      <w:szCs w:val="17"/>
      <w:shd w:val="clear" w:color="auto" w:fill="FFFFFF"/>
    </w:rPr>
  </w:style>
  <w:style w:type="character" w:customStyle="1" w:styleId="CharStyle34">
    <w:name w:val="Char Style 34"/>
    <w:link w:val="Style33"/>
    <w:uiPriority w:val="99"/>
    <w:rsid w:val="00EE6670"/>
    <w:rPr>
      <w:rFonts w:ascii="Arial" w:hAnsi="Arial" w:cs="Arial"/>
      <w:sz w:val="22"/>
      <w:szCs w:val="22"/>
      <w:shd w:val="clear" w:color="auto" w:fill="FFFFFF"/>
    </w:rPr>
  </w:style>
  <w:style w:type="character" w:customStyle="1" w:styleId="CharStyle35">
    <w:name w:val="Char Style 35"/>
    <w:link w:val="Style34"/>
    <w:uiPriority w:val="99"/>
    <w:rsid w:val="00EE6670"/>
    <w:rPr>
      <w:rFonts w:ascii="Courier New" w:hAnsi="Courier New" w:cs="Courier New"/>
      <w:sz w:val="17"/>
      <w:szCs w:val="17"/>
      <w:shd w:val="clear" w:color="auto" w:fill="FFFFFF"/>
    </w:rPr>
  </w:style>
  <w:style w:type="character" w:customStyle="1" w:styleId="CharStyle36">
    <w:name w:val="Char Style 36"/>
    <w:uiPriority w:val="99"/>
    <w:rsid w:val="00EE6670"/>
    <w:rPr>
      <w:rFonts w:ascii="Courier New" w:hAnsi="Courier New" w:cs="Courier New"/>
      <w:sz w:val="17"/>
      <w:szCs w:val="17"/>
      <w:shd w:val="clear" w:color="auto" w:fill="FFFFFF"/>
    </w:rPr>
  </w:style>
  <w:style w:type="character" w:customStyle="1" w:styleId="CharStyle37">
    <w:name w:val="Char Style 37"/>
    <w:uiPriority w:val="99"/>
    <w:rsid w:val="00EE6670"/>
    <w:rPr>
      <w:rFonts w:ascii="Arial" w:hAnsi="Arial" w:cs="Arial"/>
      <w:b/>
      <w:bCs/>
      <w:sz w:val="18"/>
      <w:szCs w:val="18"/>
      <w:shd w:val="clear" w:color="auto" w:fill="FFFFFF"/>
    </w:rPr>
  </w:style>
  <w:style w:type="character" w:customStyle="1" w:styleId="CharStyle38">
    <w:name w:val="Char Style 38"/>
    <w:uiPriority w:val="99"/>
    <w:rsid w:val="00EE6670"/>
    <w:rPr>
      <w:rFonts w:ascii="Arial" w:hAnsi="Arial" w:cs="Arial"/>
      <w:sz w:val="19"/>
      <w:szCs w:val="19"/>
      <w:shd w:val="clear" w:color="auto" w:fill="FFFFFF"/>
    </w:rPr>
  </w:style>
  <w:style w:type="paragraph" w:customStyle="1" w:styleId="Style29">
    <w:name w:val="Style 29"/>
    <w:basedOn w:val="Normal"/>
    <w:link w:val="CharStyle30"/>
    <w:uiPriority w:val="99"/>
    <w:rsid w:val="00EE6670"/>
    <w:pPr>
      <w:widowControl w:val="0"/>
      <w:shd w:val="clear" w:color="auto" w:fill="FFFFFF"/>
      <w:spacing w:after="780" w:line="240" w:lineRule="atLeast"/>
      <w:ind w:left="0" w:hanging="100"/>
      <w:jc w:val="both"/>
    </w:pPr>
    <w:rPr>
      <w:rFonts w:ascii="Courier New" w:hAnsi="Courier New" w:cs="Courier New"/>
      <w:sz w:val="17"/>
      <w:szCs w:val="17"/>
      <w:lang w:val="es-CO" w:eastAsia="es-CO"/>
    </w:rPr>
  </w:style>
  <w:style w:type="paragraph" w:customStyle="1" w:styleId="Style33">
    <w:name w:val="Style 33"/>
    <w:basedOn w:val="Normal"/>
    <w:link w:val="CharStyle34"/>
    <w:uiPriority w:val="99"/>
    <w:rsid w:val="00EE6670"/>
    <w:pPr>
      <w:widowControl w:val="0"/>
      <w:shd w:val="clear" w:color="auto" w:fill="FFFFFF"/>
      <w:spacing w:before="180" w:after="360" w:line="326" w:lineRule="exact"/>
      <w:ind w:left="0" w:hanging="360"/>
      <w:jc w:val="both"/>
      <w:outlineLvl w:val="6"/>
    </w:pPr>
    <w:rPr>
      <w:rFonts w:ascii="Arial" w:hAnsi="Arial" w:cs="Arial"/>
      <w:sz w:val="22"/>
      <w:szCs w:val="22"/>
      <w:lang w:val="es-CO" w:eastAsia="es-CO"/>
    </w:rPr>
  </w:style>
  <w:style w:type="character" w:customStyle="1" w:styleId="CharStyle10">
    <w:name w:val="Char Style 10"/>
    <w:link w:val="Style9"/>
    <w:uiPriority w:val="99"/>
    <w:rsid w:val="008403F6"/>
    <w:rPr>
      <w:shd w:val="clear" w:color="auto" w:fill="FFFFFF"/>
    </w:rPr>
  </w:style>
  <w:style w:type="character" w:customStyle="1" w:styleId="CharStyle23">
    <w:name w:val="Char Style 23"/>
    <w:uiPriority w:val="99"/>
    <w:rsid w:val="008403F6"/>
    <w:rPr>
      <w:b/>
      <w:bCs/>
      <w:sz w:val="20"/>
      <w:szCs w:val="20"/>
      <w:shd w:val="clear" w:color="auto" w:fill="FFFFFF"/>
    </w:rPr>
  </w:style>
  <w:style w:type="character" w:customStyle="1" w:styleId="CharStyle24">
    <w:name w:val="Char Style 24"/>
    <w:uiPriority w:val="99"/>
    <w:rsid w:val="008403F6"/>
  </w:style>
  <w:style w:type="paragraph" w:customStyle="1" w:styleId="Style9">
    <w:name w:val="Style 9"/>
    <w:basedOn w:val="Normal"/>
    <w:link w:val="CharStyle10"/>
    <w:uiPriority w:val="99"/>
    <w:rsid w:val="008403F6"/>
    <w:pPr>
      <w:widowControl w:val="0"/>
      <w:shd w:val="clear" w:color="auto" w:fill="FFFFFF"/>
      <w:spacing w:line="240" w:lineRule="atLeast"/>
      <w:ind w:left="0" w:hanging="360"/>
      <w:jc w:val="both"/>
    </w:pPr>
    <w:rPr>
      <w:sz w:val="20"/>
      <w:szCs w:val="20"/>
      <w:lang w:val="es-CO" w:eastAsia="es-CO"/>
    </w:rPr>
  </w:style>
  <w:style w:type="character" w:customStyle="1" w:styleId="CharStyle29">
    <w:name w:val="Char Style 29"/>
    <w:link w:val="Style28"/>
    <w:uiPriority w:val="99"/>
    <w:rsid w:val="005B47F5"/>
    <w:rPr>
      <w:spacing w:val="-10"/>
      <w:sz w:val="22"/>
      <w:szCs w:val="22"/>
      <w:shd w:val="clear" w:color="auto" w:fill="FFFFFF"/>
    </w:rPr>
  </w:style>
  <w:style w:type="character" w:customStyle="1" w:styleId="CharStyle31">
    <w:name w:val="Char Style 31"/>
    <w:uiPriority w:val="99"/>
    <w:rsid w:val="005B47F5"/>
    <w:rPr>
      <w:spacing w:val="0"/>
      <w:sz w:val="17"/>
      <w:szCs w:val="17"/>
      <w:shd w:val="clear" w:color="auto" w:fill="FFFFFF"/>
    </w:rPr>
  </w:style>
  <w:style w:type="paragraph" w:customStyle="1" w:styleId="Style28">
    <w:name w:val="Style 28"/>
    <w:basedOn w:val="Normal"/>
    <w:link w:val="CharStyle29"/>
    <w:uiPriority w:val="99"/>
    <w:rsid w:val="005B47F5"/>
    <w:pPr>
      <w:widowControl w:val="0"/>
      <w:shd w:val="clear" w:color="auto" w:fill="FFFFFF"/>
      <w:spacing w:after="60" w:line="240" w:lineRule="atLeast"/>
      <w:ind w:left="0" w:hanging="1060"/>
    </w:pPr>
    <w:rPr>
      <w:spacing w:val="-10"/>
      <w:sz w:val="22"/>
      <w:szCs w:val="22"/>
      <w:lang w:val="es-CO" w:eastAsia="es-CO"/>
    </w:rPr>
  </w:style>
  <w:style w:type="character" w:customStyle="1" w:styleId="CharStyle18">
    <w:name w:val="Char Style 18"/>
    <w:link w:val="Style17"/>
    <w:uiPriority w:val="99"/>
    <w:rsid w:val="007D1246"/>
    <w:rPr>
      <w:rFonts w:ascii="Arial" w:hAnsi="Arial" w:cs="Arial"/>
      <w:sz w:val="19"/>
      <w:szCs w:val="19"/>
      <w:shd w:val="clear" w:color="auto" w:fill="FFFFFF"/>
    </w:rPr>
  </w:style>
  <w:style w:type="character" w:customStyle="1" w:styleId="CharStyle47">
    <w:name w:val="Char Style 47"/>
    <w:uiPriority w:val="99"/>
    <w:rsid w:val="007D1246"/>
    <w:rPr>
      <w:rFonts w:ascii="Arial" w:hAnsi="Arial" w:cs="Arial"/>
      <w:b/>
      <w:bCs/>
      <w:sz w:val="19"/>
      <w:szCs w:val="19"/>
      <w:u w:val="single"/>
      <w:shd w:val="clear" w:color="auto" w:fill="FFFFFF"/>
    </w:rPr>
  </w:style>
  <w:style w:type="character" w:customStyle="1" w:styleId="CharStyle55">
    <w:name w:val="Char Style 55"/>
    <w:uiPriority w:val="99"/>
    <w:rsid w:val="007D1246"/>
    <w:rPr>
      <w:rFonts w:ascii="Arial" w:hAnsi="Arial" w:cs="Arial"/>
      <w:b/>
      <w:bCs/>
      <w:i/>
      <w:iCs/>
      <w:spacing w:val="20"/>
      <w:sz w:val="19"/>
      <w:szCs w:val="19"/>
      <w:shd w:val="clear" w:color="auto" w:fill="FFFFFF"/>
    </w:rPr>
  </w:style>
  <w:style w:type="character" w:customStyle="1" w:styleId="CharStyle56">
    <w:name w:val="Char Style 56"/>
    <w:uiPriority w:val="99"/>
    <w:rsid w:val="007D1246"/>
    <w:rPr>
      <w:rFonts w:ascii="Courier New" w:hAnsi="Courier New" w:cs="Courier New"/>
      <w:i/>
      <w:iCs/>
      <w:smallCaps/>
      <w:sz w:val="15"/>
      <w:szCs w:val="15"/>
      <w:shd w:val="clear" w:color="auto" w:fill="FFFFFF"/>
    </w:rPr>
  </w:style>
  <w:style w:type="character" w:customStyle="1" w:styleId="CharStyle57">
    <w:name w:val="Char Style 57"/>
    <w:uiPriority w:val="99"/>
    <w:rsid w:val="007D1246"/>
    <w:rPr>
      <w:rFonts w:ascii="Arial" w:hAnsi="Arial" w:cs="Arial"/>
      <w:spacing w:val="10"/>
      <w:sz w:val="11"/>
      <w:szCs w:val="11"/>
      <w:shd w:val="clear" w:color="auto" w:fill="FFFFFF"/>
    </w:rPr>
  </w:style>
  <w:style w:type="character" w:customStyle="1" w:styleId="CharStyle59">
    <w:name w:val="Char Style 59"/>
    <w:link w:val="Style58"/>
    <w:uiPriority w:val="99"/>
    <w:rsid w:val="007D1246"/>
    <w:rPr>
      <w:rFonts w:ascii="Arial" w:hAnsi="Arial" w:cs="Arial"/>
      <w:b/>
      <w:bCs/>
      <w:i/>
      <w:iCs/>
      <w:sz w:val="19"/>
      <w:szCs w:val="19"/>
      <w:shd w:val="clear" w:color="auto" w:fill="FFFFFF"/>
    </w:rPr>
  </w:style>
  <w:style w:type="character" w:customStyle="1" w:styleId="CharStyle60">
    <w:name w:val="Char Style 60"/>
    <w:uiPriority w:val="99"/>
    <w:rsid w:val="007D1246"/>
    <w:rPr>
      <w:rFonts w:ascii="Arial" w:hAnsi="Arial" w:cs="Arial"/>
      <w:b w:val="0"/>
      <w:bCs w:val="0"/>
      <w:i w:val="0"/>
      <w:iCs w:val="0"/>
      <w:sz w:val="19"/>
      <w:szCs w:val="19"/>
      <w:shd w:val="clear" w:color="auto" w:fill="FFFFFF"/>
    </w:rPr>
  </w:style>
  <w:style w:type="paragraph" w:customStyle="1" w:styleId="Style17">
    <w:name w:val="Style 17"/>
    <w:basedOn w:val="Normal"/>
    <w:link w:val="CharStyle18"/>
    <w:uiPriority w:val="99"/>
    <w:rsid w:val="007D1246"/>
    <w:pPr>
      <w:widowControl w:val="0"/>
      <w:shd w:val="clear" w:color="auto" w:fill="FFFFFF"/>
      <w:spacing w:before="1080" w:after="660" w:line="240" w:lineRule="atLeast"/>
      <w:ind w:left="0" w:hanging="340"/>
      <w:jc w:val="both"/>
    </w:pPr>
    <w:rPr>
      <w:rFonts w:ascii="Arial" w:hAnsi="Arial" w:cs="Arial"/>
      <w:sz w:val="19"/>
      <w:szCs w:val="19"/>
      <w:lang w:val="es-CO" w:eastAsia="es-CO"/>
    </w:rPr>
  </w:style>
  <w:style w:type="paragraph" w:customStyle="1" w:styleId="Style58">
    <w:name w:val="Style 58"/>
    <w:basedOn w:val="Normal"/>
    <w:link w:val="CharStyle59"/>
    <w:uiPriority w:val="99"/>
    <w:rsid w:val="007D1246"/>
    <w:pPr>
      <w:widowControl w:val="0"/>
      <w:shd w:val="clear" w:color="auto" w:fill="FFFFFF"/>
      <w:spacing w:before="360" w:after="240" w:line="240" w:lineRule="atLeast"/>
      <w:ind w:left="0"/>
      <w:jc w:val="both"/>
    </w:pPr>
    <w:rPr>
      <w:rFonts w:ascii="Arial" w:hAnsi="Arial" w:cs="Arial"/>
      <w:b/>
      <w:bCs/>
      <w:i/>
      <w:iCs/>
      <w:sz w:val="19"/>
      <w:szCs w:val="19"/>
      <w:lang w:val="es-CO" w:eastAsia="es-CO"/>
    </w:rPr>
  </w:style>
  <w:style w:type="paragraph" w:customStyle="1" w:styleId="Style34">
    <w:name w:val="Style 34"/>
    <w:basedOn w:val="Normal"/>
    <w:link w:val="CharStyle35"/>
    <w:uiPriority w:val="99"/>
    <w:rsid w:val="0025091B"/>
    <w:pPr>
      <w:widowControl w:val="0"/>
      <w:shd w:val="clear" w:color="auto" w:fill="FFFFFF"/>
      <w:spacing w:line="240" w:lineRule="atLeast"/>
      <w:ind w:left="0"/>
    </w:pPr>
    <w:rPr>
      <w:rFonts w:ascii="Courier New" w:hAnsi="Courier New" w:cs="Courier New"/>
      <w:sz w:val="17"/>
      <w:szCs w:val="17"/>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85C06-4C78-4B6A-9E38-A3428082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38</Pages>
  <Words>18064</Words>
  <Characters>93347</Characters>
  <Application>Microsoft Office Word</Application>
  <DocSecurity>0</DocSecurity>
  <Lines>777</Lines>
  <Paragraphs>222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2016-11-24T17:03:00Z</cp:lastPrinted>
  <dcterms:created xsi:type="dcterms:W3CDTF">2016-12-07T17:17:00Z</dcterms:created>
  <dcterms:modified xsi:type="dcterms:W3CDTF">2016-12-07T17:17:00Z</dcterms:modified>
</cp:coreProperties>
</file>