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B0" w:rsidRPr="006B4647" w:rsidRDefault="00982137" w:rsidP="006D45B0">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9264" fillcolor="#0c9">
            <v:imagedata r:id="rId8" o:title=""/>
          </v:shape>
          <o:OLEObject Type="Embed" ProgID="PBrush" ShapeID="_x0000_s1026" DrawAspect="Content" ObjectID="_1575963169" r:id="rId9"/>
        </w:object>
      </w:r>
    </w:p>
    <w:p w:rsidR="006D45B0" w:rsidRPr="0007548D" w:rsidRDefault="006D45B0" w:rsidP="006D45B0">
      <w:pPr>
        <w:pStyle w:val="Encabezado"/>
        <w:tabs>
          <w:tab w:val="clear" w:pos="8504"/>
          <w:tab w:val="left" w:pos="0"/>
          <w:tab w:val="right" w:pos="9498"/>
        </w:tabs>
        <w:ind w:left="0" w:right="-142"/>
        <w:jc w:val="both"/>
        <w:rPr>
          <w:rFonts w:ascii="Bookman Old Style" w:hAnsi="Bookman Old Style"/>
          <w:szCs w:val="24"/>
        </w:rPr>
      </w:pPr>
    </w:p>
    <w:p w:rsidR="006D45B0" w:rsidRPr="006B4647" w:rsidRDefault="006D45B0" w:rsidP="006D45B0">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6D45B0" w:rsidRPr="003234E2" w:rsidRDefault="006D45B0" w:rsidP="006D45B0">
      <w:pPr>
        <w:pStyle w:val="Ttulo4"/>
        <w:tabs>
          <w:tab w:val="left" w:pos="0"/>
          <w:tab w:val="right" w:pos="9498"/>
        </w:tabs>
        <w:ind w:left="0" w:right="-142"/>
        <w:rPr>
          <w:rFonts w:ascii="Bookman Old Style" w:hAnsi="Bookman Old Style"/>
          <w:b w:val="0"/>
          <w:bCs/>
          <w:sz w:val="22"/>
          <w:szCs w:val="24"/>
        </w:rPr>
      </w:pPr>
    </w:p>
    <w:p w:rsidR="006D45B0" w:rsidRPr="006B4647" w:rsidRDefault="006D45B0" w:rsidP="006D45B0">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6D45B0" w:rsidRPr="003234E2" w:rsidRDefault="006D45B0" w:rsidP="006D45B0">
      <w:pPr>
        <w:pStyle w:val="Ttulo5"/>
        <w:tabs>
          <w:tab w:val="left" w:pos="0"/>
          <w:tab w:val="right" w:pos="9498"/>
        </w:tabs>
        <w:ind w:left="0" w:right="-142"/>
        <w:rPr>
          <w:rFonts w:ascii="Bookman Old Style" w:hAnsi="Bookman Old Style"/>
          <w:sz w:val="22"/>
          <w:szCs w:val="24"/>
        </w:rPr>
      </w:pPr>
    </w:p>
    <w:p w:rsidR="006D45B0" w:rsidRPr="007507BF" w:rsidRDefault="006D45B0" w:rsidP="006D45B0">
      <w:pPr>
        <w:pStyle w:val="Ttulo5"/>
        <w:tabs>
          <w:tab w:val="left" w:pos="0"/>
          <w:tab w:val="right" w:pos="9498"/>
        </w:tabs>
        <w:ind w:left="0" w:right="-142"/>
        <w:rPr>
          <w:rFonts w:ascii="Bookman Old Style" w:hAnsi="Bookman Old Style"/>
          <w:sz w:val="22"/>
          <w:szCs w:val="24"/>
        </w:rPr>
      </w:pPr>
    </w:p>
    <w:p w:rsidR="006D45B0" w:rsidRPr="006B4647" w:rsidRDefault="006D45B0" w:rsidP="006D45B0">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Pr>
          <w:rFonts w:ascii="Bookman Old Style" w:hAnsi="Bookman Old Style"/>
          <w:sz w:val="24"/>
          <w:szCs w:val="24"/>
        </w:rPr>
        <w:t>7</w:t>
      </w:r>
    </w:p>
    <w:p w:rsidR="006D45B0" w:rsidRPr="006B4647" w:rsidRDefault="006D45B0" w:rsidP="006D45B0">
      <w:pPr>
        <w:tabs>
          <w:tab w:val="left" w:pos="0"/>
          <w:tab w:val="right" w:pos="9498"/>
        </w:tabs>
        <w:ind w:left="0" w:right="-142"/>
        <w:jc w:val="center"/>
        <w:rPr>
          <w:rFonts w:ascii="Bookman Old Style" w:hAnsi="Bookman Old Style" w:cs="Arial"/>
          <w:b/>
          <w:snapToGrid w:val="0"/>
          <w:color w:val="000000"/>
          <w:lang w:val="es-ES_tradnl"/>
        </w:rPr>
      </w:pPr>
    </w:p>
    <w:p w:rsidR="006D45B0" w:rsidRPr="006B4647" w:rsidRDefault="006D45B0" w:rsidP="006D45B0">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6D45B0" w:rsidRPr="007507BF" w:rsidRDefault="006D45B0" w:rsidP="006D45B0">
      <w:pPr>
        <w:tabs>
          <w:tab w:val="left" w:pos="0"/>
          <w:tab w:val="right" w:pos="9498"/>
        </w:tabs>
        <w:ind w:left="0" w:right="-142"/>
        <w:jc w:val="center"/>
        <w:rPr>
          <w:rFonts w:ascii="Bookman Old Style" w:hAnsi="Bookman Old Style"/>
          <w:sz w:val="20"/>
          <w:lang w:val="es-ES_tradnl"/>
        </w:rPr>
      </w:pPr>
    </w:p>
    <w:p w:rsidR="006D45B0" w:rsidRDefault="006D45B0" w:rsidP="006D45B0">
      <w:pPr>
        <w:tabs>
          <w:tab w:val="right" w:pos="9498"/>
        </w:tabs>
        <w:ind w:left="0" w:right="-142"/>
        <w:rPr>
          <w:rFonts w:ascii="Bookman Old Style" w:hAnsi="Bookman Old Style"/>
          <w:bCs/>
          <w:sz w:val="22"/>
          <w:lang w:val="es-CO"/>
        </w:rPr>
      </w:pPr>
    </w:p>
    <w:p w:rsidR="006D45B0" w:rsidRPr="007507BF" w:rsidRDefault="006D45B0" w:rsidP="006D45B0">
      <w:pPr>
        <w:tabs>
          <w:tab w:val="right" w:pos="9498"/>
        </w:tabs>
        <w:ind w:left="0" w:right="-142"/>
        <w:rPr>
          <w:rFonts w:ascii="Bookman Old Style" w:hAnsi="Bookman Old Style"/>
          <w:bCs/>
          <w:sz w:val="22"/>
          <w:lang w:val="es-CO"/>
        </w:rPr>
      </w:pPr>
    </w:p>
    <w:p w:rsidR="006D45B0" w:rsidRPr="00D7035A" w:rsidRDefault="006D45B0" w:rsidP="006D45B0">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563817">
        <w:rPr>
          <w:rFonts w:ascii="Bookman Old Style" w:hAnsi="Bookman Old Style"/>
          <w:bCs/>
          <w:lang w:val="es-CO"/>
        </w:rPr>
        <w:t>Nortesantandereana de Gas</w:t>
      </w:r>
      <w:r w:rsidR="008A5DBB">
        <w:rPr>
          <w:rFonts w:ascii="Bookman Old Style" w:hAnsi="Bookman Old Style"/>
          <w:bCs/>
          <w:lang w:val="es-CO"/>
        </w:rPr>
        <w:t xml:space="preserve"> </w:t>
      </w:r>
      <w:r w:rsidR="005F3077">
        <w:rPr>
          <w:rFonts w:ascii="Bookman Old Style" w:hAnsi="Bookman Old Style"/>
          <w:bCs/>
          <w:lang w:val="es-CO"/>
        </w:rPr>
        <w:t>S.A.</w:t>
      </w:r>
      <w:r>
        <w:rPr>
          <w:rFonts w:ascii="Bookman Old Style" w:hAnsi="Bookman Old Style"/>
          <w:bCs/>
          <w:lang w:val="es-CO"/>
        </w:rPr>
        <w:t xml:space="preserve"> E.S.P.</w:t>
      </w:r>
      <w:r w:rsidRPr="00D7035A">
        <w:rPr>
          <w:rFonts w:ascii="Bookman Old Style" w:hAnsi="Bookman Old Style"/>
          <w:bCs/>
          <w:lang w:val="es-CO"/>
        </w:rPr>
        <w:t xml:space="preserve"> contra la Resolución CREG </w:t>
      </w:r>
      <w:r>
        <w:rPr>
          <w:rFonts w:ascii="Bookman Old Style" w:hAnsi="Bookman Old Style"/>
          <w:bCs/>
          <w:lang w:val="es-CO"/>
        </w:rPr>
        <w:t>168 de 2017</w:t>
      </w:r>
    </w:p>
    <w:p w:rsidR="006D45B0" w:rsidRPr="00EC3BB2" w:rsidRDefault="006D45B0" w:rsidP="006D45B0">
      <w:pPr>
        <w:widowControl w:val="0"/>
        <w:tabs>
          <w:tab w:val="right" w:pos="9498"/>
        </w:tabs>
        <w:adjustRightInd w:val="0"/>
        <w:ind w:left="0" w:right="-142"/>
        <w:jc w:val="both"/>
        <w:rPr>
          <w:rFonts w:ascii="Bookman Old Style" w:hAnsi="Bookman Old Style" w:cs="Arial"/>
          <w:sz w:val="20"/>
          <w:lang w:val="es-CO"/>
        </w:rPr>
      </w:pPr>
    </w:p>
    <w:p w:rsidR="006D45B0" w:rsidRPr="006B4647" w:rsidRDefault="006D45B0" w:rsidP="006D45B0">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6D45B0" w:rsidRPr="003234E2" w:rsidRDefault="006D45B0" w:rsidP="006D45B0">
      <w:pPr>
        <w:ind w:left="0"/>
        <w:rPr>
          <w:rFonts w:ascii="Bookman Old Style" w:hAnsi="Bookman Old Style"/>
          <w:bCs/>
          <w:sz w:val="22"/>
          <w:lang w:val="es-CO"/>
        </w:rPr>
      </w:pPr>
    </w:p>
    <w:p w:rsidR="006D45B0" w:rsidRDefault="006D45B0" w:rsidP="006D45B0">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6D45B0" w:rsidRPr="003234E2" w:rsidRDefault="006D45B0" w:rsidP="006D45B0">
      <w:pPr>
        <w:tabs>
          <w:tab w:val="right" w:pos="9498"/>
        </w:tabs>
        <w:ind w:left="0" w:right="-142"/>
        <w:jc w:val="center"/>
        <w:rPr>
          <w:rFonts w:ascii="Bookman Old Style" w:hAnsi="Bookman Old Style" w:cs="Arial"/>
          <w:sz w:val="22"/>
        </w:rPr>
      </w:pPr>
    </w:p>
    <w:p w:rsidR="006D45B0" w:rsidRPr="003234E2" w:rsidRDefault="006D45B0" w:rsidP="006D45B0">
      <w:pPr>
        <w:tabs>
          <w:tab w:val="right" w:pos="9498"/>
        </w:tabs>
        <w:ind w:left="0" w:right="-142"/>
        <w:jc w:val="both"/>
        <w:rPr>
          <w:rFonts w:ascii="Bookman Old Style" w:hAnsi="Bookman Old Style" w:cs="Arial"/>
          <w:sz w:val="22"/>
        </w:rPr>
      </w:pPr>
    </w:p>
    <w:p w:rsidR="006D45B0" w:rsidRDefault="006D45B0" w:rsidP="006D45B0">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6D45B0" w:rsidRPr="003234E2" w:rsidRDefault="006D45B0" w:rsidP="006D45B0">
      <w:pPr>
        <w:tabs>
          <w:tab w:val="right" w:pos="9498"/>
        </w:tabs>
        <w:ind w:left="0" w:right="-142"/>
        <w:jc w:val="center"/>
        <w:rPr>
          <w:rFonts w:ascii="Bookman Old Style" w:hAnsi="Bookman Old Style" w:cs="Arial"/>
          <w:b/>
          <w:sz w:val="20"/>
        </w:rPr>
      </w:pPr>
    </w:p>
    <w:p w:rsidR="006D45B0" w:rsidRDefault="006D45B0" w:rsidP="006D45B0">
      <w:pPr>
        <w:tabs>
          <w:tab w:val="right" w:pos="9498"/>
        </w:tabs>
        <w:ind w:left="0" w:right="-142"/>
        <w:jc w:val="center"/>
        <w:rPr>
          <w:rFonts w:ascii="Bookman Old Style" w:hAnsi="Bookman Old Style" w:cs="Arial"/>
          <w:b/>
        </w:rPr>
      </w:pPr>
    </w:p>
    <w:p w:rsidR="006D45B0" w:rsidRPr="00D549B1" w:rsidRDefault="006D45B0" w:rsidP="006D45B0">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6D45B0"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ejercicio de sus facultades regulatorias previstas entre otras en la Ley 142 de 1994 y en el artículo 62 de la Ley 1151 de 2007</w:t>
      </w:r>
      <w:r w:rsidRPr="00EA33A0">
        <w:rPr>
          <w:rFonts w:ascii="Bookman Old Style" w:eastAsia="MS Mincho" w:hAnsi="Bookman Old Style" w:cs="Arial"/>
          <w:lang w:val="es-ES_tradnl" w:eastAsia="en-US"/>
        </w:rPr>
        <w:footnoteReference w:id="1"/>
      </w:r>
      <w:r w:rsidRPr="00EA33A0">
        <w:rPr>
          <w:rFonts w:ascii="Bookman Old Style" w:eastAsia="MS Mincho" w:hAnsi="Bookman Old Style" w:cs="Arial"/>
          <w:lang w:val="es-ES_tradnl"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A33A0">
        <w:rPr>
          <w:rFonts w:ascii="Bookman Old Style" w:hAnsi="Bookman Old Style" w:cs="Arial"/>
          <w:spacing w:val="-5"/>
          <w:lang w:val="es-CO" w:eastAsia="en-US"/>
        </w:rPr>
        <w:lastRenderedPageBreak/>
        <w:t xml:space="preserve">con la </w:t>
      </w:r>
      <w:r w:rsidRPr="00EA33A0">
        <w:rPr>
          <w:rFonts w:ascii="Bookman Old Style" w:eastAsia="MS Mincho" w:hAnsi="Bookman Old Style" w:cs="Arial"/>
          <w:lang w:val="es-ES_tradnl" w:eastAsia="en-US"/>
        </w:rPr>
        <w:t>información</w:t>
      </w:r>
      <w:r w:rsidRPr="00EA33A0">
        <w:rPr>
          <w:rFonts w:ascii="Bookman Old Style" w:hAnsi="Bookman Old Style" w:cs="Arial"/>
          <w:spacing w:val="-5"/>
          <w:lang w:val="es-CO" w:eastAsia="en-US"/>
        </w:rPr>
        <w:t xml:space="preserve"> reportada en el Sistema Único de Información – SUI. En relación con lo anterior, el artículo 8 de la Resolución CREG 063 de 2016 establece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 xml:space="preserve">“Artículo 8. Capacidad de compras. </w:t>
      </w:r>
      <w:r w:rsidRPr="00EA33A0">
        <w:rPr>
          <w:rFonts w:ascii="Bookman Old Style" w:hAnsi="Bookman Old Style" w:cs="Arial"/>
          <w:sz w:val="22"/>
          <w:szCs w:val="22"/>
        </w:rPr>
        <w:t>La capacidad disponible de compra de los distribuidores que adquieran GLP en el mercado mayorista se determinará así:</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6D45B0" w:rsidRPr="00EA33A0" w:rsidRDefault="006D45B0" w:rsidP="006D45B0">
      <w:pPr>
        <w:rPr>
          <w:rFonts w:ascii="Bookman Old Style" w:hAnsi="Bookman Old Style"/>
          <w:sz w:val="22"/>
          <w:szCs w:val="22"/>
        </w:rPr>
      </w:pPr>
      <w:r w:rsidRPr="00EA33A0">
        <w:rPr>
          <w:rFonts w:ascii="Bookman Old Style" w:hAnsi="Bookman Old Style"/>
          <w:sz w:val="22"/>
          <w:szCs w:val="22"/>
        </w:rPr>
        <w:t>donde,</w:t>
      </w:r>
    </w:p>
    <w:p w:rsidR="006D45B0" w:rsidRPr="00EA33A0" w:rsidRDefault="006D45B0" w:rsidP="006D45B0">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Capacidad disponible de compra del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para el periodo de compra </w:t>
            </w:r>
            <w:r w:rsidRPr="007371FD">
              <w:rPr>
                <w:rFonts w:ascii="Bookman Old Style" w:hAnsi="Bookman Old Style" w:cs="Arial"/>
                <w:i/>
                <w:sz w:val="22"/>
                <w:szCs w:val="22"/>
              </w:rPr>
              <w:t>t</w:t>
            </w:r>
            <w:r w:rsidRPr="007371FD">
              <w:rPr>
                <w:rFonts w:ascii="Bookman Old Style" w:hAnsi="Bookman Old Style" w:cs="Arial"/>
                <w:sz w:val="22"/>
                <w:szCs w:val="22"/>
              </w:rPr>
              <w:t xml:space="preserve">, calculada para el mes </w:t>
            </w:r>
            <w:r w:rsidRPr="007371FD">
              <w:rPr>
                <w:rFonts w:ascii="Bookman Old Style" w:hAnsi="Bookman Old Style" w:cs="Arial"/>
                <w:i/>
                <w:sz w:val="22"/>
                <w:szCs w:val="22"/>
              </w:rPr>
              <w:t>m</w:t>
            </w:r>
            <w:r w:rsidRPr="007371FD">
              <w:rPr>
                <w:rFonts w:ascii="Bookman Old Style" w:hAnsi="Bookman Old Style" w:cs="Arial"/>
                <w:sz w:val="22"/>
                <w:szCs w:val="22"/>
              </w:rPr>
              <w:t>, medida en kilogramos.</w:t>
            </w:r>
          </w:p>
        </w:tc>
      </w:tr>
      <w:tr w:rsidR="006D45B0" w:rsidRPr="007371FD" w:rsidTr="0066171D">
        <w:tc>
          <w:tcPr>
            <w:tcW w:w="1242" w:type="dxa"/>
            <w:shd w:val="clear" w:color="auto" w:fill="auto"/>
          </w:tcPr>
          <w:p w:rsidR="006D45B0" w:rsidRPr="007371FD" w:rsidRDefault="00982137"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34" w:firstLine="4"/>
              <w:jc w:val="both"/>
              <w:rPr>
                <w:rFonts w:ascii="Bookman Old Style" w:hAnsi="Bookman Old Style"/>
                <w:sz w:val="22"/>
                <w:szCs w:val="22"/>
              </w:rPr>
            </w:pPr>
            <w:r w:rsidRPr="007371FD">
              <w:rPr>
                <w:rFonts w:ascii="Bookman Old Style" w:hAnsi="Bookman Old Style" w:cs="Arial"/>
                <w:sz w:val="22"/>
                <w:szCs w:val="22"/>
              </w:rPr>
              <w:t>Capacidad de compra del distribuidor i, para el periodo de compra t, medida en kilogramos.</w:t>
            </w:r>
          </w:p>
        </w:tc>
      </w:tr>
      <w:tr w:rsidR="006D45B0" w:rsidRPr="007371FD" w:rsidTr="0066171D">
        <w:tc>
          <w:tcPr>
            <w:tcW w:w="1242" w:type="dxa"/>
            <w:shd w:val="clear" w:color="auto" w:fill="auto"/>
          </w:tcPr>
          <w:p w:rsidR="006D45B0" w:rsidRPr="007371FD" w:rsidRDefault="00982137"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6D45B0" w:rsidRPr="007371FD" w:rsidTr="0066171D">
        <w:tc>
          <w:tcPr>
            <w:tcW w:w="1242" w:type="dxa"/>
            <w:shd w:val="clear" w:color="auto" w:fill="auto"/>
          </w:tcPr>
          <w:p w:rsidR="006D45B0" w:rsidRPr="007371FD" w:rsidRDefault="00982137" w:rsidP="0066171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6D45B0" w:rsidRPr="007371FD">
              <w:rPr>
                <w:rFonts w:ascii="Bookman Old Style" w:hAnsi="Bookman Old Style"/>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7371FD">
              <w:rPr>
                <w:rFonts w:ascii="Bookman Old Style" w:hAnsi="Bookman Old Style"/>
                <w:sz w:val="22"/>
                <w:szCs w:val="22"/>
              </w:rPr>
              <w:t xml:space="preserve"> será igual a cero (0).</w:t>
            </w:r>
          </w:p>
        </w:tc>
      </w:tr>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m</m:t>
              </m:r>
            </m:oMath>
            <w:r w:rsidRPr="007371FD">
              <w:rPr>
                <w:rFonts w:ascii="Bookman Old Style" w:hAnsi="Bookman Old Style" w:cs="Arial"/>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Mes de cálculo de la capacidad disponible de compra.</w:t>
            </w:r>
          </w:p>
        </w:tc>
      </w:tr>
      <w:tr w:rsidR="006D45B0" w:rsidRPr="007371FD" w:rsidTr="0066171D">
        <w:tc>
          <w:tcPr>
            <w:tcW w:w="1242" w:type="dxa"/>
            <w:shd w:val="clear" w:color="auto" w:fill="auto"/>
          </w:tcPr>
          <w:p w:rsidR="006D45B0" w:rsidRPr="007371FD" w:rsidRDefault="006D45B0" w:rsidP="0066171D">
            <w:pPr>
              <w:ind w:left="0"/>
              <w:rPr>
                <w:rFonts w:ascii="Bookman Old Style" w:hAnsi="Bookman Old Style"/>
                <w:sz w:val="22"/>
                <w:szCs w:val="22"/>
              </w:rPr>
            </w:pPr>
            <m:oMath>
              <m:r>
                <w:rPr>
                  <w:rFonts w:ascii="Cambria Math" w:hAnsi="Cambria Math"/>
                  <w:sz w:val="22"/>
                  <w:szCs w:val="22"/>
                </w:rPr>
                <m:t>t</m:t>
              </m:r>
            </m:oMath>
            <w:r w:rsidRPr="007371FD">
              <w:rPr>
                <w:rFonts w:ascii="Bookman Old Style" w:hAnsi="Bookman Old Style" w:cs="Arial"/>
                <w:sz w:val="22"/>
                <w:szCs w:val="22"/>
              </w:rPr>
              <w:t>:</w:t>
            </w:r>
          </w:p>
        </w:tc>
        <w:tc>
          <w:tcPr>
            <w:tcW w:w="7088" w:type="dxa"/>
            <w:shd w:val="clear" w:color="auto" w:fill="auto"/>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7371FD">
              <w:rPr>
                <w:rFonts w:ascii="Bookman Old Style" w:hAnsi="Bookman Old Style"/>
                <w:sz w:val="22"/>
                <w:szCs w:val="22"/>
              </w:rPr>
              <w:t>.</w:t>
            </w:r>
          </w:p>
        </w:tc>
      </w:tr>
    </w:tbl>
    <w:p w:rsidR="006D45B0" w:rsidRPr="00EA33A0" w:rsidRDefault="006D45B0" w:rsidP="006D45B0">
      <w:pPr>
        <w:ind w:left="1134"/>
        <w:rPr>
          <w:rFonts w:ascii="Bookman Old Style" w:hAnsi="Bookman Old Style"/>
          <w:sz w:val="22"/>
          <w:szCs w:val="22"/>
        </w:rPr>
      </w:pPr>
    </w:p>
    <w:p w:rsidR="006D45B0" w:rsidRPr="00EA33A0" w:rsidRDefault="006D45B0" w:rsidP="006D45B0">
      <w:pPr>
        <w:jc w:val="both"/>
        <w:rPr>
          <w:rFonts w:ascii="Bookman Old Style" w:hAnsi="Bookman Old Style"/>
          <w:b/>
          <w:sz w:val="22"/>
          <w:szCs w:val="22"/>
        </w:rPr>
      </w:pPr>
      <w:r w:rsidRPr="00EA33A0">
        <w:rPr>
          <w:rFonts w:ascii="Bookman Old Style" w:hAnsi="Bookman Old Style"/>
          <w:b/>
          <w:sz w:val="22"/>
          <w:szCs w:val="22"/>
        </w:rPr>
        <w:t xml:space="preserve">Parágrafo 1. </w:t>
      </w:r>
      <w:r w:rsidRPr="00EA33A0">
        <w:rPr>
          <w:rFonts w:ascii="Bookman Old Style" w:hAnsi="Bookman Old Style"/>
          <w:sz w:val="22"/>
          <w:szCs w:val="22"/>
        </w:rPr>
        <w:t xml:space="preserve">La capacidad de compra de cada distribuidor se calculará de acuerdo con la siguiente fórmula. </w:t>
      </w:r>
      <w:r w:rsidRPr="00EA33A0">
        <w:rPr>
          <w:rFonts w:ascii="Bookman Old Style" w:hAnsi="Bookman Old Style"/>
          <w:b/>
          <w:sz w:val="22"/>
          <w:szCs w:val="22"/>
        </w:rPr>
        <w:t xml:space="preserve"> </w:t>
      </w:r>
    </w:p>
    <w:p w:rsidR="006D45B0" w:rsidRPr="00EA33A0" w:rsidRDefault="006D45B0" w:rsidP="006D45B0">
      <w:pPr>
        <w:ind w:left="1272" w:hanging="705"/>
        <w:jc w:val="both"/>
        <w:rPr>
          <w:rFonts w:ascii="Bookman Old Style" w:hAnsi="Bookman Old Style" w:cs="Arial"/>
          <w:sz w:val="22"/>
          <w:szCs w:val="22"/>
        </w:rPr>
      </w:pPr>
    </w:p>
    <w:p w:rsidR="006D45B0" w:rsidRPr="006D45B0" w:rsidRDefault="00982137" w:rsidP="006D45B0">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6D45B0" w:rsidRPr="00EA33A0" w:rsidRDefault="006D45B0" w:rsidP="006D45B0">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6D45B0" w:rsidRPr="007371FD" w:rsidTr="0066171D">
        <w:tc>
          <w:tcPr>
            <w:tcW w:w="1271" w:type="dxa"/>
            <w:shd w:val="clear" w:color="auto" w:fill="auto"/>
          </w:tcPr>
          <w:p w:rsidR="006D45B0" w:rsidRPr="007371FD" w:rsidRDefault="00982137" w:rsidP="0066171D">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6D45B0" w:rsidRPr="007371FD">
              <w:rPr>
                <w:rFonts w:ascii="Bookman Old Style" w:hAnsi="Bookman Old Style"/>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6D45B0" w:rsidRPr="007371FD" w:rsidTr="0066171D">
        <w:tc>
          <w:tcPr>
            <w:tcW w:w="1271" w:type="dxa"/>
            <w:shd w:val="clear" w:color="auto" w:fill="auto"/>
          </w:tcPr>
          <w:p w:rsidR="006D45B0" w:rsidRPr="007371FD" w:rsidRDefault="00982137" w:rsidP="0066171D">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6D45B0" w:rsidRPr="007371FD">
              <w:rPr>
                <w:rFonts w:ascii="Bookman Old Style" w:hAnsi="Bookman Old Style" w:cs="Arial"/>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Factor de equivalencia de envasado en cilindros y tanques estacionarios, corresponde a: 0,3.</w:t>
            </w:r>
          </w:p>
        </w:tc>
      </w:tr>
      <w:tr w:rsidR="006D45B0" w:rsidRPr="007371FD" w:rsidTr="0066171D">
        <w:tc>
          <w:tcPr>
            <w:tcW w:w="1271"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Pr="007371FD">
              <w:rPr>
                <w:rFonts w:ascii="Bookman Old Style" w:hAnsi="Bookman Old Style"/>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 xml:space="preserve">Capacidad total de envase en cilindros de propiedad del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r w:rsidR="006D45B0" w:rsidRPr="007371FD" w:rsidTr="0066171D">
        <w:tc>
          <w:tcPr>
            <w:tcW w:w="1271"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7371FD">
              <w:rPr>
                <w:rFonts w:ascii="Bookman Old Style" w:hAnsi="Bookman Old Style" w:cs="Arial"/>
                <w:sz w:val="22"/>
                <w:szCs w:val="22"/>
              </w:rPr>
              <w:t>:</w:t>
            </w:r>
          </w:p>
        </w:tc>
        <w:tc>
          <w:tcPr>
            <w:tcW w:w="6921" w:type="dxa"/>
            <w:shd w:val="clear" w:color="auto" w:fill="auto"/>
          </w:tcPr>
          <w:p w:rsidR="006D45B0" w:rsidRPr="007371FD" w:rsidRDefault="006D45B0" w:rsidP="0066171D">
            <w:pPr>
              <w:ind w:left="0"/>
              <w:jc w:val="both"/>
              <w:rPr>
                <w:rFonts w:ascii="Bookman Old Style" w:hAnsi="Bookman Old Style" w:cs="Arial"/>
                <w:sz w:val="22"/>
                <w:szCs w:val="22"/>
              </w:rPr>
            </w:pPr>
            <w:r w:rsidRPr="007371FD">
              <w:rPr>
                <w:rFonts w:ascii="Bookman Old Style" w:hAnsi="Bookman Old Style" w:cs="Arial"/>
                <w:sz w:val="22"/>
                <w:szCs w:val="22"/>
              </w:rPr>
              <w:t xml:space="preserve">Capacidad total de tanques estacionarios atendidos por el distribuidor </w:t>
            </w:r>
            <w:r w:rsidRPr="007371FD">
              <w:rPr>
                <w:rFonts w:ascii="Bookman Old Style" w:hAnsi="Bookman Old Style" w:cs="Arial"/>
                <w:i/>
                <w:sz w:val="22"/>
                <w:szCs w:val="22"/>
              </w:rPr>
              <w:t xml:space="preserve">i, </w:t>
            </w:r>
            <w:r w:rsidRPr="007371FD">
              <w:rPr>
                <w:rFonts w:ascii="Bookman Old Style" w:hAnsi="Bookman Old Style" w:cs="Arial"/>
                <w:sz w:val="22"/>
                <w:szCs w:val="22"/>
              </w:rPr>
              <w:t xml:space="preserve">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bl>
    <w:p w:rsidR="006D45B0" w:rsidRPr="00EA33A0" w:rsidRDefault="006D45B0" w:rsidP="006D45B0">
      <w:pPr>
        <w:ind w:left="1272" w:hanging="705"/>
        <w:jc w:val="both"/>
        <w:rPr>
          <w:rFonts w:ascii="Bookman Old Style" w:hAnsi="Bookman Old Style" w:cs="Arial"/>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2.</w:t>
      </w:r>
      <w:r w:rsidRPr="00EA33A0">
        <w:rPr>
          <w:rFonts w:ascii="Bookman Old Style" w:hAnsi="Bookman Old Style" w:cs="Arial"/>
          <w:sz w:val="22"/>
          <w:szCs w:val="22"/>
        </w:rPr>
        <w:t xml:space="preserve"> La capacidad total de envase en cilindros, de propiedad del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6D45B0" w:rsidRPr="00EA33A0" w:rsidRDefault="006D45B0" w:rsidP="006D45B0">
      <w:pPr>
        <w:ind w:left="709" w:firstLine="566"/>
        <w:jc w:val="both"/>
        <w:rPr>
          <w:rFonts w:ascii="Bookman Old Style" w:hAnsi="Bookman Old Style"/>
          <w:sz w:val="22"/>
          <w:szCs w:val="22"/>
        </w:rPr>
      </w:pPr>
    </w:p>
    <w:p w:rsidR="006D45B0" w:rsidRPr="00EA33A0" w:rsidRDefault="006D45B0" w:rsidP="006D45B0">
      <w:pPr>
        <w:ind w:left="709" w:firstLine="566"/>
        <w:jc w:val="both"/>
        <w:rPr>
          <w:rFonts w:ascii="Bookman Old Style" w:hAnsi="Bookman Old Style"/>
          <w:sz w:val="22"/>
          <w:szCs w:val="22"/>
        </w:rPr>
      </w:pPr>
      <w:r w:rsidRPr="00EA33A0">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6D45B0" w:rsidRPr="007371FD" w:rsidTr="0066171D">
        <w:trPr>
          <w:trHeight w:val="966"/>
        </w:trPr>
        <w:tc>
          <w:tcPr>
            <w:tcW w:w="1659" w:type="dxa"/>
            <w:shd w:val="clear" w:color="auto" w:fill="auto"/>
            <w:hideMark/>
          </w:tcPr>
          <w:p w:rsidR="006D45B0" w:rsidRPr="007371FD" w:rsidRDefault="006D45B0" w:rsidP="0066171D">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Pr="007371FD">
              <w:rPr>
                <w:rFonts w:ascii="Bookman Old Style" w:hAnsi="Bookman Old Style"/>
                <w:sz w:val="22"/>
                <w:szCs w:val="22"/>
              </w:rPr>
              <w:t>:</w:t>
            </w:r>
          </w:p>
        </w:tc>
        <w:tc>
          <w:tcPr>
            <w:tcW w:w="6421" w:type="dxa"/>
            <w:shd w:val="clear" w:color="auto" w:fill="auto"/>
            <w:hideMark/>
          </w:tcPr>
          <w:p w:rsidR="006D45B0" w:rsidRPr="007371FD" w:rsidRDefault="006D45B0" w:rsidP="0066171D">
            <w:pPr>
              <w:ind w:left="0"/>
              <w:jc w:val="both"/>
              <w:rPr>
                <w:rFonts w:ascii="Bookman Old Style" w:hAnsi="Bookman Old Style"/>
                <w:sz w:val="22"/>
                <w:szCs w:val="22"/>
              </w:rPr>
            </w:pPr>
            <w:r w:rsidRPr="007371FD">
              <w:rPr>
                <w:rFonts w:ascii="Bookman Old Style" w:hAnsi="Bookman Old Style"/>
                <w:sz w:val="22"/>
                <w:szCs w:val="22"/>
              </w:rPr>
              <w:t>Capacidad total de envase en cilindros de propiedad del distribuidor i, en el periodo t, medida en kilogramos, registrado en el SUI.</w:t>
            </w:r>
          </w:p>
          <w:p w:rsidR="006D45B0" w:rsidRPr="007371FD" w:rsidRDefault="006D45B0" w:rsidP="0066171D">
            <w:pPr>
              <w:ind w:left="0"/>
              <w:jc w:val="both"/>
              <w:rPr>
                <w:rFonts w:ascii="Bookman Old Style" w:hAnsi="Bookman Old Style"/>
                <w:sz w:val="22"/>
                <w:szCs w:val="22"/>
                <w:lang w:val="es-CO"/>
              </w:rPr>
            </w:pPr>
          </w:p>
        </w:tc>
      </w:tr>
      <w:tr w:rsidR="006D45B0" w:rsidRPr="007371FD" w:rsidTr="0066171D">
        <w:trPr>
          <w:trHeight w:val="1359"/>
        </w:trPr>
        <w:tc>
          <w:tcPr>
            <w:tcW w:w="1659" w:type="dxa"/>
            <w:shd w:val="clear" w:color="auto" w:fill="auto"/>
            <w:hideMark/>
          </w:tcPr>
          <w:p w:rsidR="006D45B0" w:rsidRPr="007371FD" w:rsidRDefault="006D45B0" w:rsidP="0066171D">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Pr="007371FD">
              <w:rPr>
                <w:rFonts w:ascii="Bookman Old Style" w:hAnsi="Bookman Old Style"/>
                <w:sz w:val="22"/>
                <w:szCs w:val="22"/>
                <w:lang w:val="es-CO"/>
              </w:rPr>
              <w:t>:</w:t>
            </w:r>
          </w:p>
        </w:tc>
        <w:tc>
          <w:tcPr>
            <w:tcW w:w="6421" w:type="dxa"/>
            <w:shd w:val="clear" w:color="auto" w:fill="auto"/>
            <w:hideMark/>
          </w:tcPr>
          <w:p w:rsidR="006D45B0" w:rsidRPr="007371FD" w:rsidRDefault="006D45B0" w:rsidP="0066171D">
            <w:pPr>
              <w:ind w:left="0"/>
              <w:jc w:val="both"/>
              <w:rPr>
                <w:rFonts w:ascii="Bookman Old Style" w:hAnsi="Bookman Old Style"/>
                <w:sz w:val="22"/>
                <w:szCs w:val="22"/>
                <w:lang w:val="es-CO"/>
              </w:rPr>
            </w:pPr>
            <w:r w:rsidRPr="007371FD">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6D45B0" w:rsidRPr="00EA33A0" w:rsidRDefault="006D45B0" w:rsidP="006D45B0">
      <w:pPr>
        <w:ind w:left="2694" w:hanging="2127"/>
        <w:jc w:val="both"/>
        <w:rPr>
          <w:rFonts w:ascii="Bookman Old Style" w:hAnsi="Bookman Old Style"/>
          <w:sz w:val="22"/>
          <w:szCs w:val="22"/>
        </w:rPr>
      </w:pPr>
    </w:p>
    <w:p w:rsidR="006D45B0" w:rsidRPr="006D45B0" w:rsidRDefault="006D45B0" w:rsidP="006D45B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6D45B0" w:rsidRPr="00EA33A0" w:rsidRDefault="006D45B0" w:rsidP="006D45B0">
      <w:pPr>
        <w:ind w:left="2694" w:hanging="2127"/>
        <w:jc w:val="both"/>
        <w:rPr>
          <w:rFonts w:ascii="Bookman Old Style" w:hAnsi="Bookman Old Style"/>
          <w:iCs/>
          <w:sz w:val="22"/>
          <w:szCs w:val="22"/>
        </w:rPr>
      </w:pPr>
    </w:p>
    <w:p w:rsidR="006D45B0" w:rsidRPr="00EA33A0" w:rsidRDefault="006D45B0" w:rsidP="006D45B0">
      <w:pPr>
        <w:ind w:left="2694" w:hanging="1418"/>
        <w:jc w:val="both"/>
        <w:rPr>
          <w:rFonts w:ascii="Bookman Old Style" w:hAnsi="Bookman Old Style"/>
          <w:sz w:val="22"/>
          <w:szCs w:val="22"/>
          <w:lang w:val="es-CO"/>
        </w:rPr>
      </w:pPr>
      <w:r w:rsidRPr="00EA33A0">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6D45B0" w:rsidRPr="00EA33A0" w:rsidTr="0066171D">
        <w:trPr>
          <w:trHeight w:val="1359"/>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A33A0">
              <w:rPr>
                <w:rFonts w:ascii="Bookman Old Style" w:hAnsi="Bookman Old Style"/>
                <w:color w:val="000000"/>
                <w:kern w:val="24"/>
                <w:sz w:val="22"/>
                <w:szCs w:val="22"/>
                <w:lang w:val="es-CO" w:eastAsia="es-CO"/>
              </w:rPr>
              <w:t>registrada desde el 2008 hasta octubre de 2012, por AIC proyectos y</w:t>
            </w:r>
            <w:r w:rsidRPr="00EA33A0">
              <w:rPr>
                <w:rFonts w:ascii="Bookman Old Style" w:hAnsi="Bookman Old Style" w:cs="Arial"/>
                <w:color w:val="000000"/>
                <w:kern w:val="24"/>
                <w:sz w:val="22"/>
                <w:szCs w:val="22"/>
                <w:lang w:eastAsia="es-CO"/>
              </w:rPr>
              <w:t xml:space="preserve"> publicada en el SUI.</w:t>
            </w:r>
          </w:p>
        </w:tc>
      </w:tr>
      <w:tr w:rsidR="006D45B0" w:rsidRPr="00EA33A0" w:rsidTr="0066171D">
        <w:trPr>
          <w:trHeight w:val="1021"/>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Lb</w:t>
            </w:r>
            <w:r w:rsidRPr="00EA33A0">
              <w:rPr>
                <w:rFonts w:ascii="Bookman Old Style" w:hAnsi="Bookman Old Style" w:cs="Arial"/>
                <w:color w:val="000000"/>
                <w:kern w:val="24"/>
                <w:sz w:val="22"/>
                <w:szCs w:val="22"/>
                <w:lang w:eastAsia="es-CO"/>
              </w:rPr>
              <w:t>, de acuerdo con información reportada en el SUI.</w:t>
            </w:r>
          </w:p>
        </w:tc>
      </w:tr>
      <w:tr w:rsidR="006D45B0" w:rsidRPr="00EA33A0" w:rsidTr="0066171D">
        <w:trPr>
          <w:trHeight w:val="524"/>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Cantidad de kilogramos por libras americanas, de acuerdo con la NTC 3853.  </w:t>
            </w:r>
          </w:p>
        </w:tc>
      </w:tr>
      <w:tr w:rsidR="006D45B0" w:rsidRPr="00EA33A0" w:rsidTr="0066171D">
        <w:trPr>
          <w:trHeight w:val="416"/>
        </w:trPr>
        <w:tc>
          <w:tcPr>
            <w:tcW w:w="1418"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rsidR="006D45B0" w:rsidRPr="00EA33A0" w:rsidRDefault="006D45B0" w:rsidP="006D45B0">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6D45B0" w:rsidRPr="00EA33A0" w:rsidTr="0066171D">
        <w:trPr>
          <w:trHeight w:val="1021"/>
        </w:trPr>
        <w:tc>
          <w:tcPr>
            <w:tcW w:w="204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Pr="00EA33A0">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6D45B0" w:rsidRDefault="006D45B0" w:rsidP="0066171D">
            <w:pPr>
              <w:ind w:left="0"/>
              <w:jc w:val="both"/>
              <w:rPr>
                <w:rFonts w:ascii="Bookman Old Style" w:hAnsi="Bookman Old Style"/>
                <w:color w:val="000000"/>
                <w:kern w:val="24"/>
                <w:sz w:val="22"/>
                <w:szCs w:val="22"/>
                <w:lang w:val="es-CO" w:eastAsia="es-CO"/>
              </w:rPr>
            </w:pPr>
            <w:r w:rsidRPr="00EA33A0">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A33A0">
              <w:rPr>
                <w:rFonts w:ascii="Bookman Old Style" w:hAnsi="Bookman Old Style"/>
                <w:color w:val="000000"/>
                <w:kern w:val="24"/>
                <w:sz w:val="22"/>
                <w:szCs w:val="22"/>
                <w:lang w:val="es-CO" w:eastAsia="es-CO"/>
              </w:rPr>
              <w:t>, definida de la siguiente forma:</w:t>
            </w:r>
          </w:p>
          <w:p w:rsidR="00B87CFA" w:rsidRPr="00EA33A0" w:rsidRDefault="00B87CFA" w:rsidP="0066171D">
            <w:pPr>
              <w:ind w:left="0"/>
              <w:jc w:val="both"/>
              <w:rPr>
                <w:rFonts w:ascii="Bookman Old Style" w:hAnsi="Bookman Old Style" w:cs="Arial"/>
                <w:sz w:val="22"/>
                <w:szCs w:val="22"/>
                <w:lang w:val="es-CO" w:eastAsia="es-CO"/>
              </w:rPr>
            </w:pPr>
          </w:p>
        </w:tc>
      </w:tr>
    </w:tbl>
    <w:p w:rsidR="006D45B0" w:rsidRPr="006D45B0" w:rsidRDefault="006D45B0" w:rsidP="006D45B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6D45B0" w:rsidRPr="00EA33A0" w:rsidRDefault="006D45B0" w:rsidP="006D45B0">
      <w:pPr>
        <w:ind w:left="2694" w:hanging="1418"/>
        <w:jc w:val="both"/>
        <w:rPr>
          <w:rFonts w:ascii="Bookman Old Style" w:hAnsi="Bookman Old Style"/>
          <w:sz w:val="22"/>
          <w:szCs w:val="22"/>
          <w:lang w:val="es-CO"/>
        </w:rPr>
      </w:pPr>
      <w:r w:rsidRPr="00EA33A0">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6D45B0" w:rsidRPr="00EA33A0" w:rsidTr="0066171D">
        <w:trPr>
          <w:trHeight w:val="1359"/>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A33A0">
              <w:rPr>
                <w:rFonts w:ascii="Bookman Old Style" w:hAnsi="Bookman Old Style"/>
                <w:color w:val="000000"/>
                <w:kern w:val="24"/>
                <w:sz w:val="22"/>
                <w:szCs w:val="22"/>
                <w:lang w:val="es-CO" w:eastAsia="es-CO"/>
              </w:rPr>
              <w:t>registrada al SUI desde noviembre de 2012 hasta la fecha</w:t>
            </w:r>
            <w:r w:rsidRPr="00EA33A0">
              <w:rPr>
                <w:rFonts w:ascii="Bookman Old Style" w:hAnsi="Bookman Old Style" w:cs="Arial"/>
                <w:color w:val="000000"/>
                <w:kern w:val="24"/>
                <w:sz w:val="22"/>
                <w:szCs w:val="22"/>
                <w:lang w:eastAsia="es-CO"/>
              </w:rPr>
              <w:t>.</w:t>
            </w:r>
          </w:p>
        </w:tc>
      </w:tr>
      <w:tr w:rsidR="006D45B0" w:rsidRPr="00EA33A0" w:rsidTr="0066171D">
        <w:trPr>
          <w:trHeight w:val="1021"/>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Kg</w:t>
            </w:r>
            <w:r w:rsidRPr="00EA33A0">
              <w:rPr>
                <w:rFonts w:ascii="Bookman Old Style" w:hAnsi="Bookman Old Style" w:cs="Arial"/>
                <w:color w:val="000000"/>
                <w:kern w:val="24"/>
                <w:sz w:val="22"/>
                <w:szCs w:val="22"/>
                <w:lang w:eastAsia="es-CO"/>
              </w:rPr>
              <w:t>, de acuerdo con información reportada en el SUI.</w:t>
            </w:r>
          </w:p>
        </w:tc>
      </w:tr>
      <w:tr w:rsidR="006D45B0" w:rsidRPr="00EA33A0" w:rsidTr="0066171D">
        <w:trPr>
          <w:trHeight w:val="416"/>
        </w:trPr>
        <w:tc>
          <w:tcPr>
            <w:tcW w:w="1276"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6D45B0" w:rsidRPr="00EA33A0" w:rsidRDefault="006D45B0" w:rsidP="0066171D">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rsidR="006D45B0" w:rsidRPr="00EA33A0" w:rsidRDefault="006D45B0" w:rsidP="006D45B0">
      <w:pPr>
        <w:ind w:left="2694" w:hanging="2127"/>
        <w:jc w:val="both"/>
        <w:rPr>
          <w:rFonts w:ascii="Bookman Old Style" w:hAnsi="Bookman Old Style"/>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3.</w:t>
      </w:r>
      <w:r w:rsidRPr="00EA33A0">
        <w:rPr>
          <w:rFonts w:ascii="Bookman Old Style" w:hAnsi="Bookman Old Style" w:cs="Arial"/>
          <w:sz w:val="22"/>
          <w:szCs w:val="22"/>
        </w:rPr>
        <w:t xml:space="preserve"> La capacidad total de tanques estacionarios atendidos por 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rsidR="006D45B0" w:rsidRPr="00EA33A0" w:rsidRDefault="006D45B0" w:rsidP="006D45B0">
      <w:pPr>
        <w:jc w:val="both"/>
        <w:rPr>
          <w:rFonts w:ascii="Bookman Old Style" w:hAnsi="Bookman Old Style" w:cs="Arial"/>
          <w:sz w:val="22"/>
          <w:szCs w:val="22"/>
        </w:rPr>
      </w:pPr>
    </w:p>
    <w:p w:rsidR="006D45B0" w:rsidRPr="006D45B0" w:rsidRDefault="006D45B0" w:rsidP="006D45B0">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Capacidad total de tanques estacionarios atendidos por el distribuidor </w:t>
            </w:r>
            <w:r w:rsidRPr="007371FD">
              <w:rPr>
                <w:rFonts w:ascii="Bookman Old Style" w:hAnsi="Bookman Old Style" w:cs="Arial"/>
                <w:i/>
                <w:sz w:val="22"/>
                <w:szCs w:val="22"/>
              </w:rPr>
              <w:t xml:space="preserve">i, </w:t>
            </w:r>
            <w:r w:rsidRPr="007371FD">
              <w:rPr>
                <w:rFonts w:ascii="Bookman Old Style" w:hAnsi="Bookman Old Style" w:cs="Arial"/>
                <w:sz w:val="22"/>
                <w:szCs w:val="22"/>
              </w:rPr>
              <w:t xml:space="preserve">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sz w:val="22"/>
                <w:szCs w:val="22"/>
              </w:rPr>
              <w:t xml:space="preserve">Capacidad de cada uno de los tanques estacionarios atendidos por el distribuidor </w:t>
            </w:r>
            <w:r w:rsidRPr="007371FD">
              <w:rPr>
                <w:rFonts w:ascii="Bookman Old Style" w:hAnsi="Bookman Old Style"/>
                <w:i/>
                <w:sz w:val="22"/>
                <w:szCs w:val="22"/>
              </w:rPr>
              <w:t>i</w:t>
            </w:r>
            <w:r w:rsidRPr="007371FD">
              <w:rPr>
                <w:rFonts w:ascii="Bookman Old Style" w:hAnsi="Bookman Old Style"/>
                <w:sz w:val="22"/>
                <w:szCs w:val="22"/>
              </w:rPr>
              <w:t>, galones, de acuerdo con la información publicada en el SUI.</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Número de tanques estacionarios atendidos por 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con una capacidad </w:t>
            </w:r>
            <w:r w:rsidRPr="007371FD">
              <w:rPr>
                <w:rFonts w:ascii="Bookman Old Style" w:hAnsi="Bookman Old Style" w:cs="Arial"/>
                <w:i/>
                <w:sz w:val="22"/>
                <w:szCs w:val="22"/>
              </w:rPr>
              <w:t>CV</w:t>
            </w:r>
            <w:r w:rsidRPr="007371FD">
              <w:rPr>
                <w:rFonts w:ascii="Bookman Old Style" w:hAnsi="Bookman Old Style" w:cs="Arial"/>
                <w:sz w:val="22"/>
                <w:szCs w:val="22"/>
              </w:rPr>
              <w:t xml:space="preserve">, de acuerdo con la información reportada al SUI. </w:t>
            </w:r>
          </w:p>
        </w:tc>
      </w:tr>
      <w:tr w:rsidR="006D45B0" w:rsidRPr="007371FD" w:rsidTr="0066171D">
        <w:tc>
          <w:tcPr>
            <w:tcW w:w="1418" w:type="dxa"/>
            <w:shd w:val="clear" w:color="auto" w:fill="auto"/>
          </w:tcPr>
          <w:p w:rsidR="006D45B0" w:rsidRPr="007371FD" w:rsidRDefault="006D45B0" w:rsidP="0066171D">
            <w:pPr>
              <w:ind w:left="0"/>
              <w:jc w:val="both"/>
              <w:rPr>
                <w:rFonts w:ascii="Bookman Old Style" w:hAnsi="Bookman Old Style" w:cs="Arial"/>
                <w:sz w:val="22"/>
                <w:szCs w:val="22"/>
              </w:rPr>
            </w:pPr>
            <m:oMath>
              <m:r>
                <w:rPr>
                  <w:rFonts w:ascii="Cambria Math" w:hAnsi="Cambria Math" w:cs="Arial"/>
                  <w:sz w:val="22"/>
                  <w:szCs w:val="22"/>
                </w:rPr>
                <m:t>2,10</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 xml:space="preserve">Factor de conversión kilogramos por galón. </w:t>
            </w:r>
          </w:p>
        </w:tc>
      </w:tr>
      <w:tr w:rsidR="006D45B0" w:rsidRPr="007371FD" w:rsidTr="0066171D">
        <w:trPr>
          <w:trHeight w:val="356"/>
        </w:trPr>
        <w:tc>
          <w:tcPr>
            <w:tcW w:w="1418" w:type="dxa"/>
            <w:shd w:val="clear" w:color="auto" w:fill="auto"/>
          </w:tcPr>
          <w:p w:rsidR="006D45B0" w:rsidRPr="007371FD" w:rsidRDefault="006D45B0" w:rsidP="0066171D">
            <w:pPr>
              <w:ind w:left="708" w:hanging="708"/>
              <w:jc w:val="both"/>
              <w:rPr>
                <w:rFonts w:ascii="Bookman Old Style" w:hAnsi="Bookman Old Style" w:cs="Arial"/>
                <w:sz w:val="22"/>
                <w:szCs w:val="22"/>
              </w:rPr>
            </w:pPr>
            <m:oMath>
              <m:r>
                <w:rPr>
                  <w:rFonts w:ascii="Cambria Math" w:hAnsi="Cambria Math" w:cs="Arial"/>
                  <w:sz w:val="22"/>
                  <w:szCs w:val="22"/>
                </w:rPr>
                <m:t>6</m:t>
              </m:r>
            </m:oMath>
            <w:r w:rsidRPr="007371FD">
              <w:rPr>
                <w:rFonts w:ascii="Bookman Old Style" w:hAnsi="Bookman Old Style" w:cs="Arial"/>
                <w:sz w:val="22"/>
                <w:szCs w:val="22"/>
              </w:rPr>
              <w:t>:</w:t>
            </w:r>
          </w:p>
        </w:tc>
        <w:tc>
          <w:tcPr>
            <w:tcW w:w="6804" w:type="dxa"/>
            <w:shd w:val="clear" w:color="auto" w:fill="auto"/>
          </w:tcPr>
          <w:p w:rsidR="006D45B0" w:rsidRPr="007371FD" w:rsidRDefault="006D45B0" w:rsidP="0066171D">
            <w:pPr>
              <w:ind w:left="-108"/>
              <w:jc w:val="both"/>
              <w:rPr>
                <w:rFonts w:ascii="Bookman Old Style" w:hAnsi="Bookman Old Style" w:cs="Arial"/>
                <w:sz w:val="22"/>
                <w:szCs w:val="22"/>
              </w:rPr>
            </w:pPr>
            <w:r w:rsidRPr="007371FD">
              <w:rPr>
                <w:rFonts w:ascii="Bookman Old Style" w:hAnsi="Bookman Old Style" w:cs="Arial"/>
                <w:sz w:val="22"/>
                <w:szCs w:val="22"/>
              </w:rPr>
              <w:t>Número de meses del periodo de compra.</w:t>
            </w:r>
          </w:p>
        </w:tc>
      </w:tr>
    </w:tbl>
    <w:p w:rsidR="006D45B0" w:rsidRPr="00EA33A0" w:rsidRDefault="006D45B0" w:rsidP="006D45B0">
      <w:pPr>
        <w:jc w:val="both"/>
        <w:rPr>
          <w:rFonts w:ascii="Bookman Old Style" w:hAnsi="Bookman Old Style" w:cs="Arial"/>
          <w:b/>
          <w:sz w:val="22"/>
          <w:szCs w:val="22"/>
        </w:rPr>
      </w:pPr>
    </w:p>
    <w:p w:rsidR="006D45B0" w:rsidRPr="00EA33A0" w:rsidRDefault="006D45B0" w:rsidP="006D45B0">
      <w:pPr>
        <w:jc w:val="both"/>
        <w:rPr>
          <w:rFonts w:ascii="Bookman Old Style" w:hAnsi="Bookman Old Style" w:cs="Arial"/>
          <w:sz w:val="22"/>
          <w:szCs w:val="22"/>
        </w:rPr>
      </w:pPr>
      <w:r w:rsidRPr="00EA33A0">
        <w:rPr>
          <w:rFonts w:ascii="Bookman Old Style" w:hAnsi="Bookman Old Style" w:cs="Arial"/>
          <w:b/>
          <w:sz w:val="22"/>
          <w:szCs w:val="22"/>
        </w:rPr>
        <w:t>Parágrafo 4.</w:t>
      </w:r>
      <w:r w:rsidRPr="00EA33A0">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6D45B0" w:rsidRPr="00EA33A0" w:rsidRDefault="006D45B0" w:rsidP="006D45B0">
      <w:pPr>
        <w:ind w:right="142"/>
        <w:jc w:val="both"/>
        <w:rPr>
          <w:rFonts w:ascii="Bookman Old Style" w:hAnsi="Bookman Old Style" w:cs="Arial"/>
          <w:sz w:val="22"/>
          <w:szCs w:val="22"/>
        </w:rPr>
      </w:pPr>
    </w:p>
    <w:p w:rsidR="006D45B0" w:rsidRPr="00EA33A0" w:rsidRDefault="006D45B0" w:rsidP="006D45B0">
      <w:pPr>
        <w:tabs>
          <w:tab w:val="left" w:pos="-720"/>
          <w:tab w:val="left" w:pos="1276"/>
        </w:tabs>
        <w:suppressAutoHyphens/>
        <w:overflowPunct w:val="0"/>
        <w:autoSpaceDE w:val="0"/>
        <w:jc w:val="both"/>
        <w:textAlignment w:val="baseline"/>
        <w:rPr>
          <w:rFonts w:ascii="Bookman Old Style" w:hAnsi="Bookman Old Style" w:cs="Arial"/>
          <w:szCs w:val="20"/>
        </w:rPr>
      </w:pPr>
      <w:r w:rsidRPr="00EA33A0">
        <w:rPr>
          <w:rFonts w:ascii="Bookman Old Style" w:hAnsi="Bookman Old Style" w:cs="Arial"/>
          <w:b/>
          <w:sz w:val="22"/>
          <w:szCs w:val="22"/>
        </w:rPr>
        <w:t xml:space="preserve">Parágrafo 5. </w:t>
      </w:r>
      <w:r w:rsidRPr="00EA33A0">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 acuerdo con lo dispuesto en esta norma, se estableció igualmente el concepto de “capacidad disponible de compra”, el cual corresponde a la cantidad total de GLP, medida en kilogramos, que puede comprar un distribuidor en el mercado mayorista, durante lo que resta del periodo de compra. Este “período de compra” ha sido definido por la </w:t>
      </w:r>
      <w:r w:rsidRPr="00EA33A0">
        <w:rPr>
          <w:rFonts w:ascii="Bookman Old Style" w:eastAsia="MS Mincho" w:hAnsi="Bookman Old Style" w:cs="Arial"/>
          <w:lang w:val="es-ES_tradnl" w:eastAsia="en-US"/>
        </w:rPr>
        <w:t>Resolución</w:t>
      </w:r>
      <w:r w:rsidRPr="00EA33A0">
        <w:rPr>
          <w:rFonts w:ascii="Bookman Old Style" w:hAnsi="Bookman Old Style" w:cs="Arial"/>
          <w:spacing w:val="-5"/>
          <w:lang w:val="es-CO" w:eastAsia="en-US"/>
        </w:rPr>
        <w:t xml:space="preserve"> CREG 063 de 2016 como el</w:t>
      </w:r>
      <w:r w:rsidRPr="00EA33A0">
        <w:rPr>
          <w:rFonts w:ascii="Bookman Old Style" w:eastAsia="MS Mincho" w:hAnsi="Bookman Old Style"/>
          <w:lang w:val="es-ES_tradnl" w:eastAsia="en-US"/>
        </w:rPr>
        <w:t xml:space="preserve"> </w:t>
      </w:r>
      <w:r w:rsidRPr="00EA33A0">
        <w:rPr>
          <w:rFonts w:ascii="Bookman Old Style" w:hAnsi="Bookman Old Style" w:cs="Arial"/>
          <w:spacing w:val="-5"/>
          <w:lang w:val="es-CO" w:eastAsia="en-US"/>
        </w:rPr>
        <w:t xml:space="preserve">periodo de 6 meses que inicia un primero (1) de julio de cada año y terminará el treinta y uno (31) de diciembre del mismo año o aquel que inicia un primero (1) de enero de cada año y termina el treinta (30) de junio del mismo año”. </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ind w:left="0"/>
        <w:jc w:val="both"/>
        <w:rPr>
          <w:rFonts w:ascii="Bookman Old Style" w:eastAsia="MS Mincho" w:hAnsi="Bookman Old Style" w:cs="Arial"/>
          <w:lang w:val="es-CO" w:eastAsia="en-US"/>
        </w:rPr>
      </w:pPr>
      <w:r w:rsidRPr="00EA33A0">
        <w:rPr>
          <w:rFonts w:ascii="Bookman Old Style" w:eastAsia="MS Mincho" w:hAnsi="Bookman Old Style" w:cs="Arial"/>
          <w:lang w:val="es-CO" w:eastAsia="en-US"/>
        </w:rPr>
        <w:t>Así mismo, el artículo 9 de la Resolución CREG 063 de 2016 estableció que:</w:t>
      </w:r>
    </w:p>
    <w:p w:rsidR="006D45B0" w:rsidRPr="00EA33A0" w:rsidRDefault="006D45B0" w:rsidP="006D45B0">
      <w:pPr>
        <w:ind w:left="0"/>
        <w:jc w:val="both"/>
        <w:rPr>
          <w:rFonts w:ascii="Bookman Old Style" w:eastAsia="MS Mincho" w:hAnsi="Bookman Old Style" w:cs="Arial"/>
          <w:lang w:val="es-CO" w:eastAsia="en-US"/>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rPr>
      </w:pPr>
      <w:r w:rsidRPr="00EA33A0">
        <w:rPr>
          <w:rFonts w:ascii="Bookman Old Style" w:hAnsi="Bookman Old Style" w:cs="Arial"/>
          <w:b/>
          <w:sz w:val="22"/>
          <w:szCs w:val="22"/>
        </w:rPr>
        <w:t xml:space="preserve">“Artículo 9. Determinación y publicación de la capacidad de compra. </w:t>
      </w:r>
      <w:r w:rsidRPr="00EA33A0">
        <w:rPr>
          <w:rFonts w:ascii="Bookman Old Style" w:hAnsi="Bookman Old Style" w:cs="Arial"/>
          <w:sz w:val="22"/>
          <w:szCs w:val="22"/>
        </w:rPr>
        <w:t xml:space="preserve">Atendiendo lo dispuesto en el artículo anterior, </w:t>
      </w:r>
      <w:r w:rsidRPr="00EA33A0">
        <w:rPr>
          <w:rFonts w:ascii="Bookman Old Style" w:hAnsi="Bookman Old Style" w:cs="Arial"/>
          <w:b/>
          <w:sz w:val="22"/>
          <w:szCs w:val="22"/>
          <w:u w:val="single"/>
        </w:rPr>
        <w:t>la CREG determinará</w:t>
      </w:r>
      <w:r w:rsidRPr="00EA33A0">
        <w:rPr>
          <w:rFonts w:ascii="Bookman Old Style" w:hAnsi="Bookman Old Style" w:cs="Arial"/>
          <w:sz w:val="22"/>
          <w:szCs w:val="22"/>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6D45B0" w:rsidRPr="00EA33A0" w:rsidRDefault="006D45B0" w:rsidP="006D45B0">
      <w:pPr>
        <w:tabs>
          <w:tab w:val="left" w:pos="-720"/>
          <w:tab w:val="left" w:pos="1276"/>
        </w:tabs>
        <w:suppressAutoHyphens/>
        <w:overflowPunct w:val="0"/>
        <w:autoSpaceDE w:val="0"/>
        <w:ind w:left="720"/>
        <w:jc w:val="both"/>
        <w:textAlignment w:val="baseline"/>
        <w:rPr>
          <w:rFonts w:ascii="Bookman Old Style" w:hAnsi="Bookman Old Style" w:cs="Arial"/>
          <w:lang w:val="es-ES_tradnl" w:eastAsia="ar-SA"/>
        </w:rPr>
      </w:pPr>
    </w:p>
    <w:p w:rsidR="006D45B0" w:rsidRPr="00EA33A0" w:rsidRDefault="006D45B0" w:rsidP="006D45B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i/>
          <w:color w:val="000000"/>
          <w:lang w:val="es-CO" w:eastAsia="es-CO"/>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i/>
          <w:color w:val="000000"/>
          <w:sz w:val="22"/>
          <w:szCs w:val="22"/>
          <w:lang w:val="es-CO" w:eastAsia="es-CO"/>
        </w:rPr>
        <w:t>"</w:t>
      </w:r>
      <w:r w:rsidRPr="00EA33A0">
        <w:rPr>
          <w:rFonts w:ascii="Bookman Old Style" w:hAnsi="Bookman Old Style" w:cs="Arial"/>
          <w:b/>
          <w:sz w:val="22"/>
          <w:szCs w:val="22"/>
          <w:lang w:val="es-ES_tradnl" w:eastAsia="ar-SA"/>
        </w:rPr>
        <w:t>Artículo nuevo. Del sistema único de información</w:t>
      </w:r>
      <w:r w:rsidRPr="00EA33A0">
        <w:rPr>
          <w:rFonts w:ascii="Bookman Old Style" w:hAnsi="Bookman Old Style" w:cs="Arial"/>
          <w:sz w:val="22"/>
          <w:szCs w:val="22"/>
          <w:lang w:val="es-ES_tradnl" w:eastAsia="ar-SA"/>
        </w:rPr>
        <w:t xml:space="preserve">. Corresponde a la Superintendencia de Servicios Públicos Domiciliarios, en desarrollo de sus funciones de inspección y vigilancia, establecer, administrar, mantener y operar </w:t>
      </w:r>
      <w:r w:rsidRPr="00EA33A0">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33A0">
        <w:rPr>
          <w:rFonts w:ascii="Bookman Old Style" w:hAnsi="Bookman Old Style" w:cs="Arial"/>
          <w:sz w:val="22"/>
          <w:szCs w:val="22"/>
          <w:lang w:val="es-ES_tradnl" w:eastAsia="ar-SA"/>
        </w:rPr>
        <w:t xml:space="preserve"> para que su presentación al público sea confiable, conforme a lo establecido en el artículo 53 de la Ley 142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lastRenderedPageBreak/>
        <w:t>1. Evitar la duplicidad de funciones en materia de información relativa a los servicios públicos.</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4. Apoyar las funciones asignadas a las Comisiones de Regulación.</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5. Servir de base a las funciones asignadas a los Ministerios y demás autoridades que tengan competencias en el sector de los servicios públicos de que tratan las Leyes 142 y 143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6D45B0" w:rsidRPr="00EA33A0" w:rsidRDefault="006D45B0" w:rsidP="006D45B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lang w:val="es-ES_tradnl" w:eastAsia="ar-SA"/>
        </w:rPr>
        <w:t>Parágrafo 1°.</w:t>
      </w:r>
      <w:r w:rsidRPr="00EA33A0">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6D45B0" w:rsidRPr="00EA33A0" w:rsidRDefault="006D45B0" w:rsidP="006D45B0">
      <w:pPr>
        <w:ind w:left="0"/>
        <w:jc w:val="both"/>
        <w:rPr>
          <w:rFonts w:ascii="Bookman Old Style" w:eastAsia="MS Mincho" w:hAnsi="Bookman Old Style" w:cs="Arial"/>
          <w:sz w:val="22"/>
          <w:szCs w:val="22"/>
          <w:lang w:val="es-ES_tradnl"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regulatorio a través del cual se implementaron los períodos y mecanismos regulatorios que permitieron llevar a cabo el remplazo del parque universal de cilindros por un parque de cilindros marcado propiedad de los distribuidores.</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w:t>
      </w:r>
      <w:r w:rsidRPr="00EA33A0">
        <w:rPr>
          <w:rFonts w:ascii="Bookman Old Style" w:hAnsi="Bookman Old Style"/>
          <w:lang w:val="es-ES_tradnl"/>
        </w:rPr>
        <w:t>Superintendencia</w:t>
      </w:r>
      <w:r w:rsidRPr="00EA33A0">
        <w:rPr>
          <w:rFonts w:ascii="Bookman Old Style" w:hAnsi="Bookman Old Style" w:cs="Arial"/>
          <w:spacing w:val="-5"/>
          <w:lang w:val="es-CO" w:eastAsia="en-US"/>
        </w:rPr>
        <w:t xml:space="preserve"> de Servicios Públicos Domiciliarios atendido lo dispuesto en el artículo 14 de la Ley 689 de 2001. En este sentido, el artículo 3 de la Resolución CREG 177 dispuso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lastRenderedPageBreak/>
        <w:t>“</w:t>
      </w:r>
      <w:r w:rsidRPr="00EA33A0">
        <w:rPr>
          <w:rFonts w:ascii="Bookman Old Style" w:hAnsi="Bookman Old Style" w:cs="Arial"/>
          <w:b/>
          <w:spacing w:val="-5"/>
          <w:sz w:val="22"/>
          <w:szCs w:val="22"/>
          <w:lang w:val="es-CO" w:eastAsia="en-US"/>
        </w:rPr>
        <w:t>Artículo 3.</w:t>
      </w:r>
      <w:r w:rsidRPr="00EA33A0">
        <w:rPr>
          <w:rFonts w:ascii="Bookman Old Style" w:hAnsi="Bookman Old Style" w:cs="Arial"/>
          <w:spacing w:val="-5"/>
          <w:sz w:val="22"/>
          <w:szCs w:val="22"/>
          <w:lang w:val="es-CO" w:eastAsia="en-US"/>
        </w:rPr>
        <w:t xml:space="preserve"> El numeral 8 del Artículo 6 de la Resolución CREG 023 de 2008, modificado por el artículo 4 de la Resolución CREG 165 de 2008, el cual establece las Obligaciones Generales del Distribuidor, quedará así:</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“8. Los Distribuidores deben llevar un registro pormenorizado de los cilindros marcados que van introduciendo al parque en las siguientes condiciones:</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a.</w:t>
      </w:r>
      <w:r w:rsidRPr="00EA33A0">
        <w:rPr>
          <w:rFonts w:ascii="Bookman Old Style" w:hAnsi="Bookman Old Style" w:cs="Arial"/>
          <w:spacing w:val="-5"/>
          <w:sz w:val="22"/>
          <w:szCs w:val="22"/>
          <w:lang w:val="es-CO" w:eastAsia="en-US"/>
        </w:rPr>
        <w:tab/>
        <w:t>Mientras dure el Período de Transición y el Período de Cierre a través del sistema de información SICMA que debe llevar la Interventoría del esquema centralizado.</w:t>
      </w:r>
    </w:p>
    <w:p w:rsidR="006D45B0" w:rsidRPr="00EA33A0" w:rsidRDefault="006D45B0" w:rsidP="006D45B0">
      <w:pPr>
        <w:ind w:left="284" w:right="284"/>
        <w:jc w:val="both"/>
        <w:rPr>
          <w:rFonts w:ascii="Bookman Old Style" w:hAnsi="Bookman Old Style" w:cs="Arial"/>
          <w:spacing w:val="-5"/>
          <w:sz w:val="22"/>
          <w:szCs w:val="22"/>
          <w:lang w:val="es-CO" w:eastAsia="en-US"/>
        </w:rPr>
      </w:pPr>
    </w:p>
    <w:p w:rsidR="006D45B0" w:rsidRPr="00EA33A0" w:rsidRDefault="006D45B0" w:rsidP="006D45B0">
      <w:pPr>
        <w:ind w:left="284" w:right="284"/>
        <w:jc w:val="both"/>
        <w:rPr>
          <w:rFonts w:ascii="Bookman Old Style" w:hAnsi="Bookman Old Style" w:cs="Arial"/>
          <w:spacing w:val="-5"/>
          <w:sz w:val="22"/>
          <w:szCs w:val="22"/>
          <w:u w:val="single"/>
          <w:lang w:val="es-CO" w:eastAsia="en-US"/>
        </w:rPr>
      </w:pPr>
      <w:r w:rsidRPr="00EA33A0">
        <w:rPr>
          <w:rFonts w:ascii="Bookman Old Style" w:hAnsi="Bookman Old Style" w:cs="Arial"/>
          <w:spacing w:val="-5"/>
          <w:sz w:val="22"/>
          <w:szCs w:val="22"/>
          <w:u w:val="single"/>
          <w:lang w:val="es-CO" w:eastAsia="en-US"/>
        </w:rPr>
        <w:t>b.</w:t>
      </w:r>
      <w:r w:rsidRPr="00EA33A0">
        <w:rPr>
          <w:rFonts w:ascii="Bookman Old Style" w:hAnsi="Bookman Old Style" w:cs="Arial"/>
          <w:spacing w:val="-5"/>
          <w:sz w:val="22"/>
          <w:szCs w:val="22"/>
          <w:u w:val="single"/>
          <w:lang w:val="es-CO" w:eastAsia="en-US"/>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6D45B0" w:rsidRPr="00EA33A0" w:rsidRDefault="006D45B0" w:rsidP="006D45B0">
      <w:pPr>
        <w:ind w:left="284" w:right="284"/>
        <w:jc w:val="both"/>
        <w:rPr>
          <w:rFonts w:ascii="Bookman Old Style" w:hAnsi="Bookman Old Style" w:cs="Arial"/>
          <w:spacing w:val="-5"/>
          <w:sz w:val="22"/>
          <w:szCs w:val="22"/>
          <w:u w:val="single"/>
          <w:lang w:val="es-CO" w:eastAsia="en-US"/>
        </w:rPr>
      </w:pPr>
    </w:p>
    <w:p w:rsidR="006D45B0" w:rsidRPr="00EA33A0" w:rsidRDefault="006D45B0" w:rsidP="006D45B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u w:val="single"/>
          <w:lang w:val="es-CO" w:eastAsia="en-US"/>
        </w:rPr>
        <w:t>c.</w:t>
      </w:r>
      <w:r w:rsidRPr="00EA33A0">
        <w:rPr>
          <w:rFonts w:ascii="Bookman Old Style" w:hAnsi="Bookman Old Style" w:cs="Arial"/>
          <w:spacing w:val="-5"/>
          <w:sz w:val="22"/>
          <w:szCs w:val="22"/>
          <w:u w:val="single"/>
          <w:lang w:val="es-CO" w:eastAsia="en-US"/>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EA33A0">
        <w:rPr>
          <w:rFonts w:ascii="Bookman Old Style" w:hAnsi="Bookman Old Style" w:cs="Arial"/>
          <w:spacing w:val="-5"/>
          <w:sz w:val="22"/>
          <w:szCs w:val="22"/>
          <w:lang w:val="es-CO" w:eastAsia="en-US"/>
        </w:rPr>
        <w:t xml:space="preserve"> (Resaltado fuera de texto)</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En concordancia con lo anterior, en relación con la obligación de los distribuidores de llevar a cabo el </w:t>
      </w:r>
      <w:r w:rsidRPr="00EA33A0">
        <w:rPr>
          <w:rFonts w:ascii="Bookman Old Style" w:hAnsi="Bookman Old Style"/>
          <w:lang w:val="es-ES_tradnl"/>
        </w:rPr>
        <w:t>reporte</w:t>
      </w:r>
      <w:r w:rsidRPr="00EA33A0">
        <w:rPr>
          <w:rFonts w:ascii="Bookman Old Style" w:hAnsi="Bookman Old Style" w:cs="Arial"/>
          <w:spacing w:val="-5"/>
          <w:lang w:val="es-CO" w:eastAsia="en-US"/>
        </w:rPr>
        <w:t xml:space="preserve"> y uso de la marca que identifica los cilindros de su propiedad, el artículo 11 del reglamento de distribución y comercialización minorista de GLP estableció lo siguiente:</w:t>
      </w:r>
    </w:p>
    <w:p w:rsidR="006D45B0" w:rsidRPr="00EA33A0" w:rsidRDefault="006D45B0" w:rsidP="006D45B0">
      <w:pPr>
        <w:ind w:left="0"/>
        <w:jc w:val="both"/>
        <w:rPr>
          <w:rFonts w:ascii="Bookman Old Style" w:hAnsi="Bookman Old Style" w:cs="Arial"/>
          <w:spacing w:val="-5"/>
          <w:lang w:val="es-CO" w:eastAsia="en-US"/>
        </w:rPr>
      </w:pPr>
    </w:p>
    <w:p w:rsidR="006D45B0" w:rsidRPr="00EA33A0" w:rsidRDefault="006D45B0" w:rsidP="006D45B0">
      <w:pPr>
        <w:numPr>
          <w:ilvl w:val="1"/>
          <w:numId w:val="0"/>
        </w:numPr>
        <w:suppressAutoHyphens/>
        <w:ind w:left="284" w:right="284"/>
        <w:jc w:val="both"/>
        <w:outlineLvl w:val="1"/>
        <w:rPr>
          <w:rFonts w:ascii="Bookman Old Style" w:hAnsi="Bookman Old Style" w:cs="Arial"/>
          <w:spacing w:val="-3"/>
          <w:sz w:val="22"/>
          <w:szCs w:val="22"/>
          <w:lang w:val="es-ES_tradnl" w:eastAsia="es-CO"/>
        </w:rPr>
      </w:pPr>
      <w:r w:rsidRPr="00EA33A0">
        <w:rPr>
          <w:rFonts w:ascii="Bookman Old Style" w:hAnsi="Bookman Old Style" w:cs="Arial"/>
          <w:b/>
          <w:bCs/>
          <w:spacing w:val="-3"/>
          <w:sz w:val="22"/>
          <w:szCs w:val="22"/>
          <w:lang w:val="es-CO" w:eastAsia="es-CO"/>
        </w:rPr>
        <w:t>“Artículo 11</w:t>
      </w:r>
      <w:r w:rsidRPr="00EA33A0">
        <w:rPr>
          <w:rFonts w:ascii="Bookman Old Style" w:hAnsi="Bookman Old Style" w:cs="Arial"/>
          <w:b/>
          <w:bCs/>
          <w:spacing w:val="-3"/>
          <w:sz w:val="22"/>
          <w:szCs w:val="22"/>
          <w:lang w:val="es-ES_tradnl" w:eastAsia="es-CO"/>
        </w:rPr>
        <w:t xml:space="preserve">. OBLIGACIONES DEL DISTRIBUIDOR EN EL REPORTE Y USO DE LA MARCA QUE IDENTIFICA LOS CILINDROS DE SU PROPIEDAD.   </w:t>
      </w:r>
      <w:r w:rsidRPr="00EA33A0">
        <w:rPr>
          <w:rFonts w:ascii="Bookman Old Style" w:hAnsi="Bookman Old Style" w:cs="Arial"/>
          <w:bCs/>
          <w:spacing w:val="-3"/>
          <w:sz w:val="22"/>
          <w:szCs w:val="22"/>
          <w:lang w:val="es-ES_tradnl" w:eastAsia="es-CO"/>
        </w:rPr>
        <w:t>La</w:t>
      </w:r>
      <w:r w:rsidRPr="00EA33A0">
        <w:rPr>
          <w:rFonts w:ascii="Bookman Old Style" w:hAnsi="Bookman Old Style" w:cs="Arial"/>
          <w:spacing w:val="-3"/>
          <w:sz w:val="22"/>
          <w:szCs w:val="22"/>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r w:rsidRPr="00EA33A0">
        <w:rPr>
          <w:rFonts w:ascii="Bookman Old Style" w:hAnsi="Bookman Old Style" w:cs="Arial"/>
          <w:color w:val="000000"/>
          <w:sz w:val="22"/>
          <w:szCs w:val="22"/>
          <w:lang w:val="es-CO" w:eastAsia="es-CO"/>
        </w:rPr>
        <w:t>El uso de la marca está sujeto a las siguientes reglas:</w:t>
      </w:r>
    </w:p>
    <w:p w:rsidR="006D45B0" w:rsidRPr="00EA33A0" w:rsidRDefault="006D45B0" w:rsidP="006D45B0">
      <w:pPr>
        <w:widowControl w:val="0"/>
        <w:adjustRightInd w:val="0"/>
        <w:ind w:left="284" w:right="284"/>
        <w:jc w:val="both"/>
        <w:textAlignment w:val="baseline"/>
        <w:rPr>
          <w:rFonts w:ascii="Bookman Old Style" w:hAnsi="Bookman Old Style" w:cs="Arial"/>
          <w:color w:val="000000"/>
          <w:sz w:val="22"/>
          <w:szCs w:val="22"/>
          <w:lang w:val="es-CO" w:eastAsia="es-CO"/>
        </w:rPr>
      </w:pPr>
    </w:p>
    <w:p w:rsidR="006D45B0" w:rsidRPr="00EA33A0" w:rsidRDefault="006D45B0" w:rsidP="006D45B0">
      <w:pPr>
        <w:widowControl w:val="0"/>
        <w:numPr>
          <w:ilvl w:val="0"/>
          <w:numId w:val="1"/>
        </w:numPr>
        <w:suppressAutoHyphens/>
        <w:adjustRightInd w:val="0"/>
        <w:spacing w:after="200" w:line="276" w:lineRule="auto"/>
        <w:ind w:left="284" w:right="284" w:firstLine="0"/>
        <w:jc w:val="both"/>
        <w:textAlignment w:val="baseline"/>
        <w:rPr>
          <w:rFonts w:ascii="Bookman Old Style" w:hAnsi="Bookman Old Style" w:cs="Arial"/>
          <w:spacing w:val="-3"/>
          <w:sz w:val="22"/>
          <w:szCs w:val="22"/>
          <w:lang w:val="es-ES_tradnl"/>
        </w:rPr>
      </w:pPr>
      <w:r w:rsidRPr="00EA33A0">
        <w:rPr>
          <w:rFonts w:ascii="Bookman Old Style" w:hAnsi="Bookman Old Style" w:cs="Arial"/>
          <w:color w:val="000000"/>
          <w:sz w:val="22"/>
          <w:szCs w:val="22"/>
          <w:lang w:val="es-CO" w:eastAsia="es-CO"/>
        </w:rPr>
        <w:t>Un distribuidor podrá tener varias marcas, cumpliendo en cada caso con el reporte ante la Superintendencia de Servicios Públicos Domiciliarios.</w:t>
      </w:r>
    </w:p>
    <w:p w:rsidR="006D45B0" w:rsidRPr="00EA33A0"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6D45B0" w:rsidRPr="00EA33A0"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Nunca se podrá transferir la marca a más de un distribuidor.</w:t>
      </w:r>
    </w:p>
    <w:p w:rsidR="006D45B0" w:rsidRPr="003038FF" w:rsidRDefault="006D45B0" w:rsidP="006D45B0">
      <w:pPr>
        <w:widowControl w:val="0"/>
        <w:numPr>
          <w:ilvl w:val="0"/>
          <w:numId w:val="1"/>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Una marca no puede ser reportada por más de un distribuidor.”</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 xml:space="preserve">Teniendo en cuenta lo anterior, mediante Resolución SSPD 20141300040755 de 2014 de la Superintendencia de Servicios Públicos Domiciliarios se establecieron los plazos y formatos para el reporte de tal información al SUI, de la misma forma que se dispuso que dicha información se utilizará para ejercer un control de los cilindros marcados que cada agente ha introducido al mercado para atender sus </w:t>
      </w:r>
      <w:r w:rsidRPr="00EA33A0">
        <w:rPr>
          <w:rFonts w:ascii="Bookman Old Style" w:hAnsi="Bookman Old Style"/>
          <w:lang w:val="es-ES_tradnl"/>
        </w:rPr>
        <w:lastRenderedPageBreak/>
        <w:t>usuarios. Lo anterior, atendiendo la información de cilindros marcados de cada agente que debe reportar al SUI de conformidad de las resoluciones CREG 045 de 2008 y CREG 177 de 2011.</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En este sentido, la información oficial correspondiente a los cilindros marcados de los distribuidores, Sistema de Información de Cilindros Marcados (SICMA) a partir de la información e</w:t>
      </w:r>
      <w:r w:rsidR="00E33BD8">
        <w:rPr>
          <w:rFonts w:ascii="Bookman Old Style" w:hAnsi="Bookman Old Style"/>
          <w:lang w:val="es-ES_tradnl"/>
        </w:rPr>
        <w:t>ntregada por la interventoría A</w:t>
      </w:r>
      <w:r w:rsidRPr="00EA33A0">
        <w:rPr>
          <w:rFonts w:ascii="Bookman Old Style" w:hAnsi="Bookman Old Style"/>
          <w:lang w:val="es-ES_tradnl"/>
        </w:rPr>
        <w:t>C</w:t>
      </w:r>
      <w:r w:rsidR="00E33BD8">
        <w:rPr>
          <w:rFonts w:ascii="Bookman Old Style" w:hAnsi="Bookman Old Style"/>
          <w:lang w:val="es-ES_tradnl"/>
        </w:rPr>
        <w:t>I</w:t>
      </w:r>
      <w:r w:rsidRPr="00EA33A0">
        <w:rPr>
          <w:rFonts w:ascii="Bookman Old Style" w:hAnsi="Bookman Old Style"/>
          <w:lang w:val="es-ES_tradnl"/>
        </w:rPr>
        <w:t xml:space="preserve">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EA33A0">
        <w:rPr>
          <w:rFonts w:ascii="Bookman Old Style" w:hAnsi="Bookman Old Style"/>
          <w:lang w:val="es-ES_tradnl"/>
        </w:rPr>
        <w:footnoteReference w:id="2"/>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rPr>
      </w:pPr>
      <w:r w:rsidRPr="00EA33A0">
        <w:rPr>
          <w:rFonts w:ascii="Bookman Old Style" w:hAnsi="Bookman Old Style"/>
          <w:lang w:val="es-ES_tradnl"/>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w:t>
      </w:r>
      <w:r w:rsidRPr="00EA33A0">
        <w:rPr>
          <w:rFonts w:ascii="Bookman Old Style" w:hAnsi="Bookman Old Style"/>
        </w:rPr>
        <w:t xml:space="preserve"> </w:t>
      </w:r>
      <w:r w:rsidRPr="00EA33A0">
        <w:rPr>
          <w:rFonts w:ascii="Bookman Old Style" w:eastAsia="Calibri" w:hAnsi="Bookman Old Style"/>
          <w:lang w:val="es-CO" w:eastAsia="en-US"/>
        </w:rPr>
        <w:t>ha definido esta actividad de la siguiente forma</w:t>
      </w:r>
      <w:r w:rsidRPr="00EA33A0">
        <w:rPr>
          <w:rFonts w:ascii="Bookman Old Style" w:hAnsi="Bookman Old Style"/>
        </w:rPr>
        <w:t>:</w:t>
      </w:r>
    </w:p>
    <w:p w:rsidR="006D45B0" w:rsidRPr="00EA33A0" w:rsidRDefault="006D45B0" w:rsidP="006D45B0">
      <w:pPr>
        <w:ind w:left="-142" w:right="-142"/>
        <w:jc w:val="both"/>
        <w:rPr>
          <w:rFonts w:ascii="Bookman Old Style" w:hAnsi="Bookman Old Style"/>
          <w:szCs w:val="27"/>
        </w:rPr>
      </w:pPr>
    </w:p>
    <w:p w:rsidR="006D45B0" w:rsidRPr="00EA33A0" w:rsidRDefault="006D45B0" w:rsidP="006D45B0">
      <w:pPr>
        <w:ind w:left="284" w:right="284"/>
        <w:jc w:val="both"/>
        <w:rPr>
          <w:rFonts w:ascii="Bookman Old Style" w:hAnsi="Bookman Old Style"/>
          <w:sz w:val="22"/>
          <w:szCs w:val="22"/>
        </w:rPr>
      </w:pPr>
      <w:r w:rsidRPr="00EA33A0">
        <w:rPr>
          <w:rFonts w:ascii="Bookman Old Style" w:hAnsi="Bookman Old Style"/>
          <w:sz w:val="22"/>
          <w:szCs w:val="22"/>
        </w:rPr>
        <w:t>“</w:t>
      </w:r>
      <w:r w:rsidRPr="00EA33A0">
        <w:rPr>
          <w:rFonts w:ascii="Bookman Old Style" w:hAnsi="Bookman Old Style"/>
          <w:b/>
          <w:sz w:val="22"/>
          <w:szCs w:val="22"/>
        </w:rPr>
        <w:t>Distribución de GLP:</w:t>
      </w:r>
      <w:r w:rsidRPr="00EA33A0">
        <w:rPr>
          <w:rFonts w:ascii="Bookman Old Style" w:hAnsi="Bookman Old Style"/>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6D45B0" w:rsidRPr="00EA33A0" w:rsidRDefault="006D45B0" w:rsidP="006D45B0">
      <w:pPr>
        <w:ind w:left="0"/>
        <w:jc w:val="both"/>
        <w:rPr>
          <w:rFonts w:ascii="Bookman Old Style" w:eastAsia="Calibri" w:hAnsi="Bookman Old Style"/>
          <w:lang w:val="es-CO" w:eastAsia="en-US"/>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szCs w:val="27"/>
        </w:rPr>
        <w:t>D</w:t>
      </w:r>
      <w:r w:rsidRPr="00EA33A0">
        <w:rPr>
          <w:rFonts w:ascii="Bookman Old Style" w:hAnsi="Bookman Old Style"/>
          <w:lang w:val="es-ES_tradnl"/>
        </w:rPr>
        <w:t xml:space="preserve">icha calidad y la realización de esta actividad se establece por parte de esta 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Mediante Auto I-2017-004639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2013 para el segundo periodo de compra.</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lastRenderedPageBreak/>
        <w:t>Atendiendo esta disposición, la Comisión de Regulación de Energía y Gas mediante comunicación con radicado CREG S-2017-003900 de 28 de agosto de 2017 solicitó a la Superintendencia de Servicios Públicos Domiciliarios la información del Sistema de Información de Cilindros Marcados (SICMA) a partir de la información entregada po</w:t>
      </w:r>
      <w:r w:rsidR="00E33BD8">
        <w:rPr>
          <w:rFonts w:ascii="Bookman Old Style" w:hAnsi="Bookman Old Style"/>
          <w:lang w:val="es-ES_tradnl"/>
        </w:rPr>
        <w:t>r la interventoría A</w:t>
      </w:r>
      <w:r w:rsidRPr="00EA33A0">
        <w:rPr>
          <w:rFonts w:ascii="Bookman Old Style" w:hAnsi="Bookman Old Style"/>
          <w:lang w:val="es-ES_tradnl"/>
        </w:rPr>
        <w:t>C</w:t>
      </w:r>
      <w:r w:rsidR="00E33BD8">
        <w:rPr>
          <w:rFonts w:ascii="Bookman Old Style" w:hAnsi="Bookman Old Style"/>
          <w:lang w:val="es-ES_tradnl"/>
        </w:rPr>
        <w:t>I</w:t>
      </w:r>
      <w:r w:rsidRPr="00EA33A0">
        <w:rPr>
          <w:rFonts w:ascii="Bookman Old Style" w:hAnsi="Bookman Old Style"/>
          <w:lang w:val="es-ES_tradnl"/>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EA33A0">
        <w:rPr>
          <w:rFonts w:ascii="Bookman Old Style" w:hAnsi="Bookman Old Style"/>
          <w:lang w:val="es-ES_tradnl"/>
        </w:rPr>
        <w:footnoteReference w:id="3"/>
      </w:r>
      <w:r w:rsidRPr="00EA33A0">
        <w:rPr>
          <w:rFonts w:ascii="Bookman Old Style" w:hAnsi="Bookman Old Style"/>
          <w:lang w:val="es-ES_tradnl"/>
        </w:rPr>
        <w:t xml:space="preserve">.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 </w:t>
      </w: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 los datos obtenidos en la fecha indicada se les hizo una depuración y análisis, que permitió establecer algunas inconsistencias con respecto a la información enviada en ocasiones anteriores. Las siguientes son las observaciones generales que se tienen con respecto a dicha información.</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CILINDROS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lastRenderedPageBreak/>
        <w:t>Se realizó una depuración de la información de cilindros registrados en la base de datos migrada del SICMA, y de la reportada por las empresas por medio del formato 6009 ‘INFORMACIÓN TÉCNICA PARQUE DE CILINDROS MARCADOS’, encontrándose lo siguiente:</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Se encuentran un total de 10.207.537 cilindros activos en el sistema reportados por 56 empresas en 79 marcas. De estos cilindros en la base SICMA Migrado se tienen 6.774.174 fabricados, 1.542.100 adecuados y en el formato 6009 se encuentran 1.891.263 cilindros fabricados. En este punto cabe anotar que se realizó un conteo único de NIF, y se descontaron los cilindros destruidos a la fecha tanto en el SICMA como los reportados en el formato 6009 información técnica del parque de cilindros marcados.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Luego se procedió a verificar en la base de datos la información de las empresas que han cancelado RUPS, las que no han cedido o terminado de ceder la marca en el SUI lo que permitió determinar: i) Se tienen 48 empresas activas a la fecha de corte: ii) las marcas activas fueron 71 y iii) los cilindros reportados por estas empresas fueron 10.119.912.</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Posteriormente se revisaron las capacidades de los cilindros reportados por las empresas, encontrándose las siguientes inconsistencias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 la fecha no se han corregido dichas inconsistencias frente a las capacidades de los cilindros que regularmente son definidas y aceptadas.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En resumen, la información enviada a la CREG es la siguiente: </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empresas con cilindros en base de datos: 48</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marcas que registran cilindros en la base de datos: 71</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Cantidad de cilindros en la base de datos: 10.084.223</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TANQUES ESTACIONARIOS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La información de tanques estacionarios que se envía en esta ocasión, se recolectó sobre consulta directa en la base de datos de lo reportado en el formato ‘C10-TANQUES ESTACIONARIOS’ de la Circular 001 de 2004, El resumen de esta información es el siguiente:</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empresas que reportan tanques para el 2016: 49 </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tanques reportados a la fecha: 29.672 </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Capacidad en galones de los tanques: 11.985.938”</w:t>
      </w:r>
    </w:p>
    <w:p w:rsidR="006D45B0" w:rsidRPr="00EA33A0" w:rsidRDefault="006D45B0" w:rsidP="006D45B0">
      <w:pPr>
        <w:ind w:left="284" w:right="284"/>
        <w:jc w:val="both"/>
        <w:rPr>
          <w:rFonts w:ascii="Bookman Old Style" w:hAnsi="Bookman Old Style"/>
          <w:i/>
          <w:szCs w:val="27"/>
        </w:rPr>
      </w:pPr>
    </w:p>
    <w:p w:rsidR="006D45B0" w:rsidRPr="00EA33A0" w:rsidRDefault="006D45B0" w:rsidP="006D45B0">
      <w:pPr>
        <w:pStyle w:val="Textoindependiente2"/>
        <w:spacing w:after="0" w:line="240" w:lineRule="auto"/>
        <w:ind w:left="-142" w:right="-142"/>
        <w:jc w:val="both"/>
        <w:rPr>
          <w:rFonts w:ascii="Bookman Old Style" w:hAnsi="Bookman Old Style"/>
          <w:szCs w:val="27"/>
        </w:rPr>
      </w:pPr>
      <w:r w:rsidRPr="00EA33A0">
        <w:rPr>
          <w:rFonts w:ascii="Bookman Old Style" w:hAnsi="Bookman Old Style"/>
          <w:szCs w:val="27"/>
        </w:rPr>
        <w:t xml:space="preserve">Posteriormente, mediante comunicación 20172301474701, con radicado CREG E-2017-009607, la </w:t>
      </w:r>
      <w:r w:rsidRPr="00EA33A0">
        <w:rPr>
          <w:rFonts w:ascii="Bookman Old Style" w:hAnsi="Bookman Old Style"/>
          <w:lang w:val="es-ES_tradnl"/>
        </w:rPr>
        <w:t>Superintendencia</w:t>
      </w:r>
      <w:r w:rsidRPr="00EA33A0">
        <w:rPr>
          <w:rFonts w:ascii="Bookman Old Style" w:hAnsi="Bookman Old Style"/>
          <w:szCs w:val="27"/>
        </w:rPr>
        <w:t xml:space="preserve"> dio alcance a la comunicación inicial exponiendo adicionalmente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“La Superintendencia de Servicios Públicos Domiciliarios – SSPD, a través del radicado del asunto remitió a su despacho la información del Sistema de Información de cilindros Marcados – SICMA, recolectada por la auditoria del programa ACI Proyectos hasta julio de 2012 e información de Tanques Estacionarios recolectada mediante el Formato C10 ‘Información Tanques Estacionarios’ de conformidad a la circular SSPD-CREG 001 de 2004, para calcular la capacidad de compra de la que trata el artículo 8 de la Resolución CREG063 de 2016, aplicable al primer semestre del año 2018, con corte de consulta de información 17 de septiembre de 2017. </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lo anterior, se precisa que la Dirección Técnica de Gestión de Gas Combustible – DTGGC, realizó una depuración de la información de cilindros registrados en la base de datos migrada del SICMA y de la reportada por las empresas a través del Formato 6009 ‘INFORMACIÓN TÉCNICA PARQUE DE CILINDROS MARCADOS’, donde se aplicó un conteo único de cada NIF (conjunto de campos, correspondientes al año de fabricación, código de identificación del fabricante y consecutivo de fabricación del cilindro) y se descontaron los cilindros que fueron destruidos.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Adicionalmente, dentro de las funciones de vigilancia, inspección y control que realiza la Superintendencia de Servicios Públicos Domiciliarios – SSPD, ésta Dirección Técnica adelantó las siguientes acciones de verificación de calidad y oportunidad de la información que deben reportar los prestadores del servicio público domiciliario, a través del Sistema Único de Información – SUI, a saber:</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numPr>
          <w:ilvl w:val="0"/>
          <w:numId w:val="2"/>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Para las empresas listadas a continuación, se requirió realizar la reversión de la información reportada al SUI, para algunos periodos del Formato: 6009 ‘INFORMACIÓN TÉCNICA PARQUE DE CILINDROS MARCADOS’, teniendo en cuenta que se encontraron anomalías en las capacidades de los cilindros cargadas y certificadas de conformidad a la normatividad técnica vigente para fabricación de cilindros</w:t>
      </w:r>
      <w:r w:rsidRPr="00EA33A0">
        <w:rPr>
          <w:rFonts w:ascii="Bookman Old Style" w:hAnsi="Bookman Old Style"/>
          <w:i/>
          <w:sz w:val="22"/>
          <w:szCs w:val="22"/>
        </w:rPr>
        <w:footnoteReference w:id="4"/>
      </w:r>
      <w:r w:rsidRPr="00EA33A0">
        <w:rPr>
          <w:rFonts w:ascii="Bookman Old Style" w:hAnsi="Bookman Old Style"/>
          <w:i/>
          <w:sz w:val="22"/>
          <w:szCs w:val="22"/>
        </w:rPr>
        <w:t>.</w:t>
      </w:r>
    </w:p>
    <w:p w:rsidR="006D45B0" w:rsidRPr="00EA33A0" w:rsidRDefault="006D45B0" w:rsidP="006D45B0">
      <w:pPr>
        <w:ind w:left="644" w:right="284"/>
        <w:jc w:val="both"/>
        <w:rPr>
          <w:rFonts w:ascii="Bookman Old Style" w:hAnsi="Bookman Old Style"/>
          <w:i/>
          <w:sz w:val="22"/>
          <w:szCs w:val="22"/>
        </w:rPr>
      </w:pPr>
      <w:r w:rsidRPr="00EA33A0">
        <w:rPr>
          <w:rFonts w:ascii="Bookman Old Style" w:hAnsi="Bookman Old Style"/>
          <w:i/>
          <w:sz w:val="22"/>
          <w:szCs w:val="22"/>
        </w:rPr>
        <w:t>(…)</w:t>
      </w:r>
    </w:p>
    <w:p w:rsidR="006D45B0" w:rsidRPr="00EA33A0" w:rsidRDefault="006D45B0" w:rsidP="006D45B0">
      <w:pPr>
        <w:ind w:left="644" w:right="284"/>
        <w:jc w:val="both"/>
        <w:rPr>
          <w:rFonts w:ascii="Bookman Old Style" w:hAnsi="Bookman Old Style"/>
          <w:i/>
          <w:sz w:val="22"/>
          <w:szCs w:val="22"/>
        </w:rPr>
      </w:pPr>
    </w:p>
    <w:p w:rsidR="006D45B0" w:rsidRPr="00EA33A0" w:rsidRDefault="006D45B0" w:rsidP="006D45B0">
      <w:pPr>
        <w:numPr>
          <w:ilvl w:val="0"/>
          <w:numId w:val="2"/>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La DTGGC, informó a las empresas distribuidoras del servicio de Gas Licuado del Petróleo – GLP, que las capacidades de los cilindros en sus diferentes presentaciones son las siguientes:</w:t>
      </w:r>
    </w:p>
    <w:p w:rsidR="006D45B0" w:rsidRPr="00EA33A0" w:rsidRDefault="006D45B0" w:rsidP="006D45B0">
      <w:pPr>
        <w:ind w:left="644" w:right="284"/>
        <w:jc w:val="both"/>
        <w:rPr>
          <w:rFonts w:ascii="Bookman Old Style" w:hAnsi="Bookman Old Style"/>
          <w:szCs w:val="27"/>
        </w:rPr>
      </w:pPr>
    </w:p>
    <w:tbl>
      <w:tblPr>
        <w:tblW w:w="0" w:type="auto"/>
        <w:jc w:val="center"/>
        <w:tblLayout w:type="fixed"/>
        <w:tblCellMar>
          <w:left w:w="70" w:type="dxa"/>
          <w:right w:w="70" w:type="dxa"/>
        </w:tblCellMar>
        <w:tblLook w:val="0000" w:firstRow="0" w:lastRow="0" w:firstColumn="0" w:lastColumn="0" w:noHBand="0" w:noVBand="0"/>
      </w:tblPr>
      <w:tblGrid>
        <w:gridCol w:w="1701"/>
        <w:gridCol w:w="2409"/>
        <w:gridCol w:w="1003"/>
      </w:tblGrid>
      <w:tr w:rsidR="006D45B0" w:rsidRPr="00EA33A0" w:rsidTr="0066171D">
        <w:trPr>
          <w:trHeight w:val="506"/>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Código Cilindro</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Descripción del Cilindro</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Capacidad en Kg</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CIL15</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15 libras</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7</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9</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CIL24</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24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11</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CIL30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30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CIL40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40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18</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CIL80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80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35</w:t>
            </w:r>
          </w:p>
        </w:tc>
      </w:tr>
      <w:tr w:rsidR="006D45B0" w:rsidRPr="00EA33A0" w:rsidTr="0066171D">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CIL100</w:t>
            </w:r>
          </w:p>
        </w:tc>
        <w:tc>
          <w:tcPr>
            <w:tcW w:w="2409"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45</w:t>
            </w:r>
          </w:p>
        </w:tc>
      </w:tr>
    </w:tbl>
    <w:p w:rsidR="006D45B0" w:rsidRPr="00EA33A0" w:rsidRDefault="006D45B0" w:rsidP="006D45B0">
      <w:pPr>
        <w:tabs>
          <w:tab w:val="left" w:pos="3425"/>
        </w:tabs>
        <w:spacing w:after="200" w:line="276" w:lineRule="auto"/>
        <w:ind w:left="0"/>
        <w:jc w:val="center"/>
        <w:rPr>
          <w:rFonts w:ascii="Arial" w:eastAsia="Calibri" w:hAnsi="Arial" w:cs="Arial"/>
          <w:sz w:val="18"/>
          <w:szCs w:val="18"/>
          <w:lang w:val="es-CO" w:eastAsia="en-US"/>
        </w:rPr>
      </w:pPr>
      <w:r w:rsidRPr="00EA33A0">
        <w:rPr>
          <w:rFonts w:ascii="Arial" w:eastAsia="Calibri" w:hAnsi="Arial" w:cs="Arial"/>
          <w:sz w:val="18"/>
          <w:szCs w:val="18"/>
          <w:lang w:val="es-CO" w:eastAsia="en-US"/>
        </w:rPr>
        <w:t>Tabla. Capacidad de cilindros</w:t>
      </w:r>
    </w:p>
    <w:p w:rsidR="006D45B0" w:rsidRPr="00EA33A0" w:rsidRDefault="006D45B0" w:rsidP="006D45B0">
      <w:pPr>
        <w:ind w:left="644" w:right="284"/>
        <w:jc w:val="both"/>
        <w:rPr>
          <w:rFonts w:ascii="Bookman Old Style" w:hAnsi="Bookman Old Style"/>
          <w:i/>
          <w:sz w:val="22"/>
          <w:szCs w:val="22"/>
        </w:rPr>
      </w:pPr>
      <w:r w:rsidRPr="00EA33A0">
        <w:rPr>
          <w:rFonts w:ascii="Bookman Old Style" w:hAnsi="Bookman Old Style"/>
          <w:i/>
          <w:sz w:val="22"/>
          <w:szCs w:val="22"/>
        </w:rPr>
        <w:t>De esta manera, se envió requerimiento individual a las siguientes empresas, manifestando expresamente la no inclusión de cilindros con capacidades diferentes a las anteriormente referenciadas (…)</w:t>
      </w:r>
    </w:p>
    <w:p w:rsidR="006D45B0" w:rsidRPr="00EA33A0" w:rsidRDefault="006D45B0" w:rsidP="006D45B0">
      <w:pPr>
        <w:ind w:left="644" w:right="284"/>
        <w:jc w:val="both"/>
        <w:rPr>
          <w:rFonts w:ascii="Bookman Old Style" w:hAnsi="Bookman Old Style"/>
          <w:i/>
          <w:sz w:val="22"/>
          <w:szCs w:val="22"/>
          <w:lang w:val="es-CO"/>
        </w:rPr>
      </w:pPr>
    </w:p>
    <w:p w:rsidR="006D45B0" w:rsidRPr="00EA33A0" w:rsidRDefault="006D45B0" w:rsidP="006D45B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 xml:space="preserve">Así mismo, se informó que la capacidad del cilindro en el Formato ‘Información Técnica del Parque de Cilindros Marcados’, debe ser reportada en </w:t>
      </w:r>
      <w:r w:rsidRPr="00EA33A0">
        <w:rPr>
          <w:rFonts w:ascii="Bookman Old Style" w:eastAsia="Calibri" w:hAnsi="Bookman Old Style" w:cs="Arial"/>
          <w:b/>
          <w:i/>
          <w:sz w:val="22"/>
          <w:szCs w:val="22"/>
          <w:lang w:val="es-CO" w:eastAsia="en-US"/>
        </w:rPr>
        <w:t>Kilogramos</w:t>
      </w:r>
      <w:r w:rsidRPr="00EA33A0">
        <w:rPr>
          <w:rFonts w:ascii="Bookman Old Style" w:eastAsia="Calibri" w:hAnsi="Bookman Old Style" w:cs="Arial"/>
          <w:i/>
          <w:sz w:val="22"/>
          <w:szCs w:val="22"/>
          <w:lang w:val="es-CO" w:eastAsia="en-US"/>
        </w:rPr>
        <w:t xml:space="preserve">, </w:t>
      </w:r>
      <w:r w:rsidRPr="00EA33A0">
        <w:rPr>
          <w:rFonts w:ascii="Bookman Old Style" w:eastAsia="Calibri" w:hAnsi="Bookman Old Style" w:cs="Arial"/>
          <w:i/>
          <w:sz w:val="22"/>
          <w:szCs w:val="22"/>
          <w:lang w:val="es-CO" w:eastAsia="en-US"/>
        </w:rPr>
        <w:lastRenderedPageBreak/>
        <w:t xml:space="preserve">conforme a lo establecido en la Resolución </w:t>
      </w:r>
      <w:r w:rsidRPr="00EA33A0">
        <w:rPr>
          <w:rFonts w:ascii="Bookman Old Style" w:eastAsia="Arial" w:hAnsi="Bookman Old Style" w:cs="Arial"/>
          <w:i/>
          <w:sz w:val="22"/>
          <w:szCs w:val="22"/>
          <w:lang w:val="es-CO" w:eastAsia="en-US"/>
        </w:rPr>
        <w:t>SSPD No. 20141300040755 de 2014</w:t>
      </w:r>
      <w:r w:rsidRPr="00EA33A0">
        <w:rPr>
          <w:rFonts w:ascii="Bookman Old Style" w:eastAsia="Calibri" w:hAnsi="Bookman Old Style" w:cs="Arial"/>
          <w:i/>
          <w:sz w:val="22"/>
          <w:szCs w:val="22"/>
          <w:lang w:val="es-CO" w:eastAsia="en-US"/>
        </w:rPr>
        <w:t>, y se advirtió que los cilindros reportados con capacidades que no se ajusten a la normatividad vigente, no se tendrán en cuenta en el informe que la Comisión de Regulación de Energía y Gas – CREG, requiera para el cálculo de la capacidad de compra de la que trata la Resolución CREG 063 de 2016.</w:t>
      </w:r>
    </w:p>
    <w:p w:rsidR="006D45B0" w:rsidRPr="00EA33A0" w:rsidRDefault="006D45B0" w:rsidP="006D45B0">
      <w:pPr>
        <w:ind w:left="0" w:right="284"/>
        <w:jc w:val="both"/>
        <w:rPr>
          <w:rFonts w:ascii="Bookman Old Style" w:eastAsia="Calibri" w:hAnsi="Bookman Old Style" w:cs="Arial"/>
          <w:i/>
          <w:sz w:val="22"/>
          <w:szCs w:val="22"/>
          <w:lang w:val="es-CO" w:eastAsia="en-US"/>
        </w:rPr>
      </w:pPr>
    </w:p>
    <w:p w:rsidR="006D45B0" w:rsidRPr="00EA33A0" w:rsidRDefault="006D45B0" w:rsidP="006D45B0">
      <w:pPr>
        <w:numPr>
          <w:ilvl w:val="0"/>
          <w:numId w:val="2"/>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 DTGGC, a través de los siguientes radicados, informó a las empresas distribuidoras del servicio de Gas Licuado del Petróleo – GLP, el ejercicio realizado de depuración de información de cilindros y remitió información actualizada de cilindros activos que reposa en la base de datos del SUI, mediante la siguiente estructura:</w:t>
      </w:r>
    </w:p>
    <w:p w:rsidR="006D45B0" w:rsidRPr="00EA33A0" w:rsidRDefault="006D45B0" w:rsidP="006D45B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1818"/>
        <w:gridCol w:w="1584"/>
        <w:gridCol w:w="5548"/>
      </w:tblGrid>
      <w:tr w:rsidR="006D45B0" w:rsidRPr="00EA33A0" w:rsidTr="0066171D">
        <w:trPr>
          <w:trHeight w:val="525"/>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CAMPO</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FORMATO TIPO TEXTO</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DESCRIPCIÓN</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AÑO DE FABRICACIÓN</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 los dos últimos dígitos del año de fabricación del cilindro, es decir desde "00" hasta "99". Formato tipo texto.</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IDENTIFICACIÓN DEL FABRICANTE</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código asignado por la Superintendencia de Industria y Comercio, SIC. Formato tipo texto, 6 caracteres. Éste código podrá ser consultado en el SUI, en el Reporte: Fuente de información para el cargue del formato SICMA.</w:t>
            </w:r>
          </w:p>
        </w:tc>
      </w:tr>
      <w:tr w:rsidR="006D45B0" w:rsidRPr="00EA33A0" w:rsidTr="0066171D">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CONSECUTIVO DE FABRICACIÓN</w:t>
            </w:r>
          </w:p>
        </w:tc>
        <w:tc>
          <w:tcPr>
            <w:tcW w:w="1584" w:type="dxa"/>
            <w:tcBorders>
              <w:top w:val="single" w:sz="4" w:space="0" w:color="000000"/>
              <w:left w:val="single" w:sz="4" w:space="0" w:color="000000"/>
              <w:bottom w:val="single" w:sz="4" w:space="0" w:color="000000"/>
            </w:tcBorders>
            <w:shd w:val="clear" w:color="auto" w:fill="auto"/>
            <w:vAlign w:val="center"/>
          </w:tcPr>
          <w:p w:rsidR="006D45B0" w:rsidRPr="00EA33A0" w:rsidRDefault="006D45B0" w:rsidP="0066171D">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45B0" w:rsidRPr="00EA33A0" w:rsidRDefault="006D45B0" w:rsidP="0066171D">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número de consecutivo anual de fabricación del cilindro. Formato tipo texto, seis (6) caracteres.</w:t>
            </w:r>
          </w:p>
        </w:tc>
      </w:tr>
    </w:tbl>
    <w:p w:rsidR="006D45B0" w:rsidRPr="00EA33A0" w:rsidRDefault="006D45B0" w:rsidP="006D45B0">
      <w:pPr>
        <w:ind w:left="0" w:right="284"/>
        <w:jc w:val="both"/>
        <w:rPr>
          <w:rFonts w:ascii="Bookman Old Style" w:eastAsia="Calibri" w:hAnsi="Bookman Old Style" w:cs="Arial"/>
          <w:sz w:val="22"/>
          <w:szCs w:val="22"/>
          <w:lang w:val="es-CO" w:eastAsia="en-US"/>
        </w:rPr>
      </w:pPr>
    </w:p>
    <w:p w:rsidR="006D45B0" w:rsidRPr="00EA33A0" w:rsidRDefault="006D45B0" w:rsidP="006D45B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Las empresas informadas son las siguientes: (…)</w:t>
      </w:r>
    </w:p>
    <w:p w:rsidR="006D45B0" w:rsidRPr="00EA33A0" w:rsidRDefault="006D45B0" w:rsidP="006D45B0">
      <w:pPr>
        <w:ind w:left="284" w:right="284"/>
        <w:jc w:val="both"/>
        <w:rPr>
          <w:rFonts w:ascii="Bookman Old Style" w:eastAsia="Calibri" w:hAnsi="Bookman Old Style" w:cs="Arial"/>
          <w:i/>
          <w:sz w:val="22"/>
          <w:szCs w:val="22"/>
          <w:lang w:val="es-CO" w:eastAsia="en-US"/>
        </w:rPr>
      </w:pPr>
    </w:p>
    <w:p w:rsidR="006D45B0" w:rsidRPr="00EA33A0" w:rsidRDefault="006D45B0" w:rsidP="006D45B0">
      <w:pPr>
        <w:numPr>
          <w:ilvl w:val="0"/>
          <w:numId w:val="2"/>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Finalmente, se encontró que las siguientes empresas a pesar de haber finalizado la prestación de la actividad de distribución del servicio de GLP, a la fecha de corte de remisión de la información a la CREG, con el fin de calcular la capacidad de compra que nos ocupa, no realizaron la cesión de algunas de sus marcas en el SUI, razón por la cual aquellos cilindros que rotan bajo estas marcas, no serán tenidos en cuenta para el cálculo de la capacidad de compra de las empresas que no hayan finalizado el proceso de cesión de marca en el Sistema Único de Información - SUI. Dichas marcas son:</w:t>
      </w:r>
    </w:p>
    <w:p w:rsidR="006D45B0" w:rsidRPr="00EA33A0" w:rsidRDefault="006D45B0" w:rsidP="006D45B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746"/>
        <w:gridCol w:w="1688"/>
      </w:tblGrid>
      <w:tr w:rsidR="006D45B0" w:rsidRPr="00EA33A0" w:rsidTr="0066171D">
        <w:trPr>
          <w:trHeight w:val="247"/>
          <w:tblHeader/>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ID</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MARCA</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1585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INTERGAS</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2308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GASDELPAEZ</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1958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GASSUROESTE</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1719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GASMEDELLIN</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22261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SOLGASGEL</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1807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GASPAISOCCI</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2172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SERVIGAS</w:t>
            </w:r>
          </w:p>
        </w:tc>
      </w:tr>
      <w:tr w:rsidR="006D45B0" w:rsidRPr="00EA33A0" w:rsidTr="0066171D">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6D45B0" w:rsidRPr="00EA33A0" w:rsidRDefault="006D45B0" w:rsidP="0066171D">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540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6D45B0" w:rsidRPr="00EA33A0" w:rsidRDefault="006D45B0" w:rsidP="0066171D">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VIDAGAS 1</w:t>
            </w:r>
          </w:p>
        </w:tc>
      </w:tr>
    </w:tbl>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Comisión al contar con la información oficial, pertinente, necesaria y útil procedió a llevar a cabo el cálculo para la definición de la capacidad de compra a que hace </w:t>
      </w:r>
      <w:r w:rsidRPr="00EC3BB2">
        <w:rPr>
          <w:rFonts w:ascii="Bookman Old Style" w:hAnsi="Bookman Old Style" w:cs="Arial"/>
          <w:spacing w:val="-5"/>
          <w:lang w:val="es-CO" w:eastAsia="en-US"/>
        </w:rPr>
        <w:lastRenderedPageBreak/>
        <w:t>referencia el artículo 8 de la Resol</w:t>
      </w:r>
      <w:r>
        <w:rPr>
          <w:rFonts w:ascii="Bookman Old Style" w:hAnsi="Bookman Old Style" w:cs="Arial"/>
          <w:spacing w:val="-5"/>
          <w:lang w:val="es-CO" w:eastAsia="en-US"/>
        </w:rPr>
        <w:t xml:space="preserve">ución CREG 063 de 2016, mediante la Resolución CREG 168 de 2017, </w:t>
      </w:r>
      <w:r w:rsidRPr="00634EB8">
        <w:rPr>
          <w:rFonts w:ascii="Bookman Old Style" w:eastAsia="MS Mincho" w:hAnsi="Bookman Old Style" w:cs="Arial"/>
          <w:lang w:eastAsia="en-US"/>
        </w:rPr>
        <w:t xml:space="preserve">aplicable para el </w:t>
      </w:r>
      <w:r>
        <w:rPr>
          <w:rFonts w:ascii="Bookman Old Style" w:eastAsia="MS Mincho" w:hAnsi="Bookman Old Style" w:cs="Arial"/>
          <w:lang w:eastAsia="en-US"/>
        </w:rPr>
        <w:t>tercer</w:t>
      </w:r>
      <w:r w:rsidRPr="00634EB8">
        <w:rPr>
          <w:rFonts w:ascii="Bookman Old Style" w:eastAsia="MS Mincho" w:hAnsi="Bookman Old Style" w:cs="Arial"/>
          <w:lang w:eastAsia="en-US"/>
        </w:rPr>
        <w:t xml:space="preserve"> período de compr</w:t>
      </w:r>
      <w:r>
        <w:rPr>
          <w:rFonts w:ascii="Bookman Old Style" w:eastAsia="MS Mincho" w:hAnsi="Bookman Old Style" w:cs="Arial"/>
          <w:lang w:eastAsia="en-US"/>
        </w:rPr>
        <w:t>a</w:t>
      </w:r>
      <w:r w:rsidRPr="00EC3BB2">
        <w:rPr>
          <w:rFonts w:ascii="Bookman Old Style" w:hAnsi="Bookman Old Style" w:cs="Arial"/>
          <w:spacing w:val="-5"/>
          <w:lang w:val="es-CO" w:eastAsia="en-US"/>
        </w:rPr>
        <w:t>. Los cálculos y la información que se tuvo en cuenta para la publicación de esta capacidad se encuentran consignados en los</w:t>
      </w:r>
      <w:r>
        <w:rPr>
          <w:rFonts w:ascii="Bookman Old Style" w:hAnsi="Bookman Old Style" w:cs="Arial"/>
          <w:spacing w:val="-5"/>
          <w:lang w:val="es-CO" w:eastAsia="en-US"/>
        </w:rPr>
        <w:t xml:space="preserve"> Anexos que hace parte de dicha resolución</w:t>
      </w:r>
      <w:r w:rsidRPr="00EC3BB2">
        <w:rPr>
          <w:rFonts w:ascii="Bookman Old Style" w:hAnsi="Bookman Old Style" w:cs="Arial"/>
          <w:spacing w:val="-5"/>
          <w:lang w:val="es-CO" w:eastAsia="en-US"/>
        </w:rPr>
        <w:t>.</w:t>
      </w:r>
    </w:p>
    <w:p w:rsidR="006D45B0" w:rsidRPr="00EC3BB2" w:rsidRDefault="006D45B0" w:rsidP="006D45B0">
      <w:pPr>
        <w:pStyle w:val="Textoindependiente2"/>
        <w:spacing w:after="0" w:line="240" w:lineRule="auto"/>
        <w:ind w:left="0"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Pr>
          <w:rFonts w:ascii="Bookman Old Style" w:hAnsi="Bookman Old Style" w:cs="Arial"/>
          <w:spacing w:val="-5"/>
          <w:lang w:val="es-CO" w:eastAsia="en-US"/>
        </w:rPr>
        <w:t>168 de 2017</w:t>
      </w:r>
      <w:r w:rsidRPr="00EC3BB2">
        <w:rPr>
          <w:rFonts w:ascii="Bookman Old Style" w:hAnsi="Bookman Old Style" w:cs="Arial"/>
          <w:spacing w:val="-5"/>
          <w:lang w:val="es-CO" w:eastAsia="en-US"/>
        </w:rPr>
        <w:t xml:space="preserve"> se estableció en su artículo 1º lo siguiente:</w:t>
      </w:r>
    </w:p>
    <w:p w:rsidR="006D45B0" w:rsidRPr="00FE6180" w:rsidRDefault="006D45B0" w:rsidP="006D45B0">
      <w:pPr>
        <w:ind w:left="-142" w:right="-142"/>
        <w:jc w:val="both"/>
        <w:rPr>
          <w:rFonts w:ascii="Arial" w:eastAsia="MS Mincho" w:hAnsi="Arial" w:cs="Arial"/>
          <w:sz w:val="22"/>
          <w:szCs w:val="22"/>
          <w:lang w:val="es-CO" w:eastAsia="en-US"/>
        </w:rPr>
      </w:pPr>
    </w:p>
    <w:p w:rsidR="006D45B0" w:rsidRPr="001F7F3A" w:rsidRDefault="006D45B0" w:rsidP="006D45B0">
      <w:pPr>
        <w:ind w:right="-91"/>
        <w:jc w:val="both"/>
        <w:rPr>
          <w:rFonts w:ascii="Bookman Old Style" w:eastAsia="MS Mincho" w:hAnsi="Bookman Old Style" w:cs="Arial"/>
          <w:sz w:val="20"/>
          <w:szCs w:val="20"/>
          <w:lang w:eastAsia="en-US"/>
        </w:rPr>
      </w:pPr>
      <w:r w:rsidRPr="001F7F3A">
        <w:rPr>
          <w:rFonts w:ascii="Bookman Old Style" w:eastAsia="MS Mincho" w:hAnsi="Bookman Old Style" w:cs="Arial"/>
          <w:b/>
          <w:sz w:val="20"/>
          <w:szCs w:val="20"/>
          <w:lang w:eastAsia="en-US"/>
        </w:rPr>
        <w:t xml:space="preserve">“Artículo 1. Capacidad de Compra: </w:t>
      </w:r>
      <w:r w:rsidRPr="00EA33A0">
        <w:rPr>
          <w:rFonts w:ascii="Bookman Old Style" w:eastAsia="MS Mincho" w:hAnsi="Bookman Old Style" w:cs="Arial"/>
          <w:sz w:val="20"/>
          <w:szCs w:val="20"/>
          <w:lang w:eastAsia="en-US"/>
        </w:rPr>
        <w:t>La siguiente corresponde a la Capacidad de Compra en los términos de los artículos 8 y 9 de la Resolución CREG 063 de 2013 para cada uno de los siguientes distribuidores de GLP identificados de acuerdo con el reporte de información en el Sistema único de Información –SUI, así como el Registro Único de Prestadores de Servicios Públicos (RUPS), aplicable para el tercer período de compra:</w:t>
      </w:r>
    </w:p>
    <w:p w:rsidR="006D45B0" w:rsidRPr="001F7F3A" w:rsidRDefault="006D45B0" w:rsidP="006D45B0">
      <w:pPr>
        <w:ind w:left="0" w:right="-91"/>
        <w:jc w:val="both"/>
        <w:rPr>
          <w:rFonts w:ascii="Bookman Old Style" w:eastAsia="MS Mincho" w:hAnsi="Bookman Old Style" w:cs="Arial"/>
          <w:sz w:val="20"/>
          <w:szCs w:val="20"/>
          <w:lang w:eastAsia="en-US"/>
        </w:rPr>
      </w:pPr>
    </w:p>
    <w:tbl>
      <w:tblPr>
        <w:tblW w:w="8501" w:type="dxa"/>
        <w:jc w:val="center"/>
        <w:tblCellMar>
          <w:left w:w="70" w:type="dxa"/>
          <w:right w:w="70" w:type="dxa"/>
        </w:tblCellMar>
        <w:tblLook w:val="04A0" w:firstRow="1" w:lastRow="0" w:firstColumn="1" w:lastColumn="0" w:noHBand="0" w:noVBand="1"/>
      </w:tblPr>
      <w:tblGrid>
        <w:gridCol w:w="1414"/>
        <w:gridCol w:w="5122"/>
        <w:gridCol w:w="24"/>
        <w:gridCol w:w="1941"/>
      </w:tblGrid>
      <w:tr w:rsidR="006D45B0" w:rsidRPr="001F7F3A" w:rsidTr="00BA0D41">
        <w:trPr>
          <w:trHeight w:val="370"/>
          <w:tblHeader/>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Código SUI</w:t>
            </w:r>
          </w:p>
        </w:tc>
        <w:tc>
          <w:tcPr>
            <w:tcW w:w="5122" w:type="dxa"/>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Agente</w:t>
            </w:r>
          </w:p>
        </w:tc>
        <w:tc>
          <w:tcPr>
            <w:tcW w:w="1965" w:type="dxa"/>
            <w:gridSpan w:val="2"/>
            <w:tcBorders>
              <w:top w:val="single" w:sz="4" w:space="0" w:color="auto"/>
              <w:left w:val="nil"/>
              <w:bottom w:val="single" w:sz="4" w:space="0" w:color="auto"/>
              <w:right w:val="single" w:sz="4" w:space="0" w:color="auto"/>
            </w:tcBorders>
            <w:shd w:val="clear" w:color="auto" w:fill="auto"/>
            <w:noWrap/>
            <w:vAlign w:val="center"/>
          </w:tcPr>
          <w:p w:rsidR="006D45B0" w:rsidRPr="001F7F3A" w:rsidRDefault="006D45B0" w:rsidP="0066171D">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 xml:space="preserve">Capacidad de compra </w:t>
            </w:r>
            <m:oMath>
              <m:r>
                <m:rPr>
                  <m:sty m:val="bi"/>
                </m:rPr>
                <w:rPr>
                  <w:rFonts w:ascii="Cambria Math" w:hAnsi="Cambria Math"/>
                  <w:color w:val="000000"/>
                  <w:sz w:val="20"/>
                  <w:szCs w:val="20"/>
                  <w:lang w:val="es-CO" w:eastAsia="es-CO"/>
                </w:rPr>
                <m:t>C</m:t>
              </m:r>
              <m:sSub>
                <m:sSubPr>
                  <m:ctrlPr>
                    <w:rPr>
                      <w:rFonts w:ascii="Cambria Math" w:hAnsi="Cambria Math"/>
                      <w:b/>
                      <w:bCs/>
                      <w:i/>
                      <w:iCs/>
                      <w:color w:val="000000"/>
                      <w:sz w:val="20"/>
                      <w:szCs w:val="20"/>
                      <w:lang w:val="es-CO" w:eastAsia="es-CO"/>
                    </w:rPr>
                  </m:ctrlPr>
                </m:sSubPr>
                <m:e>
                  <m:r>
                    <m:rPr>
                      <m:sty m:val="bi"/>
                    </m:rPr>
                    <w:rPr>
                      <w:rFonts w:ascii="Cambria Math" w:hAnsi="Cambria Math"/>
                      <w:color w:val="000000"/>
                      <w:sz w:val="20"/>
                      <w:szCs w:val="20"/>
                      <w:lang w:val="es-CO" w:eastAsia="es-CO"/>
                    </w:rPr>
                    <m:t>C</m:t>
                  </m:r>
                </m:e>
                <m:sub>
                  <m:r>
                    <m:rPr>
                      <m:sty m:val="bi"/>
                    </m:rPr>
                    <w:rPr>
                      <w:rFonts w:ascii="Cambria Math" w:hAnsi="Cambria Math"/>
                      <w:color w:val="000000"/>
                      <w:sz w:val="20"/>
                      <w:szCs w:val="20"/>
                      <w:lang w:val="es-CO" w:eastAsia="es-CO"/>
                    </w:rPr>
                    <m:t>i,t</m:t>
                  </m:r>
                </m:sub>
              </m:sSub>
            </m:oMath>
          </w:p>
        </w:tc>
      </w:tr>
      <w:tr w:rsidR="00ED1E22" w:rsidRPr="00ED1E22" w:rsidTr="00BA0D41">
        <w:trPr>
          <w:trHeight w:val="405"/>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1E22" w:rsidRPr="00ED1E22" w:rsidRDefault="00ED1E22" w:rsidP="00BA0D41">
            <w:pPr>
              <w:ind w:left="217"/>
              <w:rPr>
                <w:rFonts w:ascii="Bookman Old Style" w:hAnsi="Bookman Old Style"/>
                <w:sz w:val="20"/>
                <w:szCs w:val="20"/>
              </w:rPr>
            </w:pPr>
            <w:r w:rsidRPr="00ED1E22">
              <w:rPr>
                <w:rFonts w:ascii="Bookman Old Style" w:hAnsi="Bookman Old Style"/>
                <w:sz w:val="20"/>
                <w:szCs w:val="20"/>
              </w:rPr>
              <w:t>522</w:t>
            </w:r>
          </w:p>
        </w:tc>
        <w:tc>
          <w:tcPr>
            <w:tcW w:w="5146" w:type="dxa"/>
            <w:gridSpan w:val="2"/>
            <w:tcBorders>
              <w:top w:val="single" w:sz="4" w:space="0" w:color="auto"/>
              <w:left w:val="nil"/>
              <w:bottom w:val="single" w:sz="4" w:space="0" w:color="auto"/>
              <w:right w:val="single" w:sz="4" w:space="0" w:color="auto"/>
            </w:tcBorders>
            <w:shd w:val="clear" w:color="auto" w:fill="auto"/>
            <w:noWrap/>
            <w:vAlign w:val="center"/>
          </w:tcPr>
          <w:p w:rsidR="00ED1E22" w:rsidRPr="00ED1E22" w:rsidRDefault="00ED1E22" w:rsidP="00BA0D41">
            <w:pPr>
              <w:ind w:left="70"/>
              <w:rPr>
                <w:rFonts w:ascii="Bookman Old Style" w:hAnsi="Bookman Old Style"/>
                <w:sz w:val="20"/>
                <w:szCs w:val="20"/>
              </w:rPr>
            </w:pPr>
            <w:r w:rsidRPr="00ED1E22">
              <w:rPr>
                <w:rFonts w:ascii="Bookman Old Style" w:hAnsi="Bookman Old Style"/>
                <w:sz w:val="20"/>
                <w:szCs w:val="20"/>
              </w:rPr>
              <w:t>NORTESANTANDEREANA DE GAS S.A. E.S.P.</w:t>
            </w:r>
          </w:p>
        </w:tc>
        <w:tc>
          <w:tcPr>
            <w:tcW w:w="1941" w:type="dxa"/>
            <w:tcBorders>
              <w:top w:val="single" w:sz="4" w:space="0" w:color="auto"/>
              <w:left w:val="nil"/>
              <w:bottom w:val="single" w:sz="4" w:space="0" w:color="auto"/>
              <w:right w:val="single" w:sz="4" w:space="0" w:color="auto"/>
            </w:tcBorders>
            <w:shd w:val="clear" w:color="auto" w:fill="auto"/>
            <w:noWrap/>
            <w:vAlign w:val="center"/>
          </w:tcPr>
          <w:p w:rsidR="00ED1E22" w:rsidRPr="00ED1E22" w:rsidRDefault="00ED1E22" w:rsidP="00ED1E22">
            <w:pPr>
              <w:rPr>
                <w:rFonts w:ascii="Bookman Old Style" w:hAnsi="Bookman Old Style"/>
                <w:sz w:val="20"/>
                <w:szCs w:val="20"/>
              </w:rPr>
            </w:pPr>
            <w:r w:rsidRPr="00ED1E22">
              <w:rPr>
                <w:rFonts w:ascii="Bookman Old Style" w:hAnsi="Bookman Old Style"/>
                <w:sz w:val="20"/>
                <w:szCs w:val="20"/>
              </w:rPr>
              <w:t>16.781.755</w:t>
            </w:r>
          </w:p>
        </w:tc>
      </w:tr>
    </w:tbl>
    <w:p w:rsidR="006D45B0" w:rsidRPr="00ED1E22" w:rsidRDefault="006D45B0" w:rsidP="006D45B0">
      <w:pPr>
        <w:ind w:left="0" w:right="284"/>
        <w:jc w:val="both"/>
        <w:rPr>
          <w:rFonts w:ascii="Bookman Old Style" w:eastAsia="MS Mincho" w:hAnsi="Bookman Old Style" w:cs="Arial"/>
          <w:sz w:val="20"/>
          <w:szCs w:val="20"/>
          <w:lang w:val="es-CO" w:eastAsia="en-US"/>
        </w:rPr>
      </w:pPr>
    </w:p>
    <w:p w:rsidR="006D45B0" w:rsidRDefault="006D45B0" w:rsidP="006D45B0">
      <w:pPr>
        <w:ind w:right="-91"/>
        <w:jc w:val="both"/>
        <w:rPr>
          <w:rFonts w:ascii="Bookman Old Style" w:eastAsia="MS Mincho" w:hAnsi="Bookman Old Style" w:cs="Arial"/>
          <w:sz w:val="20"/>
          <w:szCs w:val="20"/>
          <w:lang w:eastAsia="en-US"/>
        </w:rPr>
      </w:pPr>
      <w:r w:rsidRPr="00EA33A0">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17 de septiembre de 2017</w:t>
      </w:r>
      <w:r w:rsidRPr="00EA33A0">
        <w:rPr>
          <w:rFonts w:ascii="Bookman Old Style" w:eastAsia="MS Mincho" w:hAnsi="Bookman Old Style" w:cs="Arial"/>
          <w:sz w:val="20"/>
          <w:szCs w:val="20"/>
          <w:lang w:eastAsia="en-US"/>
        </w:rPr>
        <w:footnoteReference w:id="5"/>
      </w:r>
      <w:r w:rsidRPr="00EA33A0">
        <w:rPr>
          <w:rFonts w:ascii="Bookman Old Style" w:eastAsia="MS Mincho" w:hAnsi="Bookman Old Style" w:cs="Arial"/>
          <w:sz w:val="20"/>
          <w:szCs w:val="20"/>
          <w:lang w:eastAsia="en-US"/>
        </w:rPr>
        <w:t>. El cálculo para cada empresa se detalla en el Anexo que hace parte de la presente resolución</w:t>
      </w:r>
      <w:r w:rsidRPr="001F7F3A">
        <w:rPr>
          <w:rFonts w:ascii="Bookman Old Style" w:eastAsia="MS Mincho" w:hAnsi="Bookman Old Style" w:cs="Arial"/>
          <w:sz w:val="20"/>
          <w:szCs w:val="20"/>
          <w:lang w:eastAsia="en-US"/>
        </w:rPr>
        <w:t>.</w:t>
      </w:r>
      <w:r>
        <w:rPr>
          <w:rFonts w:ascii="Bookman Old Style" w:eastAsia="MS Mincho" w:hAnsi="Bookman Old Style" w:cs="Arial"/>
          <w:sz w:val="20"/>
          <w:szCs w:val="20"/>
          <w:lang w:eastAsia="en-US"/>
        </w:rPr>
        <w:t>”</w:t>
      </w:r>
    </w:p>
    <w:p w:rsidR="006D45B0" w:rsidRPr="00EC3BB2" w:rsidRDefault="006D45B0" w:rsidP="006D45B0">
      <w:pPr>
        <w:tabs>
          <w:tab w:val="right" w:pos="9498"/>
        </w:tabs>
        <w:ind w:left="284" w:right="284"/>
        <w:jc w:val="both"/>
        <w:rPr>
          <w:rFonts w:ascii="Bookman Old Style" w:hAnsi="Bookman Old Style" w:cs="Arial"/>
          <w:sz w:val="20"/>
          <w:szCs w:val="20"/>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EC3BB2"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Pr>
          <w:rFonts w:ascii="Bookman Old Style" w:hAnsi="Bookman Old Style" w:cs="Arial"/>
          <w:spacing w:val="-5"/>
          <w:lang w:val="es-CO" w:eastAsia="en-US"/>
        </w:rPr>
        <w:t xml:space="preserve">a través de </w:t>
      </w:r>
      <w:r w:rsidR="00544BAD">
        <w:rPr>
          <w:rFonts w:ascii="Bookman Old Style" w:hAnsi="Bookman Old Style" w:cs="Arial"/>
          <w:spacing w:val="-5"/>
          <w:lang w:val="es-CO" w:eastAsia="en-US"/>
        </w:rPr>
        <w:t>comunicación</w:t>
      </w:r>
      <w:r>
        <w:rPr>
          <w:rFonts w:ascii="Bookman Old Style" w:hAnsi="Bookman Old Style" w:cs="Arial"/>
          <w:spacing w:val="-5"/>
          <w:lang w:val="es-CO" w:eastAsia="en-US"/>
        </w:rPr>
        <w:t xml:space="preserve"> con radicado número E-2017-</w:t>
      </w:r>
      <w:r w:rsidR="00ED1E22">
        <w:rPr>
          <w:rFonts w:ascii="Bookman Old Style" w:hAnsi="Bookman Old Style" w:cs="Arial"/>
          <w:spacing w:val="-5"/>
          <w:lang w:val="es-CO" w:eastAsia="en-US"/>
        </w:rPr>
        <w:t>011233</w:t>
      </w:r>
      <w:r w:rsidR="00CC6793">
        <w:rPr>
          <w:rFonts w:ascii="Bookman Old Style" w:hAnsi="Bookman Old Style" w:cs="Arial"/>
          <w:spacing w:val="-5"/>
          <w:lang w:val="es-CO" w:eastAsia="en-US"/>
        </w:rPr>
        <w:t xml:space="preserve"> </w:t>
      </w:r>
      <w:r w:rsidR="005F3077">
        <w:rPr>
          <w:rFonts w:ascii="Bookman Old Style" w:hAnsi="Bookman Old Style" w:cs="Arial"/>
          <w:spacing w:val="-5"/>
          <w:lang w:val="es-CO" w:eastAsia="en-US"/>
        </w:rPr>
        <w:t xml:space="preserve">de </w:t>
      </w:r>
      <w:r w:rsidR="00ED1E22">
        <w:rPr>
          <w:rFonts w:ascii="Bookman Old Style" w:hAnsi="Bookman Old Style" w:cs="Arial"/>
          <w:spacing w:val="-5"/>
          <w:lang w:val="es-CO" w:eastAsia="en-US"/>
        </w:rPr>
        <w:t>4</w:t>
      </w:r>
      <w:r w:rsidR="002D569D">
        <w:rPr>
          <w:rFonts w:ascii="Bookman Old Style" w:hAnsi="Bookman Old Style" w:cs="Arial"/>
          <w:spacing w:val="-5"/>
          <w:lang w:val="es-CO" w:eastAsia="en-US"/>
        </w:rPr>
        <w:t xml:space="preserve"> de </w:t>
      </w:r>
      <w:r w:rsidR="00EA2C20">
        <w:rPr>
          <w:rFonts w:ascii="Bookman Old Style" w:hAnsi="Bookman Old Style" w:cs="Arial"/>
          <w:spacing w:val="-5"/>
          <w:lang w:val="es-CO" w:eastAsia="en-US"/>
        </w:rPr>
        <w:t>diciembre</w:t>
      </w:r>
      <w:r w:rsidR="002D569D">
        <w:rPr>
          <w:rFonts w:ascii="Bookman Old Style" w:hAnsi="Bookman Old Style" w:cs="Arial"/>
          <w:spacing w:val="-5"/>
          <w:lang w:val="es-CO" w:eastAsia="en-US"/>
        </w:rPr>
        <w:t xml:space="preserve"> de 2017</w:t>
      </w:r>
      <w:r w:rsidRPr="00EC3BB2">
        <w:rPr>
          <w:rFonts w:ascii="Bookman Old Style" w:hAnsi="Bookman Old Style" w:cs="Arial"/>
          <w:spacing w:val="-5"/>
          <w:lang w:val="es-CO" w:eastAsia="en-US"/>
        </w:rPr>
        <w:t xml:space="preserve">, </w:t>
      </w:r>
      <w:r>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w:t>
      </w:r>
      <w:r>
        <w:rPr>
          <w:rFonts w:ascii="Bookman Old Style" w:hAnsi="Bookman Old Style" w:cs="Arial"/>
          <w:spacing w:val="-5"/>
          <w:lang w:val="es-CO" w:eastAsia="en-US"/>
        </w:rPr>
        <w:t>e</w:t>
      </w:r>
      <w:r w:rsidR="009B0CFD">
        <w:rPr>
          <w:rFonts w:ascii="Bookman Old Style" w:hAnsi="Bookman Old Style" w:cs="Arial"/>
          <w:spacing w:val="-5"/>
          <w:lang w:val="es-CO" w:eastAsia="en-US"/>
        </w:rPr>
        <w:t xml:space="preserve">presentante legal de la empresa </w:t>
      </w:r>
      <w:r w:rsidR="00ED1E22">
        <w:rPr>
          <w:rFonts w:ascii="Bookman Old Style" w:hAnsi="Bookman Old Style" w:cs="Arial"/>
          <w:spacing w:val="-5"/>
          <w:lang w:val="es-CO" w:eastAsia="en-US"/>
        </w:rPr>
        <w:t>Nortesantandereana de Gas</w:t>
      </w:r>
      <w:r w:rsidR="005F3077">
        <w:rPr>
          <w:rFonts w:ascii="Bookman Old Style" w:hAnsi="Bookman Old Style" w:cs="Arial"/>
          <w:spacing w:val="-5"/>
          <w:lang w:val="es-CO" w:eastAsia="en-US"/>
        </w:rPr>
        <w:t xml:space="preserve"> S.A. </w:t>
      </w:r>
      <w:r w:rsidRPr="00EC3BB2">
        <w:rPr>
          <w:rFonts w:ascii="Bookman Old Style" w:hAnsi="Bookman Old Style" w:cs="Arial"/>
          <w:spacing w:val="-5"/>
          <w:lang w:val="es-CO" w:eastAsia="en-US"/>
        </w:rPr>
        <w:t>E.S.P. interpuso recurso de reposici</w:t>
      </w:r>
      <w:r>
        <w:rPr>
          <w:rFonts w:ascii="Bookman Old Style" w:hAnsi="Bookman Old Style" w:cs="Arial"/>
          <w:spacing w:val="-5"/>
          <w:lang w:val="es-CO" w:eastAsia="en-US"/>
        </w:rPr>
        <w:t>ón contra la Resolución CREG 168 de 2017</w:t>
      </w:r>
      <w:r w:rsidRPr="00EC3BB2">
        <w:rPr>
          <w:rFonts w:ascii="Bookman Old Style" w:hAnsi="Bookman Old Style" w:cs="Arial"/>
          <w:spacing w:val="-5"/>
          <w:lang w:val="es-CO" w:eastAsia="en-US"/>
        </w:rPr>
        <w:t>, para lo cual realiza las siguientes solicitudes:</w:t>
      </w:r>
    </w:p>
    <w:p w:rsidR="006D45B0" w:rsidRPr="00EC3BB2" w:rsidRDefault="006D45B0" w:rsidP="006D45B0">
      <w:pPr>
        <w:widowControl w:val="0"/>
        <w:tabs>
          <w:tab w:val="right" w:pos="9498"/>
        </w:tabs>
        <w:adjustRightInd w:val="0"/>
        <w:ind w:left="0" w:right="-142"/>
        <w:jc w:val="both"/>
        <w:rPr>
          <w:rFonts w:ascii="Arial" w:hAnsi="Arial" w:cs="Arial"/>
          <w:i/>
          <w:sz w:val="22"/>
          <w:szCs w:val="22"/>
        </w:rPr>
      </w:pPr>
    </w:p>
    <w:p w:rsidR="006D45B0" w:rsidRPr="00B165BF" w:rsidRDefault="006D45B0" w:rsidP="006D45B0">
      <w:pPr>
        <w:ind w:left="284" w:right="284"/>
        <w:jc w:val="both"/>
        <w:rPr>
          <w:rFonts w:ascii="Bookman Old Style" w:hAnsi="Bookman Old Style" w:cs="Arial"/>
          <w:i/>
          <w:sz w:val="20"/>
          <w:szCs w:val="20"/>
        </w:rPr>
      </w:pPr>
      <w:r w:rsidRPr="00B165BF">
        <w:rPr>
          <w:rFonts w:ascii="Bookman Old Style" w:hAnsi="Bookman Old Style" w:cs="Arial"/>
          <w:i/>
          <w:sz w:val="20"/>
          <w:szCs w:val="20"/>
        </w:rPr>
        <w:t>“</w:t>
      </w:r>
      <w:r w:rsidR="009B0CFD">
        <w:rPr>
          <w:rFonts w:ascii="Bookman Old Style" w:hAnsi="Bookman Old Style" w:cs="Arial"/>
          <w:i/>
          <w:sz w:val="20"/>
          <w:szCs w:val="20"/>
        </w:rPr>
        <w:t xml:space="preserve">Por este medio respetuosamente solicitamos se modifique la parte resolutiva de la Resolución 168 de 2017, para </w:t>
      </w:r>
      <w:r w:rsidR="00ED1E22">
        <w:rPr>
          <w:rFonts w:ascii="Bookman Old Style" w:hAnsi="Bookman Old Style" w:cs="Arial"/>
          <w:i/>
          <w:sz w:val="20"/>
          <w:szCs w:val="20"/>
        </w:rPr>
        <w:t>Nortesantandereana de Gas</w:t>
      </w:r>
      <w:r w:rsidR="00544BAD">
        <w:rPr>
          <w:rFonts w:ascii="Bookman Old Style" w:hAnsi="Bookman Old Style" w:cs="Arial"/>
          <w:i/>
          <w:sz w:val="20"/>
          <w:szCs w:val="20"/>
        </w:rPr>
        <w:t xml:space="preserve"> </w:t>
      </w:r>
      <w:r w:rsidR="009B0CFD">
        <w:rPr>
          <w:rFonts w:ascii="Bookman Old Style" w:hAnsi="Bookman Old Style" w:cs="Arial"/>
          <w:i/>
          <w:sz w:val="20"/>
          <w:szCs w:val="20"/>
        </w:rPr>
        <w:t xml:space="preserve">S.A. E.S.P., Usuario SUI </w:t>
      </w:r>
      <w:r w:rsidR="00ED1E22">
        <w:rPr>
          <w:rFonts w:ascii="Bookman Old Style" w:hAnsi="Bookman Old Style" w:cs="Arial"/>
          <w:i/>
          <w:sz w:val="20"/>
          <w:szCs w:val="20"/>
        </w:rPr>
        <w:t>522</w:t>
      </w:r>
      <w:r w:rsidR="009B0CFD">
        <w:rPr>
          <w:rFonts w:ascii="Bookman Old Style" w:hAnsi="Bookman Old Style" w:cs="Arial"/>
          <w:i/>
          <w:sz w:val="20"/>
          <w:szCs w:val="20"/>
        </w:rPr>
        <w:t xml:space="preserve"> y por lo menos se mantenga la capacidad de compra prevista en la Circular 35 DE</w:t>
      </w:r>
      <w:r w:rsidR="00544BAD">
        <w:rPr>
          <w:rFonts w:ascii="Bookman Old Style" w:hAnsi="Bookman Old Style" w:cs="Arial"/>
          <w:i/>
          <w:sz w:val="20"/>
          <w:szCs w:val="20"/>
        </w:rPr>
        <w:t xml:space="preserve"> 2017</w:t>
      </w:r>
      <w:r w:rsidR="009131FE">
        <w:rPr>
          <w:rFonts w:ascii="Bookman Old Style" w:hAnsi="Bookman Old Style" w:cs="Arial"/>
          <w:i/>
          <w:sz w:val="20"/>
          <w:szCs w:val="20"/>
        </w:rPr>
        <w:t xml:space="preserve">, ES DECIR </w:t>
      </w:r>
      <w:r w:rsidR="00ED1E22">
        <w:rPr>
          <w:rFonts w:ascii="Bookman Old Style" w:hAnsi="Bookman Old Style" w:cs="Arial"/>
          <w:i/>
          <w:sz w:val="20"/>
          <w:szCs w:val="20"/>
        </w:rPr>
        <w:t>17.597.321</w:t>
      </w:r>
      <w:r w:rsidR="00544BAD">
        <w:rPr>
          <w:rFonts w:ascii="Bookman Old Style" w:hAnsi="Bookman Old Style" w:cs="Arial"/>
          <w:i/>
          <w:sz w:val="20"/>
          <w:szCs w:val="20"/>
        </w:rPr>
        <w:t xml:space="preserve"> </w:t>
      </w:r>
      <w:r w:rsidR="009B0CFD">
        <w:rPr>
          <w:rFonts w:ascii="Bookman Old Style" w:hAnsi="Bookman Old Style" w:cs="Arial"/>
          <w:i/>
          <w:sz w:val="20"/>
          <w:szCs w:val="20"/>
        </w:rPr>
        <w:t>KILOGRAMOS</w:t>
      </w:r>
      <w:r w:rsidR="00B83F23" w:rsidRPr="00B83F23">
        <w:rPr>
          <w:rFonts w:ascii="Bookman Old Style" w:hAnsi="Bookman Old Style" w:cs="Arial"/>
          <w:i/>
          <w:sz w:val="20"/>
          <w:szCs w:val="20"/>
        </w:rPr>
        <w:t>.</w:t>
      </w:r>
      <w:r w:rsidR="00B83F23">
        <w:rPr>
          <w:rFonts w:ascii="Bookman Old Style" w:hAnsi="Bookman Old Style" w:cs="Arial"/>
          <w:i/>
          <w:sz w:val="20"/>
          <w:szCs w:val="20"/>
        </w:rPr>
        <w:t>”</w:t>
      </w:r>
    </w:p>
    <w:p w:rsidR="006D45B0" w:rsidRPr="00EC3BB2" w:rsidRDefault="006D45B0" w:rsidP="006D45B0">
      <w:pPr>
        <w:widowControl w:val="0"/>
        <w:tabs>
          <w:tab w:val="right" w:pos="9498"/>
        </w:tabs>
        <w:adjustRightInd w:val="0"/>
        <w:ind w:left="0" w:right="-142"/>
        <w:jc w:val="both"/>
        <w:rPr>
          <w:rFonts w:ascii="Arial" w:hAnsi="Arial" w:cs="Arial"/>
          <w:sz w:val="22"/>
          <w:szCs w:val="22"/>
        </w:rPr>
      </w:pPr>
    </w:p>
    <w:p w:rsidR="006D45B0" w:rsidRPr="00EC3BB2" w:rsidRDefault="006D45B0" w:rsidP="00B83F23">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Pr>
          <w:rFonts w:ascii="Bookman Old Style" w:hAnsi="Bookman Old Style" w:cs="Arial"/>
          <w:spacing w:val="-5"/>
          <w:lang w:val="es-CO" w:eastAsia="en-US"/>
        </w:rPr>
        <w:t>168 de 2017</w:t>
      </w:r>
      <w:r w:rsidRPr="00EC3BB2">
        <w:rPr>
          <w:rFonts w:ascii="Bookman Old Style" w:hAnsi="Bookman Old Style" w:cs="Arial"/>
          <w:spacing w:val="-5"/>
          <w:lang w:val="es-CO" w:eastAsia="en-US"/>
        </w:rPr>
        <w:t xml:space="preserve"> fue notificada a </w:t>
      </w:r>
      <w:r w:rsidR="00FE01E8" w:rsidRPr="00FE01E8">
        <w:rPr>
          <w:rFonts w:ascii="Bookman Old Style" w:hAnsi="Bookman Old Style" w:cs="Arial"/>
          <w:spacing w:val="-5"/>
          <w:lang w:val="es-CO" w:eastAsia="en-US"/>
        </w:rPr>
        <w:t xml:space="preserve">empresa </w:t>
      </w:r>
      <w:r w:rsidR="003D0ECD">
        <w:rPr>
          <w:rFonts w:ascii="Bookman Old Style" w:hAnsi="Bookman Old Style" w:cs="Arial"/>
          <w:spacing w:val="-5"/>
          <w:lang w:val="es-CO" w:eastAsia="en-US"/>
        </w:rPr>
        <w:t>Nortesantandereana de Gas</w:t>
      </w:r>
      <w:r w:rsidR="00FE01E8" w:rsidRPr="00FE01E8">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mediante </w:t>
      </w:r>
      <w:r>
        <w:rPr>
          <w:rFonts w:ascii="Bookman Old Style" w:hAnsi="Bookman Old Style" w:cs="Arial"/>
          <w:spacing w:val="-5"/>
          <w:lang w:val="es-CO" w:eastAsia="en-US"/>
        </w:rPr>
        <w:t>notificación personal I-2017-</w:t>
      </w:r>
      <w:r w:rsidR="00ED1E22">
        <w:rPr>
          <w:rFonts w:ascii="Bookman Old Style" w:hAnsi="Bookman Old Style" w:cs="Arial"/>
          <w:spacing w:val="-5"/>
          <w:lang w:val="es-CO" w:eastAsia="en-US"/>
        </w:rPr>
        <w:t>006245</w:t>
      </w:r>
      <w:r>
        <w:rPr>
          <w:rFonts w:ascii="Bookman Old Style" w:hAnsi="Bookman Old Style" w:cs="Arial"/>
          <w:spacing w:val="-5"/>
          <w:lang w:val="es-CO" w:eastAsia="en-US"/>
        </w:rPr>
        <w:t xml:space="preserve"> de </w:t>
      </w:r>
      <w:r w:rsidR="009B0CFD">
        <w:rPr>
          <w:rFonts w:ascii="Bookman Old Style" w:hAnsi="Bookman Old Style" w:cs="Arial"/>
          <w:spacing w:val="-5"/>
          <w:lang w:val="es-CO" w:eastAsia="en-US"/>
        </w:rPr>
        <w:t>2</w:t>
      </w:r>
      <w:r w:rsidR="00ED1E22">
        <w:rPr>
          <w:rFonts w:ascii="Bookman Old Style" w:hAnsi="Bookman Old Style" w:cs="Arial"/>
          <w:spacing w:val="-5"/>
          <w:lang w:val="es-CO" w:eastAsia="en-US"/>
        </w:rPr>
        <w:t>7</w:t>
      </w:r>
      <w:r>
        <w:rPr>
          <w:rFonts w:ascii="Bookman Old Style" w:hAnsi="Bookman Old Style" w:cs="Arial"/>
          <w:spacing w:val="-5"/>
          <w:lang w:val="es-CO" w:eastAsia="en-US"/>
        </w:rPr>
        <w:t xml:space="preserve"> de noviembre de 2017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 xml:space="preserve">o dispuesto en </w:t>
      </w:r>
      <w:r w:rsidR="006C0668">
        <w:rPr>
          <w:rFonts w:ascii="Bookman Old Style" w:hAnsi="Bookman Old Style" w:cs="Arial"/>
          <w:spacing w:val="-5"/>
          <w:lang w:val="es-CO" w:eastAsia="en-US"/>
        </w:rPr>
        <w:t xml:space="preserve">el </w:t>
      </w:r>
      <w:r>
        <w:rPr>
          <w:rFonts w:ascii="Bookman Old Style" w:hAnsi="Bookman Old Style" w:cs="Arial"/>
          <w:spacing w:val="-5"/>
          <w:lang w:val="es-CO" w:eastAsia="en-US"/>
        </w:rPr>
        <w:t>artículo</w:t>
      </w:r>
      <w:r w:rsidR="006C0668">
        <w:rPr>
          <w:rFonts w:ascii="Bookman Old Style" w:hAnsi="Bookman Old Style" w:cs="Arial"/>
          <w:spacing w:val="-5"/>
          <w:lang w:val="es-CO" w:eastAsia="en-US"/>
        </w:rPr>
        <w:t xml:space="preserve"> </w:t>
      </w:r>
      <w:r>
        <w:rPr>
          <w:rFonts w:ascii="Bookman Old Style" w:hAnsi="Bookman Old Style" w:cs="Arial"/>
          <w:spacing w:val="-5"/>
          <w:lang w:val="es-CO" w:eastAsia="en-US"/>
        </w:rPr>
        <w:t>67</w:t>
      </w:r>
      <w:r w:rsidRPr="00CD67E2">
        <w:rPr>
          <w:rFonts w:ascii="Bookman Old Style" w:hAnsi="Bookman Old Style" w:cs="Arial"/>
          <w:spacing w:val="-5"/>
          <w:vertAlign w:val="superscript"/>
          <w:lang w:val="es-CO" w:eastAsia="en-US"/>
        </w:rPr>
        <w:footnoteReference w:id="6"/>
      </w:r>
      <w:r w:rsidRPr="00EC3BB2">
        <w:rPr>
          <w:rFonts w:ascii="Bookman Old Style" w:hAnsi="Bookman Old Style" w:cs="Arial"/>
          <w:spacing w:val="-5"/>
          <w:lang w:val="es-CO" w:eastAsia="en-US"/>
        </w:rPr>
        <w:t xml:space="preserve"> de la Ley 1437 de 2011.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lastRenderedPageBreak/>
        <w:t xml:space="preserve">Una vez establecida la fecha de notificación 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ED1E22">
        <w:rPr>
          <w:rFonts w:ascii="Bookman Old Style" w:hAnsi="Bookman Old Style" w:cs="Arial"/>
          <w:spacing w:val="-5"/>
          <w:lang w:val="es-CO" w:eastAsia="en-US"/>
        </w:rPr>
        <w:t>4</w:t>
      </w:r>
      <w:r>
        <w:rPr>
          <w:rFonts w:ascii="Bookman Old Style" w:hAnsi="Bookman Old Style" w:cs="Arial"/>
          <w:spacing w:val="-5"/>
          <w:lang w:val="es-CO" w:eastAsia="en-US"/>
        </w:rPr>
        <w:t xml:space="preserve"> de </w:t>
      </w:r>
      <w:r w:rsidR="009B0CFD">
        <w:rPr>
          <w:rFonts w:ascii="Bookman Old Style" w:hAnsi="Bookman Old Style" w:cs="Arial"/>
          <w:spacing w:val="-5"/>
          <w:lang w:val="es-CO" w:eastAsia="en-US"/>
        </w:rPr>
        <w:t>diciembre</w:t>
      </w:r>
      <w:r w:rsidRPr="00EC3BB2">
        <w:rPr>
          <w:rFonts w:ascii="Bookman Old Style" w:hAnsi="Bookman Old Style" w:cs="Arial"/>
          <w:spacing w:val="-5"/>
          <w:lang w:val="es-CO" w:eastAsia="en-US"/>
        </w:rPr>
        <w:t xml:space="preserve"> de</w:t>
      </w:r>
      <w:r>
        <w:rPr>
          <w:rFonts w:ascii="Bookman Old Style" w:hAnsi="Bookman Old Style" w:cs="Arial"/>
          <w:spacing w:val="-5"/>
          <w:lang w:val="es-CO" w:eastAsia="en-US"/>
        </w:rPr>
        <w:t>l 2017</w:t>
      </w:r>
      <w:r w:rsidRPr="00EC3BB2">
        <w:rPr>
          <w:rFonts w:ascii="Bookman Old Style" w:hAnsi="Bookman Old Style" w:cs="Arial"/>
          <w:spacing w:val="-5"/>
          <w:lang w:val="es-CO" w:eastAsia="en-US"/>
        </w:rPr>
        <w:t xml:space="preserve">.  </w:t>
      </w:r>
    </w:p>
    <w:p w:rsidR="006D45B0" w:rsidRDefault="006D45B0" w:rsidP="006D45B0">
      <w:pPr>
        <w:pStyle w:val="Textoindependiente2"/>
        <w:spacing w:after="0" w:line="240" w:lineRule="auto"/>
        <w:ind w:left="-142" w:right="-142"/>
        <w:jc w:val="both"/>
        <w:rPr>
          <w:rFonts w:ascii="Bookman Old Style" w:hAnsi="Bookman Old Style" w:cs="Arial"/>
          <w:spacing w:val="-5"/>
          <w:lang w:val="es-CO" w:eastAsia="en-US"/>
        </w:rPr>
      </w:pPr>
    </w:p>
    <w:p w:rsidR="006D45B0" w:rsidRPr="00D549B1" w:rsidRDefault="006D45B0" w:rsidP="006D45B0">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7"/>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6D45B0" w:rsidRDefault="006D45B0" w:rsidP="006D45B0">
      <w:pPr>
        <w:widowControl w:val="0"/>
        <w:tabs>
          <w:tab w:val="right" w:pos="9498"/>
        </w:tabs>
        <w:adjustRightInd w:val="0"/>
        <w:ind w:left="0" w:right="-142"/>
        <w:jc w:val="both"/>
        <w:rPr>
          <w:rFonts w:ascii="Bookman Old Style" w:hAnsi="Bookman Old Style" w:cs="Arial"/>
          <w:lang w:val="es-CO"/>
        </w:rPr>
      </w:pPr>
    </w:p>
    <w:p w:rsidR="006D45B0" w:rsidRPr="009011F4" w:rsidRDefault="006D45B0" w:rsidP="006D45B0">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6D45B0" w:rsidRDefault="006D45B0" w:rsidP="006D45B0">
      <w:pPr>
        <w:widowControl w:val="0"/>
        <w:tabs>
          <w:tab w:val="right" w:pos="9498"/>
        </w:tabs>
        <w:adjustRightInd w:val="0"/>
        <w:ind w:left="0" w:right="-142"/>
        <w:jc w:val="both"/>
        <w:rPr>
          <w:rFonts w:ascii="Bookman Old Style" w:hAnsi="Bookman Old Style" w:cs="Arial"/>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Pr="00D549B1">
        <w:rPr>
          <w:rFonts w:ascii="Bookman Old Style" w:hAnsi="Bookman Old Style"/>
          <w:szCs w:val="27"/>
        </w:rPr>
        <w:t xml:space="preserve"> recurso de reposición interpuesto por </w:t>
      </w:r>
      <w:r w:rsidR="00ED1E22">
        <w:rPr>
          <w:rFonts w:ascii="Bookman Old Style" w:hAnsi="Bookman Old Style"/>
          <w:szCs w:val="27"/>
        </w:rPr>
        <w:t>Nortesantandereana de Gas</w:t>
      </w:r>
      <w:r w:rsidR="00EA2C20">
        <w:rPr>
          <w:rFonts w:ascii="Bookman Old Style" w:hAnsi="Bookman Old Style"/>
          <w:szCs w:val="27"/>
        </w:rPr>
        <w:t xml:space="preserve"> </w:t>
      </w:r>
      <w:r>
        <w:rPr>
          <w:rFonts w:ascii="Bookman Old Style" w:hAnsi="Bookman Old Style"/>
          <w:szCs w:val="27"/>
        </w:rPr>
        <w:t>hacen referencia a lo siguiente:</w:t>
      </w:r>
    </w:p>
    <w:p w:rsidR="002D569D" w:rsidRDefault="002D569D" w:rsidP="002D569D">
      <w:pPr>
        <w:pStyle w:val="Textoindependiente2"/>
        <w:spacing w:after="0" w:line="240" w:lineRule="auto"/>
        <w:ind w:left="0" w:right="284"/>
        <w:jc w:val="both"/>
        <w:rPr>
          <w:rFonts w:ascii="Bookman Old Style" w:hAnsi="Bookman Old Style" w:cs="Arial"/>
          <w:i/>
          <w:sz w:val="20"/>
          <w:szCs w:val="20"/>
        </w:rPr>
      </w:pPr>
    </w:p>
    <w:p w:rsidR="00544BAD" w:rsidRDefault="00B83F23" w:rsidP="00544BAD">
      <w:pPr>
        <w:pStyle w:val="Style2"/>
        <w:shd w:val="clear" w:color="auto" w:fill="auto"/>
        <w:spacing w:after="0" w:line="240" w:lineRule="auto"/>
        <w:ind w:left="284" w:right="284"/>
        <w:rPr>
          <w:rStyle w:val="CharStyle3"/>
          <w:rFonts w:ascii="Bookman Old Style" w:hAnsi="Bookman Old Style"/>
          <w:color w:val="000000"/>
          <w:lang w:eastAsia="es-ES_tradnl"/>
        </w:rPr>
      </w:pPr>
      <w:r w:rsidRPr="00EA2C20">
        <w:rPr>
          <w:rFonts w:ascii="Bookman Old Style" w:hAnsi="Bookman Old Style"/>
          <w:i/>
          <w:lang w:val="es-ES_tradnl"/>
        </w:rPr>
        <w:t>“</w:t>
      </w:r>
      <w:r w:rsidR="00544BAD" w:rsidRPr="00544BAD">
        <w:rPr>
          <w:rStyle w:val="CharStyle3"/>
          <w:rFonts w:ascii="Bookman Old Style" w:hAnsi="Bookman Old Style"/>
          <w:color w:val="000000"/>
          <w:lang w:eastAsia="es-ES_tradnl"/>
        </w:rPr>
        <w:t xml:space="preserve">En mi condición de Representante Legal de </w:t>
      </w:r>
      <w:r w:rsidR="00ED1E22">
        <w:rPr>
          <w:rStyle w:val="CharStyle3"/>
          <w:rFonts w:ascii="Bookman Old Style" w:hAnsi="Bookman Old Style"/>
          <w:color w:val="000000"/>
          <w:lang w:eastAsia="es-ES_tradnl"/>
        </w:rPr>
        <w:t>Nortesantandereana</w:t>
      </w:r>
      <w:r w:rsidR="00544BAD" w:rsidRPr="00544BAD">
        <w:rPr>
          <w:rStyle w:val="CharStyle3"/>
          <w:rFonts w:ascii="Bookman Old Style" w:hAnsi="Bookman Old Style"/>
          <w:color w:val="000000"/>
          <w:lang w:eastAsia="es-ES_tradnl"/>
        </w:rPr>
        <w:t xml:space="preserve"> S.A. E.S.P. respetuosamente me permito presentar recurso de reposición en contra de la decisión contenida en el Acto Administrativo de la Referencia, por la cual definió que la capacidad de compra de </w:t>
      </w:r>
      <w:r w:rsidR="00ED1E22">
        <w:rPr>
          <w:rStyle w:val="CharStyle3"/>
          <w:rFonts w:ascii="Bookman Old Style" w:hAnsi="Bookman Old Style"/>
          <w:color w:val="000000"/>
          <w:lang w:eastAsia="es-ES_tradnl"/>
        </w:rPr>
        <w:t>Nortesantandereana de Gas S.A. E.S.P. disminuye en 4.6</w:t>
      </w:r>
      <w:r w:rsidR="00544BAD" w:rsidRPr="00544BAD">
        <w:rPr>
          <w:rStyle w:val="CharStyle3"/>
          <w:rFonts w:ascii="Bookman Old Style" w:hAnsi="Bookman Old Style"/>
          <w:color w:val="000000"/>
          <w:lang w:eastAsia="es-ES_tradnl"/>
        </w:rPr>
        <w:t>% en comparación con la capacidad de compra definida en la circular 035 de 2017 de la CREG de la siguiente forma;</w:t>
      </w:r>
    </w:p>
    <w:p w:rsidR="00A05E79" w:rsidRPr="00544BAD" w:rsidRDefault="00A05E79" w:rsidP="00544BAD">
      <w:pPr>
        <w:pStyle w:val="Style2"/>
        <w:shd w:val="clear" w:color="auto" w:fill="auto"/>
        <w:spacing w:after="0" w:line="240" w:lineRule="auto"/>
        <w:ind w:left="284" w:right="284"/>
        <w:rPr>
          <w:rStyle w:val="CharStyle3"/>
          <w:rFonts w:ascii="Bookman Old Style" w:hAnsi="Bookman Old Style"/>
          <w:color w:val="000000"/>
          <w:lang w:eastAsia="es-ES_tradnl"/>
        </w:rPr>
      </w:pPr>
    </w:p>
    <w:tbl>
      <w:tblPr>
        <w:tblW w:w="0" w:type="auto"/>
        <w:jc w:val="center"/>
        <w:tblLayout w:type="fixed"/>
        <w:tblCellMar>
          <w:left w:w="0" w:type="dxa"/>
          <w:right w:w="0" w:type="dxa"/>
        </w:tblCellMar>
        <w:tblLook w:val="0000" w:firstRow="0" w:lastRow="0" w:firstColumn="0" w:lastColumn="0" w:noHBand="0" w:noVBand="0"/>
      </w:tblPr>
      <w:tblGrid>
        <w:gridCol w:w="1217"/>
        <w:gridCol w:w="2311"/>
        <w:gridCol w:w="1757"/>
        <w:gridCol w:w="1822"/>
        <w:gridCol w:w="936"/>
      </w:tblGrid>
      <w:tr w:rsidR="00A05E79" w:rsidRPr="00A05E79" w:rsidTr="00A05E79">
        <w:trPr>
          <w:trHeight w:hRule="exact" w:val="1361"/>
          <w:jc w:val="center"/>
        </w:trPr>
        <w:tc>
          <w:tcPr>
            <w:tcW w:w="1217" w:type="dxa"/>
            <w:tcBorders>
              <w:top w:val="single" w:sz="4" w:space="0" w:color="auto"/>
              <w:left w:val="single" w:sz="4" w:space="0" w:color="auto"/>
              <w:bottom w:val="nil"/>
              <w:right w:val="nil"/>
            </w:tcBorders>
            <w:shd w:val="clear" w:color="auto" w:fill="FFFFFF"/>
            <w:vAlign w:val="center"/>
          </w:tcPr>
          <w:p w:rsidR="00A05E79" w:rsidRPr="00A05E79" w:rsidRDefault="00A05E79" w:rsidP="00A05E79">
            <w:pPr>
              <w:widowControl w:val="0"/>
              <w:spacing w:line="230" w:lineRule="exact"/>
              <w:ind w:left="100"/>
              <w:rPr>
                <w:rFonts w:ascii="Bookman Old Style" w:hAnsi="Bookman Old Style" w:cs="Arial"/>
                <w:sz w:val="18"/>
                <w:szCs w:val="18"/>
                <w:lang w:val="es-ES_tradnl" w:eastAsia="es-CO"/>
              </w:rPr>
            </w:pPr>
            <w:r w:rsidRPr="00A05E79">
              <w:rPr>
                <w:rFonts w:ascii="Bookman Old Style" w:hAnsi="Bookman Old Style" w:cs="Arial"/>
                <w:b/>
                <w:bCs/>
                <w:color w:val="000000"/>
                <w:sz w:val="18"/>
                <w:szCs w:val="18"/>
                <w:lang w:val="es-ES_tradnl" w:eastAsia="es-ES_tradnl"/>
              </w:rPr>
              <w:t>Empresa</w:t>
            </w:r>
          </w:p>
        </w:tc>
        <w:tc>
          <w:tcPr>
            <w:tcW w:w="2311" w:type="dxa"/>
            <w:tcBorders>
              <w:top w:val="single" w:sz="4" w:space="0" w:color="auto"/>
              <w:left w:val="single" w:sz="4" w:space="0" w:color="auto"/>
              <w:bottom w:val="nil"/>
              <w:right w:val="nil"/>
            </w:tcBorders>
            <w:shd w:val="clear" w:color="auto" w:fill="FFFFFF"/>
            <w:vAlign w:val="bottom"/>
          </w:tcPr>
          <w:p w:rsidR="00A05E79" w:rsidRPr="00A05E79" w:rsidRDefault="00A05E79" w:rsidP="00A05E79">
            <w:pPr>
              <w:widowControl w:val="0"/>
              <w:spacing w:line="266" w:lineRule="exact"/>
              <w:ind w:left="80"/>
              <w:rPr>
                <w:rFonts w:ascii="Bookman Old Style" w:hAnsi="Bookman Old Style" w:cs="Arial"/>
                <w:sz w:val="18"/>
                <w:szCs w:val="18"/>
                <w:lang w:val="es-ES_tradnl" w:eastAsia="es-CO"/>
              </w:rPr>
            </w:pPr>
            <w:r w:rsidRPr="00A05E79">
              <w:rPr>
                <w:rFonts w:ascii="Bookman Old Style" w:hAnsi="Bookman Old Style" w:cs="Arial"/>
                <w:b/>
                <w:bCs/>
                <w:color w:val="000000"/>
                <w:sz w:val="18"/>
                <w:szCs w:val="18"/>
                <w:lang w:val="es-ES_tradnl" w:eastAsia="es-ES_tradnl"/>
              </w:rPr>
              <w:t>Capacidad de Compra Semestre resolución 168 de 2017</w:t>
            </w:r>
          </w:p>
        </w:tc>
        <w:tc>
          <w:tcPr>
            <w:tcW w:w="1757" w:type="dxa"/>
            <w:tcBorders>
              <w:top w:val="single" w:sz="4" w:space="0" w:color="auto"/>
              <w:left w:val="single" w:sz="4" w:space="0" w:color="auto"/>
              <w:bottom w:val="nil"/>
              <w:right w:val="nil"/>
            </w:tcBorders>
            <w:shd w:val="clear" w:color="auto" w:fill="FFFFFF"/>
            <w:vAlign w:val="bottom"/>
          </w:tcPr>
          <w:p w:rsidR="00A05E79" w:rsidRPr="00A05E79" w:rsidRDefault="00A05E79" w:rsidP="00A05E79">
            <w:pPr>
              <w:widowControl w:val="0"/>
              <w:spacing w:line="266" w:lineRule="exact"/>
              <w:ind w:left="80"/>
              <w:rPr>
                <w:rFonts w:ascii="Bookman Old Style" w:hAnsi="Bookman Old Style" w:cs="Arial"/>
                <w:sz w:val="18"/>
                <w:szCs w:val="18"/>
                <w:lang w:val="es-ES_tradnl" w:eastAsia="es-CO"/>
              </w:rPr>
            </w:pPr>
            <w:r w:rsidRPr="00A05E79">
              <w:rPr>
                <w:rFonts w:ascii="Bookman Old Style" w:hAnsi="Bookman Old Style" w:cs="Arial"/>
                <w:b/>
                <w:bCs/>
                <w:color w:val="000000"/>
                <w:sz w:val="18"/>
                <w:szCs w:val="18"/>
                <w:lang w:val="es-ES_tradnl" w:eastAsia="es-ES_tradnl"/>
              </w:rPr>
              <w:t>Capacidad de compra anterior Circular 035 de 2017</w:t>
            </w:r>
          </w:p>
        </w:tc>
        <w:tc>
          <w:tcPr>
            <w:tcW w:w="1822" w:type="dxa"/>
            <w:tcBorders>
              <w:top w:val="single" w:sz="4" w:space="0" w:color="auto"/>
              <w:left w:val="single" w:sz="4" w:space="0" w:color="auto"/>
              <w:bottom w:val="nil"/>
              <w:right w:val="nil"/>
            </w:tcBorders>
            <w:shd w:val="clear" w:color="auto" w:fill="FFFFFF"/>
            <w:vAlign w:val="center"/>
          </w:tcPr>
          <w:p w:rsidR="00A05E79" w:rsidRPr="00A05E79" w:rsidRDefault="00A05E79" w:rsidP="00A05E79">
            <w:pPr>
              <w:widowControl w:val="0"/>
              <w:spacing w:line="274" w:lineRule="exact"/>
              <w:ind w:left="80"/>
              <w:rPr>
                <w:rFonts w:ascii="Bookman Old Style" w:hAnsi="Bookman Old Style" w:cs="Arial"/>
                <w:sz w:val="18"/>
                <w:szCs w:val="18"/>
                <w:lang w:val="es-ES_tradnl" w:eastAsia="es-CO"/>
              </w:rPr>
            </w:pPr>
            <w:r w:rsidRPr="00A05E79">
              <w:rPr>
                <w:rFonts w:ascii="Bookman Old Style" w:hAnsi="Bookman Old Style" w:cs="Arial"/>
                <w:b/>
                <w:bCs/>
                <w:color w:val="000000"/>
                <w:sz w:val="18"/>
                <w:szCs w:val="18"/>
                <w:lang w:val="es-ES_tradnl" w:eastAsia="es-ES_tradnl"/>
              </w:rPr>
              <w:t>diferencia por semestre</w:t>
            </w:r>
          </w:p>
        </w:tc>
        <w:tc>
          <w:tcPr>
            <w:tcW w:w="936" w:type="dxa"/>
            <w:tcBorders>
              <w:top w:val="single" w:sz="4" w:space="0" w:color="auto"/>
              <w:left w:val="single" w:sz="4" w:space="0" w:color="auto"/>
              <w:bottom w:val="nil"/>
              <w:right w:val="single" w:sz="4" w:space="0" w:color="auto"/>
            </w:tcBorders>
            <w:shd w:val="clear" w:color="auto" w:fill="FFFFFF"/>
            <w:vAlign w:val="center"/>
          </w:tcPr>
          <w:p w:rsidR="00A05E79" w:rsidRPr="00A05E79" w:rsidRDefault="00A05E79" w:rsidP="00A05E79">
            <w:pPr>
              <w:widowControl w:val="0"/>
              <w:spacing w:line="220" w:lineRule="exact"/>
              <w:ind w:left="80"/>
              <w:rPr>
                <w:rFonts w:ascii="Bookman Old Style" w:hAnsi="Bookman Old Style" w:cs="Arial"/>
                <w:sz w:val="18"/>
                <w:szCs w:val="18"/>
                <w:lang w:val="es-ES_tradnl" w:eastAsia="es-CO"/>
              </w:rPr>
            </w:pPr>
            <w:r w:rsidRPr="00A05E79">
              <w:rPr>
                <w:rFonts w:ascii="Bookman Old Style" w:hAnsi="Bookman Old Style" w:cs="Arial"/>
                <w:color w:val="000000"/>
                <w:sz w:val="18"/>
                <w:szCs w:val="18"/>
                <w:lang w:val="es-ES_tradnl" w:eastAsia="es-ES_tradnl"/>
              </w:rPr>
              <w:t>%</w:t>
            </w:r>
          </w:p>
        </w:tc>
      </w:tr>
      <w:tr w:rsidR="00A05E79" w:rsidRPr="00A05E79" w:rsidTr="00BA0D41">
        <w:trPr>
          <w:trHeight w:hRule="exact" w:val="562"/>
          <w:jc w:val="center"/>
        </w:trPr>
        <w:tc>
          <w:tcPr>
            <w:tcW w:w="1217" w:type="dxa"/>
            <w:tcBorders>
              <w:top w:val="single" w:sz="4" w:space="0" w:color="auto"/>
              <w:left w:val="single" w:sz="4" w:space="0" w:color="auto"/>
              <w:bottom w:val="single" w:sz="4" w:space="0" w:color="auto"/>
              <w:right w:val="nil"/>
            </w:tcBorders>
            <w:shd w:val="clear" w:color="auto" w:fill="FFFFFF"/>
            <w:vAlign w:val="center"/>
          </w:tcPr>
          <w:p w:rsidR="00A05E79" w:rsidRPr="00A05E79" w:rsidRDefault="00ED1E22" w:rsidP="00A05E79">
            <w:pPr>
              <w:widowControl w:val="0"/>
              <w:spacing w:line="230" w:lineRule="exact"/>
              <w:ind w:left="100"/>
              <w:rPr>
                <w:rFonts w:ascii="Bookman Old Style" w:hAnsi="Bookman Old Style" w:cs="Arial"/>
                <w:sz w:val="18"/>
                <w:szCs w:val="18"/>
                <w:lang w:val="es-ES_tradnl" w:eastAsia="es-CO"/>
              </w:rPr>
            </w:pPr>
            <w:r>
              <w:rPr>
                <w:rFonts w:ascii="Bookman Old Style" w:hAnsi="Bookman Old Style" w:cs="Arial"/>
                <w:b/>
                <w:bCs/>
                <w:color w:val="000000"/>
                <w:sz w:val="18"/>
                <w:szCs w:val="18"/>
                <w:lang w:val="es-ES_tradnl" w:eastAsia="es-ES_tradnl"/>
              </w:rPr>
              <w:t>NORGAS</w:t>
            </w:r>
          </w:p>
        </w:tc>
        <w:tc>
          <w:tcPr>
            <w:tcW w:w="2311" w:type="dxa"/>
            <w:tcBorders>
              <w:top w:val="single" w:sz="4" w:space="0" w:color="auto"/>
              <w:left w:val="single" w:sz="4" w:space="0" w:color="auto"/>
              <w:bottom w:val="single" w:sz="4" w:space="0" w:color="auto"/>
              <w:right w:val="nil"/>
            </w:tcBorders>
            <w:shd w:val="clear" w:color="auto" w:fill="FFFFFF"/>
            <w:vAlign w:val="center"/>
          </w:tcPr>
          <w:p w:rsidR="00A05E79" w:rsidRPr="00A05E79" w:rsidRDefault="00ED1E22" w:rsidP="00A05E79">
            <w:pPr>
              <w:widowControl w:val="0"/>
              <w:spacing w:line="220" w:lineRule="exact"/>
              <w:ind w:left="80"/>
              <w:rPr>
                <w:rFonts w:ascii="Bookman Old Style" w:hAnsi="Bookman Old Style" w:cs="Arial"/>
                <w:sz w:val="18"/>
                <w:szCs w:val="18"/>
                <w:lang w:val="es-ES_tradnl" w:eastAsia="es-CO"/>
              </w:rPr>
            </w:pPr>
            <w:r>
              <w:rPr>
                <w:rFonts w:ascii="Bookman Old Style" w:hAnsi="Bookman Old Style" w:cs="Arial"/>
                <w:color w:val="000000"/>
                <w:sz w:val="18"/>
                <w:szCs w:val="18"/>
                <w:lang w:val="es-ES_tradnl" w:eastAsia="es-ES_tradnl"/>
              </w:rPr>
              <w:t>16.781.755</w:t>
            </w:r>
          </w:p>
        </w:tc>
        <w:tc>
          <w:tcPr>
            <w:tcW w:w="1757" w:type="dxa"/>
            <w:tcBorders>
              <w:top w:val="single" w:sz="4" w:space="0" w:color="auto"/>
              <w:left w:val="single" w:sz="4" w:space="0" w:color="auto"/>
              <w:bottom w:val="single" w:sz="4" w:space="0" w:color="auto"/>
              <w:right w:val="nil"/>
            </w:tcBorders>
            <w:shd w:val="clear" w:color="auto" w:fill="FFFFFF"/>
            <w:vAlign w:val="center"/>
          </w:tcPr>
          <w:p w:rsidR="00A05E79" w:rsidRPr="00A05E79" w:rsidRDefault="00ED1E22" w:rsidP="00A05E79">
            <w:pPr>
              <w:widowControl w:val="0"/>
              <w:spacing w:line="220" w:lineRule="exact"/>
              <w:ind w:left="80"/>
              <w:rPr>
                <w:rFonts w:ascii="Bookman Old Style" w:hAnsi="Bookman Old Style" w:cs="Arial"/>
                <w:sz w:val="18"/>
                <w:szCs w:val="18"/>
                <w:lang w:val="es-ES_tradnl" w:eastAsia="es-CO"/>
              </w:rPr>
            </w:pPr>
            <w:r>
              <w:rPr>
                <w:rFonts w:ascii="Bookman Old Style" w:hAnsi="Bookman Old Style" w:cs="Arial"/>
                <w:color w:val="000000"/>
                <w:sz w:val="18"/>
                <w:szCs w:val="18"/>
                <w:lang w:val="es-ES_tradnl" w:eastAsia="es-ES_tradnl"/>
              </w:rPr>
              <w:t>17.597.321</w:t>
            </w:r>
          </w:p>
        </w:tc>
        <w:tc>
          <w:tcPr>
            <w:tcW w:w="1822" w:type="dxa"/>
            <w:tcBorders>
              <w:top w:val="single" w:sz="4" w:space="0" w:color="auto"/>
              <w:left w:val="single" w:sz="4" w:space="0" w:color="auto"/>
              <w:bottom w:val="single" w:sz="4" w:space="0" w:color="auto"/>
              <w:right w:val="nil"/>
            </w:tcBorders>
            <w:shd w:val="clear" w:color="auto" w:fill="FFFFFF"/>
            <w:vAlign w:val="center"/>
          </w:tcPr>
          <w:p w:rsidR="00A05E79" w:rsidRPr="00A05E79" w:rsidRDefault="00ED1E22" w:rsidP="00A05E79">
            <w:pPr>
              <w:widowControl w:val="0"/>
              <w:spacing w:line="220" w:lineRule="exact"/>
              <w:ind w:left="80"/>
              <w:rPr>
                <w:rFonts w:ascii="Bookman Old Style" w:hAnsi="Bookman Old Style" w:cs="Arial"/>
                <w:sz w:val="18"/>
                <w:szCs w:val="18"/>
                <w:lang w:val="es-ES_tradnl" w:eastAsia="es-CO"/>
              </w:rPr>
            </w:pPr>
            <w:r>
              <w:rPr>
                <w:rFonts w:ascii="Bookman Old Style" w:hAnsi="Bookman Old Style" w:cs="Arial"/>
                <w:color w:val="000000"/>
                <w:sz w:val="18"/>
                <w:szCs w:val="18"/>
                <w:lang w:val="es-ES_tradnl" w:eastAsia="es-ES_tradnl"/>
              </w:rPr>
              <w:t>(815.566</w:t>
            </w:r>
            <w:r w:rsidR="00A05E79" w:rsidRPr="00A05E79">
              <w:rPr>
                <w:rFonts w:ascii="Bookman Old Style" w:hAnsi="Bookman Old Style" w:cs="Arial"/>
                <w:color w:val="000000"/>
                <w:sz w:val="18"/>
                <w:szCs w:val="18"/>
                <w:lang w:val="es-ES_tradnl" w:eastAsia="es-ES_tradnl"/>
              </w:rPr>
              <w:t>)</w:t>
            </w:r>
          </w:p>
        </w:tc>
        <w:tc>
          <w:tcPr>
            <w:tcW w:w="936" w:type="dxa"/>
            <w:tcBorders>
              <w:top w:val="single" w:sz="4" w:space="0" w:color="auto"/>
              <w:left w:val="single" w:sz="4" w:space="0" w:color="auto"/>
              <w:bottom w:val="single" w:sz="4" w:space="0" w:color="auto"/>
              <w:right w:val="single" w:sz="4" w:space="0" w:color="auto"/>
            </w:tcBorders>
            <w:shd w:val="clear" w:color="auto" w:fill="FFFFFF"/>
            <w:vAlign w:val="center"/>
          </w:tcPr>
          <w:p w:rsidR="00A05E79" w:rsidRPr="00A05E79" w:rsidRDefault="00ED1E22" w:rsidP="00A05E79">
            <w:pPr>
              <w:widowControl w:val="0"/>
              <w:spacing w:line="220" w:lineRule="exact"/>
              <w:ind w:left="80"/>
              <w:rPr>
                <w:rFonts w:ascii="Bookman Old Style" w:hAnsi="Bookman Old Style" w:cs="Arial"/>
                <w:sz w:val="18"/>
                <w:szCs w:val="18"/>
                <w:lang w:val="es-ES_tradnl" w:eastAsia="es-CO"/>
              </w:rPr>
            </w:pPr>
            <w:r>
              <w:rPr>
                <w:rFonts w:ascii="Bookman Old Style" w:hAnsi="Bookman Old Style" w:cs="Arial"/>
                <w:color w:val="000000"/>
                <w:sz w:val="18"/>
                <w:szCs w:val="18"/>
                <w:lang w:val="es-ES_tradnl" w:eastAsia="es-ES_tradnl"/>
              </w:rPr>
              <w:t>-4.6</w:t>
            </w:r>
            <w:r w:rsidR="00A05E79" w:rsidRPr="00A05E79">
              <w:rPr>
                <w:rFonts w:ascii="Bookman Old Style" w:hAnsi="Bookman Old Style" w:cs="Arial"/>
                <w:color w:val="000000"/>
                <w:sz w:val="18"/>
                <w:szCs w:val="18"/>
                <w:lang w:val="es-ES_tradnl" w:eastAsia="es-ES_tradnl"/>
              </w:rPr>
              <w:t>%</w:t>
            </w:r>
          </w:p>
        </w:tc>
      </w:tr>
    </w:tbl>
    <w:p w:rsidR="00A05E79" w:rsidRDefault="00A05E79" w:rsidP="00A05E79">
      <w:pPr>
        <w:pStyle w:val="Style2"/>
        <w:shd w:val="clear" w:color="auto" w:fill="auto"/>
        <w:spacing w:after="0" w:line="240" w:lineRule="auto"/>
        <w:ind w:right="284"/>
        <w:rPr>
          <w:rStyle w:val="CharStyle3"/>
          <w:rFonts w:ascii="Bookman Old Style" w:hAnsi="Bookman Old Style"/>
          <w:color w:val="000000"/>
          <w:lang w:val="es-ES_tradnl" w:eastAsia="es-ES_tradnl"/>
        </w:rPr>
      </w:pPr>
    </w:p>
    <w:p w:rsidR="00A05E79" w:rsidRDefault="00544BAD" w:rsidP="00A05E79">
      <w:pPr>
        <w:pStyle w:val="Style2"/>
        <w:shd w:val="clear" w:color="auto" w:fill="auto"/>
        <w:spacing w:after="0" w:line="240" w:lineRule="auto"/>
        <w:ind w:left="284" w:right="284"/>
        <w:rPr>
          <w:rStyle w:val="CharStyle3"/>
          <w:rFonts w:ascii="Bookman Old Style" w:hAnsi="Bookman Old Style"/>
          <w:color w:val="000000"/>
          <w:lang w:eastAsia="es-ES_tradnl"/>
        </w:rPr>
      </w:pPr>
      <w:r w:rsidRPr="00544BAD">
        <w:rPr>
          <w:rStyle w:val="CharStyle3"/>
          <w:rFonts w:ascii="Bookman Old Style" w:hAnsi="Bookman Old Style"/>
          <w:color w:val="000000"/>
          <w:lang w:eastAsia="es-ES_tradnl"/>
        </w:rPr>
        <w:t xml:space="preserve">Sumado a lo anterior, </w:t>
      </w:r>
      <w:r w:rsidR="00ED1E22">
        <w:rPr>
          <w:rStyle w:val="CharStyle3"/>
          <w:rFonts w:ascii="Bookman Old Style" w:hAnsi="Bookman Old Style"/>
          <w:color w:val="000000"/>
          <w:lang w:eastAsia="es-ES_tradnl"/>
        </w:rPr>
        <w:t>Nortesantandereana de Gas</w:t>
      </w:r>
      <w:r w:rsidRPr="00544BAD">
        <w:rPr>
          <w:rStyle w:val="CharStyle3"/>
          <w:rFonts w:ascii="Bookman Old Style" w:hAnsi="Bookman Old Style"/>
          <w:color w:val="000000"/>
          <w:lang w:eastAsia="es-ES_tradnl"/>
        </w:rPr>
        <w:t xml:space="preserve"> S.A. E.S.P. ha ingresado nuevos cilindros al mercado en lo corrido del año para atender la distribución de GLP en su área de influencia. Mediante comunicación de la Superintendencia de Servicios Públicos radicado No. </w:t>
      </w:r>
      <w:r w:rsidR="00ED1E22">
        <w:rPr>
          <w:rStyle w:val="CharStyle3"/>
          <w:rFonts w:ascii="Bookman Old Style" w:hAnsi="Bookman Old Style"/>
          <w:color w:val="000000"/>
          <w:lang w:eastAsia="es-ES_tradnl"/>
        </w:rPr>
        <w:t>20172301387711</w:t>
      </w:r>
      <w:r w:rsidRPr="00544BAD">
        <w:rPr>
          <w:rStyle w:val="CharStyle3"/>
          <w:rFonts w:ascii="Bookman Old Style" w:hAnsi="Bookman Old Style"/>
          <w:color w:val="000000"/>
          <w:lang w:eastAsia="es-ES_tradnl"/>
        </w:rPr>
        <w:t xml:space="preserve"> de fecha 02.10.2017 por medio de la cual la SSPD remitió la información actualizada de cilindros activos que reposa en la base de datos del SUI, en un CD donde se identifica, que el número de cilindros cargados desde 2008 hasta 2016 fueron </w:t>
      </w:r>
      <w:r w:rsidR="00ED1E22">
        <w:rPr>
          <w:rStyle w:val="CharStyle3"/>
          <w:rFonts w:ascii="Bookman Old Style" w:hAnsi="Bookman Old Style"/>
          <w:color w:val="000000"/>
          <w:lang w:eastAsia="es-ES_tradnl"/>
        </w:rPr>
        <w:t>442.957</w:t>
      </w:r>
      <w:r w:rsidRPr="00544BAD">
        <w:rPr>
          <w:rStyle w:val="CharStyle3"/>
          <w:rFonts w:ascii="Bookman Old Style" w:hAnsi="Bookman Old Style"/>
          <w:color w:val="000000"/>
          <w:lang w:eastAsia="es-ES_tradnl"/>
        </w:rPr>
        <w:t xml:space="preserve"> cilindros y en el año 2017 se cargaron </w:t>
      </w:r>
      <w:r w:rsidR="00ED1E22">
        <w:rPr>
          <w:rStyle w:val="CharStyle3"/>
          <w:rFonts w:ascii="Bookman Old Style" w:hAnsi="Bookman Old Style"/>
          <w:color w:val="000000"/>
          <w:lang w:eastAsia="es-ES_tradnl"/>
        </w:rPr>
        <w:t>5.021</w:t>
      </w:r>
      <w:r w:rsidRPr="00544BAD">
        <w:rPr>
          <w:rStyle w:val="CharStyle3"/>
          <w:rFonts w:ascii="Bookman Old Style" w:hAnsi="Bookman Old Style"/>
          <w:color w:val="000000"/>
          <w:lang w:eastAsia="es-ES_tradnl"/>
        </w:rPr>
        <w:t xml:space="preserve">, para un número total de cilindros de </w:t>
      </w:r>
      <w:r w:rsidR="00ED1E22">
        <w:rPr>
          <w:rStyle w:val="CharStyle3"/>
          <w:rFonts w:ascii="Bookman Old Style" w:hAnsi="Bookman Old Style"/>
          <w:color w:val="000000"/>
          <w:lang w:eastAsia="es-ES_tradnl"/>
        </w:rPr>
        <w:t>447.978</w:t>
      </w:r>
      <w:r w:rsidRPr="00544BAD">
        <w:rPr>
          <w:rStyle w:val="CharStyle3"/>
          <w:rFonts w:ascii="Bookman Old Style" w:hAnsi="Bookman Old Style"/>
          <w:color w:val="000000"/>
          <w:lang w:eastAsia="es-ES_tradnl"/>
        </w:rPr>
        <w:t>. Para el año 2016 la capacidad de los tan</w:t>
      </w:r>
      <w:r w:rsidR="00ED1E22">
        <w:rPr>
          <w:rStyle w:val="CharStyle3"/>
          <w:rFonts w:ascii="Bookman Old Style" w:hAnsi="Bookman Old Style"/>
          <w:color w:val="000000"/>
          <w:lang w:eastAsia="es-ES_tradnl"/>
        </w:rPr>
        <w:t xml:space="preserve">ques estacionarios ascendía de 528.637.2 </w:t>
      </w:r>
      <w:r w:rsidRPr="00544BAD">
        <w:rPr>
          <w:rStyle w:val="CharStyle3"/>
          <w:rFonts w:ascii="Bookman Old Style" w:hAnsi="Bookman Old Style"/>
          <w:color w:val="000000"/>
          <w:lang w:eastAsia="es-ES_tradnl"/>
        </w:rPr>
        <w:t xml:space="preserve">kilogramos para </w:t>
      </w:r>
      <w:r w:rsidR="00ED1E22">
        <w:rPr>
          <w:rStyle w:val="CharStyle3"/>
          <w:rFonts w:ascii="Bookman Old Style" w:hAnsi="Bookman Old Style"/>
          <w:color w:val="000000"/>
          <w:lang w:eastAsia="es-ES_tradnl"/>
        </w:rPr>
        <w:t>Nortesantandereana de Gas</w:t>
      </w:r>
      <w:r w:rsidR="00A05E79">
        <w:rPr>
          <w:rStyle w:val="CharStyle3"/>
          <w:rFonts w:ascii="Bookman Old Style" w:hAnsi="Bookman Old Style"/>
          <w:color w:val="000000"/>
          <w:lang w:eastAsia="es-ES_tradnl"/>
        </w:rPr>
        <w:t xml:space="preserve"> </w:t>
      </w:r>
      <w:r w:rsidR="00A05E79" w:rsidRPr="00A05E79">
        <w:rPr>
          <w:rStyle w:val="CharStyle3"/>
          <w:rFonts w:ascii="Bookman Old Style" w:hAnsi="Bookman Old Style"/>
          <w:color w:val="000000"/>
          <w:lang w:eastAsia="es-ES_tradnl"/>
        </w:rPr>
        <w:t>S.A. E.S.P. Los tanques estacionarios se han incrementado con relación al año anterior en 8.</w:t>
      </w:r>
      <w:r w:rsidR="00ED1E22">
        <w:rPr>
          <w:rStyle w:val="CharStyle3"/>
          <w:rFonts w:ascii="Bookman Old Style" w:hAnsi="Bookman Old Style"/>
          <w:color w:val="000000"/>
          <w:lang w:eastAsia="es-ES_tradnl"/>
        </w:rPr>
        <w:t>235.977</w:t>
      </w:r>
      <w:r w:rsidR="00A05E79" w:rsidRPr="00A05E79">
        <w:rPr>
          <w:rStyle w:val="CharStyle3"/>
          <w:rFonts w:ascii="Bookman Old Style" w:hAnsi="Bookman Old Style"/>
          <w:color w:val="000000"/>
          <w:lang w:eastAsia="es-ES_tradnl"/>
        </w:rPr>
        <w:t xml:space="preserve"> kilogramos.</w:t>
      </w:r>
    </w:p>
    <w:p w:rsidR="00B87CFA" w:rsidRPr="00A05E79" w:rsidRDefault="00B87CFA" w:rsidP="00A05E79">
      <w:pPr>
        <w:pStyle w:val="Style2"/>
        <w:shd w:val="clear" w:color="auto" w:fill="auto"/>
        <w:spacing w:after="0" w:line="240" w:lineRule="auto"/>
        <w:ind w:left="284" w:right="284"/>
        <w:rPr>
          <w:rStyle w:val="CharStyle3"/>
          <w:rFonts w:ascii="Bookman Old Style" w:hAnsi="Bookman Old Style"/>
          <w:color w:val="000000"/>
          <w:lang w:eastAsia="es-ES_tradnl"/>
        </w:rPr>
      </w:pPr>
    </w:p>
    <w:p w:rsidR="00A05E79" w:rsidRDefault="00A05E79" w:rsidP="00A05E79">
      <w:pPr>
        <w:pStyle w:val="Style2"/>
        <w:spacing w:after="0" w:line="240" w:lineRule="auto"/>
        <w:ind w:left="284" w:right="284"/>
        <w:rPr>
          <w:rStyle w:val="CharStyle3"/>
          <w:rFonts w:ascii="Bookman Old Style" w:hAnsi="Bookman Old Style"/>
          <w:color w:val="000000"/>
          <w:lang w:eastAsia="es-ES_tradnl"/>
        </w:rPr>
      </w:pPr>
      <w:r w:rsidRPr="00A05E79">
        <w:rPr>
          <w:rStyle w:val="CharStyle3"/>
          <w:rFonts w:ascii="Bookman Old Style" w:hAnsi="Bookman Old Style"/>
          <w:color w:val="000000"/>
          <w:lang w:eastAsia="es-ES_tradnl"/>
        </w:rPr>
        <w:t xml:space="preserve">Agradecemos que se evalúe la nueva capacidad de compra de GLP definida en la resolución en mención, dado que no evidenciamos la razón por la que se disminuye la capacidad de compra de la circular 035 de 2017 de la GREG, con respecto a la propuesta de resolución </w:t>
      </w:r>
      <w:r>
        <w:rPr>
          <w:rStyle w:val="CharStyle3"/>
          <w:rFonts w:ascii="Bookman Old Style" w:hAnsi="Bookman Old Style"/>
          <w:color w:val="000000"/>
          <w:lang w:eastAsia="es-ES_tradnl"/>
        </w:rPr>
        <w:t>CREG 168 de 2017.</w:t>
      </w:r>
    </w:p>
    <w:p w:rsidR="00A05E79" w:rsidRDefault="00A05E79" w:rsidP="00A05E79">
      <w:pPr>
        <w:pStyle w:val="Style2"/>
        <w:spacing w:after="0" w:line="240" w:lineRule="auto"/>
        <w:ind w:left="284" w:right="284"/>
        <w:rPr>
          <w:rStyle w:val="CharStyle3"/>
          <w:rFonts w:ascii="Bookman Old Style" w:hAnsi="Bookman Old Style"/>
          <w:color w:val="000000"/>
          <w:lang w:eastAsia="es-ES_tradnl"/>
        </w:rPr>
      </w:pPr>
    </w:p>
    <w:p w:rsidR="00B83F23" w:rsidRPr="00EA2C20" w:rsidRDefault="00A05E79" w:rsidP="00A05E79">
      <w:pPr>
        <w:pStyle w:val="Style2"/>
        <w:spacing w:after="0" w:line="240" w:lineRule="auto"/>
        <w:ind w:left="284" w:right="284"/>
        <w:rPr>
          <w:rFonts w:ascii="Bookman Old Style" w:hAnsi="Bookman Old Style"/>
          <w:color w:val="000000"/>
          <w:shd w:val="clear" w:color="auto" w:fill="FFFFFF"/>
          <w:lang w:eastAsia="es-ES_tradnl"/>
        </w:rPr>
      </w:pPr>
      <w:r w:rsidRPr="00A05E79">
        <w:rPr>
          <w:rStyle w:val="CharStyle3"/>
          <w:rFonts w:ascii="Bookman Old Style" w:hAnsi="Bookman Old Style"/>
          <w:color w:val="000000"/>
          <w:lang w:eastAsia="es-ES_tradnl"/>
        </w:rPr>
        <w:t xml:space="preserve">Para la empresa </w:t>
      </w:r>
      <w:r w:rsidR="00ED1E22">
        <w:rPr>
          <w:rStyle w:val="CharStyle3"/>
          <w:rFonts w:ascii="Bookman Old Style" w:hAnsi="Bookman Old Style"/>
          <w:color w:val="000000"/>
          <w:lang w:eastAsia="es-ES_tradnl"/>
        </w:rPr>
        <w:t>Nortesantandereana de Gas</w:t>
      </w:r>
      <w:r w:rsidRPr="00A05E79">
        <w:rPr>
          <w:rStyle w:val="CharStyle3"/>
          <w:rFonts w:ascii="Bookman Old Style" w:hAnsi="Bookman Old Style"/>
          <w:color w:val="000000"/>
          <w:lang w:eastAsia="es-ES_tradnl"/>
        </w:rPr>
        <w:t xml:space="preserve"> S.A. E.S.P. los requerimientos sobre </w:t>
      </w:r>
      <w:r w:rsidRPr="00A05E79">
        <w:rPr>
          <w:rStyle w:val="CharStyle3"/>
          <w:rFonts w:ascii="Bookman Old Style" w:hAnsi="Bookman Old Style"/>
          <w:color w:val="000000"/>
          <w:lang w:eastAsia="es-ES_tradnl"/>
        </w:rPr>
        <w:lastRenderedPageBreak/>
        <w:t>la capacidad de los cilindros</w:t>
      </w:r>
      <w:r>
        <w:rPr>
          <w:rStyle w:val="CharStyle3"/>
          <w:rFonts w:ascii="Bookman Old Style" w:hAnsi="Bookman Old Style"/>
          <w:color w:val="000000"/>
          <w:lang w:eastAsia="es-ES_tradnl"/>
        </w:rPr>
        <w:t xml:space="preserve"> </w:t>
      </w:r>
      <w:r w:rsidRPr="00A05E79">
        <w:rPr>
          <w:rStyle w:val="CharStyle3"/>
          <w:rFonts w:ascii="Bookman Old Style" w:hAnsi="Bookman Old Style"/>
          <w:color w:val="000000"/>
          <w:lang w:eastAsia="es-ES_tradnl"/>
        </w:rPr>
        <w:t>y</w:t>
      </w:r>
      <w:r>
        <w:rPr>
          <w:rStyle w:val="CharStyle3"/>
          <w:rFonts w:ascii="Bookman Old Style" w:hAnsi="Bookman Old Style"/>
          <w:color w:val="000000"/>
          <w:lang w:eastAsia="es-ES_tradnl"/>
        </w:rPr>
        <w:t xml:space="preserve"> </w:t>
      </w:r>
      <w:r w:rsidRPr="00A05E79">
        <w:rPr>
          <w:rStyle w:val="CharStyle3"/>
          <w:rFonts w:ascii="Bookman Old Style" w:hAnsi="Bookman Old Style"/>
          <w:color w:val="000000"/>
          <w:lang w:eastAsia="es-ES_tradnl"/>
        </w:rPr>
        <w:t>tanques está conforme al</w:t>
      </w:r>
      <w:r>
        <w:rPr>
          <w:rStyle w:val="CharStyle3"/>
          <w:rFonts w:ascii="Bookman Old Style" w:hAnsi="Bookman Old Style"/>
          <w:color w:val="000000"/>
          <w:lang w:eastAsia="es-ES_tradnl"/>
        </w:rPr>
        <w:t xml:space="preserve"> </w:t>
      </w:r>
      <w:r w:rsidRPr="00A05E79">
        <w:rPr>
          <w:rStyle w:val="CharStyle3"/>
          <w:rFonts w:ascii="Bookman Old Style" w:hAnsi="Bookman Old Style"/>
          <w:color w:val="000000"/>
          <w:lang w:eastAsia="es-ES_tradnl"/>
        </w:rPr>
        <w:t>requerimiento de la SSPD,</w:t>
      </w:r>
      <w:r>
        <w:rPr>
          <w:rStyle w:val="CharStyle3"/>
          <w:rFonts w:ascii="Bookman Old Style" w:hAnsi="Bookman Old Style"/>
          <w:color w:val="000000"/>
          <w:lang w:eastAsia="es-ES_tradnl"/>
        </w:rPr>
        <w:t xml:space="preserve"> </w:t>
      </w:r>
      <w:r w:rsidRPr="00A05E79">
        <w:rPr>
          <w:rStyle w:val="CharStyle3"/>
          <w:rFonts w:ascii="Bookman Old Style" w:hAnsi="Bookman Old Style"/>
          <w:color w:val="000000"/>
          <w:lang w:eastAsia="es-ES_tradnl"/>
        </w:rPr>
        <w:t xml:space="preserve">toda vez que los tamaños reportados coinciden con el comunicado de la SSPD 20172301225561, sobre la cual informó la DTGGG, así como los reportes en kilogramos. La información actualizada enviada por la Dirección corresponde a </w:t>
      </w:r>
      <w:r w:rsidR="00ED1E22">
        <w:rPr>
          <w:rStyle w:val="CharStyle3"/>
          <w:rFonts w:ascii="Bookman Old Style" w:hAnsi="Bookman Old Style"/>
          <w:color w:val="000000"/>
          <w:lang w:eastAsia="es-ES_tradnl"/>
        </w:rPr>
        <w:t>los dispuesto en la Resolución C</w:t>
      </w:r>
      <w:r w:rsidRPr="00A05E79">
        <w:rPr>
          <w:rStyle w:val="CharStyle3"/>
          <w:rFonts w:ascii="Bookman Old Style" w:hAnsi="Bookman Old Style"/>
          <w:color w:val="000000"/>
          <w:lang w:eastAsia="es-ES_tradnl"/>
        </w:rPr>
        <w:t>REG 063 de 2016.</w:t>
      </w:r>
      <w:r w:rsidR="00B83F23" w:rsidRPr="0097344A">
        <w:rPr>
          <w:rFonts w:ascii="Bookman Old Style" w:hAnsi="Bookman Old Style"/>
          <w:i/>
          <w:sz w:val="20"/>
          <w:szCs w:val="20"/>
          <w:lang w:val="es-ES_tradnl"/>
        </w:rPr>
        <w:t>”</w:t>
      </w:r>
    </w:p>
    <w:p w:rsidR="00B83F23" w:rsidRPr="006C0EE5" w:rsidRDefault="00B83F23" w:rsidP="00A05E79">
      <w:pPr>
        <w:ind w:left="284" w:right="284"/>
        <w:jc w:val="both"/>
        <w:rPr>
          <w:rFonts w:ascii="Bookman Old Style" w:hAnsi="Bookman Old Style" w:cs="Arial"/>
          <w:i/>
          <w:sz w:val="20"/>
          <w:szCs w:val="20"/>
          <w:lang w:val="es-ES_tradnl"/>
        </w:rPr>
      </w:pPr>
    </w:p>
    <w:p w:rsidR="006C0EE5" w:rsidRPr="006C0EE5" w:rsidRDefault="006C0EE5" w:rsidP="00A05E79">
      <w:pPr>
        <w:numPr>
          <w:ilvl w:val="0"/>
          <w:numId w:val="4"/>
        </w:numPr>
        <w:ind w:right="-142"/>
        <w:jc w:val="both"/>
        <w:rPr>
          <w:rFonts w:ascii="Bookman Old Style" w:hAnsi="Bookman Old Style"/>
          <w:b/>
          <w:szCs w:val="27"/>
        </w:rPr>
      </w:pPr>
      <w:r w:rsidRPr="006C0EE5">
        <w:rPr>
          <w:rFonts w:ascii="Bookman Old Style" w:hAnsi="Bookman Old Style"/>
          <w:b/>
          <w:szCs w:val="27"/>
        </w:rPr>
        <w:t>Decreto y práctica de pruebas de oficio por parte de la CREG</w:t>
      </w:r>
    </w:p>
    <w:p w:rsidR="006C0EE5" w:rsidRPr="006C0EE5" w:rsidRDefault="006C0EE5" w:rsidP="00A05E79">
      <w:pPr>
        <w:ind w:left="-142" w:right="-142"/>
        <w:jc w:val="both"/>
        <w:rPr>
          <w:rFonts w:ascii="Bookman Old Style" w:hAnsi="Bookman Old Style"/>
          <w:szCs w:val="27"/>
        </w:rPr>
      </w:pPr>
    </w:p>
    <w:p w:rsidR="006C0EE5" w:rsidRPr="006C0EE5" w:rsidRDefault="006C0EE5" w:rsidP="00A05E79">
      <w:pPr>
        <w:pStyle w:val="Textoindependiente2"/>
        <w:spacing w:after="0" w:line="240" w:lineRule="auto"/>
        <w:ind w:left="-142" w:right="-142"/>
        <w:jc w:val="both"/>
        <w:rPr>
          <w:rFonts w:ascii="Bookman Old Style" w:hAnsi="Bookman Old Style"/>
          <w:szCs w:val="27"/>
        </w:rPr>
      </w:pPr>
      <w:r w:rsidRPr="006C0EE5">
        <w:rPr>
          <w:rFonts w:ascii="Bookman Old Style" w:hAnsi="Bookman Old Style"/>
          <w:szCs w:val="27"/>
        </w:rPr>
        <w:t xml:space="preserve">Teniendo en cuenta que dentro de los argumentos expuestos por la empresa a efectos de sustentar su recurso de reposición se encontraban elementos relacionados con una posible diferencia de información del Sistema Único de Información – SUI, en particular, con respecto al ejercicio de depuración y ajuste en las capacidades de los cilindros de acuerdo con la normativa técnica, llevado a cabo por parte de dicha Superintendencia y que se expone en las comunicaciones 20172301319541, con radicado CREG E-2017-008887 de 26 de septiembre de 2017 y 20172301474701, </w:t>
      </w:r>
      <w:r>
        <w:rPr>
          <w:rFonts w:ascii="Bookman Old Style" w:hAnsi="Bookman Old Style"/>
          <w:szCs w:val="27"/>
        </w:rPr>
        <w:t>con radicado CREG E-2017-009607</w:t>
      </w:r>
      <w:r w:rsidRPr="006C0EE5">
        <w:rPr>
          <w:rFonts w:ascii="Bookman Old Style" w:hAnsi="Bookman Old Style"/>
          <w:szCs w:val="27"/>
        </w:rPr>
        <w:t>, previó a la fecha de corte de la información del SUI remitida por la Superintendencia de Servicios Públicos Domiciliaras a efectos de</w:t>
      </w:r>
      <w:r>
        <w:rPr>
          <w:rFonts w:ascii="Bookman Old Style" w:hAnsi="Bookman Old Style"/>
          <w:szCs w:val="27"/>
        </w:rPr>
        <w:t xml:space="preserve"> definir la capacidad de compra;</w:t>
      </w:r>
      <w:r w:rsidRPr="006C0EE5">
        <w:rPr>
          <w:rFonts w:ascii="Bookman Old Style" w:hAnsi="Bookman Old Style"/>
          <w:szCs w:val="27"/>
        </w:rPr>
        <w:t xml:space="preserve"> esta Comisión de acuerdo con las facultades con las que cuenta en materia probatoria, previstas en la Ley 142 de 1994, procedió a decretar de manera </w:t>
      </w:r>
      <w:r w:rsidRPr="006C0EE5">
        <w:rPr>
          <w:rFonts w:ascii="Bookman Old Style" w:hAnsi="Bookman Old Style" w:cs="Arial"/>
          <w:spacing w:val="-5"/>
          <w:lang w:val="es-CO" w:eastAsia="en-US"/>
        </w:rPr>
        <w:t>oficiosa</w:t>
      </w:r>
      <w:r w:rsidRPr="006C0EE5">
        <w:rPr>
          <w:rFonts w:ascii="Bookman Old Style" w:hAnsi="Bookman Old Style"/>
          <w:szCs w:val="27"/>
        </w:rPr>
        <w:t xml:space="preserve"> la práctica de pruebas, para lo cual expidió el Auto I-2017-</w:t>
      </w:r>
      <w:r>
        <w:rPr>
          <w:rFonts w:ascii="Bookman Old Style" w:hAnsi="Bookman Old Style"/>
          <w:szCs w:val="27"/>
        </w:rPr>
        <w:t>006449</w:t>
      </w:r>
      <w:r w:rsidRPr="006C0EE5">
        <w:rPr>
          <w:rFonts w:ascii="Bookman Old Style" w:hAnsi="Bookman Old Style"/>
          <w:szCs w:val="27"/>
        </w:rPr>
        <w:t xml:space="preserve"> en el cual se solicitó a la Superintendencia de Servicios Públicos Domiciliarios, en calidad de administrador de dicha herramienta, lo siguiente: </w:t>
      </w:r>
    </w:p>
    <w:p w:rsidR="006C0EE5" w:rsidRPr="006C0EE5" w:rsidRDefault="006C0EE5" w:rsidP="006C0EE5">
      <w:pPr>
        <w:ind w:left="-142" w:right="-142"/>
        <w:jc w:val="both"/>
        <w:rPr>
          <w:rFonts w:ascii="Bookman Old Style" w:hAnsi="Bookman Old Style"/>
          <w:szCs w:val="27"/>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w:t>
      </w:r>
      <w:r w:rsidRPr="006C0EE5">
        <w:rPr>
          <w:rFonts w:ascii="Bookman Old Style" w:eastAsia="MS Mincho" w:hAnsi="Bookman Old Style" w:cs="Arial"/>
          <w:b/>
          <w:sz w:val="22"/>
          <w:szCs w:val="22"/>
          <w:lang w:val="es-ES_tradnl" w:eastAsia="en-US"/>
        </w:rPr>
        <w:t>Artículo 1.</w:t>
      </w:r>
      <w:r w:rsidRPr="006C0EE5">
        <w:rPr>
          <w:rFonts w:ascii="Bookman Old Style" w:eastAsia="MS Mincho" w:hAnsi="Bookman Old Style" w:cs="Arial"/>
          <w:sz w:val="22"/>
          <w:szCs w:val="22"/>
          <w:lang w:val="es-ES_tradnl" w:eastAsia="en-US"/>
        </w:rPr>
        <w:t xml:space="preserve"> Decretar de manera oficiosa la práctica de las siguientes pruebas a efectos de que esta Comisión pueda resolver los recursos de reposición interpuestos en contra de la Resolución CREG 168 de 2017:</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Oficiar a la Superintendencia de Servicios Públicos Domiciliarios para que en el término de hasta (3) días calendario siguientes al recibo de la presente comunicación manifieste e informe a esta Entidad si existen diferencias, modificaciones o ajustes en la información del SUI remitida a esta Comisión mediante las comunicaciones 20172301319541, con radicado CREG E-2017-008887 de 26 de septiembre de 2017 y 20172301474701, con radicado CREG E-2017-009607 correspondiente a la información del Sistema de Información de Cilindros Marcados (SICMA) a partir de la información e</w:t>
      </w:r>
      <w:r w:rsidR="00E33BD8">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E33BD8">
        <w:rPr>
          <w:rFonts w:ascii="Bookman Old Style" w:eastAsia="MS Mincho" w:hAnsi="Bookman Old Style" w:cs="Arial"/>
          <w:sz w:val="22"/>
          <w:szCs w:val="22"/>
          <w:lang w:val="es-ES_tradnl" w:eastAsia="en-US"/>
        </w:rPr>
        <w:t>I</w:t>
      </w:r>
      <w:r w:rsidRPr="006C0EE5">
        <w:rPr>
          <w:rFonts w:ascii="Bookman Old Style" w:eastAsia="MS Mincho" w:hAnsi="Bookman Old Style" w:cs="Arial"/>
          <w:sz w:val="22"/>
          <w:szCs w:val="22"/>
          <w:lang w:val="es-ES_tradnl" w:eastAsia="en-US"/>
        </w:rPr>
        <w:t xml:space="preserve"> proyectos, hasta el año 2012, y la reportada por los distribuidores de GLP ante la Superintendencia, desde el año 2012 hasta el 17 de septiembre de 2017, con respecto a los soportes y argumentos que se adjuntan en los recursos de reposición por parte de las empresas, relacionados con el ejercicio de depuración y ajuste en las capacidades de los cilindros de acuerdo con la normativa técnica, llevado a cabo por la Superintendencia de Servicios Públicos Domiciliarios al Sistema Único de Información – SUI.</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Así mismo, manifestar e informar a esta Entidad si existen diferencias, modificaciones o ajustes en la información del SUI remitida a esta Comisión mediante las comunicaciones 20172301319541, con radicado CREG E-2017-008887 de 26 de septiembre de 2017 y 20172301474701, con radicado CREG E-2017-009607 correspondiente a la información del Sistema de Información de Cilindros Marcados (SICMA) a partir de la información e</w:t>
      </w:r>
      <w:r w:rsidR="00E33BD8">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E33BD8">
        <w:rPr>
          <w:rFonts w:ascii="Bookman Old Style" w:eastAsia="MS Mincho" w:hAnsi="Bookman Old Style" w:cs="Arial"/>
          <w:sz w:val="22"/>
          <w:szCs w:val="22"/>
          <w:lang w:val="es-ES_tradnl" w:eastAsia="en-US"/>
        </w:rPr>
        <w:t>I</w:t>
      </w:r>
      <w:r w:rsidRPr="006C0EE5">
        <w:rPr>
          <w:rFonts w:ascii="Bookman Old Style" w:eastAsia="MS Mincho" w:hAnsi="Bookman Old Style" w:cs="Arial"/>
          <w:sz w:val="22"/>
          <w:szCs w:val="22"/>
          <w:lang w:val="es-ES_tradnl" w:eastAsia="en-US"/>
        </w:rPr>
        <w:t xml:space="preserve"> proyectos, hasta el año 2012, y la reportada por los distribuidores de GLP ante la Superintendencia, desde el año 2012 hasta el 17 de septiembre de 2017, con respecto a los informes de cesión de marcas realizados a la Superintendencia por parte de las empresas distribuidoras de acuerdo con los soportes adjuntos en los recursos de reposición.</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 xml:space="preserve">Para el efecto se remitirá a la Superintendencia la información del archivo Excel correspondiente a las comunicaciones 20172301319541, con radicado CREG E-2017-008887 de 26 de septiembre de 2017 y 20172301474701, con radicado CREG E-2017-009607, así como copia de los recursos de reposición interpuestos en contra de la Resolución CREG 168 de 2017. </w:t>
      </w:r>
    </w:p>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w:t>
      </w:r>
      <w:r w:rsidR="00E33BD8">
        <w:rPr>
          <w:rFonts w:ascii="Bookman Old Style" w:eastAsia="MS Mincho" w:hAnsi="Bookman Old Style" w:cs="Arial"/>
          <w:sz w:val="22"/>
          <w:szCs w:val="22"/>
          <w:lang w:val="es-ES_tradnl" w:eastAsia="en-US"/>
        </w:rPr>
        <w:t>ntregada por la interventoría A</w:t>
      </w:r>
      <w:r w:rsidRPr="006C0EE5">
        <w:rPr>
          <w:rFonts w:ascii="Bookman Old Style" w:eastAsia="MS Mincho" w:hAnsi="Bookman Old Style" w:cs="Arial"/>
          <w:sz w:val="22"/>
          <w:szCs w:val="22"/>
          <w:lang w:val="es-ES_tradnl" w:eastAsia="en-US"/>
        </w:rPr>
        <w:t>C</w:t>
      </w:r>
      <w:r w:rsidR="00E33BD8">
        <w:rPr>
          <w:rFonts w:ascii="Bookman Old Style" w:eastAsia="MS Mincho" w:hAnsi="Bookman Old Style" w:cs="Arial"/>
          <w:sz w:val="22"/>
          <w:szCs w:val="22"/>
          <w:lang w:val="es-ES_tradnl" w:eastAsia="en-US"/>
        </w:rPr>
        <w:t>I</w:t>
      </w:r>
      <w:r w:rsidRPr="006C0EE5">
        <w:rPr>
          <w:rFonts w:ascii="Bookman Old Style" w:eastAsia="MS Mincho" w:hAnsi="Bookman Old Style" w:cs="Arial"/>
          <w:sz w:val="22"/>
          <w:szCs w:val="22"/>
          <w:lang w:val="es-ES_tradnl" w:eastAsia="en-US"/>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6C0EE5" w:rsidRPr="009C4230" w:rsidRDefault="006C0EE5" w:rsidP="006C0EE5">
      <w:pPr>
        <w:pStyle w:val="Textoindependiente"/>
        <w:spacing w:after="0"/>
        <w:rPr>
          <w:rFonts w:cs="Arial"/>
          <w:sz w:val="22"/>
          <w:szCs w:val="22"/>
        </w:rPr>
      </w:pPr>
    </w:p>
    <w:tbl>
      <w:tblPr>
        <w:tblStyle w:val="Tablaconcuadrcula"/>
        <w:tblW w:w="0" w:type="auto"/>
        <w:jc w:val="center"/>
        <w:tblLook w:val="04A0" w:firstRow="1" w:lastRow="0" w:firstColumn="1" w:lastColumn="0" w:noHBand="0" w:noVBand="1"/>
      </w:tblPr>
      <w:tblGrid>
        <w:gridCol w:w="2408"/>
        <w:gridCol w:w="2442"/>
        <w:gridCol w:w="2929"/>
      </w:tblGrid>
      <w:tr w:rsidR="006C0EE5" w:rsidRPr="006C0EE5" w:rsidTr="0066171D">
        <w:trPr>
          <w:jc w:val="center"/>
        </w:trPr>
        <w:tc>
          <w:tcPr>
            <w:tcW w:w="2408"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Identificador de empresa (código SUI)</w:t>
            </w:r>
          </w:p>
        </w:tc>
        <w:tc>
          <w:tcPr>
            <w:tcW w:w="2442"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Código de presentación del cilindro</w:t>
            </w:r>
          </w:p>
        </w:tc>
        <w:tc>
          <w:tcPr>
            <w:tcW w:w="2929" w:type="dxa"/>
            <w:vAlign w:val="center"/>
          </w:tcPr>
          <w:p w:rsidR="006C0EE5" w:rsidRPr="006C0EE5" w:rsidRDefault="006C0EE5" w:rsidP="0066171D">
            <w:pPr>
              <w:pStyle w:val="Textoindependiente"/>
              <w:spacing w:after="0"/>
              <w:rPr>
                <w:rFonts w:ascii="Bookman Old Style" w:hAnsi="Bookman Old Style" w:cs="Arial"/>
                <w:sz w:val="22"/>
                <w:szCs w:val="22"/>
              </w:rPr>
            </w:pPr>
            <w:r w:rsidRPr="006C0EE5">
              <w:rPr>
                <w:rFonts w:ascii="Bookman Old Style" w:hAnsi="Bookman Old Style" w:cs="Arial"/>
                <w:sz w:val="22"/>
                <w:szCs w:val="22"/>
              </w:rPr>
              <w:t xml:space="preserve">Cantidad de cilindros por cada código de presentación </w:t>
            </w:r>
          </w:p>
        </w:tc>
      </w:tr>
    </w:tbl>
    <w:p w:rsidR="006C0EE5" w:rsidRPr="006C0EE5" w:rsidRDefault="006C0EE5" w:rsidP="006C0EE5">
      <w:pPr>
        <w:ind w:left="284" w:right="284"/>
        <w:jc w:val="both"/>
        <w:rPr>
          <w:rFonts w:ascii="Bookman Old Style" w:eastAsia="MS Mincho" w:hAnsi="Bookman Old Style" w:cs="Arial"/>
          <w:sz w:val="22"/>
          <w:szCs w:val="22"/>
          <w:lang w:val="es-ES_tradnl" w:eastAsia="en-US"/>
        </w:rPr>
      </w:pPr>
    </w:p>
    <w:p w:rsidR="006C0EE5" w:rsidRPr="006C0EE5" w:rsidRDefault="006C0EE5" w:rsidP="006C0EE5">
      <w:pPr>
        <w:ind w:left="284" w:right="284"/>
        <w:jc w:val="both"/>
        <w:rPr>
          <w:rFonts w:ascii="Bookman Old Style" w:eastAsia="MS Mincho" w:hAnsi="Bookman Old Style" w:cs="Arial"/>
          <w:sz w:val="22"/>
          <w:szCs w:val="22"/>
          <w:lang w:val="es-ES_tradnl" w:eastAsia="en-US"/>
        </w:rPr>
      </w:pPr>
      <w:r w:rsidRPr="006C0EE5">
        <w:rPr>
          <w:rFonts w:ascii="Bookman Old Style" w:eastAsia="MS Mincho" w:hAnsi="Bookman Old Style" w:cs="Arial"/>
          <w:sz w:val="22"/>
          <w:szCs w:val="22"/>
          <w:lang w:val="es-ES_tradnl" w:eastAsia="en-US"/>
        </w:rPr>
        <w:t>Así mismo, remitir la información de tanques estacionarios atendidos por cada distribuidor y su capacidad en galones correspondiente al año 2016 de acuerdo con lo reportado a la Superintendencia de Servicios Públicos Domiciliarios en el Sistema Único de Información - SUI.</w:t>
      </w:r>
      <w:r>
        <w:rPr>
          <w:rFonts w:ascii="Bookman Old Style" w:eastAsia="MS Mincho" w:hAnsi="Bookman Old Style" w:cs="Arial"/>
          <w:sz w:val="22"/>
          <w:szCs w:val="22"/>
          <w:lang w:val="es-ES_tradnl" w:eastAsia="en-US"/>
        </w:rPr>
        <w:t>”</w:t>
      </w:r>
    </w:p>
    <w:p w:rsidR="006C0EE5" w:rsidRDefault="006C0EE5" w:rsidP="006C0EE5">
      <w:pPr>
        <w:ind w:left="284" w:right="284"/>
        <w:jc w:val="both"/>
        <w:rPr>
          <w:rFonts w:ascii="Bookman Old Style" w:hAnsi="Bookman Old Style" w:cs="Arial"/>
          <w:b/>
          <w:bCs/>
          <w:sz w:val="22"/>
          <w:szCs w:val="22"/>
          <w:lang w:val="es-CO"/>
        </w:rPr>
      </w:pPr>
    </w:p>
    <w:p w:rsidR="006C0EE5" w:rsidRPr="006C0EE5" w:rsidRDefault="006C0EE5" w:rsidP="006C0EE5">
      <w:pPr>
        <w:ind w:left="-142" w:right="-142"/>
        <w:jc w:val="both"/>
        <w:rPr>
          <w:rFonts w:ascii="Bookman Old Style" w:hAnsi="Bookman Old Style"/>
          <w:szCs w:val="27"/>
        </w:rPr>
      </w:pPr>
      <w:r w:rsidRPr="006C0EE5">
        <w:rPr>
          <w:rFonts w:ascii="Bookman Old Style" w:hAnsi="Bookman Old Style"/>
          <w:szCs w:val="27"/>
        </w:rPr>
        <w:t>Posteriormente se expidió el Auto I-2017-</w:t>
      </w:r>
      <w:r>
        <w:rPr>
          <w:rFonts w:ascii="Bookman Old Style" w:hAnsi="Bookman Old Style"/>
          <w:szCs w:val="27"/>
        </w:rPr>
        <w:t>006559</w:t>
      </w:r>
      <w:r w:rsidRPr="006C0EE5">
        <w:rPr>
          <w:rFonts w:ascii="Bookman Old Style" w:hAnsi="Bookman Old Style"/>
          <w:szCs w:val="27"/>
        </w:rPr>
        <w:t xml:space="preserve"> a efectos de incluir a la empresa Montagas dentro de la misma solicitud hecha a la Superintendencia, como parte del decreto y práctica de pruebas hecho inicialmente para </w:t>
      </w:r>
      <w:r>
        <w:rPr>
          <w:rFonts w:ascii="Bookman Old Style" w:hAnsi="Bookman Old Style"/>
          <w:szCs w:val="27"/>
        </w:rPr>
        <w:t>7</w:t>
      </w:r>
      <w:r w:rsidRPr="006C0EE5">
        <w:rPr>
          <w:rFonts w:ascii="Bookman Old Style" w:hAnsi="Bookman Old Style"/>
          <w:szCs w:val="27"/>
        </w:rPr>
        <w:t xml:space="preserve"> empresas distribuidoras.</w:t>
      </w:r>
    </w:p>
    <w:p w:rsidR="006C0EE5" w:rsidRPr="006C0EE5" w:rsidRDefault="006C0EE5" w:rsidP="006C0EE5">
      <w:pPr>
        <w:ind w:left="0" w:right="-142"/>
        <w:jc w:val="both"/>
        <w:rPr>
          <w:rFonts w:ascii="Bookman Old Style" w:hAnsi="Bookman Old Style"/>
          <w:szCs w:val="27"/>
        </w:rPr>
      </w:pPr>
    </w:p>
    <w:p w:rsidR="0097344A" w:rsidRPr="00EA2C20" w:rsidRDefault="006C0EE5" w:rsidP="00EA2C20">
      <w:pPr>
        <w:ind w:left="-142" w:right="-142"/>
        <w:jc w:val="both"/>
        <w:rPr>
          <w:rFonts w:ascii="Bookman Old Style" w:hAnsi="Bookman Old Style"/>
          <w:szCs w:val="27"/>
        </w:rPr>
      </w:pPr>
      <w:r w:rsidRPr="006C0EE5">
        <w:rPr>
          <w:rFonts w:ascii="Bookman Old Style" w:hAnsi="Bookman Old Style"/>
          <w:szCs w:val="27"/>
        </w:rPr>
        <w:t>Mediante oficios con radicado CREG E-2017-</w:t>
      </w:r>
      <w:r w:rsidR="00C3759C">
        <w:rPr>
          <w:rFonts w:ascii="Bookman Old Style" w:hAnsi="Bookman Old Style"/>
          <w:szCs w:val="27"/>
        </w:rPr>
        <w:t>011794</w:t>
      </w:r>
      <w:r w:rsidRPr="006C0EE5">
        <w:rPr>
          <w:rFonts w:ascii="Bookman Old Style" w:hAnsi="Bookman Old Style"/>
          <w:szCs w:val="27"/>
        </w:rPr>
        <w:t xml:space="preserve"> y E-2017-</w:t>
      </w:r>
      <w:r w:rsidR="00C3759C">
        <w:rPr>
          <w:rFonts w:ascii="Bookman Old Style" w:hAnsi="Bookman Old Style"/>
          <w:szCs w:val="27"/>
        </w:rPr>
        <w:t>011812</w:t>
      </w:r>
      <w:r w:rsidRPr="006C0EE5">
        <w:rPr>
          <w:rFonts w:ascii="Bookman Old Style" w:hAnsi="Bookman Old Style"/>
          <w:szCs w:val="27"/>
        </w:rPr>
        <w:t xml:space="preserve"> la Superintendencia de Se</w:t>
      </w:r>
      <w:r w:rsidR="00C3759C">
        <w:rPr>
          <w:rFonts w:ascii="Bookman Old Style" w:hAnsi="Bookman Old Style"/>
          <w:szCs w:val="27"/>
        </w:rPr>
        <w:t xml:space="preserve">rvicios Públicos Domiciliarios </w:t>
      </w:r>
      <w:r w:rsidRPr="006C0EE5">
        <w:rPr>
          <w:rFonts w:ascii="Bookman Old Style" w:hAnsi="Bookman Old Style"/>
          <w:szCs w:val="27"/>
        </w:rPr>
        <w:t>a través de la Delegada de Energía Eléctrica y Gas Combustible remitió la información solicitada por esta Comisión. En atención a lo anterior procederá esta Comisión a exponer el análisis</w:t>
      </w:r>
      <w:r w:rsidR="00C3759C">
        <w:rPr>
          <w:rFonts w:ascii="Bookman Old Style" w:hAnsi="Bookman Old Style"/>
          <w:szCs w:val="27"/>
        </w:rPr>
        <w:t xml:space="preserve"> de los resultados de la misma a efectos de </w:t>
      </w:r>
      <w:r w:rsidRPr="006C0EE5">
        <w:rPr>
          <w:rFonts w:ascii="Bookman Old Style" w:hAnsi="Bookman Old Style"/>
          <w:szCs w:val="27"/>
        </w:rPr>
        <w:t xml:space="preserve">resolver las consideraciones y argumentos expuestos por parte de </w:t>
      </w:r>
      <w:r w:rsidR="003D0ECD">
        <w:rPr>
          <w:rFonts w:ascii="Bookman Old Style" w:hAnsi="Bookman Old Style"/>
          <w:szCs w:val="27"/>
        </w:rPr>
        <w:t>Nortesantandereana de Gas</w:t>
      </w:r>
      <w:r w:rsidR="00EA2C20">
        <w:rPr>
          <w:rFonts w:ascii="Bookman Old Style" w:hAnsi="Bookman Old Style"/>
          <w:szCs w:val="27"/>
        </w:rPr>
        <w:t xml:space="preserve"> </w:t>
      </w:r>
      <w:r w:rsidRPr="006C0EE5">
        <w:rPr>
          <w:rFonts w:ascii="Bookman Old Style" w:hAnsi="Bookman Old Style"/>
          <w:szCs w:val="27"/>
        </w:rPr>
        <w:t xml:space="preserve">en su recurso frente a la Resolución CREG </w:t>
      </w:r>
      <w:r w:rsidR="00C3759C">
        <w:rPr>
          <w:rFonts w:ascii="Bookman Old Style" w:hAnsi="Bookman Old Style"/>
          <w:szCs w:val="27"/>
        </w:rPr>
        <w:t>168</w:t>
      </w:r>
      <w:r w:rsidRPr="006C0EE5">
        <w:rPr>
          <w:rFonts w:ascii="Bookman Old Style" w:hAnsi="Bookman Old Style"/>
          <w:szCs w:val="27"/>
        </w:rPr>
        <w:t xml:space="preserve"> de 2017.</w:t>
      </w:r>
    </w:p>
    <w:p w:rsidR="0097344A" w:rsidRDefault="0097344A" w:rsidP="006D45B0">
      <w:pPr>
        <w:widowControl w:val="0"/>
        <w:tabs>
          <w:tab w:val="right" w:pos="9498"/>
        </w:tabs>
        <w:adjustRightInd w:val="0"/>
        <w:ind w:left="0" w:right="-142"/>
        <w:jc w:val="both"/>
        <w:rPr>
          <w:rFonts w:ascii="Bookman Old Style" w:hAnsi="Bookman Old Style"/>
          <w:b/>
          <w:szCs w:val="27"/>
        </w:rPr>
      </w:pPr>
    </w:p>
    <w:p w:rsidR="006D45B0" w:rsidRDefault="006D45B0" w:rsidP="006D45B0">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168 de 2017, a efectos de que esta Comisión revise la</w:t>
      </w:r>
      <w:r w:rsidRPr="00B42221">
        <w:rPr>
          <w:rFonts w:ascii="Bookman Old Style" w:hAnsi="Bookman Old Style"/>
          <w:szCs w:val="27"/>
        </w:rPr>
        <w:t xml:space="preserve"> definición de la capacidad de compra para la </w:t>
      </w:r>
      <w:r>
        <w:rPr>
          <w:rFonts w:ascii="Bookman Old Style" w:hAnsi="Bookman Old Style"/>
          <w:szCs w:val="27"/>
        </w:rPr>
        <w:t xml:space="preserve">empresa </w:t>
      </w:r>
      <w:r w:rsidR="003D0ECD">
        <w:rPr>
          <w:rFonts w:ascii="Bookman Old Style" w:hAnsi="Bookman Old Style"/>
          <w:szCs w:val="27"/>
        </w:rPr>
        <w:t>Nortesantandereana de Gas</w:t>
      </w:r>
      <w:r>
        <w:rPr>
          <w:rFonts w:ascii="Bookman Old Style" w:hAnsi="Bookman Old Style"/>
          <w:szCs w:val="27"/>
        </w:rPr>
        <w:t xml:space="preserve">, toda vez que considera que existen diferencias en la información a nivel de cilindros y  tanques estacionarios reportados en el SUI que fueron tenidos en cuenta por la CREG para realizar dicho cálculo. </w:t>
      </w:r>
    </w:p>
    <w:p w:rsidR="006D45B0" w:rsidRDefault="006D45B0" w:rsidP="006D45B0">
      <w:pPr>
        <w:pStyle w:val="Textoindependiente2"/>
        <w:spacing w:after="0" w:line="240" w:lineRule="auto"/>
        <w:ind w:left="-142" w:right="-142"/>
        <w:jc w:val="both"/>
        <w:rPr>
          <w:rFonts w:ascii="Bookman Old Style" w:hAnsi="Bookman Old Style"/>
          <w:szCs w:val="27"/>
        </w:rPr>
      </w:pPr>
    </w:p>
    <w:p w:rsidR="00C3759C"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los argumentos de la empresa buscan justificar que la definición de la capacidad de compra debe llevarse a cabo con el reporte de </w:t>
      </w:r>
      <w:r w:rsidR="00C3759C">
        <w:rPr>
          <w:rFonts w:ascii="Bookman Old Style" w:hAnsi="Bookman Old Style"/>
          <w:szCs w:val="27"/>
        </w:rPr>
        <w:t xml:space="preserve">cilindros marcados ajustados en el SUI ateniendo los requerimientos derivados del ejercicio de </w:t>
      </w:r>
      <w:r w:rsidR="00C3759C">
        <w:rPr>
          <w:rFonts w:ascii="Bookman Old Style" w:hAnsi="Bookman Old Style"/>
          <w:szCs w:val="27"/>
        </w:rPr>
        <w:lastRenderedPageBreak/>
        <w:t>depuración llevado a cabo por parte de la Superintendencia de Servicios Públicos Domiciliarios.</w:t>
      </w:r>
    </w:p>
    <w:p w:rsidR="006D45B0" w:rsidRDefault="006D45B0" w:rsidP="00C3759C">
      <w:pPr>
        <w:pStyle w:val="Textoindependiente2"/>
        <w:spacing w:after="0" w:line="240" w:lineRule="auto"/>
        <w:ind w:left="0" w:right="-142"/>
        <w:jc w:val="both"/>
        <w:rPr>
          <w:rFonts w:ascii="Bookman Old Style" w:hAnsi="Bookman Old Style"/>
          <w:szCs w:val="27"/>
        </w:rPr>
      </w:pPr>
    </w:p>
    <w:p w:rsidR="006D45B0"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lo anterior, se debe tener en cuenta que esta Comisión llevó a cabo la definición de la capacidad de compra de la recurrente con base en </w:t>
      </w:r>
      <w:r w:rsidRPr="00FF62B5">
        <w:rPr>
          <w:rFonts w:ascii="Bookman Old Style" w:hAnsi="Bookman Old Style"/>
          <w:szCs w:val="27"/>
        </w:rPr>
        <w:t>la información del Sistema Único de Información – SUI</w:t>
      </w:r>
      <w:r>
        <w:rPr>
          <w:rFonts w:ascii="Bookman Old Style" w:hAnsi="Bookman Old Style"/>
          <w:szCs w:val="27"/>
        </w:rPr>
        <w:t xml:space="preserve"> remitida a la Comisión por parte de la Superintendencia de Servicios Públicos Domiciliarios</w:t>
      </w:r>
      <w:r w:rsidRPr="00FF62B5">
        <w:rPr>
          <w:rFonts w:ascii="Bookman Old Style" w:hAnsi="Bookman Old Style"/>
          <w:szCs w:val="27"/>
        </w:rPr>
        <w:t xml:space="preserve">, así como </w:t>
      </w:r>
      <w:r>
        <w:rPr>
          <w:rFonts w:ascii="Bookman Old Style" w:hAnsi="Bookman Old Style"/>
          <w:szCs w:val="27"/>
        </w:rPr>
        <w:t xml:space="preserve">atendiendo </w:t>
      </w:r>
      <w:r w:rsidRPr="00FF62B5">
        <w:rPr>
          <w:rFonts w:ascii="Bookman Old Style" w:hAnsi="Bookman Old Style"/>
          <w:szCs w:val="27"/>
        </w:rPr>
        <w:t>el procedimiento previsto en el artículo 8 de la Resolución CREG 063 de 2016</w:t>
      </w:r>
      <w:r>
        <w:rPr>
          <w:rFonts w:ascii="Bookman Old Style" w:hAnsi="Bookman Old Style"/>
          <w:szCs w:val="27"/>
        </w:rPr>
        <w:t xml:space="preserve">, lo cual se refleja en </w:t>
      </w:r>
      <w:r w:rsidRPr="00FF62B5">
        <w:rPr>
          <w:rFonts w:ascii="Bookman Old Style" w:hAnsi="Bookman Old Style"/>
          <w:szCs w:val="27"/>
        </w:rPr>
        <w:t>la Re</w:t>
      </w:r>
      <w:r>
        <w:rPr>
          <w:rFonts w:ascii="Bookman Old Style" w:hAnsi="Bookman Old Style"/>
          <w:szCs w:val="27"/>
        </w:rPr>
        <w:t>solución CREG 168 de 2017 y su anexo</w:t>
      </w:r>
      <w:r w:rsidRPr="00FF62B5">
        <w:rPr>
          <w:rFonts w:ascii="Bookman Old Style" w:hAnsi="Bookman Old Style"/>
          <w:szCs w:val="27"/>
        </w:rPr>
        <w:t>.</w:t>
      </w:r>
      <w:r>
        <w:rPr>
          <w:rFonts w:ascii="Bookman Old Style" w:hAnsi="Bookman Old Style"/>
          <w:szCs w:val="27"/>
        </w:rPr>
        <w:t xml:space="preserve"> </w:t>
      </w:r>
    </w:p>
    <w:p w:rsidR="006D45B0" w:rsidRDefault="006D45B0" w:rsidP="006D45B0">
      <w:pPr>
        <w:pStyle w:val="Textoindependiente2"/>
        <w:spacing w:after="0" w:line="240" w:lineRule="auto"/>
        <w:ind w:left="-142" w:right="-142"/>
        <w:jc w:val="both"/>
        <w:rPr>
          <w:rFonts w:ascii="Bookman Old Style" w:hAnsi="Bookman Old Style"/>
          <w:szCs w:val="27"/>
        </w:rPr>
      </w:pPr>
    </w:p>
    <w:p w:rsidR="006D45B0" w:rsidRPr="00732E3E" w:rsidRDefault="006D45B0" w:rsidP="006D45B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Para el caso particular de la información del SUI, </w:t>
      </w:r>
      <w:r w:rsidRPr="00E55F70">
        <w:rPr>
          <w:rFonts w:ascii="Bookman Old Style" w:hAnsi="Bookman Old Style"/>
          <w:szCs w:val="27"/>
        </w:rPr>
        <w:t>la Comisión de Regulación de Energía y Gas mediante comunicación con radicado CREG S-2017-</w:t>
      </w:r>
      <w:r w:rsidRPr="00732E3E">
        <w:rPr>
          <w:rFonts w:ascii="Bookman Old Style" w:hAnsi="Bookman Old Style"/>
          <w:szCs w:val="27"/>
        </w:rPr>
        <w:t>-003900 de 28 de agosto de 2017 solicitó a la Superintendencia de Servicios Públicos Domiciliarios la información del Sistema de Información de Cilindros Marcados (SICMA) a partir de la información e</w:t>
      </w:r>
      <w:r w:rsidR="00BA0D41">
        <w:rPr>
          <w:rFonts w:ascii="Bookman Old Style" w:hAnsi="Bookman Old Style"/>
          <w:szCs w:val="27"/>
        </w:rPr>
        <w:t>ntregada por la interventoría A</w:t>
      </w:r>
      <w:r w:rsidRPr="00732E3E">
        <w:rPr>
          <w:rFonts w:ascii="Bookman Old Style" w:hAnsi="Bookman Old Style"/>
          <w:szCs w:val="27"/>
        </w:rPr>
        <w:t>C</w:t>
      </w:r>
      <w:r w:rsidR="00BA0D41">
        <w:rPr>
          <w:rFonts w:ascii="Bookman Old Style" w:hAnsi="Bookman Old Style"/>
          <w:szCs w:val="27"/>
        </w:rPr>
        <w:t>I</w:t>
      </w:r>
      <w:r w:rsidRPr="00732E3E">
        <w:rPr>
          <w:rFonts w:ascii="Bookman Old Style" w:hAnsi="Bookman Old Style"/>
          <w:szCs w:val="27"/>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w:t>
      </w:r>
      <w:r>
        <w:rPr>
          <w:rFonts w:ascii="Bookman Old Style" w:hAnsi="Bookman Old Style"/>
          <w:szCs w:val="27"/>
        </w:rPr>
        <w:t>ormación del SICMA y del SICUN)</w:t>
      </w:r>
      <w:r w:rsidRPr="00732E3E">
        <w:rPr>
          <w:rFonts w:ascii="Bookman Old Style" w:hAnsi="Bookman Old Style"/>
          <w:szCs w:val="27"/>
        </w:rPr>
        <w:t>.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w:t>
      </w:r>
    </w:p>
    <w:p w:rsidR="006D45B0" w:rsidRDefault="006D45B0" w:rsidP="006D45B0">
      <w:pPr>
        <w:pStyle w:val="Textoindependiente2"/>
        <w:spacing w:after="0" w:line="240" w:lineRule="auto"/>
        <w:ind w:left="0" w:right="-142"/>
        <w:jc w:val="both"/>
        <w:rPr>
          <w:rFonts w:ascii="Bookman Old Style" w:hAnsi="Bookman Old Style"/>
          <w:szCs w:val="27"/>
        </w:rPr>
      </w:pPr>
    </w:p>
    <w:p w:rsidR="006D45B0" w:rsidRPr="00EA33A0" w:rsidRDefault="006D45B0" w:rsidP="006D45B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rsidR="006D45B0" w:rsidRPr="00EA33A0" w:rsidRDefault="006D45B0" w:rsidP="006D45B0">
      <w:pPr>
        <w:ind w:left="0"/>
        <w:jc w:val="both"/>
        <w:rPr>
          <w:rFonts w:ascii="Bookman Old Style" w:hAnsi="Bookman Old Style"/>
          <w:szCs w:val="27"/>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6D45B0" w:rsidRPr="00EA33A0" w:rsidRDefault="006D45B0" w:rsidP="006D45B0">
      <w:pPr>
        <w:ind w:left="284" w:right="284"/>
        <w:jc w:val="both"/>
        <w:rPr>
          <w:rFonts w:ascii="Bookman Old Style" w:hAnsi="Bookman Old Style"/>
          <w:i/>
          <w:sz w:val="22"/>
          <w:szCs w:val="22"/>
        </w:rPr>
      </w:pPr>
    </w:p>
    <w:p w:rsidR="006D45B0" w:rsidRPr="00EA33A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rsidR="006D45B0" w:rsidRPr="00EA33A0" w:rsidRDefault="006D45B0" w:rsidP="006D45B0">
      <w:pPr>
        <w:ind w:left="284" w:right="284"/>
        <w:jc w:val="both"/>
        <w:rPr>
          <w:rFonts w:ascii="Bookman Old Style" w:hAnsi="Bookman Old Style"/>
          <w:i/>
          <w:sz w:val="22"/>
          <w:szCs w:val="22"/>
        </w:rPr>
      </w:pPr>
    </w:p>
    <w:p w:rsidR="006D45B0" w:rsidRDefault="006D45B0" w:rsidP="006D45B0">
      <w:pPr>
        <w:ind w:left="284" w:right="284"/>
        <w:jc w:val="both"/>
        <w:rPr>
          <w:rFonts w:ascii="Bookman Old Style" w:hAnsi="Bookman Old Style"/>
          <w:i/>
          <w:sz w:val="22"/>
          <w:szCs w:val="22"/>
        </w:rPr>
      </w:pPr>
      <w:r w:rsidRPr="00EA33A0">
        <w:rPr>
          <w:rFonts w:ascii="Bookman Old Style" w:hAnsi="Bookman Old Style"/>
          <w:i/>
          <w:sz w:val="22"/>
          <w:szCs w:val="22"/>
        </w:rPr>
        <w:t xml:space="preserve">A los datos obtenidos en la fecha indicada se les hizo una depuración y análisis, que permitió establecer algunas inconsistencias con respecto a la información enviada en ocasiones anteriores. </w:t>
      </w:r>
      <w:r>
        <w:rPr>
          <w:rFonts w:ascii="Bookman Old Style" w:hAnsi="Bookman Old Style"/>
          <w:i/>
          <w:sz w:val="22"/>
          <w:szCs w:val="22"/>
        </w:rPr>
        <w:t>(…)”</w:t>
      </w:r>
    </w:p>
    <w:p w:rsidR="006D45B0" w:rsidRDefault="006D45B0" w:rsidP="006D45B0">
      <w:pPr>
        <w:pStyle w:val="Textoindependiente2"/>
        <w:spacing w:after="0" w:line="240" w:lineRule="auto"/>
        <w:ind w:left="-142" w:right="-142"/>
        <w:jc w:val="both"/>
        <w:rPr>
          <w:rFonts w:ascii="Bookman Old Style" w:hAnsi="Bookman Old Style"/>
          <w:szCs w:val="27"/>
        </w:rPr>
      </w:pPr>
      <w:r w:rsidRPr="00732E3E">
        <w:rPr>
          <w:rFonts w:ascii="Bookman Old Style" w:hAnsi="Bookman Old Style"/>
          <w:szCs w:val="27"/>
        </w:rPr>
        <w:lastRenderedPageBreak/>
        <w:t>Posteriormente, mediante comunicación 20172301474701, con radicado CREG E-2017-009607, la Superintendencia dio alcance a la comunicación inicial</w:t>
      </w:r>
      <w:r>
        <w:rPr>
          <w:rFonts w:ascii="Bookman Old Style" w:hAnsi="Bookman Old Style"/>
          <w:szCs w:val="27"/>
        </w:rPr>
        <w:t>, precisando con mayor nivel de detalle el ejercicio de depuración al SUI llevado a cabo por dicha Entidad.</w:t>
      </w:r>
    </w:p>
    <w:p w:rsidR="00C3759C" w:rsidRDefault="00C3759C" w:rsidP="006D45B0">
      <w:pPr>
        <w:pStyle w:val="Textoindependiente2"/>
        <w:spacing w:after="0" w:line="240" w:lineRule="auto"/>
        <w:ind w:left="-142" w:right="-142"/>
        <w:jc w:val="both"/>
        <w:rPr>
          <w:rFonts w:ascii="Bookman Old Style" w:hAnsi="Bookman Old Style"/>
          <w:szCs w:val="27"/>
        </w:rPr>
      </w:pPr>
    </w:p>
    <w:p w:rsidR="00C3759C" w:rsidRDefault="00C3759C" w:rsidP="00C3759C">
      <w:pPr>
        <w:pStyle w:val="Textoindependiente2"/>
        <w:spacing w:after="0" w:line="240" w:lineRule="auto"/>
        <w:ind w:left="-142" w:right="-142"/>
        <w:jc w:val="both"/>
        <w:rPr>
          <w:rFonts w:ascii="Bookman Old Style" w:hAnsi="Bookman Old Style"/>
          <w:szCs w:val="27"/>
        </w:rPr>
      </w:pPr>
      <w:r w:rsidRPr="00C3759C">
        <w:rPr>
          <w:rFonts w:ascii="Bookman Old Style" w:hAnsi="Bookman Old Style"/>
          <w:szCs w:val="27"/>
        </w:rPr>
        <w:t>En respuesta al auto de pruebas la Superintendencia de Servicios Públicos Domiciliarios expuso lo siguiente</w:t>
      </w:r>
      <w:r>
        <w:rPr>
          <w:rFonts w:ascii="Bookman Old Style" w:hAnsi="Bookman Old Style"/>
          <w:szCs w:val="27"/>
        </w:rPr>
        <w:t xml:space="preserve"> parta el caso de la empresa </w:t>
      </w:r>
      <w:r w:rsidR="003D0ECD">
        <w:rPr>
          <w:rFonts w:ascii="Bookman Old Style" w:hAnsi="Bookman Old Style"/>
          <w:szCs w:val="27"/>
        </w:rPr>
        <w:t>Nortesantandereana de Gas</w:t>
      </w:r>
      <w:r w:rsidRPr="00C3759C">
        <w:rPr>
          <w:rFonts w:ascii="Bookman Old Style" w:hAnsi="Bookman Old Style"/>
          <w:szCs w:val="27"/>
        </w:rPr>
        <w:t>:</w:t>
      </w:r>
    </w:p>
    <w:p w:rsidR="00A05E79" w:rsidRDefault="00A05E79" w:rsidP="00C3759C">
      <w:pPr>
        <w:pStyle w:val="Textoindependiente2"/>
        <w:spacing w:after="0" w:line="240" w:lineRule="auto"/>
        <w:ind w:left="-142" w:right="-142"/>
        <w:jc w:val="both"/>
        <w:rPr>
          <w:rFonts w:ascii="Bookman Old Style" w:hAnsi="Bookman Old Style"/>
          <w:szCs w:val="27"/>
        </w:rPr>
      </w:pPr>
    </w:p>
    <w:p w:rsidR="00C3759C" w:rsidRDefault="003D0ECD" w:rsidP="003D0ECD">
      <w:pPr>
        <w:pStyle w:val="Textoindependiente2"/>
        <w:spacing w:after="0" w:line="240" w:lineRule="auto"/>
        <w:ind w:left="-142" w:right="-142"/>
        <w:jc w:val="center"/>
        <w:rPr>
          <w:rFonts w:ascii="Bookman Old Style" w:hAnsi="Bookman Old Style"/>
          <w:szCs w:val="27"/>
        </w:rPr>
      </w:pPr>
      <w:r w:rsidRPr="003D0ECD">
        <w:rPr>
          <w:rFonts w:ascii="Bookman Old Style" w:hAnsi="Bookman Old Style"/>
          <w:noProof/>
          <w:szCs w:val="27"/>
          <w:lang w:val="es-CO" w:eastAsia="es-CO"/>
        </w:rPr>
        <w:drawing>
          <wp:inline distT="0" distB="0" distL="0" distR="0">
            <wp:extent cx="4745990" cy="2340610"/>
            <wp:effectExtent l="0" t="0" r="0" b="254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5990" cy="2340610"/>
                    </a:xfrm>
                    <a:prstGeom prst="rect">
                      <a:avLst/>
                    </a:prstGeom>
                    <a:noFill/>
                    <a:ln>
                      <a:noFill/>
                    </a:ln>
                  </pic:spPr>
                </pic:pic>
              </a:graphicData>
            </a:graphic>
          </wp:inline>
        </w:drawing>
      </w:r>
    </w:p>
    <w:p w:rsidR="0066171D" w:rsidRDefault="003D0ECD" w:rsidP="0097344A">
      <w:pPr>
        <w:pStyle w:val="Textoindependiente2"/>
        <w:spacing w:after="0" w:line="240" w:lineRule="auto"/>
        <w:ind w:left="0" w:right="-142"/>
        <w:jc w:val="center"/>
        <w:rPr>
          <w:rFonts w:ascii="Bookman Old Style" w:hAnsi="Bookman Old Style"/>
          <w:szCs w:val="27"/>
        </w:rPr>
      </w:pPr>
      <w:r w:rsidRPr="003D0ECD">
        <w:rPr>
          <w:rFonts w:ascii="Bookman Old Style" w:hAnsi="Bookman Old Style"/>
          <w:noProof/>
          <w:szCs w:val="27"/>
          <w:lang w:val="es-CO" w:eastAsia="es-CO"/>
        </w:rPr>
        <w:drawing>
          <wp:inline distT="0" distB="0" distL="0" distR="0">
            <wp:extent cx="4506374" cy="3831772"/>
            <wp:effectExtent l="0" t="0" r="889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9961" cy="3834822"/>
                    </a:xfrm>
                    <a:prstGeom prst="rect">
                      <a:avLst/>
                    </a:prstGeom>
                    <a:noFill/>
                    <a:ln>
                      <a:noFill/>
                    </a:ln>
                  </pic:spPr>
                </pic:pic>
              </a:graphicData>
            </a:graphic>
          </wp:inline>
        </w:drawing>
      </w:r>
    </w:p>
    <w:p w:rsidR="00C91B94" w:rsidRPr="00A05E79" w:rsidRDefault="00C91B94" w:rsidP="00A05E79">
      <w:pPr>
        <w:pStyle w:val="Textoindependiente2"/>
        <w:tabs>
          <w:tab w:val="left" w:pos="8194"/>
        </w:tabs>
        <w:spacing w:after="0" w:line="240" w:lineRule="auto"/>
        <w:ind w:left="-142" w:right="-142"/>
        <w:jc w:val="center"/>
        <w:rPr>
          <w:rFonts w:ascii="Bookman Old Style" w:hAnsi="Bookman Old Style"/>
          <w:szCs w:val="27"/>
        </w:rPr>
      </w:pPr>
    </w:p>
    <w:p w:rsidR="003D0ECD" w:rsidRDefault="003D0ECD" w:rsidP="003D0ECD">
      <w:pPr>
        <w:pStyle w:val="Textoindependiente2"/>
        <w:spacing w:after="0" w:line="240" w:lineRule="auto"/>
        <w:ind w:left="-142" w:right="-142"/>
        <w:jc w:val="center"/>
        <w:rPr>
          <w:rFonts w:ascii="Bookman Old Style" w:hAnsi="Bookman Old Style"/>
          <w:szCs w:val="27"/>
        </w:rPr>
      </w:pPr>
      <w:r w:rsidRPr="003D0ECD">
        <w:rPr>
          <w:rFonts w:ascii="Bookman Old Style" w:hAnsi="Bookman Old Style"/>
          <w:noProof/>
          <w:szCs w:val="27"/>
          <w:lang w:val="es-CO" w:eastAsia="es-CO"/>
        </w:rPr>
        <w:drawing>
          <wp:inline distT="0" distB="0" distL="0" distR="0">
            <wp:extent cx="4474210" cy="848995"/>
            <wp:effectExtent l="0" t="0" r="2540" b="8255"/>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4210" cy="848995"/>
                    </a:xfrm>
                    <a:prstGeom prst="rect">
                      <a:avLst/>
                    </a:prstGeom>
                    <a:noFill/>
                    <a:ln>
                      <a:noFill/>
                    </a:ln>
                  </pic:spPr>
                </pic:pic>
              </a:graphicData>
            </a:graphic>
          </wp:inline>
        </w:drawing>
      </w:r>
    </w:p>
    <w:p w:rsidR="00DA1EF4" w:rsidRDefault="00DA1EF4" w:rsidP="00DA1EF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De acuerdo con lo expuesto por la Superintendencia se establece que los argumentos de la empresa en relación con la existencia de diferencias en la </w:t>
      </w:r>
      <w:r>
        <w:rPr>
          <w:rFonts w:ascii="Bookman Old Style" w:hAnsi="Bookman Old Style"/>
          <w:szCs w:val="27"/>
        </w:rPr>
        <w:lastRenderedPageBreak/>
        <w:t xml:space="preserve">información del SUI en que esta se soporta no son procedentes a efectos de modificar lo resuelto en la Resolución CREG </w:t>
      </w:r>
      <w:r w:rsidR="00C91B94">
        <w:rPr>
          <w:rFonts w:ascii="Bookman Old Style" w:hAnsi="Bookman Old Style"/>
          <w:szCs w:val="27"/>
        </w:rPr>
        <w:t>168</w:t>
      </w:r>
      <w:r>
        <w:rPr>
          <w:rFonts w:ascii="Bookman Old Style" w:hAnsi="Bookman Old Style"/>
          <w:szCs w:val="27"/>
        </w:rPr>
        <w:t xml:space="preserve"> de 2017, toda vez que la información del SUI en materia cilindros y tanques estacionarios debió ser reportada a la Superintendencia de Servicios Públicos Domiciliarios en cumplimiento de las obligaciones previstas en la Ley y la regulación</w:t>
      </w:r>
      <w:r>
        <w:rPr>
          <w:rStyle w:val="Refdenotaalpie"/>
          <w:rFonts w:ascii="Bookman Old Style" w:hAnsi="Bookman Old Style"/>
          <w:szCs w:val="27"/>
        </w:rPr>
        <w:footnoteReference w:id="8"/>
      </w:r>
      <w:r>
        <w:rPr>
          <w:rFonts w:ascii="Bookman Old Style" w:hAnsi="Bookman Old Style"/>
          <w:szCs w:val="27"/>
        </w:rPr>
        <w:t xml:space="preserve"> en materia de reporte de información, así como dentro de los términos y plazos previstos en las circulares conjuntas expedidas por la CREG y la Superintendencia para el efecto.</w:t>
      </w:r>
    </w:p>
    <w:p w:rsidR="00DA1EF4" w:rsidRPr="00842277" w:rsidRDefault="00DA1EF4" w:rsidP="00DA1EF4">
      <w:pPr>
        <w:pStyle w:val="Textoindependiente2"/>
        <w:spacing w:after="0" w:line="240" w:lineRule="auto"/>
        <w:ind w:left="-142" w:right="-142"/>
        <w:jc w:val="both"/>
        <w:rPr>
          <w:rFonts w:ascii="Bookman Old Style" w:hAnsi="Bookman Old Style"/>
          <w:sz w:val="20"/>
          <w:szCs w:val="27"/>
        </w:rPr>
      </w:pPr>
    </w:p>
    <w:p w:rsidR="00172F7B" w:rsidRDefault="00DA1EF4" w:rsidP="00E415D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Lo anterior, a fin de dar cumplimiento a los presupuestos y mandatos propios del principio de igualdad, materializados en materia de servicios públicos en el criterio de neutralidad del artículo 87 de la Ley 142 de 1994, como lo son el </w:t>
      </w:r>
      <w:r w:rsidRPr="004926FE">
        <w:rPr>
          <w:rFonts w:ascii="Bookman Old Style" w:hAnsi="Bookman Old Style"/>
          <w:szCs w:val="27"/>
        </w:rPr>
        <w:t xml:space="preserve">de </w:t>
      </w:r>
      <w:r>
        <w:rPr>
          <w:rFonts w:ascii="Bookman Old Style" w:hAnsi="Bookman Old Style"/>
          <w:szCs w:val="27"/>
        </w:rPr>
        <w:t xml:space="preserve">dar un </w:t>
      </w:r>
      <w:r w:rsidRPr="004926FE">
        <w:rPr>
          <w:rFonts w:ascii="Bookman Old Style" w:hAnsi="Bookman Old Style"/>
          <w:szCs w:val="27"/>
        </w:rPr>
        <w:t>trato idéntico a destinatarios que se encuentren en circunstancias idénticas</w:t>
      </w:r>
      <w:r>
        <w:rPr>
          <w:rFonts w:ascii="Bookman Old Style" w:hAnsi="Bookman Old Style"/>
          <w:szCs w:val="27"/>
        </w:rPr>
        <w:t xml:space="preserve">, así como el de dar un </w:t>
      </w:r>
      <w:r w:rsidRPr="004926FE">
        <w:rPr>
          <w:rFonts w:ascii="Bookman Old Style" w:hAnsi="Bookman Old Style"/>
          <w:szCs w:val="27"/>
        </w:rPr>
        <w:t>trato paritario a destinatarios cuyas situaciones presenten similitudes y diferencias, pero las similitudes sean más relevantes a pesar de las diferencias</w:t>
      </w:r>
      <w:r>
        <w:rPr>
          <w:rFonts w:ascii="Bookman Old Style" w:hAnsi="Bookman Old Style"/>
          <w:szCs w:val="27"/>
        </w:rPr>
        <w:t>, como es el caso de los agentes distribuidores para efectos de la determinación de la c</w:t>
      </w:r>
      <w:r w:rsidR="00842277">
        <w:rPr>
          <w:rFonts w:ascii="Bookman Old Style" w:hAnsi="Bookman Old Style"/>
          <w:szCs w:val="27"/>
        </w:rPr>
        <w:t xml:space="preserve">apacidad de compra. </w:t>
      </w:r>
    </w:p>
    <w:p w:rsidR="00172F7B" w:rsidRDefault="00172F7B" w:rsidP="00E415D4">
      <w:pPr>
        <w:pStyle w:val="Textoindependiente2"/>
        <w:spacing w:after="0" w:line="240" w:lineRule="auto"/>
        <w:ind w:left="-142" w:right="-142"/>
        <w:jc w:val="both"/>
        <w:rPr>
          <w:rFonts w:ascii="Bookman Old Style" w:hAnsi="Bookman Old Style"/>
          <w:szCs w:val="27"/>
        </w:rPr>
      </w:pPr>
    </w:p>
    <w:p w:rsidR="00583648" w:rsidRPr="00E415D4" w:rsidRDefault="00DA1EF4" w:rsidP="00E415D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Por el contrario, el tener en cuenta dicha información desconocería dichas obligaciones </w:t>
      </w:r>
      <w:r>
        <w:rPr>
          <w:rFonts w:ascii="Bookman Old Style" w:hAnsi="Bookman Old Style" w:cs="Arial"/>
          <w:spacing w:val="-5"/>
          <w:lang w:val="es-CO" w:eastAsia="en-US"/>
        </w:rPr>
        <w:t xml:space="preserve">en relación con tener actualizado el reporte de esta información, de la misma forma que se estaría dando un tratamiento diferencial injustificado frente a la forma en que se llevó a cabo la definición de la capacidad de compra a los demás agentes bajo ninguna justificación legalmente válida y razonable, </w:t>
      </w:r>
      <w:r w:rsidRPr="00F64F1B">
        <w:rPr>
          <w:rFonts w:ascii="Bookman Old Style" w:hAnsi="Bookman Old Style" w:cs="Arial"/>
          <w:spacing w:val="-5"/>
          <w:lang w:val="es-CO" w:eastAsia="en-US"/>
        </w:rPr>
        <w:t xml:space="preserve">lo cual iría igualmente en contra del principio general del derecho </w:t>
      </w:r>
      <w:r w:rsidRPr="00F64F1B">
        <w:rPr>
          <w:rFonts w:ascii="Bookman Old Style" w:hAnsi="Bookman Old Style" w:cs="Arial"/>
          <w:i/>
          <w:spacing w:val="-5"/>
          <w:lang w:val="es-CO" w:eastAsia="en-US"/>
        </w:rPr>
        <w:t>nemo auditur propiam turpitudinem allegans</w:t>
      </w:r>
      <w:r w:rsidRPr="00F64F1B">
        <w:rPr>
          <w:rFonts w:ascii="Bookman Old Style" w:hAnsi="Bookman Old Style" w:cs="Arial"/>
          <w:spacing w:val="-5"/>
          <w:lang w:val="es-CO" w:eastAsia="en-US"/>
        </w:rPr>
        <w:t xml:space="preserve"> el cual hace referencia a que nadie puede alegar a su favor su propia culpa, atendiendo el alcance que la Ley 689 de 2001 le ha dado a la información del SUI</w:t>
      </w:r>
      <w:r>
        <w:rPr>
          <w:rFonts w:ascii="Bookman Old Style" w:hAnsi="Bookman Old Style" w:cs="Arial"/>
          <w:spacing w:val="-5"/>
          <w:lang w:val="es-CO" w:eastAsia="en-US"/>
        </w:rPr>
        <w:t>.</w:t>
      </w:r>
    </w:p>
    <w:p w:rsidR="0097344A" w:rsidRDefault="0097344A" w:rsidP="00583648">
      <w:pPr>
        <w:pStyle w:val="Textoindependiente2"/>
        <w:spacing w:after="0" w:line="240" w:lineRule="auto"/>
        <w:ind w:left="-142" w:right="-142"/>
        <w:jc w:val="both"/>
        <w:rPr>
          <w:rFonts w:ascii="Bookman Old Style" w:hAnsi="Bookman Old Style" w:cs="Arial"/>
          <w:spacing w:val="-5"/>
          <w:lang w:val="es-CO" w:eastAsia="en-US"/>
        </w:rPr>
      </w:pPr>
    </w:p>
    <w:p w:rsidR="00E415D4" w:rsidRPr="00E415D4" w:rsidRDefault="00E415D4" w:rsidP="00E415D4">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Así mismo</w:t>
      </w:r>
      <w:r w:rsidR="0097344A">
        <w:rPr>
          <w:rFonts w:ascii="Bookman Old Style" w:hAnsi="Bookman Old Style" w:cs="Arial"/>
          <w:spacing w:val="-5"/>
          <w:lang w:val="es-CO" w:eastAsia="en-US"/>
        </w:rPr>
        <w:t>,</w:t>
      </w:r>
      <w:r>
        <w:rPr>
          <w:rFonts w:ascii="Bookman Old Style" w:hAnsi="Bookman Old Style" w:cs="Arial"/>
          <w:spacing w:val="-5"/>
          <w:lang w:val="es-CO" w:eastAsia="en-US"/>
        </w:rPr>
        <w:t xml:space="preserve"> no es procedente la solicitud hecha por la empresa de mantener la capacidad de compra publicada en la Circular CREG 035 de 2017, ya que esto desconocería la correcta aplicación de la fórmula prevista en el artículo 8 de la Resolución CREG 063 de 2016. </w:t>
      </w:r>
      <w:r>
        <w:rPr>
          <w:rFonts w:ascii="Bookman Old Style" w:hAnsi="Bookman Old Style"/>
          <w:szCs w:val="27"/>
        </w:rPr>
        <w:t>Es por esto que dentro de la parte motiva de la Resolución CREG 168 de 2017 esta Comisión expuso lo siguiente:</w:t>
      </w:r>
    </w:p>
    <w:p w:rsidR="00E415D4" w:rsidRDefault="00E415D4" w:rsidP="00E415D4">
      <w:pPr>
        <w:pStyle w:val="Textoindependiente2"/>
        <w:spacing w:after="0" w:line="240" w:lineRule="auto"/>
        <w:ind w:left="-142" w:right="-142"/>
        <w:jc w:val="both"/>
        <w:rPr>
          <w:rFonts w:ascii="Bookman Old Style" w:hAnsi="Bookman Old Style"/>
          <w:szCs w:val="27"/>
        </w:rPr>
      </w:pPr>
    </w:p>
    <w:p w:rsidR="00E415D4" w:rsidRPr="00732199" w:rsidRDefault="00E415D4" w:rsidP="00E415D4">
      <w:pPr>
        <w:tabs>
          <w:tab w:val="left" w:pos="-720"/>
          <w:tab w:val="left" w:pos="1276"/>
        </w:tabs>
        <w:suppressAutoHyphens/>
        <w:overflowPunct w:val="0"/>
        <w:autoSpaceDE w:val="0"/>
        <w:ind w:left="284" w:right="284"/>
        <w:jc w:val="both"/>
        <w:textAlignment w:val="baseline"/>
        <w:rPr>
          <w:rFonts w:ascii="Bookman Old Style" w:hAnsi="Bookman Old Style" w:cs="Arial"/>
          <w:b/>
          <w:i/>
          <w:sz w:val="22"/>
          <w:szCs w:val="22"/>
          <w:u w:val="single"/>
          <w:lang w:val="es-ES_tradnl" w:eastAsia="ar-SA"/>
        </w:rPr>
      </w:pPr>
      <w:r>
        <w:rPr>
          <w:rFonts w:ascii="Bookman Old Style" w:hAnsi="Bookman Old Style" w:cs="Arial"/>
          <w:i/>
          <w:sz w:val="22"/>
          <w:szCs w:val="22"/>
          <w:lang w:val="es-ES_tradnl" w:eastAsia="ar-SA"/>
        </w:rPr>
        <w:t>“</w:t>
      </w:r>
      <w:r w:rsidRPr="00732199">
        <w:rPr>
          <w:rFonts w:ascii="Bookman Old Style" w:hAnsi="Bookman Old Style" w:cs="Arial"/>
          <w:i/>
          <w:sz w:val="22"/>
          <w:szCs w:val="22"/>
          <w:lang w:val="es-ES_tradnl" w:eastAsia="ar-SA"/>
        </w:rPr>
        <w:t xml:space="preserve">En este sentido, encuentra la Comisión que se debe expedir un acto administrativo de carácter particular a efectos de definir las capacidades de compra aplicables a los distribuidores de GLP, aplicables para el tercer período de compra, en desarrollo de las actuaciones administrativas iniciadas de oficio por parte de esta Comisión y atendiendo la información del SUI remitida por la Superintendencia de Servicios Públicos Domiciliarios, </w:t>
      </w:r>
      <w:r w:rsidRPr="00732199">
        <w:rPr>
          <w:rFonts w:ascii="Bookman Old Style" w:hAnsi="Bookman Old Style" w:cs="Arial"/>
          <w:b/>
          <w:i/>
          <w:sz w:val="22"/>
          <w:szCs w:val="22"/>
          <w:u w:val="single"/>
          <w:lang w:val="es-ES_tradnl" w:eastAsia="ar-SA"/>
        </w:rPr>
        <w:t xml:space="preserve">a fin de garantizar la correcta aplicación de la fórmula prevista en el artículo 8 de la Resolución CREG 063 de 2016, incluyendo el factor de equivalencia de envasado en cilindros y tanques estacionarios, correspondiente a 0,3. </w:t>
      </w:r>
    </w:p>
    <w:p w:rsidR="00E415D4" w:rsidRPr="00732199" w:rsidRDefault="00E415D4" w:rsidP="00E415D4">
      <w:pPr>
        <w:tabs>
          <w:tab w:val="left" w:pos="-720"/>
          <w:tab w:val="left" w:pos="1276"/>
        </w:tabs>
        <w:suppressAutoHyphens/>
        <w:overflowPunct w:val="0"/>
        <w:autoSpaceDE w:val="0"/>
        <w:ind w:left="284" w:right="284"/>
        <w:jc w:val="both"/>
        <w:textAlignment w:val="baseline"/>
        <w:rPr>
          <w:rFonts w:ascii="Bookman Old Style" w:hAnsi="Bookman Old Style" w:cs="Arial"/>
          <w:i/>
          <w:sz w:val="22"/>
          <w:szCs w:val="22"/>
          <w:lang w:val="es-ES_tradnl" w:eastAsia="ar-SA"/>
        </w:rPr>
      </w:pPr>
    </w:p>
    <w:p w:rsidR="00E415D4" w:rsidRPr="00732199" w:rsidRDefault="00E415D4" w:rsidP="00E415D4">
      <w:pPr>
        <w:tabs>
          <w:tab w:val="left" w:pos="-720"/>
          <w:tab w:val="left" w:pos="1276"/>
        </w:tabs>
        <w:suppressAutoHyphens/>
        <w:overflowPunct w:val="0"/>
        <w:autoSpaceDE w:val="0"/>
        <w:ind w:left="284" w:right="284"/>
        <w:jc w:val="both"/>
        <w:textAlignment w:val="baseline"/>
        <w:rPr>
          <w:rFonts w:ascii="Bookman Old Style" w:hAnsi="Bookman Old Style" w:cs="Arial"/>
          <w:i/>
          <w:sz w:val="22"/>
          <w:szCs w:val="22"/>
          <w:lang w:val="es-ES_tradnl" w:eastAsia="ar-SA"/>
        </w:rPr>
      </w:pPr>
      <w:r w:rsidRPr="00732199">
        <w:rPr>
          <w:rFonts w:ascii="Bookman Old Style" w:hAnsi="Bookman Old Style" w:cs="Arial"/>
          <w:i/>
          <w:sz w:val="22"/>
          <w:szCs w:val="22"/>
          <w:lang w:val="es-ES_tradnl" w:eastAsia="ar-SA"/>
        </w:rPr>
        <w:t>Así mismo, en desarrollo de las actuaciones administrativas adelantadas y a efectos de expedir la presente resolución, le corresponde a esta Comisión dar cumplimiento al principio de eficacia a que hace referencia el numeral 11 del artículo 3 de la Ley 1437 de 2011, el cual hace referencia a que las autoridades buscarán que los procedimientos logren su finalidad y, para el efecto, removerán de oficio los obstáculos puramente formales, evitarán decisiones inhibitorias, dilaciones o retardos y sanearán, de acuerdo con este Código las irregularidades procedimentales que se presenten, en procura de la efectividad del derecho material objeto de la actuación administrativa.</w:t>
      </w:r>
      <w:r>
        <w:rPr>
          <w:rFonts w:ascii="Bookman Old Style" w:hAnsi="Bookman Old Style" w:cs="Arial"/>
          <w:i/>
          <w:sz w:val="22"/>
          <w:szCs w:val="22"/>
          <w:lang w:val="es-ES_tradnl" w:eastAsia="ar-SA"/>
        </w:rPr>
        <w:t>” (Resaltado fuera de texto)</w:t>
      </w:r>
    </w:p>
    <w:p w:rsidR="00DA1EF4" w:rsidRPr="000F60FE" w:rsidRDefault="00DA1EF4" w:rsidP="00583648">
      <w:pPr>
        <w:pStyle w:val="Textoindependiente2"/>
        <w:spacing w:after="0" w:line="240" w:lineRule="auto"/>
        <w:ind w:left="-142" w:right="-142"/>
        <w:jc w:val="both"/>
        <w:rPr>
          <w:rFonts w:ascii="Bookman Old Style" w:hAnsi="Bookman Old Style"/>
          <w:szCs w:val="27"/>
        </w:rPr>
      </w:pPr>
      <w:r w:rsidRPr="000F60FE">
        <w:rPr>
          <w:rFonts w:ascii="Bookman Old Style" w:hAnsi="Bookman Old Style"/>
          <w:szCs w:val="27"/>
        </w:rPr>
        <w:lastRenderedPageBreak/>
        <w:t xml:space="preserve">De acuerdo con lo anterior, se establece que esta Comisión llevó a cabo en debida forma la definición de la capacidad de compra para la empresa </w:t>
      </w:r>
      <w:r w:rsidR="003D0ECD">
        <w:rPr>
          <w:rFonts w:ascii="Bookman Old Style" w:hAnsi="Bookman Old Style"/>
          <w:szCs w:val="27"/>
        </w:rPr>
        <w:t>Nortesantandereana de Gas</w:t>
      </w:r>
      <w:r w:rsidR="00172F7B">
        <w:rPr>
          <w:rFonts w:ascii="Bookman Old Style" w:hAnsi="Bookman Old Style"/>
          <w:szCs w:val="27"/>
        </w:rPr>
        <w:t xml:space="preserve"> </w:t>
      </w:r>
      <w:r w:rsidRPr="000F60FE">
        <w:rPr>
          <w:rFonts w:ascii="Bookman Old Style" w:hAnsi="Bookman Old Style"/>
          <w:szCs w:val="27"/>
        </w:rPr>
        <w:t>atendiendo el procedimiento previsto en la Resolución CREG 063 de 2016 y la información del Sistema Único de Información – SUI</w:t>
      </w:r>
      <w:r w:rsidR="00C91B94">
        <w:rPr>
          <w:rFonts w:ascii="Bookman Old Style" w:hAnsi="Bookman Old Style"/>
          <w:szCs w:val="27"/>
        </w:rPr>
        <w:t xml:space="preserve">, la cual </w:t>
      </w:r>
      <w:r>
        <w:rPr>
          <w:rFonts w:ascii="Bookman Old Style" w:hAnsi="Bookman Old Style"/>
          <w:szCs w:val="27"/>
        </w:rPr>
        <w:t>es confirmada por la Superintendencia dentro de la respuesta al decreto de pruebas solicitado</w:t>
      </w:r>
      <w:r w:rsidRPr="000F60FE">
        <w:rPr>
          <w:rFonts w:ascii="Bookman Old Style" w:hAnsi="Bookman Old Style"/>
          <w:szCs w:val="27"/>
        </w:rPr>
        <w:t>.</w:t>
      </w:r>
      <w:r>
        <w:rPr>
          <w:rFonts w:ascii="Bookman Old Style" w:hAnsi="Bookman Old Style"/>
          <w:szCs w:val="27"/>
        </w:rPr>
        <w:t xml:space="preserve"> </w:t>
      </w:r>
      <w:r w:rsidRPr="000F60FE">
        <w:rPr>
          <w:rFonts w:ascii="Bookman Old Style" w:hAnsi="Bookman Old Style" w:cs="Arial"/>
          <w:spacing w:val="-5"/>
          <w:lang w:val="es-CO" w:eastAsia="en-US"/>
        </w:rPr>
        <w:t xml:space="preserve">En este sentido, los argumentos expuestos por la recurrente no son procedentes y por lo tanto, no conllevan a modificar o revocar lo resuelto en la Resolución CREG </w:t>
      </w:r>
      <w:r>
        <w:rPr>
          <w:rFonts w:ascii="Bookman Old Style" w:hAnsi="Bookman Old Style" w:cs="Arial"/>
          <w:spacing w:val="-5"/>
          <w:lang w:val="es-CO" w:eastAsia="en-US"/>
        </w:rPr>
        <w:t>168</w:t>
      </w:r>
      <w:r w:rsidRPr="000F60FE">
        <w:rPr>
          <w:rFonts w:ascii="Bookman Old Style" w:hAnsi="Bookman Old Style" w:cs="Arial"/>
          <w:spacing w:val="-5"/>
          <w:lang w:val="es-CO" w:eastAsia="en-US"/>
        </w:rPr>
        <w:t xml:space="preserve"> de 2017</w:t>
      </w:r>
      <w:r w:rsidRPr="000F60FE">
        <w:rPr>
          <w:rFonts w:ascii="Bookman Old Style" w:hAnsi="Bookman Old Style"/>
          <w:szCs w:val="27"/>
        </w:rPr>
        <w:t xml:space="preserve">. </w:t>
      </w:r>
    </w:p>
    <w:p w:rsidR="00DA1EF4" w:rsidRPr="00842277" w:rsidRDefault="00DA1EF4" w:rsidP="00DA1EF4">
      <w:pPr>
        <w:ind w:left="0" w:right="-142"/>
        <w:jc w:val="both"/>
        <w:rPr>
          <w:rFonts w:ascii="Bookman Old Style" w:hAnsi="Bookman Old Style"/>
          <w:sz w:val="22"/>
          <w:szCs w:val="27"/>
        </w:rPr>
      </w:pPr>
    </w:p>
    <w:p w:rsidR="00DA1EF4" w:rsidRPr="000F60FE" w:rsidRDefault="00DA1EF4" w:rsidP="00DA1EF4">
      <w:pPr>
        <w:ind w:left="-142" w:right="-142"/>
        <w:jc w:val="both"/>
        <w:rPr>
          <w:rFonts w:ascii="Bookman Old Style" w:hAnsi="Bookman Old Style"/>
          <w:szCs w:val="27"/>
        </w:rPr>
      </w:pPr>
      <w:r w:rsidRPr="000F60FE">
        <w:rPr>
          <w:rFonts w:ascii="Bookman Old Style" w:hAnsi="Bookman Old Style"/>
          <w:szCs w:val="27"/>
        </w:rPr>
        <w:t xml:space="preserve">La Comisión de Regulación de Energía y Gas, en su sesión No. </w:t>
      </w:r>
      <w:r>
        <w:rPr>
          <w:rFonts w:ascii="Bookman Old Style" w:hAnsi="Bookman Old Style"/>
          <w:szCs w:val="27"/>
        </w:rPr>
        <w:t>826</w:t>
      </w:r>
      <w:r w:rsidRPr="000F60FE">
        <w:rPr>
          <w:rFonts w:ascii="Bookman Old Style" w:hAnsi="Bookman Old Style"/>
          <w:szCs w:val="27"/>
        </w:rPr>
        <w:t xml:space="preserve"> del </w:t>
      </w:r>
      <w:r>
        <w:rPr>
          <w:rFonts w:ascii="Bookman Old Style" w:hAnsi="Bookman Old Style"/>
          <w:szCs w:val="27"/>
        </w:rPr>
        <w:t>18</w:t>
      </w:r>
      <w:r w:rsidRPr="000F60FE">
        <w:rPr>
          <w:rFonts w:ascii="Bookman Old Style" w:hAnsi="Bookman Old Style"/>
          <w:szCs w:val="27"/>
        </w:rPr>
        <w:t xml:space="preserve"> de </w:t>
      </w:r>
      <w:r>
        <w:rPr>
          <w:rFonts w:ascii="Bookman Old Style" w:hAnsi="Bookman Old Style"/>
          <w:szCs w:val="27"/>
        </w:rPr>
        <w:t>diciembre</w:t>
      </w:r>
      <w:r w:rsidRPr="000F60FE">
        <w:rPr>
          <w:rFonts w:ascii="Bookman Old Style" w:hAnsi="Bookman Old Style"/>
          <w:szCs w:val="27"/>
        </w:rPr>
        <w:t xml:space="preserve"> de 2017, acordó expedir la presente resolución mediante la cual se resuelve el recurso de reposición interpuesto por la empresa </w:t>
      </w:r>
      <w:r w:rsidR="003D0ECD">
        <w:rPr>
          <w:rFonts w:ascii="Bookman Old Style" w:hAnsi="Bookman Old Style"/>
          <w:szCs w:val="27"/>
        </w:rPr>
        <w:t>Nortesantandereana de Gas</w:t>
      </w:r>
      <w:r w:rsidR="00A05E79">
        <w:rPr>
          <w:rFonts w:ascii="Bookman Old Style" w:hAnsi="Bookman Old Style"/>
          <w:szCs w:val="27"/>
        </w:rPr>
        <w:t xml:space="preserve"> </w:t>
      </w:r>
      <w:r w:rsidR="00C91B94">
        <w:rPr>
          <w:rFonts w:ascii="Bookman Old Style" w:hAnsi="Bookman Old Style"/>
          <w:szCs w:val="27"/>
        </w:rPr>
        <w:t>S.A</w:t>
      </w:r>
      <w:r>
        <w:rPr>
          <w:rFonts w:ascii="Bookman Old Style" w:hAnsi="Bookman Old Style"/>
          <w:szCs w:val="27"/>
        </w:rPr>
        <w:t>.</w:t>
      </w:r>
      <w:r w:rsidRPr="000F60FE">
        <w:rPr>
          <w:rFonts w:ascii="Bookman Old Style" w:hAnsi="Bookman Old Style"/>
          <w:szCs w:val="27"/>
        </w:rPr>
        <w:t xml:space="preserve"> E.S.P. contra la Resolución CREG </w:t>
      </w:r>
      <w:r>
        <w:rPr>
          <w:rFonts w:ascii="Bookman Old Style" w:hAnsi="Bookman Old Style"/>
          <w:szCs w:val="27"/>
        </w:rPr>
        <w:t>168</w:t>
      </w:r>
      <w:r w:rsidRPr="000F60FE">
        <w:rPr>
          <w:rFonts w:ascii="Bookman Old Style" w:hAnsi="Bookman Old Style"/>
          <w:szCs w:val="27"/>
        </w:rPr>
        <w:t xml:space="preserve"> de 2017.</w:t>
      </w:r>
    </w:p>
    <w:p w:rsidR="00C91B94" w:rsidRDefault="00C91B94" w:rsidP="00DA1EF4">
      <w:pPr>
        <w:tabs>
          <w:tab w:val="right" w:pos="9498"/>
        </w:tabs>
        <w:ind w:left="0" w:right="-142"/>
        <w:jc w:val="both"/>
        <w:rPr>
          <w:rFonts w:ascii="Bookman Old Style" w:hAnsi="Bookman Old Style"/>
          <w:bCs/>
          <w:sz w:val="22"/>
        </w:rPr>
      </w:pPr>
    </w:p>
    <w:p w:rsidR="00172F7B" w:rsidRPr="00842277" w:rsidRDefault="00172F7B" w:rsidP="00DA1EF4">
      <w:pPr>
        <w:tabs>
          <w:tab w:val="right" w:pos="9498"/>
        </w:tabs>
        <w:ind w:left="0" w:right="-142"/>
        <w:jc w:val="both"/>
        <w:rPr>
          <w:rFonts w:ascii="Bookman Old Style" w:hAnsi="Bookman Old Style"/>
          <w:bCs/>
          <w:sz w:val="22"/>
        </w:rPr>
      </w:pPr>
    </w:p>
    <w:p w:rsidR="00DA1EF4" w:rsidRPr="000F60FE" w:rsidRDefault="00DA1EF4" w:rsidP="00DA1EF4">
      <w:pPr>
        <w:tabs>
          <w:tab w:val="right" w:pos="9498"/>
        </w:tabs>
        <w:ind w:left="0" w:right="-142"/>
        <w:jc w:val="center"/>
        <w:rPr>
          <w:rFonts w:ascii="Bookman Old Style" w:hAnsi="Bookman Old Style" w:cs="Arial"/>
        </w:rPr>
      </w:pPr>
      <w:r w:rsidRPr="000F60FE">
        <w:rPr>
          <w:rFonts w:ascii="Bookman Old Style" w:hAnsi="Bookman Old Style" w:cs="Arial"/>
          <w:b/>
          <w:spacing w:val="80"/>
        </w:rPr>
        <w:t>RESUELVE</w:t>
      </w:r>
      <w:r w:rsidRPr="000F60FE">
        <w:rPr>
          <w:rFonts w:ascii="Bookman Old Style" w:hAnsi="Bookman Old Style" w:cs="Arial"/>
        </w:rPr>
        <w:t>:</w:t>
      </w:r>
    </w:p>
    <w:p w:rsidR="00842277" w:rsidRDefault="00842277" w:rsidP="00DA1EF4">
      <w:pPr>
        <w:tabs>
          <w:tab w:val="right" w:pos="9498"/>
        </w:tabs>
        <w:ind w:left="0" w:right="-142"/>
        <w:jc w:val="both"/>
        <w:rPr>
          <w:rFonts w:ascii="Bookman Old Style" w:hAnsi="Bookman Old Style" w:cs="Arial"/>
          <w:b/>
          <w:spacing w:val="-3"/>
          <w:sz w:val="22"/>
        </w:rPr>
      </w:pPr>
    </w:p>
    <w:p w:rsidR="00172F7B" w:rsidRPr="00842277" w:rsidRDefault="00172F7B" w:rsidP="00DA1EF4">
      <w:pPr>
        <w:tabs>
          <w:tab w:val="right" w:pos="9498"/>
        </w:tabs>
        <w:ind w:left="0" w:right="-142"/>
        <w:jc w:val="both"/>
        <w:rPr>
          <w:rFonts w:ascii="Bookman Old Style" w:hAnsi="Bookman Old Style" w:cs="Arial"/>
          <w:b/>
          <w:spacing w:val="-3"/>
          <w:sz w:val="22"/>
        </w:rPr>
      </w:pPr>
    </w:p>
    <w:p w:rsidR="00DA1EF4" w:rsidRPr="000F60FE" w:rsidRDefault="00DA1EF4" w:rsidP="00DA1EF4">
      <w:pPr>
        <w:ind w:left="-142" w:right="-142"/>
        <w:jc w:val="both"/>
        <w:rPr>
          <w:rFonts w:ascii="Bookman Old Style" w:hAnsi="Bookman Old Style"/>
          <w:szCs w:val="27"/>
        </w:rPr>
      </w:pPr>
      <w:r w:rsidRPr="000F60FE">
        <w:rPr>
          <w:rFonts w:ascii="Bookman Old Style" w:hAnsi="Bookman Old Style"/>
          <w:b/>
          <w:szCs w:val="27"/>
        </w:rPr>
        <w:t>Artículo 1</w:t>
      </w:r>
      <w:r w:rsidRPr="000F60FE">
        <w:rPr>
          <w:rFonts w:ascii="Bookman Old Style" w:hAnsi="Bookman Old Style"/>
          <w:szCs w:val="27"/>
        </w:rPr>
        <w:t>. No reponer</w:t>
      </w:r>
      <w:r w:rsidRPr="000F60FE">
        <w:rPr>
          <w:rFonts w:ascii="Bookman Old Style" w:hAnsi="Bookman Old Style"/>
          <w:b/>
          <w:szCs w:val="27"/>
        </w:rPr>
        <w:t xml:space="preserve"> </w:t>
      </w:r>
      <w:r w:rsidRPr="000F60FE">
        <w:rPr>
          <w:rFonts w:ascii="Bookman Old Style" w:hAnsi="Bookman Old Style"/>
          <w:szCs w:val="27"/>
        </w:rPr>
        <w:t xml:space="preserve">y confirmar en su integridad la Resolución CREG </w:t>
      </w:r>
      <w:r>
        <w:rPr>
          <w:rFonts w:ascii="Bookman Old Style" w:hAnsi="Bookman Old Style"/>
          <w:szCs w:val="27"/>
        </w:rPr>
        <w:t>168</w:t>
      </w:r>
      <w:r w:rsidRPr="000F60FE">
        <w:rPr>
          <w:rFonts w:ascii="Bookman Old Style" w:hAnsi="Bookman Old Style"/>
          <w:szCs w:val="27"/>
        </w:rPr>
        <w:t xml:space="preserve"> de 2017 en relación con la definición de la capacidad de compra de la empresa </w:t>
      </w:r>
      <w:r w:rsidR="003D0ECD">
        <w:rPr>
          <w:rFonts w:ascii="Bookman Old Style" w:hAnsi="Bookman Old Style"/>
          <w:szCs w:val="27"/>
        </w:rPr>
        <w:t>Norte Santandereana de Gas</w:t>
      </w:r>
      <w:r w:rsidR="00A05E79">
        <w:rPr>
          <w:rFonts w:ascii="Bookman Old Style" w:hAnsi="Bookman Old Style"/>
          <w:szCs w:val="27"/>
        </w:rPr>
        <w:t xml:space="preserve"> </w:t>
      </w:r>
      <w:r w:rsidRPr="000F60FE">
        <w:rPr>
          <w:rFonts w:ascii="Bookman Old Style" w:hAnsi="Bookman Old Style"/>
          <w:szCs w:val="27"/>
        </w:rPr>
        <w:t>S.A. E.S.P. de acuerdo con la parte motiva de la presente Resolución.</w:t>
      </w:r>
    </w:p>
    <w:p w:rsidR="00842277" w:rsidRPr="000F60FE" w:rsidRDefault="00842277" w:rsidP="00DA1EF4">
      <w:pPr>
        <w:tabs>
          <w:tab w:val="right" w:pos="9498"/>
        </w:tabs>
        <w:ind w:left="0" w:right="-142"/>
        <w:jc w:val="both"/>
        <w:rPr>
          <w:rFonts w:ascii="Bookman Old Style" w:hAnsi="Bookman Old Style" w:cs="Arial"/>
          <w:b/>
          <w:bCs/>
          <w:color w:val="666666"/>
          <w:sz w:val="27"/>
          <w:szCs w:val="27"/>
          <w:lang w:val="es-CO" w:eastAsia="es-CO"/>
        </w:rPr>
      </w:pPr>
    </w:p>
    <w:p w:rsidR="00DA1EF4" w:rsidRPr="000F60FE" w:rsidRDefault="00DA1EF4" w:rsidP="00842277">
      <w:pPr>
        <w:ind w:left="-142" w:right="-142"/>
        <w:jc w:val="both"/>
        <w:rPr>
          <w:rFonts w:ascii="Bookman Old Style" w:hAnsi="Bookman Old Style"/>
          <w:szCs w:val="27"/>
        </w:rPr>
      </w:pPr>
      <w:r w:rsidRPr="000F60FE">
        <w:rPr>
          <w:rFonts w:ascii="Bookman Old Style" w:hAnsi="Bookman Old Style"/>
          <w:b/>
          <w:szCs w:val="27"/>
        </w:rPr>
        <w:t>Artículo 2.</w:t>
      </w:r>
      <w:r w:rsidRPr="000F60FE">
        <w:rPr>
          <w:rFonts w:ascii="Bookman Old Style" w:hAnsi="Bookman Old Style"/>
          <w:szCs w:val="27"/>
        </w:rPr>
        <w:t xml:space="preserve"> La presente resolución deberá notificarse a la empresa </w:t>
      </w:r>
      <w:r w:rsidR="003D0ECD">
        <w:rPr>
          <w:rFonts w:ascii="Bookman Old Style" w:hAnsi="Bookman Old Style"/>
          <w:szCs w:val="27"/>
        </w:rPr>
        <w:t>Nortesantandereana de Gas</w:t>
      </w:r>
      <w:r w:rsidRPr="000F60FE">
        <w:rPr>
          <w:rFonts w:ascii="Bookman Old Style" w:hAnsi="Bookman Old Style"/>
          <w:szCs w:val="27"/>
        </w:rPr>
        <w:t xml:space="preserve"> S.A. E.S.P. Contra lo aquí dispuesto no procede recurso alguno por haber finalizado la actuación administrativa correspondiente a la presentación de recursos previsto en la Ley.</w:t>
      </w:r>
    </w:p>
    <w:p w:rsidR="003D0ECD" w:rsidRDefault="003D0ECD" w:rsidP="00DA1EF4">
      <w:pPr>
        <w:tabs>
          <w:tab w:val="right" w:pos="9498"/>
        </w:tabs>
        <w:ind w:left="0" w:right="-142"/>
        <w:rPr>
          <w:rFonts w:ascii="Bookman Old Style" w:hAnsi="Bookman Old Style" w:cs="Arial"/>
          <w:sz w:val="22"/>
        </w:rPr>
      </w:pPr>
    </w:p>
    <w:p w:rsidR="00172F7B" w:rsidRPr="0063005C" w:rsidRDefault="00172F7B" w:rsidP="00DA1EF4">
      <w:pPr>
        <w:tabs>
          <w:tab w:val="right" w:pos="9498"/>
        </w:tabs>
        <w:ind w:left="0" w:right="-142"/>
        <w:rPr>
          <w:rFonts w:ascii="Bookman Old Style" w:hAnsi="Bookman Old Style" w:cs="Arial"/>
          <w:sz w:val="22"/>
        </w:rPr>
      </w:pPr>
    </w:p>
    <w:p w:rsidR="00DA1EF4" w:rsidRPr="00E415D4" w:rsidRDefault="00DA1EF4" w:rsidP="00E415D4">
      <w:pPr>
        <w:ind w:left="-181"/>
        <w:jc w:val="center"/>
        <w:rPr>
          <w:rFonts w:ascii="Bookman Old Style" w:hAnsi="Bookman Old Style" w:cs="Arial"/>
          <w:b/>
        </w:rPr>
      </w:pPr>
      <w:r w:rsidRPr="0063005C">
        <w:rPr>
          <w:rFonts w:ascii="Bookman Old Style" w:hAnsi="Bookman Old Style" w:cs="Arial"/>
          <w:b/>
        </w:rPr>
        <w:t xml:space="preserve">     </w:t>
      </w:r>
      <w:r w:rsidR="00E415D4">
        <w:rPr>
          <w:rFonts w:ascii="Bookman Old Style" w:hAnsi="Bookman Old Style" w:cs="Arial"/>
          <w:b/>
        </w:rPr>
        <w:t>NOTIFÍQUESE Y CÚMPLASE</w:t>
      </w:r>
    </w:p>
    <w:p w:rsidR="003D0ECD" w:rsidRDefault="003D0ECD" w:rsidP="00DA1EF4">
      <w:pPr>
        <w:ind w:left="0"/>
        <w:rPr>
          <w:rFonts w:ascii="Bookman Old Style" w:hAnsi="Bookman Old Style" w:cs="Arial"/>
          <w:szCs w:val="20"/>
        </w:rPr>
      </w:pPr>
    </w:p>
    <w:p w:rsidR="00DA1EF4" w:rsidRDefault="00DA1EF4" w:rsidP="00DA1EF4">
      <w:pPr>
        <w:ind w:left="0"/>
        <w:rPr>
          <w:rFonts w:ascii="Bookman Old Style" w:hAnsi="Bookman Old Style" w:cs="Arial"/>
          <w:szCs w:val="20"/>
        </w:rPr>
      </w:pPr>
      <w:r w:rsidRPr="0063005C">
        <w:rPr>
          <w:rFonts w:ascii="Bookman Old Style" w:hAnsi="Bookman Old Style" w:cs="Arial"/>
          <w:szCs w:val="20"/>
        </w:rPr>
        <w:t>Dada en Bogotá, D.C.</w:t>
      </w:r>
    </w:p>
    <w:p w:rsidR="00C91B94" w:rsidRDefault="00C91B94" w:rsidP="00DA1EF4">
      <w:pPr>
        <w:ind w:left="0"/>
        <w:rPr>
          <w:rFonts w:ascii="Bookman Old Style" w:hAnsi="Bookman Old Style" w:cs="Arial"/>
          <w:sz w:val="40"/>
          <w:szCs w:val="20"/>
        </w:rPr>
      </w:pPr>
    </w:p>
    <w:p w:rsidR="003D0ECD" w:rsidRPr="00C63955" w:rsidRDefault="003D0ECD" w:rsidP="00DA1EF4">
      <w:pPr>
        <w:ind w:left="0"/>
        <w:rPr>
          <w:rFonts w:ascii="Bookman Old Style" w:hAnsi="Bookman Old Style" w:cs="Arial"/>
          <w:sz w:val="40"/>
          <w:szCs w:val="20"/>
        </w:rPr>
      </w:pPr>
    </w:p>
    <w:p w:rsidR="00842277" w:rsidRDefault="00842277" w:rsidP="00DA1EF4">
      <w:pPr>
        <w:ind w:left="0"/>
        <w:rPr>
          <w:rFonts w:ascii="Bookman Old Style" w:hAnsi="Bookman Old Style" w:cs="Arial"/>
          <w:szCs w:val="20"/>
        </w:rPr>
      </w:pPr>
    </w:p>
    <w:p w:rsidR="00842277" w:rsidRPr="0063005C" w:rsidRDefault="00842277" w:rsidP="00DA1EF4">
      <w:pPr>
        <w:ind w:left="0"/>
        <w:rPr>
          <w:rFonts w:ascii="Bookman Old Style" w:hAnsi="Bookman Old Style" w:cs="Arial"/>
          <w:szCs w:val="20"/>
        </w:rPr>
      </w:pPr>
    </w:p>
    <w:tbl>
      <w:tblPr>
        <w:tblW w:w="8080" w:type="dxa"/>
        <w:jc w:val="center"/>
        <w:tblCellSpacing w:w="0" w:type="dxa"/>
        <w:tblCellMar>
          <w:left w:w="0" w:type="dxa"/>
          <w:right w:w="0" w:type="dxa"/>
        </w:tblCellMar>
        <w:tblLook w:val="04A0" w:firstRow="1" w:lastRow="0" w:firstColumn="1" w:lastColumn="0" w:noHBand="0" w:noVBand="1"/>
      </w:tblPr>
      <w:tblGrid>
        <w:gridCol w:w="4111"/>
        <w:gridCol w:w="3969"/>
      </w:tblGrid>
      <w:tr w:rsidR="00DA1EF4" w:rsidRPr="009377CA" w:rsidTr="00B87CFA">
        <w:trPr>
          <w:tblCellSpacing w:w="0" w:type="dxa"/>
          <w:jc w:val="center"/>
        </w:trPr>
        <w:tc>
          <w:tcPr>
            <w:tcW w:w="4111" w:type="dxa"/>
          </w:tcPr>
          <w:p w:rsidR="00DA1EF4" w:rsidRPr="009377CA" w:rsidRDefault="00DA1EF4" w:rsidP="0066171D">
            <w:pPr>
              <w:ind w:left="66"/>
              <w:jc w:val="center"/>
              <w:rPr>
                <w:rFonts w:ascii="Bookman Old Style" w:hAnsi="Bookman Old Style" w:cs="Arial"/>
                <w:b/>
                <w:spacing w:val="-3"/>
              </w:rPr>
            </w:pPr>
            <w:r w:rsidRPr="009377CA">
              <w:rPr>
                <w:rFonts w:ascii="Bookman Old Style" w:hAnsi="Bookman Old Style" w:cs="Arial"/>
                <w:b/>
                <w:spacing w:val="-3"/>
              </w:rPr>
              <w:t>GERMÁN ARCE ZAPATA</w:t>
            </w:r>
          </w:p>
          <w:p w:rsidR="00DA1EF4" w:rsidRPr="009377CA" w:rsidRDefault="00DA1EF4" w:rsidP="0066171D">
            <w:pPr>
              <w:ind w:left="66"/>
              <w:jc w:val="center"/>
              <w:rPr>
                <w:rFonts w:ascii="Bookman Old Style" w:hAnsi="Bookman Old Style" w:cs="Arial"/>
                <w:spacing w:val="-3"/>
              </w:rPr>
            </w:pPr>
            <w:r w:rsidRPr="009377CA">
              <w:rPr>
                <w:rFonts w:ascii="Bookman Old Style" w:hAnsi="Bookman Old Style" w:cs="Arial"/>
                <w:spacing w:val="-3"/>
              </w:rPr>
              <w:t xml:space="preserve">Ministro de Minas y Energía </w:t>
            </w:r>
          </w:p>
          <w:p w:rsidR="00DA1EF4" w:rsidRPr="009377CA" w:rsidRDefault="00DA1EF4" w:rsidP="0066171D">
            <w:pPr>
              <w:ind w:left="66"/>
              <w:jc w:val="center"/>
              <w:rPr>
                <w:rFonts w:ascii="Bookman Old Style" w:hAnsi="Bookman Old Style" w:cs="Arial"/>
                <w:b/>
                <w:spacing w:val="-3"/>
              </w:rPr>
            </w:pPr>
            <w:r w:rsidRPr="009377CA">
              <w:rPr>
                <w:rFonts w:ascii="Bookman Old Style" w:hAnsi="Bookman Old Style" w:cs="Arial"/>
                <w:spacing w:val="-3"/>
              </w:rPr>
              <w:t>Presidente</w:t>
            </w:r>
          </w:p>
        </w:tc>
        <w:tc>
          <w:tcPr>
            <w:tcW w:w="3969" w:type="dxa"/>
          </w:tcPr>
          <w:p w:rsidR="00DA1EF4" w:rsidRPr="009377CA" w:rsidRDefault="00DA1EF4" w:rsidP="0066171D">
            <w:pPr>
              <w:ind w:left="89"/>
              <w:jc w:val="center"/>
              <w:rPr>
                <w:rFonts w:ascii="Bookman Old Style" w:hAnsi="Bookman Old Style" w:cs="Arial"/>
                <w:b/>
                <w:spacing w:val="-3"/>
              </w:rPr>
            </w:pPr>
            <w:r w:rsidRPr="009377CA">
              <w:rPr>
                <w:rFonts w:ascii="Bookman Old Style" w:hAnsi="Bookman Old Style" w:cs="Arial"/>
                <w:b/>
                <w:spacing w:val="-3"/>
              </w:rPr>
              <w:t>GERMÁN CASTRO FERREIRA</w:t>
            </w:r>
          </w:p>
          <w:p w:rsidR="00DA1EF4" w:rsidRPr="009377CA" w:rsidRDefault="00DA1EF4" w:rsidP="0066171D">
            <w:pPr>
              <w:ind w:left="89"/>
              <w:jc w:val="center"/>
              <w:rPr>
                <w:rFonts w:ascii="Bookman Old Style" w:hAnsi="Bookman Old Style" w:cs="Arial"/>
                <w:spacing w:val="-3"/>
              </w:rPr>
            </w:pPr>
            <w:r w:rsidRPr="009377CA">
              <w:rPr>
                <w:rFonts w:ascii="Bookman Old Style" w:hAnsi="Bookman Old Style" w:cs="Arial"/>
                <w:spacing w:val="-3"/>
              </w:rPr>
              <w:t>Director Ejecutivo</w:t>
            </w:r>
          </w:p>
        </w:tc>
      </w:tr>
    </w:tbl>
    <w:p w:rsidR="00DA1EF4" w:rsidRDefault="00DA1EF4" w:rsidP="00842277">
      <w:pPr>
        <w:pStyle w:val="Textoindependiente2"/>
        <w:spacing w:after="0" w:line="240" w:lineRule="auto"/>
        <w:ind w:left="0" w:right="-142"/>
        <w:jc w:val="both"/>
        <w:rPr>
          <w:rFonts w:ascii="Bookman Old Style" w:hAnsi="Bookman Old Style"/>
          <w:szCs w:val="27"/>
        </w:rPr>
      </w:pPr>
    </w:p>
    <w:sectPr w:rsidR="00DA1EF4" w:rsidSect="006D45B0">
      <w:headerReference w:type="default" r:id="rId13"/>
      <w:headerReference w:type="first" r:id="rId14"/>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E4B" w:rsidRDefault="00B15E4B" w:rsidP="006D45B0">
      <w:r>
        <w:separator/>
      </w:r>
    </w:p>
  </w:endnote>
  <w:endnote w:type="continuationSeparator" w:id="0">
    <w:p w:rsidR="00B15E4B" w:rsidRDefault="00B15E4B" w:rsidP="006D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E4B" w:rsidRDefault="00B15E4B" w:rsidP="006D45B0">
      <w:r>
        <w:separator/>
      </w:r>
    </w:p>
  </w:footnote>
  <w:footnote w:type="continuationSeparator" w:id="0">
    <w:p w:rsidR="00B15E4B" w:rsidRDefault="00B15E4B" w:rsidP="006D45B0">
      <w:r>
        <w:continuationSeparator/>
      </w:r>
    </w:p>
  </w:footnote>
  <w:footnote w:id="1">
    <w:p w:rsidR="00E33BD8" w:rsidRPr="005C1BCA" w:rsidRDefault="00E33BD8" w:rsidP="006D45B0">
      <w:pPr>
        <w:pStyle w:val="Textonotapie"/>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E33BD8" w:rsidRPr="00FD101E" w:rsidRDefault="00E33BD8" w:rsidP="006D45B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E33BD8" w:rsidRPr="00FD101E" w:rsidRDefault="00E33BD8" w:rsidP="006D45B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E33BD8" w:rsidRPr="00FD101E" w:rsidRDefault="00E33BD8"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E33BD8" w:rsidRPr="00FD101E" w:rsidRDefault="00E33BD8"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E33BD8" w:rsidRPr="00FD101E" w:rsidRDefault="00E33BD8"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E33BD8" w:rsidRPr="00FD101E" w:rsidRDefault="00E33BD8" w:rsidP="006D45B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E33BD8" w:rsidRPr="00575874" w:rsidRDefault="00E33BD8" w:rsidP="006D45B0">
      <w:pPr>
        <w:pStyle w:val="Textonotapie"/>
      </w:pPr>
    </w:p>
  </w:footnote>
  <w:footnote w:id="3">
    <w:p w:rsidR="00E33BD8" w:rsidRPr="005B07AE" w:rsidRDefault="00E33BD8" w:rsidP="006D45B0">
      <w:pPr>
        <w:pStyle w:val="Textonotapie"/>
        <w:jc w:val="both"/>
        <w:rPr>
          <w:sz w:val="16"/>
          <w:szCs w:val="16"/>
        </w:rPr>
      </w:pPr>
      <w:r w:rsidRPr="00FD101E">
        <w:rPr>
          <w:rFonts w:ascii="Bookman Old Style" w:hAnsi="Bookman Old Style" w:cs="Arial"/>
        </w:rPr>
        <w:footnoteRef/>
      </w:r>
      <w:r w:rsidRPr="00FD101E">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E33BD8" w:rsidRPr="00CA077E" w:rsidRDefault="00E33BD8" w:rsidP="006D45B0">
      <w:pPr>
        <w:pStyle w:val="Textonotapie"/>
        <w:jc w:val="both"/>
        <w:rPr>
          <w:rFonts w:ascii="Bookman Old Style" w:hAnsi="Bookman Old Style"/>
          <w:sz w:val="16"/>
          <w:szCs w:val="16"/>
        </w:rPr>
      </w:pPr>
      <w:r w:rsidRPr="00CA077E">
        <w:rPr>
          <w:rFonts w:cs="Arial"/>
        </w:rPr>
        <w:footnoteRef/>
      </w:r>
      <w:r w:rsidRPr="00CA077E">
        <w:rPr>
          <w:rFonts w:ascii="Bookman Old Style" w:hAnsi="Bookman Old Style" w:cs="Arial"/>
          <w:sz w:val="16"/>
          <w:szCs w:val="16"/>
        </w:rPr>
        <w:t xml:space="preserve"> NTC-522-1 de 2003</w:t>
      </w:r>
    </w:p>
  </w:footnote>
  <w:footnote w:id="5">
    <w:p w:rsidR="00E33BD8" w:rsidRPr="00CA077E" w:rsidRDefault="00E33BD8" w:rsidP="006D45B0">
      <w:pPr>
        <w:pStyle w:val="Textonotapie"/>
        <w:jc w:val="both"/>
        <w:rPr>
          <w:rFonts w:ascii="Bookman Old Style" w:hAnsi="Bookman Old Style"/>
          <w:sz w:val="16"/>
          <w:szCs w:val="16"/>
        </w:rPr>
      </w:pPr>
      <w:r w:rsidRPr="00CA077E">
        <w:rPr>
          <w:rStyle w:val="Refdenotaalpie"/>
          <w:rFonts w:ascii="Bookman Old Style" w:hAnsi="Bookman Old Style"/>
          <w:sz w:val="16"/>
          <w:szCs w:val="16"/>
        </w:rPr>
        <w:footnoteRef/>
      </w:r>
      <w:r w:rsidRPr="00CA077E">
        <w:rPr>
          <w:rFonts w:ascii="Bookman Old Style" w:hAnsi="Bookman Old Style"/>
          <w:sz w:val="16"/>
          <w:szCs w:val="16"/>
        </w:rPr>
        <w:t xml:space="preserve"> Radicados CREG E-2017-008887 y E-2017-009607.</w:t>
      </w:r>
    </w:p>
  </w:footnote>
  <w:footnote w:id="6">
    <w:p w:rsidR="00E33BD8" w:rsidRPr="00FC2C01" w:rsidRDefault="00E33BD8" w:rsidP="006D45B0">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Pr>
          <w:rFonts w:ascii="Bookman Old Style" w:hAnsi="Bookman Old Style" w:cs="Arial"/>
          <w:sz w:val="16"/>
          <w:szCs w:val="16"/>
        </w:rPr>
        <w:t xml:space="preserve"> “Ley 1437 de 2011. Artículo </w:t>
      </w:r>
      <w:r w:rsidRPr="00FC2C01">
        <w:rPr>
          <w:rFonts w:ascii="Bookman Old Style" w:hAnsi="Bookman Old Style" w:cs="Arial"/>
          <w:sz w:val="16"/>
          <w:szCs w:val="16"/>
        </w:rPr>
        <w:t>67. Notificación personal. Las decisiones que pongan término a una actuación administrativa se notificarán personalmente al interesado, a su representante o apoderado, o a la persona debidamente autorizada por el interesado para notificarse.</w:t>
      </w:r>
    </w:p>
    <w:p w:rsidR="00E33BD8" w:rsidRPr="00FC2C01" w:rsidRDefault="00E33BD8" w:rsidP="006D45B0">
      <w:pPr>
        <w:pStyle w:val="Textonotapie"/>
        <w:jc w:val="both"/>
        <w:rPr>
          <w:rFonts w:ascii="Bookman Old Style" w:hAnsi="Bookman Old Style" w:cs="Arial"/>
          <w:sz w:val="16"/>
          <w:szCs w:val="16"/>
        </w:rPr>
      </w:pPr>
    </w:p>
    <w:p w:rsidR="00E33BD8" w:rsidRDefault="00E33BD8" w:rsidP="006D45B0">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p w:rsidR="00E33BD8" w:rsidRDefault="00E33BD8" w:rsidP="006D45B0">
      <w:pPr>
        <w:pStyle w:val="Textonotapie"/>
        <w:jc w:val="both"/>
        <w:rPr>
          <w:rFonts w:ascii="Bookman Old Style" w:hAnsi="Bookman Old Style" w:cs="Arial"/>
          <w:sz w:val="16"/>
          <w:szCs w:val="16"/>
        </w:rPr>
      </w:pPr>
    </w:p>
    <w:p w:rsidR="00E33BD8" w:rsidRPr="002D569D" w:rsidRDefault="00E33BD8" w:rsidP="002D569D">
      <w:pPr>
        <w:pStyle w:val="Textonotapie"/>
        <w:jc w:val="both"/>
        <w:rPr>
          <w:rFonts w:ascii="Bookman Old Style" w:hAnsi="Bookman Old Style" w:cs="Arial"/>
          <w:sz w:val="16"/>
          <w:szCs w:val="16"/>
        </w:rPr>
      </w:pPr>
      <w:r w:rsidRPr="002D569D">
        <w:rPr>
          <w:rFonts w:ascii="Bookman Old Style" w:hAnsi="Bookman Old Style" w:cs="Arial"/>
          <w:sz w:val="16"/>
          <w:szCs w:val="16"/>
        </w:rPr>
        <w:t>La notificación personal para dar cumplimiento a todas las diligencias previstas en el inciso anterior también podrá efectuarse mediante una cualquiera de las siguientes modalidades:</w:t>
      </w:r>
    </w:p>
    <w:p w:rsidR="00E33BD8" w:rsidRPr="002D569D" w:rsidRDefault="00E33BD8" w:rsidP="002D569D">
      <w:pPr>
        <w:pStyle w:val="Textonotapie"/>
        <w:jc w:val="both"/>
        <w:rPr>
          <w:rFonts w:ascii="Bookman Old Style" w:hAnsi="Bookman Old Style" w:cs="Arial"/>
          <w:sz w:val="16"/>
          <w:szCs w:val="16"/>
        </w:rPr>
      </w:pPr>
    </w:p>
    <w:p w:rsidR="00E33BD8" w:rsidRPr="002D569D" w:rsidRDefault="00E33BD8" w:rsidP="002D569D">
      <w:pPr>
        <w:pStyle w:val="Textonotapie"/>
        <w:jc w:val="both"/>
        <w:rPr>
          <w:rFonts w:ascii="Bookman Old Style" w:hAnsi="Bookman Old Style" w:cs="Arial"/>
          <w:sz w:val="16"/>
          <w:szCs w:val="16"/>
        </w:rPr>
      </w:pPr>
      <w:r w:rsidRPr="002D569D">
        <w:rPr>
          <w:rFonts w:ascii="Bookman Old Style" w:hAnsi="Bookman Old Style" w:cs="Arial"/>
          <w:sz w:val="16"/>
          <w:szCs w:val="16"/>
        </w:rPr>
        <w:t>1. Por medio electrónico. Procederá siempre y cuando el interesado acepte ser notificado de esta manera.</w:t>
      </w:r>
    </w:p>
    <w:p w:rsidR="00E33BD8" w:rsidRPr="002D569D" w:rsidRDefault="00E33BD8" w:rsidP="002D569D">
      <w:pPr>
        <w:pStyle w:val="Textonotapie"/>
        <w:jc w:val="both"/>
        <w:rPr>
          <w:rFonts w:ascii="Bookman Old Style" w:hAnsi="Bookman Old Style" w:cs="Arial"/>
          <w:sz w:val="16"/>
          <w:szCs w:val="16"/>
        </w:rPr>
      </w:pPr>
    </w:p>
    <w:p w:rsidR="00E33BD8" w:rsidRPr="00CD67E2" w:rsidRDefault="00E33BD8" w:rsidP="006D45B0">
      <w:pPr>
        <w:pStyle w:val="Textonotapie"/>
        <w:jc w:val="both"/>
        <w:rPr>
          <w:rFonts w:ascii="Bookman Old Style" w:hAnsi="Bookman Old Style" w:cs="Arial"/>
          <w:sz w:val="16"/>
          <w:szCs w:val="16"/>
        </w:rPr>
      </w:pPr>
      <w:r w:rsidRPr="002D569D">
        <w:rPr>
          <w:rFonts w:ascii="Bookman Old Style" w:hAnsi="Bookman Old Style" w:cs="Arial"/>
          <w:sz w:val="16"/>
          <w:szCs w:val="16"/>
        </w:rPr>
        <w:t>La administración podrá establecer este tipo de notificación para determinados actos administrativos de carácter masivo que tengan origen en convocatorias públicas. En la reglamentación de la convocatoria impartirá a los interesados las instrucciones pertinentes, y establecerá modalidades alternativas de notificación personal para quienes no cuenten con acceso al medio electrónico.</w:t>
      </w:r>
      <w:r w:rsidRPr="00CD67E2">
        <w:rPr>
          <w:rFonts w:ascii="Bookman Old Style" w:hAnsi="Bookman Old Style" w:cs="Arial"/>
          <w:sz w:val="16"/>
          <w:szCs w:val="16"/>
        </w:rPr>
        <w:t>”</w:t>
      </w:r>
    </w:p>
  </w:footnote>
  <w:footnote w:id="7">
    <w:p w:rsidR="00E33BD8" w:rsidRPr="00FA7CDB" w:rsidRDefault="00E33BD8" w:rsidP="006D45B0">
      <w:pPr>
        <w:pStyle w:val="Textonotapie"/>
        <w:jc w:val="both"/>
        <w:rPr>
          <w:rFonts w:ascii="Bookman Old Style" w:hAnsi="Bookman Old Style" w:cs="Arial"/>
          <w:sz w:val="16"/>
          <w:szCs w:val="16"/>
        </w:rPr>
      </w:pPr>
    </w:p>
    <w:p w:rsidR="00E33BD8" w:rsidRPr="00FA7CDB" w:rsidRDefault="00E33BD8" w:rsidP="006D45B0">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E33BD8" w:rsidRPr="00FA7CDB" w:rsidRDefault="00E33BD8"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E33BD8" w:rsidRPr="00FA7CDB" w:rsidRDefault="00E33BD8"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E33BD8" w:rsidRPr="00FA7CDB" w:rsidRDefault="00E33BD8" w:rsidP="006D45B0">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E33BD8" w:rsidRDefault="00E33BD8" w:rsidP="006D45B0">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8">
    <w:p w:rsidR="00E33BD8" w:rsidRPr="000B6DCD" w:rsidRDefault="00E33BD8" w:rsidP="00DA1EF4">
      <w:pPr>
        <w:pStyle w:val="Textonotapie"/>
        <w:rPr>
          <w:rFonts w:ascii="Bookman Old Style" w:hAnsi="Bookman Old Style"/>
          <w:sz w:val="16"/>
          <w:szCs w:val="16"/>
        </w:rPr>
      </w:pPr>
      <w:r w:rsidRPr="000B6DCD">
        <w:rPr>
          <w:rStyle w:val="Refdenotaalpie"/>
          <w:rFonts w:ascii="Bookman Old Style" w:hAnsi="Bookman Old Style"/>
          <w:sz w:val="16"/>
          <w:szCs w:val="16"/>
        </w:rPr>
        <w:footnoteRef/>
      </w:r>
      <w:r w:rsidRPr="000B6DCD">
        <w:rPr>
          <w:rFonts w:ascii="Bookman Old Style" w:hAnsi="Bookman Old Style"/>
          <w:sz w:val="16"/>
          <w:szCs w:val="16"/>
        </w:rPr>
        <w:t xml:space="preserve"> Resolución CREG 023 de 2008, artículos 6 y 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BD8" w:rsidRDefault="00E33BD8" w:rsidP="0066171D">
    <w:pPr>
      <w:pStyle w:val="Ttulo1"/>
      <w:ind w:right="6"/>
      <w:jc w:val="left"/>
      <w:rPr>
        <w:rFonts w:ascii="Bookman Old Style" w:hAnsi="Bookman Old Style" w:cs="Arial"/>
        <w:b w:val="0"/>
        <w:sz w:val="22"/>
        <w:szCs w:val="22"/>
      </w:rPr>
    </w:pPr>
  </w:p>
  <w:p w:rsidR="00E33BD8" w:rsidRPr="00951F79" w:rsidRDefault="00E33BD8" w:rsidP="0066171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82137">
      <w:rPr>
        <w:rFonts w:ascii="Bookman Old Style" w:hAnsi="Bookman Old Style" w:cs="Arial"/>
        <w:b w:val="0"/>
        <w:noProof/>
        <w:sz w:val="22"/>
        <w:szCs w:val="22"/>
      </w:rPr>
      <w:t>10</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982137" w:rsidRPr="00982137">
        <w:rPr>
          <w:rFonts w:ascii="Bookman Old Style" w:hAnsi="Bookman Old Style" w:cs="Arial"/>
          <w:b w:val="0"/>
          <w:noProof/>
          <w:sz w:val="22"/>
          <w:szCs w:val="22"/>
        </w:rPr>
        <w:t>19</w:t>
      </w:r>
    </w:fldSimple>
  </w:p>
  <w:p w:rsidR="00E33BD8" w:rsidRDefault="00E33BD8" w:rsidP="0066171D">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4FAE0" id="Rectángulo 3"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" filled="f" strokeweight="1.5pt"/>
          </w:pict>
        </mc:Fallback>
      </mc:AlternateContent>
    </w:r>
  </w:p>
  <w:p w:rsidR="00E33BD8" w:rsidRPr="00616D65" w:rsidRDefault="00E33BD8" w:rsidP="0066171D">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interpuesto por</w:t>
    </w:r>
    <w:r>
      <w:rPr>
        <w:rFonts w:ascii="Bookman Old Style" w:hAnsi="Bookman Old Style" w:cs="Arial"/>
        <w:sz w:val="22"/>
        <w:szCs w:val="22"/>
      </w:rPr>
      <w:t xml:space="preserve"> Nortesantandereana de Gas S.A. E.S.P. </w:t>
    </w:r>
    <w:r w:rsidRPr="00EC3BB2">
      <w:rPr>
        <w:rFonts w:ascii="Bookman Old Style" w:hAnsi="Bookman Old Style" w:cs="Arial"/>
        <w:sz w:val="22"/>
        <w:szCs w:val="22"/>
      </w:rPr>
      <w:t>contra</w:t>
    </w:r>
    <w:r>
      <w:rPr>
        <w:rFonts w:ascii="Bookman Old Style" w:hAnsi="Bookman Old Style" w:cs="Arial"/>
        <w:sz w:val="22"/>
        <w:szCs w:val="22"/>
      </w:rPr>
      <w:t xml:space="preserve"> la Resolución CREG 168 de 2017.</w:t>
    </w:r>
  </w:p>
  <w:p w:rsidR="00E33BD8" w:rsidRPr="00730C9E" w:rsidRDefault="00E33BD8" w:rsidP="0066171D">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6131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6E7DFF" id="_x0000_t32" coordsize="21600,21600" o:spt="32" o:oned="t" path="m,l21600,21600e" filled="f">
              <v:path arrowok="t" fillok="f" o:connecttype="none"/>
              <o:lock v:ext="edit" shapetype="t"/>
            </v:shapetype>
            <v:shape id="Conector recto de flecha 2" o:spid="_x0000_s1026" type="#_x0000_t32" style="position:absolute;margin-left:-8.55pt;margin-top:7.65pt;width:4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BD8" w:rsidRDefault="00E33BD8" w:rsidP="0066171D">
    <w:pPr>
      <w:pStyle w:val="Encabezado"/>
      <w:jc w:val="both"/>
      <w:rPr>
        <w:rFonts w:ascii="Arial" w:hAnsi="Arial" w:cs="Arial"/>
        <w:spacing w:val="20"/>
        <w:sz w:val="20"/>
      </w:rPr>
    </w:pPr>
    <w:r>
      <w:rPr>
        <w:rFonts w:ascii="Arial" w:hAnsi="Arial" w:cs="Arial"/>
        <w:spacing w:val="20"/>
        <w:sz w:val="20"/>
      </w:rPr>
      <w:t xml:space="preserve">                                   República de Colombia</w:t>
    </w:r>
  </w:p>
  <w:p w:rsidR="00E33BD8" w:rsidRDefault="00E33BD8">
    <w:pPr>
      <w:pStyle w:val="Encabezado"/>
      <w:jc w:val="center"/>
      <w:rPr>
        <w:rFonts w:ascii="Arial" w:hAnsi="Arial" w:cs="Arial"/>
        <w:spacing w:val="20"/>
        <w:sz w:val="20"/>
      </w:rPr>
    </w:pPr>
  </w:p>
  <w:p w:rsidR="00E33BD8" w:rsidRDefault="00E33BD8" w:rsidP="0066171D">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66D8D" id="Rectángulo 1"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356"/>
    <w:multiLevelType w:val="hybridMultilevel"/>
    <w:tmpl w:val="64126F78"/>
    <w:lvl w:ilvl="0" w:tplc="476A3CF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 w15:restartNumberingAfterBreak="0">
    <w:nsid w:val="464C172F"/>
    <w:multiLevelType w:val="multilevel"/>
    <w:tmpl w:val="0F36F8AC"/>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5AFA7DC4"/>
    <w:multiLevelType w:val="hybridMultilevel"/>
    <w:tmpl w:val="4B5A5372"/>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3"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B0"/>
    <w:rsid w:val="00172F7B"/>
    <w:rsid w:val="00194F3F"/>
    <w:rsid w:val="002D569D"/>
    <w:rsid w:val="002E5639"/>
    <w:rsid w:val="003D0ECD"/>
    <w:rsid w:val="003D7378"/>
    <w:rsid w:val="004259AA"/>
    <w:rsid w:val="00544BAD"/>
    <w:rsid w:val="00563817"/>
    <w:rsid w:val="00583648"/>
    <w:rsid w:val="005F1EAF"/>
    <w:rsid w:val="005F3077"/>
    <w:rsid w:val="0066171D"/>
    <w:rsid w:val="006C0668"/>
    <w:rsid w:val="006C0EE5"/>
    <w:rsid w:val="006D45B0"/>
    <w:rsid w:val="007243A2"/>
    <w:rsid w:val="00842277"/>
    <w:rsid w:val="008A5DBB"/>
    <w:rsid w:val="008E5D9F"/>
    <w:rsid w:val="009131FE"/>
    <w:rsid w:val="0097344A"/>
    <w:rsid w:val="00982137"/>
    <w:rsid w:val="009B0CFD"/>
    <w:rsid w:val="00A05E79"/>
    <w:rsid w:val="00A65C92"/>
    <w:rsid w:val="00B15E4B"/>
    <w:rsid w:val="00B83F23"/>
    <w:rsid w:val="00B87CFA"/>
    <w:rsid w:val="00BA0D41"/>
    <w:rsid w:val="00C3759C"/>
    <w:rsid w:val="00C63955"/>
    <w:rsid w:val="00C91B94"/>
    <w:rsid w:val="00CB104A"/>
    <w:rsid w:val="00CC6793"/>
    <w:rsid w:val="00CD0F9E"/>
    <w:rsid w:val="00D028E5"/>
    <w:rsid w:val="00D2330C"/>
    <w:rsid w:val="00DA1EF4"/>
    <w:rsid w:val="00E33BD8"/>
    <w:rsid w:val="00E415D4"/>
    <w:rsid w:val="00E60540"/>
    <w:rsid w:val="00EA2C20"/>
    <w:rsid w:val="00ED1E22"/>
    <w:rsid w:val="00FE01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A9971C3-ED1B-45BD-A43F-7317DFE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B0"/>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D45B0"/>
    <w:pPr>
      <w:keepNext/>
      <w:jc w:val="center"/>
      <w:outlineLvl w:val="0"/>
    </w:pPr>
    <w:rPr>
      <w:rFonts w:ascii="CG Times" w:hAnsi="CG Times"/>
      <w:b/>
      <w:szCs w:val="20"/>
      <w:lang w:val="es-CO"/>
    </w:rPr>
  </w:style>
  <w:style w:type="paragraph" w:styleId="Ttulo3">
    <w:name w:val="heading 3"/>
    <w:basedOn w:val="Normal"/>
    <w:next w:val="Normal"/>
    <w:link w:val="Ttulo3Car"/>
    <w:qFormat/>
    <w:rsid w:val="006D45B0"/>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6D45B0"/>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6D45B0"/>
    <w:pPr>
      <w:keepNext/>
      <w:jc w:val="center"/>
      <w:outlineLvl w:val="4"/>
    </w:pPr>
    <w:rPr>
      <w:rFonts w:ascii="Arial" w:hAnsi="Arial" w:cs="Arial"/>
      <w:b/>
      <w:snapToGrid w:val="0"/>
      <w:color w:val="000000"/>
      <w:spacing w:val="20"/>
      <w:sz w:val="28"/>
      <w:szCs w:val="20"/>
      <w:lang w:val="es-ES_tradnl"/>
    </w:rPr>
  </w:style>
  <w:style w:type="paragraph" w:styleId="Ttulo7">
    <w:name w:val="heading 7"/>
    <w:basedOn w:val="Normal"/>
    <w:next w:val="Normal"/>
    <w:link w:val="Ttulo7Car"/>
    <w:uiPriority w:val="9"/>
    <w:semiHidden/>
    <w:unhideWhenUsed/>
    <w:qFormat/>
    <w:rsid w:val="006D45B0"/>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45B0"/>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6D45B0"/>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6D45B0"/>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6D45B0"/>
    <w:rPr>
      <w:rFonts w:ascii="Arial" w:eastAsia="Times New Roman" w:hAnsi="Arial" w:cs="Arial"/>
      <w:b/>
      <w:snapToGrid w:val="0"/>
      <w:color w:val="000000"/>
      <w:spacing w:val="20"/>
      <w:sz w:val="28"/>
      <w:szCs w:val="20"/>
      <w:lang w:val="es-ES_tradnl" w:eastAsia="es-ES"/>
    </w:rPr>
  </w:style>
  <w:style w:type="character" w:customStyle="1" w:styleId="Ttulo7Car">
    <w:name w:val="Título 7 Car"/>
    <w:basedOn w:val="Fuentedeprrafopredeter"/>
    <w:link w:val="Ttulo7"/>
    <w:uiPriority w:val="9"/>
    <w:semiHidden/>
    <w:rsid w:val="006D45B0"/>
    <w:rPr>
      <w:rFonts w:ascii="Calibri" w:eastAsia="Times New Roman" w:hAnsi="Calibri" w:cs="Times New Roman"/>
      <w:sz w:val="24"/>
      <w:szCs w:val="24"/>
      <w:lang w:val="es-ES" w:eastAsia="es-ES"/>
    </w:rPr>
  </w:style>
  <w:style w:type="paragraph" w:styleId="Encabezado">
    <w:name w:val="header"/>
    <w:basedOn w:val="Normal"/>
    <w:link w:val="EncabezadoCar"/>
    <w:rsid w:val="006D45B0"/>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6D45B0"/>
    <w:rPr>
      <w:rFonts w:ascii="CG Times" w:eastAsia="Times New Roman" w:hAnsi="CG Times" w:cs="Times New Roman"/>
      <w:sz w:val="24"/>
      <w:szCs w:val="20"/>
      <w:lang w:eastAsia="es-ES"/>
    </w:rPr>
  </w:style>
  <w:style w:type="paragraph" w:styleId="Textoindependiente2">
    <w:name w:val="Body Text 2"/>
    <w:basedOn w:val="Normal"/>
    <w:link w:val="Textoindependiente2Car"/>
    <w:uiPriority w:val="99"/>
    <w:unhideWhenUsed/>
    <w:rsid w:val="006D45B0"/>
    <w:pPr>
      <w:spacing w:after="120" w:line="480" w:lineRule="auto"/>
    </w:pPr>
  </w:style>
  <w:style w:type="character" w:customStyle="1" w:styleId="Textoindependiente2Car">
    <w:name w:val="Texto independiente 2 Car"/>
    <w:basedOn w:val="Fuentedeprrafopredeter"/>
    <w:link w:val="Textoindependiente2"/>
    <w:uiPriority w:val="99"/>
    <w:rsid w:val="006D45B0"/>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6D45B0"/>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6D45B0"/>
    <w:rPr>
      <w:rFonts w:ascii="Calibri" w:eastAsia="Calibri" w:hAnsi="Calibri" w:cs="Times New Roman"/>
      <w:sz w:val="20"/>
      <w:szCs w:val="20"/>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6D45B0"/>
    <w:rPr>
      <w:vertAlign w:val="superscript"/>
    </w:rPr>
  </w:style>
  <w:style w:type="paragraph" w:styleId="Textoindependiente">
    <w:name w:val="Body Text"/>
    <w:basedOn w:val="Normal"/>
    <w:link w:val="TextoindependienteCar"/>
    <w:uiPriority w:val="99"/>
    <w:semiHidden/>
    <w:unhideWhenUsed/>
    <w:rsid w:val="006C0EE5"/>
    <w:pPr>
      <w:spacing w:after="120"/>
    </w:pPr>
  </w:style>
  <w:style w:type="character" w:customStyle="1" w:styleId="TextoindependienteCar">
    <w:name w:val="Texto independiente Car"/>
    <w:basedOn w:val="Fuentedeprrafopredeter"/>
    <w:link w:val="Textoindependiente"/>
    <w:uiPriority w:val="99"/>
    <w:semiHidden/>
    <w:rsid w:val="006C0EE5"/>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6C0EE5"/>
    <w:pPr>
      <w:spacing w:after="0" w:line="240" w:lineRule="auto"/>
    </w:pPr>
    <w:rPr>
      <w:rFonts w:eastAsiaTheme="minorEastAsia"/>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42277"/>
    <w:pPr>
      <w:tabs>
        <w:tab w:val="center" w:pos="4419"/>
        <w:tab w:val="right" w:pos="8838"/>
      </w:tabs>
    </w:pPr>
  </w:style>
  <w:style w:type="character" w:customStyle="1" w:styleId="PiedepginaCar">
    <w:name w:val="Pie de página Car"/>
    <w:basedOn w:val="Fuentedeprrafopredeter"/>
    <w:link w:val="Piedepgina"/>
    <w:uiPriority w:val="99"/>
    <w:rsid w:val="00842277"/>
    <w:rPr>
      <w:rFonts w:ascii="Times New Roman" w:eastAsia="Times New Roman" w:hAnsi="Times New Roman" w:cs="Times New Roman"/>
      <w:sz w:val="24"/>
      <w:szCs w:val="24"/>
      <w:lang w:val="es-ES" w:eastAsia="es-ES"/>
    </w:rPr>
  </w:style>
  <w:style w:type="character" w:customStyle="1" w:styleId="CharStyle3">
    <w:name w:val="Char Style 3"/>
    <w:basedOn w:val="Fuentedeprrafopredeter"/>
    <w:link w:val="Style2"/>
    <w:uiPriority w:val="99"/>
    <w:rsid w:val="0097344A"/>
    <w:rPr>
      <w:rFonts w:ascii="Arial" w:hAnsi="Arial" w:cs="Arial"/>
      <w:shd w:val="clear" w:color="auto" w:fill="FFFFFF"/>
    </w:rPr>
  </w:style>
  <w:style w:type="paragraph" w:customStyle="1" w:styleId="Style2">
    <w:name w:val="Style 2"/>
    <w:basedOn w:val="Normal"/>
    <w:link w:val="CharStyle3"/>
    <w:uiPriority w:val="99"/>
    <w:rsid w:val="0097344A"/>
    <w:pPr>
      <w:widowControl w:val="0"/>
      <w:shd w:val="clear" w:color="auto" w:fill="FFFFFF"/>
      <w:spacing w:after="540" w:line="240" w:lineRule="atLeast"/>
      <w:ind w:left="0"/>
      <w:jc w:val="both"/>
    </w:pPr>
    <w:rPr>
      <w:rFonts w:ascii="Arial" w:eastAsiaTheme="minorHAnsi" w:hAnsi="Arial" w:cs="Arial"/>
      <w:sz w:val="22"/>
      <w:szCs w:val="22"/>
      <w:lang w:val="es-CO" w:eastAsia="en-US"/>
    </w:rPr>
  </w:style>
  <w:style w:type="character" w:customStyle="1" w:styleId="CharStyle5">
    <w:name w:val="Char Style 5"/>
    <w:basedOn w:val="Fuentedeprrafopredeter"/>
    <w:link w:val="Style4"/>
    <w:uiPriority w:val="99"/>
    <w:rsid w:val="00EA2C20"/>
    <w:rPr>
      <w:rFonts w:ascii="Arial" w:hAnsi="Arial" w:cs="Arial"/>
      <w:b/>
      <w:bCs/>
      <w:shd w:val="clear" w:color="auto" w:fill="FFFFFF"/>
    </w:rPr>
  </w:style>
  <w:style w:type="character" w:customStyle="1" w:styleId="CharStyle6">
    <w:name w:val="Char Style 6"/>
    <w:basedOn w:val="CharStyle3"/>
    <w:uiPriority w:val="99"/>
    <w:rsid w:val="00EA2C20"/>
    <w:rPr>
      <w:rFonts w:ascii="Arial" w:hAnsi="Arial" w:cs="Arial"/>
      <w:b/>
      <w:bCs/>
      <w:sz w:val="22"/>
      <w:szCs w:val="22"/>
      <w:u w:val="none"/>
      <w:shd w:val="clear" w:color="auto" w:fill="FFFFFF"/>
    </w:rPr>
  </w:style>
  <w:style w:type="character" w:customStyle="1" w:styleId="CharStyle7">
    <w:name w:val="Char Style 7"/>
    <w:basedOn w:val="CharStyle3"/>
    <w:uiPriority w:val="99"/>
    <w:rsid w:val="00EA2C20"/>
    <w:rPr>
      <w:rFonts w:ascii="Arial" w:hAnsi="Arial" w:cs="Arial"/>
      <w:sz w:val="21"/>
      <w:szCs w:val="21"/>
      <w:u w:val="none"/>
      <w:shd w:val="clear" w:color="auto" w:fill="FFFFFF"/>
    </w:rPr>
  </w:style>
  <w:style w:type="paragraph" w:customStyle="1" w:styleId="Style4">
    <w:name w:val="Style 4"/>
    <w:basedOn w:val="Normal"/>
    <w:link w:val="CharStyle5"/>
    <w:uiPriority w:val="99"/>
    <w:rsid w:val="00EA2C20"/>
    <w:pPr>
      <w:widowControl w:val="0"/>
      <w:shd w:val="clear" w:color="auto" w:fill="FFFFFF"/>
      <w:spacing w:line="240" w:lineRule="atLeast"/>
      <w:ind w:left="0"/>
    </w:pPr>
    <w:rPr>
      <w:rFonts w:ascii="Arial" w:eastAsiaTheme="minorHAnsi" w:hAnsi="Arial" w:cs="Arial"/>
      <w:b/>
      <w:bCs/>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240C4-218C-43CB-A855-A269985EB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7554</Words>
  <Characters>41550</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León Granados</dc:creator>
  <cp:keywords/>
  <dc:description/>
  <cp:lastModifiedBy>Luz Stella Rojas Macias</cp:lastModifiedBy>
  <cp:revision>2</cp:revision>
  <dcterms:created xsi:type="dcterms:W3CDTF">2017-12-28T15:46:00Z</dcterms:created>
  <dcterms:modified xsi:type="dcterms:W3CDTF">2017-12-28T15:46:00Z</dcterms:modified>
</cp:coreProperties>
</file>