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6BCB" w:rsidRPr="00066BCB" w:rsidRDefault="00066BCB" w:rsidP="00066BCB">
      <w:pPr>
        <w:pStyle w:val="Encabezado"/>
        <w:tabs>
          <w:tab w:val="clear" w:pos="8504"/>
          <w:tab w:val="left" w:pos="0"/>
          <w:tab w:val="left" w:pos="2977"/>
          <w:tab w:val="right" w:pos="9356"/>
        </w:tabs>
        <w:ind w:left="0"/>
        <w:jc w:val="both"/>
        <w:rPr>
          <w:rFonts w:ascii="Bookman Old Style" w:hAnsi="Bookman Old Style"/>
          <w:color w:val="000000" w:themeColor="text1"/>
          <w:szCs w:val="24"/>
          <w:lang w:val="es-ES"/>
        </w:rPr>
      </w:pPr>
      <w:bookmarkStart w:id="0" w:name="_GoBack"/>
      <w:bookmarkEnd w:id="0"/>
      <w:r w:rsidRPr="00066BCB">
        <w:rPr>
          <w:rFonts w:ascii="Bookman Old Style" w:hAnsi="Bookman Old Style"/>
          <w:noProof/>
          <w:color w:val="000000" w:themeColor="text1"/>
          <w:szCs w:val="24"/>
          <w:lang w:eastAsia="es-CO"/>
        </w:rPr>
        <w:drawing>
          <wp:anchor distT="0" distB="0" distL="114300" distR="114300" simplePos="0" relativeHeight="251659264" behindDoc="0" locked="0" layoutInCell="1" allowOverlap="1" wp14:anchorId="07600D13" wp14:editId="0AE25857">
            <wp:simplePos x="0" y="0"/>
            <wp:positionH relativeFrom="column">
              <wp:posOffset>2570480</wp:posOffset>
            </wp:positionH>
            <wp:positionV relativeFrom="paragraph">
              <wp:posOffset>-631825</wp:posOffset>
            </wp:positionV>
            <wp:extent cx="666750" cy="619125"/>
            <wp:effectExtent l="0" t="0" r="0" b="9525"/>
            <wp:wrapNone/>
            <wp:docPr id="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6750" cy="619125"/>
                    </a:xfrm>
                    <a:prstGeom prst="rect">
                      <a:avLst/>
                    </a:prstGeom>
                    <a:noFill/>
                  </pic:spPr>
                </pic:pic>
              </a:graphicData>
            </a:graphic>
            <wp14:sizeRelH relativeFrom="page">
              <wp14:pctWidth>0</wp14:pctWidth>
            </wp14:sizeRelH>
            <wp14:sizeRelV relativeFrom="page">
              <wp14:pctHeight>0</wp14:pctHeight>
            </wp14:sizeRelV>
          </wp:anchor>
        </w:drawing>
      </w:r>
    </w:p>
    <w:p w:rsidR="00066BCB" w:rsidRPr="00066BCB" w:rsidRDefault="00066BCB" w:rsidP="00066BCB">
      <w:pPr>
        <w:pStyle w:val="Ttulo4"/>
        <w:tabs>
          <w:tab w:val="left" w:pos="0"/>
          <w:tab w:val="right" w:pos="9356"/>
        </w:tabs>
        <w:ind w:left="0"/>
        <w:rPr>
          <w:rFonts w:ascii="Bookman Old Style" w:hAnsi="Bookman Old Style"/>
          <w:b w:val="0"/>
          <w:bCs/>
          <w:sz w:val="24"/>
          <w:szCs w:val="24"/>
        </w:rPr>
      </w:pPr>
    </w:p>
    <w:p w:rsidR="00066BCB" w:rsidRPr="00066BCB" w:rsidRDefault="00066BCB" w:rsidP="00066BCB">
      <w:pPr>
        <w:pStyle w:val="Ttulo4"/>
        <w:tabs>
          <w:tab w:val="left" w:pos="0"/>
          <w:tab w:val="right" w:pos="9356"/>
        </w:tabs>
        <w:ind w:left="0"/>
        <w:rPr>
          <w:rFonts w:ascii="Bookman Old Style" w:hAnsi="Bookman Old Style"/>
          <w:b w:val="0"/>
          <w:bCs/>
          <w:noProof/>
          <w:sz w:val="24"/>
          <w:szCs w:val="24"/>
          <w:lang w:val="es-ES"/>
        </w:rPr>
      </w:pPr>
      <w:r w:rsidRPr="00066BCB">
        <w:rPr>
          <w:rFonts w:ascii="Bookman Old Style" w:hAnsi="Bookman Old Style"/>
          <w:b w:val="0"/>
          <w:bCs/>
          <w:sz w:val="24"/>
          <w:szCs w:val="24"/>
        </w:rPr>
        <w:t>Ministerio de Minas y Energía</w:t>
      </w:r>
    </w:p>
    <w:p w:rsidR="00066BCB" w:rsidRPr="00066BCB" w:rsidRDefault="00066BCB" w:rsidP="00066BCB">
      <w:pPr>
        <w:pStyle w:val="Ttulo4"/>
        <w:tabs>
          <w:tab w:val="left" w:pos="0"/>
          <w:tab w:val="right" w:pos="9356"/>
        </w:tabs>
        <w:ind w:left="0"/>
        <w:rPr>
          <w:rFonts w:ascii="Bookman Old Style" w:hAnsi="Bookman Old Style"/>
          <w:b w:val="0"/>
          <w:bCs/>
          <w:sz w:val="24"/>
          <w:szCs w:val="24"/>
        </w:rPr>
      </w:pPr>
    </w:p>
    <w:p w:rsidR="00066BCB" w:rsidRPr="00066BCB" w:rsidRDefault="00066BCB" w:rsidP="00066BCB">
      <w:pPr>
        <w:pStyle w:val="Ttulo3"/>
        <w:tabs>
          <w:tab w:val="left" w:pos="0"/>
          <w:tab w:val="right" w:pos="9356"/>
        </w:tabs>
        <w:ind w:left="0"/>
        <w:rPr>
          <w:rFonts w:ascii="Bookman Old Style" w:hAnsi="Bookman Old Style" w:cs="Arial"/>
          <w:spacing w:val="20"/>
          <w:szCs w:val="24"/>
        </w:rPr>
      </w:pPr>
      <w:r w:rsidRPr="00066BCB">
        <w:rPr>
          <w:rFonts w:ascii="Bookman Old Style" w:hAnsi="Bookman Old Style" w:cs="Arial"/>
          <w:spacing w:val="20"/>
          <w:szCs w:val="24"/>
        </w:rPr>
        <w:t>COMISIÓN DE REGULACIÓN DE ENERGÍA Y GAS</w:t>
      </w:r>
    </w:p>
    <w:p w:rsidR="00066BCB" w:rsidRPr="00066BCB" w:rsidRDefault="00066BCB" w:rsidP="00066BCB">
      <w:pPr>
        <w:pStyle w:val="Ttulo5"/>
        <w:tabs>
          <w:tab w:val="left" w:pos="0"/>
          <w:tab w:val="right" w:pos="9356"/>
        </w:tabs>
        <w:ind w:left="0"/>
        <w:rPr>
          <w:rFonts w:ascii="Bookman Old Style" w:hAnsi="Bookman Old Style"/>
          <w:sz w:val="24"/>
          <w:szCs w:val="24"/>
        </w:rPr>
      </w:pPr>
    </w:p>
    <w:p w:rsidR="00066BCB" w:rsidRPr="00066BCB" w:rsidRDefault="00066BCB" w:rsidP="00066BCB">
      <w:pPr>
        <w:pStyle w:val="Ttulo5"/>
        <w:tabs>
          <w:tab w:val="left" w:pos="0"/>
          <w:tab w:val="right" w:pos="9356"/>
        </w:tabs>
        <w:ind w:left="0"/>
        <w:rPr>
          <w:rFonts w:ascii="Bookman Old Style" w:hAnsi="Bookman Old Style"/>
          <w:sz w:val="24"/>
          <w:szCs w:val="24"/>
        </w:rPr>
      </w:pPr>
    </w:p>
    <w:p w:rsidR="00066BCB" w:rsidRPr="00066BCB" w:rsidRDefault="00066BCB" w:rsidP="00066BCB">
      <w:pPr>
        <w:pStyle w:val="Ttulo5"/>
        <w:tabs>
          <w:tab w:val="left" w:pos="0"/>
          <w:tab w:val="right" w:pos="9356"/>
        </w:tabs>
        <w:ind w:left="0"/>
        <w:rPr>
          <w:rFonts w:ascii="Bookman Old Style" w:hAnsi="Bookman Old Style"/>
          <w:sz w:val="24"/>
          <w:szCs w:val="24"/>
        </w:rPr>
      </w:pPr>
      <w:r w:rsidRPr="00066BCB">
        <w:rPr>
          <w:rFonts w:ascii="Bookman Old Style" w:hAnsi="Bookman Old Style"/>
          <w:sz w:val="24"/>
          <w:szCs w:val="24"/>
        </w:rPr>
        <w:t>RESOLUCIÓN No.</w:t>
      </w:r>
      <w:r w:rsidRPr="00066BCB">
        <w:rPr>
          <w:rFonts w:ascii="Bookman Old Style" w:hAnsi="Bookman Old Style"/>
          <w:color w:val="000000" w:themeColor="text1"/>
          <w:sz w:val="24"/>
          <w:szCs w:val="24"/>
          <w:lang w:val="es-ES"/>
        </w:rPr>
        <w:t xml:space="preserve">          </w:t>
      </w:r>
      <w:r w:rsidRPr="00066BCB">
        <w:rPr>
          <w:rFonts w:ascii="Bookman Old Style" w:hAnsi="Bookman Old Style"/>
          <w:sz w:val="24"/>
          <w:szCs w:val="24"/>
        </w:rPr>
        <w:t>DE 2013</w:t>
      </w:r>
    </w:p>
    <w:p w:rsidR="00066BCB" w:rsidRPr="00066BCB" w:rsidRDefault="00066BCB" w:rsidP="00066BCB">
      <w:pPr>
        <w:tabs>
          <w:tab w:val="left" w:pos="0"/>
          <w:tab w:val="right" w:pos="9356"/>
        </w:tabs>
        <w:ind w:left="0"/>
        <w:jc w:val="center"/>
        <w:rPr>
          <w:rFonts w:ascii="Bookman Old Style" w:hAnsi="Bookman Old Style" w:cs="Arial"/>
          <w:b/>
          <w:snapToGrid w:val="0"/>
          <w:color w:val="000000"/>
          <w:lang w:val="es-ES_tradnl"/>
        </w:rPr>
      </w:pPr>
    </w:p>
    <w:p w:rsidR="00066BCB" w:rsidRPr="00066BCB" w:rsidRDefault="00066BCB" w:rsidP="00066BCB">
      <w:pPr>
        <w:pStyle w:val="Ttulo3"/>
        <w:tabs>
          <w:tab w:val="left" w:pos="0"/>
          <w:tab w:val="right" w:pos="9356"/>
        </w:tabs>
        <w:ind w:left="0"/>
        <w:rPr>
          <w:rFonts w:ascii="Bookman Old Style" w:hAnsi="Bookman Old Style"/>
          <w:b w:val="0"/>
          <w:szCs w:val="24"/>
        </w:rPr>
      </w:pPr>
      <w:r w:rsidRPr="00066BCB">
        <w:rPr>
          <w:rFonts w:ascii="Bookman Old Style" w:hAnsi="Bookman Old Style"/>
          <w:b w:val="0"/>
          <w:szCs w:val="24"/>
        </w:rPr>
        <w:t>(                                  )</w:t>
      </w:r>
    </w:p>
    <w:p w:rsidR="00066BCB" w:rsidRPr="00066BCB" w:rsidRDefault="00066BCB" w:rsidP="00066BCB">
      <w:pPr>
        <w:ind w:left="0"/>
        <w:rPr>
          <w:rFonts w:ascii="Bookman Old Style" w:hAnsi="Bookman Old Style"/>
          <w:bCs/>
          <w:lang w:val="es-CO"/>
        </w:rPr>
      </w:pPr>
    </w:p>
    <w:p w:rsidR="00066BCB" w:rsidRDefault="00066BCB" w:rsidP="00066BCB">
      <w:pPr>
        <w:ind w:left="0"/>
        <w:rPr>
          <w:rFonts w:ascii="Bookman Old Style" w:hAnsi="Bookman Old Style"/>
          <w:bCs/>
          <w:lang w:val="es-CO"/>
        </w:rPr>
      </w:pPr>
    </w:p>
    <w:p w:rsidR="007D2E45" w:rsidRDefault="007D2E45" w:rsidP="00066BCB">
      <w:pPr>
        <w:ind w:left="0"/>
        <w:rPr>
          <w:rFonts w:ascii="Bookman Old Style" w:hAnsi="Bookman Old Style"/>
          <w:bCs/>
          <w:lang w:val="es-CO"/>
        </w:rPr>
      </w:pPr>
    </w:p>
    <w:p w:rsidR="007D2E45" w:rsidRPr="00066BCB" w:rsidRDefault="007D2E45" w:rsidP="00066BCB">
      <w:pPr>
        <w:ind w:left="0"/>
        <w:rPr>
          <w:rFonts w:ascii="Bookman Old Style" w:hAnsi="Bookman Old Style"/>
          <w:bCs/>
          <w:lang w:val="es-CO"/>
        </w:rPr>
      </w:pPr>
    </w:p>
    <w:p w:rsidR="00066BCB" w:rsidRPr="00066BCB" w:rsidRDefault="00066BCB" w:rsidP="00066BCB">
      <w:pPr>
        <w:ind w:left="0"/>
        <w:jc w:val="center"/>
        <w:rPr>
          <w:rFonts w:ascii="Bookman Old Style" w:hAnsi="Bookman Old Style" w:cs="Arial"/>
        </w:rPr>
      </w:pPr>
      <w:r w:rsidRPr="00066BCB">
        <w:rPr>
          <w:rFonts w:ascii="Bookman Old Style" w:hAnsi="Bookman Old Style"/>
        </w:rPr>
        <w:t>Por la cual se incorporan nuevas definiciones y se aclaran disposiciones del numeral 2.2.3 del RUT</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rPr>
      </w:pPr>
    </w:p>
    <w:p w:rsidR="00066BCB" w:rsidRPr="00066BCB" w:rsidRDefault="00066BCB" w:rsidP="00066BCB">
      <w:pPr>
        <w:pStyle w:val="Ttulo7"/>
        <w:spacing w:before="0" w:after="0"/>
        <w:ind w:left="0"/>
        <w:jc w:val="center"/>
        <w:rPr>
          <w:rFonts w:ascii="Bookman Old Style" w:hAnsi="Bookman Old Style"/>
          <w:b/>
        </w:rPr>
      </w:pPr>
      <w:r w:rsidRPr="00066BCB">
        <w:rPr>
          <w:rFonts w:ascii="Bookman Old Style" w:hAnsi="Bookman Old Style"/>
          <w:b/>
        </w:rPr>
        <w:t>LA COMISIÓN DE REGULACIÓN DE ENERGÍA Y GAS</w:t>
      </w:r>
    </w:p>
    <w:p w:rsidR="00066BCB" w:rsidRPr="00066BCB" w:rsidRDefault="00066BCB" w:rsidP="00066BCB">
      <w:pPr>
        <w:ind w:left="0"/>
        <w:jc w:val="both"/>
        <w:rPr>
          <w:rFonts w:ascii="Bookman Old Style" w:hAnsi="Bookman Old Style" w:cs="Arial"/>
          <w:b/>
        </w:rPr>
      </w:pP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center"/>
        <w:rPr>
          <w:rFonts w:ascii="Bookman Old Style" w:hAnsi="Bookman Old Style" w:cs="Arial"/>
        </w:rPr>
      </w:pPr>
      <w:r w:rsidRPr="00066BCB">
        <w:rPr>
          <w:rFonts w:ascii="Bookman Old Style" w:hAnsi="Bookman Old Style" w:cs="Arial"/>
        </w:rPr>
        <w:t>En ejercicio de sus atribuciones legales, en especial de las conferidas por la Ley 142 de 1994, y en desarrollo del Decreto 2253 de 1994, y</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center"/>
        <w:rPr>
          <w:rFonts w:ascii="Bookman Old Style" w:hAnsi="Bookman Old Style" w:cs="Arial"/>
          <w:b/>
        </w:rPr>
      </w:pPr>
      <w:r w:rsidRPr="00066BCB">
        <w:rPr>
          <w:rFonts w:ascii="Bookman Old Style" w:hAnsi="Bookman Old Style" w:cs="Arial"/>
          <w:b/>
          <w:spacing w:val="80"/>
        </w:rPr>
        <w:t>CONSIDERANDO QUE</w:t>
      </w:r>
      <w:r w:rsidRPr="00066BCB">
        <w:rPr>
          <w:rFonts w:ascii="Bookman Old Style" w:hAnsi="Bookman Old Style" w:cs="Arial"/>
          <w:b/>
        </w:rPr>
        <w:t>:</w:t>
      </w:r>
    </w:p>
    <w:p w:rsidR="00066BCB" w:rsidRPr="00066BCB" w:rsidRDefault="00066BCB" w:rsidP="00066BCB">
      <w:pPr>
        <w:ind w:left="0"/>
        <w:jc w:val="both"/>
        <w:rPr>
          <w:rFonts w:ascii="Bookman Old Style" w:hAnsi="Bookman Old Style" w:cs="Arial"/>
          <w:b/>
        </w:rPr>
      </w:pPr>
    </w:p>
    <w:p w:rsidR="00066BCB" w:rsidRPr="00066BCB" w:rsidRDefault="00066BCB" w:rsidP="00066BCB">
      <w:pPr>
        <w:ind w:left="0"/>
        <w:jc w:val="both"/>
        <w:rPr>
          <w:rFonts w:ascii="Bookman Old Style" w:hAnsi="Bookman Old Style" w:cs="Arial"/>
          <w:b/>
        </w:rPr>
      </w:pPr>
    </w:p>
    <w:p w:rsidR="00066BCB" w:rsidRPr="00066BCB" w:rsidRDefault="00066BCB" w:rsidP="00066BCB">
      <w:pPr>
        <w:ind w:left="0"/>
        <w:jc w:val="both"/>
        <w:rPr>
          <w:rFonts w:ascii="Bookman Old Style" w:hAnsi="Bookman Old Style" w:cs="Arial"/>
        </w:rPr>
      </w:pPr>
      <w:r w:rsidRPr="00066BCB">
        <w:rPr>
          <w:rFonts w:ascii="Bookman Old Style" w:hAnsi="Bookman Old Style" w:cs="Arial"/>
        </w:rPr>
        <w:t xml:space="preserve">El artículo 334 de la Constitución Política dispone que el Estado </w:t>
      </w:r>
      <w:proofErr w:type="gramStart"/>
      <w:r w:rsidRPr="00066BCB">
        <w:rPr>
          <w:rFonts w:ascii="Bookman Old Style" w:hAnsi="Bookman Old Style" w:cs="Arial"/>
        </w:rPr>
        <w:t>intervendrá</w:t>
      </w:r>
      <w:proofErr w:type="gramEnd"/>
      <w:r w:rsidRPr="00066BCB">
        <w:rPr>
          <w:rFonts w:ascii="Bookman Old Style" w:hAnsi="Bookman Old Style" w:cs="Arial"/>
        </w:rPr>
        <w:t xml:space="preserve"> por mandato de la ley en los servicios públicos y privados, para racionalizar la economía con el fin de conseguir el mejoramiento de la calidad de vida de los habitantes, la distribución equitativa de oportunidades y los beneficios del desarrollo y la preservación de un ambiente sano.</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rPr>
      </w:pPr>
      <w:r w:rsidRPr="00066BCB">
        <w:rPr>
          <w:rFonts w:ascii="Bookman Old Style" w:hAnsi="Bookman Old Style" w:cs="Arial"/>
        </w:rPr>
        <w:t>El artículo 365 de la Carta indica que los servicios públicos son inherentes a la finalidad social del Estado y que es deber de éste asegurar que los servicios públicos se presten en forma eficiente a todos los habitantes del territorio nacional y que estarán sometidos al régimen jurídico que fije la ley.</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rPr>
      </w:pPr>
      <w:r w:rsidRPr="00066BCB">
        <w:rPr>
          <w:rFonts w:ascii="Bookman Old Style" w:hAnsi="Bookman Old Style" w:cs="Arial"/>
        </w:rPr>
        <w:t>La Ley 142 de 1994, artículo 2, dispone que el Estado intervendrá en los servicios públicos, conforme a las reglas de competencia de que trata dicha ley, en el marco de lo dispuesto por los artículos 334, 336, y 365 a 370 de la Constitución Política, para lograr entre otros fines la prestación eficiente, la libertad de competencia y los mecanismos que garanticen a los usuarios el acceso a los servicios.</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rPr>
      </w:pPr>
      <w:r w:rsidRPr="00066BCB">
        <w:rPr>
          <w:rFonts w:ascii="Bookman Old Style" w:hAnsi="Bookman Old Style" w:cs="Arial"/>
        </w:rPr>
        <w:t xml:space="preserve">Según lo dispuesto en el artículo 73 de la Ley 142 de 1994, corresponde a las Comisiones regular los monopolios en la prestación de los servicios públicos, cuando la competencia no sea, de hecho, posible; y, en los demás casos, la de promover la competencia entre quienes prestan servicios públicos, para que las operaciones de los monopolistas o de los competidores sean económicamente </w:t>
      </w:r>
      <w:r w:rsidRPr="00066BCB">
        <w:rPr>
          <w:rFonts w:ascii="Bookman Old Style" w:hAnsi="Bookman Old Style" w:cs="Arial"/>
        </w:rPr>
        <w:lastRenderedPageBreak/>
        <w:t>eficientes, no impliquen abuso de posición dominante, y produzcan servicios de calidad.</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rPr>
      </w:pPr>
      <w:r w:rsidRPr="00066BCB">
        <w:rPr>
          <w:rFonts w:ascii="Bookman Old Style" w:hAnsi="Bookman Old Style" w:cs="Arial"/>
        </w:rPr>
        <w:t>De acuerdo con lo establecido en el artículo 74.1 de la Ley 142 de 1994, es función de la Comisión de Regulación de Energía y Gas regular el ejercicio de las actividades de los sectores de energía y gas combustible para asegurar la disponibilidad de una oferta energética eficiente, propiciar la competencia en el sector de minas y energía y proponer la adopción de las medidas necesarias para impedir abusos de posición dominante y buscar la liberación gradual de los mercados hacia la libre competencia.</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rPr>
      </w:pPr>
      <w:r w:rsidRPr="00066BCB">
        <w:rPr>
          <w:rFonts w:ascii="Bookman Old Style" w:hAnsi="Bookman Old Style" w:cs="Arial"/>
        </w:rPr>
        <w:t>De acuerdo con lo establecido en el artículo 978 del Código de Comercio, cuando la prestación de un servicio público esté regulada por el Gobierno, las condiciones de los contratos deberán sujetarse a los respectivos reglamentos.</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rPr>
      </w:pPr>
      <w:r w:rsidRPr="00066BCB">
        <w:rPr>
          <w:rFonts w:ascii="Bookman Old Style" w:hAnsi="Bookman Old Style" w:cs="Arial"/>
        </w:rPr>
        <w:t>La metodología de remuneración de la actividad de transporte de gas incorpora la señal de distancia. Esto implica que para efectos tarifarios el sistema nacional de transporte de gas, SNT, se divide en tramos de gasoductos y cada tramo tiene sus respectivos cargos.</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rPr>
      </w:pPr>
      <w:r w:rsidRPr="00066BCB">
        <w:rPr>
          <w:rFonts w:ascii="Bookman Old Style" w:hAnsi="Bookman Old Style" w:cs="Arial"/>
        </w:rPr>
        <w:t>La Resolución CREG 071 de 1999 establece el Reglamento Único de Transporte de Gas Natural, RUT, y reglamenta el acceso al SNT y sus servicios, así como la responsabilidad y propiedad de la conexión y de los puntos de entrada y de salida.</w:t>
      </w:r>
      <w:bookmarkStart w:id="1" w:name="_Toc471202547"/>
      <w:r w:rsidRPr="00066BCB">
        <w:rPr>
          <w:rFonts w:ascii="Bookman Old Style" w:hAnsi="Bookman Old Style" w:cs="Arial"/>
        </w:rPr>
        <w:t xml:space="preserve"> El numeral 2 del RUT desarrolla el acceso y la prestación de servicios de transporte.</w:t>
      </w:r>
      <w:bookmarkEnd w:id="1"/>
    </w:p>
    <w:p w:rsidR="00066BCB" w:rsidRPr="00066BCB" w:rsidRDefault="00066BCB" w:rsidP="00066BCB">
      <w:pPr>
        <w:ind w:left="0"/>
        <w:jc w:val="both"/>
        <w:rPr>
          <w:rFonts w:ascii="Bookman Old Style" w:hAnsi="Bookman Old Style"/>
        </w:rPr>
      </w:pPr>
    </w:p>
    <w:p w:rsidR="00066BCB" w:rsidRPr="00066BCB" w:rsidRDefault="00066BCB" w:rsidP="00066BCB">
      <w:pPr>
        <w:ind w:left="0"/>
        <w:jc w:val="both"/>
        <w:rPr>
          <w:rFonts w:ascii="Bookman Old Style" w:hAnsi="Bookman Old Style"/>
        </w:rPr>
      </w:pPr>
      <w:r w:rsidRPr="00066BCB">
        <w:rPr>
          <w:rFonts w:ascii="Bookman Old Style" w:hAnsi="Bookman Old Style"/>
        </w:rPr>
        <w:t>En el segundo inciso del numeral 2.2.3 del RUT se establece que, “[l]os Transportadores podrán pactar Contratos de Transporte desde cualquier Punto de Entrada hacia cualquier Punto de Salida del Sistema Nacional de Transporte. Si esta operación involucra a más de un Transportador, el Remitente tendrá la opción de suscribir contratos independientes con cada Transportador o delegar a uno de los Transportadores involucrados para que actúe en su representación. Ningún Transportador podrá asumir obligaciones de Capacidad Firme, exigibles en un mismo momento, por encima de la Capacidad Máxima del Gasoducto”.</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rPr>
      </w:pPr>
      <w:r w:rsidRPr="00066BCB">
        <w:rPr>
          <w:rFonts w:ascii="Bookman Old Style" w:hAnsi="Bookman Old Style"/>
        </w:rPr>
        <w:t>Mediante la Resolución CREG 041 de 2008 se modificó y complementó el RUT, y se establecieron entre otras las definiciones de “Punto de Entrada” y “Punto de Salida”.</w:t>
      </w:r>
    </w:p>
    <w:p w:rsidR="00066BCB" w:rsidRPr="00066BCB" w:rsidRDefault="00066BCB" w:rsidP="00066BCB">
      <w:pPr>
        <w:ind w:left="0"/>
        <w:jc w:val="both"/>
        <w:rPr>
          <w:rFonts w:ascii="Bookman Old Style" w:hAnsi="Bookman Old Style"/>
        </w:rPr>
      </w:pPr>
    </w:p>
    <w:p w:rsidR="00066BCB" w:rsidRPr="00066BCB" w:rsidRDefault="00066BCB" w:rsidP="00066BCB">
      <w:pPr>
        <w:ind w:left="0"/>
        <w:jc w:val="both"/>
        <w:rPr>
          <w:rFonts w:ascii="Bookman Old Style" w:hAnsi="Bookman Old Style" w:cs="Arial"/>
        </w:rPr>
      </w:pPr>
      <w:r w:rsidRPr="00066BCB">
        <w:rPr>
          <w:rFonts w:ascii="Bookman Old Style" w:hAnsi="Bookman Old Style" w:cs="Arial"/>
        </w:rPr>
        <w:t>De acuerdo con el numeral 1.3 del RUT, la Comisión puede tomar la iniciativa de reformar el RUT cuando se estime que, entre otros aspectos, ello es necesario para adecuarse a la evolución de la industria.</w:t>
      </w:r>
    </w:p>
    <w:p w:rsidR="00066BCB" w:rsidRPr="00066BCB" w:rsidRDefault="00066BCB" w:rsidP="00066BCB">
      <w:pPr>
        <w:ind w:left="0"/>
        <w:jc w:val="both"/>
        <w:rPr>
          <w:rFonts w:ascii="Bookman Old Style" w:hAnsi="Bookman Old Style" w:cs="Arial"/>
        </w:rPr>
      </w:pPr>
    </w:p>
    <w:p w:rsidR="00066BCB" w:rsidRPr="00066BCB" w:rsidRDefault="00066BCB" w:rsidP="00066BCB">
      <w:pPr>
        <w:autoSpaceDE w:val="0"/>
        <w:autoSpaceDN w:val="0"/>
        <w:adjustRightInd w:val="0"/>
        <w:ind w:left="0"/>
        <w:jc w:val="both"/>
        <w:rPr>
          <w:rFonts w:ascii="Bookman Old Style" w:hAnsi="Bookman Old Style" w:cs="Arial"/>
          <w:bCs/>
          <w:color w:val="000000"/>
          <w:lang w:val="es-CO" w:eastAsia="es-CO"/>
        </w:rPr>
      </w:pPr>
      <w:r w:rsidRPr="00066BCB">
        <w:rPr>
          <w:rFonts w:ascii="Bookman Old Style" w:hAnsi="Bookman Old Style" w:cs="Arial"/>
          <w:color w:val="000000"/>
          <w:lang w:val="es-CO" w:eastAsia="es-CO"/>
        </w:rPr>
        <w:t>El Ministerio de Minas y Energía expidió el Decreto 2100 de 2011, “</w:t>
      </w:r>
      <w:r w:rsidRPr="00066BCB">
        <w:rPr>
          <w:rFonts w:ascii="Bookman Old Style" w:hAnsi="Bookman Old Style" w:cs="Arial"/>
          <w:bCs/>
          <w:color w:val="000000"/>
          <w:lang w:val="es-CO" w:eastAsia="es-CO"/>
        </w:rPr>
        <w:t>por el cual se establecen mecanismos para promover el aseguramiento del abastecimiento nacional de gas natural y se dictan otras disposiciones”.</w:t>
      </w:r>
    </w:p>
    <w:p w:rsidR="00066BCB" w:rsidRPr="00066BCB" w:rsidRDefault="00066BCB" w:rsidP="00066BCB">
      <w:pPr>
        <w:autoSpaceDE w:val="0"/>
        <w:autoSpaceDN w:val="0"/>
        <w:adjustRightInd w:val="0"/>
        <w:ind w:left="0"/>
        <w:rPr>
          <w:rFonts w:ascii="Bookman Old Style" w:hAnsi="Bookman Old Style" w:cs="Arial"/>
          <w:lang w:eastAsia="es-CO"/>
        </w:rPr>
      </w:pPr>
    </w:p>
    <w:p w:rsidR="00066BCB" w:rsidRPr="00066BCB" w:rsidRDefault="00066BCB" w:rsidP="00066BCB">
      <w:pPr>
        <w:ind w:left="0"/>
        <w:jc w:val="both"/>
        <w:rPr>
          <w:rFonts w:ascii="Bookman Old Style" w:hAnsi="Bookman Old Style" w:cs="Arial"/>
        </w:rPr>
      </w:pPr>
      <w:r w:rsidRPr="00066BCB">
        <w:rPr>
          <w:rFonts w:ascii="Bookman Old Style" w:hAnsi="Bookman Old Style" w:cs="Arial"/>
        </w:rPr>
        <w:t xml:space="preserve">Mediante la Resolución CREG 113 de 2012 la CREG sometió a consulta la propuesta para regular los aspectos comerciales del mercado mayorista de gas </w:t>
      </w:r>
      <w:r w:rsidRPr="00066BCB">
        <w:rPr>
          <w:rFonts w:ascii="Bookman Old Style" w:hAnsi="Bookman Old Style" w:cs="Arial"/>
        </w:rPr>
        <w:lastRenderedPageBreak/>
        <w:t>natural, como parte del reglamento de operación de gas natural, la cual contiene las disposiciones aplicables a las negociaciones en el mercado primario y en mercado secundario de suministro y de transporte de gas natural.</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rPr>
      </w:pPr>
      <w:r w:rsidRPr="00066BCB">
        <w:rPr>
          <w:rFonts w:ascii="Bookman Old Style" w:hAnsi="Bookman Old Style" w:cs="Arial"/>
        </w:rPr>
        <w:t>La posibilidad de pactar contratos de transporte en tramos intermedios de un sistema de transporte es relevante</w:t>
      </w:r>
      <w:r w:rsidR="00046283">
        <w:rPr>
          <w:rFonts w:ascii="Bookman Old Style" w:hAnsi="Bookman Old Style" w:cs="Arial"/>
        </w:rPr>
        <w:t xml:space="preserve"> para mejorar la coordinación en la contratación de suministro y de transporte de gas natural </w:t>
      </w:r>
      <w:r w:rsidRPr="00066BCB">
        <w:rPr>
          <w:rFonts w:ascii="Bookman Old Style" w:hAnsi="Bookman Old Style" w:cs="Arial"/>
        </w:rPr>
        <w:t>bajo el esquema de comercialización de gas propuesto en la Resolución CREG 113 de 2012.</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rPr>
      </w:pPr>
      <w:r w:rsidRPr="00066BCB">
        <w:rPr>
          <w:rFonts w:ascii="Bookman Old Style" w:hAnsi="Bookman Old Style" w:cs="Arial"/>
        </w:rPr>
        <w:t>De acuerdo con lo establecido en el RUT, el transportador puede contratar servicios de transporte que involucren todos los tramos de gasoductos desde el punto de entrada hasta el punto de salida. También puede contratar servicios de trasporte en tramos intermedios del respectivo sistema de transporte.</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rPr>
      </w:pPr>
      <w:r w:rsidRPr="00066BCB">
        <w:rPr>
          <w:rFonts w:ascii="Bookman Old Style" w:hAnsi="Bookman Old Style"/>
        </w:rPr>
        <w:t xml:space="preserve">La Comisión evidenció la posibilidad de que los remitentes requieran contratar o utilizar servicios de transporte en tramos intermedios del respectivo sistema de transporte, lo cual se puede presentar por negociaciones en el mercado primario o en el mercado secundario, y </w:t>
      </w:r>
      <w:r w:rsidRPr="00066BCB">
        <w:rPr>
          <w:rFonts w:ascii="Bookman Old Style" w:hAnsi="Bookman Old Style" w:cs="Arial"/>
        </w:rPr>
        <w:t>ha considerado conveniente aclarar el inciso segundo del numeral 2.2.3 del RUT.</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rPr>
      </w:pPr>
      <w:r w:rsidRPr="00066BCB">
        <w:rPr>
          <w:rFonts w:ascii="Bookman Old Style" w:hAnsi="Bookman Old Style" w:cs="Arial"/>
        </w:rPr>
        <w:t>Mediante la Resolución CREG 150 de 2011 se sometió a consulta un proyecto de resolución por la cual se aclara el numeral 2.2.3 del RUT.</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Tahoma"/>
        </w:rPr>
      </w:pPr>
      <w:r w:rsidRPr="00066BCB">
        <w:rPr>
          <w:rFonts w:ascii="Bookman Old Style" w:hAnsi="Bookman Old Style" w:cs="Arial"/>
        </w:rPr>
        <w:t>En cumplimiento de lo establecido en la Ley 1340 de 2009, el artículo 8 del Decreto 2897 de 2010 y la Resolución SIC 44649 de 2010, la CREG</w:t>
      </w:r>
      <w:r w:rsidRPr="00066BCB">
        <w:rPr>
          <w:rFonts w:ascii="Bookman Old Style" w:hAnsi="Bookman Old Style" w:cs="Tahoma"/>
        </w:rPr>
        <w:t xml:space="preserve"> </w:t>
      </w:r>
      <w:r w:rsidRPr="00066BCB">
        <w:rPr>
          <w:rFonts w:ascii="Bookman Old Style" w:hAnsi="Bookman Old Style" w:cs="Arial"/>
        </w:rPr>
        <w:t>respondió cuestionario establecido por la Superintendencia de Industria y Comercio para efectos de evaluar la incidencia sobre la libre competencia de los mercados, donde la respuesta al conjunto de preguntas fue negativa.</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rPr>
      </w:pPr>
      <w:r w:rsidRPr="00066BCB">
        <w:rPr>
          <w:rFonts w:ascii="Bookman Old Style" w:hAnsi="Bookman Old Style" w:cs="Arial"/>
        </w:rPr>
        <w:t xml:space="preserve">La Comisión de Regulación de Energía y Gas, en la Sesión No. </w:t>
      </w:r>
      <w:r w:rsidR="007D2E45">
        <w:rPr>
          <w:rFonts w:ascii="Bookman Old Style" w:hAnsi="Bookman Old Style" w:cs="Arial"/>
        </w:rPr>
        <w:t>565</w:t>
      </w:r>
      <w:r w:rsidRPr="00066BCB">
        <w:rPr>
          <w:rFonts w:ascii="Bookman Old Style" w:hAnsi="Bookman Old Style" w:cs="Arial"/>
        </w:rPr>
        <w:t xml:space="preserve"> del </w:t>
      </w:r>
      <w:r w:rsidR="007D2E45">
        <w:rPr>
          <w:rFonts w:ascii="Bookman Old Style" w:hAnsi="Bookman Old Style" w:cs="Arial"/>
        </w:rPr>
        <w:t>19</w:t>
      </w:r>
      <w:r w:rsidRPr="00066BCB">
        <w:rPr>
          <w:rFonts w:ascii="Bookman Old Style" w:hAnsi="Bookman Old Style" w:cs="Arial"/>
        </w:rPr>
        <w:t xml:space="preserve"> de </w:t>
      </w:r>
      <w:r w:rsidR="007D2E45">
        <w:rPr>
          <w:rFonts w:ascii="Bookman Old Style" w:hAnsi="Bookman Old Style" w:cs="Arial"/>
        </w:rPr>
        <w:t>julio</w:t>
      </w:r>
      <w:r w:rsidRPr="00066BCB">
        <w:rPr>
          <w:rFonts w:ascii="Bookman Old Style" w:hAnsi="Bookman Old Style" w:cs="Arial"/>
        </w:rPr>
        <w:t xml:space="preserve"> de 2013, de conformidad con los análisis realizados a los comentarios recibidos durante el proceso de consulta, tal y como se presentan en el Documento CREG-</w:t>
      </w:r>
      <w:r w:rsidR="007D2E45">
        <w:rPr>
          <w:rFonts w:ascii="Bookman Old Style" w:hAnsi="Bookman Old Style" w:cs="Arial"/>
        </w:rPr>
        <w:t>055</w:t>
      </w:r>
      <w:r w:rsidRPr="00066BCB">
        <w:rPr>
          <w:rFonts w:ascii="Bookman Old Style" w:hAnsi="Bookman Old Style" w:cs="Arial"/>
        </w:rPr>
        <w:t xml:space="preserve"> de 2013, acordó adoptar la presente Resolución.</w:t>
      </w:r>
    </w:p>
    <w:p w:rsidR="00066BCB" w:rsidRPr="00066BCB" w:rsidRDefault="00066BCB" w:rsidP="00066BCB">
      <w:pPr>
        <w:ind w:left="0"/>
        <w:jc w:val="both"/>
        <w:rPr>
          <w:rFonts w:ascii="Bookman Old Style" w:hAnsi="Bookman Old Style" w:cs="Arial"/>
        </w:rPr>
      </w:pPr>
    </w:p>
    <w:p w:rsidR="00066BCB" w:rsidRDefault="00066BCB" w:rsidP="00066BCB">
      <w:pPr>
        <w:ind w:left="0"/>
        <w:jc w:val="both"/>
        <w:rPr>
          <w:rFonts w:ascii="Bookman Old Style" w:hAnsi="Bookman Old Style" w:cs="Arial"/>
        </w:rPr>
      </w:pPr>
    </w:p>
    <w:p w:rsidR="00046283" w:rsidRPr="00066BCB" w:rsidRDefault="00046283" w:rsidP="00066BCB">
      <w:pPr>
        <w:ind w:left="0"/>
        <w:jc w:val="both"/>
        <w:rPr>
          <w:rFonts w:ascii="Bookman Old Style" w:hAnsi="Bookman Old Style" w:cs="Arial"/>
        </w:rPr>
      </w:pPr>
    </w:p>
    <w:p w:rsidR="00066BCB" w:rsidRPr="00066BCB" w:rsidRDefault="00066BCB" w:rsidP="00066BCB">
      <w:pPr>
        <w:ind w:left="0"/>
        <w:jc w:val="center"/>
        <w:rPr>
          <w:rFonts w:ascii="Bookman Old Style" w:hAnsi="Bookman Old Style" w:cs="Arial"/>
          <w:b/>
        </w:rPr>
      </w:pPr>
      <w:r w:rsidRPr="00066BCB">
        <w:rPr>
          <w:rFonts w:ascii="Bookman Old Style" w:hAnsi="Bookman Old Style" w:cs="Arial"/>
          <w:b/>
        </w:rPr>
        <w:t>RESUELVE:</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rPr>
      </w:pPr>
      <w:r w:rsidRPr="00066BCB">
        <w:rPr>
          <w:rFonts w:ascii="Bookman Old Style" w:hAnsi="Bookman Old Style" w:cs="Arial"/>
          <w:b/>
        </w:rPr>
        <w:t xml:space="preserve">Artículo 1. Adición al numeral 1.1 del RUT. </w:t>
      </w:r>
      <w:r w:rsidRPr="00066BCB">
        <w:rPr>
          <w:rFonts w:ascii="Bookman Old Style" w:hAnsi="Bookman Old Style" w:cs="Arial"/>
        </w:rPr>
        <w:t>Adiciónense las siguientes definiciones al numeral 1.1 del RUT:</w:t>
      </w:r>
    </w:p>
    <w:p w:rsidR="00066BCB" w:rsidRPr="00046283" w:rsidRDefault="00066BCB" w:rsidP="00066BCB">
      <w:pPr>
        <w:ind w:left="0"/>
        <w:jc w:val="both"/>
        <w:rPr>
          <w:rFonts w:ascii="Bookman Old Style" w:hAnsi="Bookman Old Style" w:cs="Arial"/>
          <w:sz w:val="36"/>
        </w:rPr>
      </w:pPr>
    </w:p>
    <w:p w:rsidR="00066BCB" w:rsidRPr="00066BCB" w:rsidRDefault="00066BCB" w:rsidP="00066BCB">
      <w:pPr>
        <w:jc w:val="both"/>
        <w:rPr>
          <w:rFonts w:ascii="Bookman Old Style" w:eastAsia="Arial Unicode MS" w:hAnsi="Bookman Old Style" w:cs="Arial"/>
          <w:bCs/>
          <w:sz w:val="20"/>
          <w:szCs w:val="20"/>
        </w:rPr>
      </w:pPr>
      <w:r w:rsidRPr="00066BCB">
        <w:rPr>
          <w:rFonts w:ascii="Bookman Old Style" w:eastAsia="Arial Unicode MS" w:hAnsi="Bookman Old Style" w:cs="Arial"/>
          <w:bCs/>
          <w:sz w:val="20"/>
          <w:szCs w:val="20"/>
        </w:rPr>
        <w:t>“</w:t>
      </w:r>
      <w:r w:rsidRPr="00066BCB">
        <w:rPr>
          <w:rFonts w:ascii="Bookman Old Style" w:hAnsi="Bookman Old Style" w:cs="Arial"/>
          <w:b/>
          <w:sz w:val="20"/>
          <w:szCs w:val="20"/>
        </w:rPr>
        <w:t>P</w:t>
      </w:r>
      <w:r w:rsidRPr="00066BCB">
        <w:rPr>
          <w:rFonts w:ascii="Bookman Old Style" w:eastAsia="Arial Unicode MS" w:hAnsi="Bookman Old Style" w:cs="Arial"/>
          <w:b/>
          <w:bCs/>
          <w:sz w:val="20"/>
          <w:szCs w:val="20"/>
        </w:rPr>
        <w:t>unto de inicio del servicio:</w:t>
      </w:r>
      <w:r w:rsidRPr="00066BCB">
        <w:rPr>
          <w:rFonts w:ascii="Bookman Old Style" w:eastAsia="Arial Unicode MS" w:hAnsi="Bookman Old Style" w:cs="Arial"/>
          <w:bCs/>
          <w:sz w:val="20"/>
          <w:szCs w:val="20"/>
        </w:rPr>
        <w:t xml:space="preserve"> Punto del sistema nacional de transporte en el cual se inicia la prestación del servicio de transporte de gas. Puede ser un punto de entrada, un punto de transferencia entre dos transportadores o un punto intermedio en el respectivo sistema de transporte. Este último punto deberá corresponder al sitio de inicio o terminación de alguno de los tramos de gasoductos definidos para efectos tarifarios.</w:t>
      </w:r>
    </w:p>
    <w:p w:rsidR="00066BCB" w:rsidRDefault="00066BCB" w:rsidP="00066BCB">
      <w:pPr>
        <w:tabs>
          <w:tab w:val="left" w:pos="567"/>
        </w:tabs>
        <w:autoSpaceDE w:val="0"/>
        <w:autoSpaceDN w:val="0"/>
        <w:adjustRightInd w:val="0"/>
        <w:jc w:val="both"/>
        <w:rPr>
          <w:rFonts w:ascii="Bookman Old Style" w:eastAsia="Arial Unicode MS" w:hAnsi="Bookman Old Style" w:cs="Arial"/>
          <w:bCs/>
          <w:sz w:val="20"/>
          <w:szCs w:val="20"/>
        </w:rPr>
      </w:pPr>
    </w:p>
    <w:p w:rsidR="00046283" w:rsidRDefault="00046283" w:rsidP="00066BCB">
      <w:pPr>
        <w:tabs>
          <w:tab w:val="left" w:pos="567"/>
        </w:tabs>
        <w:autoSpaceDE w:val="0"/>
        <w:autoSpaceDN w:val="0"/>
        <w:adjustRightInd w:val="0"/>
        <w:jc w:val="both"/>
        <w:rPr>
          <w:rFonts w:ascii="Bookman Old Style" w:eastAsia="Arial Unicode MS" w:hAnsi="Bookman Old Style" w:cs="Arial"/>
          <w:bCs/>
          <w:sz w:val="20"/>
          <w:szCs w:val="20"/>
        </w:rPr>
      </w:pPr>
    </w:p>
    <w:p w:rsidR="00046283" w:rsidRDefault="00046283" w:rsidP="00066BCB">
      <w:pPr>
        <w:tabs>
          <w:tab w:val="left" w:pos="567"/>
        </w:tabs>
        <w:autoSpaceDE w:val="0"/>
        <w:autoSpaceDN w:val="0"/>
        <w:adjustRightInd w:val="0"/>
        <w:jc w:val="both"/>
        <w:rPr>
          <w:rFonts w:ascii="Bookman Old Style" w:eastAsia="Arial Unicode MS" w:hAnsi="Bookman Old Style" w:cs="Arial"/>
          <w:bCs/>
          <w:sz w:val="20"/>
          <w:szCs w:val="20"/>
        </w:rPr>
      </w:pPr>
    </w:p>
    <w:p w:rsidR="00046283" w:rsidRPr="00066BCB" w:rsidRDefault="00046283" w:rsidP="00066BCB">
      <w:pPr>
        <w:tabs>
          <w:tab w:val="left" w:pos="567"/>
        </w:tabs>
        <w:autoSpaceDE w:val="0"/>
        <w:autoSpaceDN w:val="0"/>
        <w:adjustRightInd w:val="0"/>
        <w:jc w:val="both"/>
        <w:rPr>
          <w:rFonts w:ascii="Bookman Old Style" w:eastAsia="Arial Unicode MS" w:hAnsi="Bookman Old Style" w:cs="Arial"/>
          <w:bCs/>
          <w:sz w:val="20"/>
          <w:szCs w:val="20"/>
        </w:rPr>
      </w:pPr>
    </w:p>
    <w:p w:rsidR="00066BCB" w:rsidRPr="00066BCB" w:rsidRDefault="00066BCB" w:rsidP="00066BCB">
      <w:pPr>
        <w:tabs>
          <w:tab w:val="left" w:pos="567"/>
        </w:tabs>
        <w:autoSpaceDE w:val="0"/>
        <w:autoSpaceDN w:val="0"/>
        <w:adjustRightInd w:val="0"/>
        <w:jc w:val="both"/>
        <w:rPr>
          <w:rFonts w:ascii="Bookman Old Style" w:eastAsia="Arial Unicode MS" w:hAnsi="Bookman Old Style" w:cs="Arial"/>
          <w:bCs/>
          <w:sz w:val="20"/>
          <w:szCs w:val="20"/>
        </w:rPr>
      </w:pPr>
      <w:r w:rsidRPr="00066BCB">
        <w:rPr>
          <w:rFonts w:ascii="Bookman Old Style" w:eastAsia="Arial Unicode MS" w:hAnsi="Bookman Old Style" w:cs="Arial"/>
          <w:b/>
          <w:bCs/>
          <w:sz w:val="20"/>
          <w:szCs w:val="20"/>
        </w:rPr>
        <w:t>Punto de terminación del servicio:</w:t>
      </w:r>
      <w:r w:rsidRPr="00066BCB">
        <w:rPr>
          <w:rFonts w:ascii="Bookman Old Style" w:eastAsia="Arial Unicode MS" w:hAnsi="Bookman Old Style" w:cs="Arial"/>
          <w:bCs/>
          <w:sz w:val="20"/>
          <w:szCs w:val="20"/>
        </w:rPr>
        <w:t xml:space="preserve"> Punto del sistema nacional de transporte en el cual se finaliza la prestación del servicio de transporte de gas. Puede ser un punto de salida, un punto de transferencia entre dos transportadores o un punto intermedio en el respectivo sistema de transporte. Este último punto deberá corresponder al sitio de inicio o terminación de alguno de los tramos de gasoductos definidos para efectos tarifarios”.</w:t>
      </w:r>
    </w:p>
    <w:p w:rsidR="00066BCB" w:rsidRPr="00066BCB" w:rsidRDefault="00066BCB" w:rsidP="00066BCB">
      <w:pPr>
        <w:ind w:left="0"/>
        <w:jc w:val="both"/>
        <w:rPr>
          <w:rFonts w:ascii="Bookman Old Style" w:hAnsi="Bookman Old Style" w:cs="Arial"/>
          <w:b/>
        </w:rPr>
      </w:pPr>
    </w:p>
    <w:p w:rsidR="00066BCB" w:rsidRPr="00066BCB" w:rsidRDefault="00066BCB" w:rsidP="00066BCB">
      <w:pPr>
        <w:ind w:left="0"/>
        <w:jc w:val="both"/>
        <w:rPr>
          <w:rFonts w:ascii="Bookman Old Style" w:hAnsi="Bookman Old Style" w:cs="Arial"/>
          <w:b/>
        </w:rPr>
      </w:pPr>
      <w:r w:rsidRPr="00066BCB">
        <w:rPr>
          <w:rFonts w:ascii="Bookman Old Style" w:hAnsi="Bookman Old Style" w:cs="Arial"/>
          <w:b/>
        </w:rPr>
        <w:t xml:space="preserve">Artículo 2. Aclaración al numeral 2.2.3 del RUT. </w:t>
      </w:r>
      <w:r w:rsidRPr="00066BCB">
        <w:rPr>
          <w:rFonts w:ascii="Bookman Old Style" w:hAnsi="Bookman Old Style" w:cs="Arial"/>
        </w:rPr>
        <w:t>El inciso segundo del numeral 2.2.3 del RUT quedará así:</w:t>
      </w:r>
    </w:p>
    <w:p w:rsidR="00066BCB" w:rsidRPr="00066BCB" w:rsidRDefault="00066BCB" w:rsidP="00066BCB">
      <w:pPr>
        <w:ind w:left="0"/>
        <w:jc w:val="both"/>
        <w:rPr>
          <w:rFonts w:ascii="Bookman Old Style" w:hAnsi="Bookman Old Style" w:cs="Arial"/>
          <w:b/>
        </w:rPr>
      </w:pPr>
    </w:p>
    <w:p w:rsidR="00066BCB" w:rsidRPr="00066BCB" w:rsidRDefault="00066BCB" w:rsidP="00066BCB">
      <w:pPr>
        <w:jc w:val="both"/>
        <w:rPr>
          <w:rFonts w:ascii="Bookman Old Style" w:hAnsi="Bookman Old Style" w:cs="Arial"/>
          <w:sz w:val="20"/>
          <w:szCs w:val="20"/>
          <w:highlight w:val="yellow"/>
        </w:rPr>
      </w:pPr>
      <w:r w:rsidRPr="00066BCB">
        <w:rPr>
          <w:rFonts w:ascii="Bookman Old Style" w:hAnsi="Bookman Old Style" w:cs="Arial"/>
          <w:sz w:val="20"/>
          <w:szCs w:val="20"/>
        </w:rPr>
        <w:t>“Los transportadores deberán ofrecer servicios de transporte para todos y cada uno de los tramos de gasoductos de sus respectivos sistemas de transporte, para lo cual se tendrán en cuenta los tramos y las capacidades máximas de mediano plazo, CMMP, definidos en las resoluciones de cargos para cada sistema. En los contratos se establecerá el sentido contratado para el flujo del gas natural. Si entre el punto de entrada y el punto de salida se involucra más de un transportador, el remitente tendrá la opción de suscribir contratos independientes con cada transportador o delegar a uno de los transportadores involucrados para que actúe en su representación. El remitente tendrá el derecho de utilizar cualquiera de los tramos de gasoductos en los que haya contratado capacidad de transporte mediante uno o más contratos, hasta la capacidad contratada.</w:t>
      </w:r>
    </w:p>
    <w:p w:rsidR="00066BCB" w:rsidRPr="00066BCB" w:rsidRDefault="00066BCB" w:rsidP="00066BCB">
      <w:pPr>
        <w:jc w:val="both"/>
        <w:rPr>
          <w:rFonts w:ascii="Bookman Old Style" w:hAnsi="Bookman Old Style" w:cs="Arial"/>
          <w:sz w:val="20"/>
          <w:szCs w:val="20"/>
        </w:rPr>
      </w:pPr>
    </w:p>
    <w:p w:rsidR="00066BCB" w:rsidRPr="00066BCB" w:rsidRDefault="00066BCB" w:rsidP="00066BCB">
      <w:pPr>
        <w:jc w:val="both"/>
        <w:rPr>
          <w:rFonts w:ascii="Bookman Old Style" w:hAnsi="Bookman Old Style" w:cs="Arial"/>
          <w:sz w:val="20"/>
          <w:szCs w:val="20"/>
        </w:rPr>
      </w:pPr>
      <w:r w:rsidRPr="00066BCB">
        <w:rPr>
          <w:rFonts w:ascii="Bookman Old Style" w:hAnsi="Bookman Old Style" w:cs="Arial"/>
          <w:sz w:val="20"/>
          <w:szCs w:val="20"/>
        </w:rPr>
        <w:t>El servicio de capacidad de transporte se deberá prestar desde un punto de inicio del servicio, aun cuando no corresponda a un punto de entrada, y hasta un punto de terminación del servicio, aun cuando no corresponda a un punto de salida. Se entenderá que la regulación sobre los aspectos comerciales y operativos se aplica desde el punto de inicio del servicio hasta el punto de terminación del servicio.</w:t>
      </w:r>
    </w:p>
    <w:p w:rsidR="00066BCB" w:rsidRPr="00066BCB" w:rsidRDefault="00066BCB" w:rsidP="00066BCB">
      <w:pPr>
        <w:jc w:val="both"/>
        <w:rPr>
          <w:rFonts w:ascii="Bookman Old Style" w:hAnsi="Bookman Old Style" w:cs="Arial"/>
          <w:sz w:val="20"/>
          <w:szCs w:val="20"/>
        </w:rPr>
      </w:pPr>
    </w:p>
    <w:p w:rsidR="00066BCB" w:rsidRPr="00066BCB" w:rsidRDefault="00066BCB" w:rsidP="00066BCB">
      <w:pPr>
        <w:jc w:val="both"/>
        <w:rPr>
          <w:rFonts w:ascii="Bookman Old Style" w:hAnsi="Bookman Old Style" w:cs="Arial"/>
          <w:sz w:val="20"/>
          <w:szCs w:val="20"/>
        </w:rPr>
      </w:pPr>
      <w:r w:rsidRPr="00066BCB">
        <w:rPr>
          <w:rFonts w:ascii="Bookman Old Style" w:hAnsi="Bookman Old Style" w:cs="Arial"/>
          <w:sz w:val="20"/>
          <w:szCs w:val="20"/>
        </w:rPr>
        <w:t>En la nominación el remitente deberá indicar el punto de entrada y el punto de salida del gas. Así mismo, el remitente que recibe el gas en el punto de salida deberá coordinar la nominación con el remitente que inyecta el gas en el punto de entrada. El transportador no estará obligado a aceptar nominaciones de contratos en los que la extracción de gas en el punto de salida no esté respaldada físicamente con inyección de gas en un punto de entrada”.</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b/>
        </w:rPr>
      </w:pPr>
      <w:r w:rsidRPr="00066BCB">
        <w:rPr>
          <w:rFonts w:ascii="Bookman Old Style" w:hAnsi="Bookman Old Style" w:cs="Arial"/>
          <w:b/>
        </w:rPr>
        <w:t xml:space="preserve">Artículo 3. Período de transición. </w:t>
      </w:r>
      <w:r w:rsidRPr="00066BCB">
        <w:rPr>
          <w:rFonts w:ascii="Bookman Old Style" w:hAnsi="Bookman Old Style" w:cs="Arial"/>
        </w:rPr>
        <w:t>Las disposiciones contenidas en la presente Resolución se aplicarán a partir del cuarto mes de entrada en vigencia de esta Resolución.</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jc w:val="both"/>
        <w:rPr>
          <w:rFonts w:ascii="Bookman Old Style" w:hAnsi="Bookman Old Style" w:cs="Arial"/>
          <w:i/>
        </w:rPr>
      </w:pPr>
      <w:r w:rsidRPr="00066BCB">
        <w:rPr>
          <w:rFonts w:ascii="Bookman Old Style" w:hAnsi="Bookman Old Style" w:cs="Arial"/>
          <w:b/>
        </w:rPr>
        <w:t>Artículo 4. Vigencia.</w:t>
      </w:r>
      <w:r w:rsidRPr="00066BCB">
        <w:rPr>
          <w:rFonts w:ascii="Bookman Old Style" w:hAnsi="Bookman Old Style" w:cs="Arial"/>
        </w:rPr>
        <w:t xml:space="preserve"> El presente acto administrativo rige a partir de la fecha de publicación en el </w:t>
      </w:r>
      <w:r w:rsidRPr="007D2E45">
        <w:rPr>
          <w:rFonts w:ascii="Bookman Old Style" w:hAnsi="Bookman Old Style" w:cs="Arial"/>
          <w:i/>
        </w:rPr>
        <w:t>Diario Oficial</w:t>
      </w:r>
      <w:r w:rsidRPr="00066BCB">
        <w:rPr>
          <w:rFonts w:ascii="Bookman Old Style" w:hAnsi="Bookman Old Style" w:cs="Arial"/>
        </w:rPr>
        <w:t xml:space="preserve"> y deroga las normas que le sean contrarias.</w:t>
      </w:r>
    </w:p>
    <w:p w:rsidR="00066BCB" w:rsidRPr="00066BCB" w:rsidRDefault="00066BCB" w:rsidP="00066BCB">
      <w:pPr>
        <w:ind w:left="0"/>
        <w:jc w:val="both"/>
        <w:rPr>
          <w:rFonts w:ascii="Bookman Old Style" w:hAnsi="Bookman Old Style" w:cs="Arial"/>
        </w:rPr>
      </w:pPr>
    </w:p>
    <w:p w:rsidR="00066BCB" w:rsidRPr="00066BCB" w:rsidRDefault="00066BCB" w:rsidP="00066BCB">
      <w:pPr>
        <w:ind w:left="0"/>
        <w:rPr>
          <w:rFonts w:ascii="Bookman Old Style" w:hAnsi="Bookman Old Style" w:cs="Arial"/>
          <w:spacing w:val="-4"/>
        </w:rPr>
      </w:pPr>
    </w:p>
    <w:p w:rsidR="00066BCB" w:rsidRPr="00066BCB" w:rsidRDefault="00066BCB" w:rsidP="00066BCB">
      <w:pPr>
        <w:jc w:val="center"/>
        <w:rPr>
          <w:rFonts w:ascii="Bookman Old Style" w:hAnsi="Bookman Old Style" w:cs="Arial"/>
          <w:b/>
        </w:rPr>
      </w:pPr>
      <w:r w:rsidRPr="00066BCB">
        <w:rPr>
          <w:rFonts w:ascii="Bookman Old Style" w:hAnsi="Bookman Old Style" w:cs="Arial"/>
          <w:b/>
        </w:rPr>
        <w:t>PUBLÍQUESE Y CÚMPLASE,</w:t>
      </w:r>
    </w:p>
    <w:p w:rsidR="00066BCB" w:rsidRPr="00066BCB" w:rsidRDefault="00066BCB" w:rsidP="00066BCB">
      <w:pPr>
        <w:rPr>
          <w:rFonts w:ascii="Bookman Old Style" w:hAnsi="Bookman Old Style" w:cs="Arial"/>
        </w:rPr>
      </w:pPr>
    </w:p>
    <w:p w:rsidR="00066BCB" w:rsidRPr="00066BCB" w:rsidRDefault="00066BCB" w:rsidP="00066BCB">
      <w:pPr>
        <w:ind w:left="0"/>
        <w:rPr>
          <w:rFonts w:ascii="Bookman Old Style" w:hAnsi="Bookman Old Style" w:cs="Arial"/>
        </w:rPr>
      </w:pPr>
      <w:r w:rsidRPr="00066BCB">
        <w:rPr>
          <w:rFonts w:ascii="Bookman Old Style" w:hAnsi="Bookman Old Style" w:cs="Arial"/>
        </w:rPr>
        <w:t>Dada en Bogotá, a los</w:t>
      </w:r>
    </w:p>
    <w:p w:rsidR="00066BCB" w:rsidRPr="00066BCB" w:rsidRDefault="00066BCB" w:rsidP="00066BCB">
      <w:pPr>
        <w:ind w:left="0"/>
        <w:rPr>
          <w:rFonts w:ascii="Bookman Old Style" w:hAnsi="Bookman Old Style"/>
        </w:rPr>
      </w:pPr>
    </w:p>
    <w:p w:rsidR="00066BCB" w:rsidRPr="00066BCB" w:rsidRDefault="00066BCB" w:rsidP="00066BCB">
      <w:pPr>
        <w:ind w:left="0"/>
        <w:rPr>
          <w:rFonts w:ascii="Bookman Old Style" w:hAnsi="Bookman Old Style"/>
        </w:rPr>
      </w:pPr>
    </w:p>
    <w:p w:rsidR="00066BCB" w:rsidRPr="00066BCB" w:rsidRDefault="00066BCB" w:rsidP="00066BCB">
      <w:pPr>
        <w:ind w:left="0"/>
        <w:rPr>
          <w:rFonts w:ascii="Bookman Old Style" w:hAnsi="Bookman Old Style"/>
        </w:rPr>
      </w:pPr>
    </w:p>
    <w:p w:rsidR="00066BCB" w:rsidRPr="00066BCB" w:rsidRDefault="00066BCB" w:rsidP="00066BCB">
      <w:pPr>
        <w:ind w:left="0"/>
        <w:rPr>
          <w:rFonts w:ascii="Bookman Old Style" w:hAnsi="Bookman Old Style"/>
        </w:rPr>
      </w:pPr>
    </w:p>
    <w:tbl>
      <w:tblPr>
        <w:tblW w:w="0" w:type="auto"/>
        <w:jc w:val="center"/>
        <w:tblInd w:w="-679" w:type="dxa"/>
        <w:tblLayout w:type="fixed"/>
        <w:tblCellMar>
          <w:left w:w="70" w:type="dxa"/>
          <w:right w:w="70" w:type="dxa"/>
        </w:tblCellMar>
        <w:tblLook w:val="04A0" w:firstRow="1" w:lastRow="0" w:firstColumn="1" w:lastColumn="0" w:noHBand="0" w:noVBand="1"/>
      </w:tblPr>
      <w:tblGrid>
        <w:gridCol w:w="4624"/>
        <w:gridCol w:w="4624"/>
      </w:tblGrid>
      <w:tr w:rsidR="00066BCB" w:rsidRPr="00066BCB" w:rsidTr="00B374F7">
        <w:trPr>
          <w:trHeight w:val="391"/>
          <w:jc w:val="center"/>
        </w:trPr>
        <w:tc>
          <w:tcPr>
            <w:tcW w:w="4624" w:type="dxa"/>
            <w:vAlign w:val="center"/>
            <w:hideMark/>
          </w:tcPr>
          <w:p w:rsidR="00066BCB" w:rsidRPr="00066BCB" w:rsidRDefault="00066BCB" w:rsidP="00B374F7">
            <w:pPr>
              <w:ind w:left="18"/>
              <w:jc w:val="center"/>
              <w:rPr>
                <w:rFonts w:ascii="Bookman Old Style" w:hAnsi="Bookman Old Style"/>
                <w:b/>
              </w:rPr>
            </w:pPr>
            <w:r w:rsidRPr="00066BCB">
              <w:rPr>
                <w:rFonts w:ascii="Bookman Old Style" w:hAnsi="Bookman Old Style"/>
                <w:b/>
              </w:rPr>
              <w:t>ORLANDO CABRALES SEGOVIA</w:t>
            </w:r>
          </w:p>
          <w:p w:rsidR="00066BCB" w:rsidRPr="00066BCB" w:rsidRDefault="00066BCB" w:rsidP="00B374F7">
            <w:pPr>
              <w:ind w:left="18"/>
              <w:jc w:val="center"/>
              <w:rPr>
                <w:rFonts w:ascii="Bookman Old Style" w:hAnsi="Bookman Old Style"/>
              </w:rPr>
            </w:pPr>
            <w:r w:rsidRPr="00066BCB">
              <w:rPr>
                <w:rFonts w:ascii="Bookman Old Style" w:hAnsi="Bookman Old Style"/>
              </w:rPr>
              <w:t>Viceministro de Energía</w:t>
            </w:r>
          </w:p>
        </w:tc>
        <w:tc>
          <w:tcPr>
            <w:tcW w:w="4624" w:type="dxa"/>
            <w:hideMark/>
          </w:tcPr>
          <w:p w:rsidR="00066BCB" w:rsidRPr="00066BCB" w:rsidRDefault="00066BCB" w:rsidP="00B374F7">
            <w:pPr>
              <w:jc w:val="center"/>
              <w:rPr>
                <w:rFonts w:ascii="Bookman Old Style" w:hAnsi="Bookman Old Style"/>
                <w:b/>
              </w:rPr>
            </w:pPr>
            <w:r w:rsidRPr="00066BCB">
              <w:rPr>
                <w:rFonts w:ascii="Bookman Old Style" w:hAnsi="Bookman Old Style"/>
                <w:b/>
              </w:rPr>
              <w:t>GERMÁN CASTRO FERREIRA</w:t>
            </w:r>
          </w:p>
          <w:p w:rsidR="00066BCB" w:rsidRPr="00066BCB" w:rsidRDefault="00066BCB" w:rsidP="00B374F7">
            <w:pPr>
              <w:jc w:val="center"/>
              <w:rPr>
                <w:rFonts w:ascii="Bookman Old Style" w:hAnsi="Bookman Old Style"/>
                <w:b/>
              </w:rPr>
            </w:pPr>
            <w:r w:rsidRPr="00066BCB">
              <w:rPr>
                <w:rFonts w:ascii="Bookman Old Style" w:hAnsi="Bookman Old Style"/>
              </w:rPr>
              <w:t>Director Ejecutivo</w:t>
            </w:r>
          </w:p>
        </w:tc>
      </w:tr>
      <w:tr w:rsidR="00066BCB" w:rsidRPr="00066BCB" w:rsidTr="00B374F7">
        <w:trPr>
          <w:jc w:val="center"/>
        </w:trPr>
        <w:tc>
          <w:tcPr>
            <w:tcW w:w="4624" w:type="dxa"/>
            <w:hideMark/>
          </w:tcPr>
          <w:p w:rsidR="00066BCB" w:rsidRPr="00066BCB" w:rsidRDefault="00066BCB" w:rsidP="00B374F7">
            <w:pPr>
              <w:ind w:left="0"/>
              <w:jc w:val="center"/>
              <w:rPr>
                <w:rFonts w:ascii="Bookman Old Style" w:hAnsi="Bookman Old Style"/>
              </w:rPr>
            </w:pPr>
            <w:r w:rsidRPr="00066BCB">
              <w:rPr>
                <w:rFonts w:ascii="Bookman Old Style" w:hAnsi="Bookman Old Style"/>
              </w:rPr>
              <w:t>Delegado del Ministro de Minas y Energía</w:t>
            </w:r>
          </w:p>
          <w:p w:rsidR="00066BCB" w:rsidRPr="00066BCB" w:rsidRDefault="00066BCB" w:rsidP="00B374F7">
            <w:pPr>
              <w:ind w:left="0"/>
              <w:jc w:val="center"/>
              <w:rPr>
                <w:rFonts w:ascii="Bookman Old Style" w:hAnsi="Bookman Old Style"/>
              </w:rPr>
            </w:pPr>
            <w:r w:rsidRPr="00066BCB">
              <w:rPr>
                <w:rFonts w:ascii="Bookman Old Style" w:hAnsi="Bookman Old Style"/>
              </w:rPr>
              <w:t>Presidente</w:t>
            </w:r>
          </w:p>
        </w:tc>
        <w:tc>
          <w:tcPr>
            <w:tcW w:w="4624" w:type="dxa"/>
            <w:hideMark/>
          </w:tcPr>
          <w:p w:rsidR="00066BCB" w:rsidRPr="00066BCB" w:rsidRDefault="00066BCB" w:rsidP="00B374F7">
            <w:pPr>
              <w:jc w:val="center"/>
              <w:rPr>
                <w:rFonts w:ascii="Bookman Old Style" w:hAnsi="Bookman Old Style"/>
              </w:rPr>
            </w:pPr>
          </w:p>
        </w:tc>
      </w:tr>
    </w:tbl>
    <w:p w:rsidR="006B579F" w:rsidRPr="00066BCB" w:rsidRDefault="006B579F" w:rsidP="00066BCB">
      <w:pPr>
        <w:tabs>
          <w:tab w:val="left" w:pos="1758"/>
        </w:tabs>
        <w:ind w:left="0"/>
        <w:rPr>
          <w:rFonts w:ascii="Bookman Old Style" w:hAnsi="Bookman Old Style"/>
        </w:rPr>
      </w:pPr>
    </w:p>
    <w:sectPr w:rsidR="006B579F" w:rsidRPr="00066BCB" w:rsidSect="00ED1181">
      <w:headerReference w:type="default" r:id="rId10"/>
      <w:headerReference w:type="first" r:id="rId11"/>
      <w:type w:val="continuous"/>
      <w:pgSz w:w="12247" w:h="18705" w:code="121"/>
      <w:pgMar w:top="2342"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691E" w:rsidRDefault="008B691E">
      <w:r>
        <w:separator/>
      </w:r>
    </w:p>
  </w:endnote>
  <w:endnote w:type="continuationSeparator" w:id="0">
    <w:p w:rsidR="008B691E" w:rsidRDefault="008B69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691E" w:rsidRDefault="008B691E">
      <w:r>
        <w:separator/>
      </w:r>
    </w:p>
  </w:footnote>
  <w:footnote w:type="continuationSeparator" w:id="0">
    <w:p w:rsidR="008B691E" w:rsidRDefault="008B69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91E" w:rsidRDefault="008B691E" w:rsidP="00951F79">
    <w:pPr>
      <w:pStyle w:val="Ttulo1"/>
      <w:ind w:right="6"/>
      <w:jc w:val="left"/>
      <w:rPr>
        <w:rFonts w:ascii="Bookman Old Style" w:hAnsi="Bookman Old Style" w:cs="Arial"/>
        <w:b w:val="0"/>
        <w:sz w:val="22"/>
        <w:szCs w:val="22"/>
      </w:rPr>
    </w:pPr>
  </w:p>
  <w:p w:rsidR="008B691E" w:rsidRPr="00951F79" w:rsidRDefault="008B691E"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BB1775">
      <w:rPr>
        <w:rFonts w:ascii="Bookman Old Style" w:hAnsi="Bookman Old Style" w:cs="Arial"/>
        <w:b w:val="0"/>
        <w:noProof/>
        <w:sz w:val="22"/>
        <w:szCs w:val="22"/>
      </w:rPr>
      <w:t>4</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BB1775" w:rsidRPr="00BB1775">
        <w:rPr>
          <w:rFonts w:ascii="Bookman Old Style" w:hAnsi="Bookman Old Style" w:cs="Arial"/>
          <w:b w:val="0"/>
          <w:noProof/>
          <w:sz w:val="22"/>
          <w:szCs w:val="22"/>
        </w:rPr>
        <w:t>4</w:t>
      </w:r>
    </w:fldSimple>
  </w:p>
  <w:p w:rsidR="008B691E" w:rsidRDefault="008B691E"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4F69335B" wp14:editId="11E3FD28">
              <wp:simplePos x="0" y="0"/>
              <wp:positionH relativeFrom="column">
                <wp:posOffset>-174625</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75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" filled="f" strokeweight="1.5pt"/>
          </w:pict>
        </mc:Fallback>
      </mc:AlternateContent>
    </w:r>
  </w:p>
  <w:p w:rsidR="008B691E" w:rsidRPr="00066BCB" w:rsidRDefault="00066BCB" w:rsidP="00066BCB">
    <w:pPr>
      <w:pBdr>
        <w:bottom w:val="single" w:sz="4" w:space="11" w:color="auto"/>
      </w:pBdr>
      <w:spacing w:before="120" w:after="360"/>
      <w:ind w:left="142" w:right="147"/>
      <w:jc w:val="both"/>
      <w:rPr>
        <w:rFonts w:ascii="Bookman Old Style" w:hAnsi="Bookman Old Style" w:cs="Arial"/>
        <w:color w:val="000000" w:themeColor="text1"/>
        <w:sz w:val="22"/>
        <w:szCs w:val="22"/>
        <w:lang w:eastAsia="es-CO"/>
      </w:rPr>
    </w:pPr>
    <w:r w:rsidRPr="00B24B63">
      <w:rPr>
        <w:rFonts w:ascii="Bookman Old Style" w:hAnsi="Bookman Old Style" w:cs="Arial"/>
        <w:color w:val="000000" w:themeColor="text1"/>
        <w:sz w:val="22"/>
        <w:szCs w:val="22"/>
        <w:lang w:eastAsia="es-CO"/>
      </w:rPr>
      <w:t xml:space="preserve">Por la cual </w:t>
    </w:r>
    <w:r>
      <w:rPr>
        <w:rFonts w:ascii="Bookman Old Style" w:hAnsi="Bookman Old Style" w:cs="Arial"/>
        <w:color w:val="000000" w:themeColor="text1"/>
        <w:sz w:val="22"/>
        <w:szCs w:val="22"/>
        <w:lang w:eastAsia="es-CO"/>
      </w:rPr>
      <w:t>se incorporan nuevas definiciones</w:t>
    </w:r>
    <w:r w:rsidRPr="00B24B63">
      <w:rPr>
        <w:rFonts w:ascii="Bookman Old Style" w:hAnsi="Bookman Old Style" w:cs="Arial"/>
        <w:color w:val="000000" w:themeColor="text1"/>
        <w:sz w:val="22"/>
        <w:szCs w:val="22"/>
        <w:lang w:eastAsia="es-CO"/>
      </w:rPr>
      <w:t xml:space="preserve"> </w:t>
    </w:r>
    <w:r>
      <w:rPr>
        <w:rFonts w:ascii="Bookman Old Style" w:hAnsi="Bookman Old Style" w:cs="Arial"/>
        <w:color w:val="000000" w:themeColor="text1"/>
        <w:sz w:val="22"/>
        <w:szCs w:val="22"/>
        <w:lang w:eastAsia="es-CO"/>
      </w:rPr>
      <w:t xml:space="preserve">y </w:t>
    </w:r>
    <w:r w:rsidRPr="00B24B63">
      <w:rPr>
        <w:rFonts w:ascii="Bookman Old Style" w:hAnsi="Bookman Old Style" w:cs="Arial"/>
        <w:color w:val="000000" w:themeColor="text1"/>
        <w:sz w:val="22"/>
        <w:szCs w:val="22"/>
        <w:lang w:eastAsia="es-CO"/>
      </w:rPr>
      <w:t>se aclaran disposiciones del numeral 2.2.3 del RUT</w:t>
    </w:r>
    <w:r w:rsidR="00A44F76">
      <w:rPr>
        <w:rFonts w:ascii="Bookman Old Style" w:hAnsi="Bookman Old Style" w:cs="Arial"/>
        <w:color w:val="000000" w:themeColor="text1"/>
        <w:sz w:val="22"/>
        <w:szCs w:val="22"/>
        <w:lang w:eastAsia="es-CO"/>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91E" w:rsidRDefault="008B691E" w:rsidP="002A677D">
    <w:pPr>
      <w:pStyle w:val="Encabezado"/>
      <w:jc w:val="both"/>
      <w:rPr>
        <w:rFonts w:ascii="Arial" w:hAnsi="Arial" w:cs="Arial"/>
        <w:spacing w:val="20"/>
        <w:sz w:val="20"/>
      </w:rPr>
    </w:pPr>
    <w:r>
      <w:rPr>
        <w:rFonts w:ascii="Arial" w:hAnsi="Arial" w:cs="Arial"/>
        <w:spacing w:val="20"/>
        <w:sz w:val="20"/>
      </w:rPr>
      <w:t xml:space="preserve">                                   República de Colombia</w:t>
    </w:r>
  </w:p>
  <w:p w:rsidR="008B691E" w:rsidRDefault="008B691E">
    <w:pPr>
      <w:pStyle w:val="Encabezado"/>
      <w:jc w:val="center"/>
      <w:rPr>
        <w:rFonts w:ascii="Arial" w:hAnsi="Arial" w:cs="Arial"/>
        <w:spacing w:val="20"/>
        <w:sz w:val="20"/>
      </w:rPr>
    </w:pPr>
  </w:p>
  <w:p w:rsidR="008B691E" w:rsidRDefault="008B691E" w:rsidP="00CA77FB">
    <w:pPr>
      <w:pStyle w:val="Encabezado"/>
      <w:jc w:val="center"/>
    </w:pPr>
    <w:r>
      <w:rPr>
        <w:noProof/>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61BFF"/>
    <w:multiLevelType w:val="multilevel"/>
    <w:tmpl w:val="D16E102A"/>
    <w:lvl w:ilvl="0">
      <w:start w:val="1"/>
      <w:numFmt w:val="decimal"/>
      <w:pStyle w:val="Estilo2"/>
      <w:lvlText w:val="Artículo %1."/>
      <w:lvlJc w:val="left"/>
      <w:pPr>
        <w:tabs>
          <w:tab w:val="num" w:pos="5126"/>
        </w:tabs>
        <w:ind w:left="3686" w:firstLine="0"/>
      </w:pPr>
      <w:rPr>
        <w:rFonts w:hint="default"/>
        <w:b/>
        <w:i w:val="0"/>
      </w:rPr>
    </w:lvl>
    <w:lvl w:ilvl="1">
      <w:start w:val="1"/>
      <w:numFmt w:val="lowerLetter"/>
      <w:lvlText w:val="%2)"/>
      <w:lvlJc w:val="left"/>
      <w:pPr>
        <w:ind w:left="1455" w:hanging="375"/>
      </w:pPr>
      <w:rPr>
        <w:rFonts w:hint="default"/>
      </w:r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nsid w:val="086E1FF9"/>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
    <w:nsid w:val="0B1C5795"/>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3">
    <w:nsid w:val="0CB11DAB"/>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
    <w:nsid w:val="0E017D7A"/>
    <w:multiLevelType w:val="hybridMultilevel"/>
    <w:tmpl w:val="2EB40D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0EE2331E"/>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6">
    <w:nsid w:val="11CE4180"/>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7">
    <w:nsid w:val="15F6250D"/>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8">
    <w:nsid w:val="1C2740DC"/>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9">
    <w:nsid w:val="1DB30709"/>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0">
    <w:nsid w:val="21D05B0C"/>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1">
    <w:nsid w:val="21EC0501"/>
    <w:multiLevelType w:val="hybridMultilevel"/>
    <w:tmpl w:val="3F68C982"/>
    <w:lvl w:ilvl="0" w:tplc="62B63546">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2447747A"/>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3">
    <w:nsid w:val="28CA1AC6"/>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4">
    <w:nsid w:val="2A083A58"/>
    <w:multiLevelType w:val="hybridMultilevel"/>
    <w:tmpl w:val="8ADED7EE"/>
    <w:lvl w:ilvl="0" w:tplc="5DDAE2DA">
      <w:start w:val="1"/>
      <w:numFmt w:val="lowerRoman"/>
      <w:lvlText w:val="%1)"/>
      <w:lvlJc w:val="left"/>
      <w:pPr>
        <w:ind w:left="1080" w:hanging="720"/>
      </w:pPr>
      <w:rPr>
        <w:rFonts w:hint="default"/>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2F2F6827"/>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6">
    <w:nsid w:val="301E2343"/>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7">
    <w:nsid w:val="3213303F"/>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8">
    <w:nsid w:val="40BF1C67"/>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9">
    <w:nsid w:val="422D6B82"/>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0">
    <w:nsid w:val="42DA5DEE"/>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1">
    <w:nsid w:val="463F3243"/>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nsid w:val="46C95E1B"/>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3">
    <w:nsid w:val="475D0741"/>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4">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5">
    <w:nsid w:val="63D820DC"/>
    <w:multiLevelType w:val="hybridMultilevel"/>
    <w:tmpl w:val="127A1A24"/>
    <w:lvl w:ilvl="0" w:tplc="0ED8C4B0">
      <w:start w:val="1"/>
      <w:numFmt w:val="decimal"/>
      <w:lvlText w:val="%1."/>
      <w:lvlJc w:val="left"/>
      <w:pPr>
        <w:ind w:left="218" w:hanging="360"/>
      </w:pPr>
      <w:rPr>
        <w:rFonts w:hint="default"/>
      </w:rPr>
    </w:lvl>
    <w:lvl w:ilvl="1" w:tplc="240A0019" w:tentative="1">
      <w:start w:val="1"/>
      <w:numFmt w:val="lowerLetter"/>
      <w:lvlText w:val="%2."/>
      <w:lvlJc w:val="left"/>
      <w:pPr>
        <w:ind w:left="938" w:hanging="360"/>
      </w:pPr>
    </w:lvl>
    <w:lvl w:ilvl="2" w:tplc="240A001B" w:tentative="1">
      <w:start w:val="1"/>
      <w:numFmt w:val="lowerRoman"/>
      <w:lvlText w:val="%3."/>
      <w:lvlJc w:val="right"/>
      <w:pPr>
        <w:ind w:left="1658" w:hanging="180"/>
      </w:pPr>
    </w:lvl>
    <w:lvl w:ilvl="3" w:tplc="240A000F" w:tentative="1">
      <w:start w:val="1"/>
      <w:numFmt w:val="decimal"/>
      <w:lvlText w:val="%4."/>
      <w:lvlJc w:val="left"/>
      <w:pPr>
        <w:ind w:left="2378" w:hanging="360"/>
      </w:pPr>
    </w:lvl>
    <w:lvl w:ilvl="4" w:tplc="240A0019" w:tentative="1">
      <w:start w:val="1"/>
      <w:numFmt w:val="lowerLetter"/>
      <w:lvlText w:val="%5."/>
      <w:lvlJc w:val="left"/>
      <w:pPr>
        <w:ind w:left="3098" w:hanging="360"/>
      </w:pPr>
    </w:lvl>
    <w:lvl w:ilvl="5" w:tplc="240A001B" w:tentative="1">
      <w:start w:val="1"/>
      <w:numFmt w:val="lowerRoman"/>
      <w:lvlText w:val="%6."/>
      <w:lvlJc w:val="right"/>
      <w:pPr>
        <w:ind w:left="3818" w:hanging="180"/>
      </w:pPr>
    </w:lvl>
    <w:lvl w:ilvl="6" w:tplc="240A000F" w:tentative="1">
      <w:start w:val="1"/>
      <w:numFmt w:val="decimal"/>
      <w:lvlText w:val="%7."/>
      <w:lvlJc w:val="left"/>
      <w:pPr>
        <w:ind w:left="4538" w:hanging="360"/>
      </w:pPr>
    </w:lvl>
    <w:lvl w:ilvl="7" w:tplc="240A0019" w:tentative="1">
      <w:start w:val="1"/>
      <w:numFmt w:val="lowerLetter"/>
      <w:lvlText w:val="%8."/>
      <w:lvlJc w:val="left"/>
      <w:pPr>
        <w:ind w:left="5258" w:hanging="360"/>
      </w:pPr>
    </w:lvl>
    <w:lvl w:ilvl="8" w:tplc="240A001B" w:tentative="1">
      <w:start w:val="1"/>
      <w:numFmt w:val="lowerRoman"/>
      <w:lvlText w:val="%9."/>
      <w:lvlJc w:val="right"/>
      <w:pPr>
        <w:ind w:left="5978" w:hanging="180"/>
      </w:pPr>
    </w:lvl>
  </w:abstractNum>
  <w:abstractNum w:abstractNumId="26">
    <w:nsid w:val="684142E0"/>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7">
    <w:nsid w:val="6A7A0E04"/>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8">
    <w:nsid w:val="6CE27A40"/>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9">
    <w:nsid w:val="6FB65618"/>
    <w:multiLevelType w:val="hybridMultilevel"/>
    <w:tmpl w:val="6D749118"/>
    <w:lvl w:ilvl="0" w:tplc="76AC2FD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nsid w:val="73432BD8"/>
    <w:multiLevelType w:val="hybridMultilevel"/>
    <w:tmpl w:val="FFFCEB46"/>
    <w:lvl w:ilvl="0" w:tplc="6E4CF9B8">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CO"/>
        <w:specVanish w:val="0"/>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31">
    <w:nsid w:val="75D94929"/>
    <w:multiLevelType w:val="hybridMultilevel"/>
    <w:tmpl w:val="1AFEDEA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nsid w:val="779436B9"/>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33">
    <w:nsid w:val="7D3E74E3"/>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num w:numId="1">
    <w:abstractNumId w:val="30"/>
  </w:num>
  <w:num w:numId="2">
    <w:abstractNumId w:val="24"/>
  </w:num>
  <w:num w:numId="3">
    <w:abstractNumId w:val="0"/>
  </w:num>
  <w:num w:numId="4">
    <w:abstractNumId w:val="16"/>
  </w:num>
  <w:num w:numId="5">
    <w:abstractNumId w:val="9"/>
  </w:num>
  <w:num w:numId="6">
    <w:abstractNumId w:val="19"/>
  </w:num>
  <w:num w:numId="7">
    <w:abstractNumId w:val="8"/>
  </w:num>
  <w:num w:numId="8">
    <w:abstractNumId w:val="20"/>
  </w:num>
  <w:num w:numId="9">
    <w:abstractNumId w:val="32"/>
  </w:num>
  <w:num w:numId="10">
    <w:abstractNumId w:val="23"/>
  </w:num>
  <w:num w:numId="11">
    <w:abstractNumId w:val="15"/>
  </w:num>
  <w:num w:numId="12">
    <w:abstractNumId w:val="3"/>
  </w:num>
  <w:num w:numId="13">
    <w:abstractNumId w:val="10"/>
  </w:num>
  <w:num w:numId="14">
    <w:abstractNumId w:val="6"/>
  </w:num>
  <w:num w:numId="15">
    <w:abstractNumId w:val="2"/>
  </w:num>
  <w:num w:numId="16">
    <w:abstractNumId w:val="33"/>
  </w:num>
  <w:num w:numId="17">
    <w:abstractNumId w:val="26"/>
  </w:num>
  <w:num w:numId="18">
    <w:abstractNumId w:val="17"/>
  </w:num>
  <w:num w:numId="19">
    <w:abstractNumId w:val="13"/>
  </w:num>
  <w:num w:numId="20">
    <w:abstractNumId w:val="5"/>
  </w:num>
  <w:num w:numId="21">
    <w:abstractNumId w:val="7"/>
  </w:num>
  <w:num w:numId="22">
    <w:abstractNumId w:val="12"/>
  </w:num>
  <w:num w:numId="23">
    <w:abstractNumId w:val="21"/>
  </w:num>
  <w:num w:numId="24">
    <w:abstractNumId w:val="28"/>
  </w:num>
  <w:num w:numId="25">
    <w:abstractNumId w:val="1"/>
  </w:num>
  <w:num w:numId="26">
    <w:abstractNumId w:val="27"/>
  </w:num>
  <w:num w:numId="27">
    <w:abstractNumId w:val="22"/>
  </w:num>
  <w:num w:numId="28">
    <w:abstractNumId w:val="18"/>
  </w:num>
  <w:num w:numId="29">
    <w:abstractNumId w:val="11"/>
  </w:num>
  <w:num w:numId="30">
    <w:abstractNumId w:val="31"/>
  </w:num>
  <w:num w:numId="31">
    <w:abstractNumId w:val="29"/>
  </w:num>
  <w:num w:numId="32">
    <w:abstractNumId w:val="4"/>
  </w:num>
  <w:num w:numId="33">
    <w:abstractNumId w:val="25"/>
  </w:num>
  <w:num w:numId="34">
    <w:abstractNumId w:val="1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9"/>
  <w:hyphenationZone w:val="425"/>
  <w:drawingGridHorizontalSpacing w:val="120"/>
  <w:displayHorizontalDrawingGridEvery w:val="2"/>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850"/>
    <w:rsid w:val="00000CF9"/>
    <w:rsid w:val="00000FCB"/>
    <w:rsid w:val="0000183C"/>
    <w:rsid w:val="00001A61"/>
    <w:rsid w:val="000034E8"/>
    <w:rsid w:val="000037CF"/>
    <w:rsid w:val="00004D83"/>
    <w:rsid w:val="00006AE2"/>
    <w:rsid w:val="00006E06"/>
    <w:rsid w:val="00006F95"/>
    <w:rsid w:val="000076A1"/>
    <w:rsid w:val="00007F69"/>
    <w:rsid w:val="00010B1D"/>
    <w:rsid w:val="00012259"/>
    <w:rsid w:val="00013DEA"/>
    <w:rsid w:val="0001551B"/>
    <w:rsid w:val="00015752"/>
    <w:rsid w:val="00015C89"/>
    <w:rsid w:val="0001631E"/>
    <w:rsid w:val="00016A46"/>
    <w:rsid w:val="00017983"/>
    <w:rsid w:val="00023A14"/>
    <w:rsid w:val="000252D3"/>
    <w:rsid w:val="00025383"/>
    <w:rsid w:val="00025E09"/>
    <w:rsid w:val="00025F94"/>
    <w:rsid w:val="0003016E"/>
    <w:rsid w:val="00030595"/>
    <w:rsid w:val="00030C8A"/>
    <w:rsid w:val="00033795"/>
    <w:rsid w:val="00035268"/>
    <w:rsid w:val="00035CE1"/>
    <w:rsid w:val="00036072"/>
    <w:rsid w:val="00037BB4"/>
    <w:rsid w:val="00037F75"/>
    <w:rsid w:val="00043BFB"/>
    <w:rsid w:val="00044247"/>
    <w:rsid w:val="00044C64"/>
    <w:rsid w:val="0004566B"/>
    <w:rsid w:val="00046283"/>
    <w:rsid w:val="00046E7F"/>
    <w:rsid w:val="0004777C"/>
    <w:rsid w:val="00047D40"/>
    <w:rsid w:val="000500E1"/>
    <w:rsid w:val="00052267"/>
    <w:rsid w:val="00053EBD"/>
    <w:rsid w:val="0005424A"/>
    <w:rsid w:val="00054833"/>
    <w:rsid w:val="00054F7D"/>
    <w:rsid w:val="00055386"/>
    <w:rsid w:val="000572D1"/>
    <w:rsid w:val="000579E3"/>
    <w:rsid w:val="00057DD5"/>
    <w:rsid w:val="0006018C"/>
    <w:rsid w:val="00063657"/>
    <w:rsid w:val="00063E0C"/>
    <w:rsid w:val="00064B58"/>
    <w:rsid w:val="00065424"/>
    <w:rsid w:val="00065CA6"/>
    <w:rsid w:val="00066BCB"/>
    <w:rsid w:val="00067207"/>
    <w:rsid w:val="00067583"/>
    <w:rsid w:val="00067F10"/>
    <w:rsid w:val="0007035C"/>
    <w:rsid w:val="00071928"/>
    <w:rsid w:val="00074F03"/>
    <w:rsid w:val="0007624F"/>
    <w:rsid w:val="00076407"/>
    <w:rsid w:val="00076680"/>
    <w:rsid w:val="00076A1D"/>
    <w:rsid w:val="00077437"/>
    <w:rsid w:val="000804FD"/>
    <w:rsid w:val="0008073E"/>
    <w:rsid w:val="0008081B"/>
    <w:rsid w:val="00081ECC"/>
    <w:rsid w:val="000820DE"/>
    <w:rsid w:val="00082535"/>
    <w:rsid w:val="00082B44"/>
    <w:rsid w:val="00082BCD"/>
    <w:rsid w:val="0008407A"/>
    <w:rsid w:val="0008576E"/>
    <w:rsid w:val="00087095"/>
    <w:rsid w:val="00087591"/>
    <w:rsid w:val="00090F11"/>
    <w:rsid w:val="00091592"/>
    <w:rsid w:val="00091CDB"/>
    <w:rsid w:val="00091FFE"/>
    <w:rsid w:val="000924E9"/>
    <w:rsid w:val="00092660"/>
    <w:rsid w:val="0009270C"/>
    <w:rsid w:val="000928B4"/>
    <w:rsid w:val="000937B4"/>
    <w:rsid w:val="00096E65"/>
    <w:rsid w:val="0009746D"/>
    <w:rsid w:val="000A19AC"/>
    <w:rsid w:val="000A21C6"/>
    <w:rsid w:val="000A2253"/>
    <w:rsid w:val="000A2261"/>
    <w:rsid w:val="000A3461"/>
    <w:rsid w:val="000A3583"/>
    <w:rsid w:val="000A3BBE"/>
    <w:rsid w:val="000A4DC1"/>
    <w:rsid w:val="000A6122"/>
    <w:rsid w:val="000A61D3"/>
    <w:rsid w:val="000A734C"/>
    <w:rsid w:val="000A77BF"/>
    <w:rsid w:val="000A7BEE"/>
    <w:rsid w:val="000B0415"/>
    <w:rsid w:val="000B0674"/>
    <w:rsid w:val="000B082C"/>
    <w:rsid w:val="000B1E7A"/>
    <w:rsid w:val="000B2053"/>
    <w:rsid w:val="000B3169"/>
    <w:rsid w:val="000B6E6F"/>
    <w:rsid w:val="000C06F6"/>
    <w:rsid w:val="000C0F6A"/>
    <w:rsid w:val="000C2F8E"/>
    <w:rsid w:val="000C317C"/>
    <w:rsid w:val="000C34C1"/>
    <w:rsid w:val="000C3A94"/>
    <w:rsid w:val="000C4489"/>
    <w:rsid w:val="000C488E"/>
    <w:rsid w:val="000C5A83"/>
    <w:rsid w:val="000C6851"/>
    <w:rsid w:val="000C6FA5"/>
    <w:rsid w:val="000C7280"/>
    <w:rsid w:val="000C7621"/>
    <w:rsid w:val="000C76A4"/>
    <w:rsid w:val="000D1456"/>
    <w:rsid w:val="000D166D"/>
    <w:rsid w:val="000D26F8"/>
    <w:rsid w:val="000D2EF2"/>
    <w:rsid w:val="000D2FC3"/>
    <w:rsid w:val="000D3209"/>
    <w:rsid w:val="000D3633"/>
    <w:rsid w:val="000D44B7"/>
    <w:rsid w:val="000D45B1"/>
    <w:rsid w:val="000D52BA"/>
    <w:rsid w:val="000D5B92"/>
    <w:rsid w:val="000D63C3"/>
    <w:rsid w:val="000D70C6"/>
    <w:rsid w:val="000D77FA"/>
    <w:rsid w:val="000E008F"/>
    <w:rsid w:val="000E0A0E"/>
    <w:rsid w:val="000E0DA4"/>
    <w:rsid w:val="000E1B71"/>
    <w:rsid w:val="000E1DD8"/>
    <w:rsid w:val="000E28C9"/>
    <w:rsid w:val="000E47D5"/>
    <w:rsid w:val="000E4990"/>
    <w:rsid w:val="000E5806"/>
    <w:rsid w:val="000E78C7"/>
    <w:rsid w:val="000F1A7E"/>
    <w:rsid w:val="000F1E21"/>
    <w:rsid w:val="000F2EB3"/>
    <w:rsid w:val="000F40D6"/>
    <w:rsid w:val="000F706A"/>
    <w:rsid w:val="000F7938"/>
    <w:rsid w:val="00103232"/>
    <w:rsid w:val="0010373E"/>
    <w:rsid w:val="00104E62"/>
    <w:rsid w:val="00105093"/>
    <w:rsid w:val="0010546E"/>
    <w:rsid w:val="00106B1A"/>
    <w:rsid w:val="00107A62"/>
    <w:rsid w:val="0011064E"/>
    <w:rsid w:val="0011089E"/>
    <w:rsid w:val="00112B37"/>
    <w:rsid w:val="00114704"/>
    <w:rsid w:val="001148DF"/>
    <w:rsid w:val="001151F3"/>
    <w:rsid w:val="001159F1"/>
    <w:rsid w:val="00116126"/>
    <w:rsid w:val="00116BF8"/>
    <w:rsid w:val="00116C33"/>
    <w:rsid w:val="001170D2"/>
    <w:rsid w:val="00121211"/>
    <w:rsid w:val="0012269D"/>
    <w:rsid w:val="00123B5C"/>
    <w:rsid w:val="00124F81"/>
    <w:rsid w:val="00125218"/>
    <w:rsid w:val="00125731"/>
    <w:rsid w:val="00126382"/>
    <w:rsid w:val="00126C83"/>
    <w:rsid w:val="001324AB"/>
    <w:rsid w:val="001324B1"/>
    <w:rsid w:val="001354D9"/>
    <w:rsid w:val="00135CA0"/>
    <w:rsid w:val="00136108"/>
    <w:rsid w:val="00136D5A"/>
    <w:rsid w:val="00137A4C"/>
    <w:rsid w:val="001405C6"/>
    <w:rsid w:val="00140832"/>
    <w:rsid w:val="00141013"/>
    <w:rsid w:val="00141A71"/>
    <w:rsid w:val="00145B0F"/>
    <w:rsid w:val="00146CC4"/>
    <w:rsid w:val="001473CE"/>
    <w:rsid w:val="00147C22"/>
    <w:rsid w:val="00150D46"/>
    <w:rsid w:val="001549CA"/>
    <w:rsid w:val="00154D0F"/>
    <w:rsid w:val="001600D4"/>
    <w:rsid w:val="00160FB1"/>
    <w:rsid w:val="0016196C"/>
    <w:rsid w:val="00161F54"/>
    <w:rsid w:val="0016207A"/>
    <w:rsid w:val="00162362"/>
    <w:rsid w:val="00162D48"/>
    <w:rsid w:val="00163363"/>
    <w:rsid w:val="00163747"/>
    <w:rsid w:val="00163CB1"/>
    <w:rsid w:val="0016484E"/>
    <w:rsid w:val="0016562D"/>
    <w:rsid w:val="00167871"/>
    <w:rsid w:val="0017065F"/>
    <w:rsid w:val="0017302C"/>
    <w:rsid w:val="001731FA"/>
    <w:rsid w:val="001732D9"/>
    <w:rsid w:val="001733E9"/>
    <w:rsid w:val="0017392D"/>
    <w:rsid w:val="00173ADC"/>
    <w:rsid w:val="001743A6"/>
    <w:rsid w:val="00174DC5"/>
    <w:rsid w:val="00175E65"/>
    <w:rsid w:val="001776E2"/>
    <w:rsid w:val="00180432"/>
    <w:rsid w:val="00180DD5"/>
    <w:rsid w:val="00182B14"/>
    <w:rsid w:val="00183DA2"/>
    <w:rsid w:val="00184E7C"/>
    <w:rsid w:val="00185B11"/>
    <w:rsid w:val="00185C24"/>
    <w:rsid w:val="0018733B"/>
    <w:rsid w:val="00187C0F"/>
    <w:rsid w:val="0019085C"/>
    <w:rsid w:val="0019169B"/>
    <w:rsid w:val="0019256B"/>
    <w:rsid w:val="001927F6"/>
    <w:rsid w:val="00192CBF"/>
    <w:rsid w:val="00192FF1"/>
    <w:rsid w:val="00194044"/>
    <w:rsid w:val="001947F7"/>
    <w:rsid w:val="00194FD4"/>
    <w:rsid w:val="00195A39"/>
    <w:rsid w:val="0019740A"/>
    <w:rsid w:val="00197D44"/>
    <w:rsid w:val="001A1359"/>
    <w:rsid w:val="001A1AF4"/>
    <w:rsid w:val="001A3997"/>
    <w:rsid w:val="001A5B11"/>
    <w:rsid w:val="001A5F1B"/>
    <w:rsid w:val="001A7147"/>
    <w:rsid w:val="001A71EE"/>
    <w:rsid w:val="001A754C"/>
    <w:rsid w:val="001A7EE0"/>
    <w:rsid w:val="001B124E"/>
    <w:rsid w:val="001B1C22"/>
    <w:rsid w:val="001B31DC"/>
    <w:rsid w:val="001B32F6"/>
    <w:rsid w:val="001B34C6"/>
    <w:rsid w:val="001B45E5"/>
    <w:rsid w:val="001B7C29"/>
    <w:rsid w:val="001B7C41"/>
    <w:rsid w:val="001C0466"/>
    <w:rsid w:val="001C321E"/>
    <w:rsid w:val="001C333A"/>
    <w:rsid w:val="001C42E6"/>
    <w:rsid w:val="001C4452"/>
    <w:rsid w:val="001C534F"/>
    <w:rsid w:val="001C6764"/>
    <w:rsid w:val="001C6B76"/>
    <w:rsid w:val="001C6C45"/>
    <w:rsid w:val="001C7346"/>
    <w:rsid w:val="001C76D5"/>
    <w:rsid w:val="001D026A"/>
    <w:rsid w:val="001D0277"/>
    <w:rsid w:val="001D142C"/>
    <w:rsid w:val="001D1DBE"/>
    <w:rsid w:val="001D32FD"/>
    <w:rsid w:val="001D3786"/>
    <w:rsid w:val="001D3CE4"/>
    <w:rsid w:val="001D40AF"/>
    <w:rsid w:val="001D5629"/>
    <w:rsid w:val="001D5678"/>
    <w:rsid w:val="001D7832"/>
    <w:rsid w:val="001D7AA6"/>
    <w:rsid w:val="001E0967"/>
    <w:rsid w:val="001E2064"/>
    <w:rsid w:val="001E229D"/>
    <w:rsid w:val="001E4863"/>
    <w:rsid w:val="001E4CD1"/>
    <w:rsid w:val="001E4CE7"/>
    <w:rsid w:val="001E5BAA"/>
    <w:rsid w:val="001E644F"/>
    <w:rsid w:val="001E6826"/>
    <w:rsid w:val="001F0A15"/>
    <w:rsid w:val="001F0EB9"/>
    <w:rsid w:val="001F262B"/>
    <w:rsid w:val="001F3511"/>
    <w:rsid w:val="001F4930"/>
    <w:rsid w:val="001F5450"/>
    <w:rsid w:val="001F5941"/>
    <w:rsid w:val="001F733A"/>
    <w:rsid w:val="0020089E"/>
    <w:rsid w:val="00200A20"/>
    <w:rsid w:val="00200E30"/>
    <w:rsid w:val="00200EDD"/>
    <w:rsid w:val="00204634"/>
    <w:rsid w:val="00205253"/>
    <w:rsid w:val="0021000F"/>
    <w:rsid w:val="002109F1"/>
    <w:rsid w:val="00211D34"/>
    <w:rsid w:val="0021209C"/>
    <w:rsid w:val="002124A3"/>
    <w:rsid w:val="00212CEF"/>
    <w:rsid w:val="002138E4"/>
    <w:rsid w:val="00214116"/>
    <w:rsid w:val="0021438D"/>
    <w:rsid w:val="002145F3"/>
    <w:rsid w:val="002149EB"/>
    <w:rsid w:val="00214DAF"/>
    <w:rsid w:val="00214F04"/>
    <w:rsid w:val="00216F2F"/>
    <w:rsid w:val="002203BC"/>
    <w:rsid w:val="00220892"/>
    <w:rsid w:val="00220957"/>
    <w:rsid w:val="00220D15"/>
    <w:rsid w:val="002210A7"/>
    <w:rsid w:val="00221447"/>
    <w:rsid w:val="00221515"/>
    <w:rsid w:val="00221EEE"/>
    <w:rsid w:val="00222D03"/>
    <w:rsid w:val="00223247"/>
    <w:rsid w:val="0022583F"/>
    <w:rsid w:val="002318B6"/>
    <w:rsid w:val="002358B9"/>
    <w:rsid w:val="00235B05"/>
    <w:rsid w:val="00236264"/>
    <w:rsid w:val="00236C85"/>
    <w:rsid w:val="002375C3"/>
    <w:rsid w:val="00237650"/>
    <w:rsid w:val="00237D8B"/>
    <w:rsid w:val="00241CA1"/>
    <w:rsid w:val="00241D77"/>
    <w:rsid w:val="002425C3"/>
    <w:rsid w:val="00243C1C"/>
    <w:rsid w:val="002446FD"/>
    <w:rsid w:val="00244761"/>
    <w:rsid w:val="00244B7E"/>
    <w:rsid w:val="00244EA3"/>
    <w:rsid w:val="00245E18"/>
    <w:rsid w:val="002465C1"/>
    <w:rsid w:val="002510FC"/>
    <w:rsid w:val="00251C06"/>
    <w:rsid w:val="002536BB"/>
    <w:rsid w:val="00253985"/>
    <w:rsid w:val="00253E2B"/>
    <w:rsid w:val="00254057"/>
    <w:rsid w:val="002541A2"/>
    <w:rsid w:val="002542EF"/>
    <w:rsid w:val="002550A4"/>
    <w:rsid w:val="002557A1"/>
    <w:rsid w:val="002606E5"/>
    <w:rsid w:val="00260C6C"/>
    <w:rsid w:val="00260FA2"/>
    <w:rsid w:val="002615BC"/>
    <w:rsid w:val="00261A49"/>
    <w:rsid w:val="0026238B"/>
    <w:rsid w:val="00262E20"/>
    <w:rsid w:val="0026301C"/>
    <w:rsid w:val="00263A62"/>
    <w:rsid w:val="0026544D"/>
    <w:rsid w:val="00266696"/>
    <w:rsid w:val="00266CD6"/>
    <w:rsid w:val="00267F1F"/>
    <w:rsid w:val="002705BE"/>
    <w:rsid w:val="0027094B"/>
    <w:rsid w:val="00272E35"/>
    <w:rsid w:val="00274195"/>
    <w:rsid w:val="00274ABB"/>
    <w:rsid w:val="00275234"/>
    <w:rsid w:val="00275844"/>
    <w:rsid w:val="00275DAB"/>
    <w:rsid w:val="00277007"/>
    <w:rsid w:val="00280439"/>
    <w:rsid w:val="00280809"/>
    <w:rsid w:val="00280C5A"/>
    <w:rsid w:val="00280C96"/>
    <w:rsid w:val="00280D4B"/>
    <w:rsid w:val="00285AB7"/>
    <w:rsid w:val="00286C43"/>
    <w:rsid w:val="002870CA"/>
    <w:rsid w:val="0028750E"/>
    <w:rsid w:val="00287F5C"/>
    <w:rsid w:val="00290209"/>
    <w:rsid w:val="00290DF9"/>
    <w:rsid w:val="00291DC7"/>
    <w:rsid w:val="002927A1"/>
    <w:rsid w:val="0029542F"/>
    <w:rsid w:val="002A355B"/>
    <w:rsid w:val="002A677D"/>
    <w:rsid w:val="002A782A"/>
    <w:rsid w:val="002A7A47"/>
    <w:rsid w:val="002B1063"/>
    <w:rsid w:val="002B10AF"/>
    <w:rsid w:val="002B11E2"/>
    <w:rsid w:val="002B231D"/>
    <w:rsid w:val="002B24B8"/>
    <w:rsid w:val="002B272E"/>
    <w:rsid w:val="002B31C3"/>
    <w:rsid w:val="002B356B"/>
    <w:rsid w:val="002B4647"/>
    <w:rsid w:val="002B6178"/>
    <w:rsid w:val="002C12E1"/>
    <w:rsid w:val="002C1C94"/>
    <w:rsid w:val="002C1F64"/>
    <w:rsid w:val="002C2043"/>
    <w:rsid w:val="002C3ADF"/>
    <w:rsid w:val="002C41EA"/>
    <w:rsid w:val="002C4918"/>
    <w:rsid w:val="002C4C14"/>
    <w:rsid w:val="002C61FB"/>
    <w:rsid w:val="002C6D5B"/>
    <w:rsid w:val="002D14D6"/>
    <w:rsid w:val="002D2900"/>
    <w:rsid w:val="002D3936"/>
    <w:rsid w:val="002D3AE9"/>
    <w:rsid w:val="002D4510"/>
    <w:rsid w:val="002D5983"/>
    <w:rsid w:val="002D5F5F"/>
    <w:rsid w:val="002D694E"/>
    <w:rsid w:val="002D7417"/>
    <w:rsid w:val="002E0B6A"/>
    <w:rsid w:val="002E0D69"/>
    <w:rsid w:val="002E13D6"/>
    <w:rsid w:val="002E2200"/>
    <w:rsid w:val="002E3BE2"/>
    <w:rsid w:val="002E3F34"/>
    <w:rsid w:val="002E45FB"/>
    <w:rsid w:val="002E4A7B"/>
    <w:rsid w:val="002E52A2"/>
    <w:rsid w:val="002E7161"/>
    <w:rsid w:val="002E7392"/>
    <w:rsid w:val="002E7C97"/>
    <w:rsid w:val="002F0734"/>
    <w:rsid w:val="002F1C15"/>
    <w:rsid w:val="002F1F22"/>
    <w:rsid w:val="002F2230"/>
    <w:rsid w:val="002F2CAE"/>
    <w:rsid w:val="002F38C7"/>
    <w:rsid w:val="002F46E7"/>
    <w:rsid w:val="002F4B5A"/>
    <w:rsid w:val="002F598F"/>
    <w:rsid w:val="002F5DE0"/>
    <w:rsid w:val="002F69E2"/>
    <w:rsid w:val="002F6B2D"/>
    <w:rsid w:val="002F6FA4"/>
    <w:rsid w:val="003002CF"/>
    <w:rsid w:val="00300658"/>
    <w:rsid w:val="00303680"/>
    <w:rsid w:val="00303B0C"/>
    <w:rsid w:val="003050F2"/>
    <w:rsid w:val="00306892"/>
    <w:rsid w:val="0030740A"/>
    <w:rsid w:val="00307E78"/>
    <w:rsid w:val="003101DA"/>
    <w:rsid w:val="003104E6"/>
    <w:rsid w:val="003112F3"/>
    <w:rsid w:val="00311727"/>
    <w:rsid w:val="003140F6"/>
    <w:rsid w:val="00314757"/>
    <w:rsid w:val="00315CB2"/>
    <w:rsid w:val="00315D1E"/>
    <w:rsid w:val="00315D7A"/>
    <w:rsid w:val="00316494"/>
    <w:rsid w:val="003167A7"/>
    <w:rsid w:val="0031689F"/>
    <w:rsid w:val="0031692B"/>
    <w:rsid w:val="003172F2"/>
    <w:rsid w:val="00317AAB"/>
    <w:rsid w:val="00321005"/>
    <w:rsid w:val="003211CE"/>
    <w:rsid w:val="00321514"/>
    <w:rsid w:val="00321A5C"/>
    <w:rsid w:val="003225CF"/>
    <w:rsid w:val="00322725"/>
    <w:rsid w:val="00325DC9"/>
    <w:rsid w:val="00326EC9"/>
    <w:rsid w:val="003277CA"/>
    <w:rsid w:val="00330664"/>
    <w:rsid w:val="00330F48"/>
    <w:rsid w:val="00330FC7"/>
    <w:rsid w:val="00331519"/>
    <w:rsid w:val="00331776"/>
    <w:rsid w:val="00332889"/>
    <w:rsid w:val="003339A3"/>
    <w:rsid w:val="0033586A"/>
    <w:rsid w:val="00336511"/>
    <w:rsid w:val="003368B9"/>
    <w:rsid w:val="00340036"/>
    <w:rsid w:val="003405EE"/>
    <w:rsid w:val="00341A85"/>
    <w:rsid w:val="0034339A"/>
    <w:rsid w:val="00343AAF"/>
    <w:rsid w:val="00344A2D"/>
    <w:rsid w:val="003457B0"/>
    <w:rsid w:val="003458C2"/>
    <w:rsid w:val="003458D5"/>
    <w:rsid w:val="00345F9C"/>
    <w:rsid w:val="0034634C"/>
    <w:rsid w:val="00346ACD"/>
    <w:rsid w:val="003510EA"/>
    <w:rsid w:val="0035131F"/>
    <w:rsid w:val="003514BA"/>
    <w:rsid w:val="003522D8"/>
    <w:rsid w:val="003532CD"/>
    <w:rsid w:val="0035403A"/>
    <w:rsid w:val="00354CB2"/>
    <w:rsid w:val="00355BB8"/>
    <w:rsid w:val="00355CFA"/>
    <w:rsid w:val="00355F9C"/>
    <w:rsid w:val="003567D1"/>
    <w:rsid w:val="00356A4F"/>
    <w:rsid w:val="00360266"/>
    <w:rsid w:val="003615C0"/>
    <w:rsid w:val="0036296C"/>
    <w:rsid w:val="0036394B"/>
    <w:rsid w:val="00363FEF"/>
    <w:rsid w:val="00365054"/>
    <w:rsid w:val="00366163"/>
    <w:rsid w:val="003662EC"/>
    <w:rsid w:val="003666DE"/>
    <w:rsid w:val="00367EDD"/>
    <w:rsid w:val="0037046B"/>
    <w:rsid w:val="003709B5"/>
    <w:rsid w:val="00371444"/>
    <w:rsid w:val="00371FF1"/>
    <w:rsid w:val="00372B00"/>
    <w:rsid w:val="00373972"/>
    <w:rsid w:val="00374459"/>
    <w:rsid w:val="003759C2"/>
    <w:rsid w:val="00377FBE"/>
    <w:rsid w:val="00380469"/>
    <w:rsid w:val="0038159C"/>
    <w:rsid w:val="00382819"/>
    <w:rsid w:val="00383743"/>
    <w:rsid w:val="00384598"/>
    <w:rsid w:val="00385074"/>
    <w:rsid w:val="00385747"/>
    <w:rsid w:val="00385B46"/>
    <w:rsid w:val="00386762"/>
    <w:rsid w:val="00386DCA"/>
    <w:rsid w:val="00390AA6"/>
    <w:rsid w:val="00391305"/>
    <w:rsid w:val="00391695"/>
    <w:rsid w:val="00391F2E"/>
    <w:rsid w:val="00392134"/>
    <w:rsid w:val="003921C5"/>
    <w:rsid w:val="00392839"/>
    <w:rsid w:val="003932A0"/>
    <w:rsid w:val="00394758"/>
    <w:rsid w:val="00395F15"/>
    <w:rsid w:val="0039633E"/>
    <w:rsid w:val="00397365"/>
    <w:rsid w:val="003A026A"/>
    <w:rsid w:val="003A0442"/>
    <w:rsid w:val="003A0A73"/>
    <w:rsid w:val="003A122D"/>
    <w:rsid w:val="003A2012"/>
    <w:rsid w:val="003A2364"/>
    <w:rsid w:val="003A2585"/>
    <w:rsid w:val="003A2ECD"/>
    <w:rsid w:val="003A31F6"/>
    <w:rsid w:val="003A433A"/>
    <w:rsid w:val="003A4A5A"/>
    <w:rsid w:val="003A6E0A"/>
    <w:rsid w:val="003B0249"/>
    <w:rsid w:val="003B0F4A"/>
    <w:rsid w:val="003B1F6F"/>
    <w:rsid w:val="003B42E3"/>
    <w:rsid w:val="003B59D6"/>
    <w:rsid w:val="003B5BC2"/>
    <w:rsid w:val="003B610A"/>
    <w:rsid w:val="003C0A0E"/>
    <w:rsid w:val="003C1345"/>
    <w:rsid w:val="003C2BEF"/>
    <w:rsid w:val="003C3447"/>
    <w:rsid w:val="003C4444"/>
    <w:rsid w:val="003C484E"/>
    <w:rsid w:val="003C7827"/>
    <w:rsid w:val="003C7F70"/>
    <w:rsid w:val="003D076C"/>
    <w:rsid w:val="003D0B4F"/>
    <w:rsid w:val="003D11F9"/>
    <w:rsid w:val="003D220A"/>
    <w:rsid w:val="003D23A3"/>
    <w:rsid w:val="003D3478"/>
    <w:rsid w:val="003D3B96"/>
    <w:rsid w:val="003D5179"/>
    <w:rsid w:val="003D73DE"/>
    <w:rsid w:val="003D7C1A"/>
    <w:rsid w:val="003E03A5"/>
    <w:rsid w:val="003E368A"/>
    <w:rsid w:val="003E3723"/>
    <w:rsid w:val="003E609F"/>
    <w:rsid w:val="003E6C86"/>
    <w:rsid w:val="003E70E0"/>
    <w:rsid w:val="003E78B5"/>
    <w:rsid w:val="003F2C68"/>
    <w:rsid w:val="003F42F5"/>
    <w:rsid w:val="003F47D3"/>
    <w:rsid w:val="003F537E"/>
    <w:rsid w:val="003F5F69"/>
    <w:rsid w:val="003F67F8"/>
    <w:rsid w:val="003F6C56"/>
    <w:rsid w:val="003F6CB9"/>
    <w:rsid w:val="003F6D82"/>
    <w:rsid w:val="003F759E"/>
    <w:rsid w:val="00401931"/>
    <w:rsid w:val="004021C1"/>
    <w:rsid w:val="004030B3"/>
    <w:rsid w:val="0040453C"/>
    <w:rsid w:val="00404AD5"/>
    <w:rsid w:val="00406786"/>
    <w:rsid w:val="0040689E"/>
    <w:rsid w:val="004104BA"/>
    <w:rsid w:val="0041140D"/>
    <w:rsid w:val="00411EB4"/>
    <w:rsid w:val="00412818"/>
    <w:rsid w:val="00412A46"/>
    <w:rsid w:val="00412C33"/>
    <w:rsid w:val="00413231"/>
    <w:rsid w:val="004137A7"/>
    <w:rsid w:val="00415BAB"/>
    <w:rsid w:val="00415ED2"/>
    <w:rsid w:val="004161D2"/>
    <w:rsid w:val="0041726A"/>
    <w:rsid w:val="0041751A"/>
    <w:rsid w:val="004177BD"/>
    <w:rsid w:val="0042068C"/>
    <w:rsid w:val="0042108D"/>
    <w:rsid w:val="004219C2"/>
    <w:rsid w:val="00423178"/>
    <w:rsid w:val="004232B6"/>
    <w:rsid w:val="00424B00"/>
    <w:rsid w:val="00425439"/>
    <w:rsid w:val="00425B71"/>
    <w:rsid w:val="004265AD"/>
    <w:rsid w:val="00430421"/>
    <w:rsid w:val="00430F5F"/>
    <w:rsid w:val="00432929"/>
    <w:rsid w:val="004340D7"/>
    <w:rsid w:val="004346F8"/>
    <w:rsid w:val="00434814"/>
    <w:rsid w:val="00434F58"/>
    <w:rsid w:val="0043597F"/>
    <w:rsid w:val="0043700A"/>
    <w:rsid w:val="00437B6A"/>
    <w:rsid w:val="00437E09"/>
    <w:rsid w:val="00442775"/>
    <w:rsid w:val="00442B7B"/>
    <w:rsid w:val="00442F78"/>
    <w:rsid w:val="00443358"/>
    <w:rsid w:val="00443830"/>
    <w:rsid w:val="00443CCC"/>
    <w:rsid w:val="0044462D"/>
    <w:rsid w:val="0044478B"/>
    <w:rsid w:val="0044547A"/>
    <w:rsid w:val="004456B2"/>
    <w:rsid w:val="00445BC0"/>
    <w:rsid w:val="00446E47"/>
    <w:rsid w:val="00447904"/>
    <w:rsid w:val="00452703"/>
    <w:rsid w:val="004542CA"/>
    <w:rsid w:val="00454F05"/>
    <w:rsid w:val="004558D0"/>
    <w:rsid w:val="004574D4"/>
    <w:rsid w:val="00457EFA"/>
    <w:rsid w:val="00460B88"/>
    <w:rsid w:val="004623ED"/>
    <w:rsid w:val="00462CA2"/>
    <w:rsid w:val="00463F64"/>
    <w:rsid w:val="00464B25"/>
    <w:rsid w:val="00464F48"/>
    <w:rsid w:val="00465D4A"/>
    <w:rsid w:val="00466375"/>
    <w:rsid w:val="00467598"/>
    <w:rsid w:val="0047122B"/>
    <w:rsid w:val="0047177D"/>
    <w:rsid w:val="0047247B"/>
    <w:rsid w:val="00473AE4"/>
    <w:rsid w:val="00473B7A"/>
    <w:rsid w:val="004740A6"/>
    <w:rsid w:val="004747F8"/>
    <w:rsid w:val="00477940"/>
    <w:rsid w:val="00477FA8"/>
    <w:rsid w:val="004804DB"/>
    <w:rsid w:val="00483216"/>
    <w:rsid w:val="00483379"/>
    <w:rsid w:val="00483902"/>
    <w:rsid w:val="00486073"/>
    <w:rsid w:val="0048630F"/>
    <w:rsid w:val="004875EF"/>
    <w:rsid w:val="0048777E"/>
    <w:rsid w:val="004902C7"/>
    <w:rsid w:val="00490DEF"/>
    <w:rsid w:val="004912F0"/>
    <w:rsid w:val="00491CBB"/>
    <w:rsid w:val="00491E4D"/>
    <w:rsid w:val="004920DE"/>
    <w:rsid w:val="00493A87"/>
    <w:rsid w:val="00494A95"/>
    <w:rsid w:val="00494E3F"/>
    <w:rsid w:val="00495379"/>
    <w:rsid w:val="004960E9"/>
    <w:rsid w:val="00496414"/>
    <w:rsid w:val="004971D3"/>
    <w:rsid w:val="0049798C"/>
    <w:rsid w:val="004A0449"/>
    <w:rsid w:val="004A0A85"/>
    <w:rsid w:val="004A0DC6"/>
    <w:rsid w:val="004A0FD2"/>
    <w:rsid w:val="004A1269"/>
    <w:rsid w:val="004A17C1"/>
    <w:rsid w:val="004A2856"/>
    <w:rsid w:val="004A2D00"/>
    <w:rsid w:val="004A2E88"/>
    <w:rsid w:val="004A326A"/>
    <w:rsid w:val="004A33B8"/>
    <w:rsid w:val="004A4B23"/>
    <w:rsid w:val="004A51E0"/>
    <w:rsid w:val="004A5305"/>
    <w:rsid w:val="004A57FA"/>
    <w:rsid w:val="004B0FC4"/>
    <w:rsid w:val="004B1676"/>
    <w:rsid w:val="004B25B0"/>
    <w:rsid w:val="004B2EB0"/>
    <w:rsid w:val="004B47B2"/>
    <w:rsid w:val="004B5442"/>
    <w:rsid w:val="004B5F87"/>
    <w:rsid w:val="004B620E"/>
    <w:rsid w:val="004B7529"/>
    <w:rsid w:val="004C1D1A"/>
    <w:rsid w:val="004C2B06"/>
    <w:rsid w:val="004C2E60"/>
    <w:rsid w:val="004C3DBD"/>
    <w:rsid w:val="004C5987"/>
    <w:rsid w:val="004C7024"/>
    <w:rsid w:val="004D31B3"/>
    <w:rsid w:val="004D3EB6"/>
    <w:rsid w:val="004D49E3"/>
    <w:rsid w:val="004D4FB5"/>
    <w:rsid w:val="004D5600"/>
    <w:rsid w:val="004D7634"/>
    <w:rsid w:val="004E210A"/>
    <w:rsid w:val="004E21B3"/>
    <w:rsid w:val="004E2CC2"/>
    <w:rsid w:val="004E3275"/>
    <w:rsid w:val="004E4982"/>
    <w:rsid w:val="004E5893"/>
    <w:rsid w:val="004E5EDD"/>
    <w:rsid w:val="004E74C8"/>
    <w:rsid w:val="004E74DF"/>
    <w:rsid w:val="004F19FB"/>
    <w:rsid w:val="004F569D"/>
    <w:rsid w:val="004F5DD3"/>
    <w:rsid w:val="004F6419"/>
    <w:rsid w:val="004F68C4"/>
    <w:rsid w:val="00500A28"/>
    <w:rsid w:val="00501C96"/>
    <w:rsid w:val="0050269F"/>
    <w:rsid w:val="00503BA2"/>
    <w:rsid w:val="00504DE2"/>
    <w:rsid w:val="005056C1"/>
    <w:rsid w:val="00507C8B"/>
    <w:rsid w:val="00510831"/>
    <w:rsid w:val="005110AB"/>
    <w:rsid w:val="00511E92"/>
    <w:rsid w:val="005132E1"/>
    <w:rsid w:val="00513F86"/>
    <w:rsid w:val="0051435F"/>
    <w:rsid w:val="00515246"/>
    <w:rsid w:val="00515C6C"/>
    <w:rsid w:val="00515F11"/>
    <w:rsid w:val="0051737B"/>
    <w:rsid w:val="00517DBC"/>
    <w:rsid w:val="00517E73"/>
    <w:rsid w:val="005206E2"/>
    <w:rsid w:val="00521378"/>
    <w:rsid w:val="00522E32"/>
    <w:rsid w:val="005236DB"/>
    <w:rsid w:val="00524EFD"/>
    <w:rsid w:val="005276CE"/>
    <w:rsid w:val="005300B2"/>
    <w:rsid w:val="005300D3"/>
    <w:rsid w:val="00530569"/>
    <w:rsid w:val="005307C3"/>
    <w:rsid w:val="00530A8E"/>
    <w:rsid w:val="0053131E"/>
    <w:rsid w:val="00532FD2"/>
    <w:rsid w:val="00533B44"/>
    <w:rsid w:val="00533B5B"/>
    <w:rsid w:val="00535622"/>
    <w:rsid w:val="00535BE9"/>
    <w:rsid w:val="0053648C"/>
    <w:rsid w:val="005367E5"/>
    <w:rsid w:val="005371C5"/>
    <w:rsid w:val="00537674"/>
    <w:rsid w:val="00537735"/>
    <w:rsid w:val="0054060C"/>
    <w:rsid w:val="0054090B"/>
    <w:rsid w:val="00541222"/>
    <w:rsid w:val="00541724"/>
    <w:rsid w:val="00544019"/>
    <w:rsid w:val="00544F82"/>
    <w:rsid w:val="00545484"/>
    <w:rsid w:val="00546550"/>
    <w:rsid w:val="00547653"/>
    <w:rsid w:val="0055024D"/>
    <w:rsid w:val="005539CD"/>
    <w:rsid w:val="00554536"/>
    <w:rsid w:val="00554BC1"/>
    <w:rsid w:val="00554E0F"/>
    <w:rsid w:val="005575A4"/>
    <w:rsid w:val="005626E0"/>
    <w:rsid w:val="005638B0"/>
    <w:rsid w:val="00564527"/>
    <w:rsid w:val="005672F4"/>
    <w:rsid w:val="0057046A"/>
    <w:rsid w:val="0057063C"/>
    <w:rsid w:val="005745EF"/>
    <w:rsid w:val="0057472E"/>
    <w:rsid w:val="00574FB3"/>
    <w:rsid w:val="005758E2"/>
    <w:rsid w:val="00576862"/>
    <w:rsid w:val="00577EC1"/>
    <w:rsid w:val="00581C4D"/>
    <w:rsid w:val="005820C6"/>
    <w:rsid w:val="00582420"/>
    <w:rsid w:val="00582B8C"/>
    <w:rsid w:val="005841EE"/>
    <w:rsid w:val="00584F27"/>
    <w:rsid w:val="00586538"/>
    <w:rsid w:val="005879B0"/>
    <w:rsid w:val="00591425"/>
    <w:rsid w:val="0059207B"/>
    <w:rsid w:val="00592F45"/>
    <w:rsid w:val="0059314A"/>
    <w:rsid w:val="00593853"/>
    <w:rsid w:val="00593C4F"/>
    <w:rsid w:val="005946A8"/>
    <w:rsid w:val="005959BB"/>
    <w:rsid w:val="005966A9"/>
    <w:rsid w:val="005967AC"/>
    <w:rsid w:val="00596C97"/>
    <w:rsid w:val="005973CE"/>
    <w:rsid w:val="005A0536"/>
    <w:rsid w:val="005A158B"/>
    <w:rsid w:val="005A1AD2"/>
    <w:rsid w:val="005A2829"/>
    <w:rsid w:val="005A38F3"/>
    <w:rsid w:val="005A3B54"/>
    <w:rsid w:val="005A4114"/>
    <w:rsid w:val="005A4191"/>
    <w:rsid w:val="005A4407"/>
    <w:rsid w:val="005A59EF"/>
    <w:rsid w:val="005A5C18"/>
    <w:rsid w:val="005A5DD8"/>
    <w:rsid w:val="005A624E"/>
    <w:rsid w:val="005A7139"/>
    <w:rsid w:val="005A7891"/>
    <w:rsid w:val="005B0AEB"/>
    <w:rsid w:val="005B0E4C"/>
    <w:rsid w:val="005B2A18"/>
    <w:rsid w:val="005B2B95"/>
    <w:rsid w:val="005B3B6C"/>
    <w:rsid w:val="005B424B"/>
    <w:rsid w:val="005C0F04"/>
    <w:rsid w:val="005C14B4"/>
    <w:rsid w:val="005C2383"/>
    <w:rsid w:val="005C35D1"/>
    <w:rsid w:val="005C402A"/>
    <w:rsid w:val="005C4713"/>
    <w:rsid w:val="005C63A8"/>
    <w:rsid w:val="005D0DED"/>
    <w:rsid w:val="005D215E"/>
    <w:rsid w:val="005D3739"/>
    <w:rsid w:val="005D4A9B"/>
    <w:rsid w:val="005D51E4"/>
    <w:rsid w:val="005D539E"/>
    <w:rsid w:val="005D6910"/>
    <w:rsid w:val="005D790C"/>
    <w:rsid w:val="005D7D9B"/>
    <w:rsid w:val="005E189C"/>
    <w:rsid w:val="005E20A3"/>
    <w:rsid w:val="005E3CAA"/>
    <w:rsid w:val="005E438D"/>
    <w:rsid w:val="005E4D01"/>
    <w:rsid w:val="005E54E9"/>
    <w:rsid w:val="005E5705"/>
    <w:rsid w:val="005E654A"/>
    <w:rsid w:val="005E6D07"/>
    <w:rsid w:val="005E7111"/>
    <w:rsid w:val="005E7908"/>
    <w:rsid w:val="005E7991"/>
    <w:rsid w:val="005F1F82"/>
    <w:rsid w:val="005F26F3"/>
    <w:rsid w:val="005F3318"/>
    <w:rsid w:val="005F3710"/>
    <w:rsid w:val="005F562F"/>
    <w:rsid w:val="005F65B1"/>
    <w:rsid w:val="005F6F41"/>
    <w:rsid w:val="005F7A7E"/>
    <w:rsid w:val="00600176"/>
    <w:rsid w:val="006015FB"/>
    <w:rsid w:val="00602A51"/>
    <w:rsid w:val="00602D64"/>
    <w:rsid w:val="006038CC"/>
    <w:rsid w:val="00603AF2"/>
    <w:rsid w:val="006043B8"/>
    <w:rsid w:val="00604D50"/>
    <w:rsid w:val="0060659D"/>
    <w:rsid w:val="00606DB2"/>
    <w:rsid w:val="00606F6A"/>
    <w:rsid w:val="00610258"/>
    <w:rsid w:val="0061061E"/>
    <w:rsid w:val="006110B0"/>
    <w:rsid w:val="00611BAF"/>
    <w:rsid w:val="006132E4"/>
    <w:rsid w:val="006173C7"/>
    <w:rsid w:val="0061769C"/>
    <w:rsid w:val="006205BB"/>
    <w:rsid w:val="00621520"/>
    <w:rsid w:val="006218F4"/>
    <w:rsid w:val="00621A12"/>
    <w:rsid w:val="00621ABE"/>
    <w:rsid w:val="006229FA"/>
    <w:rsid w:val="0062342E"/>
    <w:rsid w:val="006235E2"/>
    <w:rsid w:val="00624952"/>
    <w:rsid w:val="00624C1E"/>
    <w:rsid w:val="00625B59"/>
    <w:rsid w:val="00625DC6"/>
    <w:rsid w:val="0063084B"/>
    <w:rsid w:val="00631181"/>
    <w:rsid w:val="006328E6"/>
    <w:rsid w:val="00632C3D"/>
    <w:rsid w:val="0063353C"/>
    <w:rsid w:val="00635A91"/>
    <w:rsid w:val="00636224"/>
    <w:rsid w:val="006363D0"/>
    <w:rsid w:val="006401EE"/>
    <w:rsid w:val="0064117E"/>
    <w:rsid w:val="0064391D"/>
    <w:rsid w:val="006444D4"/>
    <w:rsid w:val="00644D44"/>
    <w:rsid w:val="00645C15"/>
    <w:rsid w:val="00646040"/>
    <w:rsid w:val="006460B4"/>
    <w:rsid w:val="00646950"/>
    <w:rsid w:val="00647C1D"/>
    <w:rsid w:val="006500A8"/>
    <w:rsid w:val="00651821"/>
    <w:rsid w:val="00652548"/>
    <w:rsid w:val="00652DB2"/>
    <w:rsid w:val="0065393F"/>
    <w:rsid w:val="00653C26"/>
    <w:rsid w:val="00654117"/>
    <w:rsid w:val="00654384"/>
    <w:rsid w:val="00654B37"/>
    <w:rsid w:val="00654F3E"/>
    <w:rsid w:val="00654FC6"/>
    <w:rsid w:val="00655782"/>
    <w:rsid w:val="00656E22"/>
    <w:rsid w:val="00657695"/>
    <w:rsid w:val="00661234"/>
    <w:rsid w:val="0066454F"/>
    <w:rsid w:val="00666FC9"/>
    <w:rsid w:val="00667020"/>
    <w:rsid w:val="006675CD"/>
    <w:rsid w:val="00667F2A"/>
    <w:rsid w:val="006706EF"/>
    <w:rsid w:val="006725A2"/>
    <w:rsid w:val="00672A65"/>
    <w:rsid w:val="00672AA9"/>
    <w:rsid w:val="0067366A"/>
    <w:rsid w:val="00674C62"/>
    <w:rsid w:val="00674D4E"/>
    <w:rsid w:val="0067726F"/>
    <w:rsid w:val="00684C9E"/>
    <w:rsid w:val="00684D9B"/>
    <w:rsid w:val="006861EF"/>
    <w:rsid w:val="00686C91"/>
    <w:rsid w:val="006875CB"/>
    <w:rsid w:val="00690AC9"/>
    <w:rsid w:val="00690AFD"/>
    <w:rsid w:val="00690FA7"/>
    <w:rsid w:val="00691C0E"/>
    <w:rsid w:val="00691D21"/>
    <w:rsid w:val="00691EFE"/>
    <w:rsid w:val="00692D63"/>
    <w:rsid w:val="0069352A"/>
    <w:rsid w:val="00693EDB"/>
    <w:rsid w:val="00694885"/>
    <w:rsid w:val="00696592"/>
    <w:rsid w:val="00696CF4"/>
    <w:rsid w:val="006970CF"/>
    <w:rsid w:val="00697556"/>
    <w:rsid w:val="006A0671"/>
    <w:rsid w:val="006A14B5"/>
    <w:rsid w:val="006A2161"/>
    <w:rsid w:val="006A42F9"/>
    <w:rsid w:val="006A4DA4"/>
    <w:rsid w:val="006A5BD7"/>
    <w:rsid w:val="006A71B1"/>
    <w:rsid w:val="006A7392"/>
    <w:rsid w:val="006A79DE"/>
    <w:rsid w:val="006A7A16"/>
    <w:rsid w:val="006B12CB"/>
    <w:rsid w:val="006B23A9"/>
    <w:rsid w:val="006B2C70"/>
    <w:rsid w:val="006B2CA2"/>
    <w:rsid w:val="006B3540"/>
    <w:rsid w:val="006B438E"/>
    <w:rsid w:val="006B4647"/>
    <w:rsid w:val="006B481B"/>
    <w:rsid w:val="006B491B"/>
    <w:rsid w:val="006B4C2B"/>
    <w:rsid w:val="006B579F"/>
    <w:rsid w:val="006B6D47"/>
    <w:rsid w:val="006B7101"/>
    <w:rsid w:val="006C0ED5"/>
    <w:rsid w:val="006C4E7C"/>
    <w:rsid w:val="006C51CA"/>
    <w:rsid w:val="006C5AFE"/>
    <w:rsid w:val="006D0453"/>
    <w:rsid w:val="006D0550"/>
    <w:rsid w:val="006D0E7F"/>
    <w:rsid w:val="006D203D"/>
    <w:rsid w:val="006D2557"/>
    <w:rsid w:val="006D2817"/>
    <w:rsid w:val="006D4C16"/>
    <w:rsid w:val="006D643D"/>
    <w:rsid w:val="006D757F"/>
    <w:rsid w:val="006D7EF7"/>
    <w:rsid w:val="006E033E"/>
    <w:rsid w:val="006E22B6"/>
    <w:rsid w:val="006E24AF"/>
    <w:rsid w:val="006E3238"/>
    <w:rsid w:val="006E36D6"/>
    <w:rsid w:val="006E42CE"/>
    <w:rsid w:val="006F2052"/>
    <w:rsid w:val="006F2F91"/>
    <w:rsid w:val="006F509C"/>
    <w:rsid w:val="006F55A6"/>
    <w:rsid w:val="006F56A9"/>
    <w:rsid w:val="006F60E8"/>
    <w:rsid w:val="006F65EE"/>
    <w:rsid w:val="006F6D95"/>
    <w:rsid w:val="006F7B4F"/>
    <w:rsid w:val="006F7EA2"/>
    <w:rsid w:val="0070130A"/>
    <w:rsid w:val="0070131F"/>
    <w:rsid w:val="0070157F"/>
    <w:rsid w:val="00701F4A"/>
    <w:rsid w:val="00701FB5"/>
    <w:rsid w:val="00702CC9"/>
    <w:rsid w:val="00702DFD"/>
    <w:rsid w:val="00703123"/>
    <w:rsid w:val="0070524E"/>
    <w:rsid w:val="00706048"/>
    <w:rsid w:val="00706F13"/>
    <w:rsid w:val="00706FFA"/>
    <w:rsid w:val="007072E8"/>
    <w:rsid w:val="0071081E"/>
    <w:rsid w:val="00711C30"/>
    <w:rsid w:val="00711C67"/>
    <w:rsid w:val="00714EB2"/>
    <w:rsid w:val="0071552A"/>
    <w:rsid w:val="0071618D"/>
    <w:rsid w:val="0072154E"/>
    <w:rsid w:val="00722204"/>
    <w:rsid w:val="00722463"/>
    <w:rsid w:val="007234AF"/>
    <w:rsid w:val="00723806"/>
    <w:rsid w:val="007242D4"/>
    <w:rsid w:val="0072447A"/>
    <w:rsid w:val="00725A7F"/>
    <w:rsid w:val="00725FA4"/>
    <w:rsid w:val="00726EEB"/>
    <w:rsid w:val="0072749E"/>
    <w:rsid w:val="00730845"/>
    <w:rsid w:val="007313E8"/>
    <w:rsid w:val="00734856"/>
    <w:rsid w:val="007356C0"/>
    <w:rsid w:val="00736377"/>
    <w:rsid w:val="00736F10"/>
    <w:rsid w:val="00737268"/>
    <w:rsid w:val="00740446"/>
    <w:rsid w:val="00741712"/>
    <w:rsid w:val="00742030"/>
    <w:rsid w:val="0074250E"/>
    <w:rsid w:val="00743809"/>
    <w:rsid w:val="007438A9"/>
    <w:rsid w:val="0074491E"/>
    <w:rsid w:val="00745971"/>
    <w:rsid w:val="00746D28"/>
    <w:rsid w:val="00750B96"/>
    <w:rsid w:val="00751970"/>
    <w:rsid w:val="00751C17"/>
    <w:rsid w:val="00751E8F"/>
    <w:rsid w:val="00753C4B"/>
    <w:rsid w:val="007546D0"/>
    <w:rsid w:val="00754AE0"/>
    <w:rsid w:val="007552B9"/>
    <w:rsid w:val="00757341"/>
    <w:rsid w:val="00760160"/>
    <w:rsid w:val="007616CD"/>
    <w:rsid w:val="00761A28"/>
    <w:rsid w:val="00761D50"/>
    <w:rsid w:val="00761EDD"/>
    <w:rsid w:val="0076247A"/>
    <w:rsid w:val="007624BB"/>
    <w:rsid w:val="00762E7E"/>
    <w:rsid w:val="00763136"/>
    <w:rsid w:val="007636CA"/>
    <w:rsid w:val="00763E5B"/>
    <w:rsid w:val="00764FC5"/>
    <w:rsid w:val="007667A8"/>
    <w:rsid w:val="00770391"/>
    <w:rsid w:val="00770ED9"/>
    <w:rsid w:val="00772CB0"/>
    <w:rsid w:val="00772D54"/>
    <w:rsid w:val="00773386"/>
    <w:rsid w:val="00775609"/>
    <w:rsid w:val="00775964"/>
    <w:rsid w:val="00775C47"/>
    <w:rsid w:val="007765FE"/>
    <w:rsid w:val="00776775"/>
    <w:rsid w:val="00776BD0"/>
    <w:rsid w:val="007818F2"/>
    <w:rsid w:val="00782BA7"/>
    <w:rsid w:val="007838D1"/>
    <w:rsid w:val="00785D0B"/>
    <w:rsid w:val="00786458"/>
    <w:rsid w:val="00787219"/>
    <w:rsid w:val="00787FFA"/>
    <w:rsid w:val="00790034"/>
    <w:rsid w:val="0079027D"/>
    <w:rsid w:val="007905F7"/>
    <w:rsid w:val="0079070B"/>
    <w:rsid w:val="00792487"/>
    <w:rsid w:val="007951A8"/>
    <w:rsid w:val="00795BFB"/>
    <w:rsid w:val="007971FC"/>
    <w:rsid w:val="00797934"/>
    <w:rsid w:val="007A0CF3"/>
    <w:rsid w:val="007A10D6"/>
    <w:rsid w:val="007A299D"/>
    <w:rsid w:val="007A59A0"/>
    <w:rsid w:val="007A5A0A"/>
    <w:rsid w:val="007A5AEC"/>
    <w:rsid w:val="007A6139"/>
    <w:rsid w:val="007A6F7F"/>
    <w:rsid w:val="007B0989"/>
    <w:rsid w:val="007B2424"/>
    <w:rsid w:val="007B2760"/>
    <w:rsid w:val="007B361C"/>
    <w:rsid w:val="007B4F3D"/>
    <w:rsid w:val="007B5E9A"/>
    <w:rsid w:val="007B6A62"/>
    <w:rsid w:val="007B71A2"/>
    <w:rsid w:val="007B796D"/>
    <w:rsid w:val="007C0FAE"/>
    <w:rsid w:val="007C3D92"/>
    <w:rsid w:val="007C5866"/>
    <w:rsid w:val="007C6311"/>
    <w:rsid w:val="007D0F59"/>
    <w:rsid w:val="007D15B2"/>
    <w:rsid w:val="007D2144"/>
    <w:rsid w:val="007D29C2"/>
    <w:rsid w:val="007D2BF0"/>
    <w:rsid w:val="007D2E45"/>
    <w:rsid w:val="007D32FC"/>
    <w:rsid w:val="007D39F7"/>
    <w:rsid w:val="007D400B"/>
    <w:rsid w:val="007D5B60"/>
    <w:rsid w:val="007D793F"/>
    <w:rsid w:val="007E015A"/>
    <w:rsid w:val="007E13C5"/>
    <w:rsid w:val="007E2E1B"/>
    <w:rsid w:val="007E34CC"/>
    <w:rsid w:val="007E3914"/>
    <w:rsid w:val="007E4A18"/>
    <w:rsid w:val="007E4A19"/>
    <w:rsid w:val="007E6094"/>
    <w:rsid w:val="007E6E4C"/>
    <w:rsid w:val="007F03D7"/>
    <w:rsid w:val="007F0C9C"/>
    <w:rsid w:val="007F0D30"/>
    <w:rsid w:val="007F1029"/>
    <w:rsid w:val="007F1234"/>
    <w:rsid w:val="007F18A8"/>
    <w:rsid w:val="007F20DF"/>
    <w:rsid w:val="007F3306"/>
    <w:rsid w:val="007F4EDE"/>
    <w:rsid w:val="007F657D"/>
    <w:rsid w:val="007F7E38"/>
    <w:rsid w:val="0080016A"/>
    <w:rsid w:val="0080025F"/>
    <w:rsid w:val="00800BD9"/>
    <w:rsid w:val="00800E64"/>
    <w:rsid w:val="008024FC"/>
    <w:rsid w:val="0080425C"/>
    <w:rsid w:val="00805874"/>
    <w:rsid w:val="00806C01"/>
    <w:rsid w:val="0081041F"/>
    <w:rsid w:val="00810BE0"/>
    <w:rsid w:val="00813839"/>
    <w:rsid w:val="00813908"/>
    <w:rsid w:val="00813C04"/>
    <w:rsid w:val="008148CC"/>
    <w:rsid w:val="00814EE0"/>
    <w:rsid w:val="0081630D"/>
    <w:rsid w:val="00820794"/>
    <w:rsid w:val="008211A4"/>
    <w:rsid w:val="00821A08"/>
    <w:rsid w:val="00822BE6"/>
    <w:rsid w:val="00822D51"/>
    <w:rsid w:val="0082340B"/>
    <w:rsid w:val="0082417E"/>
    <w:rsid w:val="00827893"/>
    <w:rsid w:val="00830DFB"/>
    <w:rsid w:val="00831BF5"/>
    <w:rsid w:val="0083274D"/>
    <w:rsid w:val="008334AE"/>
    <w:rsid w:val="00835290"/>
    <w:rsid w:val="008364D5"/>
    <w:rsid w:val="00836609"/>
    <w:rsid w:val="00836977"/>
    <w:rsid w:val="00836AEB"/>
    <w:rsid w:val="00836C7B"/>
    <w:rsid w:val="0083734E"/>
    <w:rsid w:val="00840029"/>
    <w:rsid w:val="00841436"/>
    <w:rsid w:val="00844C07"/>
    <w:rsid w:val="00844F6E"/>
    <w:rsid w:val="00846011"/>
    <w:rsid w:val="00846EBD"/>
    <w:rsid w:val="0084730E"/>
    <w:rsid w:val="008479FF"/>
    <w:rsid w:val="00847B74"/>
    <w:rsid w:val="00851C34"/>
    <w:rsid w:val="00851FA6"/>
    <w:rsid w:val="0085317C"/>
    <w:rsid w:val="00853915"/>
    <w:rsid w:val="00854910"/>
    <w:rsid w:val="00854A95"/>
    <w:rsid w:val="00855971"/>
    <w:rsid w:val="008570D6"/>
    <w:rsid w:val="0086092D"/>
    <w:rsid w:val="00862C82"/>
    <w:rsid w:val="00863B7D"/>
    <w:rsid w:val="008657E9"/>
    <w:rsid w:val="00865C81"/>
    <w:rsid w:val="00865F1E"/>
    <w:rsid w:val="0087054E"/>
    <w:rsid w:val="0087071F"/>
    <w:rsid w:val="0087105D"/>
    <w:rsid w:val="00871127"/>
    <w:rsid w:val="00871381"/>
    <w:rsid w:val="00871538"/>
    <w:rsid w:val="008720ED"/>
    <w:rsid w:val="00872A86"/>
    <w:rsid w:val="00873150"/>
    <w:rsid w:val="00874ADA"/>
    <w:rsid w:val="00874E4A"/>
    <w:rsid w:val="0087657D"/>
    <w:rsid w:val="00876CC1"/>
    <w:rsid w:val="008803F3"/>
    <w:rsid w:val="008804F7"/>
    <w:rsid w:val="008807D5"/>
    <w:rsid w:val="00880832"/>
    <w:rsid w:val="008817DA"/>
    <w:rsid w:val="00881968"/>
    <w:rsid w:val="008820F2"/>
    <w:rsid w:val="00884344"/>
    <w:rsid w:val="008864AA"/>
    <w:rsid w:val="008864FF"/>
    <w:rsid w:val="00886EE1"/>
    <w:rsid w:val="0088727D"/>
    <w:rsid w:val="00892933"/>
    <w:rsid w:val="00892FBA"/>
    <w:rsid w:val="00892FE7"/>
    <w:rsid w:val="0089375B"/>
    <w:rsid w:val="00896DC1"/>
    <w:rsid w:val="00896FA9"/>
    <w:rsid w:val="008970D2"/>
    <w:rsid w:val="00897C0B"/>
    <w:rsid w:val="00897C75"/>
    <w:rsid w:val="008A0B31"/>
    <w:rsid w:val="008A0E92"/>
    <w:rsid w:val="008A3215"/>
    <w:rsid w:val="008A43AC"/>
    <w:rsid w:val="008A4F0C"/>
    <w:rsid w:val="008A58C5"/>
    <w:rsid w:val="008B016A"/>
    <w:rsid w:val="008B0C20"/>
    <w:rsid w:val="008B1543"/>
    <w:rsid w:val="008B1B22"/>
    <w:rsid w:val="008B2589"/>
    <w:rsid w:val="008B2885"/>
    <w:rsid w:val="008B370B"/>
    <w:rsid w:val="008B374A"/>
    <w:rsid w:val="008B385E"/>
    <w:rsid w:val="008B3B03"/>
    <w:rsid w:val="008B4844"/>
    <w:rsid w:val="008B49A0"/>
    <w:rsid w:val="008B4BAD"/>
    <w:rsid w:val="008B691E"/>
    <w:rsid w:val="008B79DB"/>
    <w:rsid w:val="008B7F2D"/>
    <w:rsid w:val="008C0852"/>
    <w:rsid w:val="008C1130"/>
    <w:rsid w:val="008C4BAE"/>
    <w:rsid w:val="008C571F"/>
    <w:rsid w:val="008C66ED"/>
    <w:rsid w:val="008C6C8F"/>
    <w:rsid w:val="008C7804"/>
    <w:rsid w:val="008D037A"/>
    <w:rsid w:val="008D09B3"/>
    <w:rsid w:val="008D18E6"/>
    <w:rsid w:val="008D1CA0"/>
    <w:rsid w:val="008D1F6B"/>
    <w:rsid w:val="008D2F15"/>
    <w:rsid w:val="008D31DE"/>
    <w:rsid w:val="008D34C6"/>
    <w:rsid w:val="008D4513"/>
    <w:rsid w:val="008D462E"/>
    <w:rsid w:val="008D4BCA"/>
    <w:rsid w:val="008D6A65"/>
    <w:rsid w:val="008D7A9B"/>
    <w:rsid w:val="008E1654"/>
    <w:rsid w:val="008E1C05"/>
    <w:rsid w:val="008E20F4"/>
    <w:rsid w:val="008E2F4A"/>
    <w:rsid w:val="008E64DD"/>
    <w:rsid w:val="008E70DD"/>
    <w:rsid w:val="008E76AC"/>
    <w:rsid w:val="008F057E"/>
    <w:rsid w:val="008F18D2"/>
    <w:rsid w:val="008F1B6C"/>
    <w:rsid w:val="008F209A"/>
    <w:rsid w:val="008F20FD"/>
    <w:rsid w:val="008F21F6"/>
    <w:rsid w:val="008F2823"/>
    <w:rsid w:val="008F3DE4"/>
    <w:rsid w:val="008F493C"/>
    <w:rsid w:val="008F4D05"/>
    <w:rsid w:val="008F52C3"/>
    <w:rsid w:val="008F53A4"/>
    <w:rsid w:val="008F59D8"/>
    <w:rsid w:val="008F6C16"/>
    <w:rsid w:val="008F7434"/>
    <w:rsid w:val="008F7F7E"/>
    <w:rsid w:val="009000A9"/>
    <w:rsid w:val="00900FAF"/>
    <w:rsid w:val="00901E63"/>
    <w:rsid w:val="009033FA"/>
    <w:rsid w:val="00903CE0"/>
    <w:rsid w:val="00903E1A"/>
    <w:rsid w:val="00904021"/>
    <w:rsid w:val="009042EB"/>
    <w:rsid w:val="0090471A"/>
    <w:rsid w:val="00904F1D"/>
    <w:rsid w:val="00905366"/>
    <w:rsid w:val="00906938"/>
    <w:rsid w:val="00906E99"/>
    <w:rsid w:val="009115EE"/>
    <w:rsid w:val="00912537"/>
    <w:rsid w:val="00912E33"/>
    <w:rsid w:val="009139A6"/>
    <w:rsid w:val="009148E0"/>
    <w:rsid w:val="009153B5"/>
    <w:rsid w:val="00915A63"/>
    <w:rsid w:val="00916365"/>
    <w:rsid w:val="009164EC"/>
    <w:rsid w:val="00916751"/>
    <w:rsid w:val="0091743C"/>
    <w:rsid w:val="00917A4B"/>
    <w:rsid w:val="009202E4"/>
    <w:rsid w:val="00920E83"/>
    <w:rsid w:val="00922328"/>
    <w:rsid w:val="00922A42"/>
    <w:rsid w:val="009253DC"/>
    <w:rsid w:val="0092653C"/>
    <w:rsid w:val="00926D0E"/>
    <w:rsid w:val="009306AF"/>
    <w:rsid w:val="00930A65"/>
    <w:rsid w:val="009311FB"/>
    <w:rsid w:val="009312B2"/>
    <w:rsid w:val="009317D5"/>
    <w:rsid w:val="0093195E"/>
    <w:rsid w:val="00931FC2"/>
    <w:rsid w:val="00935BDA"/>
    <w:rsid w:val="009369C1"/>
    <w:rsid w:val="00940779"/>
    <w:rsid w:val="0094240E"/>
    <w:rsid w:val="009424E6"/>
    <w:rsid w:val="00942862"/>
    <w:rsid w:val="0094293E"/>
    <w:rsid w:val="0094390A"/>
    <w:rsid w:val="00943A49"/>
    <w:rsid w:val="00943C28"/>
    <w:rsid w:val="009443B2"/>
    <w:rsid w:val="009451AE"/>
    <w:rsid w:val="00947A45"/>
    <w:rsid w:val="00947E01"/>
    <w:rsid w:val="009500B9"/>
    <w:rsid w:val="00951F79"/>
    <w:rsid w:val="00952DC9"/>
    <w:rsid w:val="00952E6F"/>
    <w:rsid w:val="00953D94"/>
    <w:rsid w:val="009548BF"/>
    <w:rsid w:val="009556A3"/>
    <w:rsid w:val="00955E1B"/>
    <w:rsid w:val="009608BF"/>
    <w:rsid w:val="009617BA"/>
    <w:rsid w:val="00961E52"/>
    <w:rsid w:val="00962F94"/>
    <w:rsid w:val="009630CB"/>
    <w:rsid w:val="00963AB5"/>
    <w:rsid w:val="00964837"/>
    <w:rsid w:val="00966AE3"/>
    <w:rsid w:val="00967714"/>
    <w:rsid w:val="00967818"/>
    <w:rsid w:val="00970AB5"/>
    <w:rsid w:val="00974AB5"/>
    <w:rsid w:val="00974CCA"/>
    <w:rsid w:val="00975304"/>
    <w:rsid w:val="00975668"/>
    <w:rsid w:val="00975FE2"/>
    <w:rsid w:val="009770B8"/>
    <w:rsid w:val="0097762F"/>
    <w:rsid w:val="00977B56"/>
    <w:rsid w:val="00982133"/>
    <w:rsid w:val="009838BB"/>
    <w:rsid w:val="009840B9"/>
    <w:rsid w:val="009849DF"/>
    <w:rsid w:val="009856DC"/>
    <w:rsid w:val="00985E0A"/>
    <w:rsid w:val="009868C9"/>
    <w:rsid w:val="00986914"/>
    <w:rsid w:val="0098706D"/>
    <w:rsid w:val="00987A78"/>
    <w:rsid w:val="009906B3"/>
    <w:rsid w:val="00991A8F"/>
    <w:rsid w:val="00993101"/>
    <w:rsid w:val="009935FB"/>
    <w:rsid w:val="0099455C"/>
    <w:rsid w:val="009962F5"/>
    <w:rsid w:val="009967EA"/>
    <w:rsid w:val="00996FBB"/>
    <w:rsid w:val="009A0BE3"/>
    <w:rsid w:val="009A118F"/>
    <w:rsid w:val="009A1546"/>
    <w:rsid w:val="009A40CB"/>
    <w:rsid w:val="009A4937"/>
    <w:rsid w:val="009A718C"/>
    <w:rsid w:val="009B0DB1"/>
    <w:rsid w:val="009B2AE1"/>
    <w:rsid w:val="009B2CD0"/>
    <w:rsid w:val="009B2E29"/>
    <w:rsid w:val="009B5BF0"/>
    <w:rsid w:val="009B7A1D"/>
    <w:rsid w:val="009C093F"/>
    <w:rsid w:val="009C1D00"/>
    <w:rsid w:val="009C1F98"/>
    <w:rsid w:val="009C29E0"/>
    <w:rsid w:val="009C2CDC"/>
    <w:rsid w:val="009C2FE7"/>
    <w:rsid w:val="009C39E9"/>
    <w:rsid w:val="009C4611"/>
    <w:rsid w:val="009C4E15"/>
    <w:rsid w:val="009C5638"/>
    <w:rsid w:val="009C6336"/>
    <w:rsid w:val="009C6D1B"/>
    <w:rsid w:val="009C726E"/>
    <w:rsid w:val="009C7377"/>
    <w:rsid w:val="009C7834"/>
    <w:rsid w:val="009C7C0A"/>
    <w:rsid w:val="009C7C72"/>
    <w:rsid w:val="009D228A"/>
    <w:rsid w:val="009D26E4"/>
    <w:rsid w:val="009D2CAD"/>
    <w:rsid w:val="009D3F90"/>
    <w:rsid w:val="009D53AA"/>
    <w:rsid w:val="009E01CC"/>
    <w:rsid w:val="009E040C"/>
    <w:rsid w:val="009E2358"/>
    <w:rsid w:val="009E2C2B"/>
    <w:rsid w:val="009E3519"/>
    <w:rsid w:val="009E5FE5"/>
    <w:rsid w:val="009E66DF"/>
    <w:rsid w:val="009E6F76"/>
    <w:rsid w:val="009E7833"/>
    <w:rsid w:val="009F00F4"/>
    <w:rsid w:val="009F03EC"/>
    <w:rsid w:val="009F0EA9"/>
    <w:rsid w:val="009F1067"/>
    <w:rsid w:val="009F2008"/>
    <w:rsid w:val="009F27EF"/>
    <w:rsid w:val="009F3502"/>
    <w:rsid w:val="009F4A54"/>
    <w:rsid w:val="009F4BEC"/>
    <w:rsid w:val="009F4F9A"/>
    <w:rsid w:val="009F575B"/>
    <w:rsid w:val="009F5E1A"/>
    <w:rsid w:val="009F629E"/>
    <w:rsid w:val="00A00412"/>
    <w:rsid w:val="00A035D1"/>
    <w:rsid w:val="00A0383E"/>
    <w:rsid w:val="00A03E5C"/>
    <w:rsid w:val="00A04891"/>
    <w:rsid w:val="00A05E91"/>
    <w:rsid w:val="00A06524"/>
    <w:rsid w:val="00A0773B"/>
    <w:rsid w:val="00A10266"/>
    <w:rsid w:val="00A1092F"/>
    <w:rsid w:val="00A1129E"/>
    <w:rsid w:val="00A12BEB"/>
    <w:rsid w:val="00A16111"/>
    <w:rsid w:val="00A169CF"/>
    <w:rsid w:val="00A22055"/>
    <w:rsid w:val="00A253A8"/>
    <w:rsid w:val="00A25FD7"/>
    <w:rsid w:val="00A271CB"/>
    <w:rsid w:val="00A27E9B"/>
    <w:rsid w:val="00A30253"/>
    <w:rsid w:val="00A303C8"/>
    <w:rsid w:val="00A31C48"/>
    <w:rsid w:val="00A32F10"/>
    <w:rsid w:val="00A33A56"/>
    <w:rsid w:val="00A351C4"/>
    <w:rsid w:val="00A3581D"/>
    <w:rsid w:val="00A361EC"/>
    <w:rsid w:val="00A36D39"/>
    <w:rsid w:val="00A377D8"/>
    <w:rsid w:val="00A4385A"/>
    <w:rsid w:val="00A43AFF"/>
    <w:rsid w:val="00A44AEF"/>
    <w:rsid w:val="00A44F76"/>
    <w:rsid w:val="00A46251"/>
    <w:rsid w:val="00A508EB"/>
    <w:rsid w:val="00A54264"/>
    <w:rsid w:val="00A56BB3"/>
    <w:rsid w:val="00A5745F"/>
    <w:rsid w:val="00A60AF5"/>
    <w:rsid w:val="00A62E4D"/>
    <w:rsid w:val="00A631F2"/>
    <w:rsid w:val="00A63753"/>
    <w:rsid w:val="00A63850"/>
    <w:rsid w:val="00A656DE"/>
    <w:rsid w:val="00A65EA2"/>
    <w:rsid w:val="00A65FC4"/>
    <w:rsid w:val="00A6732D"/>
    <w:rsid w:val="00A7005F"/>
    <w:rsid w:val="00A70302"/>
    <w:rsid w:val="00A70A1B"/>
    <w:rsid w:val="00A70ED0"/>
    <w:rsid w:val="00A712C5"/>
    <w:rsid w:val="00A71ACE"/>
    <w:rsid w:val="00A72250"/>
    <w:rsid w:val="00A743FA"/>
    <w:rsid w:val="00A74774"/>
    <w:rsid w:val="00A75927"/>
    <w:rsid w:val="00A76208"/>
    <w:rsid w:val="00A76EA1"/>
    <w:rsid w:val="00A77088"/>
    <w:rsid w:val="00A77273"/>
    <w:rsid w:val="00A7793A"/>
    <w:rsid w:val="00A77FB0"/>
    <w:rsid w:val="00A838A1"/>
    <w:rsid w:val="00A8433E"/>
    <w:rsid w:val="00A84444"/>
    <w:rsid w:val="00A84A77"/>
    <w:rsid w:val="00A8593A"/>
    <w:rsid w:val="00A86003"/>
    <w:rsid w:val="00A873D0"/>
    <w:rsid w:val="00A87DB4"/>
    <w:rsid w:val="00A9028D"/>
    <w:rsid w:val="00A909B9"/>
    <w:rsid w:val="00A91068"/>
    <w:rsid w:val="00A91462"/>
    <w:rsid w:val="00A918EB"/>
    <w:rsid w:val="00A94166"/>
    <w:rsid w:val="00A94392"/>
    <w:rsid w:val="00A94D54"/>
    <w:rsid w:val="00A963D2"/>
    <w:rsid w:val="00AA0A5C"/>
    <w:rsid w:val="00AA1657"/>
    <w:rsid w:val="00AA1F72"/>
    <w:rsid w:val="00AA2E87"/>
    <w:rsid w:val="00AA36FA"/>
    <w:rsid w:val="00AA4CC7"/>
    <w:rsid w:val="00AA555B"/>
    <w:rsid w:val="00AA5B59"/>
    <w:rsid w:val="00AA5BDF"/>
    <w:rsid w:val="00AA5E8E"/>
    <w:rsid w:val="00AA6264"/>
    <w:rsid w:val="00AA678B"/>
    <w:rsid w:val="00AB07C8"/>
    <w:rsid w:val="00AB103D"/>
    <w:rsid w:val="00AB6147"/>
    <w:rsid w:val="00AB6CA7"/>
    <w:rsid w:val="00AB6CE4"/>
    <w:rsid w:val="00AB7666"/>
    <w:rsid w:val="00AC2065"/>
    <w:rsid w:val="00AC2827"/>
    <w:rsid w:val="00AC2CDE"/>
    <w:rsid w:val="00AC3500"/>
    <w:rsid w:val="00AC4338"/>
    <w:rsid w:val="00AC5633"/>
    <w:rsid w:val="00AC756E"/>
    <w:rsid w:val="00AC7C41"/>
    <w:rsid w:val="00AD01E4"/>
    <w:rsid w:val="00AD0858"/>
    <w:rsid w:val="00AD0CBB"/>
    <w:rsid w:val="00AD0D6E"/>
    <w:rsid w:val="00AD1077"/>
    <w:rsid w:val="00AD14A1"/>
    <w:rsid w:val="00AD17DB"/>
    <w:rsid w:val="00AD1A5B"/>
    <w:rsid w:val="00AD4E76"/>
    <w:rsid w:val="00AD4F16"/>
    <w:rsid w:val="00AD50FF"/>
    <w:rsid w:val="00AD6AEC"/>
    <w:rsid w:val="00AD7DE6"/>
    <w:rsid w:val="00AE0FB8"/>
    <w:rsid w:val="00AE1487"/>
    <w:rsid w:val="00AE1FDC"/>
    <w:rsid w:val="00AE33EC"/>
    <w:rsid w:val="00AE6237"/>
    <w:rsid w:val="00AE6E4A"/>
    <w:rsid w:val="00AE71B0"/>
    <w:rsid w:val="00AE7340"/>
    <w:rsid w:val="00AF15E2"/>
    <w:rsid w:val="00AF1B7C"/>
    <w:rsid w:val="00AF1BBD"/>
    <w:rsid w:val="00AF3067"/>
    <w:rsid w:val="00AF4340"/>
    <w:rsid w:val="00B00376"/>
    <w:rsid w:val="00B006A8"/>
    <w:rsid w:val="00B00BF0"/>
    <w:rsid w:val="00B00EAC"/>
    <w:rsid w:val="00B0289C"/>
    <w:rsid w:val="00B0295C"/>
    <w:rsid w:val="00B04E55"/>
    <w:rsid w:val="00B05BEA"/>
    <w:rsid w:val="00B06798"/>
    <w:rsid w:val="00B07649"/>
    <w:rsid w:val="00B07E5C"/>
    <w:rsid w:val="00B07E93"/>
    <w:rsid w:val="00B10207"/>
    <w:rsid w:val="00B107E0"/>
    <w:rsid w:val="00B10CE6"/>
    <w:rsid w:val="00B10DCE"/>
    <w:rsid w:val="00B11CE0"/>
    <w:rsid w:val="00B141E7"/>
    <w:rsid w:val="00B150B9"/>
    <w:rsid w:val="00B1579A"/>
    <w:rsid w:val="00B21DAA"/>
    <w:rsid w:val="00B24F4D"/>
    <w:rsid w:val="00B32E54"/>
    <w:rsid w:val="00B33AEF"/>
    <w:rsid w:val="00B351B4"/>
    <w:rsid w:val="00B3577F"/>
    <w:rsid w:val="00B362BF"/>
    <w:rsid w:val="00B36D51"/>
    <w:rsid w:val="00B37429"/>
    <w:rsid w:val="00B379EB"/>
    <w:rsid w:val="00B420A5"/>
    <w:rsid w:val="00B4395A"/>
    <w:rsid w:val="00B4418C"/>
    <w:rsid w:val="00B45095"/>
    <w:rsid w:val="00B467FA"/>
    <w:rsid w:val="00B468A3"/>
    <w:rsid w:val="00B46BCA"/>
    <w:rsid w:val="00B50591"/>
    <w:rsid w:val="00B510DE"/>
    <w:rsid w:val="00B51F50"/>
    <w:rsid w:val="00B52B6B"/>
    <w:rsid w:val="00B52E04"/>
    <w:rsid w:val="00B558BB"/>
    <w:rsid w:val="00B56507"/>
    <w:rsid w:val="00B572A0"/>
    <w:rsid w:val="00B579BE"/>
    <w:rsid w:val="00B61182"/>
    <w:rsid w:val="00B6175D"/>
    <w:rsid w:val="00B64135"/>
    <w:rsid w:val="00B65917"/>
    <w:rsid w:val="00B661C6"/>
    <w:rsid w:val="00B67D38"/>
    <w:rsid w:val="00B7004F"/>
    <w:rsid w:val="00B70231"/>
    <w:rsid w:val="00B72B46"/>
    <w:rsid w:val="00B73524"/>
    <w:rsid w:val="00B7387A"/>
    <w:rsid w:val="00B74422"/>
    <w:rsid w:val="00B744B4"/>
    <w:rsid w:val="00B74C9B"/>
    <w:rsid w:val="00B7731B"/>
    <w:rsid w:val="00B80A7F"/>
    <w:rsid w:val="00B8164C"/>
    <w:rsid w:val="00B82452"/>
    <w:rsid w:val="00B837CE"/>
    <w:rsid w:val="00B84135"/>
    <w:rsid w:val="00B86736"/>
    <w:rsid w:val="00B87266"/>
    <w:rsid w:val="00B87806"/>
    <w:rsid w:val="00B87BC1"/>
    <w:rsid w:val="00B87EC9"/>
    <w:rsid w:val="00B9156A"/>
    <w:rsid w:val="00B9176F"/>
    <w:rsid w:val="00B92352"/>
    <w:rsid w:val="00B93CCC"/>
    <w:rsid w:val="00B94475"/>
    <w:rsid w:val="00B94A56"/>
    <w:rsid w:val="00B94A92"/>
    <w:rsid w:val="00B94D02"/>
    <w:rsid w:val="00B94F9D"/>
    <w:rsid w:val="00B955E9"/>
    <w:rsid w:val="00B96A5E"/>
    <w:rsid w:val="00B970F9"/>
    <w:rsid w:val="00B97C0E"/>
    <w:rsid w:val="00B97F91"/>
    <w:rsid w:val="00B97FD3"/>
    <w:rsid w:val="00BA06FD"/>
    <w:rsid w:val="00BA1CF6"/>
    <w:rsid w:val="00BA657B"/>
    <w:rsid w:val="00BA6B17"/>
    <w:rsid w:val="00BB07F3"/>
    <w:rsid w:val="00BB0D0D"/>
    <w:rsid w:val="00BB1775"/>
    <w:rsid w:val="00BB2AF2"/>
    <w:rsid w:val="00BC1012"/>
    <w:rsid w:val="00BC38FD"/>
    <w:rsid w:val="00BC42B7"/>
    <w:rsid w:val="00BC5C8E"/>
    <w:rsid w:val="00BC789D"/>
    <w:rsid w:val="00BD10CF"/>
    <w:rsid w:val="00BD17B8"/>
    <w:rsid w:val="00BD2615"/>
    <w:rsid w:val="00BD368F"/>
    <w:rsid w:val="00BD5E99"/>
    <w:rsid w:val="00BD692E"/>
    <w:rsid w:val="00BD736A"/>
    <w:rsid w:val="00BE10E0"/>
    <w:rsid w:val="00BE1884"/>
    <w:rsid w:val="00BE2258"/>
    <w:rsid w:val="00BE22ED"/>
    <w:rsid w:val="00BE312F"/>
    <w:rsid w:val="00BE3F19"/>
    <w:rsid w:val="00BE5F03"/>
    <w:rsid w:val="00BF1BA3"/>
    <w:rsid w:val="00BF1CC0"/>
    <w:rsid w:val="00BF413D"/>
    <w:rsid w:val="00BF47E9"/>
    <w:rsid w:val="00BF4A84"/>
    <w:rsid w:val="00BF4AF3"/>
    <w:rsid w:val="00BF4CA5"/>
    <w:rsid w:val="00BF4E81"/>
    <w:rsid w:val="00BF5537"/>
    <w:rsid w:val="00BF691B"/>
    <w:rsid w:val="00BF7154"/>
    <w:rsid w:val="00BF7A6A"/>
    <w:rsid w:val="00C005D9"/>
    <w:rsid w:val="00C01296"/>
    <w:rsid w:val="00C0176C"/>
    <w:rsid w:val="00C01A8E"/>
    <w:rsid w:val="00C02E99"/>
    <w:rsid w:val="00C034CB"/>
    <w:rsid w:val="00C05140"/>
    <w:rsid w:val="00C051A8"/>
    <w:rsid w:val="00C05360"/>
    <w:rsid w:val="00C054BC"/>
    <w:rsid w:val="00C067D9"/>
    <w:rsid w:val="00C068B4"/>
    <w:rsid w:val="00C072D4"/>
    <w:rsid w:val="00C104A6"/>
    <w:rsid w:val="00C10580"/>
    <w:rsid w:val="00C10AEA"/>
    <w:rsid w:val="00C114C5"/>
    <w:rsid w:val="00C12451"/>
    <w:rsid w:val="00C13329"/>
    <w:rsid w:val="00C14081"/>
    <w:rsid w:val="00C15AD7"/>
    <w:rsid w:val="00C17185"/>
    <w:rsid w:val="00C17208"/>
    <w:rsid w:val="00C17897"/>
    <w:rsid w:val="00C20575"/>
    <w:rsid w:val="00C24F09"/>
    <w:rsid w:val="00C25325"/>
    <w:rsid w:val="00C25425"/>
    <w:rsid w:val="00C255BD"/>
    <w:rsid w:val="00C30416"/>
    <w:rsid w:val="00C320BC"/>
    <w:rsid w:val="00C328B9"/>
    <w:rsid w:val="00C3321F"/>
    <w:rsid w:val="00C335F6"/>
    <w:rsid w:val="00C340A7"/>
    <w:rsid w:val="00C3532F"/>
    <w:rsid w:val="00C35531"/>
    <w:rsid w:val="00C35FD7"/>
    <w:rsid w:val="00C36437"/>
    <w:rsid w:val="00C36AC7"/>
    <w:rsid w:val="00C409D5"/>
    <w:rsid w:val="00C42308"/>
    <w:rsid w:val="00C43538"/>
    <w:rsid w:val="00C435C3"/>
    <w:rsid w:val="00C43E46"/>
    <w:rsid w:val="00C4564A"/>
    <w:rsid w:val="00C45C07"/>
    <w:rsid w:val="00C461F9"/>
    <w:rsid w:val="00C46D70"/>
    <w:rsid w:val="00C47AAC"/>
    <w:rsid w:val="00C47E68"/>
    <w:rsid w:val="00C503C9"/>
    <w:rsid w:val="00C505AE"/>
    <w:rsid w:val="00C50C61"/>
    <w:rsid w:val="00C50CB6"/>
    <w:rsid w:val="00C511A0"/>
    <w:rsid w:val="00C529A0"/>
    <w:rsid w:val="00C53ACA"/>
    <w:rsid w:val="00C5513B"/>
    <w:rsid w:val="00C56C13"/>
    <w:rsid w:val="00C57329"/>
    <w:rsid w:val="00C57545"/>
    <w:rsid w:val="00C61B39"/>
    <w:rsid w:val="00C621EA"/>
    <w:rsid w:val="00C6234B"/>
    <w:rsid w:val="00C623F9"/>
    <w:rsid w:val="00C63295"/>
    <w:rsid w:val="00C63EAE"/>
    <w:rsid w:val="00C64A05"/>
    <w:rsid w:val="00C64EBD"/>
    <w:rsid w:val="00C65BC7"/>
    <w:rsid w:val="00C66288"/>
    <w:rsid w:val="00C669A5"/>
    <w:rsid w:val="00C671B3"/>
    <w:rsid w:val="00C67449"/>
    <w:rsid w:val="00C70CED"/>
    <w:rsid w:val="00C7177D"/>
    <w:rsid w:val="00C71918"/>
    <w:rsid w:val="00C722B7"/>
    <w:rsid w:val="00C738B6"/>
    <w:rsid w:val="00C74BCD"/>
    <w:rsid w:val="00C74CD6"/>
    <w:rsid w:val="00C756B3"/>
    <w:rsid w:val="00C7593E"/>
    <w:rsid w:val="00C75964"/>
    <w:rsid w:val="00C75DB5"/>
    <w:rsid w:val="00C7629F"/>
    <w:rsid w:val="00C76C96"/>
    <w:rsid w:val="00C7740C"/>
    <w:rsid w:val="00C77B4F"/>
    <w:rsid w:val="00C77E93"/>
    <w:rsid w:val="00C80EC1"/>
    <w:rsid w:val="00C834FD"/>
    <w:rsid w:val="00C856C4"/>
    <w:rsid w:val="00C857FB"/>
    <w:rsid w:val="00C865D4"/>
    <w:rsid w:val="00C8661B"/>
    <w:rsid w:val="00C878A7"/>
    <w:rsid w:val="00C900C6"/>
    <w:rsid w:val="00C9275E"/>
    <w:rsid w:val="00C9430C"/>
    <w:rsid w:val="00C966FA"/>
    <w:rsid w:val="00CA0C9B"/>
    <w:rsid w:val="00CA139A"/>
    <w:rsid w:val="00CA256C"/>
    <w:rsid w:val="00CA2899"/>
    <w:rsid w:val="00CA3A3D"/>
    <w:rsid w:val="00CA3A49"/>
    <w:rsid w:val="00CA3CBA"/>
    <w:rsid w:val="00CA3D0F"/>
    <w:rsid w:val="00CA4AD9"/>
    <w:rsid w:val="00CA572E"/>
    <w:rsid w:val="00CA58B9"/>
    <w:rsid w:val="00CA5EF6"/>
    <w:rsid w:val="00CA6E86"/>
    <w:rsid w:val="00CA70C6"/>
    <w:rsid w:val="00CA77FB"/>
    <w:rsid w:val="00CB0726"/>
    <w:rsid w:val="00CB090E"/>
    <w:rsid w:val="00CB1869"/>
    <w:rsid w:val="00CB1903"/>
    <w:rsid w:val="00CB2566"/>
    <w:rsid w:val="00CB2692"/>
    <w:rsid w:val="00CB2BDB"/>
    <w:rsid w:val="00CB2C9C"/>
    <w:rsid w:val="00CB379B"/>
    <w:rsid w:val="00CB5964"/>
    <w:rsid w:val="00CB5DD0"/>
    <w:rsid w:val="00CB680C"/>
    <w:rsid w:val="00CB6B77"/>
    <w:rsid w:val="00CB6E0E"/>
    <w:rsid w:val="00CB73DF"/>
    <w:rsid w:val="00CC2747"/>
    <w:rsid w:val="00CC31F9"/>
    <w:rsid w:val="00CC457E"/>
    <w:rsid w:val="00CC497B"/>
    <w:rsid w:val="00CC51D4"/>
    <w:rsid w:val="00CC5275"/>
    <w:rsid w:val="00CC598E"/>
    <w:rsid w:val="00CC5CE1"/>
    <w:rsid w:val="00CC6296"/>
    <w:rsid w:val="00CC65DA"/>
    <w:rsid w:val="00CC6DF7"/>
    <w:rsid w:val="00CC735A"/>
    <w:rsid w:val="00CD16F9"/>
    <w:rsid w:val="00CD1C22"/>
    <w:rsid w:val="00CD237A"/>
    <w:rsid w:val="00CD3417"/>
    <w:rsid w:val="00CD36CE"/>
    <w:rsid w:val="00CD403F"/>
    <w:rsid w:val="00CD449F"/>
    <w:rsid w:val="00CD5508"/>
    <w:rsid w:val="00CD5DB7"/>
    <w:rsid w:val="00CD5F81"/>
    <w:rsid w:val="00CD6E3D"/>
    <w:rsid w:val="00CD7C1A"/>
    <w:rsid w:val="00CE11D2"/>
    <w:rsid w:val="00CE2499"/>
    <w:rsid w:val="00CE40A5"/>
    <w:rsid w:val="00CE4778"/>
    <w:rsid w:val="00CE4F14"/>
    <w:rsid w:val="00CE5BA5"/>
    <w:rsid w:val="00CE60AC"/>
    <w:rsid w:val="00CE6AA8"/>
    <w:rsid w:val="00CF006B"/>
    <w:rsid w:val="00CF0C8D"/>
    <w:rsid w:val="00CF0D12"/>
    <w:rsid w:val="00CF0FA6"/>
    <w:rsid w:val="00CF1707"/>
    <w:rsid w:val="00CF1CB1"/>
    <w:rsid w:val="00CF21B9"/>
    <w:rsid w:val="00CF2F4F"/>
    <w:rsid w:val="00CF37F6"/>
    <w:rsid w:val="00CF4843"/>
    <w:rsid w:val="00CF5E27"/>
    <w:rsid w:val="00CF6BF9"/>
    <w:rsid w:val="00D0106E"/>
    <w:rsid w:val="00D03800"/>
    <w:rsid w:val="00D0404E"/>
    <w:rsid w:val="00D041E4"/>
    <w:rsid w:val="00D050C7"/>
    <w:rsid w:val="00D05197"/>
    <w:rsid w:val="00D06264"/>
    <w:rsid w:val="00D065D3"/>
    <w:rsid w:val="00D10A6F"/>
    <w:rsid w:val="00D10EB1"/>
    <w:rsid w:val="00D117B2"/>
    <w:rsid w:val="00D13F0F"/>
    <w:rsid w:val="00D14249"/>
    <w:rsid w:val="00D14C94"/>
    <w:rsid w:val="00D150D8"/>
    <w:rsid w:val="00D15B8D"/>
    <w:rsid w:val="00D17099"/>
    <w:rsid w:val="00D20EBA"/>
    <w:rsid w:val="00D21AA4"/>
    <w:rsid w:val="00D224D3"/>
    <w:rsid w:val="00D23CEA"/>
    <w:rsid w:val="00D26388"/>
    <w:rsid w:val="00D267C4"/>
    <w:rsid w:val="00D30136"/>
    <w:rsid w:val="00D312DE"/>
    <w:rsid w:val="00D31ACF"/>
    <w:rsid w:val="00D31CDE"/>
    <w:rsid w:val="00D31E37"/>
    <w:rsid w:val="00D330CC"/>
    <w:rsid w:val="00D330DB"/>
    <w:rsid w:val="00D33FEE"/>
    <w:rsid w:val="00D342A6"/>
    <w:rsid w:val="00D34465"/>
    <w:rsid w:val="00D349AB"/>
    <w:rsid w:val="00D34B67"/>
    <w:rsid w:val="00D352C5"/>
    <w:rsid w:val="00D36E76"/>
    <w:rsid w:val="00D3759C"/>
    <w:rsid w:val="00D37CBB"/>
    <w:rsid w:val="00D40739"/>
    <w:rsid w:val="00D40804"/>
    <w:rsid w:val="00D418EA"/>
    <w:rsid w:val="00D435DF"/>
    <w:rsid w:val="00D4363E"/>
    <w:rsid w:val="00D45783"/>
    <w:rsid w:val="00D464BF"/>
    <w:rsid w:val="00D47B51"/>
    <w:rsid w:val="00D47F76"/>
    <w:rsid w:val="00D50480"/>
    <w:rsid w:val="00D50999"/>
    <w:rsid w:val="00D5176D"/>
    <w:rsid w:val="00D524A1"/>
    <w:rsid w:val="00D52C8C"/>
    <w:rsid w:val="00D538BA"/>
    <w:rsid w:val="00D53E26"/>
    <w:rsid w:val="00D56179"/>
    <w:rsid w:val="00D56E81"/>
    <w:rsid w:val="00D57BB1"/>
    <w:rsid w:val="00D57C3F"/>
    <w:rsid w:val="00D60731"/>
    <w:rsid w:val="00D60852"/>
    <w:rsid w:val="00D60BB1"/>
    <w:rsid w:val="00D6109E"/>
    <w:rsid w:val="00D62287"/>
    <w:rsid w:val="00D628EA"/>
    <w:rsid w:val="00D62AC6"/>
    <w:rsid w:val="00D631A6"/>
    <w:rsid w:val="00D63932"/>
    <w:rsid w:val="00D63F85"/>
    <w:rsid w:val="00D6623E"/>
    <w:rsid w:val="00D665AD"/>
    <w:rsid w:val="00D67482"/>
    <w:rsid w:val="00D678A0"/>
    <w:rsid w:val="00D67E4F"/>
    <w:rsid w:val="00D7178C"/>
    <w:rsid w:val="00D727AA"/>
    <w:rsid w:val="00D7393B"/>
    <w:rsid w:val="00D73A17"/>
    <w:rsid w:val="00D74FEF"/>
    <w:rsid w:val="00D76739"/>
    <w:rsid w:val="00D771CC"/>
    <w:rsid w:val="00D775D8"/>
    <w:rsid w:val="00D777B8"/>
    <w:rsid w:val="00D77923"/>
    <w:rsid w:val="00D77FA6"/>
    <w:rsid w:val="00D8105C"/>
    <w:rsid w:val="00D85ED7"/>
    <w:rsid w:val="00D86518"/>
    <w:rsid w:val="00D86DCD"/>
    <w:rsid w:val="00D90648"/>
    <w:rsid w:val="00D9070A"/>
    <w:rsid w:val="00D914DE"/>
    <w:rsid w:val="00D9368D"/>
    <w:rsid w:val="00D93788"/>
    <w:rsid w:val="00D969CA"/>
    <w:rsid w:val="00D96E4B"/>
    <w:rsid w:val="00D979BA"/>
    <w:rsid w:val="00DA051D"/>
    <w:rsid w:val="00DA2C4C"/>
    <w:rsid w:val="00DA3295"/>
    <w:rsid w:val="00DA3A60"/>
    <w:rsid w:val="00DA3F6D"/>
    <w:rsid w:val="00DA4157"/>
    <w:rsid w:val="00DA4359"/>
    <w:rsid w:val="00DA466C"/>
    <w:rsid w:val="00DA4DD7"/>
    <w:rsid w:val="00DA52BD"/>
    <w:rsid w:val="00DB065C"/>
    <w:rsid w:val="00DB41A2"/>
    <w:rsid w:val="00DB4B10"/>
    <w:rsid w:val="00DB612E"/>
    <w:rsid w:val="00DB6789"/>
    <w:rsid w:val="00DB73EC"/>
    <w:rsid w:val="00DC1438"/>
    <w:rsid w:val="00DC180F"/>
    <w:rsid w:val="00DC2181"/>
    <w:rsid w:val="00DC353F"/>
    <w:rsid w:val="00DC364A"/>
    <w:rsid w:val="00DC383C"/>
    <w:rsid w:val="00DC5C29"/>
    <w:rsid w:val="00DC62F7"/>
    <w:rsid w:val="00DC6B5C"/>
    <w:rsid w:val="00DD13E0"/>
    <w:rsid w:val="00DD1471"/>
    <w:rsid w:val="00DD359D"/>
    <w:rsid w:val="00DD3BC4"/>
    <w:rsid w:val="00DD486D"/>
    <w:rsid w:val="00DD4BFF"/>
    <w:rsid w:val="00DD4C3C"/>
    <w:rsid w:val="00DD4F0E"/>
    <w:rsid w:val="00DD6D1E"/>
    <w:rsid w:val="00DE037D"/>
    <w:rsid w:val="00DE054E"/>
    <w:rsid w:val="00DE07E0"/>
    <w:rsid w:val="00DE596A"/>
    <w:rsid w:val="00DF04E3"/>
    <w:rsid w:val="00DF05F1"/>
    <w:rsid w:val="00DF0BF0"/>
    <w:rsid w:val="00DF1B36"/>
    <w:rsid w:val="00DF1FED"/>
    <w:rsid w:val="00DF22C2"/>
    <w:rsid w:val="00DF27EA"/>
    <w:rsid w:val="00DF378F"/>
    <w:rsid w:val="00DF39E6"/>
    <w:rsid w:val="00DF5684"/>
    <w:rsid w:val="00DF5FAD"/>
    <w:rsid w:val="00DF6033"/>
    <w:rsid w:val="00E00A9E"/>
    <w:rsid w:val="00E00C50"/>
    <w:rsid w:val="00E00EBD"/>
    <w:rsid w:val="00E01408"/>
    <w:rsid w:val="00E01F0B"/>
    <w:rsid w:val="00E027AA"/>
    <w:rsid w:val="00E036D9"/>
    <w:rsid w:val="00E03F73"/>
    <w:rsid w:val="00E0402C"/>
    <w:rsid w:val="00E05B53"/>
    <w:rsid w:val="00E05E0A"/>
    <w:rsid w:val="00E05FB4"/>
    <w:rsid w:val="00E0680F"/>
    <w:rsid w:val="00E119DD"/>
    <w:rsid w:val="00E12083"/>
    <w:rsid w:val="00E12E35"/>
    <w:rsid w:val="00E13B60"/>
    <w:rsid w:val="00E15284"/>
    <w:rsid w:val="00E15FD8"/>
    <w:rsid w:val="00E164E4"/>
    <w:rsid w:val="00E17B31"/>
    <w:rsid w:val="00E2018B"/>
    <w:rsid w:val="00E20BDC"/>
    <w:rsid w:val="00E21EBB"/>
    <w:rsid w:val="00E221A2"/>
    <w:rsid w:val="00E22328"/>
    <w:rsid w:val="00E238B4"/>
    <w:rsid w:val="00E23BEE"/>
    <w:rsid w:val="00E3085D"/>
    <w:rsid w:val="00E31305"/>
    <w:rsid w:val="00E32E51"/>
    <w:rsid w:val="00E3507C"/>
    <w:rsid w:val="00E35D5A"/>
    <w:rsid w:val="00E40F00"/>
    <w:rsid w:val="00E41ADE"/>
    <w:rsid w:val="00E41C43"/>
    <w:rsid w:val="00E42B55"/>
    <w:rsid w:val="00E42CB6"/>
    <w:rsid w:val="00E43DFB"/>
    <w:rsid w:val="00E447F8"/>
    <w:rsid w:val="00E4644E"/>
    <w:rsid w:val="00E467DC"/>
    <w:rsid w:val="00E479F5"/>
    <w:rsid w:val="00E507B9"/>
    <w:rsid w:val="00E511C1"/>
    <w:rsid w:val="00E516BB"/>
    <w:rsid w:val="00E534CF"/>
    <w:rsid w:val="00E53B82"/>
    <w:rsid w:val="00E53C15"/>
    <w:rsid w:val="00E55041"/>
    <w:rsid w:val="00E562AA"/>
    <w:rsid w:val="00E563FA"/>
    <w:rsid w:val="00E57D92"/>
    <w:rsid w:val="00E618AC"/>
    <w:rsid w:val="00E6234C"/>
    <w:rsid w:val="00E63061"/>
    <w:rsid w:val="00E635AC"/>
    <w:rsid w:val="00E637F6"/>
    <w:rsid w:val="00E63CB9"/>
    <w:rsid w:val="00E66C3E"/>
    <w:rsid w:val="00E711DB"/>
    <w:rsid w:val="00E71E5C"/>
    <w:rsid w:val="00E71EB4"/>
    <w:rsid w:val="00E7258C"/>
    <w:rsid w:val="00E728C6"/>
    <w:rsid w:val="00E72F46"/>
    <w:rsid w:val="00E73114"/>
    <w:rsid w:val="00E73633"/>
    <w:rsid w:val="00E7424A"/>
    <w:rsid w:val="00E74844"/>
    <w:rsid w:val="00E7509E"/>
    <w:rsid w:val="00E75220"/>
    <w:rsid w:val="00E7538E"/>
    <w:rsid w:val="00E75463"/>
    <w:rsid w:val="00E76CDC"/>
    <w:rsid w:val="00E80927"/>
    <w:rsid w:val="00E81CB4"/>
    <w:rsid w:val="00E83B86"/>
    <w:rsid w:val="00E851AD"/>
    <w:rsid w:val="00E85679"/>
    <w:rsid w:val="00E8585B"/>
    <w:rsid w:val="00E85E59"/>
    <w:rsid w:val="00E915CA"/>
    <w:rsid w:val="00E91880"/>
    <w:rsid w:val="00E9264A"/>
    <w:rsid w:val="00E93A08"/>
    <w:rsid w:val="00E93EB3"/>
    <w:rsid w:val="00E95C1F"/>
    <w:rsid w:val="00E95F5C"/>
    <w:rsid w:val="00E96874"/>
    <w:rsid w:val="00E97CB0"/>
    <w:rsid w:val="00EA0E44"/>
    <w:rsid w:val="00EA12C2"/>
    <w:rsid w:val="00EA30EB"/>
    <w:rsid w:val="00EA372B"/>
    <w:rsid w:val="00EA3F15"/>
    <w:rsid w:val="00EA3F81"/>
    <w:rsid w:val="00EA464D"/>
    <w:rsid w:val="00EA4DDB"/>
    <w:rsid w:val="00EA5FBC"/>
    <w:rsid w:val="00EA6384"/>
    <w:rsid w:val="00EA6385"/>
    <w:rsid w:val="00EA7847"/>
    <w:rsid w:val="00EA7FB7"/>
    <w:rsid w:val="00EB0F2E"/>
    <w:rsid w:val="00EB180D"/>
    <w:rsid w:val="00EB2359"/>
    <w:rsid w:val="00EB2884"/>
    <w:rsid w:val="00EB2F1D"/>
    <w:rsid w:val="00EB449D"/>
    <w:rsid w:val="00EB5904"/>
    <w:rsid w:val="00EB623F"/>
    <w:rsid w:val="00EB6B3E"/>
    <w:rsid w:val="00EB6EC3"/>
    <w:rsid w:val="00EB7237"/>
    <w:rsid w:val="00EC0893"/>
    <w:rsid w:val="00EC0D38"/>
    <w:rsid w:val="00EC2796"/>
    <w:rsid w:val="00EC3714"/>
    <w:rsid w:val="00EC4B96"/>
    <w:rsid w:val="00EC7775"/>
    <w:rsid w:val="00ED1181"/>
    <w:rsid w:val="00ED1ABF"/>
    <w:rsid w:val="00ED1DFF"/>
    <w:rsid w:val="00ED2A1C"/>
    <w:rsid w:val="00ED4147"/>
    <w:rsid w:val="00ED45AC"/>
    <w:rsid w:val="00ED4874"/>
    <w:rsid w:val="00ED68C4"/>
    <w:rsid w:val="00EE014D"/>
    <w:rsid w:val="00EE0E6E"/>
    <w:rsid w:val="00EE1002"/>
    <w:rsid w:val="00EE2E6D"/>
    <w:rsid w:val="00EE2E6E"/>
    <w:rsid w:val="00EE2F3A"/>
    <w:rsid w:val="00EE3B42"/>
    <w:rsid w:val="00EE3EA2"/>
    <w:rsid w:val="00EE3F32"/>
    <w:rsid w:val="00EE5298"/>
    <w:rsid w:val="00EE5994"/>
    <w:rsid w:val="00EE5AB7"/>
    <w:rsid w:val="00EE5CB9"/>
    <w:rsid w:val="00EE5F7D"/>
    <w:rsid w:val="00EE64A6"/>
    <w:rsid w:val="00EE6C8A"/>
    <w:rsid w:val="00EE71CE"/>
    <w:rsid w:val="00EE7335"/>
    <w:rsid w:val="00EE7AC9"/>
    <w:rsid w:val="00EE7BF4"/>
    <w:rsid w:val="00EE7DD3"/>
    <w:rsid w:val="00EF00C3"/>
    <w:rsid w:val="00EF0E52"/>
    <w:rsid w:val="00EF2031"/>
    <w:rsid w:val="00EF2A9E"/>
    <w:rsid w:val="00EF2BFF"/>
    <w:rsid w:val="00EF3038"/>
    <w:rsid w:val="00EF32C0"/>
    <w:rsid w:val="00EF3921"/>
    <w:rsid w:val="00EF486A"/>
    <w:rsid w:val="00EF4B93"/>
    <w:rsid w:val="00EF63CE"/>
    <w:rsid w:val="00EF6D4B"/>
    <w:rsid w:val="00EF7019"/>
    <w:rsid w:val="00EF773E"/>
    <w:rsid w:val="00EF785A"/>
    <w:rsid w:val="00F01068"/>
    <w:rsid w:val="00F01806"/>
    <w:rsid w:val="00F01B61"/>
    <w:rsid w:val="00F044EB"/>
    <w:rsid w:val="00F0501D"/>
    <w:rsid w:val="00F0631F"/>
    <w:rsid w:val="00F066E9"/>
    <w:rsid w:val="00F0759E"/>
    <w:rsid w:val="00F07E4D"/>
    <w:rsid w:val="00F10157"/>
    <w:rsid w:val="00F10644"/>
    <w:rsid w:val="00F10B17"/>
    <w:rsid w:val="00F13554"/>
    <w:rsid w:val="00F13B94"/>
    <w:rsid w:val="00F13EB6"/>
    <w:rsid w:val="00F14C6D"/>
    <w:rsid w:val="00F158EE"/>
    <w:rsid w:val="00F158F4"/>
    <w:rsid w:val="00F1649D"/>
    <w:rsid w:val="00F16E1A"/>
    <w:rsid w:val="00F1720B"/>
    <w:rsid w:val="00F2103E"/>
    <w:rsid w:val="00F221BC"/>
    <w:rsid w:val="00F22540"/>
    <w:rsid w:val="00F2274A"/>
    <w:rsid w:val="00F23351"/>
    <w:rsid w:val="00F263F8"/>
    <w:rsid w:val="00F27665"/>
    <w:rsid w:val="00F27F24"/>
    <w:rsid w:val="00F306A1"/>
    <w:rsid w:val="00F30B18"/>
    <w:rsid w:val="00F31642"/>
    <w:rsid w:val="00F31679"/>
    <w:rsid w:val="00F33430"/>
    <w:rsid w:val="00F337D9"/>
    <w:rsid w:val="00F34E34"/>
    <w:rsid w:val="00F358D1"/>
    <w:rsid w:val="00F37B32"/>
    <w:rsid w:val="00F4050A"/>
    <w:rsid w:val="00F4107D"/>
    <w:rsid w:val="00F41373"/>
    <w:rsid w:val="00F42CBD"/>
    <w:rsid w:val="00F432E6"/>
    <w:rsid w:val="00F43CA8"/>
    <w:rsid w:val="00F44C2D"/>
    <w:rsid w:val="00F4540C"/>
    <w:rsid w:val="00F479D3"/>
    <w:rsid w:val="00F50683"/>
    <w:rsid w:val="00F50FAE"/>
    <w:rsid w:val="00F51E2E"/>
    <w:rsid w:val="00F52009"/>
    <w:rsid w:val="00F53D77"/>
    <w:rsid w:val="00F55DA9"/>
    <w:rsid w:val="00F56179"/>
    <w:rsid w:val="00F5619A"/>
    <w:rsid w:val="00F569FD"/>
    <w:rsid w:val="00F56EE9"/>
    <w:rsid w:val="00F571D2"/>
    <w:rsid w:val="00F57245"/>
    <w:rsid w:val="00F572C5"/>
    <w:rsid w:val="00F62105"/>
    <w:rsid w:val="00F62459"/>
    <w:rsid w:val="00F6286A"/>
    <w:rsid w:val="00F634AC"/>
    <w:rsid w:val="00F652B9"/>
    <w:rsid w:val="00F66696"/>
    <w:rsid w:val="00F669AB"/>
    <w:rsid w:val="00F66B49"/>
    <w:rsid w:val="00F66EFB"/>
    <w:rsid w:val="00F712A7"/>
    <w:rsid w:val="00F71742"/>
    <w:rsid w:val="00F71CBA"/>
    <w:rsid w:val="00F71E33"/>
    <w:rsid w:val="00F72311"/>
    <w:rsid w:val="00F72BA7"/>
    <w:rsid w:val="00F736B6"/>
    <w:rsid w:val="00F76D02"/>
    <w:rsid w:val="00F76F67"/>
    <w:rsid w:val="00F778C7"/>
    <w:rsid w:val="00F77BED"/>
    <w:rsid w:val="00F8145D"/>
    <w:rsid w:val="00F81D80"/>
    <w:rsid w:val="00F821A3"/>
    <w:rsid w:val="00F84267"/>
    <w:rsid w:val="00F84401"/>
    <w:rsid w:val="00F84898"/>
    <w:rsid w:val="00F854E0"/>
    <w:rsid w:val="00F85DD5"/>
    <w:rsid w:val="00F865FC"/>
    <w:rsid w:val="00F86627"/>
    <w:rsid w:val="00F913DF"/>
    <w:rsid w:val="00F9256E"/>
    <w:rsid w:val="00F9314A"/>
    <w:rsid w:val="00F93221"/>
    <w:rsid w:val="00F95F39"/>
    <w:rsid w:val="00F97F25"/>
    <w:rsid w:val="00FA0D14"/>
    <w:rsid w:val="00FA15A0"/>
    <w:rsid w:val="00FA1676"/>
    <w:rsid w:val="00FA31C4"/>
    <w:rsid w:val="00FA7A83"/>
    <w:rsid w:val="00FB0478"/>
    <w:rsid w:val="00FB0C1A"/>
    <w:rsid w:val="00FB0EE9"/>
    <w:rsid w:val="00FB1546"/>
    <w:rsid w:val="00FB2E67"/>
    <w:rsid w:val="00FB4BD0"/>
    <w:rsid w:val="00FB4C16"/>
    <w:rsid w:val="00FB5666"/>
    <w:rsid w:val="00FB57F3"/>
    <w:rsid w:val="00FB5F17"/>
    <w:rsid w:val="00FB605E"/>
    <w:rsid w:val="00FB63CC"/>
    <w:rsid w:val="00FC04C8"/>
    <w:rsid w:val="00FC1AB3"/>
    <w:rsid w:val="00FC1ED8"/>
    <w:rsid w:val="00FC2B2B"/>
    <w:rsid w:val="00FC33A7"/>
    <w:rsid w:val="00FC3985"/>
    <w:rsid w:val="00FC3B66"/>
    <w:rsid w:val="00FC58EF"/>
    <w:rsid w:val="00FC6B86"/>
    <w:rsid w:val="00FC7F4F"/>
    <w:rsid w:val="00FD0766"/>
    <w:rsid w:val="00FD1C22"/>
    <w:rsid w:val="00FD2E7C"/>
    <w:rsid w:val="00FD2F55"/>
    <w:rsid w:val="00FD33DF"/>
    <w:rsid w:val="00FD4319"/>
    <w:rsid w:val="00FD43AF"/>
    <w:rsid w:val="00FD4644"/>
    <w:rsid w:val="00FD4BD8"/>
    <w:rsid w:val="00FD5B78"/>
    <w:rsid w:val="00FD68B0"/>
    <w:rsid w:val="00FD6FD5"/>
    <w:rsid w:val="00FE0DC5"/>
    <w:rsid w:val="00FE1FE5"/>
    <w:rsid w:val="00FE277E"/>
    <w:rsid w:val="00FE2A63"/>
    <w:rsid w:val="00FE39D7"/>
    <w:rsid w:val="00FE3C9C"/>
    <w:rsid w:val="00FE42DA"/>
    <w:rsid w:val="00FE467A"/>
    <w:rsid w:val="00FE48A9"/>
    <w:rsid w:val="00FE5037"/>
    <w:rsid w:val="00FE59E2"/>
    <w:rsid w:val="00FE657B"/>
    <w:rsid w:val="00FE6E46"/>
    <w:rsid w:val="00FF03A0"/>
    <w:rsid w:val="00FF158F"/>
    <w:rsid w:val="00FF19B6"/>
    <w:rsid w:val="00FF3651"/>
    <w:rsid w:val="00FF3EAD"/>
    <w:rsid w:val="00FF4C7F"/>
    <w:rsid w:val="00FF4F3F"/>
    <w:rsid w:val="00FF6855"/>
    <w:rsid w:val="00FF795D"/>
    <w:rsid w:val="00FF7B95"/>
    <w:rsid w:val="00FF7F3D"/>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Footnote Text Char Char Char Char Char,Footnote Text Char Char Char Char,Footnote reference,FA Fu,Footnote Text Cha,Footnote Text Char Char Char,FA Fußnotentext,FA Fuﬂnotentext,Footnote Text Char Char,texto de nota al p"/>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Footnote Text Char Char Char Char Char Car,Footnote Text Char Char Char Char Car,Footnote reference Car,FA Fu Car,Footnote Text Cha Car,Footnote Text Char Char Char Car,FA Fußnotentext Car,FA Fuﬂnotentext Car"/>
    <w:link w:val="Textonotapie"/>
    <w:rsid w:val="00C505AE"/>
    <w:rPr>
      <w:rFonts w:ascii="Arial" w:hAnsi="Arial"/>
      <w:lang w:val="es-ES_tradnl"/>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styleId="NormalWeb">
    <w:name w:val="Normal (Web)"/>
    <w:basedOn w:val="Normal"/>
    <w:rsid w:val="00FA7A83"/>
    <w:pPr>
      <w:spacing w:before="100" w:beforeAutospacing="1" w:after="100" w:afterAutospacing="1"/>
      <w:ind w:left="0"/>
    </w:pPr>
    <w:rPr>
      <w:rFonts w:ascii="Arial Unicode MS" w:hAnsi="Arial Unicode MS"/>
      <w:lang w:val="it-IT" w:eastAsia="it-IT"/>
    </w:rPr>
  </w:style>
  <w:style w:type="paragraph" w:styleId="Sangra3detindependiente">
    <w:name w:val="Body Text Indent 3"/>
    <w:basedOn w:val="Normal"/>
    <w:link w:val="Sangra3detindependienteCar"/>
    <w:uiPriority w:val="99"/>
    <w:semiHidden/>
    <w:unhideWhenUsed/>
    <w:rsid w:val="0074250E"/>
    <w:pPr>
      <w:spacing w:after="120"/>
      <w:ind w:left="360"/>
    </w:pPr>
    <w:rPr>
      <w:sz w:val="16"/>
      <w:szCs w:val="16"/>
    </w:rPr>
  </w:style>
  <w:style w:type="character" w:customStyle="1" w:styleId="Sangra3detindependienteCar">
    <w:name w:val="Sangría 3 de t. independiente Car"/>
    <w:basedOn w:val="Fuentedeprrafopredeter"/>
    <w:link w:val="Sangra3detindependiente"/>
    <w:uiPriority w:val="99"/>
    <w:semiHidden/>
    <w:rsid w:val="0074250E"/>
    <w:rPr>
      <w:sz w:val="16"/>
      <w:szCs w:val="16"/>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Footnote Text Char Char Char Char Char,Footnote Text Char Char Char Char,Footnote reference,FA Fu,Footnote Text Cha,Footnote Text Char Char Char,FA Fußnotentext,FA Fuﬂnotentext,Footnote Text Char Char,texto de nota al p"/>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Footnote Text Char Char Char Char Char Car,Footnote Text Char Char Char Char Car,Footnote reference Car,FA Fu Car,Footnote Text Cha Car,Footnote Text Char Char Char Car,FA Fußnotentext Car,FA Fuﬂnotentext Car"/>
    <w:link w:val="Textonotapie"/>
    <w:rsid w:val="00C505AE"/>
    <w:rPr>
      <w:rFonts w:ascii="Arial" w:hAnsi="Arial"/>
      <w:lang w:val="es-ES_tradnl"/>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styleId="NormalWeb">
    <w:name w:val="Normal (Web)"/>
    <w:basedOn w:val="Normal"/>
    <w:rsid w:val="00FA7A83"/>
    <w:pPr>
      <w:spacing w:before="100" w:beforeAutospacing="1" w:after="100" w:afterAutospacing="1"/>
      <w:ind w:left="0"/>
    </w:pPr>
    <w:rPr>
      <w:rFonts w:ascii="Arial Unicode MS" w:hAnsi="Arial Unicode MS"/>
      <w:lang w:val="it-IT" w:eastAsia="it-IT"/>
    </w:rPr>
  </w:style>
  <w:style w:type="paragraph" w:styleId="Sangra3detindependiente">
    <w:name w:val="Body Text Indent 3"/>
    <w:basedOn w:val="Normal"/>
    <w:link w:val="Sangra3detindependienteCar"/>
    <w:uiPriority w:val="99"/>
    <w:semiHidden/>
    <w:unhideWhenUsed/>
    <w:rsid w:val="0074250E"/>
    <w:pPr>
      <w:spacing w:after="120"/>
      <w:ind w:left="360"/>
    </w:pPr>
    <w:rPr>
      <w:sz w:val="16"/>
      <w:szCs w:val="16"/>
    </w:rPr>
  </w:style>
  <w:style w:type="character" w:customStyle="1" w:styleId="Sangra3detindependienteCar">
    <w:name w:val="Sangría 3 de t. independiente Car"/>
    <w:basedOn w:val="Fuentedeprrafopredeter"/>
    <w:link w:val="Sangra3detindependiente"/>
    <w:uiPriority w:val="99"/>
    <w:semiHidden/>
    <w:rsid w:val="0074250E"/>
    <w:rPr>
      <w:sz w:val="16"/>
      <w:szCs w:val="1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6786">
      <w:bodyDiv w:val="1"/>
      <w:marLeft w:val="0"/>
      <w:marRight w:val="0"/>
      <w:marTop w:val="0"/>
      <w:marBottom w:val="0"/>
      <w:divBdr>
        <w:top w:val="none" w:sz="0" w:space="0" w:color="auto"/>
        <w:left w:val="none" w:sz="0" w:space="0" w:color="auto"/>
        <w:bottom w:val="none" w:sz="0" w:space="0" w:color="auto"/>
        <w:right w:val="none" w:sz="0" w:space="0" w:color="auto"/>
      </w:divBdr>
    </w:div>
    <w:div w:id="72435222">
      <w:bodyDiv w:val="1"/>
      <w:marLeft w:val="0"/>
      <w:marRight w:val="0"/>
      <w:marTop w:val="0"/>
      <w:marBottom w:val="0"/>
      <w:divBdr>
        <w:top w:val="none" w:sz="0" w:space="0" w:color="auto"/>
        <w:left w:val="none" w:sz="0" w:space="0" w:color="auto"/>
        <w:bottom w:val="none" w:sz="0" w:space="0" w:color="auto"/>
        <w:right w:val="none" w:sz="0" w:space="0" w:color="auto"/>
      </w:divBdr>
    </w:div>
    <w:div w:id="123624735">
      <w:bodyDiv w:val="1"/>
      <w:marLeft w:val="0"/>
      <w:marRight w:val="0"/>
      <w:marTop w:val="0"/>
      <w:marBottom w:val="0"/>
      <w:divBdr>
        <w:top w:val="none" w:sz="0" w:space="0" w:color="auto"/>
        <w:left w:val="none" w:sz="0" w:space="0" w:color="auto"/>
        <w:bottom w:val="none" w:sz="0" w:space="0" w:color="auto"/>
        <w:right w:val="none" w:sz="0" w:space="0" w:color="auto"/>
      </w:divBdr>
    </w:div>
    <w:div w:id="16359017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30662574">
          <w:marLeft w:val="0"/>
          <w:marRight w:val="0"/>
          <w:marTop w:val="0"/>
          <w:marBottom w:val="0"/>
          <w:divBdr>
            <w:top w:val="none" w:sz="0" w:space="0" w:color="auto"/>
            <w:left w:val="none" w:sz="0" w:space="0" w:color="auto"/>
            <w:bottom w:val="none" w:sz="0" w:space="0" w:color="auto"/>
            <w:right w:val="none" w:sz="0" w:space="0" w:color="auto"/>
          </w:divBdr>
        </w:div>
        <w:div w:id="646544565">
          <w:marLeft w:val="0"/>
          <w:marRight w:val="0"/>
          <w:marTop w:val="0"/>
          <w:marBottom w:val="0"/>
          <w:divBdr>
            <w:top w:val="none" w:sz="0" w:space="0" w:color="auto"/>
            <w:left w:val="none" w:sz="0" w:space="0" w:color="auto"/>
            <w:bottom w:val="none" w:sz="0" w:space="0" w:color="auto"/>
            <w:right w:val="none" w:sz="0" w:space="0" w:color="auto"/>
          </w:divBdr>
        </w:div>
        <w:div w:id="1769346128">
          <w:marLeft w:val="0"/>
          <w:marRight w:val="0"/>
          <w:marTop w:val="0"/>
          <w:marBottom w:val="0"/>
          <w:divBdr>
            <w:top w:val="none" w:sz="0" w:space="0" w:color="auto"/>
            <w:left w:val="none" w:sz="0" w:space="0" w:color="auto"/>
            <w:bottom w:val="none" w:sz="0" w:space="0" w:color="auto"/>
            <w:right w:val="none" w:sz="0" w:space="0" w:color="auto"/>
          </w:divBdr>
        </w:div>
      </w:divsChild>
    </w:div>
    <w:div w:id="184834838">
      <w:bodyDiv w:val="1"/>
      <w:marLeft w:val="150"/>
      <w:marRight w:val="150"/>
      <w:marTop w:val="150"/>
      <w:marBottom w:val="150"/>
      <w:divBdr>
        <w:top w:val="none" w:sz="0" w:space="0" w:color="auto"/>
        <w:left w:val="none" w:sz="0" w:space="0" w:color="auto"/>
        <w:bottom w:val="none" w:sz="0" w:space="0" w:color="auto"/>
        <w:right w:val="none" w:sz="0" w:space="0" w:color="auto"/>
      </w:divBdr>
      <w:divsChild>
        <w:div w:id="630482826">
          <w:marLeft w:val="0"/>
          <w:marRight w:val="0"/>
          <w:marTop w:val="0"/>
          <w:marBottom w:val="0"/>
          <w:divBdr>
            <w:top w:val="none" w:sz="0" w:space="0" w:color="auto"/>
            <w:left w:val="none" w:sz="0" w:space="0" w:color="auto"/>
            <w:bottom w:val="none" w:sz="0" w:space="0" w:color="auto"/>
            <w:right w:val="none" w:sz="0" w:space="0" w:color="auto"/>
          </w:divBdr>
        </w:div>
        <w:div w:id="1390767639">
          <w:marLeft w:val="0"/>
          <w:marRight w:val="0"/>
          <w:marTop w:val="0"/>
          <w:marBottom w:val="0"/>
          <w:divBdr>
            <w:top w:val="none" w:sz="0" w:space="0" w:color="auto"/>
            <w:left w:val="none" w:sz="0" w:space="0" w:color="auto"/>
            <w:bottom w:val="none" w:sz="0" w:space="0" w:color="auto"/>
            <w:right w:val="none" w:sz="0" w:space="0" w:color="auto"/>
          </w:divBdr>
        </w:div>
      </w:divsChild>
    </w:div>
    <w:div w:id="297994726">
      <w:bodyDiv w:val="1"/>
      <w:marLeft w:val="0"/>
      <w:marRight w:val="0"/>
      <w:marTop w:val="0"/>
      <w:marBottom w:val="0"/>
      <w:divBdr>
        <w:top w:val="none" w:sz="0" w:space="0" w:color="auto"/>
        <w:left w:val="none" w:sz="0" w:space="0" w:color="auto"/>
        <w:bottom w:val="none" w:sz="0" w:space="0" w:color="auto"/>
        <w:right w:val="none" w:sz="0" w:space="0" w:color="auto"/>
      </w:divBdr>
    </w:div>
    <w:div w:id="308361449">
      <w:bodyDiv w:val="1"/>
      <w:marLeft w:val="0"/>
      <w:marRight w:val="0"/>
      <w:marTop w:val="0"/>
      <w:marBottom w:val="0"/>
      <w:divBdr>
        <w:top w:val="none" w:sz="0" w:space="0" w:color="auto"/>
        <w:left w:val="none" w:sz="0" w:space="0" w:color="auto"/>
        <w:bottom w:val="none" w:sz="0" w:space="0" w:color="auto"/>
        <w:right w:val="none" w:sz="0" w:space="0" w:color="auto"/>
      </w:divBdr>
    </w:div>
    <w:div w:id="402995217">
      <w:bodyDiv w:val="1"/>
      <w:marLeft w:val="0"/>
      <w:marRight w:val="0"/>
      <w:marTop w:val="0"/>
      <w:marBottom w:val="0"/>
      <w:divBdr>
        <w:top w:val="none" w:sz="0" w:space="0" w:color="auto"/>
        <w:left w:val="none" w:sz="0" w:space="0" w:color="auto"/>
        <w:bottom w:val="none" w:sz="0" w:space="0" w:color="auto"/>
        <w:right w:val="none" w:sz="0" w:space="0" w:color="auto"/>
      </w:divBdr>
    </w:div>
    <w:div w:id="443812568">
      <w:bodyDiv w:val="1"/>
      <w:marLeft w:val="0"/>
      <w:marRight w:val="0"/>
      <w:marTop w:val="0"/>
      <w:marBottom w:val="0"/>
      <w:divBdr>
        <w:top w:val="none" w:sz="0" w:space="0" w:color="auto"/>
        <w:left w:val="none" w:sz="0" w:space="0" w:color="auto"/>
        <w:bottom w:val="none" w:sz="0" w:space="0" w:color="auto"/>
        <w:right w:val="none" w:sz="0" w:space="0" w:color="auto"/>
      </w:divBdr>
    </w:div>
    <w:div w:id="484012671">
      <w:bodyDiv w:val="1"/>
      <w:marLeft w:val="0"/>
      <w:marRight w:val="0"/>
      <w:marTop w:val="0"/>
      <w:marBottom w:val="0"/>
      <w:divBdr>
        <w:top w:val="none" w:sz="0" w:space="0" w:color="auto"/>
        <w:left w:val="none" w:sz="0" w:space="0" w:color="auto"/>
        <w:bottom w:val="none" w:sz="0" w:space="0" w:color="auto"/>
        <w:right w:val="none" w:sz="0" w:space="0" w:color="auto"/>
      </w:divBdr>
    </w:div>
    <w:div w:id="755369227">
      <w:bodyDiv w:val="1"/>
      <w:marLeft w:val="0"/>
      <w:marRight w:val="0"/>
      <w:marTop w:val="0"/>
      <w:marBottom w:val="0"/>
      <w:divBdr>
        <w:top w:val="none" w:sz="0" w:space="0" w:color="auto"/>
        <w:left w:val="none" w:sz="0" w:space="0" w:color="auto"/>
        <w:bottom w:val="none" w:sz="0" w:space="0" w:color="auto"/>
        <w:right w:val="none" w:sz="0" w:space="0" w:color="auto"/>
      </w:divBdr>
    </w:div>
    <w:div w:id="1061635169">
      <w:bodyDiv w:val="1"/>
      <w:marLeft w:val="0"/>
      <w:marRight w:val="0"/>
      <w:marTop w:val="0"/>
      <w:marBottom w:val="0"/>
      <w:divBdr>
        <w:top w:val="none" w:sz="0" w:space="0" w:color="auto"/>
        <w:left w:val="none" w:sz="0" w:space="0" w:color="auto"/>
        <w:bottom w:val="none" w:sz="0" w:space="0" w:color="auto"/>
        <w:right w:val="none" w:sz="0" w:space="0" w:color="auto"/>
      </w:divBdr>
    </w:div>
    <w:div w:id="1085762812">
      <w:bodyDiv w:val="1"/>
      <w:marLeft w:val="0"/>
      <w:marRight w:val="0"/>
      <w:marTop w:val="0"/>
      <w:marBottom w:val="0"/>
      <w:divBdr>
        <w:top w:val="none" w:sz="0" w:space="0" w:color="auto"/>
        <w:left w:val="none" w:sz="0" w:space="0" w:color="auto"/>
        <w:bottom w:val="none" w:sz="0" w:space="0" w:color="auto"/>
        <w:right w:val="none" w:sz="0" w:space="0" w:color="auto"/>
      </w:divBdr>
    </w:div>
    <w:div w:id="1179927782">
      <w:bodyDiv w:val="1"/>
      <w:marLeft w:val="0"/>
      <w:marRight w:val="0"/>
      <w:marTop w:val="0"/>
      <w:marBottom w:val="0"/>
      <w:divBdr>
        <w:top w:val="none" w:sz="0" w:space="0" w:color="auto"/>
        <w:left w:val="none" w:sz="0" w:space="0" w:color="auto"/>
        <w:bottom w:val="none" w:sz="0" w:space="0" w:color="auto"/>
        <w:right w:val="none" w:sz="0" w:space="0" w:color="auto"/>
      </w:divBdr>
    </w:div>
    <w:div w:id="1210075443">
      <w:bodyDiv w:val="1"/>
      <w:marLeft w:val="0"/>
      <w:marRight w:val="0"/>
      <w:marTop w:val="0"/>
      <w:marBottom w:val="0"/>
      <w:divBdr>
        <w:top w:val="none" w:sz="0" w:space="0" w:color="auto"/>
        <w:left w:val="none" w:sz="0" w:space="0" w:color="auto"/>
        <w:bottom w:val="none" w:sz="0" w:space="0" w:color="auto"/>
        <w:right w:val="none" w:sz="0" w:space="0" w:color="auto"/>
      </w:divBdr>
    </w:div>
    <w:div w:id="1311903377">
      <w:bodyDiv w:val="1"/>
      <w:marLeft w:val="0"/>
      <w:marRight w:val="0"/>
      <w:marTop w:val="0"/>
      <w:marBottom w:val="0"/>
      <w:divBdr>
        <w:top w:val="none" w:sz="0" w:space="0" w:color="auto"/>
        <w:left w:val="none" w:sz="0" w:space="0" w:color="auto"/>
        <w:bottom w:val="none" w:sz="0" w:space="0" w:color="auto"/>
        <w:right w:val="none" w:sz="0" w:space="0" w:color="auto"/>
      </w:divBdr>
    </w:div>
    <w:div w:id="1410729380">
      <w:bodyDiv w:val="1"/>
      <w:marLeft w:val="0"/>
      <w:marRight w:val="0"/>
      <w:marTop w:val="0"/>
      <w:marBottom w:val="0"/>
      <w:divBdr>
        <w:top w:val="none" w:sz="0" w:space="0" w:color="auto"/>
        <w:left w:val="none" w:sz="0" w:space="0" w:color="auto"/>
        <w:bottom w:val="none" w:sz="0" w:space="0" w:color="auto"/>
        <w:right w:val="none" w:sz="0" w:space="0" w:color="auto"/>
      </w:divBdr>
    </w:div>
    <w:div w:id="1484928138">
      <w:bodyDiv w:val="1"/>
      <w:marLeft w:val="0"/>
      <w:marRight w:val="0"/>
      <w:marTop w:val="0"/>
      <w:marBottom w:val="0"/>
      <w:divBdr>
        <w:top w:val="none" w:sz="0" w:space="0" w:color="auto"/>
        <w:left w:val="none" w:sz="0" w:space="0" w:color="auto"/>
        <w:bottom w:val="none" w:sz="0" w:space="0" w:color="auto"/>
        <w:right w:val="none" w:sz="0" w:space="0" w:color="auto"/>
      </w:divBdr>
    </w:div>
    <w:div w:id="1504129833">
      <w:bodyDiv w:val="1"/>
      <w:marLeft w:val="0"/>
      <w:marRight w:val="0"/>
      <w:marTop w:val="0"/>
      <w:marBottom w:val="0"/>
      <w:divBdr>
        <w:top w:val="none" w:sz="0" w:space="0" w:color="auto"/>
        <w:left w:val="none" w:sz="0" w:space="0" w:color="auto"/>
        <w:bottom w:val="none" w:sz="0" w:space="0" w:color="auto"/>
        <w:right w:val="none" w:sz="0" w:space="0" w:color="auto"/>
      </w:divBdr>
    </w:div>
    <w:div w:id="1560900185">
      <w:bodyDiv w:val="1"/>
      <w:marLeft w:val="0"/>
      <w:marRight w:val="0"/>
      <w:marTop w:val="0"/>
      <w:marBottom w:val="0"/>
      <w:divBdr>
        <w:top w:val="none" w:sz="0" w:space="0" w:color="auto"/>
        <w:left w:val="none" w:sz="0" w:space="0" w:color="auto"/>
        <w:bottom w:val="none" w:sz="0" w:space="0" w:color="auto"/>
        <w:right w:val="none" w:sz="0" w:space="0" w:color="auto"/>
      </w:divBdr>
    </w:div>
    <w:div w:id="1755736004">
      <w:bodyDiv w:val="1"/>
      <w:marLeft w:val="0"/>
      <w:marRight w:val="0"/>
      <w:marTop w:val="0"/>
      <w:marBottom w:val="0"/>
      <w:divBdr>
        <w:top w:val="none" w:sz="0" w:space="0" w:color="auto"/>
        <w:left w:val="none" w:sz="0" w:space="0" w:color="auto"/>
        <w:bottom w:val="none" w:sz="0" w:space="0" w:color="auto"/>
        <w:right w:val="none" w:sz="0" w:space="0" w:color="auto"/>
      </w:divBdr>
    </w:div>
    <w:div w:id="1808082276">
      <w:bodyDiv w:val="1"/>
      <w:marLeft w:val="0"/>
      <w:marRight w:val="0"/>
      <w:marTop w:val="0"/>
      <w:marBottom w:val="0"/>
      <w:divBdr>
        <w:top w:val="none" w:sz="0" w:space="0" w:color="auto"/>
        <w:left w:val="none" w:sz="0" w:space="0" w:color="auto"/>
        <w:bottom w:val="none" w:sz="0" w:space="0" w:color="auto"/>
        <w:right w:val="none" w:sz="0" w:space="0" w:color="auto"/>
      </w:divBdr>
    </w:div>
    <w:div w:id="1831822020">
      <w:bodyDiv w:val="1"/>
      <w:marLeft w:val="0"/>
      <w:marRight w:val="0"/>
      <w:marTop w:val="0"/>
      <w:marBottom w:val="0"/>
      <w:divBdr>
        <w:top w:val="none" w:sz="0" w:space="0" w:color="auto"/>
        <w:left w:val="none" w:sz="0" w:space="0" w:color="auto"/>
        <w:bottom w:val="none" w:sz="0" w:space="0" w:color="auto"/>
        <w:right w:val="none" w:sz="0" w:space="0" w:color="auto"/>
      </w:divBdr>
    </w:div>
    <w:div w:id="1861431806">
      <w:bodyDiv w:val="1"/>
      <w:marLeft w:val="0"/>
      <w:marRight w:val="0"/>
      <w:marTop w:val="0"/>
      <w:marBottom w:val="0"/>
      <w:divBdr>
        <w:top w:val="none" w:sz="0" w:space="0" w:color="auto"/>
        <w:left w:val="none" w:sz="0" w:space="0" w:color="auto"/>
        <w:bottom w:val="none" w:sz="0" w:space="0" w:color="auto"/>
        <w:right w:val="none" w:sz="0" w:space="0" w:color="auto"/>
      </w:divBdr>
    </w:div>
    <w:div w:id="1899975495">
      <w:bodyDiv w:val="1"/>
      <w:marLeft w:val="0"/>
      <w:marRight w:val="0"/>
      <w:marTop w:val="0"/>
      <w:marBottom w:val="0"/>
      <w:divBdr>
        <w:top w:val="none" w:sz="0" w:space="0" w:color="auto"/>
        <w:left w:val="none" w:sz="0" w:space="0" w:color="auto"/>
        <w:bottom w:val="none" w:sz="0" w:space="0" w:color="auto"/>
        <w:right w:val="none" w:sz="0" w:space="0" w:color="auto"/>
      </w:divBdr>
      <w:divsChild>
        <w:div w:id="2112966397">
          <w:marLeft w:val="0"/>
          <w:marRight w:val="0"/>
          <w:marTop w:val="0"/>
          <w:marBottom w:val="0"/>
          <w:divBdr>
            <w:top w:val="none" w:sz="0" w:space="0" w:color="auto"/>
            <w:left w:val="none" w:sz="0" w:space="0" w:color="auto"/>
            <w:bottom w:val="none" w:sz="0" w:space="0" w:color="auto"/>
            <w:right w:val="none" w:sz="0" w:space="0" w:color="auto"/>
          </w:divBdr>
          <w:divsChild>
            <w:div w:id="1323461663">
              <w:marLeft w:val="0"/>
              <w:marRight w:val="0"/>
              <w:marTop w:val="0"/>
              <w:marBottom w:val="0"/>
              <w:divBdr>
                <w:top w:val="none" w:sz="0" w:space="0" w:color="auto"/>
                <w:left w:val="none" w:sz="0" w:space="0" w:color="auto"/>
                <w:bottom w:val="none" w:sz="0" w:space="0" w:color="auto"/>
                <w:right w:val="none" w:sz="0" w:space="0" w:color="auto"/>
              </w:divBdr>
              <w:divsChild>
                <w:div w:id="1891767563">
                  <w:marLeft w:val="0"/>
                  <w:marRight w:val="0"/>
                  <w:marTop w:val="0"/>
                  <w:marBottom w:val="0"/>
                  <w:divBdr>
                    <w:top w:val="none" w:sz="0" w:space="0" w:color="auto"/>
                    <w:left w:val="none" w:sz="0" w:space="0" w:color="auto"/>
                    <w:bottom w:val="none" w:sz="0" w:space="0" w:color="auto"/>
                    <w:right w:val="none" w:sz="0" w:space="0" w:color="auto"/>
                  </w:divBdr>
                  <w:divsChild>
                    <w:div w:id="2071612828">
                      <w:marLeft w:val="0"/>
                      <w:marRight w:val="0"/>
                      <w:marTop w:val="0"/>
                      <w:marBottom w:val="0"/>
                      <w:divBdr>
                        <w:top w:val="none" w:sz="0" w:space="0" w:color="auto"/>
                        <w:left w:val="none" w:sz="0" w:space="0" w:color="auto"/>
                        <w:bottom w:val="none" w:sz="0" w:space="0" w:color="auto"/>
                        <w:right w:val="none" w:sz="0" w:space="0" w:color="auto"/>
                      </w:divBdr>
                      <w:divsChild>
                        <w:div w:id="456532420">
                          <w:marLeft w:val="0"/>
                          <w:marRight w:val="0"/>
                          <w:marTop w:val="0"/>
                          <w:marBottom w:val="0"/>
                          <w:divBdr>
                            <w:top w:val="none" w:sz="0" w:space="0" w:color="auto"/>
                            <w:left w:val="none" w:sz="0" w:space="0" w:color="auto"/>
                            <w:bottom w:val="none" w:sz="0" w:space="0" w:color="auto"/>
                            <w:right w:val="none" w:sz="0" w:space="0" w:color="auto"/>
                          </w:divBdr>
                          <w:divsChild>
                            <w:div w:id="2107118457">
                              <w:marLeft w:val="0"/>
                              <w:marRight w:val="0"/>
                              <w:marTop w:val="0"/>
                              <w:marBottom w:val="0"/>
                              <w:divBdr>
                                <w:top w:val="none" w:sz="0" w:space="0" w:color="auto"/>
                                <w:left w:val="none" w:sz="0" w:space="0" w:color="auto"/>
                                <w:bottom w:val="none" w:sz="0" w:space="0" w:color="auto"/>
                                <w:right w:val="none" w:sz="0" w:space="0" w:color="auto"/>
                              </w:divBdr>
                              <w:divsChild>
                                <w:div w:id="1650598387">
                                  <w:marLeft w:val="0"/>
                                  <w:marRight w:val="0"/>
                                  <w:marTop w:val="0"/>
                                  <w:marBottom w:val="0"/>
                                  <w:divBdr>
                                    <w:top w:val="none" w:sz="0" w:space="0" w:color="auto"/>
                                    <w:left w:val="none" w:sz="0" w:space="0" w:color="auto"/>
                                    <w:bottom w:val="none" w:sz="0" w:space="0" w:color="auto"/>
                                    <w:right w:val="none" w:sz="0" w:space="0" w:color="auto"/>
                                  </w:divBdr>
                                  <w:divsChild>
                                    <w:div w:id="614795040">
                                      <w:marLeft w:val="0"/>
                                      <w:marRight w:val="0"/>
                                      <w:marTop w:val="0"/>
                                      <w:marBottom w:val="0"/>
                                      <w:divBdr>
                                        <w:top w:val="none" w:sz="0" w:space="0" w:color="auto"/>
                                        <w:left w:val="none" w:sz="0" w:space="0" w:color="auto"/>
                                        <w:bottom w:val="none" w:sz="0" w:space="0" w:color="auto"/>
                                        <w:right w:val="none" w:sz="0" w:space="0" w:color="auto"/>
                                      </w:divBdr>
                                      <w:divsChild>
                                        <w:div w:id="1484152432">
                                          <w:marLeft w:val="0"/>
                                          <w:marRight w:val="0"/>
                                          <w:marTop w:val="0"/>
                                          <w:marBottom w:val="0"/>
                                          <w:divBdr>
                                            <w:top w:val="none" w:sz="0" w:space="0" w:color="auto"/>
                                            <w:left w:val="none" w:sz="0" w:space="0" w:color="auto"/>
                                            <w:bottom w:val="none" w:sz="0" w:space="0" w:color="auto"/>
                                            <w:right w:val="none" w:sz="0" w:space="0" w:color="auto"/>
                                          </w:divBdr>
                                          <w:divsChild>
                                            <w:div w:id="268778282">
                                              <w:marLeft w:val="0"/>
                                              <w:marRight w:val="0"/>
                                              <w:marTop w:val="0"/>
                                              <w:marBottom w:val="0"/>
                                              <w:divBdr>
                                                <w:top w:val="none" w:sz="0" w:space="0" w:color="auto"/>
                                                <w:left w:val="none" w:sz="0" w:space="0" w:color="auto"/>
                                                <w:bottom w:val="none" w:sz="0" w:space="0" w:color="auto"/>
                                                <w:right w:val="none" w:sz="0" w:space="0" w:color="auto"/>
                                              </w:divBdr>
                                              <w:divsChild>
                                                <w:div w:id="2087847430">
                                                  <w:marLeft w:val="0"/>
                                                  <w:marRight w:val="0"/>
                                                  <w:marTop w:val="0"/>
                                                  <w:marBottom w:val="0"/>
                                                  <w:divBdr>
                                                    <w:top w:val="none" w:sz="0" w:space="0" w:color="auto"/>
                                                    <w:left w:val="none" w:sz="0" w:space="0" w:color="auto"/>
                                                    <w:bottom w:val="none" w:sz="0" w:space="0" w:color="auto"/>
                                                    <w:right w:val="none" w:sz="0" w:space="0" w:color="auto"/>
                                                  </w:divBdr>
                                                  <w:divsChild>
                                                    <w:div w:id="1419055348">
                                                      <w:marLeft w:val="0"/>
                                                      <w:marRight w:val="0"/>
                                                      <w:marTop w:val="0"/>
                                                      <w:marBottom w:val="0"/>
                                                      <w:divBdr>
                                                        <w:top w:val="none" w:sz="0" w:space="0" w:color="auto"/>
                                                        <w:left w:val="none" w:sz="0" w:space="0" w:color="auto"/>
                                                        <w:bottom w:val="none" w:sz="0" w:space="0" w:color="auto"/>
                                                        <w:right w:val="none" w:sz="0" w:space="0" w:color="auto"/>
                                                      </w:divBdr>
                                                      <w:divsChild>
                                                        <w:div w:id="1106848316">
                                                          <w:marLeft w:val="0"/>
                                                          <w:marRight w:val="0"/>
                                                          <w:marTop w:val="0"/>
                                                          <w:marBottom w:val="0"/>
                                                          <w:divBdr>
                                                            <w:top w:val="none" w:sz="0" w:space="0" w:color="auto"/>
                                                            <w:left w:val="none" w:sz="0" w:space="0" w:color="auto"/>
                                                            <w:bottom w:val="none" w:sz="0" w:space="0" w:color="auto"/>
                                                            <w:right w:val="none" w:sz="0" w:space="0" w:color="auto"/>
                                                          </w:divBdr>
                                                          <w:divsChild>
                                                            <w:div w:id="1223177725">
                                                              <w:marLeft w:val="0"/>
                                                              <w:marRight w:val="0"/>
                                                              <w:marTop w:val="0"/>
                                                              <w:marBottom w:val="0"/>
                                                              <w:divBdr>
                                                                <w:top w:val="none" w:sz="0" w:space="0" w:color="auto"/>
                                                                <w:left w:val="none" w:sz="0" w:space="0" w:color="auto"/>
                                                                <w:bottom w:val="none" w:sz="0" w:space="0" w:color="auto"/>
                                                                <w:right w:val="none" w:sz="0" w:space="0" w:color="auto"/>
                                                              </w:divBdr>
                                                              <w:divsChild>
                                                                <w:div w:id="1668287797">
                                                                  <w:marLeft w:val="0"/>
                                                                  <w:marRight w:val="0"/>
                                                                  <w:marTop w:val="0"/>
                                                                  <w:marBottom w:val="0"/>
                                                                  <w:divBdr>
                                                                    <w:top w:val="none" w:sz="0" w:space="0" w:color="auto"/>
                                                                    <w:left w:val="none" w:sz="0" w:space="0" w:color="auto"/>
                                                                    <w:bottom w:val="none" w:sz="0" w:space="0" w:color="auto"/>
                                                                    <w:right w:val="none" w:sz="0" w:space="0" w:color="auto"/>
                                                                  </w:divBdr>
                                                                  <w:divsChild>
                                                                    <w:div w:id="1532957590">
                                                                      <w:marLeft w:val="0"/>
                                                                      <w:marRight w:val="0"/>
                                                                      <w:marTop w:val="0"/>
                                                                      <w:marBottom w:val="0"/>
                                                                      <w:divBdr>
                                                                        <w:top w:val="none" w:sz="0" w:space="0" w:color="auto"/>
                                                                        <w:left w:val="none" w:sz="0" w:space="0" w:color="auto"/>
                                                                        <w:bottom w:val="none" w:sz="0" w:space="0" w:color="auto"/>
                                                                        <w:right w:val="none" w:sz="0" w:space="0" w:color="auto"/>
                                                                      </w:divBdr>
                                                                      <w:divsChild>
                                                                        <w:div w:id="1693610515">
                                                                          <w:marLeft w:val="0"/>
                                                                          <w:marRight w:val="0"/>
                                                                          <w:marTop w:val="0"/>
                                                                          <w:marBottom w:val="0"/>
                                                                          <w:divBdr>
                                                                            <w:top w:val="none" w:sz="0" w:space="0" w:color="auto"/>
                                                                            <w:left w:val="none" w:sz="0" w:space="0" w:color="auto"/>
                                                                            <w:bottom w:val="none" w:sz="0" w:space="0" w:color="auto"/>
                                                                            <w:right w:val="none" w:sz="0" w:space="0" w:color="auto"/>
                                                                          </w:divBdr>
                                                                          <w:divsChild>
                                                                            <w:div w:id="2049259660">
                                                                              <w:marLeft w:val="0"/>
                                                                              <w:marRight w:val="0"/>
                                                                              <w:marTop w:val="0"/>
                                                                              <w:marBottom w:val="0"/>
                                                                              <w:divBdr>
                                                                                <w:top w:val="none" w:sz="0" w:space="0" w:color="auto"/>
                                                                                <w:left w:val="none" w:sz="0" w:space="0" w:color="auto"/>
                                                                                <w:bottom w:val="none" w:sz="0" w:space="0" w:color="auto"/>
                                                                                <w:right w:val="none" w:sz="0" w:space="0" w:color="auto"/>
                                                                              </w:divBdr>
                                                                              <w:divsChild>
                                                                                <w:div w:id="467864290">
                                                                                  <w:marLeft w:val="0"/>
                                                                                  <w:marRight w:val="0"/>
                                                                                  <w:marTop w:val="0"/>
                                                                                  <w:marBottom w:val="0"/>
                                                                                  <w:divBdr>
                                                                                    <w:top w:val="none" w:sz="0" w:space="0" w:color="auto"/>
                                                                                    <w:left w:val="none" w:sz="0" w:space="0" w:color="auto"/>
                                                                                    <w:bottom w:val="none" w:sz="0" w:space="0" w:color="auto"/>
                                                                                    <w:right w:val="none" w:sz="0" w:space="0" w:color="auto"/>
                                                                                  </w:divBdr>
                                                                                  <w:divsChild>
                                                                                    <w:div w:id="1052853777">
                                                                                      <w:marLeft w:val="0"/>
                                                                                      <w:marRight w:val="0"/>
                                                                                      <w:marTop w:val="0"/>
                                                                                      <w:marBottom w:val="0"/>
                                                                                      <w:divBdr>
                                                                                        <w:top w:val="none" w:sz="0" w:space="0" w:color="auto"/>
                                                                                        <w:left w:val="none" w:sz="0" w:space="0" w:color="auto"/>
                                                                                        <w:bottom w:val="none" w:sz="0" w:space="0" w:color="auto"/>
                                                                                        <w:right w:val="none" w:sz="0" w:space="0" w:color="auto"/>
                                                                                      </w:divBdr>
                                                                                      <w:divsChild>
                                                                                        <w:div w:id="905408738">
                                                                                          <w:marLeft w:val="0"/>
                                                                                          <w:marRight w:val="0"/>
                                                                                          <w:marTop w:val="0"/>
                                                                                          <w:marBottom w:val="0"/>
                                                                                          <w:divBdr>
                                                                                            <w:top w:val="none" w:sz="0" w:space="0" w:color="auto"/>
                                                                                            <w:left w:val="none" w:sz="0" w:space="0" w:color="auto"/>
                                                                                            <w:bottom w:val="none" w:sz="0" w:space="0" w:color="auto"/>
                                                                                            <w:right w:val="none" w:sz="0" w:space="0" w:color="auto"/>
                                                                                          </w:divBdr>
                                                                                          <w:divsChild>
                                                                                            <w:div w:id="347291510">
                                                                                              <w:marLeft w:val="0"/>
                                                                                              <w:marRight w:val="0"/>
                                                                                              <w:marTop w:val="0"/>
                                                                                              <w:marBottom w:val="0"/>
                                                                                              <w:divBdr>
                                                                                                <w:top w:val="none" w:sz="0" w:space="0" w:color="auto"/>
                                                                                                <w:left w:val="none" w:sz="0" w:space="0" w:color="auto"/>
                                                                                                <w:bottom w:val="none" w:sz="0" w:space="0" w:color="auto"/>
                                                                                                <w:right w:val="none" w:sz="0" w:space="0" w:color="auto"/>
                                                                                              </w:divBdr>
                                                                                              <w:divsChild>
                                                                                                <w:div w:id="687414691">
                                                                                                  <w:marLeft w:val="0"/>
                                                                                                  <w:marRight w:val="0"/>
                                                                                                  <w:marTop w:val="0"/>
                                                                                                  <w:marBottom w:val="0"/>
                                                                                                  <w:divBdr>
                                                                                                    <w:top w:val="none" w:sz="0" w:space="0" w:color="auto"/>
                                                                                                    <w:left w:val="none" w:sz="0" w:space="0" w:color="auto"/>
                                                                                                    <w:bottom w:val="none" w:sz="0" w:space="0" w:color="auto"/>
                                                                                                    <w:right w:val="none" w:sz="0" w:space="0" w:color="auto"/>
                                                                                                  </w:divBdr>
                                                                                                  <w:divsChild>
                                                                                                    <w:div w:id="1018193631">
                                                                                                      <w:marLeft w:val="0"/>
                                                                                                      <w:marRight w:val="0"/>
                                                                                                      <w:marTop w:val="0"/>
                                                                                                      <w:marBottom w:val="0"/>
                                                                                                      <w:divBdr>
                                                                                                        <w:top w:val="none" w:sz="0" w:space="0" w:color="auto"/>
                                                                                                        <w:left w:val="none" w:sz="0" w:space="0" w:color="auto"/>
                                                                                                        <w:bottom w:val="none" w:sz="0" w:space="0" w:color="auto"/>
                                                                                                        <w:right w:val="none" w:sz="0" w:space="0" w:color="auto"/>
                                                                                                      </w:divBdr>
                                                                                                      <w:divsChild>
                                                                                                        <w:div w:id="1432162153">
                                                                                                          <w:marLeft w:val="0"/>
                                                                                                          <w:marRight w:val="0"/>
                                                                                                          <w:marTop w:val="0"/>
                                                                                                          <w:marBottom w:val="0"/>
                                                                                                          <w:divBdr>
                                                                                                            <w:top w:val="none" w:sz="0" w:space="0" w:color="auto"/>
                                                                                                            <w:left w:val="none" w:sz="0" w:space="0" w:color="auto"/>
                                                                                                            <w:bottom w:val="none" w:sz="0" w:space="0" w:color="auto"/>
                                                                                                            <w:right w:val="none" w:sz="0" w:space="0" w:color="auto"/>
                                                                                                          </w:divBdr>
                                                                                                          <w:divsChild>
                                                                                                            <w:div w:id="1123571206">
                                                                                                              <w:marLeft w:val="0"/>
                                                                                                              <w:marRight w:val="0"/>
                                                                                                              <w:marTop w:val="0"/>
                                                                                                              <w:marBottom w:val="0"/>
                                                                                                              <w:divBdr>
                                                                                                                <w:top w:val="none" w:sz="0" w:space="0" w:color="auto"/>
                                                                                                                <w:left w:val="none" w:sz="0" w:space="0" w:color="auto"/>
                                                                                                                <w:bottom w:val="none" w:sz="0" w:space="0" w:color="auto"/>
                                                                                                                <w:right w:val="none" w:sz="0" w:space="0" w:color="auto"/>
                                                                                                              </w:divBdr>
                                                                                                              <w:divsChild>
                                                                                                                <w:div w:id="545063467">
                                                                                                                  <w:marLeft w:val="0"/>
                                                                                                                  <w:marRight w:val="0"/>
                                                                                                                  <w:marTop w:val="0"/>
                                                                                                                  <w:marBottom w:val="0"/>
                                                                                                                  <w:divBdr>
                                                                                                                    <w:top w:val="none" w:sz="0" w:space="0" w:color="auto"/>
                                                                                                                    <w:left w:val="none" w:sz="0" w:space="0" w:color="auto"/>
                                                                                                                    <w:bottom w:val="none" w:sz="0" w:space="0" w:color="auto"/>
                                                                                                                    <w:right w:val="none" w:sz="0" w:space="0" w:color="auto"/>
                                                                                                                  </w:divBdr>
                                                                                                                  <w:divsChild>
                                                                                                                    <w:div w:id="1611935221">
                                                                                                                      <w:marLeft w:val="0"/>
                                                                                                                      <w:marRight w:val="0"/>
                                                                                                                      <w:marTop w:val="0"/>
                                                                                                                      <w:marBottom w:val="0"/>
                                                                                                                      <w:divBdr>
                                                                                                                        <w:top w:val="none" w:sz="0" w:space="0" w:color="auto"/>
                                                                                                                        <w:left w:val="none" w:sz="0" w:space="0" w:color="auto"/>
                                                                                                                        <w:bottom w:val="none" w:sz="0" w:space="0" w:color="auto"/>
                                                                                                                        <w:right w:val="none" w:sz="0" w:space="0" w:color="auto"/>
                                                                                                                      </w:divBdr>
                                                                                                                      <w:divsChild>
                                                                                                                        <w:div w:id="1371952123">
                                                                                                                          <w:marLeft w:val="0"/>
                                                                                                                          <w:marRight w:val="0"/>
                                                                                                                          <w:marTop w:val="0"/>
                                                                                                                          <w:marBottom w:val="0"/>
                                                                                                                          <w:divBdr>
                                                                                                                            <w:top w:val="none" w:sz="0" w:space="0" w:color="auto"/>
                                                                                                                            <w:left w:val="none" w:sz="0" w:space="0" w:color="auto"/>
                                                                                                                            <w:bottom w:val="none" w:sz="0" w:space="0" w:color="auto"/>
                                                                                                                            <w:right w:val="none" w:sz="0" w:space="0" w:color="auto"/>
                                                                                                                          </w:divBdr>
                                                                                                                          <w:divsChild>
                                                                                                                            <w:div w:id="955991093">
                                                                                                                              <w:marLeft w:val="0"/>
                                                                                                                              <w:marRight w:val="0"/>
                                                                                                                              <w:marTop w:val="0"/>
                                                                                                                              <w:marBottom w:val="0"/>
                                                                                                                              <w:divBdr>
                                                                                                                                <w:top w:val="none" w:sz="0" w:space="0" w:color="auto"/>
                                                                                                                                <w:left w:val="none" w:sz="0" w:space="0" w:color="auto"/>
                                                                                                                                <w:bottom w:val="none" w:sz="0" w:space="0" w:color="auto"/>
                                                                                                                                <w:right w:val="none" w:sz="0" w:space="0" w:color="auto"/>
                                                                                                                              </w:divBdr>
                                                                                                                              <w:divsChild>
                                                                                                                                <w:div w:id="1547258863">
                                                                                                                                  <w:marLeft w:val="0"/>
                                                                                                                                  <w:marRight w:val="0"/>
                                                                                                                                  <w:marTop w:val="0"/>
                                                                                                                                  <w:marBottom w:val="0"/>
                                                                                                                                  <w:divBdr>
                                                                                                                                    <w:top w:val="none" w:sz="0" w:space="0" w:color="auto"/>
                                                                                                                                    <w:left w:val="none" w:sz="0" w:space="0" w:color="auto"/>
                                                                                                                                    <w:bottom w:val="none" w:sz="0" w:space="0" w:color="auto"/>
                                                                                                                                    <w:right w:val="none" w:sz="0" w:space="0" w:color="auto"/>
                                                                                                                                  </w:divBdr>
                                                                                                                                  <w:divsChild>
                                                                                                                                    <w:div w:id="2002655506">
                                                                                                                                      <w:marLeft w:val="0"/>
                                                                                                                                      <w:marRight w:val="0"/>
                                                                                                                                      <w:marTop w:val="0"/>
                                                                                                                                      <w:marBottom w:val="0"/>
                                                                                                                                      <w:divBdr>
                                                                                                                                        <w:top w:val="none" w:sz="0" w:space="0" w:color="auto"/>
                                                                                                                                        <w:left w:val="none" w:sz="0" w:space="0" w:color="auto"/>
                                                                                                                                        <w:bottom w:val="none" w:sz="0" w:space="0" w:color="auto"/>
                                                                                                                                        <w:right w:val="none" w:sz="0" w:space="0" w:color="auto"/>
                                                                                                                                      </w:divBdr>
                                                                                                                                      <w:divsChild>
                                                                                                                                        <w:div w:id="725108601">
                                                                                                                                          <w:marLeft w:val="0"/>
                                                                                                                                          <w:marRight w:val="0"/>
                                                                                                                                          <w:marTop w:val="0"/>
                                                                                                                                          <w:marBottom w:val="0"/>
                                                                                                                                          <w:divBdr>
                                                                                                                                            <w:top w:val="none" w:sz="0" w:space="0" w:color="auto"/>
                                                                                                                                            <w:left w:val="none" w:sz="0" w:space="0" w:color="auto"/>
                                                                                                                                            <w:bottom w:val="none" w:sz="0" w:space="0" w:color="auto"/>
                                                                                                                                            <w:right w:val="none" w:sz="0" w:space="0" w:color="auto"/>
                                                                                                                                          </w:divBdr>
                                                                                                                                          <w:divsChild>
                                                                                                                                            <w:div w:id="1920745324">
                                                                                                                                              <w:marLeft w:val="0"/>
                                                                                                                                              <w:marRight w:val="0"/>
                                                                                                                                              <w:marTop w:val="0"/>
                                                                                                                                              <w:marBottom w:val="0"/>
                                                                                                                                              <w:divBdr>
                                                                                                                                                <w:top w:val="none" w:sz="0" w:space="0" w:color="auto"/>
                                                                                                                                                <w:left w:val="none" w:sz="0" w:space="0" w:color="auto"/>
                                                                                                                                                <w:bottom w:val="none" w:sz="0" w:space="0" w:color="auto"/>
                                                                                                                                                <w:right w:val="none" w:sz="0" w:space="0" w:color="auto"/>
                                                                                                                                              </w:divBdr>
                                                                                                                                              <w:divsChild>
                                                                                                                                                <w:div w:id="807749346">
                                                                                                                                                  <w:marLeft w:val="0"/>
                                                                                                                                                  <w:marRight w:val="0"/>
                                                                                                                                                  <w:marTop w:val="0"/>
                                                                                                                                                  <w:marBottom w:val="0"/>
                                                                                                                                                  <w:divBdr>
                                                                                                                                                    <w:top w:val="none" w:sz="0" w:space="0" w:color="auto"/>
                                                                                                                                                    <w:left w:val="none" w:sz="0" w:space="0" w:color="auto"/>
                                                                                                                                                    <w:bottom w:val="none" w:sz="0" w:space="0" w:color="auto"/>
                                                                                                                                                    <w:right w:val="none" w:sz="0" w:space="0" w:color="auto"/>
                                                                                                                                                  </w:divBdr>
                                                                                                                                                  <w:divsChild>
                                                                                                                                                    <w:div w:id="685862450">
                                                                                                                                                      <w:marLeft w:val="0"/>
                                                                                                                                                      <w:marRight w:val="0"/>
                                                                                                                                                      <w:marTop w:val="0"/>
                                                                                                                                                      <w:marBottom w:val="0"/>
                                                                                                                                                      <w:divBdr>
                                                                                                                                                        <w:top w:val="none" w:sz="0" w:space="0" w:color="auto"/>
                                                                                                                                                        <w:left w:val="none" w:sz="0" w:space="0" w:color="auto"/>
                                                                                                                                                        <w:bottom w:val="none" w:sz="0" w:space="0" w:color="auto"/>
                                                                                                                                                        <w:right w:val="none" w:sz="0" w:space="0" w:color="auto"/>
                                                                                                                                                      </w:divBdr>
                                                                                                                                                      <w:divsChild>
                                                                                                                                                        <w:div w:id="103691902">
                                                                                                                                                          <w:marLeft w:val="0"/>
                                                                                                                                                          <w:marRight w:val="0"/>
                                                                                                                                                          <w:marTop w:val="0"/>
                                                                                                                                                          <w:marBottom w:val="0"/>
                                                                                                                                                          <w:divBdr>
                                                                                                                                                            <w:top w:val="none" w:sz="0" w:space="0" w:color="auto"/>
                                                                                                                                                            <w:left w:val="none" w:sz="0" w:space="0" w:color="auto"/>
                                                                                                                                                            <w:bottom w:val="none" w:sz="0" w:space="0" w:color="auto"/>
                                                                                                                                                            <w:right w:val="none" w:sz="0" w:space="0" w:color="auto"/>
                                                                                                                                                          </w:divBdr>
                                                                                                                                                          <w:divsChild>
                                                                                                                                                            <w:div w:id="2050296459">
                                                                                                                                                              <w:marLeft w:val="0"/>
                                                                                                                                                              <w:marRight w:val="0"/>
                                                                                                                                                              <w:marTop w:val="0"/>
                                                                                                                                                              <w:marBottom w:val="0"/>
                                                                                                                                                              <w:divBdr>
                                                                                                                                                                <w:top w:val="none" w:sz="0" w:space="0" w:color="auto"/>
                                                                                                                                                                <w:left w:val="none" w:sz="0" w:space="0" w:color="auto"/>
                                                                                                                                                                <w:bottom w:val="none" w:sz="0" w:space="0" w:color="auto"/>
                                                                                                                                                                <w:right w:val="none" w:sz="0" w:space="0" w:color="auto"/>
                                                                                                                                                              </w:divBdr>
                                                                                                                                                              <w:divsChild>
                                                                                                                                                                <w:div w:id="39091752">
                                                                                                                                                                  <w:marLeft w:val="0"/>
                                                                                                                                                                  <w:marRight w:val="0"/>
                                                                                                                                                                  <w:marTop w:val="0"/>
                                                                                                                                                                  <w:marBottom w:val="0"/>
                                                                                                                                                                  <w:divBdr>
                                                                                                                                                                    <w:top w:val="none" w:sz="0" w:space="0" w:color="auto"/>
                                                                                                                                                                    <w:left w:val="none" w:sz="0" w:space="0" w:color="auto"/>
                                                                                                                                                                    <w:bottom w:val="none" w:sz="0" w:space="0" w:color="auto"/>
                                                                                                                                                                    <w:right w:val="none" w:sz="0" w:space="0" w:color="auto"/>
                                                                                                                                                                  </w:divBdr>
                                                                                                                                                                  <w:divsChild>
                                                                                                                                                                    <w:div w:id="432360370">
                                                                                                                                                                      <w:marLeft w:val="0"/>
                                                                                                                                                                      <w:marRight w:val="0"/>
                                                                                                                                                                      <w:marTop w:val="0"/>
                                                                                                                                                                      <w:marBottom w:val="0"/>
                                                                                                                                                                      <w:divBdr>
                                                                                                                                                                        <w:top w:val="none" w:sz="0" w:space="0" w:color="auto"/>
                                                                                                                                                                        <w:left w:val="none" w:sz="0" w:space="0" w:color="auto"/>
                                                                                                                                                                        <w:bottom w:val="none" w:sz="0" w:space="0" w:color="auto"/>
                                                                                                                                                                        <w:right w:val="none" w:sz="0" w:space="0" w:color="auto"/>
                                                                                                                                                                      </w:divBdr>
                                                                                                                                                                      <w:divsChild>
                                                                                                                                                                        <w:div w:id="130485953">
                                                                                                                                                                          <w:marLeft w:val="567"/>
                                                                                                                                                                          <w:marRight w:val="0"/>
                                                                                                                                                                          <w:marTop w:val="0"/>
                                                                                                                                                                          <w:marBottom w:val="0"/>
                                                                                                                                                                          <w:divBdr>
                                                                                                                                                                            <w:top w:val="none" w:sz="0" w:space="0" w:color="auto"/>
                                                                                                                                                                            <w:left w:val="none" w:sz="0" w:space="0" w:color="auto"/>
                                                                                                                                                                            <w:bottom w:val="none" w:sz="0" w:space="0" w:color="auto"/>
                                                                                                                                                                            <w:right w:val="none" w:sz="0" w:space="0" w:color="auto"/>
                                                                                                                                                                          </w:divBdr>
                                                                                                                                                                        </w:div>
                                                                                                                                                                        <w:div w:id="245724213">
                                                                                                                                                                          <w:marLeft w:val="0"/>
                                                                                                                                                                          <w:marRight w:val="0"/>
                                                                                                                                                                          <w:marTop w:val="0"/>
                                                                                                                                                                          <w:marBottom w:val="0"/>
                                                                                                                                                                          <w:divBdr>
                                                                                                                                                                            <w:top w:val="none" w:sz="0" w:space="0" w:color="auto"/>
                                                                                                                                                                            <w:left w:val="none" w:sz="0" w:space="0" w:color="auto"/>
                                                                                                                                                                            <w:bottom w:val="none" w:sz="0" w:space="0" w:color="auto"/>
                                                                                                                                                                            <w:right w:val="none" w:sz="0" w:space="0" w:color="auto"/>
                                                                                                                                                                          </w:divBdr>
                                                                                                                                                                        </w:div>
                                                                                                                                                                        <w:div w:id="308750697">
                                                                                                                                                                          <w:marLeft w:val="567"/>
                                                                                                                                                                          <w:marRight w:val="0"/>
                                                                                                                                                                          <w:marTop w:val="0"/>
                                                                                                                                                                          <w:marBottom w:val="0"/>
                                                                                                                                                                          <w:divBdr>
                                                                                                                                                                            <w:top w:val="none" w:sz="0" w:space="0" w:color="auto"/>
                                                                                                                                                                            <w:left w:val="none" w:sz="0" w:space="0" w:color="auto"/>
                                                                                                                                                                            <w:bottom w:val="none" w:sz="0" w:space="0" w:color="auto"/>
                                                                                                                                                                            <w:right w:val="none" w:sz="0" w:space="0" w:color="auto"/>
                                                                                                                                                                          </w:divBdr>
                                                                                                                                                                        </w:div>
                                                                                                                                                                        <w:div w:id="439033549">
                                                                                                                                                                          <w:marLeft w:val="567"/>
                                                                                                                                                                          <w:marRight w:val="0"/>
                                                                                                                                                                          <w:marTop w:val="0"/>
                                                                                                                                                                          <w:marBottom w:val="0"/>
                                                                                                                                                                          <w:divBdr>
                                                                                                                                                                            <w:top w:val="none" w:sz="0" w:space="0" w:color="auto"/>
                                                                                                                                                                            <w:left w:val="none" w:sz="0" w:space="0" w:color="auto"/>
                                                                                                                                                                            <w:bottom w:val="none" w:sz="0" w:space="0" w:color="auto"/>
                                                                                                                                                                            <w:right w:val="none" w:sz="0" w:space="0" w:color="auto"/>
                                                                                                                                                                          </w:divBdr>
                                                                                                                                                                        </w:div>
                                                                                                                                                                        <w:div w:id="486166411">
                                                                                                                                                                          <w:marLeft w:val="720"/>
                                                                                                                                                                          <w:marRight w:val="0"/>
                                                                                                                                                                          <w:marTop w:val="0"/>
                                                                                                                                                                          <w:marBottom w:val="0"/>
                                                                                                                                                                          <w:divBdr>
                                                                                                                                                                            <w:top w:val="none" w:sz="0" w:space="0" w:color="auto"/>
                                                                                                                                                                            <w:left w:val="none" w:sz="0" w:space="0" w:color="auto"/>
                                                                                                                                                                            <w:bottom w:val="none" w:sz="0" w:space="0" w:color="auto"/>
                                                                                                                                                                            <w:right w:val="none" w:sz="0" w:space="0" w:color="auto"/>
                                                                                                                                                                          </w:divBdr>
                                                                                                                                                                        </w:div>
                                                                                                                                                                        <w:div w:id="576475855">
                                                                                                                                                                          <w:marLeft w:val="567"/>
                                                                                                                                                                          <w:marRight w:val="0"/>
                                                                                                                                                                          <w:marTop w:val="0"/>
                                                                                                                                                                          <w:marBottom w:val="0"/>
                                                                                                                                                                          <w:divBdr>
                                                                                                                                                                            <w:top w:val="none" w:sz="0" w:space="0" w:color="auto"/>
                                                                                                                                                                            <w:left w:val="none" w:sz="0" w:space="0" w:color="auto"/>
                                                                                                                                                                            <w:bottom w:val="none" w:sz="0" w:space="0" w:color="auto"/>
                                                                                                                                                                            <w:right w:val="none" w:sz="0" w:space="0" w:color="auto"/>
                                                                                                                                                                          </w:divBdr>
                                                                                                                                                                        </w:div>
                                                                                                                                                                        <w:div w:id="613750131">
                                                                                                                                                                          <w:marLeft w:val="567"/>
                                                                                                                                                                          <w:marRight w:val="0"/>
                                                                                                                                                                          <w:marTop w:val="0"/>
                                                                                                                                                                          <w:marBottom w:val="0"/>
                                                                                                                                                                          <w:divBdr>
                                                                                                                                                                            <w:top w:val="none" w:sz="0" w:space="0" w:color="auto"/>
                                                                                                                                                                            <w:left w:val="none" w:sz="0" w:space="0" w:color="auto"/>
                                                                                                                                                                            <w:bottom w:val="none" w:sz="0" w:space="0" w:color="auto"/>
                                                                                                                                                                            <w:right w:val="none" w:sz="0" w:space="0" w:color="auto"/>
                                                                                                                                                                          </w:divBdr>
                                                                                                                                                                        </w:div>
                                                                                                                                                                        <w:div w:id="831531223">
                                                                                                                                                                          <w:marLeft w:val="720"/>
                                                                                                                                                                          <w:marRight w:val="0"/>
                                                                                                                                                                          <w:marTop w:val="0"/>
                                                                                                                                                                          <w:marBottom w:val="0"/>
                                                                                                                                                                          <w:divBdr>
                                                                                                                                                                            <w:top w:val="none" w:sz="0" w:space="0" w:color="auto"/>
                                                                                                                                                                            <w:left w:val="none" w:sz="0" w:space="0" w:color="auto"/>
                                                                                                                                                                            <w:bottom w:val="none" w:sz="0" w:space="0" w:color="auto"/>
                                                                                                                                                                            <w:right w:val="none" w:sz="0" w:space="0" w:color="auto"/>
                                                                                                                                                                          </w:divBdr>
                                                                                                                                                                        </w:div>
                                                                                                                                                                        <w:div w:id="1091469180">
                                                                                                                                                                          <w:marLeft w:val="0"/>
                                                                                                                                                                          <w:marRight w:val="0"/>
                                                                                                                                                                          <w:marTop w:val="0"/>
                                                                                                                                                                          <w:marBottom w:val="0"/>
                                                                                                                                                                          <w:divBdr>
                                                                                                                                                                            <w:top w:val="none" w:sz="0" w:space="0" w:color="auto"/>
                                                                                                                                                                            <w:left w:val="none" w:sz="0" w:space="0" w:color="auto"/>
                                                                                                                                                                            <w:bottom w:val="none" w:sz="0" w:space="0" w:color="auto"/>
                                                                                                                                                                            <w:right w:val="none" w:sz="0" w:space="0" w:color="auto"/>
                                                                                                                                                                          </w:divBdr>
                                                                                                                                                                        </w:div>
                                                                                                                                                                        <w:div w:id="1110932392">
                                                                                                                                                                          <w:marLeft w:val="567"/>
                                                                                                                                                                          <w:marRight w:val="0"/>
                                                                                                                                                                          <w:marTop w:val="0"/>
                                                                                                                                                                          <w:marBottom w:val="0"/>
                                                                                                                                                                          <w:divBdr>
                                                                                                                                                                            <w:top w:val="none" w:sz="0" w:space="0" w:color="auto"/>
                                                                                                                                                                            <w:left w:val="none" w:sz="0" w:space="0" w:color="auto"/>
                                                                                                                                                                            <w:bottom w:val="none" w:sz="0" w:space="0" w:color="auto"/>
                                                                                                                                                                            <w:right w:val="none" w:sz="0" w:space="0" w:color="auto"/>
                                                                                                                                                                          </w:divBdr>
                                                                                                                                                                        </w:div>
                                                                                                                                                                        <w:div w:id="1294947871">
                                                                                                                                                                          <w:marLeft w:val="567"/>
                                                                                                                                                                          <w:marRight w:val="0"/>
                                                                                                                                                                          <w:marTop w:val="0"/>
                                                                                                                                                                          <w:marBottom w:val="0"/>
                                                                                                                                                                          <w:divBdr>
                                                                                                                                                                            <w:top w:val="none" w:sz="0" w:space="0" w:color="auto"/>
                                                                                                                                                                            <w:left w:val="none" w:sz="0" w:space="0" w:color="auto"/>
                                                                                                                                                                            <w:bottom w:val="none" w:sz="0" w:space="0" w:color="auto"/>
                                                                                                                                                                            <w:right w:val="none" w:sz="0" w:space="0" w:color="auto"/>
                                                                                                                                                                          </w:divBdr>
                                                                                                                                                                        </w:div>
                                                                                                                                                                        <w:div w:id="1621839111">
                                                                                                                                                                          <w:marLeft w:val="0"/>
                                                                                                                                                                          <w:marRight w:val="0"/>
                                                                                                                                                                          <w:marTop w:val="0"/>
                                                                                                                                                                          <w:marBottom w:val="0"/>
                                                                                                                                                                          <w:divBdr>
                                                                                                                                                                            <w:top w:val="none" w:sz="0" w:space="0" w:color="auto"/>
                                                                                                                                                                            <w:left w:val="none" w:sz="0" w:space="0" w:color="auto"/>
                                                                                                                                                                            <w:bottom w:val="none" w:sz="0" w:space="0" w:color="auto"/>
                                                                                                                                                                            <w:right w:val="none" w:sz="0" w:space="0" w:color="auto"/>
                                                                                                                                                                          </w:divBdr>
                                                                                                                                                                        </w:div>
                                                                                                                                                                        <w:div w:id="1644701322">
                                                                                                                                                                          <w:marLeft w:val="0"/>
                                                                                                                                                                          <w:marRight w:val="0"/>
                                                                                                                                                                          <w:marTop w:val="0"/>
                                                                                                                                                                          <w:marBottom w:val="0"/>
                                                                                                                                                                          <w:divBdr>
                                                                                                                                                                            <w:top w:val="none" w:sz="0" w:space="0" w:color="auto"/>
                                                                                                                                                                            <w:left w:val="none" w:sz="0" w:space="0" w:color="auto"/>
                                                                                                                                                                            <w:bottom w:val="none" w:sz="0" w:space="0" w:color="auto"/>
                                                                                                                                                                            <w:right w:val="none" w:sz="0" w:space="0" w:color="auto"/>
                                                                                                                                                                          </w:divBdr>
                                                                                                                                                                        </w:div>
                                                                                                                                                                        <w:div w:id="1844513028">
                                                                                                                                                                          <w:marLeft w:val="567"/>
                                                                                                                                                                          <w:marRight w:val="0"/>
                                                                                                                                                                          <w:marTop w:val="0"/>
                                                                                                                                                                          <w:marBottom w:val="0"/>
                                                                                                                                                                          <w:divBdr>
                                                                                                                                                                            <w:top w:val="none" w:sz="0" w:space="0" w:color="auto"/>
                                                                                                                                                                            <w:left w:val="none" w:sz="0" w:space="0" w:color="auto"/>
                                                                                                                                                                            <w:bottom w:val="none" w:sz="0" w:space="0" w:color="auto"/>
                                                                                                                                                                            <w:right w:val="none" w:sz="0" w:space="0" w:color="auto"/>
                                                                                                                                                                          </w:divBdr>
                                                                                                                                                                        </w:div>
                                                                                                                                                                        <w:div w:id="1897737359">
                                                                                                                                                                          <w:marLeft w:val="567"/>
                                                                                                                                                                          <w:marRight w:val="0"/>
                                                                                                                                                                          <w:marTop w:val="0"/>
                                                                                                                                                                          <w:marBottom w:val="0"/>
                                                                                                                                                                          <w:divBdr>
                                                                                                                                                                            <w:top w:val="none" w:sz="0" w:space="0" w:color="auto"/>
                                                                                                                                                                            <w:left w:val="none" w:sz="0" w:space="0" w:color="auto"/>
                                                                                                                                                                            <w:bottom w:val="none" w:sz="0" w:space="0" w:color="auto"/>
                                                                                                                                                                            <w:right w:val="none" w:sz="0" w:space="0" w:color="auto"/>
                                                                                                                                                                          </w:divBdr>
                                                                                                                                                                        </w:div>
                                                                                                                                                                        <w:div w:id="2060129783">
                                                                                                                                                                          <w:marLeft w:val="567"/>
                                                                                                                                                                          <w:marRight w:val="0"/>
                                                                                                                                                                          <w:marTop w:val="0"/>
                                                                                                                                                                          <w:marBottom w:val="0"/>
                                                                                                                                                                          <w:divBdr>
                                                                                                                                                                            <w:top w:val="none" w:sz="0" w:space="0" w:color="auto"/>
                                                                                                                                                                            <w:left w:val="none" w:sz="0" w:space="0" w:color="auto"/>
                                                                                                                                                                            <w:bottom w:val="none" w:sz="0" w:space="0" w:color="auto"/>
                                                                                                                                                                            <w:right w:val="none" w:sz="0" w:space="0" w:color="auto"/>
                                                                                                                                                                          </w:divBdr>
                                                                                                                                                                        </w:div>
                                                                                                                                                                        <w:div w:id="2135175755">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45993058">
      <w:bodyDiv w:val="1"/>
      <w:marLeft w:val="0"/>
      <w:marRight w:val="0"/>
      <w:marTop w:val="0"/>
      <w:marBottom w:val="0"/>
      <w:divBdr>
        <w:top w:val="none" w:sz="0" w:space="0" w:color="auto"/>
        <w:left w:val="none" w:sz="0" w:space="0" w:color="auto"/>
        <w:bottom w:val="none" w:sz="0" w:space="0" w:color="auto"/>
        <w:right w:val="none" w:sz="0" w:space="0" w:color="auto"/>
      </w:divBdr>
    </w:div>
    <w:div w:id="1958027150">
      <w:bodyDiv w:val="1"/>
      <w:marLeft w:val="0"/>
      <w:marRight w:val="0"/>
      <w:marTop w:val="0"/>
      <w:marBottom w:val="0"/>
      <w:divBdr>
        <w:top w:val="none" w:sz="0" w:space="0" w:color="auto"/>
        <w:left w:val="none" w:sz="0" w:space="0" w:color="auto"/>
        <w:bottom w:val="none" w:sz="0" w:space="0" w:color="auto"/>
        <w:right w:val="none" w:sz="0" w:space="0" w:color="auto"/>
      </w:divBdr>
    </w:div>
    <w:div w:id="2003578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A0BAA9-D345-4768-9BA6-C79063BDBA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1</TotalTime>
  <Pages>4</Pages>
  <Words>1618</Words>
  <Characters>8387</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9986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2013-07-19T17:33:00Z</cp:lastPrinted>
  <dcterms:created xsi:type="dcterms:W3CDTF">2013-07-25T19:06:00Z</dcterms:created>
  <dcterms:modified xsi:type="dcterms:W3CDTF">2013-07-25T19:06:00Z</dcterms:modified>
</cp:coreProperties>
</file>