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F993" w14:textId="68159B9E" w:rsidR="000B5684" w:rsidRDefault="0015434B" w:rsidP="000B5684">
      <w:pPr>
        <w:pStyle w:val="Encabezado"/>
        <w:tabs>
          <w:tab w:val="clear" w:pos="8504"/>
          <w:tab w:val="left" w:pos="0"/>
          <w:tab w:val="right" w:pos="9356"/>
        </w:tabs>
        <w:spacing w:before="0"/>
        <w:ind w:left="4252" w:hanging="4252"/>
        <w:jc w:val="center"/>
        <w:rPr>
          <w:rFonts w:ascii="Bookman Old Style" w:hAnsi="Bookman Old Style"/>
          <w:bCs/>
          <w:szCs w:val="24"/>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6.8pt;width:52.5pt;height:48.75pt;z-index:251657728" fillcolor="#0c9">
            <v:imagedata r:id="rId8" o:title=""/>
          </v:shape>
          <o:OLEObject Type="Embed" ProgID="PBrush" ShapeID="_x0000_s1026" DrawAspect="Content" ObjectID="_1686469117" r:id="rId9"/>
        </w:object>
      </w:r>
    </w:p>
    <w:p w14:paraId="4BFCBBDF" w14:textId="52718559" w:rsidR="00CA77FB" w:rsidRPr="00BF69C9" w:rsidRDefault="00CA77FB" w:rsidP="000B5684">
      <w:pPr>
        <w:pStyle w:val="Encabezado"/>
        <w:tabs>
          <w:tab w:val="clear" w:pos="8504"/>
          <w:tab w:val="left" w:pos="0"/>
          <w:tab w:val="right" w:pos="9356"/>
        </w:tabs>
        <w:spacing w:before="0"/>
        <w:ind w:left="4252" w:hanging="4252"/>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39C03CFE" w14:textId="77777777" w:rsidR="00CA77FB" w:rsidRPr="00BF69C9" w:rsidRDefault="00CA77FB" w:rsidP="00505138">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1FFFF902" w:rsidR="00CA77FB" w:rsidRDefault="00CA77FB" w:rsidP="000B5684">
      <w:pPr>
        <w:pStyle w:val="Ttulo5"/>
        <w:tabs>
          <w:tab w:val="left" w:pos="0"/>
          <w:tab w:val="right" w:pos="9356"/>
        </w:tabs>
        <w:spacing w:before="240" w:after="0"/>
        <w:rPr>
          <w:rFonts w:ascii="Bookman Old Style" w:hAnsi="Bookman Old Style"/>
          <w:sz w:val="24"/>
          <w:szCs w:val="24"/>
        </w:rPr>
      </w:pPr>
      <w:r w:rsidRPr="00BF69C9">
        <w:rPr>
          <w:rFonts w:ascii="Bookman Old Style" w:hAnsi="Bookman Old Style"/>
          <w:sz w:val="24"/>
          <w:szCs w:val="24"/>
        </w:rPr>
        <w:t xml:space="preserve">RESOLUCIÓN No. </w:t>
      </w:r>
      <w:r w:rsidR="000B5684" w:rsidRPr="000B5684">
        <w:rPr>
          <w:rFonts w:ascii="Bookman Old Style" w:hAnsi="Bookman Old Style"/>
          <w:sz w:val="32"/>
          <w:szCs w:val="32"/>
        </w:rPr>
        <w:t>078</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F3E80">
        <w:rPr>
          <w:rFonts w:ascii="Bookman Old Style" w:hAnsi="Bookman Old Style"/>
          <w:sz w:val="24"/>
          <w:szCs w:val="24"/>
        </w:rPr>
        <w:t>2</w:t>
      </w:r>
      <w:r w:rsidR="00893E3A">
        <w:rPr>
          <w:rFonts w:ascii="Bookman Old Style" w:hAnsi="Bookman Old Style"/>
          <w:sz w:val="24"/>
          <w:szCs w:val="24"/>
        </w:rPr>
        <w:t>1</w:t>
      </w:r>
    </w:p>
    <w:p w14:paraId="3A0077D3" w14:textId="77777777" w:rsidR="000B5684" w:rsidRPr="000B5684" w:rsidRDefault="000B5684" w:rsidP="000B5684">
      <w:pPr>
        <w:spacing w:before="0" w:after="0"/>
        <w:rPr>
          <w:lang w:val="es-ES_tradnl"/>
        </w:rPr>
      </w:pPr>
    </w:p>
    <w:p w14:paraId="1339ABB4" w14:textId="5F7BF1FF" w:rsidR="00CA77FB" w:rsidRDefault="00CA77FB" w:rsidP="000B5684">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0B5684" w:rsidRPr="000B5684">
        <w:rPr>
          <w:rFonts w:ascii="Bookman Old Style" w:hAnsi="Bookman Old Style"/>
          <w:bCs/>
          <w:sz w:val="32"/>
          <w:szCs w:val="32"/>
        </w:rPr>
        <w:t>24 JUN. 2021</w:t>
      </w:r>
      <w:r w:rsidRPr="00BF69C9">
        <w:rPr>
          <w:rFonts w:ascii="Bookman Old Style" w:hAnsi="Bookman Old Style"/>
          <w:b w:val="0"/>
          <w:szCs w:val="24"/>
        </w:rPr>
        <w:t xml:space="preserve">  )</w:t>
      </w:r>
    </w:p>
    <w:p w14:paraId="30FFBBD3" w14:textId="77777777" w:rsidR="000B5684" w:rsidRPr="000B5684" w:rsidRDefault="000B5684" w:rsidP="000B5684">
      <w:pPr>
        <w:rPr>
          <w:lang w:val="es-ES_tradnl"/>
        </w:rPr>
      </w:pPr>
    </w:p>
    <w:p w14:paraId="267CC799" w14:textId="033C0F60"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0C4F5C" w:rsidRPr="000C4F5C">
        <w:t>AIR</w:t>
      </w:r>
      <w:r w:rsidR="000C4F5C">
        <w:noBreakHyphen/>
      </w:r>
      <w:r w:rsidR="000C4F5C" w:rsidRPr="000C4F5C">
        <w:t>E S.A.S E.S.P</w:t>
      </w:r>
      <w:r w:rsidR="00FB49F6">
        <w:t>.</w:t>
      </w:r>
      <w:r w:rsidR="006C7F6B">
        <w:t xml:space="preserve"> </w:t>
      </w:r>
      <w:r w:rsidR="006259EB">
        <w:t xml:space="preserve">contra la </w:t>
      </w:r>
      <w:r w:rsidR="009A0748" w:rsidRPr="00BF69C9">
        <w:t xml:space="preserve">Resolución CREG </w:t>
      </w:r>
      <w:r w:rsidR="000C4F5C">
        <w:t>024</w:t>
      </w:r>
      <w:r w:rsidR="008F3E80">
        <w:t xml:space="preserve"> </w:t>
      </w:r>
      <w:r w:rsidR="009A0748" w:rsidRPr="00BF69C9">
        <w:t>de 20</w:t>
      </w:r>
      <w:r w:rsidR="008F3E80">
        <w:t>2</w:t>
      </w:r>
      <w:r w:rsidR="000C4F5C">
        <w:t>1</w:t>
      </w:r>
      <w:r w:rsidR="000C4F5C" w:rsidRPr="000C4F5C">
        <w:t>.</w:t>
      </w:r>
    </w:p>
    <w:p w14:paraId="1C01FCB2" w14:textId="77777777" w:rsidR="00045D3D" w:rsidRPr="00BF69C9" w:rsidRDefault="00045D3D" w:rsidP="009801C9">
      <w:pPr>
        <w:suppressAutoHyphens/>
        <w:spacing w:before="360" w:after="360"/>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9801C9">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7BBAA5B" w14:textId="7005C627" w:rsidR="000C4F5C" w:rsidRPr="00AF2EBA" w:rsidRDefault="002A7D62" w:rsidP="004135D1">
      <w:r w:rsidRPr="00BF69C9">
        <w:t xml:space="preserve">Mediante la Resolución CREG </w:t>
      </w:r>
      <w:r w:rsidR="000C4F5C">
        <w:t>024</w:t>
      </w:r>
      <w:r w:rsidR="008F3E80">
        <w:t xml:space="preserve"> </w:t>
      </w:r>
      <w:r w:rsidRPr="00BF69C9">
        <w:t>de 20</w:t>
      </w:r>
      <w:r w:rsidR="008F3E80">
        <w:t>2</w:t>
      </w:r>
      <w:r w:rsidR="000C4F5C">
        <w:t>1</w:t>
      </w:r>
      <w:r w:rsidR="006259EB">
        <w:t xml:space="preserve"> se aprob</w:t>
      </w:r>
      <w:r w:rsidR="006259EB" w:rsidRPr="00AF2EBA">
        <w:t xml:space="preserve">aron </w:t>
      </w:r>
      <w:r w:rsidR="00016F42" w:rsidRPr="00AF2EBA">
        <w:t xml:space="preserve">las variables necesarias para calcular los ingresos y cargos asociados con la actividad de distribución de energía eléctrica para el mercado de comercialización atendido por </w:t>
      </w:r>
      <w:r w:rsidR="00AB3B00" w:rsidRPr="00AF2EBA">
        <w:t xml:space="preserve">la </w:t>
      </w:r>
      <w:r w:rsidR="000C4F5C" w:rsidRPr="00AF2EBA">
        <w:t>e</w:t>
      </w:r>
      <w:r w:rsidR="00AB3B00" w:rsidRPr="00AF2EBA">
        <w:t>mpresa</w:t>
      </w:r>
      <w:r w:rsidR="000C4F5C" w:rsidRPr="00AF2EBA">
        <w:t xml:space="preserve"> AIR-E S.A.S. E.S.P.</w:t>
      </w:r>
    </w:p>
    <w:p w14:paraId="6BF8EB35" w14:textId="15EEAEBD" w:rsidR="0023598E" w:rsidRPr="00AF2EBA" w:rsidRDefault="0023598E" w:rsidP="0023598E">
      <w:pPr>
        <w:rPr>
          <w:spacing w:val="-3"/>
        </w:rPr>
      </w:pPr>
      <w:r w:rsidRPr="00AF2EBA">
        <w:rPr>
          <w:spacing w:val="-3"/>
        </w:rPr>
        <w:t>En el documento</w:t>
      </w:r>
      <w:r w:rsidR="00505138" w:rsidRPr="00AF2EBA">
        <w:rPr>
          <w:spacing w:val="-3"/>
        </w:rPr>
        <w:t xml:space="preserve"> </w:t>
      </w:r>
      <w:r w:rsidR="00893E3A" w:rsidRPr="00AF2EBA">
        <w:rPr>
          <w:spacing w:val="-3"/>
        </w:rPr>
        <w:t xml:space="preserve">Creg 017 </w:t>
      </w:r>
      <w:r w:rsidR="00505138" w:rsidRPr="00AF2EBA">
        <w:rPr>
          <w:spacing w:val="-3"/>
        </w:rPr>
        <w:t>de 202</w:t>
      </w:r>
      <w:r w:rsidR="000C4F5C" w:rsidRPr="00AF2EBA">
        <w:rPr>
          <w:spacing w:val="-3"/>
        </w:rPr>
        <w:t>1</w:t>
      </w:r>
      <w:r w:rsidR="00505138" w:rsidRPr="00AF2EBA">
        <w:rPr>
          <w:spacing w:val="-3"/>
        </w:rPr>
        <w:t xml:space="preserve"> </w:t>
      </w:r>
      <w:r w:rsidR="003B3EF0" w:rsidRPr="00AF2EBA">
        <w:rPr>
          <w:spacing w:val="-3"/>
        </w:rPr>
        <w:t xml:space="preserve">se encuentra el </w:t>
      </w:r>
      <w:r w:rsidRPr="00AF2EBA">
        <w:rPr>
          <w:spacing w:val="-3"/>
        </w:rPr>
        <w:t xml:space="preserve">soporte </w:t>
      </w:r>
      <w:r w:rsidR="003B3EF0" w:rsidRPr="00AF2EBA">
        <w:rPr>
          <w:spacing w:val="-3"/>
        </w:rPr>
        <w:t xml:space="preserve">de </w:t>
      </w:r>
      <w:r w:rsidR="007E27DA" w:rsidRPr="00AF2EBA">
        <w:t xml:space="preserve">la Resolución CREG 024 de 2021, </w:t>
      </w:r>
      <w:r w:rsidR="00016F42" w:rsidRPr="00AF2EBA">
        <w:rPr>
          <w:spacing w:val="-3"/>
        </w:rPr>
        <w:t>incluyen</w:t>
      </w:r>
      <w:r w:rsidR="007E27DA" w:rsidRPr="00AF2EBA">
        <w:rPr>
          <w:spacing w:val="-3"/>
        </w:rPr>
        <w:t>do</w:t>
      </w:r>
      <w:r w:rsidR="00016F42" w:rsidRPr="00AF2EBA">
        <w:rPr>
          <w:spacing w:val="-3"/>
        </w:rPr>
        <w:t xml:space="preserve"> los criterios de revisión de la información, las bases de datos y los cálculos empleados por la Comisión para definir las variables aprobadas en </w:t>
      </w:r>
      <w:r w:rsidR="007E27DA" w:rsidRPr="00AF2EBA">
        <w:rPr>
          <w:spacing w:val="-3"/>
        </w:rPr>
        <w:t>esta r</w:t>
      </w:r>
      <w:r w:rsidR="00016F42" w:rsidRPr="00AF2EBA">
        <w:t>esolución.</w:t>
      </w:r>
    </w:p>
    <w:p w14:paraId="370487AE" w14:textId="77777777" w:rsidR="00AF2EBA" w:rsidRPr="00AF2EBA" w:rsidRDefault="00AB3B00" w:rsidP="00AF2EBA">
      <w:r w:rsidRPr="00AF2EBA">
        <w:t xml:space="preserve">La </w:t>
      </w:r>
      <w:r w:rsidR="000C4F5C" w:rsidRPr="00AF2EBA">
        <w:t>empresa AIR-E S.A.S. E.S.P.</w:t>
      </w:r>
      <w:r w:rsidR="006259EB" w:rsidRPr="00AF2EBA">
        <w:t>, mediante comunicación con radicado CREG E</w:t>
      </w:r>
      <w:r w:rsidR="00860944" w:rsidRPr="00AF2EBA">
        <w:noBreakHyphen/>
      </w:r>
      <w:r w:rsidR="006259EB" w:rsidRPr="00AF2EBA">
        <w:t>20</w:t>
      </w:r>
      <w:r w:rsidR="008F3E80" w:rsidRPr="00AF2EBA">
        <w:t>2</w:t>
      </w:r>
      <w:r w:rsidR="00860944" w:rsidRPr="00AF2EBA">
        <w:t>1</w:t>
      </w:r>
      <w:r w:rsidR="006259EB" w:rsidRPr="00AF2EBA">
        <w:t>-0</w:t>
      </w:r>
      <w:r w:rsidR="00133D43" w:rsidRPr="00AF2EBA">
        <w:t>0</w:t>
      </w:r>
      <w:r w:rsidR="007E27DA" w:rsidRPr="00AF2EBA">
        <w:t>4189</w:t>
      </w:r>
      <w:r w:rsidR="00A26AF4" w:rsidRPr="00AF2EBA">
        <w:t>,</w:t>
      </w:r>
      <w:r w:rsidR="006259EB" w:rsidRPr="00AF2EBA">
        <w:t xml:space="preserve"> presentó recurso de reposición contra la resolución </w:t>
      </w:r>
      <w:r w:rsidR="00206B97" w:rsidRPr="00AF2EBA">
        <w:t xml:space="preserve">CREG </w:t>
      </w:r>
      <w:r w:rsidR="00860944" w:rsidRPr="00AF2EBA">
        <w:t>024</w:t>
      </w:r>
      <w:r w:rsidR="00206B97" w:rsidRPr="00AF2EBA">
        <w:t xml:space="preserve"> de 20</w:t>
      </w:r>
      <w:r w:rsidR="008F3E80" w:rsidRPr="00AF2EBA">
        <w:t>2</w:t>
      </w:r>
      <w:r w:rsidR="00860944" w:rsidRPr="00AF2EBA">
        <w:t>1</w:t>
      </w:r>
      <w:r w:rsidR="00AF2EBA" w:rsidRPr="00AF2EBA">
        <w:t xml:space="preserve">, manifestando que </w:t>
      </w:r>
      <w:r w:rsidR="00AF2EBA" w:rsidRPr="00AF2EBA">
        <w:rPr>
          <w:i/>
          <w:iCs/>
        </w:rPr>
        <w:t>las razones de inconformidad en que se fundamenta el presente recurso se enmarcan en la necesidad de modificar las variables para calcular los ingresos y cargos asociados con la actividad de distribución de energía eléctrica para el mercado de comercialización atendido por AIR-E S.A.S. E.S.P. que se indican más adelante, con la finalidad de evitar que se configure una indebida y falsa motivación.</w:t>
      </w:r>
    </w:p>
    <w:p w14:paraId="43D5FEF2" w14:textId="77777777" w:rsidR="00AF2EBA" w:rsidRPr="00AF2EBA" w:rsidRDefault="00AF2EBA" w:rsidP="00AF2EBA">
      <w:pPr>
        <w:rPr>
          <w:b/>
          <w:bCs/>
        </w:rPr>
      </w:pPr>
      <w:r w:rsidRPr="00AF2EBA">
        <w:rPr>
          <w:b/>
          <w:bCs/>
        </w:rPr>
        <w:t>Argumentos del recurrente:</w:t>
      </w:r>
    </w:p>
    <w:p w14:paraId="03A25080" w14:textId="5ABA809A" w:rsidR="00AF2EBA" w:rsidRPr="00AF2EBA" w:rsidRDefault="00AF2EBA" w:rsidP="00AF2EBA">
      <w:r w:rsidRPr="00AF2EBA">
        <w:t xml:space="preserve">Señala el recurrente, como argumento de la indebida y falsa motivación, el artículo 42 del CPACA, resaltando que el contenido de la decisión debe estar basado en las pruebas e informes disponibles y debidamente motivada. Así mismo, trae a colación la sentencia del Consejo de Estado del 13 de junio de 2013, C.P. Dra. Carmen Teresa </w:t>
      </w:r>
      <w:r w:rsidR="00F4214B" w:rsidRPr="00AF2EBA">
        <w:t>Ortiz</w:t>
      </w:r>
      <w:r w:rsidRPr="00AF2EBA">
        <w:t xml:space="preserve"> de Rodríguez, Rad. N° 250002327000200700169 01 la cual indica que “</w:t>
      </w:r>
      <w:r w:rsidRPr="00AF2EBA">
        <w:rPr>
          <w:i/>
          <w:iCs/>
        </w:rPr>
        <w:t>La motivación de un acto implica que la manifestación de la administración tiene una causa que la justifica y debe obedecer a criterios de legalidad, certeza de los hechos, debida calificación jurídica y apreciación razonable; los motivos en que se instituye el acto deben ser ciertos, claros y objetivos</w:t>
      </w:r>
      <w:r w:rsidRPr="00AF2EBA">
        <w:t>”.</w:t>
      </w:r>
    </w:p>
    <w:p w14:paraId="04F6F607" w14:textId="32268801" w:rsidR="00AF2EBA" w:rsidRPr="00AF2EBA" w:rsidRDefault="00AF2EBA" w:rsidP="00AF2EBA">
      <w:pPr>
        <w:rPr>
          <w:i/>
          <w:iCs/>
        </w:rPr>
      </w:pPr>
      <w:r w:rsidRPr="00AF2EBA">
        <w:lastRenderedPageBreak/>
        <w:t>Expone que dentro de los principios que se deben preservar en materia tarifaria se encuentran los de suficiencia financiera y eficiencia económica de las empresas, consagrados en los artículos 87 de la ley 142 de 1994 y 44 de la Ley 143 de 1994</w:t>
      </w:r>
      <w:r w:rsidR="00FB49F6">
        <w:t>,</w:t>
      </w:r>
      <w:r w:rsidRPr="00AF2EBA">
        <w:t xml:space="preserve"> y que el artículo 87 señala además que </w:t>
      </w:r>
      <w:r w:rsidRPr="00AF2EBA">
        <w:rPr>
          <w:i/>
          <w:iCs/>
        </w:rPr>
        <w:t xml:space="preserve">la tarifa tendrá un carácter integral, en el sentido de que supondrá una calidad y grado de cobertura del servicio, cuyas características definirán las comisiones reguladoras. </w:t>
      </w:r>
    </w:p>
    <w:p w14:paraId="11490E83" w14:textId="77777777" w:rsidR="00AF2EBA" w:rsidRPr="00AF2EBA" w:rsidRDefault="00AF2EBA" w:rsidP="00AF2EBA">
      <w:pPr>
        <w:rPr>
          <w:i/>
          <w:iCs/>
        </w:rPr>
      </w:pPr>
      <w:r w:rsidRPr="00AF2EBA">
        <w:t xml:space="preserve">Lo anterior para indicar que </w:t>
      </w:r>
      <w:r w:rsidRPr="00AF2EBA">
        <w:rPr>
          <w:i/>
          <w:iCs/>
        </w:rPr>
        <w:t>como consecuencia del proceso de solución empresarial, AIR-E S.A.S. E.S.P. debe hacer unas inversiones importantes para mejorar la infraestructura que le fue transferida y poder así cumplir con la calidad y grado de cobertura definido por la misma CREG, pero que estos aspectos no fueron considerados al momento de aprobar las variables necesarias para calcular los ingresos y cargos asociados con la actividad de distribución de energía eléctrica para el mercado de comercialización atendido por AIR-E S.A.S. E.S.P.</w:t>
      </w:r>
    </w:p>
    <w:p w14:paraId="3ABE7242" w14:textId="77777777" w:rsidR="00AF2EBA" w:rsidRPr="00AF2EBA" w:rsidRDefault="00AF2EBA" w:rsidP="00AF2EBA">
      <w:pPr>
        <w:rPr>
          <w:i/>
          <w:iCs/>
        </w:rPr>
      </w:pPr>
      <w:r w:rsidRPr="00AF2EBA">
        <w:t xml:space="preserve">Por último, afirma que </w:t>
      </w:r>
      <w:r w:rsidRPr="00AF2EBA">
        <w:rPr>
          <w:i/>
          <w:iCs/>
        </w:rPr>
        <w:t>al analizar la motivación que dio lugar a la expedición de la resolución que nos ocupa, se encontró que no se observaron en su integridad las características o condiciones antes señaladas, motivo por el cual resulta procedente la modificación de las variables que se indican a continuación para que se dé aplicación a los criterios de suficiencia financiera y eficiencia económica, se tenga en cuenta información veraz para la adecuada determinación de tales variables y no se configure una indebida y falsa motivación.</w:t>
      </w:r>
    </w:p>
    <w:p w14:paraId="3732306F" w14:textId="77777777" w:rsidR="00AF2EBA" w:rsidRPr="00AF2EBA" w:rsidRDefault="00AF2EBA" w:rsidP="00AF2EBA">
      <w:pPr>
        <w:rPr>
          <w:b/>
          <w:bCs/>
        </w:rPr>
      </w:pPr>
      <w:r w:rsidRPr="00AF2EBA">
        <w:rPr>
          <w:b/>
          <w:bCs/>
        </w:rPr>
        <w:t>Argumentos de la CREG:</w:t>
      </w:r>
    </w:p>
    <w:p w14:paraId="1B78DFBA" w14:textId="77777777" w:rsidR="00AF2EBA" w:rsidRPr="00AF2EBA" w:rsidRDefault="00AF2EBA" w:rsidP="00AF2EBA">
      <w:r w:rsidRPr="00AF2EBA">
        <w:t>Le corresponde a la CREG definir el régimen tarifario con fundamento en los criterios establecidos en las Leyes 142 y 143 de 1994 para garantizar el cumplimiento de los fines de la intervención del Estado en la prestación de los servicios públicos y conforme a la política pública del Gobierno Nacional.</w:t>
      </w:r>
    </w:p>
    <w:p w14:paraId="072BAE67" w14:textId="77777777" w:rsidR="00AF2EBA" w:rsidRPr="00AF2EBA" w:rsidRDefault="00AF2EBA" w:rsidP="00AF2EBA">
      <w:r w:rsidRPr="00AF2EBA">
        <w:t xml:space="preserve">En cumplimiento de lo anterior, se expidió la Resolución CREG 015 de 2018 </w:t>
      </w:r>
      <w:r w:rsidRPr="00AF2EBA">
        <w:rPr>
          <w:i/>
          <w:iCs/>
        </w:rPr>
        <w:t xml:space="preserve">Por la cual se establece la metodología para la remuneración de la actividad de distribución de energía eléctrica en el Sistema Interconectado Nacional, </w:t>
      </w:r>
      <w:r w:rsidRPr="00AF2EBA">
        <w:t>con fundamento en la cual se han expedido, a su vez, las resoluciones particulares que aprueban las variables para calcular los ingresos y cargos asociados con la actividad de distribución de energía eléctrica en cada mercado de comercialización.</w:t>
      </w:r>
    </w:p>
    <w:p w14:paraId="31CE5200" w14:textId="0B3C55B3" w:rsidR="00AF2EBA" w:rsidRPr="00AF2EBA" w:rsidRDefault="00AF2EBA" w:rsidP="00AF2EBA">
      <w:r w:rsidRPr="00AF2EBA">
        <w:t>No obstante, y para asegurar la sostenibilidad de la prestación eficiente del servicio público domiciliario de energía eléctrica en la región Caribe, la CREG</w:t>
      </w:r>
      <w:r w:rsidR="00FB49F6">
        <w:t>,</w:t>
      </w:r>
      <w:r w:rsidRPr="00AF2EBA">
        <w:t xml:space="preserve"> en cumplimiento de la función delegada por el Ministerio de Minas y Energía a través del Decreto 1645 de 2019, teniendo en cuenta los lineamientos allí dispuestos, expidió la Resolución CREG 010 de 2020 </w:t>
      </w:r>
      <w:r w:rsidRPr="00AF2EBA">
        <w:rPr>
          <w:i/>
          <w:iCs/>
        </w:rPr>
        <w:t>Por la cual se establece el régimen transitorio especial en materia tarifaria para la región Caribe</w:t>
      </w:r>
      <w:r w:rsidRPr="00AF2EBA">
        <w:t>.</w:t>
      </w:r>
    </w:p>
    <w:p w14:paraId="532CA6C3" w14:textId="226F7EF8" w:rsidR="00AF2EBA" w:rsidRPr="00AF2EBA" w:rsidRDefault="00AF2EBA" w:rsidP="00AF2EBA">
      <w:r w:rsidRPr="00AF2EBA">
        <w:t>De conformidad con las disposiciones contenidas en las resoluciones citadas, se abrió la respectiva actuación administrativa, a solicitud de la empresa interesada AIR-E S.A.S. E.S.P., trámite dentro del cual se surtieron dos etapas probatorias, la primera el 9 de julio de 2020</w:t>
      </w:r>
      <w:r w:rsidR="00FB49F6">
        <w:t>,</w:t>
      </w:r>
      <w:r w:rsidRPr="00AF2EBA">
        <w:t xml:space="preserve"> mediante Auto I-2020-002880</w:t>
      </w:r>
      <w:r w:rsidR="00FB49F6">
        <w:t>,</w:t>
      </w:r>
      <w:r w:rsidRPr="00AF2EBA">
        <w:t xml:space="preserve"> y la segunda el 6 de noviembre de 2020</w:t>
      </w:r>
      <w:r w:rsidR="00FB49F6">
        <w:t>,</w:t>
      </w:r>
      <w:r w:rsidRPr="00AF2EBA">
        <w:t xml:space="preserve"> mediante Auto I-2020-004269.</w:t>
      </w:r>
    </w:p>
    <w:p w14:paraId="73065BBB" w14:textId="7F32D474" w:rsidR="00AF2EBA" w:rsidRPr="00AF2EBA" w:rsidRDefault="00AF2EBA" w:rsidP="00D33B6B">
      <w:r w:rsidRPr="00AF2EBA">
        <w:t>Con la apertura de las etapas probatorias se pretendió</w:t>
      </w:r>
      <w:r w:rsidR="00FB49F6">
        <w:t>,</w:t>
      </w:r>
      <w:r w:rsidRPr="00AF2EBA">
        <w:t xml:space="preserve"> por parte de la CREG</w:t>
      </w:r>
      <w:r w:rsidR="00FB49F6">
        <w:t>,</w:t>
      </w:r>
      <w:r w:rsidRPr="00AF2EBA">
        <w:t xml:space="preserve"> que la empresa verificara la información remitida</w:t>
      </w:r>
      <w:r w:rsidR="00FB49F6">
        <w:t>,</w:t>
      </w:r>
      <w:r w:rsidRPr="00AF2EBA">
        <w:t xml:space="preserve"> pues</w:t>
      </w:r>
      <w:r w:rsidR="00FB49F6">
        <w:t>,</w:t>
      </w:r>
      <w:r w:rsidRPr="00AF2EBA">
        <w:t xml:space="preserve"> una vez revisada</w:t>
      </w:r>
      <w:r w:rsidR="00FB49F6">
        <w:t>,</w:t>
      </w:r>
      <w:r w:rsidRPr="00AF2EBA">
        <w:t xml:space="preserve"> se concluyó que la información era inconsistente y no se encontraba acorde con los lineamientos requeridos para su análisis, por lo cual se requirió a la empresa para que presentara un informe de aclaración de las diferencias encontradas y reportara la información ajustada del inventario de activos de la forma prevista para tal fin en las circulares 029 y 051 de 2018.</w:t>
      </w:r>
    </w:p>
    <w:p w14:paraId="55FA0D6B" w14:textId="5C0D6092" w:rsidR="00AF2EBA" w:rsidRPr="00AF2EBA" w:rsidRDefault="00AF2EBA" w:rsidP="00AF2EBA">
      <w:pPr>
        <w:rPr>
          <w:i/>
          <w:iCs/>
        </w:rPr>
      </w:pPr>
      <w:r w:rsidRPr="00AF2EBA">
        <w:t>Así las cosas, con base en la información reportada por AIR-E S.A.S</w:t>
      </w:r>
      <w:r w:rsidR="00FB49F6">
        <w:t>.</w:t>
      </w:r>
      <w:r w:rsidRPr="00AF2EBA">
        <w:t xml:space="preserve"> E.S.P. y las disposiciones contenidas en la Resolución CREG 015 de 2018 y sus modificatorias, así como en lo establecido en la Resolución CREG 010 de 2020, se expidió la Resolución CREG 024 de 2021 </w:t>
      </w:r>
      <w:r w:rsidRPr="00AF2EBA">
        <w:rPr>
          <w:i/>
          <w:iCs/>
        </w:rPr>
        <w:t>Por la cual</w:t>
      </w:r>
      <w:r w:rsidRPr="00AF2EBA">
        <w:rPr>
          <w:i/>
          <w:iCs/>
          <w:sz w:val="22"/>
          <w:szCs w:val="22"/>
        </w:rPr>
        <w:t xml:space="preserve"> </w:t>
      </w:r>
      <w:r w:rsidRPr="00AF2EBA">
        <w:rPr>
          <w:i/>
          <w:iCs/>
        </w:rPr>
        <w:t>se aprobaron las variables para calcular los ingresos y cargos asociados con la actividad de distribución de energía eléctrica para el mercado de comercialización atendido por AIR-E S.A.S. E.S.P.</w:t>
      </w:r>
    </w:p>
    <w:p w14:paraId="0E92619F" w14:textId="3BAD6AFF" w:rsidR="00AF2EBA" w:rsidRDefault="00AF2EBA" w:rsidP="00AF2EBA">
      <w:pPr>
        <w:rPr>
          <w:i/>
          <w:iCs/>
        </w:rPr>
      </w:pPr>
      <w:r w:rsidRPr="00AF2EBA">
        <w:t>En relación con el alcance sobre la falsa motivación, la Sección Cuarta ha precisado que esta "</w:t>
      </w:r>
      <w:r w:rsidRPr="00AF2EBA">
        <w:rPr>
          <w:i/>
          <w:iCs/>
        </w:rPr>
        <w:t>causal autónoma e independiente se relaciona directamente con el principio de legalidad de los actos y con el control de los hechos determinantes de la decisión administrativa. Para que prospere la pretensión de nulidad de un acto administrativo con fundamento en la causal denominada falsa motivación, la Sala ha señalado que "es necesario que se demuestre una de dos circunstancias: a) O bien que los hechos que la Administración tuvo en cuenta como motivos determinantes de la decisión no estuvieron debidamente probados dentro de la actuación administrativa; o b) Que la Administración omitió tener en cuenta hechos que sí estaban demostrados y que si hubiesen sido considerados habrían conducido a una decisión sustancialmente diferente</w:t>
      </w:r>
      <w:r w:rsidRPr="00AF2EBA">
        <w:t>". Por su parte, en cuanto a la falta o ausencia de motivación, la Sección Cuarta ha señalado lo siguiente: "</w:t>
      </w:r>
      <w:r w:rsidRPr="00AF2EBA">
        <w:rPr>
          <w:i/>
          <w:iCs/>
        </w:rPr>
        <w:t>La motivación de un acto implica que la manifestación de la administración tiene una causa que la justifica y debe obedecer a criterios de legalidad, certeza de los hechos, debida calificación jurídica y apreciación razonable; los motivos en que se instituye el acto deben ser ciertos, claros y objetivos. Los motivos del acto administrativo deben ser de tal índole, que determinen no sólo la expedición de un acto administrativo sino su contenido y alcance; la motivación debe ser clara, puntual y suficiente, hasta tal punto que justifique la expedición de los actos y que suministre al destinatario las razones de hecho y de derecho que: inspiraron la producción de los mismos. En cuanto a la falta de motivación, la Sala recuerda que este cargo se denomina técnicamente expedición en forma irregular del acto. En efecto, cuando la Constitución o la ley mandan que ciertos actos se dicten de forma motivada y que esa motivación conste, al menos en forma sumaria, en el texto del acto administrativo, se está condicionando la forma del acto administrativo, el modo de expedirse. Si la Administración desatiende esos mandatos normativos, incurre en vicio de expedición irregular y, por ende, se configura la nulidad del acto administrativo. En efecto, la expresión de los motivos por los cuales se profiere un acto administrativo de carácter particular y concreto es indispensable, pues es a partir de los mismos que el administrado puede controvertir aquellos aspectos de hecho y de derecho que considera no pueden ser el soporte de la decisión, pero cuando se prescinde de la motivación se impide que el particular afectado con la decisión pueda ejercitar cabalmente su derecho de defensa y contradicción". NOTA DE RELATORÍA: En relación con la falsa motivación de los actos administrativos se cita la sentencia del Consejo de Estado, Sección Cuarta, de 23 de junio de 2011, radicado 11001-23-27-000-2006-00032-00(16090), C.P. Hugo Fernando Bastidas Bárcenas.</w:t>
      </w:r>
    </w:p>
    <w:p w14:paraId="06EE95C7" w14:textId="6968C620" w:rsidR="00F46347" w:rsidRPr="00F46347" w:rsidRDefault="00F46347" w:rsidP="00AF2EBA">
      <w:r>
        <w:t>En conclusión, n</w:t>
      </w:r>
      <w:r w:rsidRPr="00AF2EBA">
        <w:t>o es de recibo para esta Comisión las afirmaciones y argumentos esbozados por el recurrente, pues además de atender los criterios tarifarios establecidos en las leyes 142 y 143 de 1994 y las regulaciones de carácter general y especial antes citadas, la decisión se construye con la información reportada por el OR</w:t>
      </w:r>
      <w:r w:rsidR="00FB49F6">
        <w:t>,</w:t>
      </w:r>
      <w:r w:rsidRPr="00AF2EBA">
        <w:t xml:space="preserve"> y verificada a través de los reportes solicitados en los autos de pruebas, todo lo cual</w:t>
      </w:r>
      <w:r w:rsidR="00FB49F6">
        <w:t>,</w:t>
      </w:r>
      <w:r w:rsidRPr="00AF2EBA">
        <w:t xml:space="preserve"> además, está ampliamente sustentando en el documento soporte D</w:t>
      </w:r>
      <w:r>
        <w:noBreakHyphen/>
        <w:t>017</w:t>
      </w:r>
      <w:r>
        <w:noBreakHyphen/>
      </w:r>
      <w:r w:rsidRPr="00AF2EBA">
        <w:t>2021, el cual hace parte de la resolución CREG 024 de 2021 y sirve de sustento a la empresa para ejercer su derecho a contradicción y defensa.</w:t>
      </w:r>
    </w:p>
    <w:p w14:paraId="4F205D18" w14:textId="1B3BE36B" w:rsidR="007E27DA" w:rsidRDefault="007E27DA" w:rsidP="00D1712E">
      <w:pPr>
        <w:keepNext/>
        <w:rPr>
          <w:b/>
          <w:bCs/>
        </w:rPr>
      </w:pPr>
      <w:r>
        <w:t>A continuación se tra</w:t>
      </w:r>
      <w:r w:rsidR="00FB49F6">
        <w:t>n</w:t>
      </w:r>
      <w:r>
        <w:t>scribe</w:t>
      </w:r>
      <w:r w:rsidR="00893E3A">
        <w:t xml:space="preserve">n </w:t>
      </w:r>
      <w:r>
        <w:t>las peticiones presentadas en el recurso de reposición</w:t>
      </w:r>
      <w:r w:rsidR="00FB49F6">
        <w:t>,</w:t>
      </w:r>
      <w:r>
        <w:t xml:space="preserve"> y el respectivo análisis de la Comisión.</w:t>
      </w:r>
    </w:p>
    <w:p w14:paraId="1977E133" w14:textId="3A2240E5" w:rsidR="00C72398" w:rsidRDefault="00C72398" w:rsidP="00D1712E">
      <w:pPr>
        <w:keepNext/>
        <w:rPr>
          <w:b/>
          <w:bCs/>
        </w:rPr>
      </w:pPr>
      <w:r>
        <w:rPr>
          <w:b/>
          <w:bCs/>
        </w:rPr>
        <w:t>Solicitud No. 1</w:t>
      </w:r>
    </w:p>
    <w:p w14:paraId="6EB3B79E" w14:textId="6C029A1A" w:rsidR="00CB6324" w:rsidRDefault="00BC4487" w:rsidP="00FB49F6">
      <w:pPr>
        <w:spacing w:before="60" w:after="60"/>
        <w:ind w:left="284"/>
        <w:rPr>
          <w:i/>
          <w:iCs/>
          <w:sz w:val="20"/>
          <w:szCs w:val="20"/>
        </w:rPr>
      </w:pPr>
      <w:r w:rsidRPr="00BC4487">
        <w:rPr>
          <w:i/>
          <w:iCs/>
          <w:sz w:val="20"/>
          <w:szCs w:val="20"/>
        </w:rPr>
        <w:t xml:space="preserve">AIR-E S.A.S E.S.P solicita el reconocimiento de los transformadores de 6,5 MVA y 2 MVA de la subestación Pivijay ubicada en el departamento de Magdalena, hacen parte del CRIN, puesto que estaban en operación en el año 2020. Lo anterior, conforme a lo informado a la CREG en la primera solicitud de ingresos </w:t>
      </w:r>
      <w:r w:rsidRPr="00BC4487">
        <w:rPr>
          <w:i/>
          <w:iCs/>
          <w:sz w:val="20"/>
          <w:szCs w:val="20"/>
          <w:u w:val="single"/>
        </w:rPr>
        <w:t>donde AIR-E S.A.S E.S.P se acoge a la opción b del artículo 8 de la Resolución CREG 010 de 2020</w:t>
      </w:r>
      <w:r w:rsidRPr="00BC4487">
        <w:rPr>
          <w:i/>
          <w:iCs/>
          <w:sz w:val="20"/>
          <w:szCs w:val="20"/>
        </w:rPr>
        <w:t>.</w:t>
      </w:r>
      <w:r w:rsidR="007E27DA">
        <w:rPr>
          <w:i/>
          <w:iCs/>
          <w:sz w:val="20"/>
          <w:szCs w:val="20"/>
        </w:rPr>
        <w:t xml:space="preserve"> </w:t>
      </w:r>
      <w:r w:rsidR="00CB6324">
        <w:rPr>
          <w:i/>
          <w:iCs/>
          <w:sz w:val="20"/>
          <w:szCs w:val="20"/>
        </w:rPr>
        <w:t>(…)</w:t>
      </w:r>
    </w:p>
    <w:p w14:paraId="221099F3" w14:textId="71EEBC1E" w:rsidR="00CB6324" w:rsidRDefault="00BC4487" w:rsidP="00FB49F6">
      <w:pPr>
        <w:spacing w:before="60" w:after="60"/>
        <w:ind w:left="284"/>
        <w:rPr>
          <w:i/>
          <w:iCs/>
          <w:sz w:val="20"/>
          <w:szCs w:val="20"/>
        </w:rPr>
      </w:pPr>
      <w:r w:rsidRPr="00BC4487">
        <w:rPr>
          <w:i/>
          <w:iCs/>
          <w:sz w:val="20"/>
          <w:szCs w:val="20"/>
        </w:rPr>
        <w:t xml:space="preserve">Al respecto, en el literal b del artículo 6 de la Resolución CREG 015 de 2018, modificado por el artículo 3 de la Resolución CREG 036 de 2019, y reglamentado específicamente a través del artículo 8 de la Resolución CREG 010 de 2020, para el régimen transitorio especial, se estableció que los activos puestos en operación entre la fecha de corte y hasta el 31 de diciembre del año anterior al primer año del plan de inversiones, podrían ser reportados en la base inicial de activos o el plan de inversiones. Como se muestra a continuación:  </w:t>
      </w:r>
    </w:p>
    <w:p w14:paraId="6FE95A9D" w14:textId="481850EA" w:rsidR="00BC4487" w:rsidRPr="00BC4487" w:rsidRDefault="00BC4487" w:rsidP="00FB49F6">
      <w:pPr>
        <w:spacing w:before="60" w:after="60"/>
        <w:ind w:left="284"/>
        <w:rPr>
          <w:i/>
          <w:iCs/>
          <w:sz w:val="20"/>
          <w:szCs w:val="20"/>
        </w:rPr>
      </w:pPr>
      <w:r w:rsidRPr="00BC4487">
        <w:rPr>
          <w:i/>
          <w:iCs/>
          <w:sz w:val="20"/>
          <w:szCs w:val="20"/>
        </w:rPr>
        <w:t xml:space="preserve">“(…) b. Incluir el valor de estos activos en la base regulatoria inicial de activos: el valor de los activos se determinará según lo establecido en los literales a. y b. del numeral 3.1.1.1.4 y el resultado se sumará a la variable CRINj,n,l del respectivo nivel de tensión. (subrayado fuera de texto)”  </w:t>
      </w:r>
    </w:p>
    <w:p w14:paraId="38F651BC" w14:textId="2793CE22" w:rsidR="00CB6324" w:rsidRDefault="00BC4487" w:rsidP="00FB49F6">
      <w:pPr>
        <w:spacing w:before="60" w:after="60"/>
        <w:ind w:left="284"/>
        <w:rPr>
          <w:i/>
          <w:iCs/>
          <w:sz w:val="20"/>
          <w:szCs w:val="20"/>
        </w:rPr>
      </w:pPr>
      <w:r w:rsidRPr="00BC4487">
        <w:rPr>
          <w:i/>
          <w:iCs/>
          <w:sz w:val="20"/>
          <w:szCs w:val="20"/>
        </w:rPr>
        <w:t>De esta manera, mediante comunicado E 2020-004937, E 2020-005024 y E 2020-005827, AIR-E S.A.S. E.S.P, indicó a la CREG su decisión de aplicar la opción b., por lo que, los activos puestos en operación entre el 31 de diciembre de 2019 y hasta el 31 de diciembre del 2020, se sumarán a la variable CRIN.</w:t>
      </w:r>
      <w:r w:rsidR="007E27DA">
        <w:rPr>
          <w:i/>
          <w:iCs/>
          <w:sz w:val="20"/>
          <w:szCs w:val="20"/>
        </w:rPr>
        <w:t xml:space="preserve"> </w:t>
      </w:r>
      <w:r w:rsidR="00CB6324">
        <w:rPr>
          <w:i/>
          <w:iCs/>
          <w:sz w:val="20"/>
          <w:szCs w:val="20"/>
        </w:rPr>
        <w:t>(…)</w:t>
      </w:r>
    </w:p>
    <w:p w14:paraId="1C514CB7" w14:textId="3DA11623" w:rsidR="00CB6324" w:rsidRDefault="00CB6324" w:rsidP="00FB49F6">
      <w:pPr>
        <w:spacing w:before="60" w:after="60"/>
        <w:ind w:left="284"/>
        <w:rPr>
          <w:i/>
          <w:iCs/>
          <w:sz w:val="20"/>
          <w:szCs w:val="20"/>
        </w:rPr>
      </w:pPr>
      <w:r w:rsidRPr="00CB6324">
        <w:rPr>
          <w:i/>
          <w:iCs/>
          <w:sz w:val="20"/>
          <w:szCs w:val="20"/>
        </w:rPr>
        <w:t xml:space="preserve">Partiendo de lo anterior, </w:t>
      </w:r>
      <w:r w:rsidRPr="00CB6324">
        <w:rPr>
          <w:i/>
          <w:iCs/>
          <w:sz w:val="20"/>
          <w:szCs w:val="20"/>
          <w:u w:val="single"/>
        </w:rPr>
        <w:t>la información correspondiente a los activos puestos en operación en el año 2020</w:t>
      </w:r>
      <w:r w:rsidR="00893E3A">
        <w:rPr>
          <w:i/>
          <w:iCs/>
          <w:sz w:val="20"/>
          <w:szCs w:val="20"/>
          <w:u w:val="single"/>
        </w:rPr>
        <w:t>,</w:t>
      </w:r>
      <w:r w:rsidRPr="00CB6324">
        <w:rPr>
          <w:i/>
          <w:iCs/>
          <w:sz w:val="20"/>
          <w:szCs w:val="20"/>
          <w:u w:val="single"/>
        </w:rPr>
        <w:t xml:space="preserve"> se entregó bajo los radicados CREG E-2021-001467 del 29 de enero de 2021, y CREG E-2021002222 de febrero 17 de 2021, como parte la base inicial de activos</w:t>
      </w:r>
      <w:r w:rsidRPr="00CB6324">
        <w:rPr>
          <w:i/>
          <w:iCs/>
          <w:sz w:val="20"/>
          <w:szCs w:val="20"/>
        </w:rPr>
        <w:t>, atendiendo los requerimientos entregados en la Circular CREG 029 de 2018 y 051 de 2018, y los establecidos en el numeral 3.1.1.1.4 de la Resolución CREG 015 de 2018.</w:t>
      </w:r>
    </w:p>
    <w:p w14:paraId="5941086E" w14:textId="24C8B869" w:rsidR="00CB6324" w:rsidRDefault="00CB6324" w:rsidP="00FB49F6">
      <w:pPr>
        <w:spacing w:before="60" w:after="60"/>
        <w:ind w:left="284"/>
        <w:rPr>
          <w:i/>
          <w:iCs/>
          <w:sz w:val="20"/>
          <w:szCs w:val="20"/>
        </w:rPr>
      </w:pPr>
      <w:r>
        <w:rPr>
          <w:i/>
          <w:iCs/>
          <w:sz w:val="20"/>
          <w:szCs w:val="20"/>
        </w:rPr>
        <w:t>Subrayado fuera de texto</w:t>
      </w:r>
    </w:p>
    <w:p w14:paraId="2F3809D6" w14:textId="34AAF872" w:rsidR="00D87FDD" w:rsidRPr="00D87FDD" w:rsidRDefault="00D87FDD" w:rsidP="00D1712E">
      <w:pPr>
        <w:keepNext/>
        <w:rPr>
          <w:b/>
          <w:bCs/>
        </w:rPr>
      </w:pPr>
      <w:r w:rsidRPr="00D87FDD">
        <w:rPr>
          <w:b/>
          <w:bCs/>
        </w:rPr>
        <w:t xml:space="preserve">Análisis de la Comisión </w:t>
      </w:r>
    </w:p>
    <w:p w14:paraId="54BF9982" w14:textId="1EE8C8AF" w:rsidR="000C4F5C" w:rsidRDefault="00CB6324" w:rsidP="005C36C6">
      <w:r>
        <w:t xml:space="preserve">En relación con lo señalado en la solicitud, se aclara que el literal b. del artículo 8 de la Resolución CREG 010 de 2020 </w:t>
      </w:r>
      <w:r w:rsidR="00893E3A">
        <w:t>está relacionado con las opciones de presentación del plan de inversiones</w:t>
      </w:r>
      <w:r w:rsidR="00FB49F6">
        <w:t>,</w:t>
      </w:r>
      <w:r w:rsidR="00893E3A">
        <w:t xml:space="preserve"> y no </w:t>
      </w:r>
      <w:r>
        <w:t xml:space="preserve">con la inclusión de activos en la </w:t>
      </w:r>
      <w:r w:rsidR="00326A3F">
        <w:t>base regulatoria inicial de activos</w:t>
      </w:r>
      <w:r>
        <w:t xml:space="preserve">, </w:t>
      </w:r>
      <w:r w:rsidRPr="00CB6324">
        <w:rPr>
          <w:i/>
          <w:iCs/>
        </w:rPr>
        <w:t>BRA</w:t>
      </w:r>
      <w:r w:rsidRPr="00CB6324">
        <w:rPr>
          <w:i/>
          <w:iCs/>
          <w:vertAlign w:val="subscript"/>
        </w:rPr>
        <w:t>0</w:t>
      </w:r>
      <w:r>
        <w:t xml:space="preserve">, tal como se observa a continuación: </w:t>
      </w:r>
    </w:p>
    <w:p w14:paraId="7963A484" w14:textId="49DF8065" w:rsidR="00BC4487" w:rsidRPr="00BC4487" w:rsidRDefault="00BC4487" w:rsidP="00FB49F6">
      <w:pPr>
        <w:pStyle w:val="Artculo"/>
        <w:numPr>
          <w:ilvl w:val="0"/>
          <w:numId w:val="0"/>
        </w:numPr>
        <w:spacing w:before="60" w:after="60"/>
        <w:ind w:left="284"/>
        <w:rPr>
          <w:rFonts w:eastAsia="Arial"/>
          <w:b w:val="0"/>
          <w:i/>
          <w:iCs/>
          <w:sz w:val="20"/>
          <w:szCs w:val="20"/>
        </w:rPr>
      </w:pPr>
      <w:bookmarkStart w:id="0" w:name="_Ref28069434"/>
      <w:r w:rsidRPr="00BC4487">
        <w:rPr>
          <w:rFonts w:eastAsia="Arial"/>
          <w:i/>
          <w:iCs/>
          <w:sz w:val="20"/>
          <w:szCs w:val="20"/>
        </w:rPr>
        <w:t xml:space="preserve">Artículo 8 Presentación de los Planes de Inversión. </w:t>
      </w:r>
      <w:r w:rsidRPr="00BC4487">
        <w:rPr>
          <w:rFonts w:eastAsia="Arial"/>
          <w:b w:val="0"/>
          <w:i/>
          <w:iCs/>
          <w:sz w:val="20"/>
          <w:szCs w:val="20"/>
        </w:rPr>
        <w:t>Para la aplicación de la metodología establecida en la Resolución CREG 015 de 2018 en los mercados resultantes</w:t>
      </w:r>
      <w:r w:rsidRPr="00BC4487">
        <w:rPr>
          <w:b w:val="0"/>
          <w:i/>
          <w:iCs/>
          <w:sz w:val="20"/>
          <w:szCs w:val="20"/>
        </w:rPr>
        <w:t xml:space="preserve"> y para el régimen transitorio especial definido en la presente resolución</w:t>
      </w:r>
      <w:r w:rsidRPr="00BC4487">
        <w:rPr>
          <w:rFonts w:eastAsia="Arial"/>
          <w:b w:val="0"/>
          <w:i/>
          <w:iCs/>
          <w:sz w:val="20"/>
          <w:szCs w:val="20"/>
        </w:rPr>
        <w:t>, en la solicitud de aprobación de ingresos para el siguiente p</w:t>
      </w:r>
      <w:r w:rsidR="00BE66A2">
        <w:rPr>
          <w:rFonts w:eastAsia="Arial"/>
          <w:b w:val="0"/>
          <w:i/>
          <w:iCs/>
          <w:sz w:val="20"/>
          <w:szCs w:val="20"/>
        </w:rPr>
        <w:t>eríodo</w:t>
      </w:r>
      <w:r w:rsidRPr="00BC4487">
        <w:rPr>
          <w:rFonts w:eastAsia="Arial"/>
          <w:b w:val="0"/>
          <w:i/>
          <w:iCs/>
          <w:sz w:val="20"/>
          <w:szCs w:val="20"/>
        </w:rPr>
        <w:t xml:space="preserve"> tarifario las empresas pueden optar por uno de los siguientes mecanismos:</w:t>
      </w:r>
      <w:bookmarkEnd w:id="0"/>
    </w:p>
    <w:p w14:paraId="7EAB5542" w14:textId="1D368483" w:rsidR="00BC4487" w:rsidRPr="00BC4487" w:rsidRDefault="00BC4487" w:rsidP="00FB49F6">
      <w:pPr>
        <w:pStyle w:val="Artculo"/>
        <w:numPr>
          <w:ilvl w:val="0"/>
          <w:numId w:val="0"/>
        </w:numPr>
        <w:spacing w:before="60" w:after="60"/>
        <w:ind w:left="284" w:hanging="1"/>
        <w:rPr>
          <w:rFonts w:eastAsia="Arial"/>
          <w:b w:val="0"/>
          <w:i/>
          <w:iCs/>
          <w:sz w:val="20"/>
          <w:szCs w:val="20"/>
          <w:vertAlign w:val="subscript"/>
        </w:rPr>
      </w:pPr>
      <w:r>
        <w:rPr>
          <w:rFonts w:eastAsia="Arial"/>
          <w:b w:val="0"/>
          <w:i/>
          <w:iCs/>
          <w:sz w:val="20"/>
          <w:szCs w:val="20"/>
        </w:rPr>
        <w:t xml:space="preserve">a. </w:t>
      </w:r>
      <w:r w:rsidRPr="00BC4487">
        <w:rPr>
          <w:rFonts w:eastAsia="Arial"/>
          <w:b w:val="0"/>
          <w:i/>
          <w:iCs/>
          <w:sz w:val="20"/>
          <w:szCs w:val="20"/>
        </w:rPr>
        <w:t>Presentación de un plan de inversiones con un horizonte de cinco (5) años, correspondientes al p</w:t>
      </w:r>
      <w:r w:rsidR="00BE66A2">
        <w:rPr>
          <w:rFonts w:eastAsia="Arial"/>
          <w:b w:val="0"/>
          <w:i/>
          <w:iCs/>
          <w:sz w:val="20"/>
          <w:szCs w:val="20"/>
        </w:rPr>
        <w:t>eríodo</w:t>
      </w:r>
      <w:r w:rsidRPr="00BC4487">
        <w:rPr>
          <w:rFonts w:eastAsia="Arial"/>
          <w:b w:val="0"/>
          <w:i/>
          <w:iCs/>
          <w:sz w:val="20"/>
          <w:szCs w:val="20"/>
        </w:rPr>
        <w:t xml:space="preserve"> 2021-2025, con la solicitud de aprobación de ingresos enviada a la Comisión en el plazo definido en el artículo 5 de la presente resolución.  </w:t>
      </w:r>
    </w:p>
    <w:p w14:paraId="3CE52DB6" w14:textId="708DC1BD" w:rsidR="00BC4487" w:rsidRDefault="00BC4487" w:rsidP="00FB49F6">
      <w:pPr>
        <w:spacing w:before="60" w:after="60"/>
        <w:ind w:left="284"/>
        <w:rPr>
          <w:rFonts w:eastAsia="Arial"/>
          <w:i/>
          <w:iCs/>
          <w:sz w:val="20"/>
          <w:szCs w:val="20"/>
        </w:rPr>
      </w:pPr>
      <w:r w:rsidRPr="00BC4487">
        <w:rPr>
          <w:rFonts w:eastAsia="Arial"/>
          <w:i/>
          <w:iCs/>
          <w:sz w:val="20"/>
          <w:szCs w:val="20"/>
        </w:rPr>
        <w:t xml:space="preserve">b. </w:t>
      </w:r>
      <w:r w:rsidRPr="00CB6324">
        <w:rPr>
          <w:rFonts w:eastAsia="Arial"/>
          <w:i/>
          <w:iCs/>
          <w:sz w:val="20"/>
          <w:szCs w:val="20"/>
          <w:u w:val="single"/>
        </w:rPr>
        <w:t>Presentación de un plan de inversiones, con un horizonte de cuatro (4) años, correspondientes al p</w:t>
      </w:r>
      <w:r w:rsidR="00BE66A2">
        <w:rPr>
          <w:rFonts w:eastAsia="Arial"/>
          <w:i/>
          <w:iCs/>
          <w:sz w:val="20"/>
          <w:szCs w:val="20"/>
          <w:u w:val="single"/>
        </w:rPr>
        <w:t>eríodo</w:t>
      </w:r>
      <w:r w:rsidRPr="00CB6324">
        <w:rPr>
          <w:rFonts w:eastAsia="Arial"/>
          <w:i/>
          <w:iCs/>
          <w:sz w:val="20"/>
          <w:szCs w:val="20"/>
          <w:u w:val="single"/>
        </w:rPr>
        <w:t xml:space="preserve"> 2022 - 2025</w:t>
      </w:r>
      <w:r w:rsidRPr="00BC4487">
        <w:rPr>
          <w:rFonts w:eastAsia="Arial"/>
          <w:i/>
          <w:iCs/>
          <w:sz w:val="20"/>
          <w:szCs w:val="20"/>
        </w:rPr>
        <w:t>, a más tardar el 1 de abril del 2021. En este caso, la BRAEN</w:t>
      </w:r>
      <w:r w:rsidRPr="00641263">
        <w:rPr>
          <w:rFonts w:eastAsia="Arial"/>
          <w:i/>
          <w:iCs/>
          <w:sz w:val="20"/>
          <w:szCs w:val="20"/>
          <w:vertAlign w:val="subscript"/>
        </w:rPr>
        <w:t>j,n,t</w:t>
      </w:r>
      <w:r w:rsidRPr="00BC4487">
        <w:rPr>
          <w:rFonts w:eastAsia="Arial"/>
          <w:i/>
          <w:iCs/>
          <w:sz w:val="20"/>
          <w:szCs w:val="20"/>
        </w:rPr>
        <w:t>, para el primer año se calcula de acuerdo con lo establecido en el numeral 3.1.1.2.2 del anexo general de la Resolución CREG 015 de 2018.</w:t>
      </w:r>
    </w:p>
    <w:p w14:paraId="792A30B6" w14:textId="37A77085" w:rsidR="007E27DA" w:rsidRPr="00BC4487" w:rsidRDefault="007E27DA" w:rsidP="00FB49F6">
      <w:pPr>
        <w:spacing w:before="60" w:after="60"/>
        <w:ind w:left="284"/>
        <w:rPr>
          <w:i/>
          <w:iCs/>
          <w:sz w:val="20"/>
          <w:szCs w:val="20"/>
        </w:rPr>
      </w:pPr>
      <w:r>
        <w:rPr>
          <w:rFonts w:eastAsia="Arial"/>
          <w:i/>
          <w:iCs/>
          <w:sz w:val="20"/>
          <w:szCs w:val="20"/>
        </w:rPr>
        <w:t>Subrayado fuera de texto</w:t>
      </w:r>
    </w:p>
    <w:p w14:paraId="0E0C2FD3" w14:textId="7BCDDA63" w:rsidR="00BC4487" w:rsidRDefault="00893E3A" w:rsidP="005C36C6">
      <w:r>
        <w:t xml:space="preserve">No obstante, se </w:t>
      </w:r>
      <w:r w:rsidR="007C6290">
        <w:t>entiende que la petición se refiere a lo establecido en el artículo 6 de la resolución CREG 015 de 2018</w:t>
      </w:r>
      <w:r w:rsidR="00326A3F">
        <w:t>,</w:t>
      </w:r>
      <w:r w:rsidR="007C6290">
        <w:t xml:space="preserve"> respecto a </w:t>
      </w:r>
      <w:r w:rsidR="007C6290" w:rsidRPr="007C6290">
        <w:t xml:space="preserve">los activos puestos en operación entre la fecha de corte y el 31 de diciembre del año anterior al primer año </w:t>
      </w:r>
      <w:r w:rsidR="00326A3F">
        <w:t>del plan de inversiones</w:t>
      </w:r>
      <w:r w:rsidR="007C6290" w:rsidRPr="007C6290">
        <w:t>.</w:t>
      </w:r>
    </w:p>
    <w:p w14:paraId="1C20BAD6" w14:textId="695DA1E1" w:rsidR="007C6290" w:rsidRDefault="007C6290" w:rsidP="005C36C6">
      <w:r>
        <w:t>Al respecto se verificó que el OR solicitó incluir los activos puestos en operación durante el año 2020 como parte de la base regulatoria inicial de activos y qu</w:t>
      </w:r>
      <w:r w:rsidR="007B47D3">
        <w:t>e</w:t>
      </w:r>
      <w:r w:rsidR="00FB49F6">
        <w:t>,</w:t>
      </w:r>
      <w:r>
        <w:t xml:space="preserve"> en desarrollo de la actuación administrativa, el OR presentó en enero y febrero de 2021 los inventarios que incluyen los activos puestos en operación durante el año 2020.</w:t>
      </w:r>
    </w:p>
    <w:p w14:paraId="6718FB5E" w14:textId="61948BAA" w:rsidR="007C6290" w:rsidRDefault="007C6290" w:rsidP="005C36C6">
      <w:r>
        <w:t>Con base en lo anterior</w:t>
      </w:r>
      <w:r w:rsidR="00FB49F6">
        <w:t>,</w:t>
      </w:r>
      <w:r>
        <w:t xml:space="preserve"> se considera </w:t>
      </w:r>
      <w:r w:rsidR="007B47D3">
        <w:t xml:space="preserve">pertinente </w:t>
      </w:r>
      <w:r>
        <w:t>la inclusión de estos activos en la base regulatoria inicial de activos. Con esto se entiende completa la base regulatoria inicial de activos</w:t>
      </w:r>
      <w:r w:rsidR="00FB49F6">
        <w:t>,</w:t>
      </w:r>
      <w:r>
        <w:t xml:space="preserve"> y que las inversiones a incluir posteriormente corresponden a activos puestos en operación a partir del año 2021. </w:t>
      </w:r>
    </w:p>
    <w:p w14:paraId="14F635C6" w14:textId="41F8BA0F" w:rsidR="005145AE" w:rsidRDefault="005145AE" w:rsidP="005C36C6">
      <w:r>
        <w:t xml:space="preserve">El artículo 7 de la Resolución CREG 010 de 2020 establece lo siguiente: </w:t>
      </w:r>
    </w:p>
    <w:p w14:paraId="0A545EEB" w14:textId="34598220" w:rsidR="005145AE" w:rsidRDefault="005145AE" w:rsidP="00FB49F6">
      <w:pPr>
        <w:pStyle w:val="Artculo"/>
        <w:numPr>
          <w:ilvl w:val="0"/>
          <w:numId w:val="0"/>
        </w:numPr>
        <w:spacing w:before="60" w:after="60"/>
        <w:ind w:left="284"/>
        <w:outlineLvl w:val="2"/>
        <w:rPr>
          <w:rFonts w:eastAsia="Arial"/>
          <w:b w:val="0"/>
          <w:i/>
          <w:iCs/>
          <w:sz w:val="20"/>
          <w:szCs w:val="20"/>
        </w:rPr>
      </w:pPr>
      <w:r w:rsidRPr="005145AE">
        <w:rPr>
          <w:i/>
          <w:iCs/>
          <w:sz w:val="20"/>
          <w:szCs w:val="20"/>
        </w:rPr>
        <w:t xml:space="preserve">Artículo 7 Cálculo de valor implícito. </w:t>
      </w:r>
      <w:r w:rsidRPr="005145AE">
        <w:rPr>
          <w:b w:val="0"/>
          <w:i/>
          <w:iCs/>
          <w:sz w:val="20"/>
          <w:szCs w:val="20"/>
        </w:rPr>
        <w:t xml:space="preserve">Para la aplicación de la metodología establecida en la Resolución CREG 015 de 2018 en los mercados resultantes y para el régimen transitorio especial definido en la presente resolución, </w:t>
      </w:r>
      <w:r w:rsidRPr="005145AE">
        <w:rPr>
          <w:b w:val="0"/>
          <w:i/>
          <w:iCs/>
          <w:sz w:val="20"/>
          <w:szCs w:val="20"/>
          <w:u w:val="single"/>
        </w:rPr>
        <w:t>para el cálculo de la variable CRII</w:t>
      </w:r>
      <w:r w:rsidRPr="005145AE">
        <w:rPr>
          <w:b w:val="0"/>
          <w:i/>
          <w:iCs/>
          <w:sz w:val="20"/>
          <w:szCs w:val="20"/>
          <w:u w:val="single"/>
          <w:vertAlign w:val="subscript"/>
        </w:rPr>
        <w:t>j,n,l</w:t>
      </w:r>
      <w:r w:rsidRPr="005145AE">
        <w:rPr>
          <w:b w:val="0"/>
          <w:i/>
          <w:iCs/>
          <w:sz w:val="20"/>
          <w:szCs w:val="20"/>
          <w:u w:val="single"/>
        </w:rPr>
        <w:t xml:space="preserve"> se utilizará el valor correspondiente al mercado caribe, distribuido según los activos en operación a la fecha de corte de cada uno de los mercados resultantes</w:t>
      </w:r>
      <w:r w:rsidRPr="005145AE">
        <w:rPr>
          <w:b w:val="0"/>
          <w:i/>
          <w:iCs/>
          <w:sz w:val="20"/>
          <w:szCs w:val="20"/>
        </w:rPr>
        <w:t>.</w:t>
      </w:r>
      <w:r w:rsidRPr="005145AE">
        <w:rPr>
          <w:rFonts w:eastAsia="Arial"/>
          <w:b w:val="0"/>
          <w:i/>
          <w:iCs/>
          <w:sz w:val="20"/>
          <w:szCs w:val="20"/>
        </w:rPr>
        <w:t xml:space="preserve"> </w:t>
      </w:r>
    </w:p>
    <w:p w14:paraId="68E1DD24" w14:textId="0934D1B4" w:rsidR="007E27DA" w:rsidRPr="007E27DA" w:rsidRDefault="007E27DA" w:rsidP="000C68A9">
      <w:pPr>
        <w:pStyle w:val="Artculo"/>
        <w:numPr>
          <w:ilvl w:val="0"/>
          <w:numId w:val="0"/>
        </w:numPr>
        <w:spacing w:before="60" w:after="60"/>
        <w:ind w:left="567"/>
        <w:outlineLvl w:val="2"/>
        <w:rPr>
          <w:rFonts w:eastAsia="Arial"/>
          <w:b w:val="0"/>
          <w:bCs/>
          <w:i/>
          <w:iCs/>
          <w:sz w:val="20"/>
          <w:szCs w:val="20"/>
        </w:rPr>
      </w:pPr>
      <w:r w:rsidRPr="007E27DA">
        <w:rPr>
          <w:b w:val="0"/>
          <w:bCs/>
          <w:i/>
          <w:iCs/>
          <w:sz w:val="20"/>
          <w:szCs w:val="20"/>
        </w:rPr>
        <w:t>Subrayado fuera de texto</w:t>
      </w:r>
    </w:p>
    <w:p w14:paraId="3BE842D8" w14:textId="0B28B1BB" w:rsidR="00326A3F" w:rsidRPr="006B4EA0" w:rsidRDefault="005145AE" w:rsidP="005C36C6">
      <w:r w:rsidRPr="006B4EA0">
        <w:t xml:space="preserve">La </w:t>
      </w:r>
      <w:bookmarkStart w:id="1" w:name="_Hlk71272867"/>
      <w:r w:rsidRPr="006B4EA0">
        <w:t>base regulatoria inicial de activos</w:t>
      </w:r>
      <w:bookmarkEnd w:id="1"/>
      <w:r w:rsidRPr="006B4EA0">
        <w:t xml:space="preserve"> solicitada por Air-e </w:t>
      </w:r>
      <w:r w:rsidR="00FB49F6">
        <w:t xml:space="preserve">S.A.S. E.S.P. </w:t>
      </w:r>
      <w:r w:rsidRPr="006B4EA0">
        <w:t>incluye los activos puestos en operación a la fecha de corte, diciembre de 2019</w:t>
      </w:r>
      <w:r w:rsidR="00041C27" w:rsidRPr="006B4EA0">
        <w:t>,</w:t>
      </w:r>
      <w:r w:rsidRPr="006B4EA0">
        <w:t xml:space="preserve"> y los activos puestos en operación en el año 2020, por lo cual</w:t>
      </w:r>
      <w:r w:rsidR="00041C27" w:rsidRPr="006B4EA0">
        <w:t>,</w:t>
      </w:r>
      <w:r w:rsidRPr="006B4EA0">
        <w:t xml:space="preserve"> para </w:t>
      </w:r>
      <w:r w:rsidR="00041C27" w:rsidRPr="006B4EA0">
        <w:t xml:space="preserve">distribuir el </w:t>
      </w:r>
      <w:r w:rsidRPr="006B4EA0">
        <w:t xml:space="preserve">valor implícito </w:t>
      </w:r>
      <w:r w:rsidR="00041C27" w:rsidRPr="006B4EA0">
        <w:t>reconocido en los cargos de Electricaribe</w:t>
      </w:r>
      <w:r w:rsidR="00FB49F6">
        <w:t>,</w:t>
      </w:r>
      <w:r w:rsidR="00041C27" w:rsidRPr="006B4EA0">
        <w:t xml:space="preserve"> se </w:t>
      </w:r>
      <w:r w:rsidRPr="006B4EA0">
        <w:t xml:space="preserve">debe </w:t>
      </w:r>
      <w:r w:rsidR="00326A3F" w:rsidRPr="006B4EA0">
        <w:t xml:space="preserve">utilizar </w:t>
      </w:r>
      <w:r w:rsidR="00705E23" w:rsidRPr="006B4EA0">
        <w:t>únicamente el valor de los activos a la fecha de corte</w:t>
      </w:r>
      <w:r w:rsidR="00041C27" w:rsidRPr="006B4EA0">
        <w:t xml:space="preserve"> de los nuevos mercado</w:t>
      </w:r>
      <w:r w:rsidR="00326A3F" w:rsidRPr="006B4EA0">
        <w:t>s</w:t>
      </w:r>
      <w:r w:rsidR="00705E23" w:rsidRPr="006B4EA0">
        <w:t>, es decir</w:t>
      </w:r>
      <w:r w:rsidR="00FB49F6">
        <w:t>,</w:t>
      </w:r>
      <w:r w:rsidR="00705E23" w:rsidRPr="006B4EA0">
        <w:t xml:space="preserve"> </w:t>
      </w:r>
      <w:r w:rsidR="00041C27" w:rsidRPr="006B4EA0">
        <w:t xml:space="preserve">la información con corte </w:t>
      </w:r>
      <w:r w:rsidR="00705E23" w:rsidRPr="006B4EA0">
        <w:t>a diciembre de 2019</w:t>
      </w:r>
      <w:r w:rsidR="00326A3F" w:rsidRPr="006B4EA0">
        <w:t>.</w:t>
      </w:r>
    </w:p>
    <w:p w14:paraId="6B80093B" w14:textId="3337128C" w:rsidR="005145AE" w:rsidRDefault="00326A3F" w:rsidP="005C36C6">
      <w:r w:rsidRPr="006B4EA0">
        <w:t>Para el reconocimiento de los activos puestos en operación en el año 2020</w:t>
      </w:r>
      <w:r w:rsidR="00FB49F6">
        <w:t>,</w:t>
      </w:r>
      <w:r w:rsidRPr="006B4EA0">
        <w:t xml:space="preserve"> se sumará su valor a la base de activos a diciembre de 2019.</w:t>
      </w:r>
    </w:p>
    <w:p w14:paraId="0CED5B4F" w14:textId="21C1E4B0" w:rsidR="00AE06DD" w:rsidRDefault="00AE06DD" w:rsidP="00AE06DD">
      <w:pPr>
        <w:keepNext/>
        <w:rPr>
          <w:b/>
          <w:bCs/>
        </w:rPr>
      </w:pPr>
      <w:r>
        <w:rPr>
          <w:b/>
          <w:bCs/>
        </w:rPr>
        <w:t>Solicitud No. 2</w:t>
      </w:r>
    </w:p>
    <w:p w14:paraId="0B87B2F4" w14:textId="77777777" w:rsidR="00AE06DD" w:rsidRPr="00AE06DD" w:rsidRDefault="00AE06DD" w:rsidP="00FB49F6">
      <w:pPr>
        <w:spacing w:before="60" w:after="60"/>
        <w:ind w:left="284"/>
        <w:rPr>
          <w:i/>
          <w:iCs/>
          <w:sz w:val="20"/>
          <w:szCs w:val="20"/>
        </w:rPr>
      </w:pPr>
      <w:r w:rsidRPr="00AE06DD">
        <w:rPr>
          <w:i/>
          <w:iCs/>
          <w:sz w:val="20"/>
          <w:szCs w:val="20"/>
        </w:rPr>
        <w:t>Se reitera a la CREG la solicitud de reconocer la celda de reserva con unidad constructiva N2S15 identificada con IUA 100740015000 a nivel de 13.8 kV en la subestación 74 – Río Magdalena, y la celda de reserva correspondiente a la unidad constructiva N2S9 identificada con IUA 10037001T000 a nivel de 13.8 kV en la subestación 37 – Cordialidad, toda vez que ambas siendo parte del inventario del CRIN, cumplen los criterios establecidos en el numeral 5.1 de la Resolución 097 de 2008 para su reconocimiento.</w:t>
      </w:r>
    </w:p>
    <w:p w14:paraId="4A597FEF" w14:textId="7D712D11" w:rsidR="007C6290" w:rsidRDefault="007022AC" w:rsidP="005C36C6">
      <w:r w:rsidRPr="00D87FDD">
        <w:rPr>
          <w:b/>
          <w:bCs/>
        </w:rPr>
        <w:t>Análisis de la Comisión</w:t>
      </w:r>
    </w:p>
    <w:p w14:paraId="3C871148" w14:textId="0DD98891" w:rsidR="005C24B6" w:rsidRDefault="005C24B6" w:rsidP="005C24B6">
      <w:r>
        <w:t>En relación con las celdas de reserva</w:t>
      </w:r>
      <w:r w:rsidR="00FB49F6">
        <w:t>,</w:t>
      </w:r>
      <w:r>
        <w:t xml:space="preserve"> la Resolución CREG 097 de 2008 y la Resolución CREG 015 de 2018 establecen lo siguiente: </w:t>
      </w:r>
    </w:p>
    <w:p w14:paraId="24AEDD23" w14:textId="77777777" w:rsidR="005C24B6" w:rsidRDefault="005C24B6" w:rsidP="00FB49F6">
      <w:pPr>
        <w:spacing w:before="60" w:after="60"/>
        <w:ind w:left="284"/>
        <w:rPr>
          <w:i/>
          <w:iCs/>
          <w:sz w:val="20"/>
          <w:szCs w:val="20"/>
        </w:rPr>
      </w:pPr>
      <w:r w:rsidRPr="00C03C77">
        <w:rPr>
          <w:i/>
          <w:iCs/>
          <w:sz w:val="20"/>
          <w:szCs w:val="20"/>
        </w:rPr>
        <w:t xml:space="preserve">En consideración a los estándares de calidad del servicio que debe cumplir el OR, se permite </w:t>
      </w:r>
      <w:r w:rsidRPr="00736B70">
        <w:rPr>
          <w:i/>
          <w:iCs/>
          <w:sz w:val="20"/>
          <w:szCs w:val="20"/>
          <w:u w:val="single"/>
        </w:rPr>
        <w:t>remunerar una celda de reserva existente por cada 6 celdas que estén en operación</w:t>
      </w:r>
      <w:r w:rsidRPr="00C03C77">
        <w:rPr>
          <w:i/>
          <w:iCs/>
          <w:sz w:val="20"/>
          <w:szCs w:val="20"/>
        </w:rPr>
        <w:t xml:space="preserve"> en las subestaciones donde se solicite el reconocimiento de dichos activos</w:t>
      </w:r>
    </w:p>
    <w:p w14:paraId="6366435B" w14:textId="77777777" w:rsidR="005C24B6" w:rsidRPr="00C03C77" w:rsidRDefault="005C24B6" w:rsidP="00FB49F6">
      <w:pPr>
        <w:spacing w:before="60" w:after="60"/>
        <w:ind w:left="284"/>
        <w:rPr>
          <w:i/>
          <w:iCs/>
          <w:sz w:val="20"/>
          <w:szCs w:val="20"/>
        </w:rPr>
      </w:pPr>
      <w:r>
        <w:rPr>
          <w:i/>
          <w:iCs/>
          <w:sz w:val="20"/>
          <w:szCs w:val="20"/>
        </w:rPr>
        <w:t>Subrayado fuera de texto</w:t>
      </w:r>
    </w:p>
    <w:p w14:paraId="10727F63" w14:textId="433B1134" w:rsidR="00692345" w:rsidRDefault="00692345" w:rsidP="005C36C6">
      <w:r>
        <w:t xml:space="preserve">Se verificó la información </w:t>
      </w:r>
      <w:r w:rsidR="00C03C77">
        <w:t>reportada por el OR</w:t>
      </w:r>
      <w:r w:rsidR="00FB49F6">
        <w:t>,</w:t>
      </w:r>
      <w:r w:rsidR="00C03C77">
        <w:t xml:space="preserve"> y se identificó lo siguiente</w:t>
      </w:r>
      <w:r w:rsidR="005C24B6">
        <w:t xml:space="preserve"> para la subestación con IUS 0037</w:t>
      </w:r>
      <w:r w:rsidR="00C03C77">
        <w:t>:</w:t>
      </w:r>
    </w:p>
    <w:p w14:paraId="1EEB7DEB" w14:textId="141353ED" w:rsidR="00692345" w:rsidRDefault="007022AC" w:rsidP="006B4EA0">
      <w:pPr>
        <w:pStyle w:val="Prrafodelista"/>
        <w:numPr>
          <w:ilvl w:val="0"/>
          <w:numId w:val="33"/>
        </w:numPr>
        <w:spacing w:before="120" w:after="120"/>
        <w:ind w:left="357" w:hanging="357"/>
      </w:pPr>
      <w:r>
        <w:t>El OR report</w:t>
      </w:r>
      <w:r w:rsidR="007E2283">
        <w:t>ó</w:t>
      </w:r>
      <w:r>
        <w:t xml:space="preserve"> siete UC N2S9</w:t>
      </w:r>
      <w:r w:rsidR="00692345">
        <w:t xml:space="preserve"> (</w:t>
      </w:r>
      <w:r>
        <w:t>C</w:t>
      </w:r>
      <w:r w:rsidRPr="007022AC">
        <w:t>elda de salida de circuito - barra sencilla - subestación metalclad</w:t>
      </w:r>
      <w:r w:rsidR="00692345">
        <w:t>)</w:t>
      </w:r>
      <w:r>
        <w:t xml:space="preserve"> en la categoría CRI, </w:t>
      </w:r>
      <w:r w:rsidR="00692345">
        <w:t>siete UC N2S9 en la categoría CRIFO y once UC N2S9 en la categoría CRIN.</w:t>
      </w:r>
    </w:p>
    <w:p w14:paraId="7ED31DBB" w14:textId="03215602" w:rsidR="00C03C77" w:rsidRDefault="00692345" w:rsidP="006B4EA0">
      <w:pPr>
        <w:pStyle w:val="Prrafodelista"/>
        <w:numPr>
          <w:ilvl w:val="0"/>
          <w:numId w:val="33"/>
        </w:numPr>
        <w:spacing w:before="120" w:after="120"/>
        <w:ind w:left="357" w:hanging="357"/>
      </w:pPr>
      <w:r>
        <w:t>Para la subestación con IUS 0037 el OR reportó nueve circuitos de uso de 13,8 kV en operación</w:t>
      </w:r>
      <w:r w:rsidR="00C03C77">
        <w:t>.</w:t>
      </w:r>
    </w:p>
    <w:p w14:paraId="76992C16" w14:textId="77777777" w:rsidR="005C24B6" w:rsidRDefault="00C03C77" w:rsidP="004B51B6">
      <w:pPr>
        <w:pStyle w:val="Prrafodelista"/>
        <w:numPr>
          <w:ilvl w:val="0"/>
          <w:numId w:val="33"/>
        </w:numPr>
        <w:spacing w:before="120" w:after="120"/>
        <w:ind w:left="357" w:hanging="357"/>
      </w:pPr>
      <w:r>
        <w:t>E</w:t>
      </w:r>
      <w:r w:rsidR="00692345">
        <w:t>n el diagrama unifilar de la subestación se identifican nueve celdas de salida</w:t>
      </w:r>
      <w:r>
        <w:t xml:space="preserve"> de circuitos (La Paz, Cordialidad 8, Macarena, Las Malvinas, Galapa, San Martín, Almendros, Cordialidad 9 y Cordialidad 10), una celda del circuito Cementos y concretos Atlántico </w:t>
      </w:r>
      <w:r w:rsidR="00692345">
        <w:t>y tres celdas de reserva</w:t>
      </w:r>
      <w:r>
        <w:t xml:space="preserve"> (Reserva 1, Reserva 2 y Reserva 3)</w:t>
      </w:r>
      <w:r w:rsidR="00692345">
        <w:t>.</w:t>
      </w:r>
    </w:p>
    <w:p w14:paraId="3BFDD16A" w14:textId="4318E85E" w:rsidR="00692345" w:rsidRDefault="005C24B6" w:rsidP="004B51B6">
      <w:pPr>
        <w:pStyle w:val="Prrafodelista"/>
        <w:numPr>
          <w:ilvl w:val="0"/>
          <w:numId w:val="33"/>
        </w:numPr>
        <w:spacing w:before="120" w:after="120"/>
        <w:ind w:left="357" w:hanging="357"/>
      </w:pPr>
      <w:r>
        <w:t>E</w:t>
      </w:r>
      <w:r w:rsidR="00427550">
        <w:t>n la Resolución CREG 024 de 2021 se reconocieron las nueve celdas en operación y una celda de reserva</w:t>
      </w:r>
      <w:r w:rsidR="00FA3C61">
        <w:t xml:space="preserve">. </w:t>
      </w:r>
      <w:r>
        <w:t>P</w:t>
      </w:r>
      <w:r w:rsidR="00FA3C61">
        <w:t xml:space="preserve">ara </w:t>
      </w:r>
      <w:r w:rsidR="00EC4FD7">
        <w:t xml:space="preserve">reconocer </w:t>
      </w:r>
      <w:r w:rsidR="00FA3C61">
        <w:t xml:space="preserve">una segunda </w:t>
      </w:r>
      <w:r w:rsidR="00EC4FD7">
        <w:t xml:space="preserve">celda de reserva en </w:t>
      </w:r>
      <w:r w:rsidR="00FA3C61">
        <w:t xml:space="preserve">esta </w:t>
      </w:r>
      <w:r w:rsidR="00EC4FD7">
        <w:t>subestación</w:t>
      </w:r>
      <w:r w:rsidR="00FA3C61">
        <w:t>,</w:t>
      </w:r>
      <w:r w:rsidR="00EC4FD7">
        <w:t xml:space="preserve"> como se </w:t>
      </w:r>
      <w:r w:rsidR="00427550">
        <w:t>solicita</w:t>
      </w:r>
      <w:r w:rsidR="00EC4FD7">
        <w:t xml:space="preserve"> en el recurso de reposición</w:t>
      </w:r>
      <w:r w:rsidR="00FA3C61">
        <w:t>,</w:t>
      </w:r>
      <w:r w:rsidR="00EC4FD7">
        <w:t xml:space="preserve"> se deberían tener doce celdas en operación. </w:t>
      </w:r>
    </w:p>
    <w:p w14:paraId="5BBB8BA1" w14:textId="77777777" w:rsidR="00AC2678" w:rsidRDefault="00FA3C61" w:rsidP="007E2283">
      <w:r>
        <w:t>De otra parte, e</w:t>
      </w:r>
      <w:r w:rsidR="007E2283">
        <w:t xml:space="preserve">n la subestación con IUS 0074 </w:t>
      </w:r>
      <w:r w:rsidR="00AC2678">
        <w:t xml:space="preserve">se identificó lo siguiente: </w:t>
      </w:r>
    </w:p>
    <w:p w14:paraId="190E85CC" w14:textId="2B55C15E" w:rsidR="007E2283" w:rsidRDefault="00AC2678" w:rsidP="00AC2678">
      <w:pPr>
        <w:pStyle w:val="Prrafodelista"/>
        <w:numPr>
          <w:ilvl w:val="0"/>
          <w:numId w:val="33"/>
        </w:numPr>
        <w:spacing w:before="120" w:after="120"/>
        <w:ind w:left="357" w:hanging="357"/>
      </w:pPr>
      <w:r>
        <w:t>E</w:t>
      </w:r>
      <w:r w:rsidR="007E2283">
        <w:t>l OR reportó cuatro UC N2S15 (C</w:t>
      </w:r>
      <w:r w:rsidR="007E2283" w:rsidRPr="007E2283">
        <w:t xml:space="preserve">elda </w:t>
      </w:r>
      <w:r>
        <w:t xml:space="preserve">de </w:t>
      </w:r>
      <w:r w:rsidR="007E2283" w:rsidRPr="007E2283">
        <w:t xml:space="preserve">salida </w:t>
      </w:r>
      <w:r>
        <w:t xml:space="preserve">de </w:t>
      </w:r>
      <w:r w:rsidR="007E2283" w:rsidRPr="007E2283">
        <w:t>circuito</w:t>
      </w:r>
      <w:r>
        <w:t xml:space="preserve"> - </w:t>
      </w:r>
      <w:r w:rsidR="007E2283" w:rsidRPr="007E2283">
        <w:t>doble barra</w:t>
      </w:r>
      <w:r>
        <w:t xml:space="preserve"> - </w:t>
      </w:r>
      <w:r w:rsidR="007E2283" w:rsidRPr="007E2283">
        <w:t>subestación metalclad</w:t>
      </w:r>
      <w:r w:rsidR="007E2283">
        <w:t xml:space="preserve">) en la categoría CRI y una en la categoría CRIN. </w:t>
      </w:r>
    </w:p>
    <w:p w14:paraId="5D2FB4A1" w14:textId="29DCF5C6" w:rsidR="007E2283" w:rsidRDefault="007E2283" w:rsidP="00AC2678">
      <w:pPr>
        <w:pStyle w:val="Prrafodelista"/>
        <w:numPr>
          <w:ilvl w:val="0"/>
          <w:numId w:val="33"/>
        </w:numPr>
        <w:spacing w:before="120" w:after="120"/>
        <w:ind w:left="357" w:hanging="357"/>
      </w:pPr>
      <w:r>
        <w:t>Para la subestación con IUS 0074 el OR reportó cuatro circuitos de uso de 13,8 kV en operación.</w:t>
      </w:r>
    </w:p>
    <w:p w14:paraId="7FD65BF4" w14:textId="77777777" w:rsidR="005C24B6" w:rsidRDefault="007E2283" w:rsidP="0021414E">
      <w:pPr>
        <w:pStyle w:val="Prrafodelista"/>
        <w:numPr>
          <w:ilvl w:val="0"/>
          <w:numId w:val="33"/>
        </w:numPr>
        <w:spacing w:before="120" w:after="120"/>
        <w:ind w:left="357" w:hanging="357"/>
      </w:pPr>
      <w:r>
        <w:t>En el diagrama</w:t>
      </w:r>
      <w:r w:rsidR="00FA3C61">
        <w:t xml:space="preserve"> </w:t>
      </w:r>
      <w:r>
        <w:t>unifilar de la subestación se identifican cuatro celdas de salida de circuitos (Magdalena, Salamanca, Pasadena y Pumarejo) y una celda de reserva.</w:t>
      </w:r>
    </w:p>
    <w:p w14:paraId="1C2FDA65" w14:textId="3B7E7924" w:rsidR="00FA3C61" w:rsidRDefault="005C24B6" w:rsidP="0021414E">
      <w:pPr>
        <w:pStyle w:val="Prrafodelista"/>
        <w:numPr>
          <w:ilvl w:val="0"/>
          <w:numId w:val="33"/>
        </w:numPr>
        <w:spacing w:before="120" w:after="120"/>
        <w:ind w:left="357" w:hanging="357"/>
      </w:pPr>
      <w:r>
        <w:t>E</w:t>
      </w:r>
      <w:r w:rsidR="00FA3C61">
        <w:t>n la Resolución CREG 024 de 2021 se reconocieron las cuatro celdas en operación y ninguna celda de reserva</w:t>
      </w:r>
      <w:r>
        <w:t>,</w:t>
      </w:r>
      <w:r w:rsidR="00FA3C61">
        <w:t xml:space="preserve"> al no contar con al menos seis celdas en operación como establece la metodología.</w:t>
      </w:r>
    </w:p>
    <w:p w14:paraId="5A87102F" w14:textId="2D1124DE" w:rsidR="005C24B6" w:rsidRDefault="005C24B6" w:rsidP="005C24B6">
      <w:r>
        <w:t xml:space="preserve">Con base en lo anterior, se entiende que no hay errores en la aplicación de la metodología, por lo cual no se </w:t>
      </w:r>
      <w:r w:rsidR="007B47D3">
        <w:t xml:space="preserve">realiza </w:t>
      </w:r>
      <w:r>
        <w:t xml:space="preserve">el ajuste solicitado por el OR en el recurso de reposición </w:t>
      </w:r>
    </w:p>
    <w:p w14:paraId="5D6CF762" w14:textId="524037D5" w:rsidR="00AE06DD" w:rsidRDefault="00125916" w:rsidP="005C36C6">
      <w:r>
        <w:rPr>
          <w:b/>
          <w:bCs/>
        </w:rPr>
        <w:t>Solicitud No. 3</w:t>
      </w:r>
      <w:r w:rsidR="007022AC">
        <w:t xml:space="preserve"> </w:t>
      </w:r>
    </w:p>
    <w:p w14:paraId="04D0E7BD" w14:textId="1AE924E1" w:rsidR="007B5F8C" w:rsidRDefault="00125916" w:rsidP="00FB49F6">
      <w:pPr>
        <w:spacing w:before="60" w:after="60"/>
        <w:ind w:left="284"/>
        <w:rPr>
          <w:i/>
          <w:iCs/>
          <w:sz w:val="20"/>
          <w:szCs w:val="20"/>
        </w:rPr>
      </w:pPr>
      <w:r w:rsidRPr="00125916">
        <w:rPr>
          <w:i/>
          <w:iCs/>
          <w:sz w:val="20"/>
          <w:szCs w:val="20"/>
        </w:rPr>
        <w:t xml:space="preserve">Se reitera al Regulador </w:t>
      </w:r>
      <w:r w:rsidRPr="00125916">
        <w:rPr>
          <w:i/>
          <w:iCs/>
          <w:sz w:val="20"/>
          <w:szCs w:val="20"/>
          <w:u w:val="single"/>
        </w:rPr>
        <w:t>incluir cinco UC asociadas a equipos de subestación ubicadas en la 88 – Cuestecita como parte de la base inicial de activos</w:t>
      </w:r>
      <w:r w:rsidRPr="00125916">
        <w:rPr>
          <w:i/>
          <w:iCs/>
          <w:sz w:val="20"/>
          <w:szCs w:val="20"/>
        </w:rPr>
        <w:t xml:space="preserve">, en vista de que </w:t>
      </w:r>
      <w:r w:rsidRPr="00125916">
        <w:rPr>
          <w:i/>
          <w:iCs/>
          <w:sz w:val="20"/>
          <w:szCs w:val="20"/>
          <w:u w:val="single"/>
        </w:rPr>
        <w:t>se ha realizado la corrección del porcentaje de uso, el cual había sido interpretado como el porcentaje de propiedad del activo</w:t>
      </w:r>
      <w:r w:rsidRPr="00125916">
        <w:rPr>
          <w:i/>
          <w:iCs/>
          <w:sz w:val="20"/>
          <w:szCs w:val="20"/>
        </w:rPr>
        <w:t>.</w:t>
      </w:r>
      <w:r w:rsidR="00736B70">
        <w:rPr>
          <w:i/>
          <w:iCs/>
          <w:sz w:val="20"/>
          <w:szCs w:val="20"/>
        </w:rPr>
        <w:t xml:space="preserve"> </w:t>
      </w:r>
      <w:r w:rsidR="007B5F8C">
        <w:rPr>
          <w:i/>
          <w:iCs/>
          <w:sz w:val="20"/>
          <w:szCs w:val="20"/>
        </w:rPr>
        <w:t>(…)</w:t>
      </w:r>
    </w:p>
    <w:p w14:paraId="0F22FD8B" w14:textId="77777777" w:rsidR="007B5F8C" w:rsidRPr="007B5F8C" w:rsidRDefault="007B5F8C" w:rsidP="00FB49F6">
      <w:pPr>
        <w:spacing w:before="60" w:after="60"/>
        <w:ind w:left="284"/>
        <w:rPr>
          <w:i/>
          <w:iCs/>
          <w:sz w:val="20"/>
          <w:szCs w:val="20"/>
        </w:rPr>
      </w:pPr>
      <w:r w:rsidRPr="007B5F8C">
        <w:rPr>
          <w:i/>
          <w:iCs/>
          <w:sz w:val="20"/>
          <w:szCs w:val="20"/>
        </w:rPr>
        <w:t xml:space="preserve">Ahora bien, la CREG argumenta no incluir las UC relacionadas con reposiciones parciales de equipos de subestación toda vez que no se desagregan en otros elementos.  </w:t>
      </w:r>
    </w:p>
    <w:p w14:paraId="4C656834" w14:textId="6859E5DD" w:rsidR="007B5F8C" w:rsidRPr="007B5F8C" w:rsidRDefault="007B5F8C" w:rsidP="00FB49F6">
      <w:pPr>
        <w:spacing w:before="60" w:after="60"/>
        <w:ind w:left="567"/>
        <w:rPr>
          <w:i/>
          <w:iCs/>
          <w:sz w:val="20"/>
          <w:szCs w:val="20"/>
        </w:rPr>
      </w:pPr>
      <w:r>
        <w:rPr>
          <w:i/>
          <w:iCs/>
          <w:sz w:val="20"/>
          <w:szCs w:val="20"/>
        </w:rPr>
        <w:t>“No se incluyen las UC relacionadas con reposiciones parciales de UC de equipos de subestación, ya que estas UC no se desagregan otros elementos”</w:t>
      </w:r>
      <w:r w:rsidRPr="007B5F8C">
        <w:rPr>
          <w:i/>
          <w:iCs/>
          <w:sz w:val="20"/>
          <w:szCs w:val="20"/>
        </w:rPr>
        <w:t xml:space="preserve">.  </w:t>
      </w:r>
    </w:p>
    <w:p w14:paraId="4346C70B" w14:textId="695B8142" w:rsidR="007B5F8C" w:rsidRDefault="007B5F8C" w:rsidP="00FB49F6">
      <w:pPr>
        <w:spacing w:before="60" w:after="60"/>
        <w:ind w:left="284"/>
        <w:rPr>
          <w:i/>
          <w:iCs/>
          <w:sz w:val="20"/>
          <w:szCs w:val="20"/>
        </w:rPr>
      </w:pPr>
      <w:r w:rsidRPr="007B5F8C">
        <w:rPr>
          <w:i/>
          <w:iCs/>
          <w:sz w:val="20"/>
          <w:szCs w:val="20"/>
        </w:rPr>
        <w:t xml:space="preserve">Siendo así, se han identificado las UC presentadas en la Tabla 2-2, para las cuales </w:t>
      </w:r>
      <w:r w:rsidRPr="007B5F8C">
        <w:rPr>
          <w:i/>
          <w:iCs/>
          <w:sz w:val="20"/>
          <w:szCs w:val="20"/>
          <w:u w:val="single"/>
        </w:rPr>
        <w:t>se realiza un reporte parcial del 62,89%, dado que el formato 9 de la Circular CREG 029 de 2018, no incorpora la columna de porcentaje de uso</w:t>
      </w:r>
      <w:r w:rsidRPr="007B5F8C">
        <w:rPr>
          <w:i/>
          <w:iCs/>
          <w:sz w:val="20"/>
          <w:szCs w:val="20"/>
        </w:rPr>
        <w:t xml:space="preserve">, para reportar la participación que tiene AIR-E S.A.S. E.S.P. sobre el activo. Por lo tanto, </w:t>
      </w:r>
      <w:r w:rsidRPr="007B5F8C">
        <w:rPr>
          <w:i/>
          <w:iCs/>
          <w:sz w:val="20"/>
          <w:szCs w:val="20"/>
          <w:u w:val="single"/>
        </w:rPr>
        <w:t>se procede con la corrección de la información y se solicita nuevamente al Regulador su inclusión en el inventario</w:t>
      </w:r>
    </w:p>
    <w:p w14:paraId="7E210A8C" w14:textId="5A7C2BA4" w:rsidR="00125916" w:rsidRPr="00125916" w:rsidRDefault="00125916" w:rsidP="00BE66A2">
      <w:pPr>
        <w:spacing w:before="60" w:after="60"/>
        <w:ind w:left="284"/>
        <w:rPr>
          <w:i/>
          <w:iCs/>
          <w:sz w:val="20"/>
          <w:szCs w:val="20"/>
        </w:rPr>
      </w:pPr>
      <w:r>
        <w:rPr>
          <w:i/>
          <w:iCs/>
          <w:sz w:val="20"/>
          <w:szCs w:val="20"/>
        </w:rPr>
        <w:t>Subrayado fuera de texto</w:t>
      </w:r>
    </w:p>
    <w:p w14:paraId="6EEDF67E" w14:textId="3A164333" w:rsidR="00047000" w:rsidRDefault="00047000" w:rsidP="005C36C6">
      <w:r w:rsidRPr="00D87FDD">
        <w:rPr>
          <w:b/>
          <w:bCs/>
        </w:rPr>
        <w:t>Análisis de la Comisión</w:t>
      </w:r>
    </w:p>
    <w:p w14:paraId="74EB7FD2" w14:textId="6019A0C7" w:rsidR="00C33493" w:rsidRDefault="00C33493" w:rsidP="005C36C6">
      <w:r>
        <w:t>La metodología establecida en la Resolución CREG 015 de 2018 no considera la reposición parcial de UC de equipos, entendiendo que estas UC son la unidad mínima para efectos del reconocimiento de activos. C</w:t>
      </w:r>
      <w:r w:rsidR="00047000">
        <w:t>on base en el reporte realizado por el OR en la solicitud de aprobación de ingresos</w:t>
      </w:r>
      <w:r>
        <w:t>,</w:t>
      </w:r>
      <w:r w:rsidR="00047000">
        <w:t xml:space="preserve"> se excluyeron </w:t>
      </w:r>
      <w:r>
        <w:t>estas UC</w:t>
      </w:r>
      <w:r w:rsidR="00BE66A2">
        <w:t>,</w:t>
      </w:r>
      <w:r>
        <w:t xml:space="preserve"> al ser reportadas incluyendo un porcentaje de reposición parcial.</w:t>
      </w:r>
    </w:p>
    <w:p w14:paraId="00EDC05E" w14:textId="11726255" w:rsidR="006860FB" w:rsidRDefault="00C33493" w:rsidP="005C36C6">
      <w:r>
        <w:t>C</w:t>
      </w:r>
      <w:r w:rsidR="00047000">
        <w:t>on base en la</w:t>
      </w:r>
      <w:r>
        <w:t>s</w:t>
      </w:r>
      <w:r w:rsidR="00047000">
        <w:t xml:space="preserve"> aclaraci</w:t>
      </w:r>
      <w:r>
        <w:t>ones</w:t>
      </w:r>
      <w:r w:rsidR="00047000">
        <w:t xml:space="preserve"> presentada</w:t>
      </w:r>
      <w:r>
        <w:t>s</w:t>
      </w:r>
      <w:r w:rsidR="00047000">
        <w:t xml:space="preserve"> por el OR en el recurso de reposición</w:t>
      </w:r>
      <w:r w:rsidR="00BE66A2">
        <w:t>,</w:t>
      </w:r>
      <w:r w:rsidR="00047000">
        <w:t xml:space="preserve"> se ajusta el inventario y se reconocen estas UC en los porcentajes de uso solicitados.</w:t>
      </w:r>
    </w:p>
    <w:p w14:paraId="6C331764" w14:textId="77777777" w:rsidR="00BE66A2" w:rsidRDefault="00BE66A2" w:rsidP="005C36C6"/>
    <w:p w14:paraId="01E7E335" w14:textId="77777777" w:rsidR="00047000" w:rsidRDefault="00047000" w:rsidP="005C36C6">
      <w:pPr>
        <w:rPr>
          <w:b/>
          <w:bCs/>
        </w:rPr>
      </w:pPr>
      <w:r>
        <w:rPr>
          <w:b/>
          <w:bCs/>
        </w:rPr>
        <w:t>Solicitud No. 4</w:t>
      </w:r>
    </w:p>
    <w:p w14:paraId="7A92A49F" w14:textId="7FE77F70" w:rsidR="00047000" w:rsidRDefault="00047000" w:rsidP="00BE66A2">
      <w:pPr>
        <w:spacing w:before="60" w:after="60"/>
        <w:ind w:left="284"/>
        <w:rPr>
          <w:i/>
          <w:iCs/>
          <w:sz w:val="20"/>
          <w:szCs w:val="20"/>
        </w:rPr>
      </w:pPr>
      <w:r w:rsidRPr="00736B70">
        <w:rPr>
          <w:i/>
          <w:iCs/>
          <w:sz w:val="20"/>
          <w:szCs w:val="20"/>
        </w:rPr>
        <w:t>Se solicita a la CREG modificar la UC N5T24 Transformador tridevanado trifásico (OLTC) de conexión al STN capacidad final de 91 a 120 MVA por la UC N5T7 Transformador trifásico (OLTC) de conexión al STN capacidad final de 91 a 100 MVA, e incluir la UC N4EQ1 Unidad de adquisición de datos en la subestación TEBSA sustentado en el último reporte realizad</w:t>
      </w:r>
      <w:r w:rsidRPr="00047000">
        <w:rPr>
          <w:i/>
          <w:iCs/>
          <w:sz w:val="20"/>
          <w:szCs w:val="20"/>
        </w:rPr>
        <w:t>o por ambas empresas y avalado por el artículo 3o de la Resolución CREG 015 de 2018</w:t>
      </w:r>
      <w:r>
        <w:rPr>
          <w:i/>
          <w:iCs/>
          <w:sz w:val="20"/>
          <w:szCs w:val="20"/>
        </w:rPr>
        <w:t>.</w:t>
      </w:r>
      <w:r w:rsidR="00736B70">
        <w:rPr>
          <w:i/>
          <w:iCs/>
          <w:sz w:val="20"/>
          <w:szCs w:val="20"/>
        </w:rPr>
        <w:t xml:space="preserve"> </w:t>
      </w:r>
      <w:r>
        <w:rPr>
          <w:i/>
          <w:iCs/>
          <w:sz w:val="20"/>
          <w:szCs w:val="20"/>
        </w:rPr>
        <w:t>(…)</w:t>
      </w:r>
    </w:p>
    <w:p w14:paraId="5C651217" w14:textId="4552AE43" w:rsidR="00047000" w:rsidRDefault="00047000" w:rsidP="00BE66A2">
      <w:pPr>
        <w:spacing w:before="60" w:after="60"/>
        <w:ind w:left="284"/>
        <w:rPr>
          <w:i/>
          <w:iCs/>
          <w:sz w:val="20"/>
          <w:szCs w:val="20"/>
        </w:rPr>
      </w:pPr>
      <w:r w:rsidRPr="00047000">
        <w:rPr>
          <w:i/>
          <w:iCs/>
          <w:sz w:val="20"/>
          <w:szCs w:val="20"/>
        </w:rPr>
        <w:t>AIR-E S.A.S. E.S.P. se permite indicar que, de acuerdo con los contratos de conexión al STN suscritos con las empresas Termobarranquilla S.A. E.S.P. (TEBSA) y Transelca S.A. E.S.P., se han encontrado activos que no habían sido incluidos o estaban mal reportados en la base inicial de activos, por lo tanto, son puestos en conocimiento del Regulador para su reconocimiento dentro del inventario, conforme a lo establecido en el artículo 3o de la Resolución CREG 015 de 2018:</w:t>
      </w:r>
      <w:r>
        <w:rPr>
          <w:i/>
          <w:iCs/>
          <w:sz w:val="20"/>
          <w:szCs w:val="20"/>
        </w:rPr>
        <w:t xml:space="preserve"> (…)</w:t>
      </w:r>
    </w:p>
    <w:p w14:paraId="4FCE3832" w14:textId="6F10D6E8" w:rsidR="00047000" w:rsidRDefault="00047000" w:rsidP="00BE66A2">
      <w:pPr>
        <w:spacing w:before="60" w:after="60"/>
        <w:ind w:left="284"/>
        <w:rPr>
          <w:i/>
          <w:iCs/>
          <w:sz w:val="20"/>
          <w:szCs w:val="20"/>
        </w:rPr>
      </w:pPr>
      <w:r w:rsidRPr="00047000">
        <w:rPr>
          <w:i/>
          <w:iCs/>
          <w:sz w:val="20"/>
          <w:szCs w:val="20"/>
        </w:rPr>
        <w:t>Concretamente, con fecha posterior al envío de información con radicado CREG E</w:t>
      </w:r>
      <w:r w:rsidR="008C38AB">
        <w:rPr>
          <w:i/>
          <w:iCs/>
          <w:sz w:val="20"/>
          <w:szCs w:val="20"/>
        </w:rPr>
        <w:noBreakHyphen/>
      </w:r>
      <w:r w:rsidRPr="00047000">
        <w:rPr>
          <w:i/>
          <w:iCs/>
          <w:sz w:val="20"/>
          <w:szCs w:val="20"/>
        </w:rPr>
        <w:t>2021</w:t>
      </w:r>
      <w:r w:rsidR="008C38AB">
        <w:rPr>
          <w:i/>
          <w:iCs/>
          <w:sz w:val="20"/>
          <w:szCs w:val="20"/>
        </w:rPr>
        <w:noBreakHyphen/>
      </w:r>
      <w:r w:rsidRPr="00047000">
        <w:rPr>
          <w:i/>
          <w:iCs/>
          <w:sz w:val="20"/>
          <w:szCs w:val="20"/>
        </w:rPr>
        <w:t xml:space="preserve">002222 de febrero 17 de 2021, Termobarranquilla S.A. E.S.P. - TEBSA y Transelca S.A. E.S.P. enviaron algunas precisiones y comentarios a la información reportada inicialmente.  </w:t>
      </w:r>
      <w:r>
        <w:rPr>
          <w:i/>
          <w:iCs/>
          <w:sz w:val="20"/>
          <w:szCs w:val="20"/>
        </w:rPr>
        <w:t>(…)</w:t>
      </w:r>
    </w:p>
    <w:p w14:paraId="70ECEFD3" w14:textId="2E8538EC" w:rsidR="00047000" w:rsidRPr="00047000" w:rsidRDefault="00047000" w:rsidP="00BE66A2">
      <w:pPr>
        <w:spacing w:before="60" w:after="60"/>
        <w:ind w:left="284"/>
        <w:rPr>
          <w:i/>
          <w:iCs/>
          <w:sz w:val="20"/>
          <w:szCs w:val="20"/>
        </w:rPr>
      </w:pPr>
      <w:r w:rsidRPr="00047000">
        <w:rPr>
          <w:i/>
          <w:iCs/>
          <w:sz w:val="20"/>
          <w:szCs w:val="20"/>
        </w:rPr>
        <w:t xml:space="preserve">i. Unidades constructivas subestación 105 – TEBSA </w:t>
      </w:r>
    </w:p>
    <w:p w14:paraId="4CB97168" w14:textId="2CBD158E" w:rsidR="00047000" w:rsidRPr="00047000" w:rsidRDefault="00047000" w:rsidP="00BE66A2">
      <w:pPr>
        <w:spacing w:before="60" w:after="60"/>
        <w:ind w:left="284"/>
        <w:rPr>
          <w:i/>
          <w:iCs/>
          <w:sz w:val="20"/>
          <w:szCs w:val="20"/>
        </w:rPr>
      </w:pPr>
      <w:r w:rsidRPr="00047000">
        <w:rPr>
          <w:i/>
          <w:iCs/>
          <w:sz w:val="20"/>
          <w:szCs w:val="20"/>
        </w:rPr>
        <w:t xml:space="preserve">Se solicita reemplazar la UC N5T24 Transformador tridevanado trifásico (OLTC) de conexión al STN capacidad final de 91 a 120 MVA por la UC N5T7 Transformador trifásico (OLTC) de conexión al STN capacidad final de 91 a 100 MVA, considerando el activo finalmente puesto en operación por Termobarranquilla S.A E.S.P. en la subestación TEBSA.  </w:t>
      </w:r>
    </w:p>
    <w:p w14:paraId="05FC74D3" w14:textId="66DA32AB" w:rsidR="00047000" w:rsidRDefault="00047000" w:rsidP="00BE66A2">
      <w:pPr>
        <w:spacing w:before="60" w:after="60"/>
        <w:ind w:left="284"/>
        <w:rPr>
          <w:i/>
          <w:iCs/>
          <w:sz w:val="20"/>
          <w:szCs w:val="20"/>
        </w:rPr>
      </w:pPr>
      <w:r w:rsidRPr="00047000">
        <w:rPr>
          <w:i/>
          <w:iCs/>
          <w:sz w:val="20"/>
          <w:szCs w:val="20"/>
        </w:rPr>
        <w:t>A continuación, se presenta el registro fotográfico y los datos de placa del transformador existente.</w:t>
      </w:r>
      <w:r>
        <w:rPr>
          <w:i/>
          <w:iCs/>
          <w:sz w:val="20"/>
          <w:szCs w:val="20"/>
        </w:rPr>
        <w:t xml:space="preserve"> (…)</w:t>
      </w:r>
    </w:p>
    <w:p w14:paraId="5BD6B9EA" w14:textId="5A550966" w:rsidR="00047000" w:rsidRDefault="00121CA0" w:rsidP="00BE66A2">
      <w:pPr>
        <w:spacing w:before="60" w:after="60"/>
        <w:ind w:left="284"/>
        <w:rPr>
          <w:i/>
          <w:iCs/>
          <w:sz w:val="20"/>
          <w:szCs w:val="20"/>
        </w:rPr>
      </w:pPr>
      <w:r w:rsidRPr="00121CA0">
        <w:rPr>
          <w:i/>
          <w:iCs/>
          <w:sz w:val="20"/>
          <w:szCs w:val="20"/>
        </w:rPr>
        <w:t>Se solicita a la CREG incluir la UC N4EQ1 Unidad de adquisición de datos, considerando que, la UPME mediante concepto 20161530049081 de 29 de noviembre de 20165 avaló su instalación, y a la fecha se encuentra puesto en operación en la subestación 105 -TEBSA.</w:t>
      </w:r>
    </w:p>
    <w:p w14:paraId="36B461D4" w14:textId="4119CD78" w:rsidR="0000762D" w:rsidRDefault="0000762D" w:rsidP="008C38AB">
      <w:r w:rsidRPr="00D87FDD">
        <w:rPr>
          <w:b/>
          <w:bCs/>
        </w:rPr>
        <w:t>Análisis de la Comisión</w:t>
      </w:r>
    </w:p>
    <w:p w14:paraId="01A05263" w14:textId="1F20275E" w:rsidR="00836BE3" w:rsidRPr="0000762D" w:rsidRDefault="008C38AB" w:rsidP="008C38AB">
      <w:r>
        <w:t>Con base en la</w:t>
      </w:r>
      <w:r w:rsidR="00C33493">
        <w:t>s</w:t>
      </w:r>
      <w:r>
        <w:t xml:space="preserve"> aclaraci</w:t>
      </w:r>
      <w:r w:rsidR="00C33493">
        <w:t>ones</w:t>
      </w:r>
      <w:r>
        <w:t xml:space="preserve"> presentada</w:t>
      </w:r>
      <w:r w:rsidR="00C33493">
        <w:t>s</w:t>
      </w:r>
      <w:r>
        <w:t xml:space="preserve"> por el OR en el recurso de reposición</w:t>
      </w:r>
      <w:r w:rsidR="00C33493">
        <w:t>,</w:t>
      </w:r>
      <w:r>
        <w:t xml:space="preserve"> respecto al tipo de UC </w:t>
      </w:r>
      <w:r w:rsidR="00DD3EF5">
        <w:t>en operación en la subestación con código IUS 0105</w:t>
      </w:r>
      <w:r w:rsidR="00C33493">
        <w:t>,</w:t>
      </w:r>
      <w:r w:rsidR="00DD3EF5">
        <w:t xml:space="preserve"> se ajusta el inventario reconocido</w:t>
      </w:r>
      <w:r w:rsidR="00836BE3">
        <w:t>, modifica</w:t>
      </w:r>
      <w:r w:rsidR="00C33493">
        <w:t>ndo</w:t>
      </w:r>
      <w:r w:rsidR="00836BE3">
        <w:t xml:space="preserve"> la UC N5T24 por la UC N5T7</w:t>
      </w:r>
      <w:r w:rsidR="00BE66A2">
        <w:t>,</w:t>
      </w:r>
      <w:r w:rsidR="00C33493">
        <w:t xml:space="preserve"> y </w:t>
      </w:r>
      <w:r w:rsidR="001B50BA">
        <w:t>s</w:t>
      </w:r>
      <w:r w:rsidR="00836BE3" w:rsidRPr="0000762D">
        <w:t>e incluy</w:t>
      </w:r>
      <w:r w:rsidR="001B50BA">
        <w:t>e</w:t>
      </w:r>
      <w:r w:rsidR="00836BE3" w:rsidRPr="0000762D">
        <w:t xml:space="preserve"> la UC </w:t>
      </w:r>
      <w:r w:rsidR="0000762D" w:rsidRPr="0000762D">
        <w:t>N4EQ1.</w:t>
      </w:r>
      <w:r w:rsidR="0000762D">
        <w:t xml:space="preserve"> </w:t>
      </w:r>
    </w:p>
    <w:p w14:paraId="454A51F7" w14:textId="637D07A3" w:rsidR="00DD3EF5" w:rsidRDefault="00DD3EF5" w:rsidP="00DD3EF5">
      <w:pPr>
        <w:rPr>
          <w:b/>
          <w:bCs/>
        </w:rPr>
      </w:pPr>
      <w:r>
        <w:rPr>
          <w:b/>
          <w:bCs/>
        </w:rPr>
        <w:t>Solicitud No. 5</w:t>
      </w:r>
    </w:p>
    <w:p w14:paraId="3B949A46" w14:textId="3FB4D7B4" w:rsidR="00836BE3" w:rsidRPr="00836BE3" w:rsidRDefault="00836BE3" w:rsidP="00BE66A2">
      <w:pPr>
        <w:spacing w:before="60" w:after="60"/>
        <w:ind w:left="284"/>
        <w:rPr>
          <w:i/>
          <w:iCs/>
          <w:sz w:val="20"/>
          <w:szCs w:val="20"/>
        </w:rPr>
      </w:pPr>
      <w:r w:rsidRPr="00836BE3">
        <w:rPr>
          <w:i/>
          <w:iCs/>
          <w:sz w:val="20"/>
          <w:szCs w:val="20"/>
        </w:rPr>
        <w:t>Se solicita al Regulador, reemplazar la UC N5T7 Transformador trifásico (OLTC) de conexión al STN capacidad final de 91 a 100 MVA, por la UC N5T24 Transformador tridevanado trifásico (OLTC) de conexión al STN capacidad final de 91 a 120 MVA, considerando la información</w:t>
      </w:r>
      <w:r w:rsidR="00C20C7D">
        <w:rPr>
          <w:i/>
          <w:iCs/>
          <w:sz w:val="20"/>
          <w:szCs w:val="20"/>
        </w:rPr>
        <w:t xml:space="preserve"> </w:t>
      </w:r>
      <w:r w:rsidRPr="00836BE3">
        <w:rPr>
          <w:i/>
          <w:iCs/>
          <w:sz w:val="20"/>
          <w:szCs w:val="20"/>
        </w:rPr>
        <w:t>reportada por AIR-E S.A.S. E.S.P a la CREG mediante el radicado CREG E-2021-002222 de febrero 17 de 2021, el cual debió ser tenido en cuenta al momento de resolver la solicitud de cargos presentada por mi representada.</w:t>
      </w:r>
    </w:p>
    <w:p w14:paraId="4C8FC2A9" w14:textId="557808A5" w:rsidR="00836BE3" w:rsidRPr="00836BE3" w:rsidRDefault="00836BE3" w:rsidP="00BE66A2">
      <w:pPr>
        <w:spacing w:before="60" w:after="60"/>
        <w:ind w:left="284"/>
        <w:rPr>
          <w:i/>
          <w:iCs/>
          <w:sz w:val="20"/>
          <w:szCs w:val="20"/>
        </w:rPr>
      </w:pPr>
      <w:r w:rsidRPr="00836BE3">
        <w:rPr>
          <w:i/>
          <w:iCs/>
          <w:sz w:val="20"/>
          <w:szCs w:val="20"/>
        </w:rPr>
        <w:t>En el Anexo 3 BRA inicial se presenta el dato de placa del transformador N5T24 Transformador tridevanado trifásico (OLTC) de conexión al STN capacidad final de 91 a 120 MVA.</w:t>
      </w:r>
    </w:p>
    <w:p w14:paraId="25086FD1" w14:textId="4FB677F2" w:rsidR="0000762D" w:rsidRDefault="0000762D" w:rsidP="005C36C6">
      <w:r w:rsidRPr="00D87FDD">
        <w:rPr>
          <w:b/>
          <w:bCs/>
        </w:rPr>
        <w:t>Análisis de la Comisión</w:t>
      </w:r>
    </w:p>
    <w:p w14:paraId="7CCB0284" w14:textId="68DDC21F" w:rsidR="00047000" w:rsidRDefault="00836BE3" w:rsidP="005C36C6">
      <w:r>
        <w:t xml:space="preserve">Con base en la aclaración presentada por el OR en el recurso de reposición respecto al tipo de UC </w:t>
      </w:r>
      <w:r w:rsidR="0000762D">
        <w:t xml:space="preserve">que se encuentra </w:t>
      </w:r>
      <w:r>
        <w:t>en operación en la subestación con código IUS 0094</w:t>
      </w:r>
      <w:r w:rsidR="00BE66A2">
        <w:t>,</w:t>
      </w:r>
      <w:r>
        <w:t xml:space="preserve"> se ajusta el inventario reconocido, se modifica la UC N5T7 por la UC N5T24.</w:t>
      </w:r>
    </w:p>
    <w:p w14:paraId="2516D6F6" w14:textId="11508EB5" w:rsidR="00047000" w:rsidRDefault="0000762D" w:rsidP="005C36C6">
      <w:r>
        <w:rPr>
          <w:b/>
          <w:bCs/>
        </w:rPr>
        <w:t>Solicitud No. 6</w:t>
      </w:r>
    </w:p>
    <w:p w14:paraId="6A824146" w14:textId="77777777" w:rsidR="0000762D" w:rsidRPr="0000762D" w:rsidRDefault="0000762D" w:rsidP="00BE66A2">
      <w:pPr>
        <w:spacing w:before="60" w:after="60"/>
        <w:ind w:left="284"/>
        <w:rPr>
          <w:i/>
          <w:iCs/>
          <w:sz w:val="20"/>
          <w:szCs w:val="20"/>
        </w:rPr>
      </w:pPr>
      <w:r w:rsidRPr="0000762D">
        <w:rPr>
          <w:i/>
          <w:iCs/>
          <w:sz w:val="20"/>
          <w:szCs w:val="20"/>
          <w:u w:val="single"/>
        </w:rPr>
        <w:t>Se solicita al Regulador incluir activos de nivel de tensión 2 y 3 que hacen parte de los contratos de conexión suscritos con Transelca S.A. E.S.P. y que no están siendo reconocidos al OR, toda vez que no se reportaron en el inventario inicial en la subestación 98</w:t>
      </w:r>
      <w:r w:rsidRPr="0000762D">
        <w:rPr>
          <w:i/>
          <w:iCs/>
          <w:sz w:val="20"/>
          <w:szCs w:val="20"/>
        </w:rPr>
        <w:t xml:space="preserve"> – Santa Marta conforme a la actualización realizada por el transmisor a AIR-E S.A.S E.S.P.</w:t>
      </w:r>
    </w:p>
    <w:p w14:paraId="0E907051" w14:textId="77777777" w:rsidR="0000762D" w:rsidRPr="0000762D" w:rsidRDefault="0000762D" w:rsidP="00BE66A2">
      <w:pPr>
        <w:spacing w:before="60" w:after="60"/>
        <w:ind w:left="284"/>
        <w:rPr>
          <w:i/>
          <w:iCs/>
          <w:sz w:val="20"/>
          <w:szCs w:val="20"/>
        </w:rPr>
      </w:pPr>
      <w:r w:rsidRPr="0000762D">
        <w:rPr>
          <w:i/>
          <w:iCs/>
          <w:sz w:val="20"/>
          <w:szCs w:val="20"/>
        </w:rPr>
        <w:t xml:space="preserve">Adicionalmente, se han identificado activos de nivel de tensión 2 y 3 que hacen parte de los contratos de conexión suscritos con Transelca S.A. E.S.P. y que </w:t>
      </w:r>
      <w:r w:rsidRPr="0000762D">
        <w:rPr>
          <w:i/>
          <w:iCs/>
          <w:sz w:val="20"/>
          <w:szCs w:val="20"/>
          <w:u w:val="single"/>
        </w:rPr>
        <w:t>no están siendo reconocidos al OR, toda vez que no se reportaron en el inventario inicial. Por esta razón, respetuosamente se solicita</w:t>
      </w:r>
      <w:r w:rsidRPr="0000762D">
        <w:rPr>
          <w:i/>
          <w:iCs/>
          <w:sz w:val="20"/>
          <w:szCs w:val="20"/>
        </w:rPr>
        <w:t xml:space="preserve">:  </w:t>
      </w:r>
    </w:p>
    <w:p w14:paraId="56318541" w14:textId="342E59FE" w:rsidR="0000762D" w:rsidRPr="0000762D" w:rsidRDefault="0000762D" w:rsidP="00BE66A2">
      <w:pPr>
        <w:spacing w:before="60" w:after="60"/>
        <w:ind w:left="284"/>
        <w:rPr>
          <w:i/>
          <w:iCs/>
          <w:sz w:val="20"/>
          <w:szCs w:val="20"/>
        </w:rPr>
      </w:pPr>
      <w:r w:rsidRPr="0000762D">
        <w:rPr>
          <w:i/>
          <w:iCs/>
          <w:sz w:val="20"/>
          <w:szCs w:val="20"/>
        </w:rPr>
        <w:t xml:space="preserve">- Reemplazar la UC N2L8 km línea urbana - poste concreto - vano tipo 2 - 3 hilos (3 fases, sin neutro) - conductor D-N2-3 de la línea 0395, por la UC N2L62 km conductor subterráneo urbano - 3 cables monopolares - cu aislado XLP o EPR, 15 kV - 500 kcmil, correspondiente a 0,107 km, reportada con IUA 2039500JZ000.  </w:t>
      </w:r>
    </w:p>
    <w:p w14:paraId="5D43947A" w14:textId="74117FC9" w:rsidR="0000762D" w:rsidRDefault="0000762D" w:rsidP="00BE66A2">
      <w:pPr>
        <w:spacing w:before="60" w:after="60"/>
        <w:ind w:left="284"/>
        <w:rPr>
          <w:i/>
          <w:iCs/>
          <w:sz w:val="20"/>
          <w:szCs w:val="20"/>
        </w:rPr>
      </w:pPr>
      <w:r w:rsidRPr="0000762D">
        <w:rPr>
          <w:i/>
          <w:iCs/>
          <w:sz w:val="20"/>
          <w:szCs w:val="20"/>
        </w:rPr>
        <w:t>- Adicionar 0.082 km a la UC N3L28 km conductor subterráneo urbano - 3 cable monopolar - cu aislado XLPE 35 kV - 500 kcmil 0,157 km de red, reportada mediante IUA 205010058000 perteneciente a la línea 501.</w:t>
      </w:r>
    </w:p>
    <w:p w14:paraId="5E602573" w14:textId="4F59801B" w:rsidR="00736B70" w:rsidRPr="0000762D" w:rsidRDefault="00736B70" w:rsidP="00BE66A2">
      <w:pPr>
        <w:spacing w:before="60" w:after="60"/>
        <w:ind w:left="284"/>
        <w:rPr>
          <w:i/>
          <w:iCs/>
          <w:sz w:val="20"/>
          <w:szCs w:val="20"/>
        </w:rPr>
      </w:pPr>
      <w:r>
        <w:rPr>
          <w:i/>
          <w:iCs/>
          <w:sz w:val="20"/>
          <w:szCs w:val="20"/>
        </w:rPr>
        <w:t>Subrayado fuera de texto</w:t>
      </w:r>
    </w:p>
    <w:p w14:paraId="37EC22DF" w14:textId="79029BB3" w:rsidR="0000762D" w:rsidRDefault="0000762D" w:rsidP="005C36C6">
      <w:pPr>
        <w:rPr>
          <w:highlight w:val="yellow"/>
        </w:rPr>
      </w:pPr>
      <w:r w:rsidRPr="00D87FDD">
        <w:rPr>
          <w:b/>
          <w:bCs/>
        </w:rPr>
        <w:t>Análisis de la Comisión</w:t>
      </w:r>
    </w:p>
    <w:p w14:paraId="4D586056" w14:textId="68537956" w:rsidR="001B50BA" w:rsidRPr="001B50BA" w:rsidRDefault="00736B70" w:rsidP="005C36C6">
      <w:r>
        <w:t>Co</w:t>
      </w:r>
      <w:r w:rsidR="005520BF">
        <w:t xml:space="preserve">n base en </w:t>
      </w:r>
      <w:r>
        <w:t xml:space="preserve">la aclaración presentada por el OR </w:t>
      </w:r>
      <w:r w:rsidR="005520BF">
        <w:t>en el recurso de reposición</w:t>
      </w:r>
      <w:r>
        <w:t>, se ajusta la información del inventario de UC</w:t>
      </w:r>
      <w:r w:rsidR="005520BF">
        <w:t>.</w:t>
      </w:r>
    </w:p>
    <w:p w14:paraId="4C97365D" w14:textId="534E9AD1" w:rsidR="0000762D" w:rsidRDefault="0000762D" w:rsidP="00736B70">
      <w:pPr>
        <w:keepNext/>
        <w:rPr>
          <w:b/>
          <w:bCs/>
        </w:rPr>
      </w:pPr>
      <w:r>
        <w:rPr>
          <w:b/>
          <w:bCs/>
        </w:rPr>
        <w:t>Solicitud No. 7</w:t>
      </w:r>
    </w:p>
    <w:p w14:paraId="106C3195" w14:textId="5EF5119A" w:rsidR="0000762D" w:rsidRDefault="0000762D" w:rsidP="00BE66A2">
      <w:pPr>
        <w:spacing w:before="60" w:after="60"/>
        <w:ind w:left="284"/>
        <w:rPr>
          <w:i/>
          <w:iCs/>
          <w:sz w:val="20"/>
        </w:rPr>
      </w:pPr>
      <w:r w:rsidRPr="000C4F5C">
        <w:rPr>
          <w:i/>
          <w:iCs/>
          <w:sz w:val="20"/>
        </w:rPr>
        <w:t>Se reitera al Regulador no reconocer como parte de la inversión de AIR-E S.A.S. E.S.P., la infraestructura de uso exclusivo del cliente Triple A S.A. E.S.P, acuerdo con lo solicitado mediante radicado CREG E-2021-002222.</w:t>
      </w:r>
    </w:p>
    <w:p w14:paraId="78B9330A" w14:textId="77777777" w:rsidR="0000762D" w:rsidRDefault="0000762D" w:rsidP="0000762D">
      <w:pPr>
        <w:rPr>
          <w:highlight w:val="yellow"/>
        </w:rPr>
      </w:pPr>
      <w:r w:rsidRPr="00D87FDD">
        <w:rPr>
          <w:b/>
          <w:bCs/>
        </w:rPr>
        <w:t>Análisis de la Comisión</w:t>
      </w:r>
    </w:p>
    <w:p w14:paraId="1A7591D7" w14:textId="5F20379A" w:rsidR="00C20C7D" w:rsidRDefault="00C20C7D" w:rsidP="0000762D">
      <w:r>
        <w:t>Se aclara que en los formatos de reporte de inventario definidos en la Circular CREG 029 de 2018, solamente deben incluirse los activos de uso. Al respecto s</w:t>
      </w:r>
      <w:r w:rsidR="0000762D">
        <w:t>e verificó que</w:t>
      </w:r>
      <w:r>
        <w:t xml:space="preserve"> </w:t>
      </w:r>
      <w:r w:rsidR="0000762D">
        <w:t xml:space="preserve">en </w:t>
      </w:r>
      <w:r>
        <w:t>el formato de activos el OR incluyó estas UC</w:t>
      </w:r>
      <w:r w:rsidR="00BE66A2">
        <w:t>,</w:t>
      </w:r>
      <w:r>
        <w:t xml:space="preserve"> con una aclaración </w:t>
      </w:r>
      <w:r w:rsidR="002B1021">
        <w:t xml:space="preserve">en el campo de observaciones </w:t>
      </w:r>
      <w:r w:rsidR="00961746">
        <w:t xml:space="preserve">señalando que correspondían a activos de </w:t>
      </w:r>
      <w:r w:rsidR="002B1021">
        <w:t xml:space="preserve">uso exclusivo. </w:t>
      </w:r>
    </w:p>
    <w:p w14:paraId="7AB123D9" w14:textId="74D1C244" w:rsidR="0000762D" w:rsidRDefault="00961746" w:rsidP="0000762D">
      <w:r>
        <w:t>Con base en la</w:t>
      </w:r>
      <w:r w:rsidR="00462077">
        <w:t>s</w:t>
      </w:r>
      <w:r>
        <w:t xml:space="preserve"> aclaraciones del recurso </w:t>
      </w:r>
      <w:r w:rsidR="00462077">
        <w:t xml:space="preserve">de reposición, </w:t>
      </w:r>
      <w:r>
        <w:t xml:space="preserve">se </w:t>
      </w:r>
      <w:r w:rsidR="002B1021">
        <w:t>excluyen es</w:t>
      </w:r>
      <w:r>
        <w:t xml:space="preserve">tas </w:t>
      </w:r>
      <w:r w:rsidR="002B1021">
        <w:t xml:space="preserve">UC del inventario </w:t>
      </w:r>
      <w:r w:rsidR="00462077">
        <w:t xml:space="preserve">de activos de uso </w:t>
      </w:r>
      <w:r w:rsidR="002B1021">
        <w:t>reconocido.</w:t>
      </w:r>
    </w:p>
    <w:p w14:paraId="362078FA" w14:textId="443F8E28" w:rsidR="002B1021" w:rsidRDefault="002B1021" w:rsidP="0000762D">
      <w:r>
        <w:rPr>
          <w:b/>
          <w:bCs/>
        </w:rPr>
        <w:t>Solicitud No. 8</w:t>
      </w:r>
    </w:p>
    <w:p w14:paraId="7BB62C94" w14:textId="4BB5B95B" w:rsidR="002B1021" w:rsidRDefault="002B1021" w:rsidP="00BE66A2">
      <w:pPr>
        <w:spacing w:before="60" w:after="60"/>
        <w:ind w:left="284"/>
        <w:rPr>
          <w:i/>
          <w:iCs/>
          <w:sz w:val="20"/>
        </w:rPr>
      </w:pPr>
      <w:r w:rsidRPr="000C4F5C">
        <w:rPr>
          <w:i/>
          <w:iCs/>
          <w:sz w:val="20"/>
        </w:rPr>
        <w:t>Se solicita a la CREG verificar las cifras empleadas para el cálculo del CRII, aprobar como activos puestos en operación a 2007, 28.065 transformadores y 28.065 redes, y un CRIFO de 7.482 transformadores y 7.482 redes, para un neto de 20.583 transformadores y 20.583 existentes a corte 2007</w:t>
      </w:r>
      <w:r w:rsidR="00736B70">
        <w:rPr>
          <w:i/>
          <w:iCs/>
          <w:sz w:val="20"/>
        </w:rPr>
        <w:t xml:space="preserve">. </w:t>
      </w:r>
      <w:r>
        <w:rPr>
          <w:i/>
          <w:iCs/>
          <w:sz w:val="20"/>
        </w:rPr>
        <w:t>(…)</w:t>
      </w:r>
    </w:p>
    <w:p w14:paraId="107D697A" w14:textId="1E3524EB" w:rsidR="002B1021" w:rsidRPr="002B1021" w:rsidRDefault="002B1021" w:rsidP="00BE66A2">
      <w:pPr>
        <w:spacing w:before="60" w:after="60"/>
        <w:ind w:left="284"/>
        <w:rPr>
          <w:i/>
          <w:iCs/>
          <w:sz w:val="20"/>
        </w:rPr>
      </w:pPr>
      <w:r w:rsidRPr="002B1021">
        <w:rPr>
          <w:i/>
          <w:iCs/>
          <w:sz w:val="20"/>
          <w:u w:val="single"/>
        </w:rPr>
        <w:t>Si bien, en el archivo Anexo Transformadores N1 y Redes N1 2020, entregado como adjunto al radicado CREG E-2021-002222 de febrero 17 de 2021, se señalan como activos fuera de operación en el p</w:t>
      </w:r>
      <w:r w:rsidR="00BE66A2">
        <w:rPr>
          <w:i/>
          <w:iCs/>
          <w:sz w:val="20"/>
          <w:u w:val="single"/>
        </w:rPr>
        <w:t>eríodo</w:t>
      </w:r>
      <w:r w:rsidRPr="002B1021">
        <w:rPr>
          <w:i/>
          <w:iCs/>
          <w:sz w:val="20"/>
          <w:u w:val="single"/>
        </w:rPr>
        <w:t xml:space="preserve"> enero de 2008 a la fecha de corte (CRIFO), 7.482 transformadores, es necesario aclarar que, dichos activos estaban en operación a corte 2007</w:t>
      </w:r>
      <w:r w:rsidRPr="002B1021">
        <w:rPr>
          <w:i/>
          <w:iCs/>
          <w:sz w:val="20"/>
        </w:rPr>
        <w:t xml:space="preserve">. Es decir, no es correcto descontar 7.482 transformadores de 20.583 transformadores con fecha de puesta en operación anterior a 2007 que aún siguen en operación, </w:t>
      </w:r>
      <w:r w:rsidRPr="002B1021">
        <w:rPr>
          <w:i/>
          <w:iCs/>
          <w:sz w:val="20"/>
          <w:u w:val="single"/>
        </w:rPr>
        <w:t>sino han de descontarse de los 28.065 transformadores existentes a corte 2007, transferidos a AIR-E S.A.S. E.S.P. en virtud del proceso de solución empresarial adelantado por Electricaribe S.A. E.S.P</w:t>
      </w:r>
      <w:r w:rsidRPr="002B1021">
        <w:rPr>
          <w:i/>
          <w:iCs/>
          <w:sz w:val="20"/>
        </w:rPr>
        <w:t xml:space="preserve">.  </w:t>
      </w:r>
    </w:p>
    <w:p w14:paraId="15B0E53A" w14:textId="696D67AE" w:rsidR="002B1021" w:rsidRPr="002B1021" w:rsidRDefault="002B1021" w:rsidP="00BE66A2">
      <w:pPr>
        <w:spacing w:before="60" w:after="60"/>
        <w:ind w:left="284"/>
        <w:rPr>
          <w:i/>
          <w:iCs/>
          <w:sz w:val="20"/>
        </w:rPr>
      </w:pPr>
      <w:r w:rsidRPr="002B1021">
        <w:rPr>
          <w:i/>
          <w:iCs/>
          <w:sz w:val="20"/>
        </w:rPr>
        <w:t>En cuanto al número de redes, en el archivo Anexo Transformadores N1 y Redes N1 2020, entregado como adjunto al radicado CREG E-2021-002222 de febrero 17 de 2021, se señalan como activos fuera de operación en el p</w:t>
      </w:r>
      <w:r w:rsidR="00BE66A2">
        <w:rPr>
          <w:i/>
          <w:iCs/>
          <w:sz w:val="20"/>
        </w:rPr>
        <w:t>eríodo</w:t>
      </w:r>
      <w:r w:rsidRPr="002B1021">
        <w:rPr>
          <w:i/>
          <w:iCs/>
          <w:sz w:val="20"/>
        </w:rPr>
        <w:t xml:space="preserve"> enero de 2008 a la fecha de corte (CRIFO), 7.482 redes. Sobre el particular, es necesario considerar que dichos activos estaban en operación a corte 2007. Es decir, no es correcto descontar 7.482 redes de 20.583 redes con fecha de puesta en operación anterior a 2007 que aún siguen en operación, sino han de descontarse de las 28.065 redes existentes a corte 2007, transferidas a AIR-E S.A.S. E.S.P en virtud del proceso de solución empresarial adelantado por Electricaribe S.A. E.S.P.  </w:t>
      </w:r>
    </w:p>
    <w:p w14:paraId="351AD65F" w14:textId="2273D2D4" w:rsidR="007E7529" w:rsidRDefault="002B1021" w:rsidP="00BE66A2">
      <w:pPr>
        <w:spacing w:before="60" w:after="60"/>
        <w:ind w:left="284"/>
        <w:rPr>
          <w:i/>
          <w:iCs/>
          <w:sz w:val="20"/>
        </w:rPr>
      </w:pPr>
      <w:r w:rsidRPr="002B1021">
        <w:rPr>
          <w:i/>
          <w:iCs/>
          <w:sz w:val="20"/>
        </w:rPr>
        <w:t xml:space="preserve">En este sentido, y </w:t>
      </w:r>
      <w:r w:rsidRPr="002B1021">
        <w:rPr>
          <w:i/>
          <w:iCs/>
          <w:sz w:val="20"/>
          <w:u w:val="single"/>
        </w:rPr>
        <w:t>de acuerdo con la información entregada por AIR-E S.A.S. E.S.P. mediante radicado CREG E-2021-001467 del 29 de enero de 2021, se solicita a la CREG realizar la corrección pertinente y aprobar como activos puestos en operación a 2007, 28.065 transformadores y 28.065 redes</w:t>
      </w:r>
      <w:r w:rsidRPr="002B1021">
        <w:rPr>
          <w:i/>
          <w:iCs/>
          <w:sz w:val="20"/>
        </w:rPr>
        <w:t>.</w:t>
      </w:r>
    </w:p>
    <w:p w14:paraId="16BE6AD3" w14:textId="765651D0" w:rsidR="002B1021" w:rsidRPr="002B1021" w:rsidRDefault="002B1021" w:rsidP="00BE66A2">
      <w:pPr>
        <w:spacing w:before="60" w:after="60"/>
        <w:ind w:left="284"/>
        <w:rPr>
          <w:i/>
          <w:iCs/>
          <w:sz w:val="20"/>
        </w:rPr>
      </w:pPr>
      <w:r>
        <w:rPr>
          <w:i/>
          <w:iCs/>
          <w:sz w:val="20"/>
        </w:rPr>
        <w:t>Subrayado fuera de texto</w:t>
      </w:r>
    </w:p>
    <w:p w14:paraId="295D21C5" w14:textId="77777777" w:rsidR="006C077F" w:rsidRDefault="006C077F" w:rsidP="006C077F">
      <w:pPr>
        <w:rPr>
          <w:highlight w:val="yellow"/>
        </w:rPr>
      </w:pPr>
      <w:r w:rsidRPr="00D87FDD">
        <w:rPr>
          <w:b/>
          <w:bCs/>
        </w:rPr>
        <w:t>Análisis de la Comisión</w:t>
      </w:r>
    </w:p>
    <w:p w14:paraId="1FFE1D90" w14:textId="6EA86296" w:rsidR="007E7529" w:rsidRDefault="007E7529" w:rsidP="0000762D">
      <w:r>
        <w:t>Tal como se señaló en el documento de soporte de la Resolución CREG 024 de 2021, e</w:t>
      </w:r>
      <w:r w:rsidR="00E82D75">
        <w:t>n el caso de nivel de tensión 1</w:t>
      </w:r>
      <w:r w:rsidR="00BE66A2">
        <w:t>,</w:t>
      </w:r>
      <w:r w:rsidR="00E82D75">
        <w:t xml:space="preserve"> los transformadores en operación a diciembre de 2019 corresponden a aquellos que fueron incluidos en los cargos actuales </w:t>
      </w:r>
      <w:r w:rsidR="00462077">
        <w:t xml:space="preserve">y estaban en operación a diciembre de 2007 </w:t>
      </w:r>
      <w:r w:rsidR="00E82D75">
        <w:t>(categoría NT), más los transformadores en operación a diciembre de 2007 no reportados por el OR (categoría NTNI), menos los transformadores que salieron de operación en el p</w:t>
      </w:r>
      <w:r w:rsidR="00BE66A2">
        <w:t>eríodo</w:t>
      </w:r>
      <w:r w:rsidR="00E82D75">
        <w:t xml:space="preserve"> 2008 – 2019 (categoría NTFO), más los transformadores puestos en operación en el p</w:t>
      </w:r>
      <w:r w:rsidR="00BE66A2">
        <w:t>eríodo</w:t>
      </w:r>
      <w:r w:rsidR="00E82D75">
        <w:t xml:space="preserve"> 2008-2019 (categoría NTN). </w:t>
      </w:r>
    </w:p>
    <w:p w14:paraId="6BABF4D1" w14:textId="145AA96C" w:rsidR="007E7529" w:rsidRDefault="007E7529" w:rsidP="0000762D">
      <w:r>
        <w:t xml:space="preserve">En la información suministrada por el OR en el archivo </w:t>
      </w:r>
      <w:r w:rsidRPr="007E7529">
        <w:rPr>
          <w:i/>
          <w:iCs/>
        </w:rPr>
        <w:t>Anexo Transformadores N1 y Redes N1 2020</w:t>
      </w:r>
      <w:r>
        <w:rPr>
          <w:i/>
          <w:iCs/>
        </w:rPr>
        <w:t>xlsx</w:t>
      </w:r>
      <w:r w:rsidRPr="007E7529">
        <w:t xml:space="preserve">, entregado </w:t>
      </w:r>
      <w:r>
        <w:t xml:space="preserve">en comunicación con </w:t>
      </w:r>
      <w:r w:rsidRPr="007E7529">
        <w:t>radicado CREG E</w:t>
      </w:r>
      <w:r>
        <w:noBreakHyphen/>
      </w:r>
      <w:r w:rsidRPr="007E7529">
        <w:t>2021-002222 de febrero 2021</w:t>
      </w:r>
      <w:r>
        <w:t xml:space="preserve">, se </w:t>
      </w:r>
      <w:r w:rsidR="00462077">
        <w:t xml:space="preserve">cuenta con </w:t>
      </w:r>
      <w:r>
        <w:t>la siguiente cantidad de transformadores</w:t>
      </w:r>
      <w:r w:rsidR="00462077">
        <w:t xml:space="preserve"> para cada categoría:</w:t>
      </w:r>
      <w:r>
        <w:t xml:space="preserve"> </w:t>
      </w:r>
    </w:p>
    <w:tbl>
      <w:tblPr>
        <w:tblW w:w="0" w:type="auto"/>
        <w:jc w:val="center"/>
        <w:tblCellMar>
          <w:top w:w="28" w:type="dxa"/>
          <w:left w:w="57" w:type="dxa"/>
          <w:bottom w:w="28" w:type="dxa"/>
          <w:right w:w="57" w:type="dxa"/>
        </w:tblCellMar>
        <w:tblLook w:val="04A0" w:firstRow="1" w:lastRow="0" w:firstColumn="1" w:lastColumn="0" w:noHBand="0" w:noVBand="1"/>
      </w:tblPr>
      <w:tblGrid>
        <w:gridCol w:w="2681"/>
        <w:gridCol w:w="1103"/>
      </w:tblGrid>
      <w:tr w:rsidR="007E7529" w:rsidRPr="00700B7D" w14:paraId="1846908A" w14:textId="77777777" w:rsidTr="00462077">
        <w:trPr>
          <w:trHeight w:val="20"/>
          <w:tblHeader/>
          <w:jc w:val="center"/>
        </w:trPr>
        <w:tc>
          <w:tcPr>
            <w:tcW w:w="2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3DC2D" w14:textId="77777777" w:rsidR="007E7529" w:rsidRPr="00736B70" w:rsidRDefault="007E7529" w:rsidP="007E7529">
            <w:pPr>
              <w:spacing w:before="0" w:after="0"/>
              <w:jc w:val="center"/>
              <w:rPr>
                <w:rFonts w:cs="Arial"/>
                <w:b/>
                <w:i/>
                <w:iCs/>
                <w:color w:val="000000"/>
                <w:sz w:val="20"/>
                <w:szCs w:val="20"/>
                <w:lang w:eastAsia="es-CO"/>
              </w:rPr>
            </w:pPr>
            <w:r w:rsidRPr="00736B70">
              <w:rPr>
                <w:rFonts w:cs="Arial"/>
                <w:b/>
                <w:i/>
                <w:iCs/>
                <w:color w:val="000000"/>
                <w:sz w:val="20"/>
                <w:szCs w:val="20"/>
                <w:lang w:eastAsia="es-CO"/>
              </w:rPr>
              <w:t>Categoría</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B42AF3" w14:textId="77777777" w:rsidR="007E7529" w:rsidRPr="00736B70" w:rsidRDefault="007E7529" w:rsidP="007E7529">
            <w:pPr>
              <w:spacing w:before="0" w:after="0"/>
              <w:jc w:val="center"/>
              <w:rPr>
                <w:rFonts w:cs="Arial"/>
                <w:b/>
                <w:i/>
                <w:iCs/>
                <w:color w:val="000000"/>
                <w:sz w:val="20"/>
                <w:szCs w:val="20"/>
                <w:lang w:eastAsia="es-CO"/>
              </w:rPr>
            </w:pPr>
            <w:r w:rsidRPr="00736B70">
              <w:rPr>
                <w:rFonts w:cs="Arial"/>
                <w:b/>
                <w:i/>
                <w:iCs/>
                <w:color w:val="000000"/>
                <w:sz w:val="20"/>
                <w:szCs w:val="20"/>
                <w:lang w:eastAsia="es-CO"/>
              </w:rPr>
              <w:t>Caribesol</w:t>
            </w:r>
          </w:p>
        </w:tc>
      </w:tr>
      <w:tr w:rsidR="007E7529" w:rsidRPr="00700B7D" w14:paraId="73CCA83D" w14:textId="77777777" w:rsidTr="00462077">
        <w:trPr>
          <w:trHeight w:val="20"/>
          <w:jc w:val="center"/>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6623CFA7" w14:textId="77777777" w:rsidR="007E7529" w:rsidRPr="00736B70" w:rsidRDefault="007E7529" w:rsidP="007E7529">
            <w:pPr>
              <w:spacing w:before="0" w:after="0"/>
              <w:jc w:val="left"/>
              <w:rPr>
                <w:rFonts w:cs="Arial"/>
                <w:bCs/>
                <w:i/>
                <w:iCs/>
                <w:color w:val="000000"/>
                <w:sz w:val="20"/>
                <w:szCs w:val="20"/>
                <w:lang w:eastAsia="es-CO"/>
              </w:rPr>
            </w:pPr>
            <w:r w:rsidRPr="00736B70">
              <w:rPr>
                <w:rFonts w:cs="Arial"/>
                <w:bCs/>
                <w:i/>
                <w:iCs/>
                <w:color w:val="000000"/>
                <w:sz w:val="20"/>
                <w:szCs w:val="20"/>
                <w:lang w:eastAsia="es-CO"/>
              </w:rPr>
              <w:t>NT</w:t>
            </w:r>
          </w:p>
        </w:tc>
        <w:tc>
          <w:tcPr>
            <w:tcW w:w="1103" w:type="dxa"/>
            <w:tcBorders>
              <w:top w:val="nil"/>
              <w:left w:val="nil"/>
              <w:bottom w:val="single" w:sz="4" w:space="0" w:color="auto"/>
              <w:right w:val="single" w:sz="4" w:space="0" w:color="auto"/>
            </w:tcBorders>
            <w:shd w:val="clear" w:color="auto" w:fill="auto"/>
            <w:noWrap/>
            <w:vAlign w:val="bottom"/>
            <w:hideMark/>
          </w:tcPr>
          <w:p w14:paraId="2F6446B4" w14:textId="77777777" w:rsidR="007E7529" w:rsidRPr="00736B70" w:rsidRDefault="007E7529" w:rsidP="007E7529">
            <w:pPr>
              <w:spacing w:before="0" w:after="0"/>
              <w:jc w:val="right"/>
              <w:rPr>
                <w:rFonts w:cs="Arial"/>
                <w:bCs/>
                <w:i/>
                <w:iCs/>
                <w:sz w:val="20"/>
                <w:szCs w:val="20"/>
                <w:lang w:eastAsia="es-CO"/>
              </w:rPr>
            </w:pPr>
            <w:r w:rsidRPr="00736B70">
              <w:rPr>
                <w:rFonts w:cs="Arial"/>
                <w:i/>
                <w:iCs/>
                <w:sz w:val="20"/>
                <w:szCs w:val="20"/>
                <w:lang w:eastAsia="es-CO"/>
              </w:rPr>
              <w:t>20.583</w:t>
            </w:r>
          </w:p>
        </w:tc>
      </w:tr>
      <w:tr w:rsidR="007E7529" w:rsidRPr="00700B7D" w14:paraId="3FDCF55D" w14:textId="77777777" w:rsidTr="00462077">
        <w:trPr>
          <w:trHeight w:val="20"/>
          <w:jc w:val="center"/>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0D5F1A88" w14:textId="77777777" w:rsidR="007E7529" w:rsidRPr="00736B70" w:rsidRDefault="007E7529" w:rsidP="007E7529">
            <w:pPr>
              <w:spacing w:before="0" w:after="0"/>
              <w:jc w:val="left"/>
              <w:rPr>
                <w:rFonts w:cs="Arial"/>
                <w:bCs/>
                <w:i/>
                <w:iCs/>
                <w:color w:val="000000"/>
                <w:sz w:val="20"/>
                <w:szCs w:val="20"/>
                <w:lang w:eastAsia="es-CO"/>
              </w:rPr>
            </w:pPr>
            <w:r w:rsidRPr="00736B70">
              <w:rPr>
                <w:rFonts w:cs="Arial"/>
                <w:bCs/>
                <w:i/>
                <w:iCs/>
                <w:color w:val="000000"/>
                <w:sz w:val="20"/>
                <w:szCs w:val="20"/>
                <w:lang w:eastAsia="es-CO"/>
              </w:rPr>
              <w:t>NTFO</w:t>
            </w:r>
          </w:p>
        </w:tc>
        <w:tc>
          <w:tcPr>
            <w:tcW w:w="1103" w:type="dxa"/>
            <w:tcBorders>
              <w:top w:val="nil"/>
              <w:left w:val="nil"/>
              <w:bottom w:val="single" w:sz="4" w:space="0" w:color="auto"/>
              <w:right w:val="single" w:sz="4" w:space="0" w:color="auto"/>
            </w:tcBorders>
            <w:shd w:val="clear" w:color="auto" w:fill="auto"/>
            <w:noWrap/>
            <w:vAlign w:val="bottom"/>
            <w:hideMark/>
          </w:tcPr>
          <w:p w14:paraId="7E3E78C8" w14:textId="77777777" w:rsidR="007E7529" w:rsidRPr="00736B70" w:rsidRDefault="007E7529" w:rsidP="007E7529">
            <w:pPr>
              <w:spacing w:before="0" w:after="0"/>
              <w:jc w:val="right"/>
              <w:rPr>
                <w:rFonts w:cs="Arial"/>
                <w:bCs/>
                <w:i/>
                <w:iCs/>
                <w:sz w:val="20"/>
                <w:szCs w:val="20"/>
                <w:lang w:eastAsia="es-CO"/>
              </w:rPr>
            </w:pPr>
            <w:r w:rsidRPr="00736B70">
              <w:rPr>
                <w:rFonts w:cs="Arial"/>
                <w:i/>
                <w:iCs/>
                <w:sz w:val="20"/>
                <w:szCs w:val="20"/>
                <w:lang w:eastAsia="es-CO"/>
              </w:rPr>
              <w:t>7.482</w:t>
            </w:r>
          </w:p>
        </w:tc>
      </w:tr>
      <w:tr w:rsidR="007E7529" w:rsidRPr="00700B7D" w14:paraId="3A473ECA" w14:textId="77777777" w:rsidTr="00462077">
        <w:trPr>
          <w:trHeight w:val="20"/>
          <w:jc w:val="center"/>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1ABDD0B2" w14:textId="77777777" w:rsidR="007E7529" w:rsidRPr="00736B70" w:rsidRDefault="007E7529" w:rsidP="007E7529">
            <w:pPr>
              <w:spacing w:before="0" w:after="0"/>
              <w:jc w:val="left"/>
              <w:rPr>
                <w:rFonts w:cs="Arial"/>
                <w:bCs/>
                <w:i/>
                <w:iCs/>
                <w:color w:val="000000"/>
                <w:sz w:val="20"/>
                <w:szCs w:val="20"/>
                <w:lang w:eastAsia="es-CO"/>
              </w:rPr>
            </w:pPr>
            <w:r w:rsidRPr="00736B70">
              <w:rPr>
                <w:rFonts w:cs="Arial"/>
                <w:bCs/>
                <w:i/>
                <w:iCs/>
                <w:color w:val="000000"/>
                <w:sz w:val="20"/>
                <w:szCs w:val="20"/>
                <w:lang w:eastAsia="es-CO"/>
              </w:rPr>
              <w:t>NTNI</w:t>
            </w:r>
          </w:p>
        </w:tc>
        <w:tc>
          <w:tcPr>
            <w:tcW w:w="1103" w:type="dxa"/>
            <w:tcBorders>
              <w:top w:val="nil"/>
              <w:left w:val="nil"/>
              <w:bottom w:val="single" w:sz="4" w:space="0" w:color="auto"/>
              <w:right w:val="single" w:sz="4" w:space="0" w:color="auto"/>
            </w:tcBorders>
            <w:shd w:val="clear" w:color="auto" w:fill="auto"/>
            <w:noWrap/>
            <w:vAlign w:val="bottom"/>
            <w:hideMark/>
          </w:tcPr>
          <w:p w14:paraId="251845A5" w14:textId="77777777" w:rsidR="007E7529" w:rsidRPr="00736B70" w:rsidRDefault="007E7529" w:rsidP="007E7529">
            <w:pPr>
              <w:spacing w:before="0" w:after="0"/>
              <w:jc w:val="right"/>
              <w:rPr>
                <w:rFonts w:cs="Arial"/>
                <w:bCs/>
                <w:i/>
                <w:iCs/>
                <w:sz w:val="20"/>
                <w:szCs w:val="20"/>
                <w:lang w:eastAsia="es-CO"/>
              </w:rPr>
            </w:pPr>
            <w:r w:rsidRPr="00736B70">
              <w:rPr>
                <w:rFonts w:cs="Arial"/>
                <w:i/>
                <w:iCs/>
                <w:sz w:val="20"/>
                <w:szCs w:val="20"/>
                <w:lang w:eastAsia="es-CO"/>
              </w:rPr>
              <w:t>1.430</w:t>
            </w:r>
          </w:p>
        </w:tc>
      </w:tr>
      <w:tr w:rsidR="007E7529" w:rsidRPr="00700B7D" w14:paraId="338AA37A" w14:textId="77777777" w:rsidTr="00462077">
        <w:trPr>
          <w:trHeight w:val="20"/>
          <w:jc w:val="center"/>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5A40920A" w14:textId="77777777" w:rsidR="007E7529" w:rsidRPr="00736B70" w:rsidRDefault="007E7529" w:rsidP="007E7529">
            <w:pPr>
              <w:spacing w:before="0" w:after="0"/>
              <w:jc w:val="left"/>
              <w:rPr>
                <w:rFonts w:cs="Arial"/>
                <w:bCs/>
                <w:i/>
                <w:iCs/>
                <w:color w:val="000000"/>
                <w:sz w:val="20"/>
                <w:szCs w:val="20"/>
                <w:lang w:eastAsia="es-CO"/>
              </w:rPr>
            </w:pPr>
            <w:r w:rsidRPr="00736B70">
              <w:rPr>
                <w:rFonts w:cs="Arial"/>
                <w:bCs/>
                <w:i/>
                <w:iCs/>
                <w:color w:val="000000"/>
                <w:sz w:val="20"/>
                <w:szCs w:val="20"/>
                <w:lang w:eastAsia="es-CO"/>
              </w:rPr>
              <w:t>NTN</w:t>
            </w:r>
          </w:p>
        </w:tc>
        <w:tc>
          <w:tcPr>
            <w:tcW w:w="1103" w:type="dxa"/>
            <w:tcBorders>
              <w:top w:val="nil"/>
              <w:left w:val="nil"/>
              <w:bottom w:val="single" w:sz="4" w:space="0" w:color="auto"/>
              <w:right w:val="single" w:sz="4" w:space="0" w:color="auto"/>
            </w:tcBorders>
            <w:shd w:val="clear" w:color="auto" w:fill="auto"/>
            <w:noWrap/>
            <w:vAlign w:val="bottom"/>
            <w:hideMark/>
          </w:tcPr>
          <w:p w14:paraId="08AE779F" w14:textId="77777777" w:rsidR="007E7529" w:rsidRPr="00736B70" w:rsidRDefault="007E7529" w:rsidP="007E7529">
            <w:pPr>
              <w:spacing w:before="0" w:after="0"/>
              <w:jc w:val="right"/>
              <w:rPr>
                <w:rFonts w:cs="Arial"/>
                <w:bCs/>
                <w:i/>
                <w:iCs/>
                <w:sz w:val="20"/>
                <w:szCs w:val="20"/>
                <w:lang w:eastAsia="es-CO"/>
              </w:rPr>
            </w:pPr>
            <w:r w:rsidRPr="00736B70">
              <w:rPr>
                <w:rFonts w:cs="Arial"/>
                <w:i/>
                <w:iCs/>
                <w:sz w:val="20"/>
                <w:szCs w:val="20"/>
                <w:lang w:eastAsia="es-CO"/>
              </w:rPr>
              <w:t>10.076</w:t>
            </w:r>
          </w:p>
        </w:tc>
      </w:tr>
      <w:tr w:rsidR="007E7529" w:rsidRPr="00700B7D" w14:paraId="2CDA0D94" w14:textId="77777777" w:rsidTr="00462077">
        <w:trPr>
          <w:trHeight w:val="20"/>
          <w:jc w:val="center"/>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68AE3D22" w14:textId="688F4EF2" w:rsidR="007E7529" w:rsidRPr="00736B70" w:rsidRDefault="00652BEB" w:rsidP="007E7529">
            <w:pPr>
              <w:spacing w:before="0" w:after="0"/>
              <w:jc w:val="left"/>
              <w:rPr>
                <w:rFonts w:cs="Arial"/>
                <w:b/>
                <w:i/>
                <w:iCs/>
                <w:color w:val="000000"/>
                <w:sz w:val="20"/>
                <w:szCs w:val="20"/>
                <w:lang w:eastAsia="es-CO"/>
              </w:rPr>
            </w:pPr>
            <w:r w:rsidRPr="00736B70">
              <w:rPr>
                <w:rFonts w:cs="Arial"/>
                <w:b/>
                <w:i/>
                <w:iCs/>
                <w:color w:val="000000"/>
                <w:sz w:val="20"/>
                <w:szCs w:val="20"/>
                <w:lang w:eastAsia="es-CO"/>
              </w:rPr>
              <w:t>NT-NTFO+NTNI+NTN</w:t>
            </w:r>
          </w:p>
        </w:tc>
        <w:tc>
          <w:tcPr>
            <w:tcW w:w="1103" w:type="dxa"/>
            <w:tcBorders>
              <w:top w:val="nil"/>
              <w:left w:val="nil"/>
              <w:bottom w:val="single" w:sz="4" w:space="0" w:color="auto"/>
              <w:right w:val="single" w:sz="4" w:space="0" w:color="auto"/>
            </w:tcBorders>
            <w:shd w:val="clear" w:color="auto" w:fill="auto"/>
            <w:noWrap/>
            <w:vAlign w:val="bottom"/>
            <w:hideMark/>
          </w:tcPr>
          <w:p w14:paraId="76441FF4" w14:textId="77777777" w:rsidR="007E7529" w:rsidRPr="00736B70" w:rsidRDefault="007E7529" w:rsidP="007E7529">
            <w:pPr>
              <w:spacing w:before="0" w:after="0"/>
              <w:jc w:val="right"/>
              <w:rPr>
                <w:rFonts w:cs="Arial"/>
                <w:b/>
                <w:i/>
                <w:iCs/>
                <w:sz w:val="20"/>
                <w:szCs w:val="20"/>
                <w:lang w:eastAsia="es-CO"/>
              </w:rPr>
            </w:pPr>
            <w:r w:rsidRPr="00736B70">
              <w:rPr>
                <w:rFonts w:cs="Arial"/>
                <w:b/>
                <w:i/>
                <w:iCs/>
                <w:sz w:val="20"/>
                <w:szCs w:val="20"/>
                <w:lang w:eastAsia="es-CO"/>
              </w:rPr>
              <w:t>24.607</w:t>
            </w:r>
          </w:p>
        </w:tc>
      </w:tr>
    </w:tbl>
    <w:p w14:paraId="40B8B6F1" w14:textId="45B23AA6" w:rsidR="00462077" w:rsidRDefault="00462077" w:rsidP="0000762D">
      <w:r>
        <w:t>Con base en estos valores se obtienen 24.607 transformadores en operación a la fecha de corte.</w:t>
      </w:r>
    </w:p>
    <w:p w14:paraId="33F187CF" w14:textId="252F72BA" w:rsidR="007E7529" w:rsidRDefault="000767A0" w:rsidP="0000762D">
      <w:r>
        <w:t>Con base en la información reportada en su momento, tanto por Caribesol como por Caribemar, no se encontraron errores en el cálculo realizado por la Comisión.</w:t>
      </w:r>
      <w:r w:rsidR="000C68A9">
        <w:t xml:space="preserve"> </w:t>
      </w:r>
      <w:r>
        <w:t xml:space="preserve">No obstante, de lo argumentado en el </w:t>
      </w:r>
      <w:r w:rsidR="007E7529">
        <w:t xml:space="preserve">recurso de reposición se entiende que el valor de transformadores en la categoría NT, </w:t>
      </w:r>
      <w:r>
        <w:t xml:space="preserve">que fue </w:t>
      </w:r>
      <w:r w:rsidR="007E7529">
        <w:t>reportado por el OR durante la actuación administrativa, es incorrecto</w:t>
      </w:r>
      <w:r w:rsidR="00BE66A2">
        <w:t>,</w:t>
      </w:r>
      <w:r w:rsidR="007E7529">
        <w:t xml:space="preserve"> </w:t>
      </w:r>
      <w:r>
        <w:t xml:space="preserve">al </w:t>
      </w:r>
      <w:r w:rsidR="007E7529">
        <w:t>no inclu</w:t>
      </w:r>
      <w:r>
        <w:t>ir</w:t>
      </w:r>
      <w:r w:rsidR="007E7529">
        <w:t xml:space="preserve"> la totalidad de transformadores que se encontraban en operación a diciembre de 2007. </w:t>
      </w:r>
    </w:p>
    <w:p w14:paraId="527B3DF3" w14:textId="62E50FBB" w:rsidR="007E7529" w:rsidRDefault="008E2DD8" w:rsidP="0000762D">
      <w:r>
        <w:t xml:space="preserve">Con base en </w:t>
      </w:r>
      <w:r w:rsidR="00462077">
        <w:t>las aclaraciones presentadas en el recurso de reposición</w:t>
      </w:r>
      <w:r>
        <w:t xml:space="preserve">, se ajusta la información de los transformadores de la categoría NT, incluyendo </w:t>
      </w:r>
      <w:r w:rsidR="000767A0">
        <w:t xml:space="preserve">los </w:t>
      </w:r>
      <w:r>
        <w:t xml:space="preserve">transformadores </w:t>
      </w:r>
      <w:r w:rsidR="007B47D3">
        <w:t xml:space="preserve">reportados en </w:t>
      </w:r>
      <w:r>
        <w:t>la categoría NTFO</w:t>
      </w:r>
      <w:r w:rsidR="00BE66A2">
        <w:t>. L</w:t>
      </w:r>
      <w:r w:rsidR="007B47D3">
        <w:t xml:space="preserve">o anterior, </w:t>
      </w:r>
      <w:r>
        <w:t xml:space="preserve">entendiendo que estos </w:t>
      </w:r>
      <w:r w:rsidR="007B47D3">
        <w:t xml:space="preserve">transformadores </w:t>
      </w:r>
      <w:r>
        <w:t>estaban en operación en el 2007</w:t>
      </w:r>
      <w:r w:rsidR="00BE66A2">
        <w:t>,</w:t>
      </w:r>
      <w:r>
        <w:t xml:space="preserve"> y </w:t>
      </w:r>
      <w:r w:rsidR="000767A0">
        <w:t xml:space="preserve">que </w:t>
      </w:r>
      <w:r>
        <w:t xml:space="preserve">salieron de operación </w:t>
      </w:r>
      <w:r w:rsidR="007B47D3">
        <w:t>durante el p</w:t>
      </w:r>
      <w:r w:rsidR="00BE66A2">
        <w:t>eríodo</w:t>
      </w:r>
      <w:r w:rsidR="007B47D3">
        <w:t xml:space="preserve"> </w:t>
      </w:r>
      <w:r>
        <w:t>2008</w:t>
      </w:r>
      <w:r w:rsidR="007B47D3">
        <w:t xml:space="preserve"> a 2019</w:t>
      </w:r>
      <w:r>
        <w:t>.</w:t>
      </w:r>
      <w:r w:rsidR="008C1DEE">
        <w:t xml:space="preserve"> </w:t>
      </w:r>
      <w:r>
        <w:t xml:space="preserve">  </w:t>
      </w:r>
    </w:p>
    <w:p w14:paraId="6345352C" w14:textId="308B80B3" w:rsidR="00E719F5" w:rsidRDefault="00E719F5" w:rsidP="00E719F5">
      <w:pPr>
        <w:rPr>
          <w:b/>
          <w:bCs/>
        </w:rPr>
      </w:pPr>
      <w:r>
        <w:rPr>
          <w:b/>
          <w:bCs/>
        </w:rPr>
        <w:t>Solicitud No. 9</w:t>
      </w:r>
    </w:p>
    <w:p w14:paraId="4EE67A24" w14:textId="7A25F28B" w:rsidR="00E719F5" w:rsidRDefault="00E719F5" w:rsidP="00BE66A2">
      <w:pPr>
        <w:ind w:left="284"/>
        <w:rPr>
          <w:b/>
          <w:bCs/>
        </w:rPr>
      </w:pPr>
      <w:r w:rsidRPr="000C4F5C">
        <w:rPr>
          <w:i/>
          <w:iCs/>
          <w:sz w:val="20"/>
        </w:rPr>
        <w:t>Se solicita al Regulador, en caso de descontar de la variable CRIN los transformadores reparados parcialmente, no descontarlos de la variable CRIFO, puesto que estos transformadores se encuentran en operación a la fecha como consta en el Anexo 3-5 Transformadores N1 y redes N1 2020.</w:t>
      </w:r>
      <w:r>
        <w:rPr>
          <w:i/>
          <w:iCs/>
          <w:sz w:val="20"/>
        </w:rPr>
        <w:t xml:space="preserve"> </w:t>
      </w:r>
    </w:p>
    <w:p w14:paraId="30DFB6B4" w14:textId="32DAED84" w:rsidR="00486441" w:rsidRDefault="00486441" w:rsidP="00055040">
      <w:r w:rsidRPr="00D87FDD">
        <w:rPr>
          <w:b/>
          <w:bCs/>
        </w:rPr>
        <w:t>Análisis de la Comisión</w:t>
      </w:r>
    </w:p>
    <w:p w14:paraId="1433BE97" w14:textId="10A4F748" w:rsidR="00055040" w:rsidRDefault="00303CE1" w:rsidP="00055040">
      <w:r>
        <w:t>Co</w:t>
      </w:r>
      <w:r w:rsidR="00055040">
        <w:t>n base en la Norma NTC 1954, se considera que la vida útil de los transformadores reparados totalmente y los reconstruidos se reinicia por objeto de estas acciones, mientras que aquellos que fueron reparados parcialmente no son clasificados como activos nuevos.</w:t>
      </w:r>
    </w:p>
    <w:p w14:paraId="74419D12" w14:textId="3C88CCF7" w:rsidR="00055040" w:rsidRPr="00055040" w:rsidRDefault="00055040" w:rsidP="006860FB">
      <w:r>
        <w:t>Durante la actuación administrativa conducente a la aprobación de la Resolución CREG 024 de 2021, e</w:t>
      </w:r>
      <w:r w:rsidRPr="00055040">
        <w:t>l OR reportó 337</w:t>
      </w:r>
      <w:r>
        <w:t xml:space="preserve"> transformadores reparados parcialmente, los cuales, de acuerdo con el criterio señalado anteriormente</w:t>
      </w:r>
      <w:r w:rsidR="00BE66A2">
        <w:t>,</w:t>
      </w:r>
      <w:r>
        <w:t xml:space="preserve"> fueron excluidos de la categoría NTN al no considerarse un reinicio de su vida útil por el tipo de reparación efectuada.</w:t>
      </w:r>
    </w:p>
    <w:p w14:paraId="50639FDC" w14:textId="23AF31F7" w:rsidR="00055040" w:rsidRDefault="00055040" w:rsidP="00055040">
      <w:r>
        <w:t xml:space="preserve">De los 337 transformadores en esta condición, el OR reporta que 96 de estos fueron reparados en el año 2020. </w:t>
      </w:r>
    </w:p>
    <w:p w14:paraId="45F4B63C" w14:textId="3D573714" w:rsidR="00E719F5" w:rsidRDefault="00055040" w:rsidP="00055040">
      <w:r>
        <w:t>En el recurso de reposición el OR señala que estos activos se encuentran en operación y</w:t>
      </w:r>
      <w:r w:rsidR="00BE66A2">
        <w:t>,</w:t>
      </w:r>
      <w:r>
        <w:t xml:space="preserve"> por tanto</w:t>
      </w:r>
      <w:r w:rsidR="00BE66A2">
        <w:t>,</w:t>
      </w:r>
      <w:r>
        <w:t xml:space="preserve"> no deben ser excluidos de la base de activos, para lo cual solicita modificar la cantidad de transformadores de la categoría NTFO.</w:t>
      </w:r>
      <w:r w:rsidR="00341ABC">
        <w:t xml:space="preserve"> </w:t>
      </w:r>
    </w:p>
    <w:p w14:paraId="2E3FFECE" w14:textId="6F9B5E23" w:rsidR="00055040" w:rsidRDefault="00341ABC" w:rsidP="00341ABC">
      <w:r>
        <w:t>Con base en la aclaración presentada por el OR sobre el reporte de información y la condición operativa de estos transformadores reparados</w:t>
      </w:r>
      <w:r w:rsidR="00BE66A2">
        <w:t>,</w:t>
      </w:r>
      <w:r>
        <w:t xml:space="preserve"> se descuentan de la variable NTN</w:t>
      </w:r>
      <w:r w:rsidR="00BE66A2">
        <w:t>,</w:t>
      </w:r>
      <w:r>
        <w:t xml:space="preserve"> al no ser activos con reinicio de vida útil</w:t>
      </w:r>
      <w:r w:rsidR="00BE66A2">
        <w:t>,</w:t>
      </w:r>
      <w:r>
        <w:t xml:space="preserve"> y se descuenta de la categoría NTFO al estar en operación. </w:t>
      </w:r>
    </w:p>
    <w:p w14:paraId="3B758D88" w14:textId="4B0C51D3" w:rsidR="00486441" w:rsidRDefault="00486441" w:rsidP="000C68A9">
      <w:pPr>
        <w:keepNext/>
        <w:rPr>
          <w:b/>
          <w:bCs/>
        </w:rPr>
      </w:pPr>
      <w:r>
        <w:rPr>
          <w:b/>
          <w:bCs/>
        </w:rPr>
        <w:t>Solicitud No. 10</w:t>
      </w:r>
    </w:p>
    <w:p w14:paraId="61F666CD" w14:textId="66A442D6" w:rsidR="00486441" w:rsidRDefault="00486441" w:rsidP="00BE66A2">
      <w:pPr>
        <w:ind w:left="284"/>
      </w:pPr>
      <w:r w:rsidRPr="000C4F5C">
        <w:rPr>
          <w:i/>
          <w:iCs/>
          <w:sz w:val="20"/>
        </w:rPr>
        <w:t>Se solicita a la Comisión reconocer 34.469 transformadores y 29.132 redes en operación a corte 2020, considerando que dicha infraestructura se encuentra en servicio a la fecha con las características técnicas indicadas en el Anexo 3-5 Transformadores N1 y redes N1 2020.</w:t>
      </w:r>
      <w:r>
        <w:rPr>
          <w:i/>
          <w:iCs/>
          <w:sz w:val="20"/>
        </w:rPr>
        <w:t xml:space="preserve"> </w:t>
      </w:r>
    </w:p>
    <w:p w14:paraId="7EC634E1" w14:textId="405AE0D6" w:rsidR="00FA1206" w:rsidRPr="00FA1206" w:rsidRDefault="00FA1206" w:rsidP="000C68A9">
      <w:pPr>
        <w:keepNext/>
        <w:rPr>
          <w:b/>
          <w:bCs/>
        </w:rPr>
      </w:pPr>
      <w:r w:rsidRPr="00FA1206">
        <w:rPr>
          <w:b/>
          <w:bCs/>
        </w:rPr>
        <w:t>Análisis de la Comisión</w:t>
      </w:r>
    </w:p>
    <w:p w14:paraId="692D38F7" w14:textId="109D54AD" w:rsidR="00341ABC" w:rsidRDefault="00341ABC" w:rsidP="00341ABC">
      <w:r>
        <w:t>A partir de la información de transformadores de nivel de tensión 1 entregada en el recurso de reposición por el OR</w:t>
      </w:r>
      <w:r w:rsidR="006A2A23">
        <w:t xml:space="preserve">, </w:t>
      </w:r>
      <w:r>
        <w:t xml:space="preserve">los ajustes solicitados </w:t>
      </w:r>
      <w:r w:rsidR="006A2A23">
        <w:t xml:space="preserve">y las </w:t>
      </w:r>
      <w:r>
        <w:t xml:space="preserve">aclaraciones del reporte realizado inicialmente, se ajusta la cantidad de transformadores por categoría a la fecha de corte, diciembre de 2019, de la siguiente manera: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1"/>
        <w:gridCol w:w="1103"/>
      </w:tblGrid>
      <w:tr w:rsidR="00341ABC" w:rsidRPr="00700B7D" w14:paraId="7E964CDB" w14:textId="77777777" w:rsidTr="00486441">
        <w:trPr>
          <w:trHeight w:val="20"/>
          <w:tblHeader/>
          <w:jc w:val="center"/>
        </w:trPr>
        <w:tc>
          <w:tcPr>
            <w:tcW w:w="2681" w:type="dxa"/>
            <w:shd w:val="clear" w:color="auto" w:fill="auto"/>
            <w:vAlign w:val="center"/>
            <w:hideMark/>
          </w:tcPr>
          <w:p w14:paraId="06EF4469" w14:textId="77777777" w:rsidR="00341ABC" w:rsidRPr="00736B70" w:rsidRDefault="00341ABC" w:rsidP="00C416B5">
            <w:pPr>
              <w:spacing w:before="0" w:after="0"/>
              <w:jc w:val="center"/>
              <w:rPr>
                <w:rFonts w:cs="Arial"/>
                <w:b/>
                <w:i/>
                <w:iCs/>
                <w:color w:val="000000"/>
                <w:sz w:val="20"/>
                <w:szCs w:val="20"/>
                <w:lang w:eastAsia="es-CO"/>
              </w:rPr>
            </w:pPr>
            <w:r w:rsidRPr="00736B70">
              <w:rPr>
                <w:rFonts w:cs="Arial"/>
                <w:b/>
                <w:i/>
                <w:iCs/>
                <w:color w:val="000000"/>
                <w:sz w:val="20"/>
                <w:szCs w:val="20"/>
                <w:lang w:eastAsia="es-CO"/>
              </w:rPr>
              <w:t>Categoría</w:t>
            </w:r>
          </w:p>
        </w:tc>
        <w:tc>
          <w:tcPr>
            <w:tcW w:w="1074" w:type="dxa"/>
            <w:shd w:val="clear" w:color="auto" w:fill="auto"/>
            <w:vAlign w:val="center"/>
            <w:hideMark/>
          </w:tcPr>
          <w:p w14:paraId="24201A1B" w14:textId="77777777" w:rsidR="00341ABC" w:rsidRPr="00736B70" w:rsidRDefault="00341ABC" w:rsidP="00C416B5">
            <w:pPr>
              <w:spacing w:before="0" w:after="0"/>
              <w:jc w:val="center"/>
              <w:rPr>
                <w:rFonts w:cs="Arial"/>
                <w:b/>
                <w:i/>
                <w:iCs/>
                <w:color w:val="000000"/>
                <w:sz w:val="20"/>
                <w:szCs w:val="20"/>
                <w:lang w:eastAsia="es-CO"/>
              </w:rPr>
            </w:pPr>
            <w:r w:rsidRPr="00736B70">
              <w:rPr>
                <w:rFonts w:cs="Arial"/>
                <w:b/>
                <w:i/>
                <w:iCs/>
                <w:color w:val="000000"/>
                <w:sz w:val="20"/>
                <w:szCs w:val="20"/>
                <w:lang w:eastAsia="es-CO"/>
              </w:rPr>
              <w:t>Caribesol</w:t>
            </w:r>
          </w:p>
        </w:tc>
      </w:tr>
      <w:tr w:rsidR="00341ABC" w:rsidRPr="00700B7D" w14:paraId="6E814462" w14:textId="77777777" w:rsidTr="00486441">
        <w:trPr>
          <w:trHeight w:val="20"/>
          <w:jc w:val="center"/>
        </w:trPr>
        <w:tc>
          <w:tcPr>
            <w:tcW w:w="2681" w:type="dxa"/>
            <w:shd w:val="clear" w:color="auto" w:fill="auto"/>
            <w:vAlign w:val="center"/>
            <w:hideMark/>
          </w:tcPr>
          <w:p w14:paraId="670F5F99" w14:textId="77777777" w:rsidR="00341ABC" w:rsidRPr="00736B70" w:rsidRDefault="00341ABC" w:rsidP="00C416B5">
            <w:pPr>
              <w:spacing w:before="0" w:after="0"/>
              <w:jc w:val="left"/>
              <w:rPr>
                <w:rFonts w:cs="Arial"/>
                <w:bCs/>
                <w:i/>
                <w:iCs/>
                <w:color w:val="000000"/>
                <w:sz w:val="20"/>
                <w:szCs w:val="20"/>
                <w:lang w:eastAsia="es-CO"/>
              </w:rPr>
            </w:pPr>
            <w:r w:rsidRPr="00736B70">
              <w:rPr>
                <w:rFonts w:cs="Arial"/>
                <w:bCs/>
                <w:i/>
                <w:iCs/>
                <w:color w:val="000000"/>
                <w:sz w:val="20"/>
                <w:szCs w:val="20"/>
                <w:lang w:eastAsia="es-CO"/>
              </w:rPr>
              <w:t>NT</w:t>
            </w:r>
          </w:p>
        </w:tc>
        <w:tc>
          <w:tcPr>
            <w:tcW w:w="1074" w:type="dxa"/>
            <w:shd w:val="clear" w:color="auto" w:fill="auto"/>
            <w:noWrap/>
            <w:vAlign w:val="bottom"/>
            <w:hideMark/>
          </w:tcPr>
          <w:p w14:paraId="53D35C1A" w14:textId="77777777" w:rsidR="00341ABC" w:rsidRPr="00736B70" w:rsidRDefault="00341ABC" w:rsidP="00C416B5">
            <w:pPr>
              <w:spacing w:before="0" w:after="0"/>
              <w:jc w:val="right"/>
              <w:rPr>
                <w:rFonts w:cs="Arial"/>
                <w:bCs/>
                <w:i/>
                <w:iCs/>
                <w:sz w:val="20"/>
                <w:szCs w:val="20"/>
                <w:lang w:eastAsia="es-CO"/>
              </w:rPr>
            </w:pPr>
            <w:r w:rsidRPr="00736B70">
              <w:rPr>
                <w:rFonts w:cs="Arial"/>
                <w:i/>
                <w:iCs/>
                <w:sz w:val="20"/>
                <w:szCs w:val="20"/>
                <w:lang w:eastAsia="es-CO"/>
              </w:rPr>
              <w:t>28.065</w:t>
            </w:r>
          </w:p>
        </w:tc>
      </w:tr>
      <w:tr w:rsidR="00341ABC" w:rsidRPr="00700B7D" w14:paraId="528EEFE6" w14:textId="77777777" w:rsidTr="00486441">
        <w:trPr>
          <w:trHeight w:val="20"/>
          <w:jc w:val="center"/>
        </w:trPr>
        <w:tc>
          <w:tcPr>
            <w:tcW w:w="2681" w:type="dxa"/>
            <w:shd w:val="clear" w:color="auto" w:fill="auto"/>
            <w:vAlign w:val="center"/>
            <w:hideMark/>
          </w:tcPr>
          <w:p w14:paraId="702955DD" w14:textId="77777777" w:rsidR="00341ABC" w:rsidRPr="00736B70" w:rsidRDefault="00341ABC" w:rsidP="00C416B5">
            <w:pPr>
              <w:spacing w:before="0" w:after="0"/>
              <w:jc w:val="left"/>
              <w:rPr>
                <w:rFonts w:cs="Arial"/>
                <w:bCs/>
                <w:i/>
                <w:iCs/>
                <w:color w:val="000000"/>
                <w:sz w:val="20"/>
                <w:szCs w:val="20"/>
                <w:lang w:eastAsia="es-CO"/>
              </w:rPr>
            </w:pPr>
            <w:r w:rsidRPr="00736B70">
              <w:rPr>
                <w:rFonts w:cs="Arial"/>
                <w:bCs/>
                <w:i/>
                <w:iCs/>
                <w:color w:val="000000"/>
                <w:sz w:val="20"/>
                <w:szCs w:val="20"/>
                <w:lang w:eastAsia="es-CO"/>
              </w:rPr>
              <w:t>NTFO</w:t>
            </w:r>
          </w:p>
        </w:tc>
        <w:tc>
          <w:tcPr>
            <w:tcW w:w="1074" w:type="dxa"/>
            <w:shd w:val="clear" w:color="auto" w:fill="auto"/>
            <w:noWrap/>
            <w:vAlign w:val="bottom"/>
            <w:hideMark/>
          </w:tcPr>
          <w:p w14:paraId="7CCFFFA2" w14:textId="5BBCA7F8" w:rsidR="00341ABC" w:rsidRPr="00736B70" w:rsidRDefault="00341ABC" w:rsidP="00C416B5">
            <w:pPr>
              <w:spacing w:before="0" w:after="0"/>
              <w:jc w:val="right"/>
              <w:rPr>
                <w:rFonts w:cs="Arial"/>
                <w:bCs/>
                <w:i/>
                <w:iCs/>
                <w:sz w:val="20"/>
                <w:szCs w:val="20"/>
                <w:lang w:eastAsia="es-CO"/>
              </w:rPr>
            </w:pPr>
            <w:r w:rsidRPr="00736B70">
              <w:rPr>
                <w:rFonts w:cs="Arial"/>
                <w:i/>
                <w:iCs/>
                <w:sz w:val="20"/>
                <w:szCs w:val="20"/>
                <w:lang w:eastAsia="es-CO"/>
              </w:rPr>
              <w:t>7.145</w:t>
            </w:r>
          </w:p>
        </w:tc>
      </w:tr>
      <w:tr w:rsidR="00341ABC" w:rsidRPr="00700B7D" w14:paraId="1AE39795" w14:textId="77777777" w:rsidTr="00486441">
        <w:trPr>
          <w:trHeight w:val="20"/>
          <w:jc w:val="center"/>
        </w:trPr>
        <w:tc>
          <w:tcPr>
            <w:tcW w:w="2681" w:type="dxa"/>
            <w:shd w:val="clear" w:color="auto" w:fill="auto"/>
            <w:vAlign w:val="center"/>
            <w:hideMark/>
          </w:tcPr>
          <w:p w14:paraId="509622BF" w14:textId="77777777" w:rsidR="00341ABC" w:rsidRPr="00736B70" w:rsidRDefault="00341ABC" w:rsidP="00C416B5">
            <w:pPr>
              <w:spacing w:before="0" w:after="0"/>
              <w:jc w:val="left"/>
              <w:rPr>
                <w:rFonts w:cs="Arial"/>
                <w:bCs/>
                <w:i/>
                <w:iCs/>
                <w:color w:val="000000"/>
                <w:sz w:val="20"/>
                <w:szCs w:val="20"/>
                <w:lang w:eastAsia="es-CO"/>
              </w:rPr>
            </w:pPr>
            <w:r w:rsidRPr="00736B70">
              <w:rPr>
                <w:rFonts w:cs="Arial"/>
                <w:bCs/>
                <w:i/>
                <w:iCs/>
                <w:color w:val="000000"/>
                <w:sz w:val="20"/>
                <w:szCs w:val="20"/>
                <w:lang w:eastAsia="es-CO"/>
              </w:rPr>
              <w:t>NTNI</w:t>
            </w:r>
          </w:p>
        </w:tc>
        <w:tc>
          <w:tcPr>
            <w:tcW w:w="1074" w:type="dxa"/>
            <w:shd w:val="clear" w:color="auto" w:fill="auto"/>
            <w:noWrap/>
            <w:vAlign w:val="bottom"/>
            <w:hideMark/>
          </w:tcPr>
          <w:p w14:paraId="2ABFCB36" w14:textId="77777777" w:rsidR="00341ABC" w:rsidRPr="00736B70" w:rsidRDefault="00341ABC" w:rsidP="00C416B5">
            <w:pPr>
              <w:spacing w:before="0" w:after="0"/>
              <w:jc w:val="right"/>
              <w:rPr>
                <w:rFonts w:cs="Arial"/>
                <w:bCs/>
                <w:i/>
                <w:iCs/>
                <w:sz w:val="20"/>
                <w:szCs w:val="20"/>
                <w:lang w:eastAsia="es-CO"/>
              </w:rPr>
            </w:pPr>
            <w:r w:rsidRPr="00736B70">
              <w:rPr>
                <w:rFonts w:cs="Arial"/>
                <w:i/>
                <w:iCs/>
                <w:sz w:val="20"/>
                <w:szCs w:val="20"/>
                <w:lang w:eastAsia="es-CO"/>
              </w:rPr>
              <w:t>1.430</w:t>
            </w:r>
          </w:p>
        </w:tc>
      </w:tr>
      <w:tr w:rsidR="00341ABC" w:rsidRPr="00700B7D" w14:paraId="63F21291" w14:textId="77777777" w:rsidTr="00486441">
        <w:trPr>
          <w:trHeight w:val="20"/>
          <w:jc w:val="center"/>
        </w:trPr>
        <w:tc>
          <w:tcPr>
            <w:tcW w:w="2681" w:type="dxa"/>
            <w:shd w:val="clear" w:color="auto" w:fill="auto"/>
            <w:vAlign w:val="center"/>
            <w:hideMark/>
          </w:tcPr>
          <w:p w14:paraId="283AF51D" w14:textId="77777777" w:rsidR="00341ABC" w:rsidRPr="00736B70" w:rsidRDefault="00341ABC" w:rsidP="00C416B5">
            <w:pPr>
              <w:spacing w:before="0" w:after="0"/>
              <w:jc w:val="left"/>
              <w:rPr>
                <w:rFonts w:cs="Arial"/>
                <w:bCs/>
                <w:i/>
                <w:iCs/>
                <w:color w:val="000000"/>
                <w:sz w:val="20"/>
                <w:szCs w:val="20"/>
                <w:lang w:eastAsia="es-CO"/>
              </w:rPr>
            </w:pPr>
            <w:r w:rsidRPr="00736B70">
              <w:rPr>
                <w:rFonts w:cs="Arial"/>
                <w:bCs/>
                <w:i/>
                <w:iCs/>
                <w:color w:val="000000"/>
                <w:sz w:val="20"/>
                <w:szCs w:val="20"/>
                <w:lang w:eastAsia="es-CO"/>
              </w:rPr>
              <w:t>NTN</w:t>
            </w:r>
          </w:p>
        </w:tc>
        <w:tc>
          <w:tcPr>
            <w:tcW w:w="1074" w:type="dxa"/>
            <w:shd w:val="clear" w:color="auto" w:fill="auto"/>
            <w:noWrap/>
            <w:vAlign w:val="bottom"/>
            <w:hideMark/>
          </w:tcPr>
          <w:p w14:paraId="78DA2609" w14:textId="2F10D07B" w:rsidR="00341ABC" w:rsidRPr="00736B70" w:rsidRDefault="00341ABC" w:rsidP="00C416B5">
            <w:pPr>
              <w:spacing w:before="0" w:after="0"/>
              <w:jc w:val="right"/>
              <w:rPr>
                <w:rFonts w:cs="Arial"/>
                <w:bCs/>
                <w:i/>
                <w:iCs/>
                <w:sz w:val="20"/>
                <w:szCs w:val="20"/>
                <w:lang w:eastAsia="es-CO"/>
              </w:rPr>
            </w:pPr>
            <w:r w:rsidRPr="00736B70">
              <w:rPr>
                <w:rFonts w:cs="Arial"/>
                <w:i/>
                <w:iCs/>
                <w:sz w:val="20"/>
                <w:szCs w:val="20"/>
                <w:lang w:eastAsia="es-CO"/>
              </w:rPr>
              <w:t>10.076</w:t>
            </w:r>
          </w:p>
        </w:tc>
      </w:tr>
      <w:tr w:rsidR="00341ABC" w:rsidRPr="00700B7D" w14:paraId="154E2065" w14:textId="77777777" w:rsidTr="00486441">
        <w:trPr>
          <w:trHeight w:val="20"/>
          <w:jc w:val="center"/>
        </w:trPr>
        <w:tc>
          <w:tcPr>
            <w:tcW w:w="2681" w:type="dxa"/>
            <w:shd w:val="clear" w:color="auto" w:fill="auto"/>
            <w:vAlign w:val="center"/>
            <w:hideMark/>
          </w:tcPr>
          <w:p w14:paraId="58BF22B6" w14:textId="77777777" w:rsidR="00341ABC" w:rsidRPr="00736B70" w:rsidRDefault="00341ABC" w:rsidP="00C416B5">
            <w:pPr>
              <w:spacing w:before="0" w:after="0"/>
              <w:jc w:val="left"/>
              <w:rPr>
                <w:rFonts w:cs="Arial"/>
                <w:b/>
                <w:i/>
                <w:iCs/>
                <w:color w:val="000000"/>
                <w:sz w:val="20"/>
                <w:szCs w:val="20"/>
                <w:lang w:eastAsia="es-CO"/>
              </w:rPr>
            </w:pPr>
            <w:r w:rsidRPr="00736B70">
              <w:rPr>
                <w:rFonts w:cs="Arial"/>
                <w:b/>
                <w:i/>
                <w:iCs/>
                <w:color w:val="000000"/>
                <w:sz w:val="20"/>
                <w:szCs w:val="20"/>
                <w:lang w:eastAsia="es-CO"/>
              </w:rPr>
              <w:t>NT-NTFO+NTNI+NTN</w:t>
            </w:r>
          </w:p>
        </w:tc>
        <w:tc>
          <w:tcPr>
            <w:tcW w:w="1074" w:type="dxa"/>
            <w:shd w:val="clear" w:color="auto" w:fill="auto"/>
            <w:noWrap/>
            <w:vAlign w:val="bottom"/>
            <w:hideMark/>
          </w:tcPr>
          <w:p w14:paraId="37A37862" w14:textId="682F562E" w:rsidR="00341ABC" w:rsidRPr="00736B70" w:rsidRDefault="00341ABC" w:rsidP="00341ABC">
            <w:pPr>
              <w:spacing w:before="0" w:after="0"/>
              <w:jc w:val="right"/>
              <w:rPr>
                <w:rFonts w:cs="Arial"/>
                <w:b/>
                <w:i/>
                <w:iCs/>
                <w:sz w:val="20"/>
                <w:szCs w:val="20"/>
                <w:lang w:eastAsia="es-CO"/>
              </w:rPr>
            </w:pPr>
            <w:r w:rsidRPr="00736B70">
              <w:rPr>
                <w:rFonts w:cs="Arial"/>
                <w:b/>
                <w:i/>
                <w:iCs/>
                <w:sz w:val="20"/>
                <w:szCs w:val="20"/>
                <w:lang w:eastAsia="es-CO"/>
              </w:rPr>
              <w:t>32.426</w:t>
            </w:r>
          </w:p>
        </w:tc>
      </w:tr>
    </w:tbl>
    <w:p w14:paraId="74F713A8" w14:textId="57E706D9" w:rsidR="006A2A23" w:rsidRDefault="00341ABC" w:rsidP="00341ABC">
      <w:r>
        <w:t>Adicional a los transformadores de la tabla anterior, el OR reportó en la categoría NTN 2.061 transformadores puestos en operación en el 2020, de los cuales 25 son reportados como activos construidos con recursos públicos</w:t>
      </w:r>
      <w:r w:rsidR="007B47D3">
        <w:t xml:space="preserve">, </w:t>
      </w:r>
      <w:r w:rsidR="006A2A23">
        <w:t>96 son transformadores con reposiciones parciales</w:t>
      </w:r>
      <w:r w:rsidR="00BE66A2">
        <w:t>,</w:t>
      </w:r>
      <w:r w:rsidR="006A2A23">
        <w:t xml:space="preserve"> y 28 transformadores de un usuario y capacidad superior a 15 kVA</w:t>
      </w:r>
      <w:r>
        <w:t>.</w:t>
      </w:r>
      <w:r w:rsidR="006A2A23">
        <w:t xml:space="preserve"> </w:t>
      </w:r>
    </w:p>
    <w:p w14:paraId="0C918C05" w14:textId="54FE8C98" w:rsidR="00341ABC" w:rsidRDefault="006A2A23" w:rsidP="00341ABC">
      <w:r>
        <w:t>Por lo cual</w:t>
      </w:r>
      <w:r w:rsidR="00BE66A2">
        <w:t>,</w:t>
      </w:r>
      <w:r>
        <w:t xml:space="preserve"> los transformadores puestos en operación en el 2020 reconocidos en la base regulatoria inicial de activos son 1.916.</w:t>
      </w:r>
      <w:r w:rsidR="00341ABC">
        <w:t xml:space="preserve"> </w:t>
      </w:r>
    </w:p>
    <w:p w14:paraId="31336789" w14:textId="772DFE89" w:rsidR="006A2A23" w:rsidRDefault="006A2A23" w:rsidP="006A2A23">
      <w:r w:rsidRPr="00C5546F">
        <w:t>En el caso de redes de baja tensión</w:t>
      </w:r>
      <w:r w:rsidR="00D37540">
        <w:t>,</w:t>
      </w:r>
      <w:r w:rsidRPr="00C5546F">
        <w:t xml:space="preserve"> se realizan los mismos ajustes de los transformadores respecto a</w:t>
      </w:r>
      <w:r w:rsidR="00054233" w:rsidRPr="00C5546F">
        <w:t xml:space="preserve">l ajuste de las redes en las categorías </w:t>
      </w:r>
      <w:r w:rsidR="00054233" w:rsidRPr="00C5546F">
        <w:rPr>
          <w:i/>
          <w:iCs/>
        </w:rPr>
        <w:t>NRFO</w:t>
      </w:r>
      <w:r w:rsidR="00054233" w:rsidRPr="00C5546F">
        <w:t xml:space="preserve"> y </w:t>
      </w:r>
      <w:r w:rsidR="00054233" w:rsidRPr="00C5546F">
        <w:rPr>
          <w:i/>
          <w:iCs/>
        </w:rPr>
        <w:t>NRN</w:t>
      </w:r>
      <w:r w:rsidRPr="00C5546F">
        <w:t>.</w:t>
      </w:r>
      <w:r>
        <w:t xml:space="preserve"> </w:t>
      </w:r>
    </w:p>
    <w:p w14:paraId="29955D3A" w14:textId="6CCE9EAF" w:rsidR="00FA1206" w:rsidRDefault="00FA1206" w:rsidP="006A2A23">
      <w:r w:rsidRPr="006B4EA0">
        <w:t xml:space="preserve">La base regulatoria inicial de activos solicitada por Air-e </w:t>
      </w:r>
      <w:r w:rsidR="00D37540">
        <w:t xml:space="preserve">S.A.S. E.S.P. </w:t>
      </w:r>
      <w:r w:rsidRPr="006B4EA0">
        <w:t>incluye los activos puestos en operación a la fecha de corte, diciembre de 2019, y los activos puestos en operación en el año 2020, por lo cual, para distribuir el valor implícito reconocido en los cargos de Electricaribe</w:t>
      </w:r>
      <w:r w:rsidR="00D37540">
        <w:t>,</w:t>
      </w:r>
      <w:r w:rsidRPr="006B4EA0">
        <w:t xml:space="preserve"> se debe utilizar únicamente el valor de los activos a la fecha de corte de los nuevos mercados, es decir</w:t>
      </w:r>
      <w:r w:rsidR="00D37540">
        <w:t>,</w:t>
      </w:r>
      <w:r w:rsidRPr="006B4EA0">
        <w:t xml:space="preserve"> la información con corte a diciembre de 2019.</w:t>
      </w:r>
    </w:p>
    <w:p w14:paraId="479A7BF0" w14:textId="00E7C5E8" w:rsidR="00341ABC" w:rsidRDefault="009C6CAA" w:rsidP="000C68A9">
      <w:pPr>
        <w:keepNext/>
        <w:rPr>
          <w:b/>
          <w:bCs/>
        </w:rPr>
      </w:pPr>
      <w:r>
        <w:rPr>
          <w:b/>
          <w:bCs/>
        </w:rPr>
        <w:t>Solicitud No. 11</w:t>
      </w:r>
    </w:p>
    <w:p w14:paraId="62447820" w14:textId="3207DDB5" w:rsidR="009C6CAA" w:rsidRPr="009C6CAA" w:rsidRDefault="009C6CAA" w:rsidP="00D37540">
      <w:pPr>
        <w:ind w:left="284"/>
        <w:rPr>
          <w:i/>
          <w:iCs/>
          <w:sz w:val="20"/>
          <w:szCs w:val="20"/>
        </w:rPr>
      </w:pPr>
      <w:r w:rsidRPr="009C6CAA">
        <w:rPr>
          <w:i/>
          <w:iCs/>
          <w:sz w:val="20"/>
          <w:szCs w:val="20"/>
        </w:rPr>
        <w:t>Para efectos de la valoración del módulo común, se solicita a la CREG considerar el número de bahías a instalar. Lo anterior de acuerdo con lo establecido en el literal j del numeral 14.1 de la Resolución CREG 015 de 2018, en el que se establece que el costo del módulo común se define por bahía.</w:t>
      </w:r>
    </w:p>
    <w:p w14:paraId="56A3ACD7" w14:textId="5E0DB33A" w:rsidR="00341ABC" w:rsidRPr="009C6CAA" w:rsidRDefault="009C6CAA" w:rsidP="000C68A9">
      <w:pPr>
        <w:keepNext/>
        <w:rPr>
          <w:b/>
          <w:bCs/>
        </w:rPr>
      </w:pPr>
      <w:r w:rsidRPr="00D25E16">
        <w:rPr>
          <w:b/>
          <w:bCs/>
        </w:rPr>
        <w:t>Análisis de la Comisión</w:t>
      </w:r>
    </w:p>
    <w:p w14:paraId="311DE981" w14:textId="132B77D8" w:rsidR="00FC0F7A" w:rsidRDefault="00FC0F7A" w:rsidP="006860FB">
      <w:r>
        <w:t xml:space="preserve">En el numeral 2.5.3 del documento soporte de la resolución CREG 024 de 2021, se señala lo siguiente: </w:t>
      </w:r>
    </w:p>
    <w:p w14:paraId="235B1F1F" w14:textId="62EBA844" w:rsidR="00FC0F7A" w:rsidRPr="00FC0F7A" w:rsidRDefault="00FC0F7A" w:rsidP="00D37540">
      <w:pPr>
        <w:spacing w:before="60" w:after="60"/>
        <w:ind w:left="284"/>
        <w:rPr>
          <w:b/>
          <w:bCs/>
          <w:i/>
          <w:iCs/>
          <w:sz w:val="20"/>
          <w:szCs w:val="20"/>
        </w:rPr>
      </w:pPr>
      <w:bookmarkStart w:id="2" w:name="_Toc68515612"/>
      <w:r w:rsidRPr="00FC0F7A">
        <w:rPr>
          <w:b/>
          <w:bCs/>
          <w:i/>
          <w:iCs/>
          <w:sz w:val="20"/>
          <w:szCs w:val="20"/>
        </w:rPr>
        <w:t>2.5.3 Planes de inversión</w:t>
      </w:r>
      <w:bookmarkEnd w:id="2"/>
      <w:r w:rsidRPr="00FC0F7A">
        <w:rPr>
          <w:b/>
          <w:bCs/>
          <w:i/>
          <w:iCs/>
          <w:sz w:val="20"/>
          <w:szCs w:val="20"/>
        </w:rPr>
        <w:t xml:space="preserve"> </w:t>
      </w:r>
    </w:p>
    <w:p w14:paraId="79C5B8E2" w14:textId="77777777" w:rsidR="00FC0F7A" w:rsidRPr="00FC0F7A" w:rsidRDefault="00FC0F7A" w:rsidP="00D37540">
      <w:pPr>
        <w:spacing w:before="60" w:after="60"/>
        <w:ind w:left="284"/>
        <w:rPr>
          <w:i/>
          <w:iCs/>
          <w:sz w:val="20"/>
          <w:szCs w:val="20"/>
        </w:rPr>
      </w:pPr>
      <w:r w:rsidRPr="00FC0F7A">
        <w:rPr>
          <w:i/>
          <w:iCs/>
          <w:sz w:val="20"/>
          <w:szCs w:val="20"/>
        </w:rPr>
        <w:t>Se ajusta el formato con el inventario aprobado en los siguientes aspectos:</w:t>
      </w:r>
    </w:p>
    <w:p w14:paraId="46B89FAE" w14:textId="77777777" w:rsidR="00FC0F7A" w:rsidRPr="00FC0F7A" w:rsidRDefault="00FC0F7A" w:rsidP="00D37540">
      <w:pPr>
        <w:pStyle w:val="Prrafodelista"/>
        <w:numPr>
          <w:ilvl w:val="0"/>
          <w:numId w:val="25"/>
        </w:numPr>
        <w:spacing w:before="60" w:after="60"/>
        <w:ind w:left="567" w:hanging="284"/>
        <w:rPr>
          <w:i/>
          <w:iCs/>
          <w:sz w:val="20"/>
          <w:szCs w:val="16"/>
        </w:rPr>
      </w:pPr>
      <w:r w:rsidRPr="00FC0F7A">
        <w:rPr>
          <w:i/>
          <w:iCs/>
          <w:sz w:val="20"/>
          <w:szCs w:val="16"/>
          <w:u w:val="single"/>
        </w:rPr>
        <w:t>Para las UC de modulo común se reporta una sola UC por subestación, por nivel de tensión y por año</w:t>
      </w:r>
      <w:r w:rsidRPr="00FC0F7A">
        <w:rPr>
          <w:i/>
          <w:iCs/>
          <w:sz w:val="20"/>
          <w:szCs w:val="16"/>
        </w:rPr>
        <w:t xml:space="preserve">, </w:t>
      </w:r>
      <w:r w:rsidRPr="00FC0F7A">
        <w:rPr>
          <w:i/>
          <w:iCs/>
          <w:sz w:val="20"/>
          <w:szCs w:val="16"/>
          <w:u w:val="single"/>
        </w:rPr>
        <w:t>se indica que en la valoración se consideran las UC que implican reconocimiento del módulo común</w:t>
      </w:r>
      <w:r w:rsidRPr="00FC0F7A">
        <w:rPr>
          <w:i/>
          <w:iCs/>
          <w:sz w:val="20"/>
          <w:szCs w:val="16"/>
        </w:rPr>
        <w:t xml:space="preserve">. Se ajusta el reporte ya que se reportó más de una UC por subestación. </w:t>
      </w:r>
    </w:p>
    <w:p w14:paraId="46640D33" w14:textId="011961BB" w:rsidR="00B77035" w:rsidRPr="00FC0F7A" w:rsidRDefault="00B77035" w:rsidP="00D37540">
      <w:pPr>
        <w:pStyle w:val="Prrafodelista"/>
        <w:numPr>
          <w:ilvl w:val="0"/>
          <w:numId w:val="0"/>
        </w:numPr>
        <w:spacing w:before="60" w:after="60"/>
        <w:ind w:left="284"/>
        <w:rPr>
          <w:i/>
          <w:iCs/>
          <w:sz w:val="20"/>
          <w:szCs w:val="16"/>
        </w:rPr>
      </w:pPr>
      <w:r>
        <w:rPr>
          <w:i/>
          <w:iCs/>
          <w:sz w:val="20"/>
          <w:szCs w:val="16"/>
        </w:rPr>
        <w:t>Subrayado fuera de texto</w:t>
      </w:r>
    </w:p>
    <w:p w14:paraId="729BCB0D" w14:textId="07293857" w:rsidR="00FC0F7A" w:rsidRDefault="00D266FB" w:rsidP="006860FB">
      <w:bookmarkStart w:id="3" w:name="_Hlk72246648"/>
      <w:r>
        <w:t>S</w:t>
      </w:r>
      <w:r w:rsidR="00FC0F7A">
        <w:t>e aclara que</w:t>
      </w:r>
      <w:r>
        <w:t>,</w:t>
      </w:r>
      <w:r w:rsidR="00FC0F7A">
        <w:t xml:space="preserve"> en los formatos de reporte del plan de inversiones</w:t>
      </w:r>
      <w:r>
        <w:t>,</w:t>
      </w:r>
      <w:r w:rsidR="00FC0F7A">
        <w:t xml:space="preserve"> para las UC de módulo común se debe reportar una sola UC por </w:t>
      </w:r>
      <w:r w:rsidR="00FC0F7A" w:rsidRPr="00FC0F7A">
        <w:t>subestación, por nivel de tensión y por año</w:t>
      </w:r>
      <w:r w:rsidR="00FC0F7A">
        <w:t xml:space="preserve">. </w:t>
      </w:r>
    </w:p>
    <w:p w14:paraId="09B5B7E9" w14:textId="38F49740" w:rsidR="00FC0F7A" w:rsidRDefault="00D266FB" w:rsidP="006860FB">
      <w:r>
        <w:t>P</w:t>
      </w:r>
      <w:r w:rsidR="00FC0F7A">
        <w:t xml:space="preserve">ara efectos de valoración, en aplicación de lo señalado en el literal j del numeral 14.1 del anexo general de la Resolución CREG 015 de 2018, en el proceso de cálculo se realiza un conteo de las </w:t>
      </w:r>
      <w:r w:rsidR="00FC0F7A" w:rsidRPr="00FC0F7A">
        <w:t xml:space="preserve">bahías </w:t>
      </w:r>
      <w:r w:rsidR="00ED25DC">
        <w:t xml:space="preserve">que entran en operación </w:t>
      </w:r>
      <w:r w:rsidR="00FC0F7A" w:rsidRPr="00FC0F7A">
        <w:t xml:space="preserve">en la subestación en </w:t>
      </w:r>
      <w:r w:rsidR="00FC0F7A">
        <w:t xml:space="preserve">cada </w:t>
      </w:r>
      <w:r w:rsidR="00FC0F7A" w:rsidRPr="00FC0F7A">
        <w:t>nivel de tensión</w:t>
      </w:r>
      <w:r w:rsidR="00ED25DC">
        <w:t>,</w:t>
      </w:r>
      <w:r w:rsidR="00FC0F7A" w:rsidRPr="00FC0F7A">
        <w:t xml:space="preserve"> </w:t>
      </w:r>
      <w:r w:rsidR="00FC0F7A">
        <w:t xml:space="preserve">que luego se multiplica por el valor de la UC de módulo común correspondiente. </w:t>
      </w:r>
    </w:p>
    <w:p w14:paraId="292D94E2" w14:textId="77EC012D" w:rsidR="009C6CAA" w:rsidRDefault="00D57E87" w:rsidP="00D57E87">
      <w:r>
        <w:t xml:space="preserve">Por lo anterior, no se </w:t>
      </w:r>
      <w:r w:rsidR="00D266FB">
        <w:t>requieren ajustes</w:t>
      </w:r>
      <w:r w:rsidR="00D37540">
        <w:t>,</w:t>
      </w:r>
      <w:r w:rsidR="00D266FB">
        <w:t xml:space="preserve"> </w:t>
      </w:r>
      <w:r>
        <w:t xml:space="preserve">ya que la valoración de estas UC se </w:t>
      </w:r>
      <w:r w:rsidR="00D266FB">
        <w:t xml:space="preserve">realiza según </w:t>
      </w:r>
      <w:r>
        <w:t>lo previsto en la Resolución CREG 015 de 2018.</w:t>
      </w:r>
      <w:bookmarkEnd w:id="3"/>
    </w:p>
    <w:p w14:paraId="51779D30" w14:textId="2F5E1E68" w:rsidR="009C6CAA" w:rsidRDefault="00D57E87" w:rsidP="000C68A9">
      <w:pPr>
        <w:keepNext/>
        <w:rPr>
          <w:b/>
          <w:bCs/>
        </w:rPr>
      </w:pPr>
      <w:r>
        <w:rPr>
          <w:b/>
          <w:bCs/>
        </w:rPr>
        <w:t>Solicitud No. 12</w:t>
      </w:r>
    </w:p>
    <w:p w14:paraId="69EA9354" w14:textId="51651CED" w:rsidR="00D57E87" w:rsidRDefault="00D57E87" w:rsidP="00D37540">
      <w:pPr>
        <w:ind w:left="284"/>
        <w:rPr>
          <w:b/>
          <w:bCs/>
        </w:rPr>
      </w:pPr>
      <w:r w:rsidRPr="000C4F5C">
        <w:rPr>
          <w:i/>
          <w:iCs/>
          <w:sz w:val="20"/>
        </w:rPr>
        <w:t>Se solicita a la Comisión avalar las UC del plan de inversión que se reportaron sin identificación de la subestación, línea o transformador al cual se encuentra asociada la UC, considerando que AIR-E S.A.S E.S.P realizó los ajustes requeridos.</w:t>
      </w:r>
      <w:r>
        <w:rPr>
          <w:i/>
          <w:iCs/>
          <w:sz w:val="20"/>
        </w:rPr>
        <w:t xml:space="preserve"> </w:t>
      </w:r>
    </w:p>
    <w:p w14:paraId="4A60A2A2" w14:textId="77777777" w:rsidR="00B77035" w:rsidRPr="009C6CAA" w:rsidRDefault="00B77035" w:rsidP="000C68A9">
      <w:pPr>
        <w:keepNext/>
        <w:rPr>
          <w:b/>
          <w:bCs/>
        </w:rPr>
      </w:pPr>
      <w:r w:rsidRPr="00D25E16">
        <w:rPr>
          <w:b/>
          <w:bCs/>
        </w:rPr>
        <w:t>Análisis de la Comisión</w:t>
      </w:r>
    </w:p>
    <w:p w14:paraId="3DC2EA32" w14:textId="77777777" w:rsidR="00B77035" w:rsidRDefault="00B77035" w:rsidP="00B77035">
      <w:r>
        <w:t xml:space="preserve">En el numeral 2.5.3 del documento soporte de la resolución CREG 024 de 2021, se señala lo siguiente: </w:t>
      </w:r>
    </w:p>
    <w:p w14:paraId="799F64CA" w14:textId="77777777" w:rsidR="00B77035" w:rsidRPr="00FC0F7A" w:rsidRDefault="00B77035" w:rsidP="00D37540">
      <w:pPr>
        <w:spacing w:before="60" w:after="60"/>
        <w:ind w:left="284"/>
        <w:rPr>
          <w:b/>
          <w:bCs/>
          <w:i/>
          <w:iCs/>
          <w:sz w:val="20"/>
          <w:szCs w:val="20"/>
        </w:rPr>
      </w:pPr>
      <w:r w:rsidRPr="00FC0F7A">
        <w:rPr>
          <w:b/>
          <w:bCs/>
          <w:i/>
          <w:iCs/>
          <w:sz w:val="20"/>
          <w:szCs w:val="20"/>
        </w:rPr>
        <w:t xml:space="preserve">2.5.3 Planes de inversión </w:t>
      </w:r>
    </w:p>
    <w:p w14:paraId="5427670F" w14:textId="3018B40F" w:rsidR="00B77035" w:rsidRDefault="00B77035" w:rsidP="00D37540">
      <w:pPr>
        <w:spacing w:before="60" w:after="60"/>
        <w:ind w:left="284"/>
        <w:rPr>
          <w:i/>
          <w:iCs/>
          <w:sz w:val="20"/>
          <w:szCs w:val="16"/>
        </w:rPr>
      </w:pPr>
      <w:r w:rsidRPr="00FC0F7A">
        <w:rPr>
          <w:i/>
          <w:iCs/>
          <w:sz w:val="20"/>
          <w:szCs w:val="20"/>
        </w:rPr>
        <w:t>Se ajusta el formato con el inventario aprobado en los siguientes aspectos:</w:t>
      </w:r>
      <w:r>
        <w:rPr>
          <w:i/>
          <w:iCs/>
          <w:sz w:val="20"/>
          <w:szCs w:val="20"/>
        </w:rPr>
        <w:t xml:space="preserve"> </w:t>
      </w:r>
      <w:r>
        <w:rPr>
          <w:i/>
          <w:iCs/>
          <w:sz w:val="20"/>
          <w:szCs w:val="16"/>
        </w:rPr>
        <w:t>(…)</w:t>
      </w:r>
    </w:p>
    <w:p w14:paraId="3495492E" w14:textId="7D88E492" w:rsidR="00B77035" w:rsidRDefault="00B77035" w:rsidP="00D37540">
      <w:pPr>
        <w:pStyle w:val="Prrafodelista"/>
        <w:numPr>
          <w:ilvl w:val="0"/>
          <w:numId w:val="28"/>
        </w:numPr>
        <w:spacing w:before="60" w:after="60"/>
        <w:ind w:left="567" w:hanging="283"/>
        <w:rPr>
          <w:i/>
          <w:iCs/>
          <w:sz w:val="20"/>
          <w:szCs w:val="16"/>
        </w:rPr>
      </w:pPr>
      <w:r w:rsidRPr="00B77035">
        <w:rPr>
          <w:i/>
          <w:iCs/>
          <w:sz w:val="20"/>
          <w:szCs w:val="16"/>
        </w:rPr>
        <w:t xml:space="preserve">Se solicitan </w:t>
      </w:r>
      <w:r w:rsidRPr="00B77035">
        <w:rPr>
          <w:i/>
          <w:iCs/>
          <w:sz w:val="20"/>
          <w:szCs w:val="16"/>
          <w:u w:val="single"/>
        </w:rPr>
        <w:t>UC de subestación, UC de línea, UC de equipos de subestación, UC de equipos de línea, UC de transformadores de distribución y UC de redes de distribución</w:t>
      </w:r>
      <w:r w:rsidRPr="00B77035">
        <w:rPr>
          <w:i/>
          <w:iCs/>
          <w:sz w:val="20"/>
          <w:szCs w:val="16"/>
        </w:rPr>
        <w:t xml:space="preserve"> indicando que Esta actividad implica la intervención un % de la red de distribución, </w:t>
      </w:r>
      <w:r w:rsidRPr="00B77035">
        <w:rPr>
          <w:i/>
          <w:iCs/>
          <w:sz w:val="20"/>
          <w:szCs w:val="16"/>
          <w:u w:val="single"/>
        </w:rPr>
        <w:t>en el ejercicio del PI se realizó la proyección estimada sin definición del punto a intervenir</w:t>
      </w:r>
      <w:r w:rsidRPr="00B77035">
        <w:rPr>
          <w:i/>
          <w:iCs/>
          <w:sz w:val="20"/>
          <w:szCs w:val="16"/>
        </w:rPr>
        <w:t xml:space="preserve">. Se ajusta el inventario al </w:t>
      </w:r>
      <w:r w:rsidRPr="00B77035">
        <w:rPr>
          <w:i/>
          <w:iCs/>
          <w:sz w:val="20"/>
          <w:szCs w:val="16"/>
          <w:u w:val="single"/>
        </w:rPr>
        <w:t>no contar con identificación de la subestación, línea o transformador al cual se encuentra asociada la UC</w:t>
      </w:r>
      <w:r w:rsidRPr="00B77035">
        <w:rPr>
          <w:i/>
          <w:iCs/>
          <w:sz w:val="20"/>
          <w:szCs w:val="16"/>
        </w:rPr>
        <w:t>.</w:t>
      </w:r>
    </w:p>
    <w:p w14:paraId="07B5BFA9" w14:textId="1A0FD2BD" w:rsidR="00B77035" w:rsidRPr="00B77035" w:rsidRDefault="00B77035" w:rsidP="00D37540">
      <w:pPr>
        <w:spacing w:before="60" w:after="60"/>
        <w:ind w:left="284"/>
        <w:rPr>
          <w:i/>
          <w:iCs/>
          <w:sz w:val="20"/>
          <w:szCs w:val="16"/>
        </w:rPr>
      </w:pPr>
      <w:r w:rsidRPr="00B77035">
        <w:rPr>
          <w:i/>
          <w:iCs/>
          <w:sz w:val="20"/>
          <w:szCs w:val="16"/>
        </w:rPr>
        <w:t>Subrayado fuera de texto</w:t>
      </w:r>
    </w:p>
    <w:p w14:paraId="2AB1255E" w14:textId="19DDB2E2" w:rsidR="00D57E87" w:rsidRDefault="00B77035" w:rsidP="00AF2EBA">
      <w:r>
        <w:t>Una vez revisada la información suministrada por el OR durante la actuación administrativa conducente a la aprobación de la Resolución CREG 024 de 2021, se verificó que el OR solicitó la aprobación de unidades constructivas que no se encontraban relacionadas con subestaciones o líneas del sistema, por lo cual</w:t>
      </w:r>
      <w:r w:rsidR="00D37540">
        <w:t>,</w:t>
      </w:r>
      <w:r>
        <w:t xml:space="preserve"> no fueron incluidas en el plan de inversión aprobado</w:t>
      </w:r>
      <w:r w:rsidR="007D4665">
        <w:t>,</w:t>
      </w:r>
      <w:r>
        <w:t xml:space="preserve"> </w:t>
      </w:r>
      <w:r w:rsidR="006351E5">
        <w:t>teniendo en cuenta los criterios de presentación de los planes de inversión definidos en la Resolución CREG 015 de 2018.</w:t>
      </w:r>
    </w:p>
    <w:p w14:paraId="456EDD34" w14:textId="6D996ED6" w:rsidR="00B77035" w:rsidRDefault="006351E5" w:rsidP="00B77035">
      <w:r>
        <w:t xml:space="preserve">En el recurso de reposición el OR completó la información reportada inicialmente, incluyendo </w:t>
      </w:r>
      <w:r w:rsidR="003461B1">
        <w:t xml:space="preserve">para </w:t>
      </w:r>
      <w:r w:rsidR="002C51F2">
        <w:t xml:space="preserve">algunas </w:t>
      </w:r>
      <w:r>
        <w:t xml:space="preserve">UC </w:t>
      </w:r>
      <w:r w:rsidR="003461B1">
        <w:t>de líneas, UC de equipos de líneas y UC de transformadores de distribución la información de subestaciones y líneas asociadas</w:t>
      </w:r>
      <w:r w:rsidR="002C51F2">
        <w:t xml:space="preserve">. La información complementaria se presentó únicamente para </w:t>
      </w:r>
      <w:r>
        <w:t>los proyectos a ejecutar durante el año 2021 que previamente no contaban con información</w:t>
      </w:r>
      <w:r w:rsidR="002C51F2">
        <w:t xml:space="preserve"> completa</w:t>
      </w:r>
      <w:r>
        <w:t xml:space="preserve">. </w:t>
      </w:r>
    </w:p>
    <w:p w14:paraId="2B48CFEC" w14:textId="6898AAA5" w:rsidR="006351E5" w:rsidRDefault="006351E5" w:rsidP="00B77035">
      <w:r>
        <w:t>Con base en lo anterior, se ajusta el plan de inversiones del año 2021</w:t>
      </w:r>
      <w:r w:rsidR="00233041">
        <w:t>,</w:t>
      </w:r>
      <w:r w:rsidR="002C51F2">
        <w:t xml:space="preserve"> incluyendo las UC de líneas, UC de equipos de líneas y UC de transformadores de distribución para las cuales el OR completó la información</w:t>
      </w:r>
      <w:r>
        <w:t xml:space="preserve">. </w:t>
      </w:r>
    </w:p>
    <w:p w14:paraId="3FDBC80C" w14:textId="384BC2D5" w:rsidR="002C51F2" w:rsidRDefault="002C51F2" w:rsidP="000C68A9">
      <w:pPr>
        <w:keepNext/>
        <w:rPr>
          <w:b/>
          <w:bCs/>
        </w:rPr>
      </w:pPr>
      <w:r>
        <w:rPr>
          <w:b/>
          <w:bCs/>
        </w:rPr>
        <w:t>Solicitud No. 13</w:t>
      </w:r>
    </w:p>
    <w:p w14:paraId="21E80494" w14:textId="7956F444" w:rsidR="0073309A" w:rsidRDefault="002C51F2" w:rsidP="00233041">
      <w:pPr>
        <w:ind w:left="284"/>
        <w:rPr>
          <w:i/>
          <w:iCs/>
          <w:sz w:val="20"/>
          <w:szCs w:val="16"/>
        </w:rPr>
      </w:pPr>
      <w:r w:rsidRPr="000C4F5C">
        <w:rPr>
          <w:i/>
          <w:iCs/>
          <w:sz w:val="20"/>
        </w:rPr>
        <w:t>Se solicita a la CREG el reconocimiento del centro de control alterno como UC del plan de inversiones, lo que permitirá cumplir con los lineamientos establecidos por el Consejo Nacional de Operación y en la norma ISO 31000.</w:t>
      </w:r>
      <w:r w:rsidR="00736B70">
        <w:rPr>
          <w:i/>
          <w:iCs/>
          <w:sz w:val="20"/>
        </w:rPr>
        <w:t xml:space="preserve"> </w:t>
      </w:r>
      <w:r w:rsidR="0073309A">
        <w:rPr>
          <w:i/>
          <w:iCs/>
          <w:sz w:val="20"/>
          <w:szCs w:val="16"/>
        </w:rPr>
        <w:t>(…)</w:t>
      </w:r>
    </w:p>
    <w:p w14:paraId="440D8631" w14:textId="77777777" w:rsidR="0073309A" w:rsidRPr="0073309A" w:rsidRDefault="0073309A" w:rsidP="00233041">
      <w:pPr>
        <w:spacing w:before="60" w:after="60"/>
        <w:ind w:left="284"/>
        <w:rPr>
          <w:i/>
          <w:iCs/>
          <w:sz w:val="20"/>
          <w:szCs w:val="16"/>
        </w:rPr>
      </w:pPr>
      <w:r w:rsidRPr="0073309A">
        <w:rPr>
          <w:i/>
          <w:iCs/>
          <w:sz w:val="20"/>
          <w:szCs w:val="16"/>
        </w:rPr>
        <w:t xml:space="preserve">Por otra parte, el Regulador excluyó de las UC aprobadas el centro de control alterno requerido por AIR-E S.A.S. E.S.P., bajo el siguiente argumento:  </w:t>
      </w:r>
    </w:p>
    <w:p w14:paraId="0DFFE254" w14:textId="3D1B268E" w:rsidR="0073309A" w:rsidRDefault="00736B70" w:rsidP="00233041">
      <w:pPr>
        <w:spacing w:before="60" w:after="60"/>
        <w:ind w:left="567"/>
        <w:rPr>
          <w:i/>
          <w:iCs/>
          <w:sz w:val="20"/>
          <w:szCs w:val="16"/>
        </w:rPr>
      </w:pPr>
      <w:r>
        <w:rPr>
          <w:i/>
          <w:iCs/>
          <w:sz w:val="20"/>
          <w:szCs w:val="16"/>
        </w:rPr>
        <w:t>“</w:t>
      </w:r>
      <w:r w:rsidR="0073309A" w:rsidRPr="0073309A">
        <w:rPr>
          <w:i/>
          <w:iCs/>
          <w:sz w:val="20"/>
          <w:szCs w:val="16"/>
        </w:rPr>
        <w:t>Se excluye el centro de control alterno solicitado, teniendo en cuenta que en la UC N0P12 solicitada ya se incluye el centro de control alterno</w:t>
      </w:r>
      <w:r>
        <w:rPr>
          <w:i/>
          <w:iCs/>
          <w:sz w:val="20"/>
          <w:szCs w:val="16"/>
        </w:rPr>
        <w:t>”</w:t>
      </w:r>
      <w:r w:rsidR="0073309A" w:rsidRPr="0073309A">
        <w:rPr>
          <w:i/>
          <w:iCs/>
          <w:sz w:val="20"/>
          <w:szCs w:val="16"/>
        </w:rPr>
        <w:t>.</w:t>
      </w:r>
    </w:p>
    <w:p w14:paraId="71944CBC" w14:textId="5D046E14" w:rsidR="009A53C6" w:rsidRDefault="009A53C6" w:rsidP="00233041">
      <w:pPr>
        <w:spacing w:before="60" w:after="60"/>
        <w:ind w:left="284"/>
        <w:rPr>
          <w:i/>
          <w:iCs/>
          <w:sz w:val="20"/>
          <w:szCs w:val="16"/>
        </w:rPr>
      </w:pPr>
      <w:r w:rsidRPr="009A53C6">
        <w:rPr>
          <w:i/>
          <w:iCs/>
          <w:sz w:val="20"/>
          <w:szCs w:val="16"/>
        </w:rPr>
        <w:t>Sin embargo, AIR-E S.A.S. E.S.P. reitera al Regulador la necesidad de disponer de un sistema de control alterno, por considerar el centro de control como un ciberactivo crítico. Lo anterior, atendiendo los lineamientos que deben adoptar los agentes del sector de electricidad para prevenir y/o mitigar potenciales amenazas cibernéticas que pongan en riesgo la disponibilidad y continuidad del servicio, establecidos principalmente en el numeral 8 del documento Guía de Ciberseguridad, anexo al Acuerdo CNO 1347 de 2020, por medio del cual se aprueba la actualización de la Guía de Ciberseguridad, presentado a continuación:</w:t>
      </w:r>
    </w:p>
    <w:p w14:paraId="614A0869" w14:textId="77777777" w:rsidR="009A53C6" w:rsidRPr="009A53C6" w:rsidRDefault="009A53C6" w:rsidP="00233041">
      <w:pPr>
        <w:spacing w:before="60" w:after="60"/>
        <w:ind w:left="284"/>
        <w:rPr>
          <w:i/>
          <w:iCs/>
          <w:sz w:val="20"/>
          <w:szCs w:val="16"/>
        </w:rPr>
      </w:pPr>
      <w:r w:rsidRPr="009A53C6">
        <w:rPr>
          <w:i/>
          <w:iCs/>
          <w:sz w:val="20"/>
          <w:szCs w:val="16"/>
        </w:rPr>
        <w:t xml:space="preserve">8. PLAN DE RECUPERACIÓN DE CIBERACTIVOS CRÍTICOS  </w:t>
      </w:r>
    </w:p>
    <w:p w14:paraId="66FFEC02" w14:textId="77777777" w:rsidR="009A53C6" w:rsidRDefault="009A53C6" w:rsidP="00233041">
      <w:pPr>
        <w:spacing w:before="60" w:after="60"/>
        <w:ind w:left="284"/>
        <w:rPr>
          <w:i/>
          <w:iCs/>
          <w:sz w:val="20"/>
          <w:szCs w:val="16"/>
        </w:rPr>
      </w:pPr>
      <w:r w:rsidRPr="009A53C6">
        <w:rPr>
          <w:i/>
          <w:iCs/>
          <w:sz w:val="20"/>
          <w:szCs w:val="16"/>
        </w:rPr>
        <w:t>8.1 Propósito</w:t>
      </w:r>
    </w:p>
    <w:p w14:paraId="70319BA7" w14:textId="59B6328F" w:rsidR="009A53C6" w:rsidRPr="009A53C6" w:rsidRDefault="009A53C6" w:rsidP="00233041">
      <w:pPr>
        <w:spacing w:before="60" w:after="60"/>
        <w:ind w:left="284"/>
        <w:rPr>
          <w:i/>
          <w:iCs/>
          <w:sz w:val="20"/>
          <w:szCs w:val="16"/>
        </w:rPr>
      </w:pPr>
      <w:r>
        <w:rPr>
          <w:i/>
          <w:iCs/>
          <w:sz w:val="20"/>
          <w:szCs w:val="16"/>
        </w:rPr>
        <w:t xml:space="preserve">Implementar el plan de recuperación y resiliencia para ciberactivos críticos con sus procedimientos asociados </w:t>
      </w:r>
      <w:r w:rsidRPr="009A53C6">
        <w:rPr>
          <w:i/>
          <w:iCs/>
          <w:sz w:val="20"/>
          <w:szCs w:val="16"/>
        </w:rPr>
        <w:t xml:space="preserve">que correspondan a las técnicas y prácticas establecidas para la </w:t>
      </w:r>
      <w:r w:rsidRPr="009A53C6">
        <w:rPr>
          <w:i/>
          <w:iCs/>
          <w:sz w:val="20"/>
          <w:szCs w:val="16"/>
          <w:u w:val="single"/>
        </w:rPr>
        <w:t>continuidad del negocio</w:t>
      </w:r>
      <w:r w:rsidRPr="009A53C6">
        <w:rPr>
          <w:i/>
          <w:iCs/>
          <w:sz w:val="20"/>
          <w:szCs w:val="16"/>
        </w:rPr>
        <w:t xml:space="preserve">. (subrayado fuera de texto).  </w:t>
      </w:r>
    </w:p>
    <w:p w14:paraId="4E785A53" w14:textId="77777777" w:rsidR="009A53C6" w:rsidRDefault="009A53C6" w:rsidP="00233041">
      <w:pPr>
        <w:spacing w:before="60" w:after="60"/>
        <w:ind w:left="284"/>
        <w:rPr>
          <w:i/>
          <w:iCs/>
          <w:sz w:val="20"/>
          <w:szCs w:val="16"/>
        </w:rPr>
      </w:pPr>
      <w:r w:rsidRPr="009A53C6">
        <w:rPr>
          <w:i/>
          <w:iCs/>
          <w:sz w:val="20"/>
          <w:szCs w:val="16"/>
        </w:rPr>
        <w:t xml:space="preserve">8.3 Acciones </w:t>
      </w:r>
    </w:p>
    <w:p w14:paraId="53B87375" w14:textId="77777777" w:rsidR="009A53C6" w:rsidRDefault="009A53C6" w:rsidP="00233041">
      <w:pPr>
        <w:spacing w:before="60" w:after="60"/>
        <w:ind w:left="284"/>
        <w:rPr>
          <w:i/>
          <w:iCs/>
          <w:sz w:val="20"/>
          <w:szCs w:val="16"/>
        </w:rPr>
      </w:pPr>
      <w:r w:rsidRPr="009A53C6">
        <w:rPr>
          <w:i/>
          <w:iCs/>
          <w:sz w:val="20"/>
          <w:szCs w:val="16"/>
          <w:u w:val="single"/>
        </w:rPr>
        <w:t>8.3.1 Plan de recuperación y resiliencia</w:t>
      </w:r>
      <w:r w:rsidRPr="009A53C6">
        <w:rPr>
          <w:i/>
          <w:iCs/>
          <w:sz w:val="20"/>
          <w:szCs w:val="16"/>
        </w:rPr>
        <w:t xml:space="preserve"> </w:t>
      </w:r>
    </w:p>
    <w:p w14:paraId="3A2D4B02" w14:textId="7A2E0D12" w:rsidR="009A53C6" w:rsidRPr="009A53C6" w:rsidRDefault="009A53C6" w:rsidP="00233041">
      <w:pPr>
        <w:spacing w:before="60" w:after="60"/>
        <w:ind w:left="284"/>
        <w:rPr>
          <w:i/>
          <w:iCs/>
          <w:sz w:val="20"/>
          <w:szCs w:val="16"/>
        </w:rPr>
      </w:pPr>
      <w:r w:rsidRPr="009A53C6">
        <w:rPr>
          <w:i/>
          <w:iCs/>
          <w:sz w:val="20"/>
          <w:szCs w:val="16"/>
        </w:rPr>
        <w:t xml:space="preserve">La entidad responsable debe tener y revisar con periodicidad anual el plan de recuperación para los ciberactivos críticos, este debe considerar como mínimo:  </w:t>
      </w:r>
    </w:p>
    <w:p w14:paraId="7257618E" w14:textId="4BFC795D" w:rsidR="009A53C6" w:rsidRPr="009A53C6" w:rsidRDefault="009A53C6" w:rsidP="00233041">
      <w:pPr>
        <w:spacing w:before="60" w:after="60"/>
        <w:ind w:left="284"/>
        <w:rPr>
          <w:i/>
          <w:iCs/>
          <w:sz w:val="20"/>
          <w:szCs w:val="16"/>
        </w:rPr>
      </w:pPr>
      <w:r w:rsidRPr="009A53C6">
        <w:rPr>
          <w:i/>
          <w:iCs/>
          <w:sz w:val="20"/>
          <w:szCs w:val="16"/>
        </w:rPr>
        <w:t xml:space="preserve">- Definir los roles y responsabilidades de los recursos asignados. </w:t>
      </w:r>
    </w:p>
    <w:p w14:paraId="35C8867A" w14:textId="7C5EBE44" w:rsidR="009A53C6" w:rsidRPr="009A53C6" w:rsidRDefault="009A53C6" w:rsidP="00233041">
      <w:pPr>
        <w:spacing w:before="60" w:after="60"/>
        <w:ind w:left="284"/>
        <w:rPr>
          <w:i/>
          <w:iCs/>
          <w:sz w:val="20"/>
          <w:szCs w:val="16"/>
        </w:rPr>
      </w:pPr>
      <w:r w:rsidRPr="009A53C6">
        <w:rPr>
          <w:i/>
          <w:iCs/>
          <w:sz w:val="20"/>
          <w:szCs w:val="16"/>
        </w:rPr>
        <w:t xml:space="preserve">- Incluir los procedimientos para el respaldo y almacenamiento de la información necesaria para la recuperación efectiva de los ciberactivos críticos. </w:t>
      </w:r>
    </w:p>
    <w:p w14:paraId="4FCB54BC" w14:textId="4670C33F" w:rsidR="009A53C6" w:rsidRPr="009A53C6" w:rsidRDefault="009A53C6" w:rsidP="00233041">
      <w:pPr>
        <w:spacing w:before="60" w:after="60"/>
        <w:ind w:left="284"/>
        <w:rPr>
          <w:i/>
          <w:iCs/>
          <w:sz w:val="20"/>
          <w:szCs w:val="16"/>
        </w:rPr>
      </w:pPr>
      <w:r w:rsidRPr="009A53C6">
        <w:rPr>
          <w:i/>
          <w:iCs/>
          <w:sz w:val="20"/>
          <w:szCs w:val="16"/>
        </w:rPr>
        <w:t xml:space="preserve">- Procedimientos de verificación de respaldos que confirmen que estos se realicen de manera satisfactoria y asegurar que la información sea integra y esté disponible. </w:t>
      </w:r>
    </w:p>
    <w:p w14:paraId="01777C04" w14:textId="1BB519A9" w:rsidR="009A53C6" w:rsidRPr="009A53C6" w:rsidRDefault="009A53C6" w:rsidP="00233041">
      <w:pPr>
        <w:spacing w:before="60" w:after="60"/>
        <w:ind w:left="284"/>
        <w:rPr>
          <w:i/>
          <w:iCs/>
          <w:sz w:val="20"/>
          <w:szCs w:val="16"/>
        </w:rPr>
      </w:pPr>
      <w:r w:rsidRPr="009A53C6">
        <w:rPr>
          <w:i/>
          <w:iCs/>
          <w:sz w:val="20"/>
          <w:szCs w:val="16"/>
        </w:rPr>
        <w:t xml:space="preserve">- </w:t>
      </w:r>
      <w:r w:rsidRPr="009A53C6">
        <w:rPr>
          <w:i/>
          <w:iCs/>
          <w:sz w:val="20"/>
          <w:szCs w:val="16"/>
          <w:u w:val="single"/>
        </w:rPr>
        <w:t>Procedimientos de contingencia y continuidad que faciliten la resiliencia del proceso</w:t>
      </w:r>
      <w:r w:rsidRPr="009A53C6">
        <w:rPr>
          <w:i/>
          <w:iCs/>
          <w:sz w:val="20"/>
          <w:szCs w:val="16"/>
        </w:rPr>
        <w:t xml:space="preserve">. (subrayado fuera de texto)  </w:t>
      </w:r>
    </w:p>
    <w:p w14:paraId="054CFE3B" w14:textId="77777777" w:rsidR="009A53C6" w:rsidRDefault="009A53C6" w:rsidP="00233041">
      <w:pPr>
        <w:spacing w:before="60" w:after="60"/>
        <w:ind w:left="284"/>
        <w:rPr>
          <w:i/>
          <w:iCs/>
          <w:sz w:val="20"/>
          <w:szCs w:val="16"/>
        </w:rPr>
      </w:pPr>
      <w:r w:rsidRPr="009A53C6">
        <w:rPr>
          <w:i/>
          <w:iCs/>
          <w:sz w:val="20"/>
          <w:szCs w:val="16"/>
        </w:rPr>
        <w:t xml:space="preserve">8.3.4 Respaldos y almacenamiento de información </w:t>
      </w:r>
    </w:p>
    <w:p w14:paraId="22F2E333" w14:textId="72CEDEF9" w:rsidR="009A53C6" w:rsidRPr="009A53C6" w:rsidRDefault="009A53C6" w:rsidP="00233041">
      <w:pPr>
        <w:spacing w:before="60" w:after="60"/>
        <w:ind w:left="284"/>
        <w:rPr>
          <w:i/>
          <w:iCs/>
          <w:sz w:val="20"/>
          <w:szCs w:val="16"/>
        </w:rPr>
      </w:pPr>
      <w:r w:rsidRPr="009A53C6">
        <w:rPr>
          <w:i/>
          <w:iCs/>
          <w:sz w:val="20"/>
          <w:szCs w:val="16"/>
        </w:rPr>
        <w:t>La entidad responsable debe realizar respaldos y almacenamientos de información necesaria</w:t>
      </w:r>
      <w:r>
        <w:rPr>
          <w:i/>
          <w:iCs/>
          <w:sz w:val="20"/>
          <w:szCs w:val="16"/>
        </w:rPr>
        <w:t xml:space="preserve"> </w:t>
      </w:r>
      <w:r w:rsidRPr="009A53C6">
        <w:rPr>
          <w:i/>
          <w:iCs/>
          <w:sz w:val="20"/>
          <w:szCs w:val="16"/>
        </w:rPr>
        <w:t xml:space="preserve">para el restablecimiento de la operación de los ciberactivos críticos.  </w:t>
      </w:r>
    </w:p>
    <w:p w14:paraId="3048C589" w14:textId="77777777" w:rsidR="009A53C6" w:rsidRDefault="009A53C6" w:rsidP="00233041">
      <w:pPr>
        <w:spacing w:before="60" w:after="60"/>
        <w:ind w:left="284"/>
        <w:rPr>
          <w:i/>
          <w:iCs/>
          <w:sz w:val="20"/>
          <w:szCs w:val="16"/>
        </w:rPr>
      </w:pPr>
      <w:r w:rsidRPr="009A53C6">
        <w:rPr>
          <w:i/>
          <w:iCs/>
          <w:sz w:val="20"/>
          <w:szCs w:val="16"/>
        </w:rPr>
        <w:t xml:space="preserve">8.3.5 Pruebas a los respaldos y mecanismos de contingencia y continuidad </w:t>
      </w:r>
    </w:p>
    <w:p w14:paraId="5B02DB5E" w14:textId="75C1D600" w:rsidR="009A53C6" w:rsidRPr="009A53C6" w:rsidRDefault="009A53C6" w:rsidP="00233041">
      <w:pPr>
        <w:spacing w:before="60" w:after="60"/>
        <w:ind w:left="284"/>
        <w:rPr>
          <w:i/>
          <w:iCs/>
          <w:sz w:val="20"/>
          <w:szCs w:val="16"/>
        </w:rPr>
      </w:pPr>
      <w:r w:rsidRPr="009A53C6">
        <w:rPr>
          <w:i/>
          <w:iCs/>
          <w:sz w:val="20"/>
          <w:szCs w:val="16"/>
        </w:rPr>
        <w:t xml:space="preserve">La entidad responsable debe realizar pruebas funcionales a una muestra significativa de los respaldos realizados y de los </w:t>
      </w:r>
      <w:r w:rsidRPr="009A53C6">
        <w:rPr>
          <w:i/>
          <w:iCs/>
          <w:sz w:val="20"/>
          <w:szCs w:val="16"/>
          <w:u w:val="single"/>
        </w:rPr>
        <w:t>mecanismos de contingencia y continuidad establecidos para el ciberactivo crítico</w:t>
      </w:r>
      <w:r w:rsidRPr="009A53C6">
        <w:rPr>
          <w:i/>
          <w:iCs/>
          <w:sz w:val="20"/>
          <w:szCs w:val="16"/>
        </w:rPr>
        <w:t xml:space="preserve">. (subrayado fuera de texto).  </w:t>
      </w:r>
    </w:p>
    <w:p w14:paraId="17A68CB4" w14:textId="77777777" w:rsidR="009A53C6" w:rsidRPr="009A53C6" w:rsidRDefault="009A53C6" w:rsidP="00233041">
      <w:pPr>
        <w:spacing w:before="60" w:after="60"/>
        <w:ind w:left="284"/>
        <w:rPr>
          <w:i/>
          <w:iCs/>
          <w:sz w:val="20"/>
          <w:szCs w:val="16"/>
        </w:rPr>
      </w:pPr>
      <w:r w:rsidRPr="009A53C6">
        <w:rPr>
          <w:i/>
          <w:iCs/>
          <w:sz w:val="20"/>
          <w:szCs w:val="16"/>
        </w:rPr>
        <w:t xml:space="preserve">Debido a las medidas y criterios de resiliencia (continuidad de la operación), seguridad y confiabilidad en el suministro de energía eléctrica, con el fin de mantener una operación estable del Sistema Interconectado Nacional  (SIN) para asegurar el suministro oportuno del servicio a los usuarios, así como para prevenir eventuales afectaciones a la atención de la demanda de energía eléctrica por la ocurrencia de situaciones extraordinarias, transitorias y críticas que puedan presentarse, este sistema resulta necesario.  </w:t>
      </w:r>
    </w:p>
    <w:p w14:paraId="6ED03A38" w14:textId="6B7089EA" w:rsidR="009A53C6" w:rsidRDefault="009A53C6" w:rsidP="00233041">
      <w:pPr>
        <w:spacing w:before="60" w:after="60"/>
        <w:ind w:left="284"/>
        <w:rPr>
          <w:i/>
          <w:iCs/>
          <w:sz w:val="20"/>
          <w:szCs w:val="16"/>
        </w:rPr>
      </w:pPr>
      <w:r w:rsidRPr="009A53C6">
        <w:rPr>
          <w:i/>
          <w:iCs/>
          <w:sz w:val="20"/>
          <w:szCs w:val="16"/>
        </w:rPr>
        <w:t>Adicionalmente, de acuerdo con la norma ISO 31000, el plan de continuidad del negocio de AIRE S.A.S. E.S.P. se debe contemplar la instalación de un centro de control completo en una ubicación geográfica diferente a la principal, de donde nace la necesidad de contar con dos centros de control.</w:t>
      </w:r>
    </w:p>
    <w:p w14:paraId="6FF1BC6B" w14:textId="77777777" w:rsidR="0073309A" w:rsidRDefault="0073309A" w:rsidP="000C68A9">
      <w:pPr>
        <w:keepNext/>
      </w:pPr>
      <w:r w:rsidRPr="00D25E16">
        <w:rPr>
          <w:b/>
          <w:bCs/>
        </w:rPr>
        <w:t>Análisis de la Comisión</w:t>
      </w:r>
    </w:p>
    <w:p w14:paraId="293DC810" w14:textId="77777777" w:rsidR="00CD6692" w:rsidRDefault="009A53C6" w:rsidP="009A53C6">
      <w:r>
        <w:t>Una vez revisada la información suministrada por el OR durante la actuación administrativa conducente a la aprobación de la Resolución CREG 024 de 2021, se verificó que el OR solicitó la aprobación de dos UC con código N0P12, que corresponden a</w:t>
      </w:r>
      <w:r w:rsidR="00CD6692">
        <w:t>l</w:t>
      </w:r>
      <w:r w:rsidR="0073309A">
        <w:t xml:space="preserve"> </w:t>
      </w:r>
      <w:r w:rsidRPr="009A53C6">
        <w:rPr>
          <w:i/>
          <w:iCs/>
        </w:rPr>
        <w:t>Centro de control tipo 4 (SCADA+EMS-Completo+DMS Completo+OMS+CMS)</w:t>
      </w:r>
      <w:r w:rsidR="0073309A">
        <w:rPr>
          <w:i/>
          <w:iCs/>
        </w:rPr>
        <w:t>.</w:t>
      </w:r>
      <w:r w:rsidR="0073309A">
        <w:t xml:space="preserve"> </w:t>
      </w:r>
    </w:p>
    <w:p w14:paraId="685E8B00" w14:textId="7571C920" w:rsidR="009A53C6" w:rsidRDefault="0073309A" w:rsidP="009A53C6">
      <w:r>
        <w:t xml:space="preserve">En el formato de reporte del inventario se identificaron los siguientes comentarios por parte del OR: </w:t>
      </w:r>
      <w:r w:rsidRPr="0073309A">
        <w:rPr>
          <w:i/>
          <w:iCs/>
        </w:rPr>
        <w:t>Centro de control</w:t>
      </w:r>
      <w:r>
        <w:t xml:space="preserve"> (con año de entrada en operación en el 2022) y Centro de control alterno (con año de entrada en operación en el 2023). </w:t>
      </w:r>
    </w:p>
    <w:p w14:paraId="2CB13636" w14:textId="77777777" w:rsidR="0073309A" w:rsidRDefault="0073309A" w:rsidP="0073309A">
      <w:r>
        <w:t xml:space="preserve">En el numeral 2.5.3 del documento soporte de la resolución CREG 024 de 2021, se señala lo siguiente: </w:t>
      </w:r>
    </w:p>
    <w:p w14:paraId="257980B3" w14:textId="77777777" w:rsidR="0073309A" w:rsidRPr="00FC0F7A" w:rsidRDefault="0073309A" w:rsidP="00233041">
      <w:pPr>
        <w:spacing w:before="60" w:after="60"/>
        <w:ind w:left="284"/>
        <w:rPr>
          <w:b/>
          <w:bCs/>
          <w:i/>
          <w:iCs/>
          <w:sz w:val="20"/>
          <w:szCs w:val="20"/>
        </w:rPr>
      </w:pPr>
      <w:r w:rsidRPr="00FC0F7A">
        <w:rPr>
          <w:b/>
          <w:bCs/>
          <w:i/>
          <w:iCs/>
          <w:sz w:val="20"/>
          <w:szCs w:val="20"/>
        </w:rPr>
        <w:t xml:space="preserve">2.5.3 Planes de inversión </w:t>
      </w:r>
    </w:p>
    <w:p w14:paraId="414B06A7" w14:textId="55A2F26C" w:rsidR="0073309A" w:rsidRPr="00FC0F7A" w:rsidRDefault="0073309A" w:rsidP="00233041">
      <w:pPr>
        <w:spacing w:before="60" w:after="60"/>
        <w:ind w:left="284"/>
        <w:rPr>
          <w:i/>
          <w:iCs/>
          <w:sz w:val="20"/>
          <w:szCs w:val="20"/>
        </w:rPr>
      </w:pPr>
      <w:r w:rsidRPr="00FC0F7A">
        <w:rPr>
          <w:i/>
          <w:iCs/>
          <w:sz w:val="20"/>
          <w:szCs w:val="20"/>
        </w:rPr>
        <w:t>Se ajusta el formato con el inventario aprobado en los siguientes aspectos:</w:t>
      </w:r>
      <w:r>
        <w:rPr>
          <w:i/>
          <w:iCs/>
          <w:sz w:val="20"/>
          <w:szCs w:val="20"/>
        </w:rPr>
        <w:t xml:space="preserve"> </w:t>
      </w:r>
      <w:r w:rsidR="0053133C">
        <w:rPr>
          <w:i/>
          <w:iCs/>
          <w:sz w:val="20"/>
          <w:szCs w:val="20"/>
        </w:rPr>
        <w:t>(…)</w:t>
      </w:r>
    </w:p>
    <w:p w14:paraId="23480953" w14:textId="130338D6" w:rsidR="0073309A" w:rsidRPr="0073309A" w:rsidRDefault="0073309A" w:rsidP="00233041">
      <w:pPr>
        <w:pStyle w:val="Prrafodelista"/>
        <w:numPr>
          <w:ilvl w:val="0"/>
          <w:numId w:val="28"/>
        </w:numPr>
        <w:spacing w:before="60" w:after="60"/>
        <w:ind w:left="567" w:hanging="284"/>
      </w:pPr>
      <w:r w:rsidRPr="00516E64">
        <w:rPr>
          <w:i/>
          <w:iCs/>
          <w:sz w:val="20"/>
          <w:szCs w:val="16"/>
        </w:rPr>
        <w:t xml:space="preserve">Se excluye el centro de control alterno solicitado, </w:t>
      </w:r>
      <w:r w:rsidRPr="00516E64">
        <w:rPr>
          <w:i/>
          <w:iCs/>
          <w:sz w:val="20"/>
          <w:szCs w:val="16"/>
          <w:u w:val="single"/>
        </w:rPr>
        <w:t>teniendo en cuenta que en la UC N0P12 solicitada ya se incluye el centro de control alterno</w:t>
      </w:r>
      <w:r w:rsidRPr="00516E64">
        <w:rPr>
          <w:i/>
          <w:iCs/>
          <w:sz w:val="20"/>
          <w:szCs w:val="16"/>
        </w:rPr>
        <w:t>.</w:t>
      </w:r>
    </w:p>
    <w:p w14:paraId="3DF7F1BF" w14:textId="419D501D" w:rsidR="00706FF6" w:rsidRDefault="00602C53" w:rsidP="00602C53">
      <w:r>
        <w:t xml:space="preserve">En el recurso de reposición se solicita el reconocimiento del centro de control de respaldo para </w:t>
      </w:r>
      <w:r w:rsidRPr="00602C53">
        <w:t>cumplir con los lineamientos establecidos por el Consejo Nacional de Operación</w:t>
      </w:r>
      <w:r w:rsidR="00233041">
        <w:t>,</w:t>
      </w:r>
      <w:r w:rsidRPr="00602C53">
        <w:t xml:space="preserve"> y en la norma ISO 31000</w:t>
      </w:r>
      <w:r>
        <w:t>, entre otros.</w:t>
      </w:r>
      <w:r w:rsidR="00706FF6">
        <w:t xml:space="preserve"> </w:t>
      </w:r>
      <w:r>
        <w:t xml:space="preserve">Al respecto se señala que en la Resolución CREG 024 de 2021 se </w:t>
      </w:r>
      <w:r w:rsidR="00C9652E">
        <w:t xml:space="preserve">incluyó el reconocimiento del </w:t>
      </w:r>
      <w:r>
        <w:t>centro de control de respaldo</w:t>
      </w:r>
      <w:r w:rsidR="00233041">
        <w:t>,</w:t>
      </w:r>
      <w:r w:rsidR="00C9652E">
        <w:t xml:space="preserve"> ya que este hace parte de la UC N0P12 incluida en el plan de inversiones aprobado al OR. </w:t>
      </w:r>
    </w:p>
    <w:p w14:paraId="7822182B" w14:textId="4B173017" w:rsidR="00706FF6" w:rsidRDefault="00706FF6" w:rsidP="00706FF6">
      <w:r>
        <w:t>En la Circular 029 de 2018 se publicaron l</w:t>
      </w:r>
      <w:r w:rsidRPr="00706FF6">
        <w:t>os formatos, el procedimiento y las condiciones generales que deb</w:t>
      </w:r>
      <w:r>
        <w:t xml:space="preserve">ían </w:t>
      </w:r>
      <w:r w:rsidRPr="00706FF6">
        <w:t xml:space="preserve">seguir las empresas </w:t>
      </w:r>
      <w:r>
        <w:t>para la solicitud de aprobación de ingresos</w:t>
      </w:r>
      <w:r w:rsidRPr="00706FF6">
        <w:t>.</w:t>
      </w:r>
      <w:r>
        <w:t xml:space="preserve"> En el archivo </w:t>
      </w:r>
      <w:r w:rsidRPr="00706FF6">
        <w:rPr>
          <w:i/>
          <w:iCs/>
        </w:rPr>
        <w:t>Circular 029-2018 Conformación UC capítulo 14 CREG 015 de 2018.xlsx</w:t>
      </w:r>
      <w:r>
        <w:t>, se presenta la composición de las UC definidas en el capítulo 14 de la Resolución CREG 015 de 2018.</w:t>
      </w:r>
    </w:p>
    <w:p w14:paraId="243A164E" w14:textId="4230D5F8" w:rsidR="00706FF6" w:rsidRDefault="00706FF6" w:rsidP="00706FF6">
      <w:r>
        <w:t xml:space="preserve">En la hoja de cálculo </w:t>
      </w:r>
      <w:r w:rsidRPr="0053133C">
        <w:rPr>
          <w:i/>
          <w:iCs/>
        </w:rPr>
        <w:t xml:space="preserve">EM Tipo </w:t>
      </w:r>
      <w:r w:rsidR="0053133C" w:rsidRPr="0053133C">
        <w:rPr>
          <w:i/>
          <w:iCs/>
        </w:rPr>
        <w:t>4</w:t>
      </w:r>
      <w:r w:rsidR="0053133C">
        <w:t xml:space="preserve"> </w:t>
      </w:r>
      <w:r>
        <w:t>se presenta la arquitectura del centro de control tipo 4 que corresponde con la UC N0P12</w:t>
      </w:r>
      <w:r w:rsidR="0053133C">
        <w:t>, como se muestra en la siguiente tabla:</w:t>
      </w:r>
      <w:r>
        <w:t xml:space="preserve"> </w:t>
      </w:r>
    </w:p>
    <w:p w14:paraId="36B3DE97" w14:textId="754C195C" w:rsidR="0053133C" w:rsidRDefault="0053133C" w:rsidP="0053133C">
      <w:pPr>
        <w:jc w:val="center"/>
      </w:pPr>
      <w:r>
        <w:rPr>
          <w:noProof/>
        </w:rPr>
        <w:drawing>
          <wp:inline distT="0" distB="0" distL="0" distR="0" wp14:anchorId="0375CC6C" wp14:editId="2F52CF69">
            <wp:extent cx="5354320" cy="4381805"/>
            <wp:effectExtent l="0" t="0" r="0" b="0"/>
            <wp:docPr id="11" name="Imagen 11"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 Tabla, Excel&#10;&#10;Descripción generada automáticamente"/>
                    <pic:cNvPicPr/>
                  </pic:nvPicPr>
                  <pic:blipFill rotWithShape="1">
                    <a:blip r:embed="rId10"/>
                    <a:srcRect l="1503" t="22638" r="48482" b="11879"/>
                    <a:stretch/>
                  </pic:blipFill>
                  <pic:spPr bwMode="auto">
                    <a:xfrm>
                      <a:off x="0" y="0"/>
                      <a:ext cx="5369704" cy="4394395"/>
                    </a:xfrm>
                    <a:prstGeom prst="rect">
                      <a:avLst/>
                    </a:prstGeom>
                    <a:ln>
                      <a:noFill/>
                    </a:ln>
                    <a:extLst>
                      <a:ext uri="{53640926-AAD7-44D8-BBD7-CCE9431645EC}">
                        <a14:shadowObscured xmlns:a14="http://schemas.microsoft.com/office/drawing/2010/main"/>
                      </a:ext>
                    </a:extLst>
                  </pic:spPr>
                </pic:pic>
              </a:graphicData>
            </a:graphic>
          </wp:inline>
        </w:drawing>
      </w:r>
    </w:p>
    <w:p w14:paraId="1A99A619" w14:textId="12BFE92D" w:rsidR="0053133C" w:rsidRDefault="0053133C" w:rsidP="00706FF6">
      <w:r>
        <w:t xml:space="preserve">Como se observa en la tabla anterior, en la conformación de la UC se consideran los elementos del centro de control de respaldo. </w:t>
      </w:r>
    </w:p>
    <w:p w14:paraId="1A749D44" w14:textId="539CCE1A" w:rsidR="00512094" w:rsidRDefault="00512094" w:rsidP="00602C53">
      <w:r>
        <w:t>Con base en lo anterior</w:t>
      </w:r>
      <w:r w:rsidR="00233041">
        <w:t>,</w:t>
      </w:r>
      <w:r>
        <w:t xml:space="preserve"> no se inclu</w:t>
      </w:r>
      <w:r w:rsidR="00CD6692">
        <w:t>ye</w:t>
      </w:r>
      <w:r>
        <w:t xml:space="preserve"> otra UC N0P12 en el plan de inversiones del OR.</w:t>
      </w:r>
    </w:p>
    <w:p w14:paraId="6093CBA1" w14:textId="6BFA29C6" w:rsidR="00C9652E" w:rsidRDefault="00512094" w:rsidP="000C68A9">
      <w:pPr>
        <w:keepNext/>
      </w:pPr>
      <w:r>
        <w:rPr>
          <w:b/>
          <w:bCs/>
        </w:rPr>
        <w:t>Solicitud No. 14</w:t>
      </w:r>
    </w:p>
    <w:p w14:paraId="72B5018F" w14:textId="5BD98E15" w:rsidR="00512094" w:rsidRDefault="00512094" w:rsidP="00233041">
      <w:pPr>
        <w:spacing w:before="60" w:after="60"/>
        <w:ind w:left="284"/>
        <w:rPr>
          <w:i/>
          <w:iCs/>
          <w:sz w:val="20"/>
        </w:rPr>
      </w:pPr>
      <w:r w:rsidRPr="000C4F5C">
        <w:rPr>
          <w:i/>
          <w:iCs/>
          <w:sz w:val="20"/>
        </w:rPr>
        <w:t>Se solicita a la Comisión considerar el criterio indicado en el literal s. del numeral 14.1 del anexo general de la Resolución CREG 015 de 2018, modificado por la Resolución CREG 085 del 2018 para asignar los niveles de tensión de las bahías de transformación. Dicho criterio establece que el reconocimiento de los transformadores de potencia y sus bahías se realiza por el nivel de tensión del secundario del transformador, o proporcionalmente a la potencia de cada uno de los devanados cuando hay más de uno.</w:t>
      </w:r>
      <w:r w:rsidR="00736B70">
        <w:rPr>
          <w:i/>
          <w:iCs/>
          <w:sz w:val="20"/>
        </w:rPr>
        <w:t xml:space="preserve"> </w:t>
      </w:r>
      <w:r>
        <w:rPr>
          <w:i/>
          <w:iCs/>
          <w:sz w:val="20"/>
        </w:rPr>
        <w:t>(…)</w:t>
      </w:r>
    </w:p>
    <w:p w14:paraId="756C4AF0" w14:textId="77777777" w:rsidR="00512094" w:rsidRPr="00512094" w:rsidRDefault="00512094" w:rsidP="00233041">
      <w:pPr>
        <w:spacing w:before="60" w:after="60"/>
        <w:ind w:left="284"/>
        <w:rPr>
          <w:i/>
          <w:iCs/>
          <w:sz w:val="20"/>
        </w:rPr>
      </w:pPr>
      <w:r w:rsidRPr="00512094">
        <w:rPr>
          <w:i/>
          <w:iCs/>
          <w:sz w:val="20"/>
        </w:rPr>
        <w:t xml:space="preserve">Categoría 3: Bahías y celdas  </w:t>
      </w:r>
    </w:p>
    <w:p w14:paraId="5683C130" w14:textId="77777777" w:rsidR="00512094" w:rsidRPr="00512094" w:rsidRDefault="00512094" w:rsidP="00233041">
      <w:pPr>
        <w:spacing w:before="60" w:after="60"/>
        <w:ind w:left="284"/>
        <w:rPr>
          <w:i/>
          <w:iCs/>
          <w:sz w:val="20"/>
        </w:rPr>
      </w:pPr>
      <w:r w:rsidRPr="00512094">
        <w:rPr>
          <w:i/>
          <w:iCs/>
          <w:sz w:val="20"/>
        </w:rPr>
        <w:t xml:space="preserve">Haciendo un análisis de la información aprobada por la CREG, se observa que los valores totales para esta categoría son iguales a las solicitados por AIR-E S.A.S. E.S.P., tal y como se observa en la Tabla 2-8. La diferencia radica en el hecho de que AIR-E S.A.S. E.S.P. reporta el valor de la inversión de las UUCC de bahías y celdas en los devanados de baja del trasformador según sea el caso, tal y como lo indica la Resolución CREG 085 del 2018, la cual modifica el literal s. del numeral 14.1 del anexo general de la Resolución CREG 015 de 2018:   </w:t>
      </w:r>
    </w:p>
    <w:p w14:paraId="17972CC6" w14:textId="0F343198" w:rsidR="00512094" w:rsidRPr="00512094" w:rsidRDefault="00512094" w:rsidP="00233041">
      <w:pPr>
        <w:spacing w:before="60" w:after="60"/>
        <w:ind w:left="567"/>
        <w:rPr>
          <w:i/>
          <w:iCs/>
          <w:sz w:val="20"/>
        </w:rPr>
      </w:pPr>
      <w:r w:rsidRPr="00512094">
        <w:rPr>
          <w:i/>
          <w:iCs/>
          <w:sz w:val="20"/>
        </w:rPr>
        <w:t xml:space="preserve">“s. Los transformadores y las bahías de transformación distintos a los asociados con los transformadores de conexión al STN se reconocen en el nivel de tensión del secundario del transformador o proporcionalmente a la potencia de cada uno de los devanados de baja cuando hay más de uno.”  </w:t>
      </w:r>
    </w:p>
    <w:p w14:paraId="50704F90" w14:textId="64B5E49B" w:rsidR="00512094" w:rsidRDefault="00512094" w:rsidP="00233041">
      <w:pPr>
        <w:spacing w:before="60" w:after="60"/>
        <w:ind w:left="284"/>
        <w:rPr>
          <w:i/>
          <w:iCs/>
          <w:sz w:val="20"/>
        </w:rPr>
      </w:pPr>
      <w:r w:rsidRPr="00512094">
        <w:rPr>
          <w:i/>
          <w:iCs/>
          <w:sz w:val="20"/>
        </w:rPr>
        <w:t xml:space="preserve">Sin embargo, la CREG al momento de enviar el reporte de la aprobación de cargos al OR no tiene en cuenta lo anterior, asignando el valor total del monto según el nivel de tensión que se encuentra en el código de la UC. En la Tabla 2-8 se muestra lo indicado anteriormente:  </w:t>
      </w:r>
    </w:p>
    <w:p w14:paraId="05A8EFE2" w14:textId="7DF04871" w:rsidR="00746724" w:rsidRDefault="00746724" w:rsidP="00736B70">
      <w:pPr>
        <w:spacing w:before="60" w:after="60"/>
        <w:ind w:left="426"/>
        <w:jc w:val="center"/>
        <w:rPr>
          <w:i/>
          <w:iCs/>
          <w:sz w:val="20"/>
        </w:rPr>
      </w:pPr>
      <w:r w:rsidRPr="00746724">
        <w:rPr>
          <w:i/>
          <w:iCs/>
          <w:sz w:val="20"/>
        </w:rPr>
        <w:t>Tabla 2-8 INVA – Categoría 3</w:t>
      </w:r>
      <w:r w:rsidR="00736B70">
        <w:rPr>
          <w:i/>
          <w:iCs/>
          <w:sz w:val="20"/>
        </w:rPr>
        <w:t xml:space="preserve"> </w:t>
      </w:r>
      <w:r>
        <w:rPr>
          <w:i/>
          <w:iCs/>
          <w:sz w:val="20"/>
        </w:rPr>
        <w:t>(…)</w:t>
      </w:r>
    </w:p>
    <w:p w14:paraId="629D0F47" w14:textId="77777777" w:rsidR="00746724" w:rsidRPr="00746724" w:rsidRDefault="00746724" w:rsidP="00233041">
      <w:pPr>
        <w:spacing w:before="60" w:after="60"/>
        <w:ind w:left="284"/>
        <w:rPr>
          <w:i/>
          <w:iCs/>
          <w:sz w:val="20"/>
        </w:rPr>
      </w:pPr>
      <w:r w:rsidRPr="00746724">
        <w:rPr>
          <w:i/>
          <w:iCs/>
          <w:sz w:val="20"/>
        </w:rPr>
        <w:t xml:space="preserve">En la Tabla 2-9 se muestran las UC que presuntamente quedaron mal clasificadas en la Resolución CREG 024 de 2021.   </w:t>
      </w:r>
    </w:p>
    <w:p w14:paraId="012446EF" w14:textId="66240037" w:rsidR="00746724" w:rsidRDefault="00746724" w:rsidP="00736B70">
      <w:pPr>
        <w:spacing w:before="60" w:after="60"/>
        <w:ind w:left="426"/>
        <w:jc w:val="center"/>
        <w:rPr>
          <w:i/>
          <w:iCs/>
          <w:sz w:val="20"/>
        </w:rPr>
      </w:pPr>
      <w:r w:rsidRPr="00746724">
        <w:rPr>
          <w:i/>
          <w:iCs/>
          <w:sz w:val="20"/>
        </w:rPr>
        <w:t>Tabla 2-9 UUCC aprobadas CREG – Categoría 3</w:t>
      </w:r>
      <w:r w:rsidR="00736B70">
        <w:rPr>
          <w:i/>
          <w:iCs/>
          <w:sz w:val="20"/>
        </w:rPr>
        <w:t xml:space="preserve"> </w:t>
      </w:r>
      <w:r>
        <w:rPr>
          <w:i/>
          <w:iCs/>
          <w:sz w:val="20"/>
        </w:rPr>
        <w:t>(…)</w:t>
      </w:r>
    </w:p>
    <w:p w14:paraId="2ADAEC8E" w14:textId="77777777" w:rsidR="00746724" w:rsidRPr="00746724" w:rsidRDefault="00746724" w:rsidP="00233041">
      <w:pPr>
        <w:spacing w:before="60" w:after="60"/>
        <w:ind w:left="284"/>
        <w:rPr>
          <w:i/>
          <w:iCs/>
          <w:sz w:val="20"/>
        </w:rPr>
      </w:pPr>
      <w:r w:rsidRPr="00746724">
        <w:rPr>
          <w:i/>
          <w:iCs/>
          <w:sz w:val="20"/>
        </w:rPr>
        <w:t>Se observa para el caso puntual de las UUCC de nivel de tensión 4, que el valor aprobado por CREG para las UC N4S2 y N4S16 fue de $ 12.743.994.000, sin embargo, esta cantidad de dinero aprobada</w:t>
      </w:r>
      <w:r>
        <w:rPr>
          <w:i/>
          <w:iCs/>
          <w:sz w:val="20"/>
        </w:rPr>
        <w:t xml:space="preserve"> </w:t>
      </w:r>
      <w:r w:rsidRPr="00746724">
        <w:rPr>
          <w:i/>
          <w:iCs/>
          <w:sz w:val="20"/>
        </w:rPr>
        <w:t xml:space="preserve">debería ser asignada al nivel 2, tal y como lo indica la Resolución 085 del 2018, por ser bahías de transformadores que no son de conexión al STN y cuyo secundario es de nivel de tensión 2. Lo mismo sucede para el nivel de tensión 3, donde las UC N3S2 y N3S8 son bahías de transformadores que se deben reconocer en el nivel de tensión del secundario, es decir, en el nivel de tensión 2.  </w:t>
      </w:r>
    </w:p>
    <w:p w14:paraId="0E808188" w14:textId="2BB1D436" w:rsidR="00746724" w:rsidRDefault="00746724" w:rsidP="00233041">
      <w:pPr>
        <w:spacing w:before="60" w:after="60"/>
        <w:ind w:left="284"/>
        <w:rPr>
          <w:i/>
          <w:iCs/>
          <w:sz w:val="20"/>
        </w:rPr>
      </w:pPr>
      <w:r w:rsidRPr="00746724">
        <w:rPr>
          <w:i/>
          <w:iCs/>
          <w:sz w:val="20"/>
        </w:rPr>
        <w:t>De esta manera, respetuosamente se solicita al regulador tener en cuenta este argumento para la clasificación de las UC en niveles de tensión.</w:t>
      </w:r>
    </w:p>
    <w:p w14:paraId="0374E944" w14:textId="3725976B" w:rsidR="00AF7159" w:rsidRDefault="00AF7159" w:rsidP="000C68A9">
      <w:pPr>
        <w:keepNext/>
      </w:pPr>
      <w:r w:rsidRPr="00D25E16">
        <w:rPr>
          <w:b/>
          <w:bCs/>
        </w:rPr>
        <w:t>Análisis de la Comisión</w:t>
      </w:r>
    </w:p>
    <w:p w14:paraId="6DF8E011" w14:textId="44AF5A84" w:rsidR="00746724" w:rsidRDefault="009536C2" w:rsidP="009536C2">
      <w:r>
        <w:t xml:space="preserve">Una vez revisada la información suministrada por el OR, tanto en el recurso de reposición como </w:t>
      </w:r>
      <w:r w:rsidR="00AF7159">
        <w:t xml:space="preserve">durante la actuación administrativa para </w:t>
      </w:r>
      <w:r>
        <w:t>la expedición de la Resolución CREG 024 de 2021</w:t>
      </w:r>
      <w:r w:rsidR="00AF7159">
        <w:t>,</w:t>
      </w:r>
      <w:r>
        <w:t xml:space="preserve"> se identificó que el OR no reportó la información del transformador asociado a las bahías y celdas de transformadores, por lo cual, no es posible asignar el nivel de tensión </w:t>
      </w:r>
      <w:r w:rsidR="00AF7159">
        <w:t xml:space="preserve">correspondiente, </w:t>
      </w:r>
      <w:r>
        <w:t xml:space="preserve">según lo definido en el numeral 14.1 de la Resolución CREG 015 de 2018. </w:t>
      </w:r>
    </w:p>
    <w:p w14:paraId="6B2FE6BA" w14:textId="0175B32E" w:rsidR="00AF7159" w:rsidRDefault="00AF7159" w:rsidP="000C68A9">
      <w:pPr>
        <w:keepNext/>
        <w:rPr>
          <w:b/>
          <w:bCs/>
        </w:rPr>
      </w:pPr>
      <w:r>
        <w:rPr>
          <w:b/>
          <w:bCs/>
        </w:rPr>
        <w:t xml:space="preserve">Solicitud No. 15 </w:t>
      </w:r>
    </w:p>
    <w:p w14:paraId="4380B56C" w14:textId="7299E1D7" w:rsidR="00AF7159" w:rsidRDefault="00AF7159" w:rsidP="00233041">
      <w:pPr>
        <w:spacing w:before="60" w:after="60"/>
        <w:ind w:left="284"/>
        <w:rPr>
          <w:i/>
          <w:iCs/>
          <w:sz w:val="20"/>
        </w:rPr>
      </w:pPr>
      <w:r w:rsidRPr="000C4F5C">
        <w:rPr>
          <w:i/>
          <w:iCs/>
          <w:sz w:val="20"/>
        </w:rPr>
        <w:t>Se solicita a la CREG verificar la consistencia entre los valores aprobados en la Resolución CREG 024 de 2021 y los calculados en el archivo Excel Calculo ingresos D Air-e, dado que en algunos casos no existe consistencia entre las cifras indicas en los dos archivos.</w:t>
      </w:r>
      <w:r w:rsidR="00736B70">
        <w:rPr>
          <w:i/>
          <w:iCs/>
          <w:sz w:val="20"/>
        </w:rPr>
        <w:t xml:space="preserve"> </w:t>
      </w:r>
      <w:r>
        <w:rPr>
          <w:i/>
          <w:iCs/>
          <w:sz w:val="20"/>
        </w:rPr>
        <w:t>(…)</w:t>
      </w:r>
    </w:p>
    <w:p w14:paraId="188DFB0A" w14:textId="2F3B8981" w:rsidR="00AF7159" w:rsidRPr="00B56D7B" w:rsidRDefault="00AF7159" w:rsidP="00233041">
      <w:pPr>
        <w:spacing w:before="60" w:after="60"/>
        <w:ind w:left="284"/>
        <w:rPr>
          <w:i/>
          <w:iCs/>
          <w:sz w:val="20"/>
          <w:u w:val="single"/>
        </w:rPr>
      </w:pPr>
      <w:r w:rsidRPr="00B56D7B">
        <w:rPr>
          <w:i/>
          <w:iCs/>
          <w:sz w:val="20"/>
          <w:u w:val="single"/>
        </w:rPr>
        <w:t xml:space="preserve">Categoría 9 Equipos de línea  </w:t>
      </w:r>
    </w:p>
    <w:p w14:paraId="45C905E4" w14:textId="07864770" w:rsidR="00AF7159" w:rsidRDefault="00AF7159" w:rsidP="00233041">
      <w:pPr>
        <w:spacing w:before="60" w:after="60"/>
        <w:ind w:left="284"/>
        <w:rPr>
          <w:i/>
          <w:iCs/>
          <w:sz w:val="20"/>
        </w:rPr>
      </w:pPr>
      <w:r w:rsidRPr="00AF7159">
        <w:rPr>
          <w:i/>
          <w:iCs/>
          <w:sz w:val="20"/>
        </w:rPr>
        <w:t>En general, la información consignada en el documento soporte está de acuerdo con la reportada por AIR-E S.A.S. E.S.P, sin embargo, no coincide valor aprobado de la CREG entre documento CREG 024 del 2021 y los formatos CREG entregados al OR en el archivo Calculo ingresos D Air-e.</w:t>
      </w:r>
      <w:r>
        <w:t xml:space="preserve"> </w:t>
      </w:r>
      <w:r w:rsidRPr="00AF7159">
        <w:rPr>
          <w:i/>
          <w:iCs/>
          <w:sz w:val="20"/>
        </w:rPr>
        <w:t>A continuación, se muestran las tablas en las que se encontraron tales diferencias.</w:t>
      </w:r>
    </w:p>
    <w:p w14:paraId="16E0BF42" w14:textId="24157CD9" w:rsidR="00B56D7B" w:rsidRPr="00B56D7B" w:rsidRDefault="00AF7159" w:rsidP="00233041">
      <w:pPr>
        <w:spacing w:before="60" w:after="60"/>
        <w:ind w:left="284"/>
        <w:jc w:val="center"/>
        <w:rPr>
          <w:i/>
          <w:iCs/>
          <w:sz w:val="20"/>
        </w:rPr>
      </w:pPr>
      <w:r w:rsidRPr="00B56D7B">
        <w:rPr>
          <w:i/>
          <w:iCs/>
          <w:sz w:val="20"/>
        </w:rPr>
        <w:t>Tabla 2-10 INVA – Categoría 9.</w:t>
      </w:r>
      <w:r w:rsidR="00736B70">
        <w:rPr>
          <w:i/>
          <w:iCs/>
          <w:sz w:val="20"/>
        </w:rPr>
        <w:t xml:space="preserve"> </w:t>
      </w:r>
      <w:r w:rsidR="00B56D7B">
        <w:rPr>
          <w:i/>
          <w:iCs/>
          <w:sz w:val="20"/>
        </w:rPr>
        <w:t>(…)</w:t>
      </w:r>
    </w:p>
    <w:p w14:paraId="35A78E3A" w14:textId="273DF213" w:rsidR="00B56D7B" w:rsidRDefault="00B56D7B" w:rsidP="00233041">
      <w:pPr>
        <w:spacing w:before="60" w:after="60"/>
        <w:ind w:left="284"/>
        <w:rPr>
          <w:i/>
          <w:iCs/>
          <w:sz w:val="20"/>
        </w:rPr>
      </w:pPr>
      <w:r w:rsidRPr="00B56D7B">
        <w:rPr>
          <w:i/>
          <w:iCs/>
          <w:sz w:val="20"/>
        </w:rPr>
        <w:t xml:space="preserve">Adicionalmente, no coincide el valor aprobado de la CREG entre el documento CREG 024 del 2021 y los formatos CREG entregados al OR. La Tabla 2-11 muestra los valores asociados al nivel de tensión 2 aprobado en el archivo de </w:t>
      </w:r>
      <w:r>
        <w:rPr>
          <w:i/>
          <w:iCs/>
          <w:sz w:val="20"/>
        </w:rPr>
        <w:t>“</w:t>
      </w:r>
      <w:r w:rsidRPr="00B56D7B">
        <w:rPr>
          <w:i/>
          <w:iCs/>
          <w:sz w:val="20"/>
        </w:rPr>
        <w:t>Inventario reconocido INVA OR</w:t>
      </w:r>
      <w:r>
        <w:rPr>
          <w:i/>
          <w:iCs/>
          <w:sz w:val="20"/>
        </w:rPr>
        <w:t>”</w:t>
      </w:r>
      <w:r w:rsidRPr="00B56D7B">
        <w:rPr>
          <w:i/>
          <w:iCs/>
          <w:sz w:val="20"/>
        </w:rPr>
        <w:t>.</w:t>
      </w:r>
    </w:p>
    <w:p w14:paraId="3A518018" w14:textId="67E1299E" w:rsidR="00B56D7B" w:rsidRDefault="00B56D7B" w:rsidP="00233041">
      <w:pPr>
        <w:spacing w:before="60" w:after="60"/>
        <w:ind w:left="284"/>
        <w:jc w:val="center"/>
        <w:rPr>
          <w:i/>
          <w:iCs/>
          <w:sz w:val="20"/>
        </w:rPr>
      </w:pPr>
      <w:r w:rsidRPr="00B56D7B">
        <w:rPr>
          <w:i/>
          <w:iCs/>
          <w:sz w:val="20"/>
        </w:rPr>
        <w:t>Tabla 2-11 UUCC aprobadas CREG – Categoría 9 y 4.</w:t>
      </w:r>
      <w:r w:rsidR="00736B70">
        <w:rPr>
          <w:i/>
          <w:iCs/>
          <w:sz w:val="20"/>
        </w:rPr>
        <w:t xml:space="preserve"> </w:t>
      </w:r>
      <w:r>
        <w:rPr>
          <w:i/>
          <w:iCs/>
          <w:sz w:val="20"/>
        </w:rPr>
        <w:t>(…)</w:t>
      </w:r>
    </w:p>
    <w:p w14:paraId="2191808C" w14:textId="2D6FBD16" w:rsidR="00B56D7B" w:rsidRPr="00B56D7B" w:rsidRDefault="00B56D7B" w:rsidP="00233041">
      <w:pPr>
        <w:spacing w:before="60" w:after="60"/>
        <w:ind w:left="284"/>
        <w:rPr>
          <w:i/>
          <w:iCs/>
          <w:sz w:val="20"/>
        </w:rPr>
      </w:pPr>
      <w:r w:rsidRPr="00B56D7B">
        <w:rPr>
          <w:i/>
          <w:iCs/>
          <w:sz w:val="20"/>
        </w:rPr>
        <w:t>Se observa que para nivel de tensión 2 el total aprobado según la Tabla 2-11 fue de $</w:t>
      </w:r>
      <w:r>
        <w:rPr>
          <w:i/>
          <w:iCs/>
          <w:sz w:val="20"/>
        </w:rPr>
        <w:t> </w:t>
      </w:r>
      <w:r w:rsidRPr="00B56D7B">
        <w:rPr>
          <w:i/>
          <w:iCs/>
          <w:sz w:val="20"/>
        </w:rPr>
        <w:t>19.104.303.106 mientras que en el documento CREG 024 del 2021 se aprueban $</w:t>
      </w:r>
      <w:r>
        <w:rPr>
          <w:i/>
          <w:iCs/>
          <w:sz w:val="20"/>
        </w:rPr>
        <w:t> </w:t>
      </w:r>
      <w:r w:rsidRPr="00B56D7B">
        <w:rPr>
          <w:i/>
          <w:iCs/>
          <w:sz w:val="20"/>
        </w:rPr>
        <w:t xml:space="preserve">26.013.734.481.   </w:t>
      </w:r>
    </w:p>
    <w:p w14:paraId="691C8163" w14:textId="65FD4137" w:rsidR="00B56D7B" w:rsidRPr="00B56D7B" w:rsidRDefault="00B56D7B" w:rsidP="00233041">
      <w:pPr>
        <w:spacing w:before="60" w:after="60"/>
        <w:ind w:left="284"/>
        <w:rPr>
          <w:i/>
          <w:iCs/>
          <w:sz w:val="20"/>
          <w:u w:val="single"/>
        </w:rPr>
      </w:pPr>
      <w:r w:rsidRPr="00B56D7B">
        <w:rPr>
          <w:i/>
          <w:iCs/>
          <w:sz w:val="20"/>
          <w:u w:val="single"/>
        </w:rPr>
        <w:t>Categoría 1 Transformadores de potencia</w:t>
      </w:r>
    </w:p>
    <w:p w14:paraId="5A91D24E" w14:textId="6180AEF1" w:rsidR="00B56D7B" w:rsidRDefault="00B56D7B" w:rsidP="00233041">
      <w:pPr>
        <w:spacing w:before="60" w:after="60"/>
        <w:ind w:left="284"/>
        <w:rPr>
          <w:i/>
          <w:iCs/>
          <w:sz w:val="20"/>
        </w:rPr>
      </w:pPr>
      <w:r w:rsidRPr="00B56D7B">
        <w:rPr>
          <w:i/>
          <w:iCs/>
          <w:sz w:val="20"/>
        </w:rPr>
        <w:t>Tabla 2-12 INVA – Categoría 1</w:t>
      </w:r>
    </w:p>
    <w:p w14:paraId="320E13AC" w14:textId="50FC9F2B" w:rsidR="00B56D7B" w:rsidRPr="00B56D7B" w:rsidRDefault="00B56D7B" w:rsidP="00233041">
      <w:pPr>
        <w:spacing w:before="60" w:after="60"/>
        <w:ind w:left="284"/>
        <w:rPr>
          <w:i/>
          <w:iCs/>
          <w:sz w:val="20"/>
        </w:rPr>
      </w:pPr>
      <w:r w:rsidRPr="00B56D7B">
        <w:rPr>
          <w:i/>
          <w:iCs/>
          <w:sz w:val="20"/>
        </w:rPr>
        <w:t>No coincide valor aprobado de la CREG entre documento CREG 024 del 2021 y los formatos CREG entregados al OR en el archivo Calculo ingresos D Air - e. La Tabla 2-13 muestra los valores aprobado</w:t>
      </w:r>
      <w:r>
        <w:rPr>
          <w:i/>
          <w:iCs/>
          <w:sz w:val="20"/>
        </w:rPr>
        <w:t>s</w:t>
      </w:r>
      <w:r w:rsidRPr="00B56D7B">
        <w:rPr>
          <w:i/>
          <w:iCs/>
          <w:sz w:val="20"/>
        </w:rPr>
        <w:t xml:space="preserve"> en el archivo de </w:t>
      </w:r>
      <w:r>
        <w:rPr>
          <w:i/>
          <w:iCs/>
          <w:sz w:val="20"/>
        </w:rPr>
        <w:t>“</w:t>
      </w:r>
      <w:r w:rsidRPr="00B56D7B">
        <w:rPr>
          <w:i/>
          <w:iCs/>
          <w:sz w:val="20"/>
        </w:rPr>
        <w:t>Inventario reconocido INVA OR’ para los transformadores de potencia</w:t>
      </w:r>
      <w:r>
        <w:rPr>
          <w:i/>
          <w:iCs/>
          <w:sz w:val="20"/>
        </w:rPr>
        <w:t>”</w:t>
      </w:r>
      <w:r w:rsidRPr="00B56D7B">
        <w:rPr>
          <w:i/>
          <w:iCs/>
          <w:sz w:val="20"/>
        </w:rPr>
        <w:t xml:space="preserve">.  </w:t>
      </w:r>
    </w:p>
    <w:p w14:paraId="3C18C664" w14:textId="47D1B68B" w:rsidR="00512094" w:rsidRDefault="00B56D7B" w:rsidP="00233041">
      <w:pPr>
        <w:spacing w:before="60" w:after="60"/>
        <w:ind w:left="284"/>
        <w:jc w:val="center"/>
      </w:pPr>
      <w:r w:rsidRPr="00B56D7B">
        <w:rPr>
          <w:i/>
          <w:iCs/>
          <w:sz w:val="20"/>
        </w:rPr>
        <w:t>Tabla</w:t>
      </w:r>
      <w:r>
        <w:rPr>
          <w:i/>
          <w:iCs/>
          <w:sz w:val="20"/>
        </w:rPr>
        <w:t xml:space="preserve"> </w:t>
      </w:r>
      <w:r w:rsidRPr="00B56D7B">
        <w:rPr>
          <w:i/>
          <w:iCs/>
          <w:sz w:val="20"/>
        </w:rPr>
        <w:t>2-13 UUCC aprobadas CREG – Categoría 1.</w:t>
      </w:r>
      <w:r w:rsidR="00736B70">
        <w:rPr>
          <w:i/>
          <w:iCs/>
          <w:sz w:val="20"/>
        </w:rPr>
        <w:t xml:space="preserve"> </w:t>
      </w:r>
      <w:r>
        <w:rPr>
          <w:i/>
          <w:iCs/>
          <w:sz w:val="20"/>
        </w:rPr>
        <w:t xml:space="preserve">(…) </w:t>
      </w:r>
    </w:p>
    <w:p w14:paraId="4A5EAE3D" w14:textId="4D947F3C" w:rsidR="00512094" w:rsidRPr="00B56D7B" w:rsidRDefault="00AF7159" w:rsidP="000C68A9">
      <w:pPr>
        <w:keepNext/>
        <w:rPr>
          <w:b/>
          <w:bCs/>
        </w:rPr>
      </w:pPr>
      <w:r w:rsidRPr="00B56D7B">
        <w:rPr>
          <w:b/>
          <w:bCs/>
        </w:rPr>
        <w:t>Análisis de la Comisión</w:t>
      </w:r>
    </w:p>
    <w:p w14:paraId="54E209EC" w14:textId="27AD4F89" w:rsidR="00B56D7B" w:rsidRPr="00B56D7B" w:rsidRDefault="002E679E" w:rsidP="00B56D7B">
      <w:r w:rsidRPr="002E679E">
        <w:t>Se verific</w:t>
      </w:r>
      <w:r>
        <w:t>aron los cálculos y se identificó que la</w:t>
      </w:r>
      <w:r w:rsidR="00E74176">
        <w:t>s</w:t>
      </w:r>
      <w:r>
        <w:t xml:space="preserve"> diferencia</w:t>
      </w:r>
      <w:r w:rsidR="00E74176">
        <w:t>s</w:t>
      </w:r>
      <w:r>
        <w:t xml:space="preserve"> se encuentra</w:t>
      </w:r>
      <w:r w:rsidR="00E74176">
        <w:t xml:space="preserve">n asociadas con </w:t>
      </w:r>
      <w:r>
        <w:t>las UC especiales aprobadas en estas categorías</w:t>
      </w:r>
      <w:r w:rsidR="00233041">
        <w:t>. N</w:t>
      </w:r>
      <w:r w:rsidR="00E74176">
        <w:t xml:space="preserve">o obstante, </w:t>
      </w:r>
      <w:r>
        <w:t xml:space="preserve">se </w:t>
      </w:r>
      <w:r w:rsidR="00E74176">
        <w:t xml:space="preserve">revisaron </w:t>
      </w:r>
      <w:r>
        <w:t>los valores</w:t>
      </w:r>
      <w:r w:rsidR="00E74176">
        <w:t xml:space="preserve"> y fueron ajustados.</w:t>
      </w:r>
    </w:p>
    <w:p w14:paraId="6F531CDD" w14:textId="1C643523" w:rsidR="00B56D7B" w:rsidRDefault="00B56D7B" w:rsidP="000C68A9">
      <w:pPr>
        <w:keepNext/>
      </w:pPr>
      <w:r>
        <w:rPr>
          <w:b/>
          <w:bCs/>
        </w:rPr>
        <w:t>Solicitud No. 16</w:t>
      </w:r>
    </w:p>
    <w:p w14:paraId="491E3EEE" w14:textId="07D63BF8" w:rsidR="00B56D7B" w:rsidRDefault="00B56D7B" w:rsidP="00233041">
      <w:pPr>
        <w:spacing w:before="60" w:after="60"/>
        <w:ind w:left="284"/>
        <w:rPr>
          <w:i/>
          <w:iCs/>
          <w:sz w:val="20"/>
        </w:rPr>
      </w:pPr>
      <w:r w:rsidRPr="000C4F5C">
        <w:rPr>
          <w:i/>
          <w:iCs/>
          <w:sz w:val="20"/>
        </w:rPr>
        <w:t>Se solicita a la Comisión aprobar las UC especiales: Poste de concreto de 14x4000 – suspensión y km Canalización de 6 tubos de 6", ya que hacen parte del Plan de Inversión presentado por AIR-E S.A.S E.S.P.</w:t>
      </w:r>
      <w:r w:rsidR="00736B70">
        <w:rPr>
          <w:i/>
          <w:iCs/>
          <w:sz w:val="20"/>
        </w:rPr>
        <w:t xml:space="preserve"> </w:t>
      </w:r>
      <w:r>
        <w:rPr>
          <w:i/>
          <w:iCs/>
          <w:sz w:val="20"/>
        </w:rPr>
        <w:t>(…)</w:t>
      </w:r>
    </w:p>
    <w:p w14:paraId="151302A8" w14:textId="15C88836" w:rsidR="00B56D7B" w:rsidRPr="00B56D7B" w:rsidRDefault="00B56D7B" w:rsidP="00233041">
      <w:pPr>
        <w:spacing w:before="60" w:after="60"/>
        <w:ind w:left="284"/>
        <w:rPr>
          <w:i/>
          <w:iCs/>
          <w:sz w:val="20"/>
        </w:rPr>
      </w:pPr>
      <w:r w:rsidRPr="00B56D7B">
        <w:rPr>
          <w:i/>
          <w:iCs/>
          <w:sz w:val="20"/>
        </w:rPr>
        <w:t xml:space="preserve">2.2.2.3 Unidades Constructivas Especiales </w:t>
      </w:r>
    </w:p>
    <w:p w14:paraId="1559AB25" w14:textId="77777777" w:rsidR="00B56D7B" w:rsidRPr="00B56D7B" w:rsidRDefault="00B56D7B" w:rsidP="00233041">
      <w:pPr>
        <w:spacing w:before="60" w:after="60"/>
        <w:ind w:left="284"/>
        <w:rPr>
          <w:i/>
          <w:iCs/>
          <w:sz w:val="20"/>
        </w:rPr>
      </w:pPr>
      <w:r w:rsidRPr="00B56D7B">
        <w:rPr>
          <w:i/>
          <w:iCs/>
          <w:sz w:val="20"/>
        </w:rPr>
        <w:t xml:space="preserve">En el sistema atendido por AIR-E S.A.S. E.S.P., se ha identificado la necesidad de incluir infraestructura con características técnicas distintas a las establecidas para las unidades constructivas avaladas por el Regulador en el Capítulo 14 de la Resolución CREG 015 de 2018, sin embargo, la Comisión acepta la creación de UC especiales.   </w:t>
      </w:r>
    </w:p>
    <w:p w14:paraId="2C076231" w14:textId="77777777" w:rsidR="00B56D7B" w:rsidRPr="00B56D7B" w:rsidRDefault="00B56D7B" w:rsidP="00233041">
      <w:pPr>
        <w:spacing w:before="60" w:after="60"/>
        <w:ind w:left="284"/>
        <w:rPr>
          <w:i/>
          <w:iCs/>
          <w:sz w:val="20"/>
        </w:rPr>
      </w:pPr>
      <w:r w:rsidRPr="00B56D7B">
        <w:rPr>
          <w:i/>
          <w:iCs/>
          <w:sz w:val="20"/>
        </w:rPr>
        <w:t xml:space="preserve">En este sentido, de acuerdo con lo indicado en dicho capítulo, se solicitó a la Comisión la creación de UC especiales, para lo cual AIR-E S.A.S. E.S.P. buscó cumplir con los siguientes requerimientos indicados en el capítulo 14 de la Resolución CREG 015 de 2018:  </w:t>
      </w:r>
    </w:p>
    <w:p w14:paraId="6FDFBDEE" w14:textId="1103CA6F" w:rsidR="00B56D7B" w:rsidRDefault="00B56D7B" w:rsidP="00233041">
      <w:pPr>
        <w:spacing w:before="60" w:after="60"/>
        <w:ind w:left="567"/>
        <w:rPr>
          <w:i/>
          <w:iCs/>
          <w:sz w:val="20"/>
        </w:rPr>
      </w:pPr>
      <w:r w:rsidRPr="00B56D7B">
        <w:rPr>
          <w:i/>
          <w:iCs/>
          <w:sz w:val="20"/>
        </w:rPr>
        <w:t>“</w:t>
      </w:r>
      <w:r>
        <w:rPr>
          <w:i/>
          <w:iCs/>
          <w:sz w:val="20"/>
        </w:rPr>
        <w:t>C</w:t>
      </w:r>
      <w:r w:rsidRPr="00B56D7B">
        <w:rPr>
          <w:i/>
          <w:iCs/>
          <w:sz w:val="20"/>
        </w:rPr>
        <w:t>uando existan activos con características técnicas distintas a las de las UC establecidas, los O</w:t>
      </w:r>
      <w:r>
        <w:rPr>
          <w:i/>
          <w:iCs/>
          <w:sz w:val="20"/>
        </w:rPr>
        <w:t>R podrán solicitar a la Comisión la creación de UC especiales</w:t>
      </w:r>
      <w:r w:rsidRPr="00B56D7B">
        <w:rPr>
          <w:i/>
          <w:iCs/>
          <w:sz w:val="20"/>
        </w:rPr>
        <w:t>. La</w:t>
      </w:r>
      <w:r>
        <w:rPr>
          <w:i/>
          <w:iCs/>
          <w:sz w:val="20"/>
        </w:rPr>
        <w:t xml:space="preserve"> solicitud debe estar acompañada </w:t>
      </w:r>
      <w:r w:rsidRPr="00B56D7B">
        <w:rPr>
          <w:i/>
          <w:iCs/>
          <w:sz w:val="20"/>
        </w:rPr>
        <w:t>de las consideraciones técnicas que justifican la creación de la UC especial, el costo detallado de cada equipo que la compone y los costos de instalación asociados. Para adquisiciones directas se debe adjuntar tres cotizaciones de suministro e instalación de los equipos que la conforman y para adquisiciones a través de concursos abiertos o licitaciones se deben enviar los documentos que acreditan su realización incluyendo los pliegos de solicitudes, términos de referencia, etc”</w:t>
      </w:r>
    </w:p>
    <w:p w14:paraId="5979CE5A" w14:textId="452B857F" w:rsidR="00B56D7B" w:rsidRDefault="00B56D7B" w:rsidP="00233041">
      <w:pPr>
        <w:spacing w:before="60" w:after="60"/>
        <w:ind w:left="284"/>
        <w:rPr>
          <w:i/>
          <w:iCs/>
          <w:sz w:val="20"/>
        </w:rPr>
      </w:pPr>
      <w:r w:rsidRPr="00B56D7B">
        <w:rPr>
          <w:i/>
          <w:iCs/>
          <w:sz w:val="20"/>
        </w:rPr>
        <w:t>Sin embargo, la Comisión no avaló la creación de algunas unidades constructivas especiales bajo las motivaciones indicadas en el numeral 2.5.4 del Documento CREG 017 de 2021. Entre estas:</w:t>
      </w:r>
    </w:p>
    <w:p w14:paraId="4DE97A40" w14:textId="0CD5A5B4" w:rsidR="00B56D7B" w:rsidRPr="00B56D7B" w:rsidRDefault="00B56D7B" w:rsidP="00233041">
      <w:pPr>
        <w:spacing w:before="60" w:after="60"/>
        <w:ind w:left="567"/>
        <w:rPr>
          <w:i/>
          <w:iCs/>
          <w:sz w:val="20"/>
        </w:rPr>
      </w:pPr>
      <w:r w:rsidRPr="00B56D7B">
        <w:rPr>
          <w:i/>
          <w:iCs/>
          <w:sz w:val="20"/>
        </w:rPr>
        <w:t>“El OR solicita la creación de UC especiales que no son incluidas en los formatos del plan de inversiones, no se consideran al no contar con información para incorporar en el plan de</w:t>
      </w:r>
      <w:r>
        <w:rPr>
          <w:i/>
          <w:iCs/>
          <w:sz w:val="20"/>
        </w:rPr>
        <w:t xml:space="preserve"> </w:t>
      </w:r>
      <w:r w:rsidRPr="00B56D7B">
        <w:rPr>
          <w:i/>
          <w:iCs/>
          <w:sz w:val="20"/>
        </w:rPr>
        <w:t>inversiones (proyecto asociado, cantidad y año de instalación, etc.) como: Poste de concreto de 14x4000 – suspensión y km Canalización de 6 tubos de 6”</w:t>
      </w:r>
    </w:p>
    <w:p w14:paraId="5E2F59C5" w14:textId="00AD20F2" w:rsidR="00B56D7B" w:rsidRPr="00B56D7B" w:rsidRDefault="00B56D7B" w:rsidP="00233041">
      <w:pPr>
        <w:spacing w:before="60" w:after="60"/>
        <w:ind w:left="284"/>
        <w:rPr>
          <w:i/>
          <w:iCs/>
          <w:sz w:val="20"/>
        </w:rPr>
      </w:pPr>
      <w:r w:rsidRPr="00B56D7B">
        <w:rPr>
          <w:i/>
          <w:iCs/>
          <w:sz w:val="20"/>
        </w:rPr>
        <w:t>Al respecto, AIR-E S.A.S. E.S.P. reitera a la Comisión la solicitud de reconocer la UC Especial Poste de concreto de 14x4000 – suspensión, considerando que, hace parte del proyecto 388 Segunda Línea Santa Marta Bonda 34,5 kV - redes, a desarrollarse en el año 2022, como consta en el Anexo 4 INVA, y cuyos soportes se entregaron en la carpeta Anexo 3 como parte del radicado CREG E-2021</w:t>
      </w:r>
      <w:r w:rsidR="00A22024">
        <w:rPr>
          <w:i/>
          <w:iCs/>
          <w:sz w:val="20"/>
        </w:rPr>
        <w:t>-</w:t>
      </w:r>
      <w:r w:rsidRPr="00B56D7B">
        <w:rPr>
          <w:i/>
          <w:iCs/>
          <w:sz w:val="20"/>
        </w:rPr>
        <w:t xml:space="preserve">002222 de febrero 17 de 2021.  </w:t>
      </w:r>
    </w:p>
    <w:p w14:paraId="070C5A1C" w14:textId="39090EA3" w:rsidR="00B56D7B" w:rsidRPr="00B56D7B" w:rsidRDefault="00B56D7B" w:rsidP="00233041">
      <w:pPr>
        <w:spacing w:before="60" w:after="60"/>
        <w:ind w:left="284"/>
        <w:rPr>
          <w:i/>
          <w:iCs/>
          <w:sz w:val="20"/>
        </w:rPr>
      </w:pPr>
      <w:r w:rsidRPr="00B56D7B">
        <w:rPr>
          <w:i/>
          <w:iCs/>
          <w:sz w:val="20"/>
        </w:rPr>
        <w:t>Por otra parte, en cuanto a la UC km Canalización de 6 tubos de 6", y como consta en el Anexo 4 INVA, dicha UC hace parte del proyecto 45 Nuevo Circuito Norte 1 redes – 95 Nuevo Circuito Norte 3 redes, con fecha de entrada en operación 2021. En este sentido, se reitera al Regulador la solicitud de avalar la UC Canalización de 6 tubos de 6".</w:t>
      </w:r>
    </w:p>
    <w:p w14:paraId="3C7362F9" w14:textId="77777777" w:rsidR="00EF5E35" w:rsidRPr="00B56D7B" w:rsidRDefault="00EF5E35" w:rsidP="000C68A9">
      <w:pPr>
        <w:keepNext/>
        <w:rPr>
          <w:b/>
          <w:bCs/>
        </w:rPr>
      </w:pPr>
      <w:r w:rsidRPr="00B56D7B">
        <w:rPr>
          <w:b/>
          <w:bCs/>
        </w:rPr>
        <w:t>Análisis de la Comisión</w:t>
      </w:r>
    </w:p>
    <w:p w14:paraId="166CA25E" w14:textId="3CF48C49" w:rsidR="005F4D0C" w:rsidRDefault="005F4D0C" w:rsidP="005F4D0C">
      <w:bookmarkStart w:id="4" w:name="_Hlk72245328"/>
      <w:r>
        <w:t xml:space="preserve">En relación con la solicitud y aprobación de UC especiales, en el numeral 14 del anexo general de la Resolución CREG 015 de 2018 se señala lo siguiente: </w:t>
      </w:r>
    </w:p>
    <w:p w14:paraId="609DA2A6" w14:textId="49083F2C" w:rsidR="005F4D0C" w:rsidRDefault="005F4D0C" w:rsidP="00233041">
      <w:pPr>
        <w:spacing w:before="60" w:after="60"/>
        <w:ind w:left="284"/>
        <w:rPr>
          <w:i/>
          <w:iCs/>
          <w:sz w:val="20"/>
          <w:szCs w:val="20"/>
        </w:rPr>
      </w:pPr>
      <w:r w:rsidRPr="00602457">
        <w:rPr>
          <w:i/>
          <w:iCs/>
          <w:sz w:val="20"/>
          <w:szCs w:val="20"/>
        </w:rPr>
        <w:t xml:space="preserve">Cuando existan </w:t>
      </w:r>
      <w:r w:rsidRPr="00602457">
        <w:rPr>
          <w:i/>
          <w:iCs/>
          <w:sz w:val="20"/>
          <w:szCs w:val="20"/>
          <w:u w:val="single"/>
        </w:rPr>
        <w:t>activos con características técnicas distintas a las de las UC establecidas, los OR podrán solicitar a la Comisión la creación de UC especiales</w:t>
      </w:r>
      <w:r w:rsidRPr="00602457">
        <w:rPr>
          <w:i/>
          <w:iCs/>
          <w:sz w:val="20"/>
          <w:szCs w:val="20"/>
        </w:rPr>
        <w:t xml:space="preserve">. La solicitud debe estar acompañada de las consideraciones técnicas que justifican la creación de la UC especial, el </w:t>
      </w:r>
      <w:r w:rsidRPr="00602457">
        <w:rPr>
          <w:i/>
          <w:iCs/>
          <w:sz w:val="20"/>
          <w:szCs w:val="20"/>
          <w:u w:val="single"/>
        </w:rPr>
        <w:t>costo detallado de cada equipo que la compone y los costos de instalación asociados</w:t>
      </w:r>
      <w:r w:rsidRPr="00602457">
        <w:rPr>
          <w:i/>
          <w:iCs/>
          <w:sz w:val="20"/>
          <w:szCs w:val="20"/>
        </w:rPr>
        <w:t>. Para adquisiciones directas se debe adjuntar tres cotizaciones de suministro e instalación de los equipos que la conforman y para adquisiciones a través de concursos abiertos o licitaciones se deben enviar los documentos que acreditan su realización incluyendo los pliegos de solicitudes, términos de referencia, etc.</w:t>
      </w:r>
    </w:p>
    <w:p w14:paraId="5C6C56D8" w14:textId="3126EFC6" w:rsidR="00736B70" w:rsidRDefault="00736B70" w:rsidP="00233041">
      <w:pPr>
        <w:spacing w:before="60" w:after="60"/>
        <w:ind w:left="284"/>
      </w:pPr>
      <w:r>
        <w:rPr>
          <w:i/>
          <w:iCs/>
          <w:sz w:val="20"/>
          <w:szCs w:val="20"/>
        </w:rPr>
        <w:t>Subrayado fuera de texto</w:t>
      </w:r>
    </w:p>
    <w:p w14:paraId="6A56F64C" w14:textId="0688A569" w:rsidR="00383E1F" w:rsidRDefault="00595682" w:rsidP="005F4D0C">
      <w:r>
        <w:t xml:space="preserve">Se entiende </w:t>
      </w:r>
      <w:r w:rsidR="005F4D0C">
        <w:t>que las UC especiales se crean cuando existen activos con características técnicas diferentes a las de las UC ya establecidas</w:t>
      </w:r>
      <w:r w:rsidR="00233041">
        <w:t>,</w:t>
      </w:r>
      <w:r w:rsidR="005F4D0C">
        <w:t xml:space="preserve"> y no a diferencias en los costos de los componentes de las UC. </w:t>
      </w:r>
    </w:p>
    <w:p w14:paraId="265A8375" w14:textId="433E5B27" w:rsidR="005F4D0C" w:rsidRDefault="005F4D0C" w:rsidP="005F4D0C">
      <w:r>
        <w:t>La aprobación de las UC especiales está sujeta a la revisión de las actividades y costos por parte de la Comisión, y en este sentido, se entiende que para actividades, elementos o materiales que sean comunes o iguales entre las UC ya establecidas y las UC especiales</w:t>
      </w:r>
      <w:r w:rsidR="00233041">
        <w:t>,</w:t>
      </w:r>
      <w:r>
        <w:t xml:space="preserve"> se deben reconocer los mismos valores ya definidos en la regulación.</w:t>
      </w:r>
    </w:p>
    <w:bookmarkEnd w:id="4"/>
    <w:p w14:paraId="3A618CBD" w14:textId="7971EABB" w:rsidR="007A5379" w:rsidRDefault="00EF5E35" w:rsidP="00512094">
      <w:r>
        <w:t xml:space="preserve">En relación con la UC de poste </w:t>
      </w:r>
      <w:r w:rsidRPr="00EF5E35">
        <w:t>de concreto de 14x4000 – suspensión</w:t>
      </w:r>
      <w:r w:rsidR="007A5379">
        <w:t xml:space="preserve"> para el proyecto a 34.5 kV</w:t>
      </w:r>
      <w:r>
        <w:t xml:space="preserve">, se verificó la información </w:t>
      </w:r>
      <w:r w:rsidR="007A5379">
        <w:t>utilizada por la Comisión para la aprobación de la Resolución CREG 024 de 2021, encontrando lo siguiente:</w:t>
      </w:r>
    </w:p>
    <w:p w14:paraId="3F269015" w14:textId="00B57B3B" w:rsidR="00B56D7B" w:rsidRDefault="007A5379" w:rsidP="00512094">
      <w:r>
        <w:t>E</w:t>
      </w:r>
      <w:r w:rsidR="00EF5E35">
        <w:t xml:space="preserve">n la comunicación con radicado CREG E-2021-001467 el </w:t>
      </w:r>
      <w:r>
        <w:t xml:space="preserve">OR suministró el </w:t>
      </w:r>
      <w:r w:rsidR="00EF5E35">
        <w:t xml:space="preserve">archivo </w:t>
      </w:r>
      <w:r w:rsidR="00EF5E35" w:rsidRPr="007A5379">
        <w:rPr>
          <w:i/>
          <w:iCs/>
        </w:rPr>
        <w:t>Unidades Constructivas Postes Especiales N2 y N3 Vf.xlsx</w:t>
      </w:r>
      <w:r>
        <w:rPr>
          <w:i/>
          <w:iCs/>
        </w:rPr>
        <w:t xml:space="preserve">, </w:t>
      </w:r>
      <w:r>
        <w:t xml:space="preserve">en el cual se presenta la valoración de las UC especiales de postes solicitadas por el OR, para el caso de postes de nivel de tensión 3 el OR presentó el siguiente soporte: </w:t>
      </w:r>
    </w:p>
    <w:p w14:paraId="73B87370" w14:textId="43A30508" w:rsidR="007A5379" w:rsidRDefault="007A5379" w:rsidP="00512094">
      <w:pPr>
        <w:rPr>
          <w:noProof/>
        </w:rPr>
      </w:pPr>
      <w:r>
        <w:rPr>
          <w:noProof/>
        </w:rPr>
        <w:drawing>
          <wp:inline distT="0" distB="0" distL="0" distR="0" wp14:anchorId="6004CE75" wp14:editId="0482257D">
            <wp:extent cx="5943558" cy="1074561"/>
            <wp:effectExtent l="0" t="0" r="635" b="0"/>
            <wp:docPr id="12" name="Imagen 12"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Aplicación, Tabla, Excel&#10;&#10;Descripción generada automáticamente"/>
                    <pic:cNvPicPr/>
                  </pic:nvPicPr>
                  <pic:blipFill rotWithShape="1">
                    <a:blip r:embed="rId11"/>
                    <a:srcRect l="9975" t="53779" r="2172" b="20810"/>
                    <a:stretch/>
                  </pic:blipFill>
                  <pic:spPr bwMode="auto">
                    <a:xfrm>
                      <a:off x="0" y="0"/>
                      <a:ext cx="6047956" cy="1093435"/>
                    </a:xfrm>
                    <a:prstGeom prst="rect">
                      <a:avLst/>
                    </a:prstGeom>
                    <a:ln>
                      <a:noFill/>
                    </a:ln>
                    <a:extLst>
                      <a:ext uri="{53640926-AAD7-44D8-BBD7-CCE9431645EC}">
                        <a14:shadowObscured xmlns:a14="http://schemas.microsoft.com/office/drawing/2010/main"/>
                      </a:ext>
                    </a:extLst>
                  </pic:spPr>
                </pic:pic>
              </a:graphicData>
            </a:graphic>
          </wp:inline>
        </w:drawing>
      </w:r>
    </w:p>
    <w:p w14:paraId="5DF1984F" w14:textId="6EB09AB1" w:rsidR="00383E1F" w:rsidRDefault="007A5379" w:rsidP="00512094">
      <w:r>
        <w:t xml:space="preserve">Se observa que la UC </w:t>
      </w:r>
      <w:r w:rsidR="00595682">
        <w:t>especial p</w:t>
      </w:r>
      <w:r w:rsidRPr="007A5379">
        <w:t xml:space="preserve">oste de concreto de 14x4000 </w:t>
      </w:r>
      <w:r w:rsidR="00BB4C02">
        <w:t>tipo suspensión no tiene valores asociados con el costo DDP, el montaje, las obras civiles</w:t>
      </w:r>
      <w:r w:rsidR="00233041">
        <w:t>,</w:t>
      </w:r>
      <w:r w:rsidR="00BB4C02">
        <w:t xml:space="preserve"> ni el valor total de la UC. Con base en lo anterior</w:t>
      </w:r>
      <w:r w:rsidR="00233041">
        <w:t>,</w:t>
      </w:r>
      <w:r w:rsidR="00BB4C02">
        <w:t xml:space="preserve"> no se reconoció la UC especial </w:t>
      </w:r>
      <w:r w:rsidR="00BB4C02" w:rsidRPr="007A5379">
        <w:t xml:space="preserve">Poste de concreto de 14x4000 </w:t>
      </w:r>
      <w:r w:rsidR="00BB4C02">
        <w:t xml:space="preserve">tipo suspensión. </w:t>
      </w:r>
    </w:p>
    <w:p w14:paraId="5A725316" w14:textId="4DB61933" w:rsidR="00B56D7B" w:rsidRDefault="00BB4C02" w:rsidP="00512094">
      <w:r>
        <w:t>Teniendo en cuenta que en el recurso de reposición el OR no presenta información adicional sobre la valoración de este tipo de UC, no se accede a la petición realizada por el OR sobre la inclusión de esta UC especial.</w:t>
      </w:r>
    </w:p>
    <w:p w14:paraId="2DD755F3" w14:textId="06A3BFA6" w:rsidR="00B56D7B" w:rsidRDefault="005F4D0C" w:rsidP="00512094">
      <w:bookmarkStart w:id="5" w:name="_Hlk72245358"/>
      <w:r>
        <w:t xml:space="preserve">Respecto a </w:t>
      </w:r>
      <w:r w:rsidR="00BB4C02">
        <w:t>la UC especial de canalización de 6 tubos de 6”</w:t>
      </w:r>
      <w:r w:rsidR="00233041">
        <w:t>,</w:t>
      </w:r>
      <w:r w:rsidR="00BB4C02">
        <w:t xml:space="preserve"> </w:t>
      </w:r>
      <w:r w:rsidR="00BD524F">
        <w:t>se verificó que en el formato de UC del plan de inversiones el OR si había reportado 2,065 km de la UC N2LE15 (</w:t>
      </w:r>
      <w:r w:rsidR="00BD524F" w:rsidRPr="00BD524F">
        <w:t>km Canalización de 6 tubos de 6"</w:t>
      </w:r>
      <w:r w:rsidR="00BD524F">
        <w:t>), por lo cual</w:t>
      </w:r>
      <w:r w:rsidR="00233041">
        <w:t>,</w:t>
      </w:r>
      <w:r w:rsidR="00BD524F">
        <w:t xml:space="preserve"> se considera su incorporación en el plan de inversiones aprobado.</w:t>
      </w:r>
    </w:p>
    <w:p w14:paraId="320F7C47" w14:textId="68C66970" w:rsidR="00033D75" w:rsidRDefault="00BD524F" w:rsidP="00512094">
      <w:r>
        <w:t>En relación con el valor solicitado para esta UC</w:t>
      </w:r>
      <w:r w:rsidR="005F4D0C">
        <w:t xml:space="preserve"> especial,</w:t>
      </w:r>
      <w:r>
        <w:t xml:space="preserve"> en el documento </w:t>
      </w:r>
      <w:r w:rsidRPr="00BD524F">
        <w:rPr>
          <w:i/>
          <w:iCs/>
        </w:rPr>
        <w:t>Unidad Constructiva Canalización hormigonada para Líneas N2</w:t>
      </w:r>
      <w:r w:rsidR="00383E1F">
        <w:t xml:space="preserve">, aportado por el OR como soporte de la solicitud, se presenta en </w:t>
      </w:r>
      <w:r>
        <w:t xml:space="preserve">la tabla </w:t>
      </w:r>
      <w:r w:rsidRPr="00BD524F">
        <w:t>6</w:t>
      </w:r>
      <w:r>
        <w:t xml:space="preserve"> el d</w:t>
      </w:r>
      <w:r w:rsidRPr="00BD524F">
        <w:t xml:space="preserve">esglose de </w:t>
      </w:r>
      <w:r>
        <w:t xml:space="preserve">los </w:t>
      </w:r>
      <w:r w:rsidRPr="00BD524F">
        <w:t xml:space="preserve">costos </w:t>
      </w:r>
      <w:r>
        <w:t xml:space="preserve">de </w:t>
      </w:r>
      <w:r w:rsidRPr="00BD524F">
        <w:t>unidades constructivas especiales de Canalización con hormigonado 6x6</w:t>
      </w:r>
      <w:r w:rsidR="00033D75">
        <w:t xml:space="preserve">. </w:t>
      </w:r>
    </w:p>
    <w:p w14:paraId="06BC854A" w14:textId="4636008C" w:rsidR="00BD524F" w:rsidRDefault="00865C16" w:rsidP="00512094">
      <w:r>
        <w:t xml:space="preserve">En la valoración de las UC especiales de canalización </w:t>
      </w:r>
      <w:r w:rsidR="00033D75">
        <w:t xml:space="preserve">se </w:t>
      </w:r>
      <w:r w:rsidR="00BD524F" w:rsidRPr="00BD524F">
        <w:t xml:space="preserve">mantienen las </w:t>
      </w:r>
      <w:r w:rsidR="00383E1F">
        <w:t xml:space="preserve">actividades y </w:t>
      </w:r>
      <w:r w:rsidR="00BD524F" w:rsidRPr="00BD524F">
        <w:t>cantidades solicitadas por el OR</w:t>
      </w:r>
      <w:r w:rsidR="00233041">
        <w:t>. S</w:t>
      </w:r>
      <w:r w:rsidR="00033D75">
        <w:t>in embargo</w:t>
      </w:r>
      <w:r>
        <w:t>,</w:t>
      </w:r>
      <w:r w:rsidR="00033D75">
        <w:t xml:space="preserve"> en los casos en los que </w:t>
      </w:r>
      <w:r w:rsidR="00383E1F">
        <w:t xml:space="preserve">fue </w:t>
      </w:r>
      <w:r w:rsidR="00033D75">
        <w:t xml:space="preserve">posible identificar materiales comunes con las UC ya definidas, como el </w:t>
      </w:r>
      <w:r w:rsidR="00033D75" w:rsidRPr="00BD524F">
        <w:t xml:space="preserve">hormigón </w:t>
      </w:r>
      <w:r>
        <w:t>de 3000 psi (210 kg/cm</w:t>
      </w:r>
      <w:r w:rsidRPr="00865C16">
        <w:rPr>
          <w:vertAlign w:val="superscript"/>
        </w:rPr>
        <w:t>2</w:t>
      </w:r>
      <w:r>
        <w:t xml:space="preserve">) </w:t>
      </w:r>
      <w:r w:rsidR="00033D75">
        <w:t xml:space="preserve">y el acero de refuerzo, se emplean los valores </w:t>
      </w:r>
      <w:r w:rsidR="00BD524F" w:rsidRPr="00BD524F">
        <w:t>utilizado</w:t>
      </w:r>
      <w:r w:rsidR="00BD23A7">
        <w:t>s</w:t>
      </w:r>
      <w:r w:rsidR="00BD524F" w:rsidRPr="00BD524F">
        <w:t xml:space="preserve"> para las UC aprobadas en la Resolución CREG 015 de 2018.</w:t>
      </w:r>
    </w:p>
    <w:p w14:paraId="18ECF89A" w14:textId="2BC85804" w:rsidR="0055403E" w:rsidRDefault="0055403E" w:rsidP="00512094">
      <w:bookmarkStart w:id="6" w:name="_Hlk72245368"/>
      <w:bookmarkEnd w:id="5"/>
      <w:r>
        <w:t xml:space="preserve">En la siguiente tabla se presentan los valores solicitados </w:t>
      </w:r>
      <w:r w:rsidR="00033D75">
        <w:t xml:space="preserve">por el OR </w:t>
      </w:r>
      <w:r>
        <w:t xml:space="preserve">y los </w:t>
      </w:r>
      <w:r w:rsidR="00033D75">
        <w:t>calculados por la Comisión</w:t>
      </w:r>
      <w:r w:rsidR="00383E1F">
        <w:t xml:space="preserve"> con base en los ajustes señalados</w:t>
      </w:r>
      <w:r w:rsidR="00033D75">
        <w:t xml:space="preserve">, </w:t>
      </w:r>
      <w:r w:rsidR="00383E1F">
        <w:t xml:space="preserve">para la valoración </w:t>
      </w:r>
      <w:r w:rsidR="00865C16">
        <w:t>se mantienen los costos de ingeniería, interventoría e inspección del OR</w:t>
      </w:r>
      <w:r w:rsidR="00033D75">
        <w:t>.</w:t>
      </w:r>
    </w:p>
    <w:tbl>
      <w:tblPr>
        <w:tblW w:w="0" w:type="auto"/>
        <w:jc w:val="center"/>
        <w:tblCellMar>
          <w:left w:w="70" w:type="dxa"/>
          <w:right w:w="70" w:type="dxa"/>
        </w:tblCellMar>
        <w:tblLook w:val="04A0" w:firstRow="1" w:lastRow="0" w:firstColumn="1" w:lastColumn="0" w:noHBand="0" w:noVBand="1"/>
      </w:tblPr>
      <w:tblGrid>
        <w:gridCol w:w="1487"/>
        <w:gridCol w:w="1429"/>
        <w:gridCol w:w="1246"/>
        <w:gridCol w:w="1663"/>
        <w:gridCol w:w="1300"/>
        <w:gridCol w:w="1429"/>
      </w:tblGrid>
      <w:tr w:rsidR="00865C16" w:rsidRPr="00865C16" w14:paraId="2CCBB625" w14:textId="77777777" w:rsidTr="00C5546F">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0EDF3" w14:textId="77777777" w:rsidR="00865C16" w:rsidRPr="00865C16" w:rsidRDefault="00865C16" w:rsidP="00865C16">
            <w:pPr>
              <w:spacing w:before="0" w:after="0"/>
              <w:jc w:val="left"/>
              <w:rPr>
                <w:color w:val="000000"/>
                <w:sz w:val="18"/>
                <w:szCs w:val="18"/>
                <w:lang w:val="es-CO" w:eastAsia="es-CO"/>
              </w:rPr>
            </w:pPr>
            <w:r w:rsidRPr="00865C16">
              <w:rPr>
                <w:color w:val="000000"/>
                <w:sz w:val="18"/>
                <w:szCs w:val="18"/>
                <w:lang w:val="es-CO"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90533FB" w14:textId="77777777" w:rsidR="00865C16" w:rsidRPr="00865C16" w:rsidRDefault="00865C16" w:rsidP="00865C16">
            <w:pPr>
              <w:spacing w:before="0" w:after="0"/>
              <w:jc w:val="center"/>
              <w:rPr>
                <w:color w:val="000000"/>
                <w:sz w:val="18"/>
                <w:szCs w:val="18"/>
                <w:lang w:val="es-CO" w:eastAsia="es-CO"/>
              </w:rPr>
            </w:pPr>
            <w:r w:rsidRPr="00865C16">
              <w:rPr>
                <w:color w:val="000000"/>
                <w:sz w:val="18"/>
                <w:szCs w:val="18"/>
                <w:lang w:val="es-ES_tradnl" w:eastAsia="es-CO"/>
              </w:rPr>
              <w:t>OBRA CIVIL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7A80093" w14:textId="77777777" w:rsidR="00865C16" w:rsidRPr="00865C16" w:rsidRDefault="00865C16" w:rsidP="00865C16">
            <w:pPr>
              <w:spacing w:before="0" w:after="0"/>
              <w:jc w:val="center"/>
              <w:rPr>
                <w:color w:val="000000"/>
                <w:sz w:val="18"/>
                <w:szCs w:val="18"/>
                <w:lang w:val="es-CO" w:eastAsia="es-CO"/>
              </w:rPr>
            </w:pPr>
            <w:r w:rsidRPr="00865C16">
              <w:rPr>
                <w:color w:val="000000"/>
                <w:sz w:val="18"/>
                <w:szCs w:val="18"/>
                <w:lang w:val="es-ES_tradnl" w:eastAsia="es-CO"/>
              </w:rPr>
              <w:t>INGENIERÍA</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32AB974" w14:textId="77777777" w:rsidR="00865C16" w:rsidRPr="00865C16" w:rsidRDefault="00865C16" w:rsidP="00865C16">
            <w:pPr>
              <w:spacing w:before="0" w:after="0"/>
              <w:jc w:val="center"/>
              <w:rPr>
                <w:color w:val="000000"/>
                <w:sz w:val="18"/>
                <w:szCs w:val="18"/>
                <w:lang w:val="es-CO" w:eastAsia="es-CO"/>
              </w:rPr>
            </w:pPr>
            <w:r w:rsidRPr="00865C16">
              <w:rPr>
                <w:color w:val="000000"/>
                <w:sz w:val="18"/>
                <w:szCs w:val="18"/>
                <w:lang w:val="es-ES_tradnl" w:eastAsia="es-CO"/>
              </w:rPr>
              <w:t>INTERVENTORÍA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197DDE" w14:textId="77777777" w:rsidR="00865C16" w:rsidRPr="00865C16" w:rsidRDefault="00865C16" w:rsidP="00865C16">
            <w:pPr>
              <w:spacing w:before="0" w:after="0"/>
              <w:jc w:val="center"/>
              <w:rPr>
                <w:color w:val="000000"/>
                <w:sz w:val="18"/>
                <w:szCs w:val="18"/>
                <w:lang w:val="es-CO" w:eastAsia="es-CO"/>
              </w:rPr>
            </w:pPr>
            <w:r w:rsidRPr="00865C16">
              <w:rPr>
                <w:color w:val="000000"/>
                <w:sz w:val="18"/>
                <w:szCs w:val="18"/>
                <w:lang w:val="es-ES_tradnl" w:eastAsia="es-CO"/>
              </w:rPr>
              <w:t>INSPECCIÓN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1FE889C" w14:textId="77777777" w:rsidR="00865C16" w:rsidRPr="00865C16" w:rsidRDefault="00865C16" w:rsidP="00865C16">
            <w:pPr>
              <w:spacing w:before="0" w:after="0"/>
              <w:jc w:val="center"/>
              <w:rPr>
                <w:color w:val="000000"/>
                <w:sz w:val="18"/>
                <w:szCs w:val="18"/>
                <w:lang w:val="es-CO" w:eastAsia="es-CO"/>
              </w:rPr>
            </w:pPr>
            <w:r w:rsidRPr="00865C16">
              <w:rPr>
                <w:color w:val="000000"/>
                <w:sz w:val="18"/>
                <w:szCs w:val="18"/>
                <w:lang w:val="es-ES_tradnl" w:eastAsia="es-CO"/>
              </w:rPr>
              <w:t xml:space="preserve">TOTAL </w:t>
            </w:r>
          </w:p>
        </w:tc>
      </w:tr>
      <w:tr w:rsidR="00865C16" w:rsidRPr="00865C16" w14:paraId="6C55E901" w14:textId="77777777" w:rsidTr="00865C16">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176B61" w14:textId="77777777" w:rsidR="00865C16" w:rsidRPr="00865C16" w:rsidRDefault="00865C16" w:rsidP="00865C16">
            <w:pPr>
              <w:spacing w:before="0" w:after="0"/>
              <w:jc w:val="left"/>
              <w:rPr>
                <w:color w:val="000000"/>
                <w:sz w:val="18"/>
                <w:szCs w:val="18"/>
                <w:lang w:val="es-CO" w:eastAsia="es-CO"/>
              </w:rPr>
            </w:pPr>
            <w:r w:rsidRPr="00865C16">
              <w:rPr>
                <w:color w:val="000000"/>
                <w:sz w:val="18"/>
                <w:szCs w:val="18"/>
                <w:lang w:val="es-ES_tradnl" w:eastAsia="es-CO"/>
              </w:rPr>
              <w:t>Solicitud OR</w:t>
            </w:r>
          </w:p>
        </w:tc>
        <w:tc>
          <w:tcPr>
            <w:tcW w:w="0" w:type="auto"/>
            <w:tcBorders>
              <w:top w:val="nil"/>
              <w:left w:val="nil"/>
              <w:bottom w:val="single" w:sz="4" w:space="0" w:color="auto"/>
              <w:right w:val="single" w:sz="4" w:space="0" w:color="auto"/>
            </w:tcBorders>
            <w:shd w:val="clear" w:color="000000" w:fill="FFFFFF"/>
            <w:noWrap/>
            <w:vAlign w:val="center"/>
            <w:hideMark/>
          </w:tcPr>
          <w:p w14:paraId="037F3C16"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1.233.744.495</w:t>
            </w:r>
          </w:p>
        </w:tc>
        <w:tc>
          <w:tcPr>
            <w:tcW w:w="0" w:type="auto"/>
            <w:tcBorders>
              <w:top w:val="nil"/>
              <w:left w:val="nil"/>
              <w:bottom w:val="single" w:sz="4" w:space="0" w:color="auto"/>
              <w:right w:val="single" w:sz="4" w:space="0" w:color="auto"/>
            </w:tcBorders>
            <w:shd w:val="clear" w:color="000000" w:fill="FFFFFF"/>
            <w:noWrap/>
            <w:vAlign w:val="center"/>
            <w:hideMark/>
          </w:tcPr>
          <w:p w14:paraId="4330D549"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8.228.637</w:t>
            </w:r>
          </w:p>
        </w:tc>
        <w:tc>
          <w:tcPr>
            <w:tcW w:w="0" w:type="auto"/>
            <w:tcBorders>
              <w:top w:val="nil"/>
              <w:left w:val="nil"/>
              <w:bottom w:val="single" w:sz="4" w:space="0" w:color="auto"/>
              <w:right w:val="single" w:sz="4" w:space="0" w:color="auto"/>
            </w:tcBorders>
            <w:shd w:val="clear" w:color="000000" w:fill="FFFFFF"/>
            <w:noWrap/>
            <w:vAlign w:val="center"/>
            <w:hideMark/>
          </w:tcPr>
          <w:p w14:paraId="43731B53"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2.958.899</w:t>
            </w:r>
          </w:p>
        </w:tc>
        <w:tc>
          <w:tcPr>
            <w:tcW w:w="0" w:type="auto"/>
            <w:tcBorders>
              <w:top w:val="nil"/>
              <w:left w:val="nil"/>
              <w:bottom w:val="single" w:sz="4" w:space="0" w:color="auto"/>
              <w:right w:val="single" w:sz="4" w:space="0" w:color="auto"/>
            </w:tcBorders>
            <w:shd w:val="clear" w:color="000000" w:fill="FFFFFF"/>
            <w:noWrap/>
            <w:vAlign w:val="center"/>
            <w:hideMark/>
          </w:tcPr>
          <w:p w14:paraId="31EC15C5"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59.178</w:t>
            </w:r>
          </w:p>
        </w:tc>
        <w:tc>
          <w:tcPr>
            <w:tcW w:w="0" w:type="auto"/>
            <w:tcBorders>
              <w:top w:val="nil"/>
              <w:left w:val="nil"/>
              <w:bottom w:val="single" w:sz="4" w:space="0" w:color="auto"/>
              <w:right w:val="single" w:sz="4" w:space="0" w:color="auto"/>
            </w:tcBorders>
            <w:shd w:val="clear" w:color="000000" w:fill="FFFFFF"/>
            <w:noWrap/>
            <w:vAlign w:val="center"/>
            <w:hideMark/>
          </w:tcPr>
          <w:p w14:paraId="490BFF82"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1.244.991.209</w:t>
            </w:r>
          </w:p>
        </w:tc>
      </w:tr>
      <w:tr w:rsidR="00865C16" w:rsidRPr="00865C16" w14:paraId="5F224329" w14:textId="77777777" w:rsidTr="00865C16">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D8AFD8" w14:textId="77777777" w:rsidR="00865C16" w:rsidRPr="00865C16" w:rsidRDefault="00865C16" w:rsidP="00865C16">
            <w:pPr>
              <w:spacing w:before="0" w:after="0"/>
              <w:jc w:val="left"/>
              <w:rPr>
                <w:color w:val="000000"/>
                <w:sz w:val="18"/>
                <w:szCs w:val="18"/>
                <w:lang w:val="es-CO" w:eastAsia="es-CO"/>
              </w:rPr>
            </w:pPr>
            <w:r w:rsidRPr="00865C16">
              <w:rPr>
                <w:color w:val="000000"/>
                <w:sz w:val="18"/>
                <w:szCs w:val="18"/>
                <w:lang w:val="es-CO" w:eastAsia="es-CO"/>
              </w:rPr>
              <w:t>Valor aprobado</w:t>
            </w:r>
          </w:p>
        </w:tc>
        <w:tc>
          <w:tcPr>
            <w:tcW w:w="0" w:type="auto"/>
            <w:tcBorders>
              <w:top w:val="nil"/>
              <w:left w:val="nil"/>
              <w:bottom w:val="single" w:sz="4" w:space="0" w:color="auto"/>
              <w:right w:val="single" w:sz="4" w:space="0" w:color="auto"/>
            </w:tcBorders>
            <w:shd w:val="clear" w:color="000000" w:fill="FFFFFF"/>
            <w:noWrap/>
            <w:vAlign w:val="center"/>
            <w:hideMark/>
          </w:tcPr>
          <w:p w14:paraId="31DEBB46"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CO" w:eastAsia="es-CO"/>
              </w:rPr>
              <w:t>1.036.714.462</w:t>
            </w:r>
          </w:p>
        </w:tc>
        <w:tc>
          <w:tcPr>
            <w:tcW w:w="0" w:type="auto"/>
            <w:tcBorders>
              <w:top w:val="nil"/>
              <w:left w:val="nil"/>
              <w:bottom w:val="single" w:sz="4" w:space="0" w:color="auto"/>
              <w:right w:val="single" w:sz="4" w:space="0" w:color="auto"/>
            </w:tcBorders>
            <w:shd w:val="clear" w:color="000000" w:fill="FFFFFF"/>
            <w:noWrap/>
            <w:vAlign w:val="center"/>
            <w:hideMark/>
          </w:tcPr>
          <w:p w14:paraId="48C3430C"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CO" w:eastAsia="es-CO"/>
              </w:rPr>
              <w:t>8.228.637</w:t>
            </w:r>
          </w:p>
        </w:tc>
        <w:tc>
          <w:tcPr>
            <w:tcW w:w="0" w:type="auto"/>
            <w:tcBorders>
              <w:top w:val="nil"/>
              <w:left w:val="nil"/>
              <w:bottom w:val="single" w:sz="4" w:space="0" w:color="auto"/>
              <w:right w:val="single" w:sz="4" w:space="0" w:color="auto"/>
            </w:tcBorders>
            <w:shd w:val="clear" w:color="000000" w:fill="FFFFFF"/>
            <w:noWrap/>
            <w:vAlign w:val="center"/>
            <w:hideMark/>
          </w:tcPr>
          <w:p w14:paraId="05EFFC4E"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CO" w:eastAsia="es-CO"/>
              </w:rPr>
              <w:t>2.958.899</w:t>
            </w:r>
          </w:p>
        </w:tc>
        <w:tc>
          <w:tcPr>
            <w:tcW w:w="0" w:type="auto"/>
            <w:tcBorders>
              <w:top w:val="nil"/>
              <w:left w:val="nil"/>
              <w:bottom w:val="single" w:sz="4" w:space="0" w:color="auto"/>
              <w:right w:val="single" w:sz="4" w:space="0" w:color="auto"/>
            </w:tcBorders>
            <w:shd w:val="clear" w:color="000000" w:fill="FFFFFF"/>
            <w:noWrap/>
            <w:vAlign w:val="center"/>
            <w:hideMark/>
          </w:tcPr>
          <w:p w14:paraId="62AEE0C0"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CO" w:eastAsia="es-CO"/>
              </w:rPr>
              <w:t>59.178</w:t>
            </w:r>
          </w:p>
        </w:tc>
        <w:tc>
          <w:tcPr>
            <w:tcW w:w="0" w:type="auto"/>
            <w:tcBorders>
              <w:top w:val="nil"/>
              <w:left w:val="nil"/>
              <w:bottom w:val="single" w:sz="4" w:space="0" w:color="auto"/>
              <w:right w:val="single" w:sz="4" w:space="0" w:color="auto"/>
            </w:tcBorders>
            <w:shd w:val="clear" w:color="000000" w:fill="FFFFFF"/>
            <w:noWrap/>
            <w:vAlign w:val="center"/>
            <w:hideMark/>
          </w:tcPr>
          <w:p w14:paraId="69F10A3A" w14:textId="77777777" w:rsidR="00865C16" w:rsidRPr="00865C16" w:rsidRDefault="00865C16" w:rsidP="00865C16">
            <w:pPr>
              <w:spacing w:before="0" w:after="0"/>
              <w:jc w:val="right"/>
              <w:rPr>
                <w:color w:val="000000"/>
                <w:sz w:val="18"/>
                <w:szCs w:val="18"/>
                <w:lang w:val="es-CO" w:eastAsia="es-CO"/>
              </w:rPr>
            </w:pPr>
            <w:r w:rsidRPr="00865C16">
              <w:rPr>
                <w:color w:val="000000"/>
                <w:sz w:val="18"/>
                <w:szCs w:val="18"/>
                <w:lang w:val="es-ES_tradnl" w:eastAsia="es-CO"/>
              </w:rPr>
              <w:t>1.047.961.176</w:t>
            </w:r>
          </w:p>
        </w:tc>
      </w:tr>
    </w:tbl>
    <w:bookmarkEnd w:id="6"/>
    <w:p w14:paraId="406C728E" w14:textId="2D17ACBA" w:rsidR="00033D75" w:rsidRDefault="00383E1F" w:rsidP="000C68A9">
      <w:pPr>
        <w:keepNext/>
      </w:pPr>
      <w:r>
        <w:rPr>
          <w:b/>
          <w:bCs/>
        </w:rPr>
        <w:t>Solicitud No. 17</w:t>
      </w:r>
    </w:p>
    <w:p w14:paraId="31EDB354" w14:textId="502551BB" w:rsidR="00383E1F" w:rsidRDefault="00383E1F" w:rsidP="00233041">
      <w:pPr>
        <w:ind w:left="284"/>
        <w:rPr>
          <w:i/>
          <w:iCs/>
          <w:sz w:val="20"/>
        </w:rPr>
      </w:pPr>
      <w:r w:rsidRPr="000C4F5C">
        <w:rPr>
          <w:i/>
          <w:iCs/>
          <w:sz w:val="20"/>
        </w:rPr>
        <w:t>Se solicita al Regulador avalar las siguientes UC Especiales: Banco de condensadores tipo pedestal 3 MVAr y sistema de georreferenciación etapa 1, puesto que, los soportes entregados cumplen con los criterios establecidos por la CREG para su reconocimiento.</w:t>
      </w:r>
    </w:p>
    <w:p w14:paraId="0A2B2123" w14:textId="77777777" w:rsidR="00C83DE3" w:rsidRPr="00BF7706" w:rsidRDefault="00C83DE3" w:rsidP="000C68A9">
      <w:pPr>
        <w:keepNext/>
        <w:rPr>
          <w:b/>
          <w:bCs/>
        </w:rPr>
      </w:pPr>
      <w:r w:rsidRPr="00BF7706">
        <w:rPr>
          <w:b/>
          <w:bCs/>
        </w:rPr>
        <w:t xml:space="preserve">Análisis de la Comisión </w:t>
      </w:r>
    </w:p>
    <w:p w14:paraId="33A2ED9E" w14:textId="242C381D" w:rsidR="00C83DE3" w:rsidRDefault="00C83DE3" w:rsidP="00C83DE3">
      <w:pPr>
        <w:rPr>
          <w:b/>
          <w:bCs/>
        </w:rPr>
      </w:pPr>
      <w:r w:rsidRPr="00BF7706">
        <w:rPr>
          <w:b/>
          <w:bCs/>
        </w:rPr>
        <w:t>Sobre la UC especial de compensación</w:t>
      </w:r>
    </w:p>
    <w:p w14:paraId="4F716F53" w14:textId="498879E6" w:rsidR="00C83DE3" w:rsidRPr="00C83DE3" w:rsidRDefault="00C83DE3" w:rsidP="00C83DE3">
      <w:r w:rsidRPr="00C83DE3">
        <w:t>El OR señala lo siguiente:</w:t>
      </w:r>
    </w:p>
    <w:p w14:paraId="594E0DDD" w14:textId="6EFFB9B9" w:rsidR="00383E1F" w:rsidRPr="00383E1F" w:rsidRDefault="00383E1F" w:rsidP="00233041">
      <w:pPr>
        <w:spacing w:before="60" w:after="60"/>
        <w:ind w:left="284"/>
        <w:rPr>
          <w:i/>
          <w:iCs/>
          <w:sz w:val="20"/>
        </w:rPr>
      </w:pPr>
      <w:r w:rsidRPr="00383E1F">
        <w:rPr>
          <w:i/>
          <w:iCs/>
          <w:sz w:val="20"/>
        </w:rPr>
        <w:t xml:space="preserve">En cuanto a este argumento, se presentan las siguientes aclaraciones:  </w:t>
      </w:r>
    </w:p>
    <w:p w14:paraId="4ECF5D47" w14:textId="44ACB896" w:rsidR="00383E1F" w:rsidRPr="00383E1F" w:rsidRDefault="00383E1F" w:rsidP="00233041">
      <w:pPr>
        <w:spacing w:before="60" w:after="60"/>
        <w:ind w:left="284"/>
        <w:rPr>
          <w:i/>
          <w:iCs/>
          <w:sz w:val="20"/>
        </w:rPr>
      </w:pPr>
      <w:r w:rsidRPr="00383E1F">
        <w:rPr>
          <w:i/>
          <w:iCs/>
          <w:sz w:val="20"/>
        </w:rPr>
        <w:t>- Banco de condensadores tipo pedestal 3 MVAr Se aclara que en la documentación entregada como adjunto al radicado CREG E</w:t>
      </w:r>
      <w:r w:rsidR="00B91386">
        <w:rPr>
          <w:i/>
          <w:iCs/>
          <w:sz w:val="20"/>
        </w:rPr>
        <w:noBreakHyphen/>
      </w:r>
      <w:r w:rsidRPr="00383E1F">
        <w:rPr>
          <w:i/>
          <w:iCs/>
          <w:sz w:val="20"/>
        </w:rPr>
        <w:t>2021</w:t>
      </w:r>
      <w:r w:rsidR="00B91386">
        <w:rPr>
          <w:i/>
          <w:iCs/>
          <w:sz w:val="20"/>
        </w:rPr>
        <w:noBreakHyphen/>
      </w:r>
      <w:r w:rsidRPr="00383E1F">
        <w:rPr>
          <w:i/>
          <w:iCs/>
          <w:sz w:val="20"/>
        </w:rPr>
        <w:t xml:space="preserve">002222 de febrero 17 de 2021, se presentaron cotizaciones en las que se incluían tanto la UC aprobada por la Comisión mediante la Resolución CREG 024 de 2021 bajo código N3CR5 como la solicitada para el banco de condensadores de 3 MVAr.  </w:t>
      </w:r>
    </w:p>
    <w:p w14:paraId="683D2342" w14:textId="5BAFEFBB" w:rsidR="00383E1F" w:rsidRPr="00383E1F" w:rsidRDefault="00383E1F" w:rsidP="00233041">
      <w:pPr>
        <w:spacing w:before="60" w:after="60"/>
        <w:ind w:left="284"/>
        <w:rPr>
          <w:i/>
          <w:iCs/>
          <w:sz w:val="20"/>
        </w:rPr>
      </w:pPr>
      <w:r w:rsidRPr="00383E1F">
        <w:rPr>
          <w:i/>
          <w:iCs/>
          <w:sz w:val="20"/>
        </w:rPr>
        <w:t>Como complemento, en el Anexo 5 Soportes adicionales UC especiales se adjuntan los soportes adicionales del proceso de licitación, así como la ficha técnica del equipo.</w:t>
      </w:r>
    </w:p>
    <w:p w14:paraId="6B2CB694" w14:textId="25FFE97F" w:rsidR="00B91386" w:rsidRDefault="00B91386" w:rsidP="00512094">
      <w:r>
        <w:t xml:space="preserve">En el numeral 2.5.4 del documento CREG 017 de 2021, soporte de la Resolución CREG 024 de 2021, se señala lo siguiente: </w:t>
      </w:r>
    </w:p>
    <w:p w14:paraId="576CD850" w14:textId="59D4B9A5" w:rsidR="00B91386" w:rsidRDefault="00B91386" w:rsidP="00233041">
      <w:pPr>
        <w:spacing w:before="60" w:after="60"/>
        <w:ind w:left="284"/>
        <w:rPr>
          <w:i/>
          <w:iCs/>
          <w:sz w:val="20"/>
        </w:rPr>
      </w:pPr>
      <w:r w:rsidRPr="00B91386">
        <w:rPr>
          <w:i/>
          <w:iCs/>
          <w:sz w:val="20"/>
        </w:rPr>
        <w:t xml:space="preserve">El OR solicita UC especiales que </w:t>
      </w:r>
      <w:r w:rsidRPr="00B91386">
        <w:rPr>
          <w:i/>
          <w:iCs/>
          <w:sz w:val="20"/>
          <w:u w:val="single"/>
        </w:rPr>
        <w:t>no cuentan con la información de soporte para su verificación, como:</w:t>
      </w:r>
      <w:r w:rsidRPr="00B91386">
        <w:rPr>
          <w:i/>
          <w:iCs/>
          <w:sz w:val="20"/>
        </w:rPr>
        <w:t xml:space="preserve"> </w:t>
      </w:r>
      <w:r w:rsidRPr="00B91386">
        <w:rPr>
          <w:i/>
          <w:iCs/>
          <w:sz w:val="20"/>
          <w:u w:val="single"/>
        </w:rPr>
        <w:t>banco de condensadores tipo pedestal 3 MVAr</w:t>
      </w:r>
      <w:r w:rsidRPr="00B91386">
        <w:rPr>
          <w:i/>
          <w:iCs/>
          <w:sz w:val="20"/>
        </w:rPr>
        <w:t xml:space="preserve">, edificio prefabricado tipo subterráneo 3,8x2,6x2,7 ventilación vertical y sistema de georeferenciación etapa 1. </w:t>
      </w:r>
    </w:p>
    <w:p w14:paraId="50E2C5C8" w14:textId="0649AF8F" w:rsidR="00B91386" w:rsidRPr="00B91386" w:rsidRDefault="00B91386" w:rsidP="00233041">
      <w:pPr>
        <w:spacing w:before="60" w:after="60"/>
        <w:ind w:left="284"/>
        <w:rPr>
          <w:i/>
          <w:iCs/>
          <w:sz w:val="20"/>
        </w:rPr>
      </w:pPr>
      <w:r>
        <w:rPr>
          <w:i/>
          <w:iCs/>
          <w:sz w:val="20"/>
        </w:rPr>
        <w:t>Subrayado fuera de texto</w:t>
      </w:r>
    </w:p>
    <w:p w14:paraId="06AFE5FC" w14:textId="5A07C783" w:rsidR="00B91386" w:rsidRDefault="00B91386" w:rsidP="00512094">
      <w:r>
        <w:t>Se verificó que en la información aportada a la Comisión en la</w:t>
      </w:r>
      <w:r w:rsidR="000936B5">
        <w:t>s</w:t>
      </w:r>
      <w:r>
        <w:t xml:space="preserve"> comunicaci</w:t>
      </w:r>
      <w:r w:rsidR="000936B5">
        <w:t xml:space="preserve">ones </w:t>
      </w:r>
      <w:r>
        <w:t>con radicado CREG E-2</w:t>
      </w:r>
      <w:r w:rsidR="001B70F6">
        <w:t>0</w:t>
      </w:r>
      <w:r>
        <w:t>21-001467</w:t>
      </w:r>
      <w:r w:rsidR="000936B5">
        <w:t xml:space="preserve"> y </w:t>
      </w:r>
      <w:r w:rsidR="000936B5" w:rsidRPr="00BD681A">
        <w:rPr>
          <w:lang w:val="es-ES_tradnl" w:eastAsia="es-ES_tradnl"/>
        </w:rPr>
        <w:t>E</w:t>
      </w:r>
      <w:r w:rsidR="000936B5">
        <w:rPr>
          <w:lang w:val="es-ES_tradnl" w:eastAsia="es-ES_tradnl"/>
        </w:rPr>
        <w:noBreakHyphen/>
      </w:r>
      <w:r w:rsidR="000936B5" w:rsidRPr="00BD681A">
        <w:rPr>
          <w:lang w:val="es-ES_tradnl" w:eastAsia="es-ES_tradnl"/>
        </w:rPr>
        <w:t>2021</w:t>
      </w:r>
      <w:r w:rsidR="000936B5">
        <w:rPr>
          <w:lang w:val="es-ES_tradnl" w:eastAsia="es-ES_tradnl"/>
        </w:rPr>
        <w:noBreakHyphen/>
      </w:r>
      <w:r w:rsidR="000936B5" w:rsidRPr="00BD681A">
        <w:rPr>
          <w:lang w:val="es-ES_tradnl" w:eastAsia="es-ES_tradnl"/>
        </w:rPr>
        <w:t>002222</w:t>
      </w:r>
      <w:r>
        <w:t>, no se encuentra información relacionad</w:t>
      </w:r>
      <w:r w:rsidR="00BD681A">
        <w:t>a</w:t>
      </w:r>
      <w:r>
        <w:t xml:space="preserve"> con la valoración de </w:t>
      </w:r>
      <w:r w:rsidR="00F74293">
        <w:t xml:space="preserve">un </w:t>
      </w:r>
      <w:r w:rsidR="000936B5">
        <w:t>banco de condensadores de 3</w:t>
      </w:r>
      <w:r w:rsidR="00BF7706">
        <w:t xml:space="preserve"> </w:t>
      </w:r>
      <w:r w:rsidR="000936B5">
        <w:t>MV</w:t>
      </w:r>
      <w:r w:rsidR="00BF7706">
        <w:t>A</w:t>
      </w:r>
      <w:r w:rsidR="001B70F6">
        <w:t>r</w:t>
      </w:r>
      <w:r w:rsidR="00BD681A">
        <w:t>, tal como se indicó en el documento CREG 017 de 2021.</w:t>
      </w:r>
    </w:p>
    <w:p w14:paraId="651678B7" w14:textId="02A7E5F8" w:rsidR="00BD681A" w:rsidRPr="00BD681A" w:rsidRDefault="00BD681A" w:rsidP="00BD681A">
      <w:pPr>
        <w:rPr>
          <w:b/>
          <w:lang w:val="es-ES_tradnl" w:eastAsia="es-ES_tradnl"/>
        </w:rPr>
      </w:pPr>
      <w:bookmarkStart w:id="7" w:name="_Toc40189376"/>
      <w:r>
        <w:rPr>
          <w:lang w:val="es-ES_tradnl" w:eastAsia="es-ES_tradnl"/>
        </w:rPr>
        <w:t xml:space="preserve">En el documento </w:t>
      </w:r>
      <w:r w:rsidRPr="00BD681A">
        <w:rPr>
          <w:i/>
          <w:iCs/>
          <w:lang w:val="es-ES_tradnl" w:eastAsia="es-ES_tradnl"/>
        </w:rPr>
        <w:t>Justificación Técnica Para Inclusión De Bancos de Compensación Reactiva</w:t>
      </w:r>
      <w:r>
        <w:rPr>
          <w:lang w:val="es-ES_tradnl" w:eastAsia="es-ES_tradnl"/>
        </w:rPr>
        <w:t xml:space="preserve"> aportado en la comunicación con radicado </w:t>
      </w:r>
      <w:r w:rsidRPr="00BD681A">
        <w:rPr>
          <w:lang w:val="es-ES_tradnl" w:eastAsia="es-ES_tradnl"/>
        </w:rPr>
        <w:t>CREG E</w:t>
      </w:r>
      <w:r>
        <w:rPr>
          <w:lang w:val="es-ES_tradnl" w:eastAsia="es-ES_tradnl"/>
        </w:rPr>
        <w:noBreakHyphen/>
      </w:r>
      <w:r w:rsidRPr="00BD681A">
        <w:rPr>
          <w:lang w:val="es-ES_tradnl" w:eastAsia="es-ES_tradnl"/>
        </w:rPr>
        <w:t>2021</w:t>
      </w:r>
      <w:r>
        <w:rPr>
          <w:lang w:val="es-ES_tradnl" w:eastAsia="es-ES_tradnl"/>
        </w:rPr>
        <w:noBreakHyphen/>
      </w:r>
      <w:r w:rsidRPr="00BD681A">
        <w:rPr>
          <w:lang w:val="es-ES_tradnl" w:eastAsia="es-ES_tradnl"/>
        </w:rPr>
        <w:t>002222</w:t>
      </w:r>
      <w:r w:rsidR="000936B5">
        <w:rPr>
          <w:lang w:val="es-ES_tradnl" w:eastAsia="es-ES_tradnl"/>
        </w:rPr>
        <w:t xml:space="preserve">, el OR solicita lo siguiente: </w:t>
      </w:r>
    </w:p>
    <w:bookmarkEnd w:id="7"/>
    <w:p w14:paraId="1306DA80" w14:textId="77777777" w:rsidR="00B91386" w:rsidRPr="000936B5" w:rsidRDefault="00B91386" w:rsidP="00233041">
      <w:pPr>
        <w:spacing w:before="60" w:after="60"/>
        <w:ind w:left="284"/>
        <w:rPr>
          <w:i/>
          <w:iCs/>
          <w:sz w:val="20"/>
          <w:szCs w:val="20"/>
        </w:rPr>
      </w:pPr>
      <w:r w:rsidRPr="000936B5">
        <w:rPr>
          <w:i/>
          <w:iCs/>
          <w:sz w:val="20"/>
          <w:szCs w:val="20"/>
        </w:rPr>
        <w:t>En la siguiente tabla se muestran las unidades constructivas en nivel dos, requeridas dentro del grupo de proyectos de compensaciones capacitivas:</w:t>
      </w:r>
    </w:p>
    <w:p w14:paraId="08F91601" w14:textId="77777777" w:rsidR="00B91386" w:rsidRPr="000936B5" w:rsidRDefault="00B91386" w:rsidP="00736B70">
      <w:pPr>
        <w:spacing w:before="60" w:after="60"/>
        <w:ind w:left="567"/>
        <w:jc w:val="center"/>
        <w:rPr>
          <w:i/>
          <w:iCs/>
          <w:sz w:val="20"/>
          <w:szCs w:val="20"/>
        </w:rPr>
      </w:pPr>
      <w:r w:rsidRPr="000936B5">
        <w:rPr>
          <w:i/>
          <w:iCs/>
          <w:sz w:val="20"/>
          <w:szCs w:val="20"/>
        </w:rPr>
        <w:t>Tabla 1 Unidades Constructivas Especiales Banco de Condensadores Nivel II</w:t>
      </w:r>
    </w:p>
    <w:tbl>
      <w:tblPr>
        <w:tblW w:w="455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1"/>
        <w:gridCol w:w="4105"/>
        <w:gridCol w:w="908"/>
        <w:gridCol w:w="1231"/>
        <w:gridCol w:w="1015"/>
      </w:tblGrid>
      <w:tr w:rsidR="000936B5" w:rsidRPr="000936B5" w14:paraId="00735FD6" w14:textId="77777777" w:rsidTr="00D04EC2">
        <w:trPr>
          <w:trHeight w:val="525"/>
          <w:tblHeader/>
          <w:jc w:val="right"/>
        </w:trPr>
        <w:tc>
          <w:tcPr>
            <w:tcW w:w="747" w:type="pct"/>
            <w:shd w:val="clear" w:color="auto" w:fill="auto"/>
            <w:vAlign w:val="center"/>
            <w:hideMark/>
          </w:tcPr>
          <w:p w14:paraId="56CDCC00" w14:textId="77777777" w:rsidR="00B91386" w:rsidRPr="000936B5" w:rsidRDefault="00B91386" w:rsidP="000936B5">
            <w:pPr>
              <w:spacing w:before="60" w:after="60"/>
              <w:jc w:val="center"/>
              <w:rPr>
                <w:rFonts w:cs="Arial"/>
                <w:b/>
                <w:bCs/>
                <w:i/>
                <w:iCs/>
                <w:sz w:val="14"/>
                <w:szCs w:val="14"/>
                <w:lang w:eastAsia="es-CO"/>
              </w:rPr>
            </w:pPr>
            <w:r w:rsidRPr="000936B5">
              <w:rPr>
                <w:rFonts w:cs="Arial"/>
                <w:b/>
                <w:bCs/>
                <w:i/>
                <w:iCs/>
                <w:sz w:val="14"/>
                <w:szCs w:val="14"/>
              </w:rPr>
              <w:t>UC</w:t>
            </w:r>
          </w:p>
        </w:tc>
        <w:tc>
          <w:tcPr>
            <w:tcW w:w="2365" w:type="pct"/>
            <w:shd w:val="clear" w:color="auto" w:fill="auto"/>
            <w:vAlign w:val="center"/>
            <w:hideMark/>
          </w:tcPr>
          <w:p w14:paraId="3017F936" w14:textId="77777777" w:rsidR="00B91386" w:rsidRPr="000936B5" w:rsidRDefault="00B91386" w:rsidP="000936B5">
            <w:pPr>
              <w:spacing w:before="60" w:after="60"/>
              <w:jc w:val="center"/>
              <w:rPr>
                <w:rFonts w:cs="Arial"/>
                <w:b/>
                <w:bCs/>
                <w:i/>
                <w:iCs/>
                <w:sz w:val="14"/>
                <w:szCs w:val="14"/>
                <w:lang w:eastAsia="es-CO"/>
              </w:rPr>
            </w:pPr>
            <w:r w:rsidRPr="000936B5">
              <w:rPr>
                <w:rFonts w:cs="Arial"/>
                <w:b/>
                <w:bCs/>
                <w:i/>
                <w:iCs/>
                <w:sz w:val="14"/>
                <w:szCs w:val="14"/>
              </w:rPr>
              <w:t>DESCRIPCIÓN</w:t>
            </w:r>
          </w:p>
        </w:tc>
        <w:tc>
          <w:tcPr>
            <w:tcW w:w="541" w:type="pct"/>
            <w:shd w:val="clear" w:color="auto" w:fill="auto"/>
            <w:vAlign w:val="center"/>
            <w:hideMark/>
          </w:tcPr>
          <w:p w14:paraId="22C064F6" w14:textId="77777777" w:rsidR="00B91386" w:rsidRPr="000936B5" w:rsidRDefault="00B91386" w:rsidP="000936B5">
            <w:pPr>
              <w:spacing w:before="60" w:after="60"/>
              <w:jc w:val="center"/>
              <w:rPr>
                <w:rFonts w:cs="Arial"/>
                <w:b/>
                <w:bCs/>
                <w:i/>
                <w:iCs/>
                <w:sz w:val="14"/>
                <w:szCs w:val="14"/>
                <w:lang w:eastAsia="es-CO"/>
              </w:rPr>
            </w:pPr>
            <w:r w:rsidRPr="000936B5">
              <w:rPr>
                <w:rFonts w:cs="Arial"/>
                <w:b/>
                <w:bCs/>
                <w:i/>
                <w:iCs/>
                <w:sz w:val="14"/>
                <w:szCs w:val="14"/>
              </w:rPr>
              <w:t>CANTIDAD</w:t>
            </w:r>
          </w:p>
        </w:tc>
        <w:tc>
          <w:tcPr>
            <w:tcW w:w="739" w:type="pct"/>
            <w:shd w:val="clear" w:color="auto" w:fill="auto"/>
            <w:vAlign w:val="center"/>
            <w:hideMark/>
          </w:tcPr>
          <w:p w14:paraId="49EDEAC3" w14:textId="77777777" w:rsidR="00B91386" w:rsidRPr="000936B5" w:rsidRDefault="00B91386" w:rsidP="000936B5">
            <w:pPr>
              <w:spacing w:before="60" w:after="60"/>
              <w:jc w:val="center"/>
              <w:rPr>
                <w:rFonts w:cs="Arial"/>
                <w:b/>
                <w:bCs/>
                <w:i/>
                <w:iCs/>
                <w:sz w:val="14"/>
                <w:szCs w:val="14"/>
                <w:lang w:eastAsia="es-CO"/>
              </w:rPr>
            </w:pPr>
            <w:r w:rsidRPr="000936B5">
              <w:rPr>
                <w:rFonts w:cs="Arial"/>
                <w:b/>
                <w:bCs/>
                <w:i/>
                <w:iCs/>
                <w:sz w:val="14"/>
                <w:szCs w:val="14"/>
              </w:rPr>
              <w:t>SUBESTACIÓN</w:t>
            </w:r>
          </w:p>
        </w:tc>
        <w:tc>
          <w:tcPr>
            <w:tcW w:w="608" w:type="pct"/>
            <w:shd w:val="clear" w:color="auto" w:fill="auto"/>
            <w:vAlign w:val="center"/>
            <w:hideMark/>
          </w:tcPr>
          <w:p w14:paraId="475419EC" w14:textId="77777777" w:rsidR="00B91386" w:rsidRPr="000936B5" w:rsidRDefault="00B91386" w:rsidP="000936B5">
            <w:pPr>
              <w:spacing w:before="60" w:after="60"/>
              <w:jc w:val="center"/>
              <w:rPr>
                <w:rFonts w:cs="Arial"/>
                <w:b/>
                <w:bCs/>
                <w:i/>
                <w:iCs/>
                <w:sz w:val="14"/>
                <w:szCs w:val="14"/>
                <w:lang w:eastAsia="es-CO"/>
              </w:rPr>
            </w:pPr>
            <w:r w:rsidRPr="000936B5">
              <w:rPr>
                <w:rFonts w:cs="Arial"/>
                <w:b/>
                <w:bCs/>
                <w:i/>
                <w:iCs/>
                <w:sz w:val="14"/>
                <w:szCs w:val="14"/>
              </w:rPr>
              <w:t>VALOR UNITARIO</w:t>
            </w:r>
          </w:p>
        </w:tc>
      </w:tr>
      <w:tr w:rsidR="000936B5" w:rsidRPr="000936B5" w14:paraId="5A1CC952" w14:textId="77777777" w:rsidTr="00D04EC2">
        <w:trPr>
          <w:trHeight w:val="300"/>
          <w:jc w:val="right"/>
        </w:trPr>
        <w:tc>
          <w:tcPr>
            <w:tcW w:w="747" w:type="pct"/>
            <w:shd w:val="clear" w:color="auto" w:fill="auto"/>
            <w:noWrap/>
            <w:vAlign w:val="center"/>
            <w:hideMark/>
          </w:tcPr>
          <w:p w14:paraId="653033D6"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N2EQ4E</w:t>
            </w:r>
          </w:p>
        </w:tc>
        <w:tc>
          <w:tcPr>
            <w:tcW w:w="2365" w:type="pct"/>
            <w:shd w:val="clear" w:color="auto" w:fill="auto"/>
            <w:noWrap/>
            <w:vAlign w:val="center"/>
            <w:hideMark/>
          </w:tcPr>
          <w:p w14:paraId="05418133" w14:textId="77777777" w:rsidR="00B91386" w:rsidRPr="000936B5" w:rsidRDefault="00B91386" w:rsidP="00D04EC2">
            <w:pPr>
              <w:spacing w:before="60" w:after="60"/>
              <w:jc w:val="left"/>
              <w:rPr>
                <w:rFonts w:cs="Arial"/>
                <w:i/>
                <w:iCs/>
                <w:sz w:val="14"/>
                <w:szCs w:val="14"/>
                <w:lang w:eastAsia="es-CO"/>
              </w:rPr>
            </w:pPr>
            <w:r w:rsidRPr="000936B5">
              <w:rPr>
                <w:rFonts w:cs="Arial"/>
                <w:i/>
                <w:iCs/>
                <w:sz w:val="14"/>
                <w:szCs w:val="14"/>
              </w:rPr>
              <w:t>BANCO DE CONDENSADORES TIPO PEDESTAL 4,8 MVAR </w:t>
            </w:r>
          </w:p>
        </w:tc>
        <w:tc>
          <w:tcPr>
            <w:tcW w:w="541" w:type="pct"/>
            <w:shd w:val="clear" w:color="auto" w:fill="auto"/>
            <w:noWrap/>
            <w:vAlign w:val="center"/>
            <w:hideMark/>
          </w:tcPr>
          <w:p w14:paraId="3D06220C"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1</w:t>
            </w:r>
          </w:p>
        </w:tc>
        <w:tc>
          <w:tcPr>
            <w:tcW w:w="739" w:type="pct"/>
            <w:shd w:val="clear" w:color="auto" w:fill="auto"/>
            <w:noWrap/>
            <w:vAlign w:val="center"/>
            <w:hideMark/>
          </w:tcPr>
          <w:p w14:paraId="2F54F9C2" w14:textId="77777777" w:rsidR="00B91386" w:rsidRPr="000936B5" w:rsidRDefault="00B91386" w:rsidP="00D04EC2">
            <w:pPr>
              <w:spacing w:before="60" w:after="60"/>
              <w:jc w:val="right"/>
              <w:rPr>
                <w:rFonts w:cs="Arial"/>
                <w:i/>
                <w:iCs/>
                <w:sz w:val="14"/>
                <w:szCs w:val="14"/>
                <w:lang w:eastAsia="es-CO"/>
              </w:rPr>
            </w:pPr>
            <w:r w:rsidRPr="000936B5">
              <w:rPr>
                <w:rFonts w:cs="Arial"/>
                <w:i/>
                <w:iCs/>
                <w:sz w:val="14"/>
                <w:szCs w:val="14"/>
              </w:rPr>
              <w:t>SILENCIO</w:t>
            </w:r>
          </w:p>
        </w:tc>
        <w:tc>
          <w:tcPr>
            <w:tcW w:w="608" w:type="pct"/>
            <w:shd w:val="clear" w:color="auto" w:fill="auto"/>
            <w:noWrap/>
            <w:vAlign w:val="center"/>
            <w:hideMark/>
          </w:tcPr>
          <w:p w14:paraId="69FE4152"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 xml:space="preserve">576.000.000  </w:t>
            </w:r>
          </w:p>
        </w:tc>
      </w:tr>
      <w:tr w:rsidR="000936B5" w:rsidRPr="000936B5" w14:paraId="7A30B9E2" w14:textId="77777777" w:rsidTr="00D04EC2">
        <w:trPr>
          <w:trHeight w:val="300"/>
          <w:jc w:val="right"/>
        </w:trPr>
        <w:tc>
          <w:tcPr>
            <w:tcW w:w="747" w:type="pct"/>
            <w:shd w:val="clear" w:color="auto" w:fill="auto"/>
            <w:noWrap/>
            <w:vAlign w:val="center"/>
            <w:hideMark/>
          </w:tcPr>
          <w:p w14:paraId="1D642329"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N2EQ3E</w:t>
            </w:r>
          </w:p>
        </w:tc>
        <w:tc>
          <w:tcPr>
            <w:tcW w:w="2365" w:type="pct"/>
            <w:shd w:val="clear" w:color="auto" w:fill="auto"/>
            <w:noWrap/>
            <w:vAlign w:val="center"/>
            <w:hideMark/>
          </w:tcPr>
          <w:p w14:paraId="25A5A39A" w14:textId="77777777" w:rsidR="00B91386" w:rsidRPr="000936B5" w:rsidRDefault="00B91386" w:rsidP="00D04EC2">
            <w:pPr>
              <w:spacing w:before="60" w:after="60"/>
              <w:jc w:val="left"/>
              <w:rPr>
                <w:rFonts w:cs="Arial"/>
                <w:i/>
                <w:iCs/>
                <w:sz w:val="14"/>
                <w:szCs w:val="14"/>
                <w:lang w:eastAsia="es-CO"/>
              </w:rPr>
            </w:pPr>
            <w:r w:rsidRPr="000936B5">
              <w:rPr>
                <w:rFonts w:cs="Arial"/>
                <w:i/>
                <w:iCs/>
                <w:sz w:val="14"/>
                <w:szCs w:val="14"/>
              </w:rPr>
              <w:t>BANCO DE CONDENSADORES TIPO PEDESTAL 3 MVAR</w:t>
            </w:r>
          </w:p>
        </w:tc>
        <w:tc>
          <w:tcPr>
            <w:tcW w:w="541" w:type="pct"/>
            <w:shd w:val="clear" w:color="auto" w:fill="auto"/>
            <w:noWrap/>
            <w:vAlign w:val="center"/>
            <w:hideMark/>
          </w:tcPr>
          <w:p w14:paraId="5E821E44"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1</w:t>
            </w:r>
          </w:p>
        </w:tc>
        <w:tc>
          <w:tcPr>
            <w:tcW w:w="739" w:type="pct"/>
            <w:shd w:val="clear" w:color="auto" w:fill="auto"/>
            <w:noWrap/>
            <w:vAlign w:val="center"/>
            <w:hideMark/>
          </w:tcPr>
          <w:p w14:paraId="40CFEFF1" w14:textId="77777777" w:rsidR="00B91386" w:rsidRPr="000936B5" w:rsidRDefault="00B91386" w:rsidP="00D04EC2">
            <w:pPr>
              <w:spacing w:before="60" w:after="60"/>
              <w:jc w:val="right"/>
              <w:rPr>
                <w:rFonts w:cs="Arial"/>
                <w:i/>
                <w:iCs/>
                <w:sz w:val="14"/>
                <w:szCs w:val="14"/>
                <w:lang w:eastAsia="es-CO"/>
              </w:rPr>
            </w:pPr>
            <w:r w:rsidRPr="000936B5">
              <w:rPr>
                <w:rFonts w:cs="Arial"/>
                <w:i/>
                <w:iCs/>
                <w:sz w:val="14"/>
                <w:szCs w:val="14"/>
              </w:rPr>
              <w:t>UNIÓN</w:t>
            </w:r>
          </w:p>
        </w:tc>
        <w:tc>
          <w:tcPr>
            <w:tcW w:w="608" w:type="pct"/>
            <w:shd w:val="clear" w:color="auto" w:fill="auto"/>
            <w:noWrap/>
            <w:vAlign w:val="center"/>
            <w:hideMark/>
          </w:tcPr>
          <w:p w14:paraId="0434D735" w14:textId="77777777" w:rsidR="00B91386" w:rsidRPr="000936B5" w:rsidRDefault="00B91386" w:rsidP="000936B5">
            <w:pPr>
              <w:spacing w:before="60" w:after="60"/>
              <w:jc w:val="center"/>
              <w:rPr>
                <w:rFonts w:cs="Arial"/>
                <w:i/>
                <w:iCs/>
                <w:sz w:val="14"/>
                <w:szCs w:val="14"/>
                <w:lang w:eastAsia="es-CO"/>
              </w:rPr>
            </w:pPr>
            <w:r w:rsidRPr="000936B5">
              <w:rPr>
                <w:rFonts w:cs="Arial"/>
                <w:i/>
                <w:iCs/>
                <w:sz w:val="14"/>
                <w:szCs w:val="14"/>
              </w:rPr>
              <w:t>662.400.000</w:t>
            </w:r>
          </w:p>
        </w:tc>
      </w:tr>
    </w:tbl>
    <w:p w14:paraId="1FB60952" w14:textId="59717101" w:rsidR="00B91386" w:rsidRDefault="000936B5" w:rsidP="00512094">
      <w:r>
        <w:t>Las cotizaciones presentadas en dicho documento corresponden al banco de condensadores de 4.8 MVA</w:t>
      </w:r>
      <w:r w:rsidR="001B70F6">
        <w:t>R</w:t>
      </w:r>
      <w:r>
        <w:t>, correspondiente a la subestación Silencio.</w:t>
      </w:r>
    </w:p>
    <w:p w14:paraId="6AF646AD" w14:textId="54C18C6E" w:rsidR="000936B5" w:rsidRDefault="000936B5" w:rsidP="00512094">
      <w:r>
        <w:t xml:space="preserve">En el recurso de reposición el OR suministra la siguiente información en la carpeta </w:t>
      </w:r>
      <w:r w:rsidRPr="00F74293">
        <w:rPr>
          <w:i/>
          <w:iCs/>
        </w:rPr>
        <w:t>Compensación subestación la Unión 13.8 kV</w:t>
      </w:r>
      <w:r>
        <w:t xml:space="preserve"> </w:t>
      </w:r>
    </w:p>
    <w:p w14:paraId="2EAF3282" w14:textId="5B98E065" w:rsidR="000936B5" w:rsidRDefault="000936B5" w:rsidP="00736B70">
      <w:pPr>
        <w:pStyle w:val="Prrafodelista"/>
        <w:numPr>
          <w:ilvl w:val="0"/>
          <w:numId w:val="30"/>
        </w:numPr>
        <w:spacing w:before="120" w:after="120"/>
        <w:ind w:left="357" w:hanging="357"/>
      </w:pPr>
      <w:r>
        <w:t xml:space="preserve">Documento </w:t>
      </w:r>
      <w:r w:rsidRPr="000936B5">
        <w:rPr>
          <w:i/>
          <w:iCs/>
        </w:rPr>
        <w:t>Convocatoria para seleccionar el Contratista para el diseño, adquisición de los suministros, construcción, pruebas y puesta en operación de los proyectos de Alta Tensión Compensaciones Capacitivas</w:t>
      </w:r>
      <w:r>
        <w:t>, proyecto para las subestaciones Boston Corozal y Silencio.</w:t>
      </w:r>
    </w:p>
    <w:p w14:paraId="2FBF154C" w14:textId="4B349C7F" w:rsidR="00F74293" w:rsidRPr="00F74293" w:rsidRDefault="009938CA" w:rsidP="001D4D71">
      <w:pPr>
        <w:pStyle w:val="Prrafodelista"/>
        <w:numPr>
          <w:ilvl w:val="0"/>
          <w:numId w:val="0"/>
        </w:numPr>
        <w:spacing w:before="120" w:after="120"/>
        <w:ind w:left="357"/>
        <w:rPr>
          <w:i/>
          <w:iCs/>
          <w:sz w:val="20"/>
          <w:szCs w:val="16"/>
        </w:rPr>
      </w:pPr>
      <w:r>
        <w:t xml:space="preserve">Documento </w:t>
      </w:r>
      <w:r w:rsidR="000936B5" w:rsidRPr="00F74293">
        <w:rPr>
          <w:i/>
          <w:iCs/>
        </w:rPr>
        <w:t xml:space="preserve">Ficha técnica </w:t>
      </w:r>
      <w:r w:rsidR="000936B5" w:rsidRPr="00F74293">
        <w:rPr>
          <w:i/>
          <w:iCs/>
          <w:u w:val="single"/>
        </w:rPr>
        <w:t xml:space="preserve">compensación </w:t>
      </w:r>
      <w:r w:rsidRPr="00F74293">
        <w:rPr>
          <w:i/>
          <w:iCs/>
          <w:u w:val="single"/>
        </w:rPr>
        <w:t>SE Unión 13.8 kV de 9 MVAr</w:t>
      </w:r>
      <w:r w:rsidRPr="00F74293">
        <w:rPr>
          <w:i/>
          <w:iCs/>
        </w:rPr>
        <w:t xml:space="preserve"> – V2</w:t>
      </w:r>
      <w:r>
        <w:t xml:space="preserve">, </w:t>
      </w:r>
      <w:r w:rsidR="001D5FA1">
        <w:t xml:space="preserve">corresponde a un </w:t>
      </w:r>
      <w:r>
        <w:t xml:space="preserve">documento de Electricaribe en el cual se identifica que el alcance es </w:t>
      </w:r>
      <w:r w:rsidRPr="00F74293">
        <w:rPr>
          <w:i/>
          <w:iCs/>
          <w:u w:val="single"/>
        </w:rPr>
        <w:t>Instalación de tres bancos de capacitores de 3 MVAr</w:t>
      </w:r>
      <w:r w:rsidRPr="00F74293">
        <w:rPr>
          <w:i/>
          <w:iCs/>
        </w:rPr>
        <w:t>, uno en cada barra a nivel de 13.8 kV de la S/E unión</w:t>
      </w:r>
      <w:r>
        <w:t xml:space="preserve">.  </w:t>
      </w:r>
      <w:r w:rsidR="00F74293" w:rsidRPr="00F74293">
        <w:rPr>
          <w:i/>
          <w:iCs/>
          <w:sz w:val="20"/>
          <w:szCs w:val="16"/>
        </w:rPr>
        <w:t>Subrayado fuera de texto</w:t>
      </w:r>
    </w:p>
    <w:p w14:paraId="61332F85" w14:textId="76C1061F" w:rsidR="009938CA" w:rsidRDefault="009938CA" w:rsidP="00736B70">
      <w:pPr>
        <w:pStyle w:val="Prrafodelista"/>
        <w:numPr>
          <w:ilvl w:val="0"/>
          <w:numId w:val="30"/>
        </w:numPr>
        <w:spacing w:before="120" w:after="120"/>
        <w:ind w:left="357" w:hanging="357"/>
      </w:pPr>
      <w:r>
        <w:t xml:space="preserve">Documento y archivo Excel </w:t>
      </w:r>
      <w:r w:rsidRPr="009938CA">
        <w:rPr>
          <w:i/>
          <w:iCs/>
        </w:rPr>
        <w:t>FFPP llave en ManoCompensación SE Unión V 0.1</w:t>
      </w:r>
      <w:r w:rsidR="008B7358">
        <w:t xml:space="preserve">, en este documento se presenta un “formulario de precios” para el </w:t>
      </w:r>
      <w:r w:rsidR="008B7358" w:rsidRPr="008B7358">
        <w:rPr>
          <w:i/>
          <w:iCs/>
        </w:rPr>
        <w:t xml:space="preserve">Proyecto compensación capacitiva se la </w:t>
      </w:r>
      <w:r w:rsidR="008B7358">
        <w:rPr>
          <w:i/>
          <w:iCs/>
        </w:rPr>
        <w:t>U</w:t>
      </w:r>
      <w:r w:rsidR="008B7358" w:rsidRPr="008B7358">
        <w:rPr>
          <w:i/>
          <w:iCs/>
        </w:rPr>
        <w:t>ni</w:t>
      </w:r>
      <w:r w:rsidR="008B7358">
        <w:rPr>
          <w:i/>
          <w:iCs/>
        </w:rPr>
        <w:t>ó</w:t>
      </w:r>
      <w:r w:rsidR="008B7358" w:rsidRPr="008B7358">
        <w:rPr>
          <w:i/>
          <w:iCs/>
        </w:rPr>
        <w:t>n 13,8 kv</w:t>
      </w:r>
      <w:r w:rsidR="00C5546F">
        <w:t>.</w:t>
      </w:r>
    </w:p>
    <w:p w14:paraId="16846FF8" w14:textId="556FF5CD" w:rsidR="008B7358" w:rsidRDefault="00F74293" w:rsidP="008B7358">
      <w:pPr>
        <w:ind w:left="426"/>
      </w:pPr>
      <w:r>
        <w:t>P</w:t>
      </w:r>
      <w:r w:rsidR="008B7358">
        <w:t>ara el item 3</w:t>
      </w:r>
      <w:r>
        <w:t xml:space="preserve"> correspondiente a una c</w:t>
      </w:r>
      <w:r w:rsidR="008B7358">
        <w:t>ompensación</w:t>
      </w:r>
      <w:r w:rsidR="001B70F6">
        <w:t xml:space="preserve"> 3 MVAr</w:t>
      </w:r>
      <w:r w:rsidR="008B7358">
        <w:t>, se relacionan 3 unidades de compensación de 3 MVAr con un valor total de 109.915.000 pesos, los cuales incluyen diseño, suministro, equipos, materiales, transporte, montaje y obras civiles, pruebas y puesta en servicio</w:t>
      </w:r>
      <w:r w:rsidR="001B70F6">
        <w:t xml:space="preserve">. Este valor </w:t>
      </w:r>
      <w:r w:rsidR="004F339F">
        <w:t>no incluye AIU</w:t>
      </w:r>
      <w:r w:rsidR="008B7358">
        <w:t xml:space="preserve">. </w:t>
      </w:r>
    </w:p>
    <w:p w14:paraId="45E016FF" w14:textId="35EEA53F" w:rsidR="004F339F" w:rsidRDefault="004F339F" w:rsidP="00C5546F">
      <w:r>
        <w:t>Al comparar el valor de los documentos de soporte aportados en el recurso de reposición, por 109,9 millones de pesos por tres unidades de compensación de 3 MVAr, con los solicitados por el OR para la UC N2EQ3E, B</w:t>
      </w:r>
      <w:r w:rsidRPr="004F339F">
        <w:t xml:space="preserve">anco de condensadores tipo pedestal 3 </w:t>
      </w:r>
      <w:r>
        <w:t>MVA</w:t>
      </w:r>
      <w:r w:rsidRPr="004F339F">
        <w:t>r</w:t>
      </w:r>
      <w:r>
        <w:t xml:space="preserve">, por 662.4 millones de pesos, no se encuentra proporcionalidad entre lo solicitado y lo justificado. </w:t>
      </w:r>
    </w:p>
    <w:p w14:paraId="53012EAC" w14:textId="118A288D" w:rsidR="001B3984" w:rsidRDefault="004F339F" w:rsidP="00512094">
      <w:r>
        <w:t>Con base en l</w:t>
      </w:r>
      <w:r w:rsidR="00274A6F">
        <w:t>a información suministrada por el OR en el recurso de reposición</w:t>
      </w:r>
      <w:r w:rsidR="00233041">
        <w:t>,</w:t>
      </w:r>
      <w:r w:rsidR="00274A6F">
        <w:t xml:space="preserve"> </w:t>
      </w:r>
      <w:r>
        <w:t xml:space="preserve">se entiende que </w:t>
      </w:r>
      <w:r w:rsidR="00274A6F">
        <w:t xml:space="preserve">para la subestación la Unión se requiere un banco </w:t>
      </w:r>
      <w:r w:rsidR="001B70F6">
        <w:t xml:space="preserve">de </w:t>
      </w:r>
      <w:r w:rsidR="00274A6F" w:rsidRPr="00274A6F">
        <w:t xml:space="preserve">capacitores </w:t>
      </w:r>
      <w:r w:rsidR="00274A6F">
        <w:t>con una capacidad total de 9</w:t>
      </w:r>
      <w:r w:rsidR="00274A6F" w:rsidRPr="00274A6F">
        <w:t xml:space="preserve"> MVAr</w:t>
      </w:r>
      <w:r w:rsidR="00274A6F">
        <w:t xml:space="preserve">, compuesto por un banco de 3 MVAr por cada barra de 13,8 kV de la subestación. </w:t>
      </w:r>
    </w:p>
    <w:p w14:paraId="0C112B59" w14:textId="18473813" w:rsidR="001B3984" w:rsidRDefault="00F74293" w:rsidP="00512094">
      <w:r>
        <w:t>E</w:t>
      </w:r>
      <w:r w:rsidR="00274A6F">
        <w:t>l OR no present</w:t>
      </w:r>
      <w:r>
        <w:t>ó</w:t>
      </w:r>
      <w:r w:rsidR="00274A6F">
        <w:t xml:space="preserve"> cotizaciones </w:t>
      </w:r>
      <w:r>
        <w:t>para una compensación de 3 MVAr</w:t>
      </w:r>
      <w:r w:rsidR="00233041">
        <w:t>,</w:t>
      </w:r>
      <w:r>
        <w:t xml:space="preserve"> </w:t>
      </w:r>
      <w:r w:rsidR="00274A6F">
        <w:t xml:space="preserve">sino un resumen de los valores del proyecto </w:t>
      </w:r>
      <w:r>
        <w:t xml:space="preserve">que suman </w:t>
      </w:r>
      <w:r w:rsidR="00274A6F" w:rsidRPr="00274A6F">
        <w:t>127.501.980</w:t>
      </w:r>
      <w:r>
        <w:t>,</w:t>
      </w:r>
      <w:r w:rsidR="00274A6F">
        <w:t xml:space="preserve"> incluyendo el componente AIU</w:t>
      </w:r>
      <w:r>
        <w:t xml:space="preserve">. </w:t>
      </w:r>
      <w:r w:rsidR="00A01374">
        <w:t xml:space="preserve">Adicionalmente, el valor solicitado para la compensación de 3 MVAr es </w:t>
      </w:r>
      <w:r>
        <w:t xml:space="preserve">mayor que el solicitado para la </w:t>
      </w:r>
      <w:r w:rsidR="001B3984">
        <w:t>compensación de 4.9 MVAr</w:t>
      </w:r>
      <w:r w:rsidR="007B47D3">
        <w:t>, lo cual no guarda consistencia con el comportamiento de los precios de estos equipos</w:t>
      </w:r>
      <w:r w:rsidR="00233041">
        <w:t>,</w:t>
      </w:r>
      <w:r w:rsidR="007B47D3">
        <w:t xml:space="preserve"> y tampoco presenta justificación alguna que permita revisar las diferencias</w:t>
      </w:r>
      <w:r w:rsidR="001B3984">
        <w:t>.</w:t>
      </w:r>
    </w:p>
    <w:p w14:paraId="5F48BD91" w14:textId="7F3EE8B8" w:rsidR="001B3984" w:rsidRDefault="001B70F6" w:rsidP="00512094">
      <w:r>
        <w:t>E</w:t>
      </w:r>
      <w:r w:rsidR="00274A6F">
        <w:t>n la información suministrada durante la actuación administrativa</w:t>
      </w:r>
      <w:r w:rsidR="00233041">
        <w:t>,</w:t>
      </w:r>
      <w:r w:rsidR="00274A6F">
        <w:t xml:space="preserve"> el OR entregó </w:t>
      </w:r>
      <w:r w:rsidR="001B3984">
        <w:t>dos cotizaciones para el s</w:t>
      </w:r>
      <w:r w:rsidR="001B3984" w:rsidRPr="001B3984">
        <w:t xml:space="preserve">uministro de un </w:t>
      </w:r>
      <w:r w:rsidR="001B3984">
        <w:t>b</w:t>
      </w:r>
      <w:r w:rsidR="001B3984" w:rsidRPr="001B3984">
        <w:t xml:space="preserve">anco de </w:t>
      </w:r>
      <w:r w:rsidR="001B3984">
        <w:t>c</w:t>
      </w:r>
      <w:r w:rsidR="001B3984" w:rsidRPr="001B3984">
        <w:t>apacitores de 9 MVA</w:t>
      </w:r>
      <w:r w:rsidR="001B3984">
        <w:t>r</w:t>
      </w:r>
      <w:r w:rsidR="001B3984" w:rsidRPr="001B3984">
        <w:t>, para operar a una tensión de 13.8 kV, 60 Hz, 3 fases</w:t>
      </w:r>
      <w:r w:rsidR="001B3984">
        <w:t xml:space="preserve">, con base en la información de dichas cotizaciones se obtiene un valor promedio de 110.555 USD, que corresponden a </w:t>
      </w:r>
      <w:r w:rsidR="001B3984" w:rsidRPr="001B3984">
        <w:t>413.473.830</w:t>
      </w:r>
      <w:r w:rsidR="001B3984">
        <w:t xml:space="preserve"> pesos, con tasa de julio de 2020.</w:t>
      </w:r>
    </w:p>
    <w:p w14:paraId="3CF14F15" w14:textId="5FA30920" w:rsidR="001B3984" w:rsidRDefault="001B3984" w:rsidP="001B3984">
      <w:r>
        <w:t>En el numeral 2.5.4 del documento CREG 017 de 2021, soporte de la Resolución CREG 024 de 2021, se señal</w:t>
      </w:r>
      <w:r w:rsidR="00BF7706">
        <w:t>ó</w:t>
      </w:r>
      <w:r>
        <w:t xml:space="preserve"> lo siguiente: </w:t>
      </w:r>
    </w:p>
    <w:p w14:paraId="564224C9" w14:textId="2FB32F96" w:rsidR="00274A6F" w:rsidRPr="001B3984" w:rsidRDefault="001B3984" w:rsidP="007E3F9C">
      <w:pPr>
        <w:spacing w:before="60" w:after="60"/>
        <w:ind w:left="284"/>
        <w:rPr>
          <w:i/>
          <w:iCs/>
          <w:sz w:val="20"/>
          <w:szCs w:val="20"/>
        </w:rPr>
      </w:pPr>
      <w:r w:rsidRPr="001B3984">
        <w:rPr>
          <w:i/>
          <w:iCs/>
          <w:sz w:val="20"/>
          <w:szCs w:val="20"/>
        </w:rPr>
        <w:t xml:space="preserve">En la UC de banco de condensadores tipo pedestal 4.8 MVAr se utiliza como referencia el costo DDP de las cotizaciones suministradas por el OR y se aplican los costos de instalación de la UC de transformador trifásico (OLTC) lado de alta en el nivel 3 capacidad final de 6.1 a 10 MVA. </w:t>
      </w:r>
    </w:p>
    <w:p w14:paraId="5B5AA1AE" w14:textId="24D88844" w:rsidR="001B3984" w:rsidRDefault="001B3984" w:rsidP="00512094">
      <w:r>
        <w:t xml:space="preserve">Aplicando el mismo criterio utilizado para el </w:t>
      </w:r>
      <w:r w:rsidR="00BF7706">
        <w:t xml:space="preserve">banco de </w:t>
      </w:r>
      <w:r w:rsidRPr="001B3984">
        <w:t xml:space="preserve">condensadores </w:t>
      </w:r>
      <w:r w:rsidR="00BF7706">
        <w:t xml:space="preserve">de </w:t>
      </w:r>
      <w:r w:rsidRPr="001B3984">
        <w:t>4.8 MVAr</w:t>
      </w:r>
      <w:r>
        <w:t xml:space="preserve">, </w:t>
      </w:r>
      <w:r w:rsidR="00BF7706">
        <w:t xml:space="preserve">se reconoce un banco de condensadores de 9 MVAr en la subestación Unión por valor de 465.328.173 pesos. </w:t>
      </w:r>
      <w:r>
        <w:t xml:space="preserve"> </w:t>
      </w:r>
    </w:p>
    <w:p w14:paraId="03D60A56" w14:textId="3CF47249" w:rsidR="001B3984" w:rsidRDefault="00BF7706" w:rsidP="00512094">
      <w:pPr>
        <w:rPr>
          <w:b/>
          <w:bCs/>
        </w:rPr>
      </w:pPr>
      <w:r w:rsidRPr="00BF7706">
        <w:rPr>
          <w:b/>
          <w:bCs/>
        </w:rPr>
        <w:t xml:space="preserve">Sobre la UC </w:t>
      </w:r>
      <w:r>
        <w:rPr>
          <w:b/>
          <w:bCs/>
        </w:rPr>
        <w:t xml:space="preserve">sistema de georreferenciación etapa 1 </w:t>
      </w:r>
    </w:p>
    <w:p w14:paraId="5E9E6A66" w14:textId="77777777" w:rsidR="00C83DE3" w:rsidRPr="00C83DE3" w:rsidRDefault="00C83DE3" w:rsidP="00C83DE3">
      <w:r w:rsidRPr="00C83DE3">
        <w:t>El OR señala lo siguiente:</w:t>
      </w:r>
    </w:p>
    <w:p w14:paraId="6EA2BD79" w14:textId="77777777" w:rsidR="00C83DE3" w:rsidRPr="00C83DE3" w:rsidRDefault="00C83DE3" w:rsidP="007E3F9C">
      <w:pPr>
        <w:spacing w:before="60" w:after="60"/>
        <w:ind w:left="284"/>
        <w:rPr>
          <w:i/>
          <w:iCs/>
          <w:sz w:val="20"/>
          <w:szCs w:val="20"/>
        </w:rPr>
      </w:pPr>
      <w:r w:rsidRPr="00C83DE3">
        <w:rPr>
          <w:i/>
          <w:iCs/>
          <w:sz w:val="20"/>
          <w:szCs w:val="20"/>
        </w:rPr>
        <w:t xml:space="preserve">Sistema de georreferenciación etapa 1  </w:t>
      </w:r>
    </w:p>
    <w:p w14:paraId="744BAF22" w14:textId="77777777" w:rsidR="00C83DE3" w:rsidRPr="00C83DE3" w:rsidRDefault="00C83DE3" w:rsidP="007E3F9C">
      <w:pPr>
        <w:spacing w:before="60" w:after="60"/>
        <w:ind w:left="284"/>
        <w:rPr>
          <w:i/>
          <w:iCs/>
          <w:sz w:val="20"/>
          <w:szCs w:val="20"/>
        </w:rPr>
      </w:pPr>
      <w:r w:rsidRPr="00C83DE3">
        <w:rPr>
          <w:i/>
          <w:iCs/>
          <w:sz w:val="20"/>
          <w:szCs w:val="20"/>
        </w:rPr>
        <w:t xml:space="preserve">AIR-E S.A.S. E.S.P. solicitó el reconocimiento de la UC especial asociada al sistema de información geográfica en 2 etapas, la primera prevista para el año 2021, y la segunda para el año 2023. Lo anterior siguiendo lo indicado en el literal v del numeral 14.1 capítulo 14 de la Resolución CREG 015 de 2018, en el cual se establece que, el sistema de información geográfica debe ser solicitado como UC especial, atendiendo los criterios establecidos por la Comisión para tal fin, como se indica a continuación:  </w:t>
      </w:r>
    </w:p>
    <w:p w14:paraId="168AA603" w14:textId="5920B175" w:rsidR="00C83DE3" w:rsidRPr="00C83DE3" w:rsidRDefault="00C83DE3" w:rsidP="007E3F9C">
      <w:pPr>
        <w:spacing w:before="60" w:after="60"/>
        <w:ind w:left="567"/>
        <w:rPr>
          <w:i/>
          <w:iCs/>
          <w:sz w:val="20"/>
          <w:szCs w:val="20"/>
        </w:rPr>
      </w:pPr>
      <w:r w:rsidRPr="00C83DE3">
        <w:rPr>
          <w:i/>
          <w:iCs/>
          <w:sz w:val="20"/>
          <w:szCs w:val="20"/>
        </w:rPr>
        <w:t xml:space="preserve">“v. Los sistemas de información geográfica, GIS, deben ser solicitados como unidades constructivas especiales siguiendo los lineamientos que para tal fin se establecen en este capítulo”.  </w:t>
      </w:r>
    </w:p>
    <w:p w14:paraId="600F81E7" w14:textId="10FE035C" w:rsidR="00C83DE3" w:rsidRPr="00C83DE3" w:rsidRDefault="00C83DE3" w:rsidP="007E3F9C">
      <w:pPr>
        <w:spacing w:before="60" w:after="60"/>
        <w:ind w:left="284"/>
        <w:rPr>
          <w:i/>
          <w:iCs/>
          <w:sz w:val="20"/>
          <w:szCs w:val="20"/>
        </w:rPr>
      </w:pPr>
      <w:r w:rsidRPr="00472B74">
        <w:rPr>
          <w:i/>
          <w:iCs/>
          <w:sz w:val="20"/>
          <w:szCs w:val="20"/>
          <w:u w:val="single"/>
        </w:rPr>
        <w:t>Igualmente, se anexa el contrato de levantamiento de activos de alta y media tensión y el contrato de interventoría del levantamiento, necesarios para implantación correcta de los activos en el nuevo GIS según sus parámetros y ajustados a las necesidades del nuevo ADM</w:t>
      </w:r>
      <w:r w:rsidRPr="00C83DE3">
        <w:rPr>
          <w:i/>
          <w:iCs/>
          <w:sz w:val="20"/>
          <w:szCs w:val="20"/>
        </w:rPr>
        <w:t xml:space="preserve">, el sistema comercial y el sistema de gestión de activos. Es de entenderse que la herramienta actual de repositorio de información de los activos eléctricos es obsoleta a las nuevas necesidades tecnológicas que se requieren para la gestión de los activos.  </w:t>
      </w:r>
    </w:p>
    <w:p w14:paraId="4DF75954" w14:textId="77777777" w:rsidR="00C83DE3" w:rsidRPr="00C83DE3" w:rsidRDefault="00C83DE3" w:rsidP="007E3F9C">
      <w:pPr>
        <w:spacing w:before="60" w:after="60"/>
        <w:ind w:left="284"/>
        <w:rPr>
          <w:i/>
          <w:iCs/>
          <w:sz w:val="20"/>
          <w:szCs w:val="20"/>
        </w:rPr>
      </w:pPr>
      <w:r w:rsidRPr="00C83DE3">
        <w:rPr>
          <w:i/>
          <w:iCs/>
          <w:sz w:val="20"/>
          <w:szCs w:val="20"/>
        </w:rPr>
        <w:t xml:space="preserve">Por otra parte, se han establecido nuevos lineamientos en cuanto a la actividad de distribución de energía eléctrica, y en lo referente a autogeneración a pequeña escala y generación distribuida en el sistema interconectado nacional, definidos a través de la Resolución CREG 015 del 2018 y la Resolución CREG 030 de 2018.  </w:t>
      </w:r>
    </w:p>
    <w:p w14:paraId="0AA2629F" w14:textId="77777777" w:rsidR="00472B74" w:rsidRDefault="00C83DE3" w:rsidP="007E3F9C">
      <w:pPr>
        <w:spacing w:before="60" w:after="60"/>
        <w:ind w:left="284"/>
        <w:rPr>
          <w:i/>
          <w:iCs/>
          <w:sz w:val="20"/>
          <w:szCs w:val="20"/>
        </w:rPr>
      </w:pPr>
      <w:r w:rsidRPr="00C83DE3">
        <w:rPr>
          <w:i/>
          <w:iCs/>
          <w:sz w:val="20"/>
          <w:szCs w:val="20"/>
        </w:rPr>
        <w:t xml:space="preserve">Estos nuevos lineamientos especifican requisitos que deben ser aplicados en las actividades para la gestión de la red de distribución de energía, lo que conlleva a realizar actualizaciones o reemplazos de los softwares que apoyan los diferentes procesos operativos. </w:t>
      </w:r>
    </w:p>
    <w:p w14:paraId="6ACF57C8" w14:textId="64AE37DF" w:rsidR="00BF7706" w:rsidRDefault="00C83DE3" w:rsidP="007E3F9C">
      <w:pPr>
        <w:spacing w:before="60" w:after="60"/>
        <w:ind w:left="284"/>
        <w:rPr>
          <w:i/>
          <w:iCs/>
          <w:sz w:val="20"/>
          <w:szCs w:val="20"/>
        </w:rPr>
      </w:pPr>
      <w:r w:rsidRPr="00C83DE3">
        <w:rPr>
          <w:i/>
          <w:iCs/>
          <w:sz w:val="20"/>
          <w:szCs w:val="20"/>
        </w:rPr>
        <w:t>Dentro de los análisis realizados se ha identificado la necesidad de reemplazar el sistema de información geográfica (GIS) utilizado por el anterior operador, esto con el objetivo de dar cumplimiento a estos requerimientos regulatorios.</w:t>
      </w:r>
    </w:p>
    <w:p w14:paraId="78A3D931" w14:textId="77777777" w:rsidR="00C83DE3" w:rsidRPr="00C83DE3" w:rsidRDefault="00C83DE3" w:rsidP="007E3F9C">
      <w:pPr>
        <w:spacing w:before="60" w:after="60"/>
        <w:ind w:left="284"/>
        <w:rPr>
          <w:i/>
          <w:iCs/>
          <w:sz w:val="20"/>
          <w:szCs w:val="20"/>
        </w:rPr>
      </w:pPr>
      <w:r w:rsidRPr="00C83DE3">
        <w:rPr>
          <w:i/>
          <w:iCs/>
          <w:sz w:val="20"/>
          <w:szCs w:val="20"/>
        </w:rPr>
        <w:t>El anterior operador contaba con el software para la gestión de la información geográfica (GIS) llamado BDI V10 del proveedor INDRA, que tiene una antigüedad de 19 años y fue</w:t>
      </w:r>
      <w:r>
        <w:rPr>
          <w:i/>
          <w:iCs/>
          <w:sz w:val="20"/>
          <w:szCs w:val="20"/>
        </w:rPr>
        <w:t xml:space="preserve"> </w:t>
      </w:r>
      <w:r w:rsidRPr="00C83DE3">
        <w:rPr>
          <w:i/>
          <w:iCs/>
          <w:sz w:val="20"/>
          <w:szCs w:val="20"/>
        </w:rPr>
        <w:t xml:space="preserve">puesto en operación en el año 2001. Desde la puesta en operación de este sistema, no ha recibido una actualización disruptiva que permita adaptarse a las nuevas necesidades del negocio de distribución de energía y tampoco igualarse a las nuevas herramientas existentes en el mercado, ocasionando limitaciones y problemas como:  </w:t>
      </w:r>
    </w:p>
    <w:p w14:paraId="026A075D" w14:textId="77777777" w:rsidR="00C83DE3" w:rsidRDefault="00C83DE3" w:rsidP="007E3F9C">
      <w:pPr>
        <w:spacing w:before="60" w:after="60"/>
        <w:ind w:left="284"/>
        <w:rPr>
          <w:i/>
          <w:iCs/>
          <w:sz w:val="20"/>
          <w:szCs w:val="20"/>
        </w:rPr>
      </w:pPr>
      <w:r w:rsidRPr="00C83DE3">
        <w:rPr>
          <w:i/>
          <w:iCs/>
          <w:sz w:val="20"/>
          <w:szCs w:val="20"/>
        </w:rPr>
        <w:t xml:space="preserve">- Limitación en el mejoramiento de la red de distribución de los todos los niveles de tensión existentes, en especial la red de baja tensión. </w:t>
      </w:r>
    </w:p>
    <w:p w14:paraId="4DA58EE9" w14:textId="12AE23DD" w:rsidR="00C83DE3" w:rsidRDefault="00C83DE3" w:rsidP="007E3F9C">
      <w:pPr>
        <w:spacing w:before="60" w:after="60"/>
        <w:ind w:left="284"/>
        <w:rPr>
          <w:i/>
          <w:iCs/>
          <w:sz w:val="20"/>
          <w:szCs w:val="20"/>
        </w:rPr>
      </w:pPr>
      <w:r w:rsidRPr="00C83DE3">
        <w:rPr>
          <w:i/>
          <w:iCs/>
          <w:sz w:val="20"/>
          <w:szCs w:val="20"/>
        </w:rPr>
        <w:t>- El sistema BDI v10, no cuenta con los nuevos algoritmos geográficos y librerías de topología eléctrica que permitan asegurar una conectividad coherente en la red de alta y media tensión, impactando la óptima gestión del CLD y la operación del módulo MOOP del sistema de Open</w:t>
      </w:r>
      <w:r w:rsidR="00472B74">
        <w:rPr>
          <w:i/>
          <w:iCs/>
          <w:sz w:val="20"/>
          <w:szCs w:val="20"/>
        </w:rPr>
        <w:t xml:space="preserve"> </w:t>
      </w:r>
      <w:r w:rsidRPr="00C83DE3">
        <w:rPr>
          <w:i/>
          <w:iCs/>
          <w:sz w:val="20"/>
          <w:szCs w:val="20"/>
        </w:rPr>
        <w:t xml:space="preserve">SGD. </w:t>
      </w:r>
    </w:p>
    <w:p w14:paraId="35727813" w14:textId="77777777" w:rsidR="00C83DE3" w:rsidRDefault="00C83DE3" w:rsidP="007E3F9C">
      <w:pPr>
        <w:spacing w:before="60" w:after="60"/>
        <w:ind w:left="284"/>
        <w:rPr>
          <w:i/>
          <w:iCs/>
          <w:sz w:val="20"/>
          <w:szCs w:val="20"/>
        </w:rPr>
      </w:pPr>
      <w:r w:rsidRPr="00C83DE3">
        <w:rPr>
          <w:i/>
          <w:iCs/>
          <w:sz w:val="20"/>
          <w:szCs w:val="20"/>
        </w:rPr>
        <w:t xml:space="preserve">- El sistema fue desarrollado para realizar gestión centralizada de la cartografía, esta limitación conlleva a realizar el trabajo de expandir la red de distribución de energía dos veces, y aumenta la probabilidad de error en creación en el diseño en el sistema GIS. </w:t>
      </w:r>
    </w:p>
    <w:p w14:paraId="42997109" w14:textId="77777777" w:rsidR="00C83DE3" w:rsidRDefault="00C83DE3" w:rsidP="007E3F9C">
      <w:pPr>
        <w:spacing w:before="60" w:after="60"/>
        <w:ind w:left="284"/>
        <w:rPr>
          <w:i/>
          <w:iCs/>
          <w:sz w:val="20"/>
          <w:szCs w:val="20"/>
        </w:rPr>
      </w:pPr>
      <w:r w:rsidRPr="00C83DE3">
        <w:rPr>
          <w:i/>
          <w:iCs/>
          <w:sz w:val="20"/>
          <w:szCs w:val="20"/>
        </w:rPr>
        <w:t xml:space="preserve">- El sistema ofrece una aplicación Web, esta es muy limitada ya que solo permite la visualización de la red de distribución. </w:t>
      </w:r>
    </w:p>
    <w:p w14:paraId="6DB21855" w14:textId="77777777" w:rsidR="00C83DE3" w:rsidRDefault="00C83DE3" w:rsidP="007E3F9C">
      <w:pPr>
        <w:spacing w:before="60" w:after="60"/>
        <w:ind w:left="284"/>
        <w:rPr>
          <w:i/>
          <w:iCs/>
          <w:sz w:val="20"/>
          <w:szCs w:val="20"/>
        </w:rPr>
      </w:pPr>
      <w:r w:rsidRPr="00C83DE3">
        <w:rPr>
          <w:i/>
          <w:iCs/>
          <w:sz w:val="20"/>
          <w:szCs w:val="20"/>
        </w:rPr>
        <w:t xml:space="preserve">- No cuenta con herramienta que permitan identificar los errores topológicos de la red afectando la información que se debe consignar en los reportes regulatorio (ej.: incidencias agrupadas y anidadas en el sistema de gestión de distribución). </w:t>
      </w:r>
    </w:p>
    <w:p w14:paraId="46BA3E58" w14:textId="77777777" w:rsidR="00C83DE3" w:rsidRDefault="00C83DE3" w:rsidP="007E3F9C">
      <w:pPr>
        <w:spacing w:before="60" w:after="60"/>
        <w:ind w:left="284"/>
        <w:rPr>
          <w:i/>
          <w:iCs/>
          <w:sz w:val="20"/>
          <w:szCs w:val="20"/>
        </w:rPr>
      </w:pPr>
      <w:r w:rsidRPr="00C83DE3">
        <w:rPr>
          <w:i/>
          <w:iCs/>
          <w:sz w:val="20"/>
          <w:szCs w:val="20"/>
        </w:rPr>
        <w:t xml:space="preserve">- El sistema de encuentra descontinuado por el proveedor y este ya no ofrece garantía de este. </w:t>
      </w:r>
    </w:p>
    <w:p w14:paraId="19F7F562" w14:textId="77777777" w:rsidR="00C83DE3" w:rsidRDefault="00C83DE3" w:rsidP="007E3F9C">
      <w:pPr>
        <w:spacing w:before="60" w:after="60"/>
        <w:ind w:left="284"/>
        <w:rPr>
          <w:i/>
          <w:iCs/>
          <w:sz w:val="20"/>
          <w:szCs w:val="20"/>
        </w:rPr>
      </w:pPr>
      <w:r w:rsidRPr="00C83DE3">
        <w:rPr>
          <w:i/>
          <w:iCs/>
          <w:sz w:val="20"/>
          <w:szCs w:val="20"/>
        </w:rPr>
        <w:t xml:space="preserve">- El hardware óptimo que requiere el sistema BDI v10 para para el buen funcionamiento esta descontinuado, lo que implica un riesgo alto en la continuidad del servicio debido a la poca oferta presentada en el mercado para la adquisición de partes o un en su defecto nuevo equipo.  </w:t>
      </w:r>
    </w:p>
    <w:p w14:paraId="466FC078" w14:textId="77777777" w:rsidR="00C83DE3" w:rsidRDefault="00C83DE3" w:rsidP="007E3F9C">
      <w:pPr>
        <w:spacing w:before="60" w:after="60"/>
        <w:ind w:left="284"/>
        <w:rPr>
          <w:i/>
          <w:iCs/>
          <w:sz w:val="20"/>
          <w:szCs w:val="20"/>
        </w:rPr>
      </w:pPr>
      <w:r w:rsidRPr="00C83DE3">
        <w:rPr>
          <w:i/>
          <w:iCs/>
          <w:sz w:val="20"/>
          <w:szCs w:val="20"/>
        </w:rPr>
        <w:t xml:space="preserve">- Debido a la antigüedad del sistema y la ausencia de métodos de paginación o segmentación de la información para generar históricos, el sistema se encuentra con problemas de rendimiento y lentitud en su funcionamiento. </w:t>
      </w:r>
    </w:p>
    <w:p w14:paraId="40D01C85" w14:textId="588D7935" w:rsidR="00C83DE3" w:rsidRPr="00C83DE3" w:rsidRDefault="00C83DE3" w:rsidP="007E3F9C">
      <w:pPr>
        <w:spacing w:before="60" w:after="60"/>
        <w:ind w:left="284"/>
        <w:rPr>
          <w:i/>
          <w:iCs/>
          <w:sz w:val="20"/>
          <w:szCs w:val="20"/>
        </w:rPr>
      </w:pPr>
      <w:r w:rsidRPr="00C83DE3">
        <w:rPr>
          <w:i/>
          <w:iCs/>
          <w:sz w:val="20"/>
          <w:szCs w:val="20"/>
        </w:rPr>
        <w:t xml:space="preserve">- Para dar cumplimiento a las necesidades establecidas en la CREG 030 de 2018, específicamente en disponer al público los puntos de conexión disponibles en la red de distribución para la conexión de los generadores a pequeña escala, </w:t>
      </w:r>
      <w:r w:rsidRPr="00472B74">
        <w:rPr>
          <w:i/>
          <w:iCs/>
          <w:sz w:val="20"/>
          <w:szCs w:val="20"/>
          <w:u w:val="single"/>
        </w:rPr>
        <w:t>se optó por desarrollar un sistema satélite que cubriera este requerimiento, debido a que el sistema GIS actual no permite solventar este nuevo lineamiento</w:t>
      </w:r>
      <w:r w:rsidRPr="00C83DE3">
        <w:rPr>
          <w:i/>
          <w:iCs/>
          <w:sz w:val="20"/>
          <w:szCs w:val="20"/>
        </w:rPr>
        <w:t xml:space="preserve">.   </w:t>
      </w:r>
    </w:p>
    <w:p w14:paraId="7AB141D6" w14:textId="3EC07F96" w:rsidR="00C83DE3" w:rsidRDefault="00C83DE3" w:rsidP="007E3F9C">
      <w:pPr>
        <w:spacing w:before="60" w:after="60"/>
        <w:ind w:left="284"/>
        <w:rPr>
          <w:i/>
          <w:iCs/>
          <w:sz w:val="20"/>
          <w:szCs w:val="20"/>
        </w:rPr>
      </w:pPr>
      <w:r w:rsidRPr="00C83DE3">
        <w:rPr>
          <w:i/>
          <w:iCs/>
          <w:sz w:val="20"/>
          <w:szCs w:val="20"/>
        </w:rPr>
        <w:t xml:space="preserve">En el radicado CREG E-2021-002222 de febrero 17 de 2021 se incluyó la carpeta “Sistema de Información Georreferenciada” con los soportes. En la subcarpeta “Etapa 2021” </w:t>
      </w:r>
      <w:r w:rsidRPr="00472B74">
        <w:rPr>
          <w:i/>
          <w:iCs/>
          <w:sz w:val="20"/>
          <w:szCs w:val="20"/>
          <w:u w:val="single"/>
        </w:rPr>
        <w:t>se anexa la oferta Técnica del proveedor ESRI a la empresa denominada Centro de Servicios Compartidos S.A.S, la cual es producto de la solución empresarial implementada en ELECTRICARIBE S.A E.S.P. como consecuencia de la toma de posesión ordenada por la Superintendencia de Servicios Públicos Domiciliarios</w:t>
      </w:r>
      <w:r w:rsidRPr="00C83DE3">
        <w:rPr>
          <w:i/>
          <w:iCs/>
          <w:sz w:val="20"/>
          <w:szCs w:val="20"/>
        </w:rPr>
        <w:t>.</w:t>
      </w:r>
    </w:p>
    <w:p w14:paraId="6812D0C7" w14:textId="77777777" w:rsidR="00C83DE3" w:rsidRPr="00C83DE3" w:rsidRDefault="00C83DE3" w:rsidP="007E3F9C">
      <w:pPr>
        <w:spacing w:before="60" w:after="60"/>
        <w:ind w:left="284"/>
        <w:rPr>
          <w:i/>
          <w:iCs/>
          <w:sz w:val="20"/>
          <w:szCs w:val="20"/>
        </w:rPr>
      </w:pPr>
      <w:r w:rsidRPr="00C83DE3">
        <w:rPr>
          <w:i/>
          <w:iCs/>
          <w:sz w:val="20"/>
          <w:szCs w:val="20"/>
        </w:rPr>
        <w:t xml:space="preserve">El Centro de Servicios Compartidos es una sociedad colombiana con domicilio principal en la ciudad de Barranquilla, cuyo capital accionario está integrado por AIR-E S.A.S. E.S.P. con una participación del 50% y Caribe Mar de la Costa S.A. E.S.P. con una participación del 50%, la empresa tiene como objeto principal la prestación de los servicios generales de tecnología, infraestructura tecnológica, servicio especializados de tecnología del negocio y otros servicio especializados, razón por la cual en la solicitud de cargos el valor que se requiere reconozca por parte del regulador para efectos tarifarios es el 50% para la adquisición e implementación de un sistema de información geográfico (GIS), contenidas en el contrato que se relaciona en el Anexo 5 Soportes adicionales UC especiales, es decir la suma de 7.472.134.643 COP dic 2017.  </w:t>
      </w:r>
    </w:p>
    <w:p w14:paraId="79EB61E6" w14:textId="5644A8B5" w:rsidR="00C83DE3" w:rsidRDefault="00C83DE3" w:rsidP="007E3F9C">
      <w:pPr>
        <w:spacing w:before="60" w:after="60"/>
        <w:ind w:left="284"/>
        <w:rPr>
          <w:i/>
          <w:iCs/>
          <w:sz w:val="20"/>
          <w:szCs w:val="20"/>
        </w:rPr>
      </w:pPr>
      <w:r w:rsidRPr="00C83DE3">
        <w:rPr>
          <w:i/>
          <w:iCs/>
          <w:sz w:val="20"/>
          <w:szCs w:val="20"/>
        </w:rPr>
        <w:t xml:space="preserve">Considerando lo establecido anteriormente, se reitera a la CREG la solicitud de crear la UCs especiales Sistema de información georreferenciada etapa 1 y Sistema de información georreferenciada etapa 2. </w:t>
      </w:r>
      <w:r w:rsidRPr="00472B74">
        <w:rPr>
          <w:i/>
          <w:iCs/>
          <w:sz w:val="20"/>
          <w:szCs w:val="20"/>
          <w:u w:val="single"/>
        </w:rPr>
        <w:t>Adicionalmente, se solicita modificar el valor a aprobar para la etapa 1 considerando el soporte presentado en el Anexo 5 Soportes adicionales UC especiales de este documento, correspondiente al suministro de infraestructura para el procesamiento y almacenamiento del sistema SIG, por valor de 1.808.161.444 $ COP dic 2017, para un total de 15.453.019.678 $ COP dic 2017 correspondientes a la UC SIG etapa 1</w:t>
      </w:r>
      <w:r w:rsidRPr="00C83DE3">
        <w:rPr>
          <w:i/>
          <w:iCs/>
          <w:sz w:val="20"/>
          <w:szCs w:val="20"/>
        </w:rPr>
        <w:t>.</w:t>
      </w:r>
    </w:p>
    <w:p w14:paraId="2309191F" w14:textId="71304AB0" w:rsidR="00472B74" w:rsidRPr="00C83DE3" w:rsidRDefault="00472B74" w:rsidP="007E3F9C">
      <w:pPr>
        <w:spacing w:before="60" w:after="60"/>
        <w:ind w:left="284"/>
        <w:rPr>
          <w:i/>
          <w:iCs/>
          <w:sz w:val="20"/>
          <w:szCs w:val="20"/>
        </w:rPr>
      </w:pPr>
      <w:r>
        <w:rPr>
          <w:i/>
          <w:iCs/>
          <w:sz w:val="20"/>
          <w:szCs w:val="20"/>
        </w:rPr>
        <w:t>Subrayado fuera de texto</w:t>
      </w:r>
    </w:p>
    <w:p w14:paraId="6B23F55D" w14:textId="102AD22C" w:rsidR="00DA2076" w:rsidRPr="00DA2076" w:rsidRDefault="00DA2076" w:rsidP="000C68A9">
      <w:pPr>
        <w:keepNext/>
        <w:rPr>
          <w:b/>
          <w:bCs/>
        </w:rPr>
      </w:pPr>
      <w:r w:rsidRPr="00DA2076">
        <w:rPr>
          <w:b/>
          <w:bCs/>
        </w:rPr>
        <w:t>Análisis de la Comisión</w:t>
      </w:r>
    </w:p>
    <w:p w14:paraId="3900D616" w14:textId="5B158CB0" w:rsidR="005C2813" w:rsidRDefault="005C2813" w:rsidP="005C2813">
      <w:r>
        <w:t>En los documentos de soporte señalados en el recurso de reposición se encuentran los siguientes archivos:</w:t>
      </w:r>
      <w:r w:rsidR="004403F9">
        <w:t xml:space="preserve"> </w:t>
      </w:r>
      <w:r w:rsidRPr="004403F9">
        <w:rPr>
          <w:i/>
          <w:iCs/>
        </w:rPr>
        <w:t>Anexo 01 Acuerdo Nivel de Servivios.pdf</w:t>
      </w:r>
      <w:r w:rsidR="004403F9">
        <w:t xml:space="preserve">, </w:t>
      </w:r>
      <w:r w:rsidRPr="004403F9">
        <w:rPr>
          <w:i/>
          <w:iCs/>
        </w:rPr>
        <w:t>Contrato Dell.pdf</w:t>
      </w:r>
      <w:r w:rsidR="004403F9" w:rsidRPr="004403F9">
        <w:rPr>
          <w:i/>
          <w:iCs/>
        </w:rPr>
        <w:t xml:space="preserve">, </w:t>
      </w:r>
      <w:r w:rsidRPr="004403F9">
        <w:rPr>
          <w:i/>
          <w:iCs/>
        </w:rPr>
        <w:t>Contrato levantamiento de activos.pdf</w:t>
      </w:r>
      <w:r w:rsidR="004403F9" w:rsidRPr="004403F9">
        <w:rPr>
          <w:i/>
          <w:iCs/>
        </w:rPr>
        <w:t xml:space="preserve">, </w:t>
      </w:r>
      <w:r w:rsidRPr="004403F9">
        <w:rPr>
          <w:i/>
          <w:iCs/>
        </w:rPr>
        <w:t>Oferta ESRI.pdf</w:t>
      </w:r>
      <w:r w:rsidR="004403F9" w:rsidRPr="004403F9">
        <w:rPr>
          <w:i/>
          <w:iCs/>
        </w:rPr>
        <w:t xml:space="preserve"> y </w:t>
      </w:r>
      <w:r w:rsidRPr="004403F9">
        <w:rPr>
          <w:i/>
          <w:iCs/>
        </w:rPr>
        <w:t>Valores SIG.xlsx</w:t>
      </w:r>
      <w:r w:rsidR="004403F9">
        <w:t xml:space="preserve">. Los valores solicitados para cada etapa se </w:t>
      </w:r>
      <w:r>
        <w:t>presenta</w:t>
      </w:r>
      <w:r w:rsidR="004403F9">
        <w:t>n en</w:t>
      </w:r>
      <w:r>
        <w:t xml:space="preserve"> la siguiente tabla: </w:t>
      </w:r>
    </w:p>
    <w:tbl>
      <w:tblPr>
        <w:tblW w:w="7140" w:type="dxa"/>
        <w:jc w:val="center"/>
        <w:tblCellMar>
          <w:left w:w="70" w:type="dxa"/>
          <w:right w:w="70" w:type="dxa"/>
        </w:tblCellMar>
        <w:tblLook w:val="04A0" w:firstRow="1" w:lastRow="0" w:firstColumn="1" w:lastColumn="0" w:noHBand="0" w:noVBand="1"/>
      </w:tblPr>
      <w:tblGrid>
        <w:gridCol w:w="4020"/>
        <w:gridCol w:w="1560"/>
        <w:gridCol w:w="1560"/>
      </w:tblGrid>
      <w:tr w:rsidR="005C2813" w:rsidRPr="00D931A3" w14:paraId="7C0CA198" w14:textId="77777777" w:rsidTr="002E679E">
        <w:trPr>
          <w:trHeight w:val="227"/>
          <w:tblHeader/>
          <w:jc w:val="center"/>
        </w:trPr>
        <w:tc>
          <w:tcPr>
            <w:tcW w:w="4020" w:type="dxa"/>
            <w:tcBorders>
              <w:top w:val="single" w:sz="4" w:space="0" w:color="auto"/>
              <w:left w:val="single" w:sz="4" w:space="0" w:color="auto"/>
              <w:bottom w:val="nil"/>
              <w:right w:val="single" w:sz="4" w:space="0" w:color="auto"/>
            </w:tcBorders>
            <w:shd w:val="clear" w:color="auto" w:fill="auto"/>
            <w:noWrap/>
            <w:vAlign w:val="center"/>
            <w:hideMark/>
          </w:tcPr>
          <w:p w14:paraId="7021EDCB"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Ítem</w:t>
            </w:r>
          </w:p>
        </w:tc>
        <w:tc>
          <w:tcPr>
            <w:tcW w:w="1560" w:type="dxa"/>
            <w:tcBorders>
              <w:top w:val="single" w:sz="4" w:space="0" w:color="auto"/>
              <w:left w:val="single" w:sz="4" w:space="0" w:color="auto"/>
              <w:bottom w:val="nil"/>
              <w:right w:val="single" w:sz="4" w:space="0" w:color="auto"/>
            </w:tcBorders>
            <w:shd w:val="clear" w:color="auto" w:fill="auto"/>
            <w:vAlign w:val="center"/>
            <w:hideMark/>
          </w:tcPr>
          <w:p w14:paraId="60AC82D9"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 xml:space="preserve">SIG Etapa 1 </w:t>
            </w:r>
            <w:r w:rsidRPr="00916D5B">
              <w:rPr>
                <w:rFonts w:cs="Arial"/>
                <w:i/>
                <w:iCs/>
                <w:sz w:val="18"/>
                <w:szCs w:val="18"/>
                <w:lang w:val="es-CO" w:eastAsia="es-CO"/>
              </w:rPr>
              <w:br/>
              <w:t>(COP dic 2017)</w:t>
            </w:r>
          </w:p>
        </w:tc>
        <w:tc>
          <w:tcPr>
            <w:tcW w:w="1560" w:type="dxa"/>
            <w:tcBorders>
              <w:top w:val="single" w:sz="4" w:space="0" w:color="auto"/>
              <w:left w:val="single" w:sz="4" w:space="0" w:color="auto"/>
              <w:bottom w:val="nil"/>
              <w:right w:val="single" w:sz="4" w:space="0" w:color="auto"/>
            </w:tcBorders>
            <w:shd w:val="clear" w:color="auto" w:fill="auto"/>
            <w:vAlign w:val="center"/>
            <w:hideMark/>
          </w:tcPr>
          <w:p w14:paraId="5524B3A5"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 xml:space="preserve">SIG Etapa 2 </w:t>
            </w:r>
            <w:r w:rsidRPr="00916D5B">
              <w:rPr>
                <w:rFonts w:cs="Arial"/>
                <w:i/>
                <w:iCs/>
                <w:sz w:val="18"/>
                <w:szCs w:val="18"/>
                <w:lang w:val="es-CO" w:eastAsia="es-CO"/>
              </w:rPr>
              <w:br/>
              <w:t>(COP dic 2017)</w:t>
            </w:r>
          </w:p>
        </w:tc>
      </w:tr>
      <w:tr w:rsidR="005C2813" w:rsidRPr="00D931A3" w14:paraId="3F581C73" w14:textId="77777777" w:rsidTr="002E679E">
        <w:trPr>
          <w:trHeight w:val="227"/>
          <w:jc w:val="center"/>
        </w:trPr>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0BA05090"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Levantamiento de activos en terreno</w:t>
            </w:r>
          </w:p>
        </w:tc>
        <w:tc>
          <w:tcPr>
            <w:tcW w:w="1560" w:type="dxa"/>
            <w:tcBorders>
              <w:top w:val="single" w:sz="4" w:space="0" w:color="auto"/>
              <w:left w:val="nil"/>
              <w:bottom w:val="single" w:sz="4" w:space="0" w:color="auto"/>
              <w:right w:val="nil"/>
            </w:tcBorders>
            <w:shd w:val="clear" w:color="auto" w:fill="auto"/>
            <w:vAlign w:val="center"/>
            <w:hideMark/>
          </w:tcPr>
          <w:p w14:paraId="203F6008" w14:textId="77777777" w:rsidR="005C2813" w:rsidRPr="00916D5B" w:rsidRDefault="005C2813" w:rsidP="00274B76">
            <w:pPr>
              <w:spacing w:before="0" w:after="0"/>
              <w:jc w:val="left"/>
              <w:rPr>
                <w:rFonts w:cs="Arial"/>
                <w:i/>
                <w:iCs/>
                <w:sz w:val="18"/>
                <w:szCs w:val="18"/>
                <w:lang w:val="es-CO" w:eastAsia="es-CO"/>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53E3D4" w14:textId="77777777" w:rsidR="005C2813" w:rsidRPr="00916D5B" w:rsidRDefault="005C2813" w:rsidP="00274B76">
            <w:pPr>
              <w:spacing w:before="0" w:after="0"/>
              <w:jc w:val="center"/>
              <w:rPr>
                <w:i/>
                <w:iCs/>
                <w:sz w:val="18"/>
                <w:szCs w:val="18"/>
                <w:lang w:val="es-CO" w:eastAsia="es-CO"/>
              </w:rPr>
            </w:pPr>
          </w:p>
        </w:tc>
      </w:tr>
      <w:tr w:rsidR="005C2813" w:rsidRPr="00D931A3" w14:paraId="40334BF6" w14:textId="77777777" w:rsidTr="002E679E">
        <w:trPr>
          <w:trHeight w:val="227"/>
          <w:jc w:val="center"/>
        </w:trPr>
        <w:tc>
          <w:tcPr>
            <w:tcW w:w="4020" w:type="dxa"/>
            <w:tcBorders>
              <w:top w:val="nil"/>
              <w:left w:val="single" w:sz="4" w:space="0" w:color="auto"/>
              <w:bottom w:val="single" w:sz="4" w:space="0" w:color="auto"/>
              <w:right w:val="nil"/>
            </w:tcBorders>
            <w:shd w:val="clear" w:color="auto" w:fill="auto"/>
            <w:vAlign w:val="center"/>
            <w:hideMark/>
          </w:tcPr>
          <w:p w14:paraId="324838DA"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Levantamiento de activos Electrosoftware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9CB34"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5.142.207.837</w:t>
            </w:r>
          </w:p>
        </w:tc>
        <w:tc>
          <w:tcPr>
            <w:tcW w:w="1560" w:type="dxa"/>
            <w:tcBorders>
              <w:top w:val="nil"/>
              <w:left w:val="nil"/>
              <w:bottom w:val="single" w:sz="4" w:space="0" w:color="auto"/>
              <w:right w:val="single" w:sz="4" w:space="0" w:color="auto"/>
            </w:tcBorders>
            <w:shd w:val="clear" w:color="auto" w:fill="auto"/>
            <w:vAlign w:val="bottom"/>
            <w:hideMark/>
          </w:tcPr>
          <w:p w14:paraId="4DB552B8" w14:textId="77777777" w:rsidR="005C2813" w:rsidRPr="00916D5B" w:rsidRDefault="005C2813" w:rsidP="00274B76">
            <w:pPr>
              <w:spacing w:before="0" w:after="0"/>
              <w:jc w:val="center"/>
              <w:rPr>
                <w:rFonts w:cs="Arial"/>
                <w:i/>
                <w:iCs/>
                <w:sz w:val="18"/>
                <w:szCs w:val="18"/>
                <w:lang w:val="es-CO" w:eastAsia="es-CO"/>
              </w:rPr>
            </w:pPr>
          </w:p>
        </w:tc>
      </w:tr>
      <w:tr w:rsidR="005C2813" w:rsidRPr="00D931A3" w14:paraId="14F3495E" w14:textId="77777777" w:rsidTr="002E679E">
        <w:trPr>
          <w:trHeight w:val="227"/>
          <w:jc w:val="center"/>
        </w:trPr>
        <w:tc>
          <w:tcPr>
            <w:tcW w:w="4020" w:type="dxa"/>
            <w:tcBorders>
              <w:top w:val="single" w:sz="4" w:space="0" w:color="auto"/>
              <w:left w:val="single" w:sz="4" w:space="0" w:color="auto"/>
              <w:bottom w:val="nil"/>
              <w:right w:val="nil"/>
            </w:tcBorders>
            <w:shd w:val="clear" w:color="auto" w:fill="auto"/>
            <w:vAlign w:val="center"/>
            <w:hideMark/>
          </w:tcPr>
          <w:p w14:paraId="0AF60485"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Interventoría Mapping Now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283A"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1.030.515.754</w:t>
            </w:r>
          </w:p>
        </w:tc>
        <w:tc>
          <w:tcPr>
            <w:tcW w:w="1560" w:type="dxa"/>
            <w:tcBorders>
              <w:top w:val="single" w:sz="4" w:space="0" w:color="auto"/>
              <w:left w:val="nil"/>
              <w:bottom w:val="nil"/>
              <w:right w:val="single" w:sz="4" w:space="0" w:color="auto"/>
            </w:tcBorders>
            <w:shd w:val="clear" w:color="auto" w:fill="auto"/>
            <w:vAlign w:val="bottom"/>
            <w:hideMark/>
          </w:tcPr>
          <w:p w14:paraId="08CBFE9C" w14:textId="77777777" w:rsidR="005C2813" w:rsidRPr="00916D5B" w:rsidRDefault="005C2813" w:rsidP="00274B76">
            <w:pPr>
              <w:spacing w:before="0" w:after="0"/>
              <w:jc w:val="center"/>
              <w:rPr>
                <w:rFonts w:cs="Arial"/>
                <w:i/>
                <w:iCs/>
                <w:sz w:val="18"/>
                <w:szCs w:val="18"/>
                <w:lang w:val="es-CO" w:eastAsia="es-CO"/>
              </w:rPr>
            </w:pPr>
          </w:p>
        </w:tc>
      </w:tr>
      <w:tr w:rsidR="005C2813" w:rsidRPr="00D931A3" w14:paraId="3F49BF11" w14:textId="77777777" w:rsidTr="002E679E">
        <w:trPr>
          <w:trHeight w:val="227"/>
          <w:jc w:val="center"/>
        </w:trPr>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54525272"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Licencias Esri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BB33" w14:textId="77777777" w:rsidR="005C2813" w:rsidRPr="00916D5B" w:rsidRDefault="005C2813" w:rsidP="00274B76">
            <w:pPr>
              <w:spacing w:before="0" w:after="0"/>
              <w:jc w:val="left"/>
              <w:rPr>
                <w:rFonts w:cs="Arial"/>
                <w:i/>
                <w:iCs/>
                <w:sz w:val="18"/>
                <w:szCs w:val="18"/>
                <w:lang w:val="es-CO" w:eastAsia="es-CO"/>
              </w:rPr>
            </w:pP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FE780ED" w14:textId="77777777" w:rsidR="005C2813" w:rsidRPr="00916D5B" w:rsidRDefault="005C2813" w:rsidP="00274B76">
            <w:pPr>
              <w:spacing w:before="0" w:after="0"/>
              <w:jc w:val="center"/>
              <w:rPr>
                <w:i/>
                <w:iCs/>
                <w:sz w:val="18"/>
                <w:szCs w:val="18"/>
                <w:lang w:val="es-CO" w:eastAsia="es-CO"/>
              </w:rPr>
            </w:pPr>
          </w:p>
        </w:tc>
      </w:tr>
      <w:tr w:rsidR="005C2813" w:rsidRPr="00D931A3" w14:paraId="0F13739D" w14:textId="77777777" w:rsidTr="002E679E">
        <w:trPr>
          <w:trHeight w:val="227"/>
          <w:jc w:val="center"/>
        </w:trPr>
        <w:tc>
          <w:tcPr>
            <w:tcW w:w="4020" w:type="dxa"/>
            <w:tcBorders>
              <w:top w:val="nil"/>
              <w:left w:val="single" w:sz="4" w:space="0" w:color="auto"/>
              <w:bottom w:val="nil"/>
              <w:right w:val="nil"/>
            </w:tcBorders>
            <w:shd w:val="clear" w:color="auto" w:fill="auto"/>
            <w:vAlign w:val="center"/>
            <w:hideMark/>
          </w:tcPr>
          <w:p w14:paraId="0B33C725"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Licencias Esri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B935B"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7.472.134.643</w:t>
            </w:r>
          </w:p>
        </w:tc>
        <w:tc>
          <w:tcPr>
            <w:tcW w:w="1560" w:type="dxa"/>
            <w:tcBorders>
              <w:top w:val="nil"/>
              <w:left w:val="nil"/>
              <w:bottom w:val="nil"/>
              <w:right w:val="single" w:sz="4" w:space="0" w:color="auto"/>
            </w:tcBorders>
            <w:shd w:val="clear" w:color="auto" w:fill="auto"/>
            <w:vAlign w:val="bottom"/>
            <w:hideMark/>
          </w:tcPr>
          <w:p w14:paraId="2600FDC0" w14:textId="77777777" w:rsidR="005C2813" w:rsidRPr="00916D5B" w:rsidRDefault="005C2813" w:rsidP="00274B76">
            <w:pPr>
              <w:spacing w:before="0" w:after="0"/>
              <w:jc w:val="center"/>
              <w:rPr>
                <w:rFonts w:cs="Arial"/>
                <w:i/>
                <w:iCs/>
                <w:sz w:val="18"/>
                <w:szCs w:val="18"/>
                <w:lang w:val="es-CO" w:eastAsia="es-CO"/>
              </w:rPr>
            </w:pPr>
          </w:p>
        </w:tc>
      </w:tr>
      <w:tr w:rsidR="005C2813" w:rsidRPr="00D931A3" w14:paraId="11B2E388" w14:textId="77777777" w:rsidTr="002E679E">
        <w:trPr>
          <w:trHeight w:val="227"/>
          <w:jc w:val="center"/>
        </w:trPr>
        <w:tc>
          <w:tcPr>
            <w:tcW w:w="4020" w:type="dxa"/>
            <w:tcBorders>
              <w:top w:val="nil"/>
              <w:left w:val="single" w:sz="4" w:space="0" w:color="auto"/>
              <w:bottom w:val="single" w:sz="4" w:space="0" w:color="auto"/>
              <w:right w:val="nil"/>
            </w:tcBorders>
            <w:shd w:val="clear" w:color="auto" w:fill="auto"/>
            <w:vAlign w:val="center"/>
            <w:hideMark/>
          </w:tcPr>
          <w:p w14:paraId="7846FEBC"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Suministro GIS Dell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7750C"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1.808.161.444</w:t>
            </w:r>
          </w:p>
        </w:tc>
        <w:tc>
          <w:tcPr>
            <w:tcW w:w="1560" w:type="dxa"/>
            <w:tcBorders>
              <w:top w:val="nil"/>
              <w:left w:val="nil"/>
              <w:bottom w:val="single" w:sz="4" w:space="0" w:color="auto"/>
              <w:right w:val="single" w:sz="4" w:space="0" w:color="auto"/>
            </w:tcBorders>
            <w:shd w:val="clear" w:color="auto" w:fill="auto"/>
            <w:vAlign w:val="bottom"/>
            <w:hideMark/>
          </w:tcPr>
          <w:p w14:paraId="714225D9" w14:textId="77777777" w:rsidR="005C2813" w:rsidRPr="00916D5B" w:rsidRDefault="005C2813" w:rsidP="00274B76">
            <w:pPr>
              <w:spacing w:before="0" w:after="0"/>
              <w:jc w:val="center"/>
              <w:rPr>
                <w:rFonts w:cs="Arial"/>
                <w:i/>
                <w:iCs/>
                <w:sz w:val="18"/>
                <w:szCs w:val="18"/>
                <w:lang w:val="es-CO" w:eastAsia="es-CO"/>
              </w:rPr>
            </w:pPr>
          </w:p>
        </w:tc>
      </w:tr>
      <w:tr w:rsidR="005C2813" w:rsidRPr="00D931A3" w14:paraId="4CDCFEE7" w14:textId="77777777" w:rsidTr="002E679E">
        <w:trPr>
          <w:trHeight w:val="227"/>
          <w:jc w:val="center"/>
        </w:trPr>
        <w:tc>
          <w:tcPr>
            <w:tcW w:w="4020" w:type="dxa"/>
            <w:tcBorders>
              <w:top w:val="single" w:sz="4" w:space="0" w:color="auto"/>
              <w:left w:val="single" w:sz="4" w:space="0" w:color="auto"/>
              <w:bottom w:val="single" w:sz="4" w:space="0" w:color="auto"/>
            </w:tcBorders>
            <w:shd w:val="clear" w:color="auto" w:fill="auto"/>
            <w:vAlign w:val="center"/>
            <w:hideMark/>
          </w:tcPr>
          <w:p w14:paraId="16CF88E3"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Censo Tipo II</w:t>
            </w:r>
          </w:p>
        </w:tc>
        <w:tc>
          <w:tcPr>
            <w:tcW w:w="1560" w:type="dxa"/>
            <w:tcBorders>
              <w:top w:val="single" w:sz="4" w:space="0" w:color="auto"/>
              <w:bottom w:val="single" w:sz="4" w:space="0" w:color="auto"/>
            </w:tcBorders>
            <w:shd w:val="clear" w:color="auto" w:fill="auto"/>
            <w:vAlign w:val="center"/>
            <w:hideMark/>
          </w:tcPr>
          <w:p w14:paraId="32C333F3" w14:textId="77777777" w:rsidR="005C2813" w:rsidRPr="00916D5B" w:rsidRDefault="005C2813" w:rsidP="00274B76">
            <w:pPr>
              <w:spacing w:before="0" w:after="0"/>
              <w:jc w:val="left"/>
              <w:rPr>
                <w:rFonts w:cs="Arial"/>
                <w:i/>
                <w:iCs/>
                <w:sz w:val="18"/>
                <w:szCs w:val="18"/>
                <w:lang w:val="es-CO" w:eastAsia="es-CO"/>
              </w:rPr>
            </w:pPr>
          </w:p>
        </w:tc>
        <w:tc>
          <w:tcPr>
            <w:tcW w:w="1560" w:type="dxa"/>
            <w:tcBorders>
              <w:top w:val="single" w:sz="4" w:space="0" w:color="auto"/>
              <w:bottom w:val="single" w:sz="4" w:space="0" w:color="auto"/>
              <w:right w:val="single" w:sz="4" w:space="0" w:color="auto"/>
            </w:tcBorders>
            <w:shd w:val="clear" w:color="auto" w:fill="auto"/>
            <w:vAlign w:val="bottom"/>
            <w:hideMark/>
          </w:tcPr>
          <w:p w14:paraId="05ACAFB2" w14:textId="77777777" w:rsidR="005C2813" w:rsidRPr="00916D5B" w:rsidRDefault="005C2813" w:rsidP="00274B76">
            <w:pPr>
              <w:spacing w:before="0" w:after="0"/>
              <w:jc w:val="center"/>
              <w:rPr>
                <w:i/>
                <w:iCs/>
                <w:sz w:val="18"/>
                <w:szCs w:val="18"/>
                <w:lang w:val="es-CO" w:eastAsia="es-CO"/>
              </w:rPr>
            </w:pPr>
          </w:p>
        </w:tc>
      </w:tr>
      <w:tr w:rsidR="005C2813" w:rsidRPr="00D931A3" w14:paraId="2DAE6006" w14:textId="77777777" w:rsidTr="002E679E">
        <w:trPr>
          <w:trHeight w:val="227"/>
          <w:jc w:val="center"/>
        </w:trPr>
        <w:tc>
          <w:tcPr>
            <w:tcW w:w="4020" w:type="dxa"/>
            <w:tcBorders>
              <w:top w:val="single" w:sz="4" w:space="0" w:color="auto"/>
              <w:left w:val="single" w:sz="4" w:space="0" w:color="auto"/>
              <w:bottom w:val="single" w:sz="4" w:space="0" w:color="auto"/>
              <w:right w:val="nil"/>
            </w:tcBorders>
            <w:shd w:val="clear" w:color="auto" w:fill="auto"/>
            <w:vAlign w:val="center"/>
            <w:hideMark/>
          </w:tcPr>
          <w:p w14:paraId="552BC972"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Marcación de elementos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F8FA" w14:textId="77777777" w:rsidR="005C2813" w:rsidRPr="00916D5B" w:rsidRDefault="005C2813" w:rsidP="00274B76">
            <w:pPr>
              <w:spacing w:before="0" w:after="0"/>
              <w:jc w:val="left"/>
              <w:rPr>
                <w:rFonts w:cs="Arial"/>
                <w:i/>
                <w:iCs/>
                <w:sz w:val="18"/>
                <w:szCs w:val="18"/>
                <w:lang w:val="es-CO" w:eastAsia="es-CO"/>
              </w:rPr>
            </w:pP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EB4B24" w14:textId="77777777" w:rsidR="005C2813" w:rsidRPr="00916D5B" w:rsidRDefault="005C2813" w:rsidP="00274B76">
            <w:pPr>
              <w:spacing w:before="0" w:after="0"/>
              <w:jc w:val="right"/>
              <w:rPr>
                <w:rFonts w:cs="Arial"/>
                <w:i/>
                <w:iCs/>
                <w:sz w:val="18"/>
                <w:szCs w:val="18"/>
                <w:lang w:val="es-CO" w:eastAsia="es-CO"/>
              </w:rPr>
            </w:pPr>
            <w:r w:rsidRPr="00916D5B">
              <w:rPr>
                <w:rFonts w:cs="Arial"/>
                <w:i/>
                <w:iCs/>
                <w:sz w:val="18"/>
                <w:szCs w:val="18"/>
                <w:lang w:val="es-CO" w:eastAsia="es-CO"/>
              </w:rPr>
              <w:t>5.039.838.588</w:t>
            </w:r>
          </w:p>
        </w:tc>
      </w:tr>
      <w:tr w:rsidR="005C2813" w:rsidRPr="00D931A3" w14:paraId="06A2FC54" w14:textId="77777777" w:rsidTr="002E679E">
        <w:trPr>
          <w:trHeight w:val="227"/>
          <w:jc w:val="center"/>
        </w:trPr>
        <w:tc>
          <w:tcPr>
            <w:tcW w:w="4020" w:type="dxa"/>
            <w:tcBorders>
              <w:top w:val="single" w:sz="4" w:space="0" w:color="auto"/>
              <w:left w:val="single" w:sz="4" w:space="0" w:color="auto"/>
              <w:bottom w:val="single" w:sz="4" w:space="0" w:color="auto"/>
              <w:right w:val="nil"/>
            </w:tcBorders>
            <w:shd w:val="clear" w:color="auto" w:fill="auto"/>
            <w:vAlign w:val="center"/>
            <w:hideMark/>
          </w:tcPr>
          <w:p w14:paraId="15A685A6"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Censo Tipo II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1DF03" w14:textId="77777777" w:rsidR="005C2813" w:rsidRPr="00916D5B" w:rsidRDefault="005C2813" w:rsidP="00274B76">
            <w:pPr>
              <w:spacing w:before="0" w:after="0"/>
              <w:jc w:val="left"/>
              <w:rPr>
                <w:rFonts w:cs="Arial"/>
                <w:i/>
                <w:iCs/>
                <w:sz w:val="18"/>
                <w:szCs w:val="18"/>
                <w:lang w:val="es-CO" w:eastAsia="es-CO"/>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B5484A"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46.090.927.680</w:t>
            </w:r>
          </w:p>
        </w:tc>
      </w:tr>
      <w:tr w:rsidR="005C2813" w:rsidRPr="00D931A3" w14:paraId="25EF13E3" w14:textId="77777777" w:rsidTr="002E679E">
        <w:trPr>
          <w:trHeight w:val="227"/>
          <w:jc w:val="center"/>
        </w:trPr>
        <w:tc>
          <w:tcPr>
            <w:tcW w:w="4020" w:type="dxa"/>
            <w:tcBorders>
              <w:top w:val="single" w:sz="4" w:space="0" w:color="auto"/>
              <w:left w:val="single" w:sz="4" w:space="0" w:color="auto"/>
              <w:bottom w:val="single" w:sz="4" w:space="0" w:color="auto"/>
              <w:right w:val="nil"/>
            </w:tcBorders>
            <w:shd w:val="clear" w:color="auto" w:fill="auto"/>
            <w:vAlign w:val="center"/>
            <w:hideMark/>
          </w:tcPr>
          <w:p w14:paraId="35B6D3E5" w14:textId="77777777" w:rsidR="005C2813" w:rsidRPr="00916D5B" w:rsidRDefault="005C2813" w:rsidP="00274B76">
            <w:pPr>
              <w:spacing w:before="0" w:after="0"/>
              <w:jc w:val="left"/>
              <w:rPr>
                <w:rFonts w:cs="Arial"/>
                <w:i/>
                <w:iCs/>
                <w:sz w:val="18"/>
                <w:szCs w:val="18"/>
                <w:lang w:val="es-CO" w:eastAsia="es-CO"/>
              </w:rPr>
            </w:pPr>
            <w:r w:rsidRPr="00916D5B">
              <w:rPr>
                <w:rFonts w:cs="Arial"/>
                <w:i/>
                <w:iCs/>
                <w:sz w:val="18"/>
                <w:szCs w:val="18"/>
                <w:lang w:val="es-CO" w:eastAsia="es-CO"/>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BC691"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15.453.019.678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2D825E" w14:textId="77777777" w:rsidR="005C2813" w:rsidRPr="00916D5B" w:rsidRDefault="005C2813" w:rsidP="00274B76">
            <w:pPr>
              <w:spacing w:before="0" w:after="0"/>
              <w:jc w:val="center"/>
              <w:rPr>
                <w:rFonts w:cs="Arial"/>
                <w:i/>
                <w:iCs/>
                <w:sz w:val="18"/>
                <w:szCs w:val="18"/>
                <w:lang w:val="es-CO" w:eastAsia="es-CO"/>
              </w:rPr>
            </w:pPr>
            <w:r w:rsidRPr="00916D5B">
              <w:rPr>
                <w:rFonts w:cs="Arial"/>
                <w:i/>
                <w:iCs/>
                <w:sz w:val="18"/>
                <w:szCs w:val="18"/>
                <w:lang w:val="es-CO" w:eastAsia="es-CO"/>
              </w:rPr>
              <w:t>51.130.766.268</w:t>
            </w:r>
          </w:p>
        </w:tc>
      </w:tr>
    </w:tbl>
    <w:p w14:paraId="10F926AC" w14:textId="53A36A92" w:rsidR="006947FF" w:rsidRDefault="006947FF" w:rsidP="006947FF">
      <w:r>
        <w:t xml:space="preserve">En el </w:t>
      </w:r>
      <w:r w:rsidR="004403F9">
        <w:t xml:space="preserve">numeral 8.1.2 del </w:t>
      </w:r>
      <w:r>
        <w:t xml:space="preserve">documento </w:t>
      </w:r>
      <w:r w:rsidR="005C2813" w:rsidRPr="006947FF">
        <w:rPr>
          <w:i/>
          <w:iCs/>
        </w:rPr>
        <w:t>EQUIPOS DE CONTROL, PROTECCIÓN Y COMUNICACIONES</w:t>
      </w:r>
      <w:r>
        <w:t xml:space="preserve"> publicado en la Circular CREG 038 de 2014, el cual sirvió de base para la definición de las UC de la Resolución CREG 015 de 2018 se </w:t>
      </w:r>
      <w:r w:rsidR="00736B70">
        <w:t>encuentra lo siguiente:</w:t>
      </w:r>
      <w:r w:rsidR="00A01374">
        <w:tab/>
      </w:r>
    </w:p>
    <w:p w14:paraId="2E7C7E39" w14:textId="6D850A62" w:rsidR="004403F9" w:rsidRPr="004403F9" w:rsidRDefault="004403F9" w:rsidP="007E3F9C">
      <w:pPr>
        <w:spacing w:before="60" w:after="60"/>
        <w:ind w:left="284"/>
        <w:jc w:val="center"/>
        <w:rPr>
          <w:b/>
          <w:bCs/>
          <w:i/>
          <w:iCs/>
          <w:sz w:val="20"/>
          <w:szCs w:val="20"/>
        </w:rPr>
      </w:pPr>
      <w:r w:rsidRPr="004403F9">
        <w:rPr>
          <w:b/>
          <w:bCs/>
          <w:i/>
          <w:iCs/>
          <w:sz w:val="20"/>
          <w:szCs w:val="20"/>
        </w:rPr>
        <w:t>8.1.2 COMPONENTES PARA LA TIPIFICACIÓN DE LA ARQUITECTURA DEL SISTEMA DE CONTROL DE LA ESTACIÓN MAESTRA</w:t>
      </w:r>
    </w:p>
    <w:p w14:paraId="620C9FEB" w14:textId="49E15BD4" w:rsidR="004403F9" w:rsidRPr="004403F9" w:rsidRDefault="004403F9" w:rsidP="007E3F9C">
      <w:pPr>
        <w:spacing w:before="60" w:after="60"/>
        <w:ind w:left="284"/>
        <w:rPr>
          <w:i/>
          <w:iCs/>
          <w:sz w:val="20"/>
          <w:szCs w:val="20"/>
        </w:rPr>
      </w:pPr>
      <w:r w:rsidRPr="004403F9">
        <w:rPr>
          <w:i/>
          <w:iCs/>
          <w:sz w:val="20"/>
          <w:szCs w:val="20"/>
        </w:rPr>
        <w:t xml:space="preserve">Con base en los criterios establecidos anteriormente, </w:t>
      </w:r>
      <w:r w:rsidRPr="004403F9">
        <w:rPr>
          <w:i/>
          <w:iCs/>
          <w:sz w:val="20"/>
          <w:szCs w:val="20"/>
          <w:u w:val="single"/>
        </w:rPr>
        <w:t>se definen los diferentes componentes que impactan la arquitectura del sistema de control de la estación maestra</w:t>
      </w:r>
      <w:r w:rsidRPr="004403F9">
        <w:rPr>
          <w:i/>
          <w:iCs/>
          <w:sz w:val="20"/>
          <w:szCs w:val="20"/>
        </w:rPr>
        <w:t>.</w:t>
      </w:r>
      <w:r>
        <w:rPr>
          <w:i/>
          <w:iCs/>
          <w:sz w:val="20"/>
          <w:szCs w:val="20"/>
        </w:rPr>
        <w:t xml:space="preserve"> </w:t>
      </w:r>
      <w:r w:rsidRPr="004403F9">
        <w:rPr>
          <w:i/>
          <w:iCs/>
          <w:sz w:val="20"/>
          <w:szCs w:val="20"/>
        </w:rPr>
        <w:t>Es así como un sistema orientado puramente a SCADA tendrá una arquitectura de estación maestra diferente a un sistema orientado a la operación de la transmisión</w:t>
      </w:r>
      <w:r>
        <w:rPr>
          <w:i/>
          <w:iCs/>
          <w:sz w:val="20"/>
          <w:szCs w:val="20"/>
        </w:rPr>
        <w:t xml:space="preserve"> </w:t>
      </w:r>
      <w:r w:rsidRPr="004403F9">
        <w:rPr>
          <w:i/>
          <w:iCs/>
          <w:sz w:val="20"/>
          <w:szCs w:val="20"/>
        </w:rPr>
        <w:t>(SCADA/EMS) o a la operación de la distribución (SCADA/DMS).</w:t>
      </w:r>
    </w:p>
    <w:p w14:paraId="0BCC3A05" w14:textId="3C374875" w:rsidR="004403F9" w:rsidRPr="004403F9" w:rsidRDefault="004403F9" w:rsidP="007E3F9C">
      <w:pPr>
        <w:spacing w:before="60" w:after="60"/>
        <w:ind w:left="284"/>
        <w:rPr>
          <w:i/>
          <w:iCs/>
          <w:sz w:val="20"/>
          <w:szCs w:val="20"/>
        </w:rPr>
      </w:pPr>
      <w:r w:rsidRPr="004403F9">
        <w:rPr>
          <w:i/>
          <w:iCs/>
          <w:sz w:val="20"/>
          <w:szCs w:val="20"/>
        </w:rPr>
        <w:t>El siguiente cuadro presenta la caracterización (tipos) de los diferentes componentes que</w:t>
      </w:r>
      <w:r>
        <w:rPr>
          <w:i/>
          <w:iCs/>
          <w:sz w:val="20"/>
          <w:szCs w:val="20"/>
        </w:rPr>
        <w:t xml:space="preserve"> </w:t>
      </w:r>
      <w:r w:rsidRPr="004403F9">
        <w:rPr>
          <w:i/>
          <w:iCs/>
          <w:sz w:val="20"/>
          <w:szCs w:val="20"/>
        </w:rPr>
        <w:t>impactan estas arquitecturas, agrupados por los criterios definidos en la sección anterior.</w:t>
      </w:r>
      <w:r w:rsidR="00F4214B">
        <w:rPr>
          <w:i/>
          <w:iCs/>
          <w:sz w:val="20"/>
          <w:szCs w:val="20"/>
        </w:rPr>
        <w:t xml:space="preserve"> </w:t>
      </w:r>
      <w:r w:rsidR="00920DFD">
        <w:rPr>
          <w:i/>
          <w:iCs/>
          <w:sz w:val="20"/>
          <w:szCs w:val="20"/>
        </w:rPr>
        <w:t>(…)</w:t>
      </w:r>
    </w:p>
    <w:p w14:paraId="46BFD93F" w14:textId="79DD9CFB" w:rsidR="004403F9" w:rsidRDefault="004403F9" w:rsidP="007E3F9C">
      <w:pPr>
        <w:spacing w:before="60" w:after="60"/>
        <w:ind w:left="284"/>
        <w:rPr>
          <w:i/>
          <w:iCs/>
          <w:sz w:val="20"/>
          <w:szCs w:val="20"/>
        </w:rPr>
      </w:pPr>
      <w:r w:rsidRPr="004403F9">
        <w:rPr>
          <w:i/>
          <w:iCs/>
          <w:sz w:val="20"/>
          <w:szCs w:val="20"/>
        </w:rPr>
        <w:t>De esta forma quedarían establecidos cuatro (4) tipos de sistemas de control a nivel de la estación maestra. En el Tipo 2 se establecen tres (3) sub-tipos de sistemas de control y en el Tipo 4 se establecen dos (2) sub-tipos adicionales. Las características de estos tipos se describen a continuación</w:t>
      </w:r>
      <w:r>
        <w:rPr>
          <w:i/>
          <w:iCs/>
          <w:sz w:val="20"/>
          <w:szCs w:val="20"/>
        </w:rPr>
        <w:t>:</w:t>
      </w:r>
      <w:r w:rsidR="00F82D5C">
        <w:rPr>
          <w:i/>
          <w:iCs/>
          <w:sz w:val="20"/>
          <w:szCs w:val="20"/>
        </w:rPr>
        <w:t xml:space="preserve"> </w:t>
      </w:r>
      <w:r>
        <w:rPr>
          <w:i/>
          <w:iCs/>
          <w:sz w:val="20"/>
          <w:szCs w:val="20"/>
        </w:rPr>
        <w:t>(…)</w:t>
      </w:r>
    </w:p>
    <w:p w14:paraId="51CFC68C" w14:textId="1C6E285D" w:rsidR="004403F9" w:rsidRPr="004403F9" w:rsidRDefault="004403F9" w:rsidP="007E3F9C">
      <w:pPr>
        <w:spacing w:before="60" w:after="60"/>
        <w:ind w:left="284"/>
        <w:rPr>
          <w:i/>
          <w:iCs/>
          <w:sz w:val="20"/>
          <w:szCs w:val="20"/>
        </w:rPr>
      </w:pPr>
      <w:r w:rsidRPr="004403F9">
        <w:rPr>
          <w:i/>
          <w:iCs/>
          <w:sz w:val="20"/>
          <w:szCs w:val="20"/>
        </w:rPr>
        <w:t>7. Tipo 4 (</w:t>
      </w:r>
      <w:r w:rsidRPr="004403F9">
        <w:rPr>
          <w:i/>
          <w:iCs/>
          <w:sz w:val="20"/>
          <w:szCs w:val="20"/>
          <w:u w:val="single"/>
        </w:rPr>
        <w:t>SCADA + EMS Completo + DMS Completo + OMS + CMS + GIS</w:t>
      </w:r>
      <w:r w:rsidRPr="004403F9">
        <w:rPr>
          <w:i/>
          <w:iCs/>
          <w:sz w:val="20"/>
          <w:szCs w:val="20"/>
        </w:rPr>
        <w:t>): Este</w:t>
      </w:r>
      <w:r>
        <w:rPr>
          <w:i/>
          <w:iCs/>
          <w:sz w:val="20"/>
          <w:szCs w:val="20"/>
        </w:rPr>
        <w:t xml:space="preserve"> </w:t>
      </w:r>
      <w:r w:rsidRPr="004403F9">
        <w:rPr>
          <w:i/>
          <w:iCs/>
          <w:sz w:val="20"/>
          <w:szCs w:val="20"/>
        </w:rPr>
        <w:t>sistema se caracteriza por lo siguiente:</w:t>
      </w:r>
    </w:p>
    <w:p w14:paraId="569C05D0" w14:textId="6620D954" w:rsidR="004403F9" w:rsidRPr="004403F9" w:rsidRDefault="004403F9" w:rsidP="007E3F9C">
      <w:pPr>
        <w:spacing w:before="60" w:after="60"/>
        <w:ind w:left="284"/>
        <w:rPr>
          <w:i/>
          <w:iCs/>
          <w:sz w:val="20"/>
          <w:szCs w:val="20"/>
        </w:rPr>
      </w:pPr>
      <w:r w:rsidRPr="004403F9">
        <w:rPr>
          <w:i/>
          <w:iCs/>
          <w:sz w:val="20"/>
          <w:szCs w:val="20"/>
        </w:rPr>
        <w:t>a. Funcionalidad SCADA y EMS completa, con aplicaciones orientadas tanto</w:t>
      </w:r>
      <w:r>
        <w:rPr>
          <w:i/>
          <w:iCs/>
          <w:sz w:val="20"/>
          <w:szCs w:val="20"/>
        </w:rPr>
        <w:t xml:space="preserve"> </w:t>
      </w:r>
      <w:r w:rsidRPr="004403F9">
        <w:rPr>
          <w:i/>
          <w:iCs/>
          <w:sz w:val="20"/>
          <w:szCs w:val="20"/>
        </w:rPr>
        <w:t>a la operación como al planeamiento y programación de la operación.</w:t>
      </w:r>
    </w:p>
    <w:p w14:paraId="76BD48DD" w14:textId="32D42EE7" w:rsidR="004403F9" w:rsidRPr="004403F9" w:rsidRDefault="004403F9" w:rsidP="007E3F9C">
      <w:pPr>
        <w:spacing w:before="60" w:after="60"/>
        <w:ind w:left="284"/>
        <w:rPr>
          <w:i/>
          <w:iCs/>
          <w:sz w:val="20"/>
          <w:szCs w:val="20"/>
        </w:rPr>
      </w:pPr>
      <w:r w:rsidRPr="004403F9">
        <w:rPr>
          <w:i/>
          <w:iCs/>
          <w:sz w:val="20"/>
          <w:szCs w:val="20"/>
        </w:rPr>
        <w:t xml:space="preserve">b. </w:t>
      </w:r>
      <w:r w:rsidRPr="004403F9">
        <w:rPr>
          <w:i/>
          <w:iCs/>
          <w:sz w:val="20"/>
          <w:szCs w:val="20"/>
          <w:u w:val="single"/>
        </w:rPr>
        <w:t>Funcionalidad DMS con Aplicaciones Orientadas tanto a la operación como el análisis de la red de distribución, además incluyen aplicaciones para la gestión de incidencias (OMS), gestión de cuadrillas (CMS) sobre una plataforma GIS</w:t>
      </w:r>
      <w:r w:rsidRPr="004403F9">
        <w:rPr>
          <w:i/>
          <w:iCs/>
          <w:sz w:val="20"/>
          <w:szCs w:val="20"/>
        </w:rPr>
        <w:t>.</w:t>
      </w:r>
    </w:p>
    <w:p w14:paraId="5BAC89A9" w14:textId="6EEC69E1" w:rsidR="004403F9" w:rsidRPr="004403F9" w:rsidRDefault="004403F9" w:rsidP="007E3F9C">
      <w:pPr>
        <w:spacing w:before="60" w:after="60"/>
        <w:ind w:left="284"/>
        <w:rPr>
          <w:i/>
          <w:iCs/>
          <w:sz w:val="20"/>
          <w:szCs w:val="20"/>
        </w:rPr>
      </w:pPr>
      <w:r w:rsidRPr="004403F9">
        <w:rPr>
          <w:i/>
          <w:iCs/>
          <w:sz w:val="20"/>
          <w:szCs w:val="20"/>
        </w:rPr>
        <w:t>c. Dimensionado para un número alto de señales,</w:t>
      </w:r>
      <w:r>
        <w:rPr>
          <w:i/>
          <w:iCs/>
          <w:sz w:val="20"/>
          <w:szCs w:val="20"/>
        </w:rPr>
        <w:t xml:space="preserve"> </w:t>
      </w:r>
      <w:r w:rsidRPr="004403F9">
        <w:rPr>
          <w:i/>
          <w:iCs/>
          <w:sz w:val="20"/>
          <w:szCs w:val="20"/>
        </w:rPr>
        <w:t>d. Equipado con servidores dedicados al SCADA, servidores para la gestión</w:t>
      </w:r>
      <w:r>
        <w:rPr>
          <w:i/>
          <w:iCs/>
          <w:sz w:val="20"/>
          <w:szCs w:val="20"/>
        </w:rPr>
        <w:t xml:space="preserve"> </w:t>
      </w:r>
      <w:r w:rsidRPr="004403F9">
        <w:rPr>
          <w:i/>
          <w:iCs/>
          <w:sz w:val="20"/>
          <w:szCs w:val="20"/>
        </w:rPr>
        <w:t xml:space="preserve">de las comunicaciones, servidores de aplicaciones DMS, </w:t>
      </w:r>
      <w:r w:rsidRPr="004403F9">
        <w:rPr>
          <w:i/>
          <w:iCs/>
          <w:sz w:val="20"/>
          <w:szCs w:val="20"/>
          <w:u w:val="single"/>
        </w:rPr>
        <w:t>servidores de aplicaciones OMS+CMS+GIS</w:t>
      </w:r>
      <w:r w:rsidRPr="004403F9">
        <w:rPr>
          <w:i/>
          <w:iCs/>
          <w:sz w:val="20"/>
          <w:szCs w:val="20"/>
        </w:rPr>
        <w:t xml:space="preserve"> y servidores de base de datos histórica.</w:t>
      </w:r>
    </w:p>
    <w:p w14:paraId="499C42EB" w14:textId="1F9D9921" w:rsidR="004403F9" w:rsidRPr="004403F9" w:rsidRDefault="004403F9" w:rsidP="007E3F9C">
      <w:pPr>
        <w:spacing w:before="60" w:after="60"/>
        <w:ind w:left="284"/>
        <w:rPr>
          <w:i/>
          <w:iCs/>
          <w:sz w:val="20"/>
          <w:szCs w:val="20"/>
        </w:rPr>
      </w:pPr>
      <w:r w:rsidRPr="004403F9">
        <w:rPr>
          <w:i/>
          <w:iCs/>
          <w:sz w:val="20"/>
          <w:szCs w:val="20"/>
        </w:rPr>
        <w:t>e. Sistema de Interfaz de Usuario basado en dos (2) estaciones de trabajo</w:t>
      </w:r>
      <w:r>
        <w:rPr>
          <w:i/>
          <w:iCs/>
          <w:sz w:val="20"/>
          <w:szCs w:val="20"/>
        </w:rPr>
        <w:t xml:space="preserve"> </w:t>
      </w:r>
      <w:r w:rsidRPr="004403F9">
        <w:rPr>
          <w:i/>
          <w:iCs/>
          <w:sz w:val="20"/>
          <w:szCs w:val="20"/>
        </w:rPr>
        <w:t>con tres (3) monitores más un sistema de video de proyección con al</w:t>
      </w:r>
      <w:r>
        <w:rPr>
          <w:i/>
          <w:iCs/>
          <w:sz w:val="20"/>
          <w:szCs w:val="20"/>
        </w:rPr>
        <w:t xml:space="preserve"> </w:t>
      </w:r>
      <w:r w:rsidRPr="004403F9">
        <w:rPr>
          <w:i/>
          <w:iCs/>
          <w:sz w:val="20"/>
          <w:szCs w:val="20"/>
        </w:rPr>
        <w:t>menos seis (6) módulos.</w:t>
      </w:r>
    </w:p>
    <w:p w14:paraId="3347DFD6" w14:textId="5FF80561" w:rsidR="004403F9" w:rsidRPr="004403F9" w:rsidRDefault="004403F9" w:rsidP="007E3F9C">
      <w:pPr>
        <w:spacing w:before="60" w:after="60"/>
        <w:ind w:left="284"/>
        <w:rPr>
          <w:i/>
          <w:iCs/>
          <w:sz w:val="20"/>
          <w:szCs w:val="20"/>
        </w:rPr>
      </w:pPr>
      <w:r w:rsidRPr="004403F9">
        <w:rPr>
          <w:i/>
          <w:iCs/>
          <w:sz w:val="20"/>
          <w:szCs w:val="20"/>
        </w:rPr>
        <w:t>f. Equipos de interfaz de comunicaciones (Terminal Server para el manejo de</w:t>
      </w:r>
      <w:r>
        <w:rPr>
          <w:i/>
          <w:iCs/>
          <w:sz w:val="20"/>
          <w:szCs w:val="20"/>
        </w:rPr>
        <w:t xml:space="preserve"> </w:t>
      </w:r>
      <w:r w:rsidRPr="004403F9">
        <w:rPr>
          <w:i/>
          <w:iCs/>
          <w:sz w:val="20"/>
          <w:szCs w:val="20"/>
        </w:rPr>
        <w:t>protocolos seriales y/o enrutadores/firewall para el manejo de protocolos de</w:t>
      </w:r>
      <w:r>
        <w:rPr>
          <w:i/>
          <w:iCs/>
          <w:sz w:val="20"/>
          <w:szCs w:val="20"/>
        </w:rPr>
        <w:t xml:space="preserve"> </w:t>
      </w:r>
      <w:r w:rsidRPr="004403F9">
        <w:rPr>
          <w:i/>
          <w:iCs/>
          <w:sz w:val="20"/>
          <w:szCs w:val="20"/>
        </w:rPr>
        <w:t>red.</w:t>
      </w:r>
    </w:p>
    <w:p w14:paraId="6762E477" w14:textId="77777777" w:rsidR="004403F9" w:rsidRPr="004403F9" w:rsidRDefault="004403F9" w:rsidP="007E3F9C">
      <w:pPr>
        <w:spacing w:before="60" w:after="60"/>
        <w:ind w:left="284"/>
        <w:rPr>
          <w:i/>
          <w:iCs/>
          <w:sz w:val="20"/>
          <w:szCs w:val="20"/>
        </w:rPr>
      </w:pPr>
      <w:r w:rsidRPr="004403F9">
        <w:rPr>
          <w:i/>
          <w:iCs/>
          <w:sz w:val="20"/>
          <w:szCs w:val="20"/>
        </w:rPr>
        <w:t>g. Sistema de Sincronización de Tiempo con señal GPS.</w:t>
      </w:r>
    </w:p>
    <w:p w14:paraId="4FAF099F" w14:textId="38634F6F" w:rsidR="004403F9" w:rsidRPr="004403F9" w:rsidRDefault="004403F9" w:rsidP="007E3F9C">
      <w:pPr>
        <w:spacing w:before="60" w:after="60"/>
        <w:ind w:left="284"/>
        <w:rPr>
          <w:i/>
          <w:iCs/>
          <w:sz w:val="20"/>
          <w:szCs w:val="20"/>
        </w:rPr>
      </w:pPr>
      <w:r w:rsidRPr="004403F9">
        <w:rPr>
          <w:i/>
          <w:iCs/>
          <w:sz w:val="20"/>
          <w:szCs w:val="20"/>
        </w:rPr>
        <w:t>h. Redundancia en todos los componentes de hardware, incluyendo la Red</w:t>
      </w:r>
      <w:r>
        <w:rPr>
          <w:i/>
          <w:iCs/>
          <w:sz w:val="20"/>
          <w:szCs w:val="20"/>
        </w:rPr>
        <w:t xml:space="preserve"> </w:t>
      </w:r>
      <w:r w:rsidRPr="004403F9">
        <w:rPr>
          <w:i/>
          <w:iCs/>
          <w:sz w:val="20"/>
          <w:szCs w:val="20"/>
        </w:rPr>
        <w:t>LAN.</w:t>
      </w:r>
    </w:p>
    <w:p w14:paraId="5A4D0CA4" w14:textId="54EB28DE" w:rsidR="004403F9" w:rsidRDefault="004403F9" w:rsidP="007E3F9C">
      <w:pPr>
        <w:spacing w:before="60" w:after="60"/>
        <w:ind w:left="284"/>
        <w:rPr>
          <w:i/>
          <w:iCs/>
          <w:sz w:val="20"/>
          <w:szCs w:val="20"/>
        </w:rPr>
      </w:pPr>
      <w:r w:rsidRPr="004403F9">
        <w:rPr>
          <w:i/>
          <w:iCs/>
          <w:sz w:val="20"/>
          <w:szCs w:val="20"/>
        </w:rPr>
        <w:t>i. Estación maestra para un Centro de Control de Respaldo</w:t>
      </w:r>
    </w:p>
    <w:p w14:paraId="5C8BBACB" w14:textId="6FA8F6AC" w:rsidR="004403F9" w:rsidRPr="004403F9" w:rsidRDefault="004403F9" w:rsidP="007E3F9C">
      <w:pPr>
        <w:spacing w:before="60" w:after="60"/>
        <w:ind w:left="284"/>
        <w:rPr>
          <w:i/>
          <w:iCs/>
          <w:sz w:val="20"/>
          <w:szCs w:val="20"/>
        </w:rPr>
      </w:pPr>
      <w:r>
        <w:rPr>
          <w:i/>
          <w:iCs/>
          <w:sz w:val="20"/>
          <w:szCs w:val="20"/>
        </w:rPr>
        <w:t>Subrayado fuera de texto.</w:t>
      </w:r>
    </w:p>
    <w:p w14:paraId="7B7589E0" w14:textId="47B34398" w:rsidR="00DA2076" w:rsidRDefault="004403F9" w:rsidP="00DA2076">
      <w:r>
        <w:t xml:space="preserve">En concordancia con lo anterior, en </w:t>
      </w:r>
      <w:r w:rsidR="00D931A3">
        <w:t xml:space="preserve">el archivo </w:t>
      </w:r>
      <w:r w:rsidR="00D931A3" w:rsidRPr="00706FF6">
        <w:rPr>
          <w:i/>
          <w:iCs/>
        </w:rPr>
        <w:t>Circular 029-2018 Conformación UC capítulo 14 CREG 015 de 2018.xlsx</w:t>
      </w:r>
      <w:r w:rsidR="00DA2076">
        <w:t xml:space="preserve">, </w:t>
      </w:r>
      <w:r>
        <w:t>publicado en la Circular CREG 029 de 2018</w:t>
      </w:r>
      <w:r w:rsidR="007E3F9C">
        <w:t>,</w:t>
      </w:r>
      <w:r>
        <w:t xml:space="preserve"> y que hace parte de los documentos de la Resolución CREG 015 de 2018 </w:t>
      </w:r>
      <w:r w:rsidR="00DA2076">
        <w:t xml:space="preserve">se </w:t>
      </w:r>
      <w:r>
        <w:t xml:space="preserve">encuentra </w:t>
      </w:r>
      <w:r w:rsidR="00DA2076">
        <w:t xml:space="preserve">la siguiente tabla: </w:t>
      </w:r>
    </w:p>
    <w:p w14:paraId="673746FE" w14:textId="77777777" w:rsidR="00DA2076" w:rsidRDefault="00DA2076" w:rsidP="00DA2076">
      <w:pPr>
        <w:jc w:val="center"/>
      </w:pPr>
      <w:r>
        <w:rPr>
          <w:noProof/>
        </w:rPr>
        <w:drawing>
          <wp:inline distT="0" distB="0" distL="0" distR="0" wp14:anchorId="72515EBF" wp14:editId="36ACBB06">
            <wp:extent cx="5562600" cy="4515320"/>
            <wp:effectExtent l="0" t="0" r="0" b="0"/>
            <wp:docPr id="13" name="Imagen 13"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 Tabla, Excel&#10;&#10;Descripción generada automáticamente"/>
                    <pic:cNvPicPr/>
                  </pic:nvPicPr>
                  <pic:blipFill rotWithShape="1">
                    <a:blip r:embed="rId10"/>
                    <a:srcRect t="21545" r="48055" b="10996"/>
                    <a:stretch/>
                  </pic:blipFill>
                  <pic:spPr bwMode="auto">
                    <a:xfrm>
                      <a:off x="0" y="0"/>
                      <a:ext cx="5576949" cy="4526967"/>
                    </a:xfrm>
                    <a:prstGeom prst="rect">
                      <a:avLst/>
                    </a:prstGeom>
                    <a:ln>
                      <a:noFill/>
                    </a:ln>
                    <a:extLst>
                      <a:ext uri="{53640926-AAD7-44D8-BBD7-CCE9431645EC}">
                        <a14:shadowObscured xmlns:a14="http://schemas.microsoft.com/office/drawing/2010/main"/>
                      </a:ext>
                    </a:extLst>
                  </pic:spPr>
                </pic:pic>
              </a:graphicData>
            </a:graphic>
          </wp:inline>
        </w:drawing>
      </w:r>
    </w:p>
    <w:p w14:paraId="52961185" w14:textId="4480234D" w:rsidR="004403F9" w:rsidRDefault="00643719" w:rsidP="00643719">
      <w:r>
        <w:t xml:space="preserve">De lo anterior, se </w:t>
      </w:r>
      <w:r w:rsidR="004403F9">
        <w:t xml:space="preserve">identifica que en la UC N0P12 </w:t>
      </w:r>
      <w:r>
        <w:t xml:space="preserve">definida en la Resolución CREG 015 de 2018 </w:t>
      </w:r>
      <w:r w:rsidR="004403F9">
        <w:t xml:space="preserve">se encuentran </w:t>
      </w:r>
      <w:r>
        <w:t xml:space="preserve">incluidas las funcionalidades del GIS. </w:t>
      </w:r>
    </w:p>
    <w:p w14:paraId="65EA6E1A" w14:textId="4D989E79" w:rsidR="000D3A7D" w:rsidRDefault="00643719" w:rsidP="00643719">
      <w:r>
        <w:t xml:space="preserve">De otra parte, en la información relacionada con el valor de las etapas I y II de implementación de la UC especial GIS, reportada por el OR en el recurso de reposición, </w:t>
      </w:r>
      <w:r w:rsidR="00A01374">
        <w:t xml:space="preserve">se incluyen </w:t>
      </w:r>
      <w:r>
        <w:t xml:space="preserve">actividades </w:t>
      </w:r>
      <w:r w:rsidR="00A01374">
        <w:t>que se entiende que hacen parte del componente de AOM y no de una UC</w:t>
      </w:r>
      <w:r w:rsidR="007E3F9C">
        <w:t>. E</w:t>
      </w:r>
      <w:r w:rsidR="00A01374">
        <w:t>stas actividades representan el 86% del valor solicitado (</w:t>
      </w:r>
      <w:r>
        <w:t>l</w:t>
      </w:r>
      <w:r w:rsidRPr="00643719">
        <w:t>evantamiento de activos</w:t>
      </w:r>
      <w:r>
        <w:t xml:space="preserve">, marcación de elementos y </w:t>
      </w:r>
      <w:r w:rsidR="005A544F">
        <w:t>c</w:t>
      </w:r>
      <w:r>
        <w:t>enso Tipo II</w:t>
      </w:r>
      <w:r w:rsidR="00A01374">
        <w:t>)</w:t>
      </w:r>
      <w:r>
        <w:t>.</w:t>
      </w:r>
      <w:r w:rsidR="00916D5B">
        <w:t xml:space="preserve"> </w:t>
      </w:r>
    </w:p>
    <w:p w14:paraId="261A48D6" w14:textId="756E75E5" w:rsidR="00643719" w:rsidRDefault="00643719" w:rsidP="00643719">
      <w:r>
        <w:t>Con base en lo anterior, no se incluye en el plan de inversiones la UC especial GIS</w:t>
      </w:r>
      <w:r w:rsidR="00916D5B">
        <w:t xml:space="preserve"> solicitada</w:t>
      </w:r>
      <w:r>
        <w:t>.</w:t>
      </w:r>
    </w:p>
    <w:p w14:paraId="1EA69F0B" w14:textId="47480E0A" w:rsidR="005A2771" w:rsidRDefault="005A2771" w:rsidP="000C68A9">
      <w:pPr>
        <w:keepNext/>
      </w:pPr>
      <w:r>
        <w:rPr>
          <w:b/>
          <w:bCs/>
        </w:rPr>
        <w:t>Solicitud No. 18</w:t>
      </w:r>
    </w:p>
    <w:p w14:paraId="78BFE1D8" w14:textId="365B6CF8" w:rsidR="005A2771" w:rsidRDefault="005A2771" w:rsidP="007E3F9C">
      <w:pPr>
        <w:spacing w:before="60" w:after="60"/>
        <w:ind w:left="284"/>
        <w:rPr>
          <w:i/>
          <w:iCs/>
          <w:sz w:val="20"/>
        </w:rPr>
      </w:pPr>
      <w:bookmarkStart w:id="8" w:name="OLE_LINK1"/>
      <w:r w:rsidRPr="000C4F5C">
        <w:rPr>
          <w:i/>
          <w:iCs/>
          <w:sz w:val="20"/>
        </w:rPr>
        <w:t>Se solicita a la CREG reconocer las UC Especiales: N0ESCI1_Monitoreo SCI celdas /cables aislados MT y N0ESCI2_Extinción automática SCI celdas/cables aislados MT</w:t>
      </w:r>
      <w:bookmarkEnd w:id="8"/>
      <w:r w:rsidRPr="000C4F5C">
        <w:rPr>
          <w:i/>
          <w:iCs/>
          <w:sz w:val="20"/>
        </w:rPr>
        <w:t>. Lo anterior, considerando que estos equipos son requeridos para mitigar el riesgo de incendios que se tiene sobre los equipos de celdas de media tensión y salidas de cables aislados, y no sobre las casetas de control, como fue el entendimiento dado por la CREG.</w:t>
      </w:r>
    </w:p>
    <w:p w14:paraId="660FEBDD" w14:textId="77777777" w:rsidR="005A2771" w:rsidRPr="005A2771" w:rsidRDefault="005A2771" w:rsidP="007E3F9C">
      <w:pPr>
        <w:spacing w:before="60" w:after="60"/>
        <w:ind w:left="284"/>
        <w:rPr>
          <w:i/>
          <w:iCs/>
          <w:sz w:val="20"/>
        </w:rPr>
      </w:pPr>
      <w:r w:rsidRPr="005A2771">
        <w:rPr>
          <w:i/>
          <w:iCs/>
          <w:sz w:val="20"/>
        </w:rPr>
        <w:t xml:space="preserve">Por otra parte, la CREG no reconoce las UC especiales N0E-SCI1_monitoreo SCI edificio y N0ESCI2_extinción automática SCI edificio, argumentando que dichos sistemas hacen parte de la conformación de la casa de control, como sigue:   </w:t>
      </w:r>
    </w:p>
    <w:p w14:paraId="6C702E06" w14:textId="099A7CF1" w:rsidR="005A2771" w:rsidRDefault="005A2771" w:rsidP="007E3F9C">
      <w:pPr>
        <w:spacing w:before="60" w:after="60"/>
        <w:ind w:left="567"/>
        <w:rPr>
          <w:i/>
          <w:iCs/>
          <w:sz w:val="20"/>
        </w:rPr>
      </w:pPr>
      <w:r w:rsidRPr="005A2771">
        <w:rPr>
          <w:i/>
          <w:iCs/>
          <w:sz w:val="20"/>
        </w:rPr>
        <w:t xml:space="preserve">“No se incluyen las UC relacionadas con sistemas contra incendio en las casas de control de la subestación, se entiende que estos sistemas hacen parte de la conformación de la casa de control que es remunerada en las UC respectivas”. </w:t>
      </w:r>
    </w:p>
    <w:p w14:paraId="0B316340" w14:textId="76589A48" w:rsidR="005A2771" w:rsidRPr="005A2771" w:rsidRDefault="005A2771" w:rsidP="007E3F9C">
      <w:pPr>
        <w:spacing w:before="60" w:after="60"/>
        <w:ind w:left="284"/>
        <w:rPr>
          <w:i/>
          <w:iCs/>
          <w:sz w:val="20"/>
        </w:rPr>
      </w:pPr>
      <w:r w:rsidRPr="005A2771">
        <w:rPr>
          <w:i/>
          <w:iCs/>
          <w:sz w:val="20"/>
        </w:rPr>
        <w:t xml:space="preserve">Al respecto, AIR-E S.A.S. E.S.P. </w:t>
      </w:r>
      <w:r w:rsidRPr="005A2771">
        <w:rPr>
          <w:i/>
          <w:iCs/>
          <w:sz w:val="20"/>
          <w:u w:val="single"/>
        </w:rPr>
        <w:t>se permite aclarar que, lo solicitado en las UCs denominadas N0ESCI1_monitoreo SCI edificio y N0E-SCI2_extinción automática SCI edificio, está basado en la mitigación del riesgo de incendios que se tiene sobre los equipos de celdas de media tensión y salidas de cables aislados, y su necesidad de detección y extinción</w:t>
      </w:r>
      <w:r w:rsidRPr="005A2771">
        <w:rPr>
          <w:i/>
          <w:iCs/>
          <w:sz w:val="20"/>
        </w:rPr>
        <w:t xml:space="preserve">, como se indica en los soportes entregados con radicado CREG E-2021-002222 de febrero 17 de 2021.   </w:t>
      </w:r>
      <w:r w:rsidRPr="005A2771">
        <w:rPr>
          <w:i/>
          <w:iCs/>
          <w:sz w:val="20"/>
          <w:u w:val="single"/>
        </w:rPr>
        <w:t>El riesgo sobre la caseta de control comparado frente al que se tiene para los equipos eléctricos es mínimo, mientras que en el segundo caso ya se ha materializado</w:t>
      </w:r>
      <w:r w:rsidRPr="005A2771">
        <w:rPr>
          <w:i/>
          <w:iCs/>
          <w:sz w:val="20"/>
        </w:rPr>
        <w:t xml:space="preserve">.  </w:t>
      </w:r>
    </w:p>
    <w:p w14:paraId="5D6051AC" w14:textId="77777777" w:rsidR="005A2771" w:rsidRPr="005A2771" w:rsidRDefault="005A2771" w:rsidP="007E3F9C">
      <w:pPr>
        <w:spacing w:before="60" w:after="60"/>
        <w:ind w:left="284"/>
        <w:rPr>
          <w:i/>
          <w:iCs/>
          <w:sz w:val="20"/>
        </w:rPr>
      </w:pPr>
      <w:r w:rsidRPr="005A2771">
        <w:rPr>
          <w:i/>
          <w:iCs/>
          <w:sz w:val="20"/>
        </w:rPr>
        <w:t xml:space="preserve">En este sentido, se entiende que el argumento de la CREG se genera por el nombre asignado a la UC, por tanto, estas se renombran como sigue:   </w:t>
      </w:r>
    </w:p>
    <w:p w14:paraId="51551D83" w14:textId="77777777" w:rsidR="005A2771" w:rsidRPr="000F6198" w:rsidRDefault="005A2771" w:rsidP="007E3F9C">
      <w:pPr>
        <w:spacing w:before="60" w:after="60"/>
        <w:ind w:left="567"/>
        <w:rPr>
          <w:i/>
          <w:iCs/>
          <w:sz w:val="20"/>
        </w:rPr>
      </w:pPr>
      <w:r w:rsidRPr="000F6198">
        <w:rPr>
          <w:i/>
          <w:iCs/>
          <w:sz w:val="20"/>
        </w:rPr>
        <w:t xml:space="preserve">- N0E-SCI1_Monitoreo SCI celdas /cables aislados MT  </w:t>
      </w:r>
    </w:p>
    <w:p w14:paraId="532A1C3C" w14:textId="0A148C40" w:rsidR="005A2771" w:rsidRPr="005A2771" w:rsidRDefault="005A2771" w:rsidP="007E3F9C">
      <w:pPr>
        <w:spacing w:before="60" w:after="60"/>
        <w:ind w:left="567"/>
        <w:rPr>
          <w:i/>
          <w:iCs/>
          <w:sz w:val="20"/>
        </w:rPr>
      </w:pPr>
      <w:r w:rsidRPr="000F6198">
        <w:rPr>
          <w:i/>
          <w:iCs/>
          <w:sz w:val="20"/>
        </w:rPr>
        <w:t>- N0E-SCI2_Extinción automática SCI celdas/cables aislados MT</w:t>
      </w:r>
      <w:r w:rsidRPr="005A2771">
        <w:rPr>
          <w:i/>
          <w:iCs/>
          <w:sz w:val="20"/>
        </w:rPr>
        <w:t xml:space="preserve">   </w:t>
      </w:r>
    </w:p>
    <w:p w14:paraId="4AC4EEDB" w14:textId="118A0117" w:rsidR="005A2771" w:rsidRPr="005A2771" w:rsidRDefault="005A2771" w:rsidP="007E3F9C">
      <w:pPr>
        <w:spacing w:before="60" w:after="60"/>
        <w:ind w:left="284"/>
        <w:rPr>
          <w:i/>
          <w:iCs/>
          <w:sz w:val="20"/>
        </w:rPr>
      </w:pPr>
      <w:r w:rsidRPr="005A2771">
        <w:rPr>
          <w:i/>
          <w:iCs/>
          <w:sz w:val="20"/>
        </w:rPr>
        <w:t>Con esto, se desliga cualquier asociación del equipo requerido al sistema contra incendio de la caseta y se especifica sobre los equipos a los que aplica. Se reitera a la CREG la solicitud de aprobación de esta UC especial.</w:t>
      </w:r>
    </w:p>
    <w:p w14:paraId="59BC1F48" w14:textId="7C4FDAC2" w:rsidR="005A2771" w:rsidRDefault="005A2771" w:rsidP="000C68A9">
      <w:pPr>
        <w:keepNext/>
        <w:rPr>
          <w:b/>
          <w:bCs/>
        </w:rPr>
      </w:pPr>
      <w:r w:rsidRPr="00BF7706">
        <w:rPr>
          <w:b/>
          <w:bCs/>
        </w:rPr>
        <w:t xml:space="preserve">Análisis de la Comisión </w:t>
      </w:r>
    </w:p>
    <w:p w14:paraId="5B3DBFBB" w14:textId="49944B80" w:rsidR="00E9667C" w:rsidRDefault="00E9667C" w:rsidP="005A2771">
      <w:r w:rsidRPr="00E9667C">
        <w:t>En el documento</w:t>
      </w:r>
      <w:r>
        <w:t xml:space="preserve"> </w:t>
      </w:r>
      <w:r w:rsidRPr="00E9667C">
        <w:rPr>
          <w:i/>
          <w:iCs/>
        </w:rPr>
        <w:t>Proyecto técnico condiciones de seguridad contra incendios</w:t>
      </w:r>
      <w:r>
        <w:t xml:space="preserve"> se presenta un proyecto de instalación de un sistema de protección contra incendios en la SE Oasis</w:t>
      </w:r>
      <w:r w:rsidR="007E3F9C">
        <w:t>. E</w:t>
      </w:r>
      <w:r>
        <w:t>n la descripción de las actividades se identifica un sistema de protección y alarma, sistema de protección en transformadores y sistema de extinción automática en edificio de control.</w:t>
      </w:r>
    </w:p>
    <w:p w14:paraId="68BFF489" w14:textId="77777777" w:rsidR="00E9667C" w:rsidRDefault="00E9667C" w:rsidP="005A2771">
      <w:r>
        <w:t>En el sistema de extinción automática del edificio de control se señala que corresponde a:</w:t>
      </w:r>
    </w:p>
    <w:p w14:paraId="70955EBB" w14:textId="6F67D97F" w:rsidR="00E9667C" w:rsidRPr="00AB64FE" w:rsidRDefault="00AB64FE" w:rsidP="007E3F9C">
      <w:pPr>
        <w:ind w:left="284"/>
        <w:rPr>
          <w:i/>
          <w:iCs/>
          <w:sz w:val="20"/>
          <w:szCs w:val="20"/>
        </w:rPr>
      </w:pPr>
      <w:r>
        <w:rPr>
          <w:i/>
          <w:iCs/>
          <w:sz w:val="20"/>
          <w:szCs w:val="20"/>
        </w:rPr>
        <w:t>I</w:t>
      </w:r>
      <w:r w:rsidR="00E9667C" w:rsidRPr="00AB64FE">
        <w:rPr>
          <w:i/>
          <w:iCs/>
          <w:sz w:val="20"/>
          <w:szCs w:val="20"/>
        </w:rPr>
        <w:t xml:space="preserve">nstalación de un sistema de extinción automática por agua nebulizada tipo autónomo (baterías de cilindros, sin grupo presión), en sala de interruptores de edificio eléctrico. </w:t>
      </w:r>
    </w:p>
    <w:p w14:paraId="6194F6CD" w14:textId="408BB149" w:rsidR="00E9667C" w:rsidRPr="00AB64FE" w:rsidRDefault="00AB64FE" w:rsidP="007E3F9C">
      <w:pPr>
        <w:ind w:left="284"/>
        <w:rPr>
          <w:i/>
          <w:iCs/>
          <w:sz w:val="20"/>
          <w:szCs w:val="20"/>
        </w:rPr>
      </w:pPr>
      <w:r>
        <w:rPr>
          <w:i/>
          <w:iCs/>
          <w:sz w:val="20"/>
          <w:szCs w:val="20"/>
        </w:rPr>
        <w:t>I</w:t>
      </w:r>
      <w:r w:rsidR="00E9667C" w:rsidRPr="00AB64FE">
        <w:rPr>
          <w:i/>
          <w:iCs/>
          <w:sz w:val="20"/>
          <w:szCs w:val="20"/>
        </w:rPr>
        <w:t>nstalación de un sistema de extinción automática por agua nebulizada tipo autónomo (baterías de cilindros, sin grupo presión), en sala de emergencia.</w:t>
      </w:r>
    </w:p>
    <w:p w14:paraId="4C7EAD43" w14:textId="77777777" w:rsidR="00AB64FE" w:rsidRDefault="00AB64FE" w:rsidP="005A2771">
      <w:r>
        <w:t xml:space="preserve">Como se señaló en el documento de soporte de la Resolución CREG 024 de 2021, los </w:t>
      </w:r>
      <w:r w:rsidRPr="00AB64FE">
        <w:t>sistemas contra incendio hacen parte de la conformación de la casa de control que es remunerada en las UC respectivas</w:t>
      </w:r>
      <w:r>
        <w:t>.</w:t>
      </w:r>
    </w:p>
    <w:p w14:paraId="2749AC6C" w14:textId="349379D1" w:rsidR="004D4D72" w:rsidRDefault="00AB64FE" w:rsidP="005A2771">
      <w:r>
        <w:t>Se aclara que para el dimensionamiento de la casa de control se consideran las áreas típicas de una casa de control</w:t>
      </w:r>
      <w:r w:rsidR="007E3F9C">
        <w:t>,</w:t>
      </w:r>
      <w:r>
        <w:t xml:space="preserve"> así: i) áreas generales, que incluye las diferentes salas y espacios comunes de las casas de control de la subestación, ii) áreas asociadas con las celdas de control, medida y protección de las bahías de transformador y de línea y iii) áreas asociadas con las celdas </w:t>
      </w:r>
      <w:r w:rsidR="004D4D72">
        <w:t xml:space="preserve">(que incluyen interruptores, control, medida y protección) </w:t>
      </w:r>
      <w:r>
        <w:t>de la subestación.</w:t>
      </w:r>
    </w:p>
    <w:p w14:paraId="1D36F32C" w14:textId="599EF61B" w:rsidR="005A2771" w:rsidRPr="005A2771" w:rsidRDefault="004D4D72" w:rsidP="005A2771">
      <w:r>
        <w:t xml:space="preserve">Con base en lo anterior, se entiende que los costos solicitados ya se encuentran incorporados en las UC reconocidas, por lo cual, no se incluyen las UC especiales solicitadas. </w:t>
      </w:r>
      <w:r w:rsidR="00AB64FE">
        <w:t xml:space="preserve"> </w:t>
      </w:r>
    </w:p>
    <w:p w14:paraId="5C1C6A11" w14:textId="1AC539DA" w:rsidR="005A2771" w:rsidRDefault="005A2771" w:rsidP="000C68A9">
      <w:pPr>
        <w:keepNext/>
      </w:pPr>
      <w:r>
        <w:rPr>
          <w:b/>
          <w:bCs/>
        </w:rPr>
        <w:t>Solicitud No. 19</w:t>
      </w:r>
    </w:p>
    <w:p w14:paraId="6BB91B26" w14:textId="01C349EA" w:rsidR="00B4654C" w:rsidRDefault="005A2771" w:rsidP="007E3F9C">
      <w:pPr>
        <w:spacing w:before="60" w:after="60"/>
        <w:ind w:left="284"/>
        <w:rPr>
          <w:i/>
          <w:iCs/>
          <w:sz w:val="20"/>
        </w:rPr>
      </w:pPr>
      <w:bookmarkStart w:id="9" w:name="OLE_LINK2"/>
      <w:r w:rsidRPr="005A2771">
        <w:rPr>
          <w:i/>
          <w:iCs/>
          <w:sz w:val="20"/>
        </w:rPr>
        <w:t xml:space="preserve">Para las UC especiales relacionadas con postes, </w:t>
      </w:r>
      <w:r w:rsidRPr="005A2771">
        <w:rPr>
          <w:i/>
          <w:iCs/>
          <w:sz w:val="20"/>
          <w:u w:val="single"/>
        </w:rPr>
        <w:t>se solicita al regulador, reconocer los costos de desmontaje asociados a la instalación de postes de concreto y emplear como valor del 794.784,4 COP dic 2017 por metro cúbico de hormigón</w:t>
      </w:r>
      <w:bookmarkEnd w:id="9"/>
      <w:r w:rsidRPr="005A2771">
        <w:rPr>
          <w:i/>
          <w:iCs/>
          <w:sz w:val="20"/>
        </w:rPr>
        <w:t>. El reconocimiento del desmontaje asociado a la instalación de postes de concreto se requiere en los proyectos de reposición de redes, mientras que el valor del metro cúbico de hormigón indicado corresponde al valor de los contratos suscritos por AIR-E S.A.S E.S.P con aliados comerciales. (UC especial)</w:t>
      </w:r>
      <w:r w:rsidR="00E94BB7">
        <w:rPr>
          <w:i/>
          <w:iCs/>
          <w:sz w:val="20"/>
        </w:rPr>
        <w:t xml:space="preserve"> </w:t>
      </w:r>
      <w:r w:rsidR="00B4654C">
        <w:rPr>
          <w:i/>
          <w:iCs/>
          <w:sz w:val="20"/>
        </w:rPr>
        <w:t>(…)</w:t>
      </w:r>
    </w:p>
    <w:p w14:paraId="40C0F45A" w14:textId="77777777" w:rsidR="00B4654C" w:rsidRPr="00B4654C" w:rsidRDefault="00B4654C" w:rsidP="007E3F9C">
      <w:pPr>
        <w:spacing w:before="60" w:after="60"/>
        <w:ind w:left="284"/>
        <w:rPr>
          <w:i/>
          <w:iCs/>
          <w:sz w:val="20"/>
        </w:rPr>
      </w:pPr>
      <w:r w:rsidRPr="00B4654C">
        <w:rPr>
          <w:i/>
          <w:iCs/>
          <w:sz w:val="20"/>
        </w:rPr>
        <w:t xml:space="preserve">Adicionalmente, la Comisión avaló la creación de las UC postes de concreto, </w:t>
      </w:r>
      <w:r w:rsidRPr="004302BF">
        <w:rPr>
          <w:i/>
          <w:iCs/>
          <w:sz w:val="20"/>
          <w:u w:val="single"/>
        </w:rPr>
        <w:t>no obstante, ajustó los costos de instalación de las UC con la siguiente argumentación</w:t>
      </w:r>
      <w:r w:rsidRPr="00B4654C">
        <w:rPr>
          <w:i/>
          <w:iCs/>
          <w:sz w:val="20"/>
        </w:rPr>
        <w:t xml:space="preserve">:  </w:t>
      </w:r>
    </w:p>
    <w:p w14:paraId="456AEEEC" w14:textId="690D643B" w:rsidR="00B4654C" w:rsidRPr="00B4654C" w:rsidRDefault="00B4654C" w:rsidP="007E3F9C">
      <w:pPr>
        <w:spacing w:before="60" w:after="60"/>
        <w:ind w:left="567"/>
        <w:rPr>
          <w:i/>
          <w:iCs/>
          <w:sz w:val="20"/>
        </w:rPr>
      </w:pPr>
      <w:r w:rsidRPr="00B4654C">
        <w:rPr>
          <w:i/>
          <w:iCs/>
          <w:sz w:val="20"/>
        </w:rPr>
        <w:t xml:space="preserve">“En las UC de postes de concreto se ajustan los costos de instalación de las UC considerando lo siguiente:  </w:t>
      </w:r>
    </w:p>
    <w:p w14:paraId="265F4A64" w14:textId="6D0AA2E5" w:rsidR="00B4654C" w:rsidRPr="00B4654C" w:rsidRDefault="00B4654C" w:rsidP="007E3F9C">
      <w:pPr>
        <w:spacing w:before="60" w:after="60"/>
        <w:ind w:left="567"/>
        <w:rPr>
          <w:i/>
          <w:iCs/>
          <w:sz w:val="20"/>
        </w:rPr>
      </w:pPr>
      <w:r w:rsidRPr="00B4654C">
        <w:rPr>
          <w:i/>
          <w:iCs/>
          <w:sz w:val="20"/>
        </w:rPr>
        <w:t>a.</w:t>
      </w:r>
      <w:r>
        <w:rPr>
          <w:i/>
          <w:iCs/>
          <w:sz w:val="20"/>
        </w:rPr>
        <w:t xml:space="preserve"> </w:t>
      </w:r>
      <w:r w:rsidRPr="00B4654C">
        <w:rPr>
          <w:i/>
          <w:iCs/>
          <w:sz w:val="20"/>
        </w:rPr>
        <w:t xml:space="preserve">Costos de montaje: Se excluyen los costos asociados con desmantelamiento de redes descritos, entre otros, como:  desm cadena de amarre porc dos discos 13,2 kv, desm cruc mad doble, desm poste de hormigón 750 k.o.12 m  </w:t>
      </w:r>
    </w:p>
    <w:p w14:paraId="41B5915A" w14:textId="501AE4AC" w:rsidR="00B4654C" w:rsidRPr="00B4654C" w:rsidRDefault="00B4654C" w:rsidP="007E3F9C">
      <w:pPr>
        <w:spacing w:before="60" w:after="60"/>
        <w:ind w:left="567"/>
        <w:rPr>
          <w:i/>
          <w:iCs/>
          <w:sz w:val="20"/>
        </w:rPr>
      </w:pPr>
      <w:r w:rsidRPr="00B4654C">
        <w:rPr>
          <w:i/>
          <w:iCs/>
          <w:sz w:val="20"/>
        </w:rPr>
        <w:t xml:space="preserve">b. Costos de obra civil: Se mantienen las cantidades de materiales solicitadas por el OR, pero se emplea el costo del hormigón utilizado para las UC de postes aprobadas en el capítulo 14 del anexo general de la Resolución CREG 015 de 2018.  </w:t>
      </w:r>
    </w:p>
    <w:p w14:paraId="2E7177AF" w14:textId="32C379DF" w:rsidR="00B4654C" w:rsidRPr="00B4654C" w:rsidRDefault="00B4654C" w:rsidP="007E3F9C">
      <w:pPr>
        <w:spacing w:before="60" w:after="60"/>
        <w:ind w:left="567"/>
        <w:rPr>
          <w:i/>
          <w:iCs/>
          <w:sz w:val="20"/>
        </w:rPr>
      </w:pPr>
      <w:r w:rsidRPr="00B4654C">
        <w:rPr>
          <w:i/>
          <w:iCs/>
          <w:sz w:val="20"/>
        </w:rPr>
        <w:t xml:space="preserve">c. Se utilizan los costos de ingeniería, interventoría, administración e inspección utilizados en las UC de postes del capítulo 14 del anexo general de la Resolución CREG 015 de 2018.”  </w:t>
      </w:r>
    </w:p>
    <w:p w14:paraId="52094EB6" w14:textId="77777777" w:rsidR="00B4654C" w:rsidRPr="00B4654C" w:rsidRDefault="00B4654C" w:rsidP="007E3F9C">
      <w:pPr>
        <w:spacing w:before="60" w:after="60"/>
        <w:ind w:left="284"/>
        <w:rPr>
          <w:i/>
          <w:iCs/>
          <w:sz w:val="20"/>
        </w:rPr>
      </w:pPr>
      <w:r w:rsidRPr="00B4654C">
        <w:rPr>
          <w:i/>
          <w:iCs/>
          <w:sz w:val="20"/>
        </w:rPr>
        <w:t xml:space="preserve">En cuanto a lo indicado por el Regulador en el literal a respecto a los costos de desmantelamiento de redes, AIR-E S.A.S. E.S.P., </w:t>
      </w:r>
      <w:r w:rsidRPr="00B4654C">
        <w:rPr>
          <w:i/>
          <w:iCs/>
          <w:sz w:val="20"/>
          <w:u w:val="single"/>
        </w:rPr>
        <w:t>se permite solicitar el reconocimiento de los costos de desmontaje entregados en los anexos del radicado CREG E-2021-002222 de febrero 17 de 2021, considerando que esta actividad es requerida en los proyectos de reposición de redes</w:t>
      </w:r>
      <w:r w:rsidRPr="00B4654C">
        <w:rPr>
          <w:i/>
          <w:iCs/>
          <w:sz w:val="20"/>
        </w:rPr>
        <w:t xml:space="preserve">.  </w:t>
      </w:r>
    </w:p>
    <w:p w14:paraId="6CCF7E07" w14:textId="15C0BA27" w:rsidR="00B4654C" w:rsidRDefault="00B4654C" w:rsidP="007E3F9C">
      <w:pPr>
        <w:spacing w:before="60" w:after="60"/>
        <w:ind w:left="284"/>
        <w:rPr>
          <w:i/>
          <w:iCs/>
          <w:sz w:val="20"/>
        </w:rPr>
      </w:pPr>
      <w:r w:rsidRPr="00B4654C">
        <w:rPr>
          <w:i/>
          <w:iCs/>
          <w:sz w:val="20"/>
        </w:rPr>
        <w:t xml:space="preserve">De otro lado, respecto al argumento presentado por la CREG en el literal b con relación al costo del hormigón, </w:t>
      </w:r>
      <w:r w:rsidRPr="00B4654C">
        <w:rPr>
          <w:i/>
          <w:iCs/>
          <w:sz w:val="20"/>
          <w:u w:val="single"/>
        </w:rPr>
        <w:t>se aclara que el costo del hormigón empleado se extrajo de lo contratado según los anexos</w:t>
      </w:r>
      <w:r>
        <w:rPr>
          <w:i/>
          <w:iCs/>
          <w:sz w:val="20"/>
          <w:u w:val="single"/>
        </w:rPr>
        <w:t xml:space="preserve"> </w:t>
      </w:r>
      <w:r w:rsidRPr="00B4654C">
        <w:rPr>
          <w:i/>
          <w:iCs/>
          <w:sz w:val="20"/>
          <w:u w:val="single"/>
        </w:rPr>
        <w:t>de la unidad constructiva de postes entregados en el radicado CREG E</w:t>
      </w:r>
      <w:r>
        <w:rPr>
          <w:i/>
          <w:iCs/>
          <w:sz w:val="20"/>
          <w:u w:val="single"/>
        </w:rPr>
        <w:noBreakHyphen/>
      </w:r>
      <w:r w:rsidRPr="00B4654C">
        <w:rPr>
          <w:i/>
          <w:iCs/>
          <w:sz w:val="20"/>
          <w:u w:val="single"/>
        </w:rPr>
        <w:t>2021-002222 de febrero 17 de 2021. Específicamente, los anexos 3.14, 3.15 y 3.16 correspondientes a contratos con los aliados comerciales actualmente vigentes que describen en su anexo 4 la oferta económica k adjudicada, y en el anexo 7 en el numeral 7.1.2.2 el documento UUCC Desarrollo Mantenimiento.xlsx el cual se adjuntó como Anexo 3.17 en el documento mencionado del 17 de febrero de 2021. Siendo así, el precio de contrato del hormigón es de $ 412.256,92 a febrero de 2016 según el anexo 3.17, pero los contratos definen un k y un ajuste anual del 85% IPC anual.  Bajo estos parámetros el valor medio a 2021 se calculó en $ 794.784,4 COP dic 2017. En este sentido, se solicita a la Comisión el reconocimiento de $ 794.784,4 COP dic 2017 por metro cúbico de hormigón</w:t>
      </w:r>
      <w:r>
        <w:rPr>
          <w:i/>
          <w:iCs/>
          <w:sz w:val="20"/>
          <w:u w:val="single"/>
        </w:rPr>
        <w:t>.</w:t>
      </w:r>
    </w:p>
    <w:p w14:paraId="3FD6B85C" w14:textId="77777777" w:rsidR="00446B5D" w:rsidRDefault="00446B5D" w:rsidP="00446B5D">
      <w:pPr>
        <w:keepNext/>
        <w:rPr>
          <w:b/>
          <w:bCs/>
        </w:rPr>
      </w:pPr>
      <w:r w:rsidRPr="00285AEF">
        <w:rPr>
          <w:b/>
          <w:bCs/>
        </w:rPr>
        <w:t>Análisis de la Comisión</w:t>
      </w:r>
    </w:p>
    <w:p w14:paraId="5CBF72AC" w14:textId="7DE73E24" w:rsidR="00B4654C" w:rsidRDefault="00B4654C" w:rsidP="00B4654C">
      <w:r>
        <w:t xml:space="preserve">Como se señaló anteriormente, </w:t>
      </w:r>
      <w:r w:rsidR="004302BF">
        <w:t xml:space="preserve">de acuerdo con la metodología establecida en la Resolución CREG 015 de 2018, </w:t>
      </w:r>
      <w:r>
        <w:t>las UC especiales se crean cuando existen activos con características técnicas diferentes a las de las UC ya establecidas</w:t>
      </w:r>
      <w:r w:rsidR="007E3F9C">
        <w:t>,</w:t>
      </w:r>
      <w:r>
        <w:t xml:space="preserve"> y </w:t>
      </w:r>
      <w:r w:rsidR="004302BF">
        <w:t xml:space="preserve">no cuando se presenten </w:t>
      </w:r>
      <w:r>
        <w:t xml:space="preserve">diferencias en los costos de los componentes de las UC. </w:t>
      </w:r>
    </w:p>
    <w:p w14:paraId="379F2B25" w14:textId="7F0912B2" w:rsidR="00B4654C" w:rsidRDefault="00B4654C" w:rsidP="00B4654C">
      <w:bookmarkStart w:id="10" w:name="_Hlk72245401"/>
      <w:r>
        <w:t>La aprobación de las UC especiales está sujeta a la revisión de las actividades y costos por parte de la Comisión y</w:t>
      </w:r>
      <w:r w:rsidR="007B47D3">
        <w:t>,</w:t>
      </w:r>
      <w:r>
        <w:t xml:space="preserve"> en este sentido, se entiende que para actividades, elementos o materiales que sean comunes o iguales entre las UC ya establecidas y las UC especiales</w:t>
      </w:r>
      <w:r w:rsidR="007E3F9C">
        <w:t>,</w:t>
      </w:r>
      <w:r>
        <w:t xml:space="preserve"> se deben reconocer los mismos valores ya definidos en la regulación. Lo anterior teniendo en cuenta que estos fueron parte de los </w:t>
      </w:r>
      <w:r w:rsidR="00BB5474">
        <w:t xml:space="preserve">análisis </w:t>
      </w:r>
      <w:r>
        <w:t>realizados por la Comisión para la expedición de la metodología, fueron construidos con base en la información aportada por las empresas de distribución</w:t>
      </w:r>
      <w:r w:rsidR="007E3F9C">
        <w:t>,</w:t>
      </w:r>
      <w:r>
        <w:t xml:space="preserve"> y ya fueron objeto de discusión durante el proceso de aprobación de la metodología.</w:t>
      </w:r>
    </w:p>
    <w:p w14:paraId="6A5511AE" w14:textId="41C4A1E3" w:rsidR="00BB5474" w:rsidRDefault="004302BF" w:rsidP="00BB5474">
      <w:r>
        <w:t>En el caso de las UC especiales de postes solicitadas</w:t>
      </w:r>
      <w:r w:rsidR="00BB5474">
        <w:t xml:space="preserve">, </w:t>
      </w:r>
      <w:r>
        <w:t>el OR argumentó la necesidad de su creación por las condiciones especiales de la región</w:t>
      </w:r>
      <w:r w:rsidR="007E3F9C">
        <w:t>,</w:t>
      </w:r>
      <w:r>
        <w:t xml:space="preserve"> que </w:t>
      </w:r>
      <w:r w:rsidR="00BB5474">
        <w:t xml:space="preserve">precisan la instalación de </w:t>
      </w:r>
      <w:r>
        <w:t>postes con mayor altura y cimentaciones con mayores dimensiones</w:t>
      </w:r>
      <w:r w:rsidR="00BB5474">
        <w:t xml:space="preserve"> que las aprobadas en la Resolución CREG 015 de 2018</w:t>
      </w:r>
      <w:r w:rsidR="007E3F9C">
        <w:t>. E</w:t>
      </w:r>
      <w:r>
        <w:t>n este sentido</w:t>
      </w:r>
      <w:r w:rsidR="007E3F9C">
        <w:t>,</w:t>
      </w:r>
      <w:r>
        <w:t xml:space="preserve"> la Comisión aprobó los postes solicitados considerando el valor </w:t>
      </w:r>
      <w:r w:rsidR="00BB5474">
        <w:t xml:space="preserve">DDP solicitado por el OR, así como </w:t>
      </w:r>
      <w:r>
        <w:t xml:space="preserve">las actividades y cantidades de obras </w:t>
      </w:r>
      <w:r w:rsidR="00BB5474">
        <w:t>presentadas para su instalación</w:t>
      </w:r>
      <w:r w:rsidR="007E3F9C">
        <w:t>. N</w:t>
      </w:r>
      <w:r w:rsidR="00BB5474">
        <w:t xml:space="preserve">o obstante, se empleó el </w:t>
      </w:r>
      <w:r w:rsidR="00BB5474" w:rsidRPr="00BB5474">
        <w:t xml:space="preserve">costo del hormigón </w:t>
      </w:r>
      <w:r w:rsidR="00BB5474">
        <w:t xml:space="preserve">y </w:t>
      </w:r>
      <w:r w:rsidR="00BB5474" w:rsidRPr="00BB5474">
        <w:t xml:space="preserve">los costos de ingeniería, interventoría, administración e inspección utilizados para las UC de postes </w:t>
      </w:r>
      <w:r w:rsidR="00BB5474">
        <w:t xml:space="preserve">ya </w:t>
      </w:r>
      <w:r w:rsidR="00BB5474" w:rsidRPr="00BB5474">
        <w:t>aprobadas</w:t>
      </w:r>
      <w:r w:rsidR="00BB5474">
        <w:t xml:space="preserve">. </w:t>
      </w:r>
    </w:p>
    <w:bookmarkEnd w:id="10"/>
    <w:p w14:paraId="13F4DD80" w14:textId="4DB4FB04" w:rsidR="00BB5474" w:rsidRDefault="00BB5474" w:rsidP="00BB5474">
      <w:r>
        <w:t>Sobre el reconocimiento de las actividades de desmontaje de infraestructura existente</w:t>
      </w:r>
      <w:r w:rsidR="007823E3">
        <w:t>,</w:t>
      </w:r>
      <w:r>
        <w:t xml:space="preserve"> se </w:t>
      </w:r>
      <w:r w:rsidR="005A544F">
        <w:t xml:space="preserve">aclara </w:t>
      </w:r>
      <w:r>
        <w:t xml:space="preserve">que </w:t>
      </w:r>
      <w:r w:rsidR="00A65194">
        <w:t>esta</w:t>
      </w:r>
      <w:r w:rsidR="007823E3">
        <w:t>s</w:t>
      </w:r>
      <w:r w:rsidR="00A65194">
        <w:t xml:space="preserve"> actividades </w:t>
      </w:r>
      <w:r>
        <w:t xml:space="preserve">no </w:t>
      </w:r>
      <w:r w:rsidR="00A65194">
        <w:t xml:space="preserve">son </w:t>
      </w:r>
      <w:r>
        <w:t>reconocida</w:t>
      </w:r>
      <w:r w:rsidR="00A65194">
        <w:t>s</w:t>
      </w:r>
      <w:r>
        <w:t xml:space="preserve"> en las UC de la </w:t>
      </w:r>
      <w:r w:rsidR="005A544F">
        <w:t>R</w:t>
      </w:r>
      <w:r>
        <w:t>esolución CREG 015 de 2018</w:t>
      </w:r>
      <w:r w:rsidR="00285AEF">
        <w:t xml:space="preserve">. </w:t>
      </w:r>
      <w:r w:rsidR="005A544F">
        <w:t xml:space="preserve">Al respecto, </w:t>
      </w:r>
      <w:r w:rsidR="00285AEF">
        <w:t>en el numeral 7.15 del documento D-010-18, documento soporte de la Resolución CREG 015 de 2018, se señal</w:t>
      </w:r>
      <w:r w:rsidR="005A544F">
        <w:t>a</w:t>
      </w:r>
      <w:r w:rsidR="00285AEF">
        <w:t xml:space="preserve"> lo siguiente:</w:t>
      </w:r>
    </w:p>
    <w:p w14:paraId="00D90979" w14:textId="61E7178C" w:rsidR="00285AEF" w:rsidRPr="00285AEF" w:rsidRDefault="00285AEF" w:rsidP="007E3F9C">
      <w:pPr>
        <w:spacing w:before="60" w:after="60"/>
        <w:ind w:left="284"/>
        <w:rPr>
          <w:i/>
          <w:iCs/>
          <w:sz w:val="20"/>
          <w:szCs w:val="20"/>
        </w:rPr>
      </w:pPr>
      <w:r w:rsidRPr="00285AEF">
        <w:rPr>
          <w:b/>
          <w:bCs/>
          <w:i/>
          <w:iCs/>
          <w:sz w:val="20"/>
          <w:szCs w:val="20"/>
        </w:rPr>
        <w:t>Comentario.</w:t>
      </w:r>
      <w:r>
        <w:rPr>
          <w:i/>
          <w:iCs/>
          <w:sz w:val="20"/>
          <w:szCs w:val="20"/>
        </w:rPr>
        <w:t xml:space="preserve"> </w:t>
      </w:r>
      <w:r w:rsidRPr="00285AEF">
        <w:rPr>
          <w:i/>
          <w:iCs/>
          <w:sz w:val="20"/>
          <w:szCs w:val="20"/>
        </w:rPr>
        <w:t>29. Incluir el costo de retiro de los elementos que no están en las UC</w:t>
      </w:r>
    </w:p>
    <w:p w14:paraId="242F6CCA" w14:textId="54998A4F" w:rsidR="00285AEF" w:rsidRPr="00285AEF" w:rsidRDefault="00285AEF" w:rsidP="007E3F9C">
      <w:pPr>
        <w:spacing w:before="60" w:after="60"/>
        <w:ind w:left="284"/>
        <w:rPr>
          <w:i/>
          <w:iCs/>
          <w:sz w:val="20"/>
          <w:szCs w:val="20"/>
        </w:rPr>
      </w:pPr>
      <w:r w:rsidRPr="00285AEF">
        <w:rPr>
          <w:b/>
          <w:bCs/>
          <w:i/>
          <w:iCs/>
          <w:sz w:val="20"/>
          <w:szCs w:val="20"/>
        </w:rPr>
        <w:t>Observación:</w:t>
      </w:r>
      <w:r>
        <w:rPr>
          <w:i/>
          <w:iCs/>
          <w:sz w:val="20"/>
          <w:szCs w:val="20"/>
        </w:rPr>
        <w:t xml:space="preserve"> </w:t>
      </w:r>
      <w:r w:rsidRPr="00285AEF">
        <w:rPr>
          <w:i/>
          <w:iCs/>
          <w:sz w:val="20"/>
          <w:szCs w:val="20"/>
        </w:rPr>
        <w:t>No se incluye dado que este costo no se presenta de manera uniforme cuando se debe retirar algún elemento de red o de subestación y además se considera que se registran como parte de las cuentas de AOM de manera ca</w:t>
      </w:r>
      <w:r>
        <w:rPr>
          <w:i/>
          <w:iCs/>
          <w:sz w:val="20"/>
          <w:szCs w:val="20"/>
        </w:rPr>
        <w:t>s</w:t>
      </w:r>
      <w:r w:rsidRPr="00285AEF">
        <w:rPr>
          <w:i/>
          <w:iCs/>
          <w:sz w:val="20"/>
          <w:szCs w:val="20"/>
        </w:rPr>
        <w:t xml:space="preserve">uística según se presente. </w:t>
      </w:r>
    </w:p>
    <w:p w14:paraId="6F55CCF0" w14:textId="18BA27E0" w:rsidR="00B4654C" w:rsidRDefault="007823E3" w:rsidP="005A2771">
      <w:r>
        <w:t>Con base en lo anterior</w:t>
      </w:r>
      <w:r w:rsidR="005A544F">
        <w:t>,</w:t>
      </w:r>
      <w:r>
        <w:t xml:space="preserve"> no </w:t>
      </w:r>
      <w:r w:rsidR="005A544F">
        <w:t xml:space="preserve">se </w:t>
      </w:r>
      <w:r>
        <w:t>modifica</w:t>
      </w:r>
      <w:r w:rsidR="005A544F">
        <w:t xml:space="preserve"> el valor de </w:t>
      </w:r>
      <w:r>
        <w:t>las UC de postes aprobadas en la Resolución CREG 024 de 2021.</w:t>
      </w:r>
    </w:p>
    <w:p w14:paraId="6659F6DA" w14:textId="1FCF4B2F" w:rsidR="005A2771" w:rsidRDefault="005A2771" w:rsidP="00446B5D">
      <w:pPr>
        <w:keepNext/>
      </w:pPr>
      <w:r>
        <w:rPr>
          <w:b/>
          <w:bCs/>
        </w:rPr>
        <w:t>Solicitud No. 20</w:t>
      </w:r>
    </w:p>
    <w:p w14:paraId="1677306B" w14:textId="7AAD5651" w:rsidR="007823E3" w:rsidRDefault="005A2771" w:rsidP="007E3F9C">
      <w:pPr>
        <w:spacing w:before="60" w:after="60"/>
        <w:ind w:left="284"/>
        <w:rPr>
          <w:i/>
          <w:iCs/>
          <w:sz w:val="20"/>
        </w:rPr>
      </w:pPr>
      <w:r w:rsidRPr="005A2771">
        <w:rPr>
          <w:i/>
          <w:iCs/>
          <w:sz w:val="20"/>
        </w:rPr>
        <w:t xml:space="preserve">Se solicita a la CREG verificar la nomenclatura y/o nivel de tensión aprobados por la CREG, para algunas UC especiales. En algunos casos, la Comisión asignó el mismo código a UC con distintas características. </w:t>
      </w:r>
      <w:r w:rsidR="007823E3">
        <w:rPr>
          <w:i/>
          <w:iCs/>
          <w:sz w:val="20"/>
        </w:rPr>
        <w:t>(…)</w:t>
      </w:r>
    </w:p>
    <w:p w14:paraId="563BFAD0" w14:textId="77777777" w:rsidR="007823E3" w:rsidRPr="007823E3" w:rsidRDefault="007823E3" w:rsidP="007E3F9C">
      <w:pPr>
        <w:spacing w:before="60" w:after="60"/>
        <w:ind w:left="284"/>
        <w:rPr>
          <w:i/>
          <w:iCs/>
          <w:sz w:val="20"/>
        </w:rPr>
      </w:pPr>
      <w:r w:rsidRPr="007823E3">
        <w:rPr>
          <w:i/>
          <w:iCs/>
          <w:sz w:val="20"/>
        </w:rPr>
        <w:t xml:space="preserve">Se ha identificado la necesidad de realizar ajustes en la nomenclatura y/o nivel de tensión aprobados por la CREG, en los siguientes casos:   </w:t>
      </w:r>
    </w:p>
    <w:p w14:paraId="5611EE54" w14:textId="5BA5C8D9" w:rsidR="007823E3" w:rsidRPr="007823E3" w:rsidRDefault="007823E3" w:rsidP="007E3F9C">
      <w:pPr>
        <w:spacing w:before="60" w:after="60"/>
        <w:ind w:left="284"/>
        <w:rPr>
          <w:i/>
          <w:iCs/>
          <w:sz w:val="20"/>
        </w:rPr>
      </w:pPr>
      <w:r w:rsidRPr="007823E3">
        <w:rPr>
          <w:i/>
          <w:iCs/>
          <w:sz w:val="20"/>
        </w:rPr>
        <w:t xml:space="preserve">- La unidad constructiva solicitada N2LE10 con descripción “Poste de concreto de 12x1600 En suspensión”, se entiende fue aprobada como unidad constructiva N3L137 con la descripción “Poste de concreto de 12x1600 - suspensión – Caribesol”. Se solicita respetuosamente a la CREG rectificar como unidad constructiva de nivel de tensión 2.  </w:t>
      </w:r>
    </w:p>
    <w:p w14:paraId="43EBC6A9" w14:textId="0AF9C7CD" w:rsidR="007823E3" w:rsidRPr="007823E3" w:rsidRDefault="007823E3" w:rsidP="007E3F9C">
      <w:pPr>
        <w:spacing w:before="60" w:after="60"/>
        <w:ind w:left="284"/>
        <w:rPr>
          <w:i/>
          <w:iCs/>
          <w:sz w:val="20"/>
        </w:rPr>
      </w:pPr>
      <w:r w:rsidRPr="007823E3">
        <w:rPr>
          <w:i/>
          <w:iCs/>
          <w:sz w:val="20"/>
        </w:rPr>
        <w:t xml:space="preserve">- La unidad constructiva solicitada N3LE08 con descripción “Poste de concreto de 14x1324 - retención” se entiende que fue aprobada como unidad constructiva N2L164 con la descripción “Poste de concreto de 14x1324 - retención - Caribesol”.  Se solicita respetuosamente a la CREG rectificar como unidad constructiva de nivel de tensión 3, debido a que la N2L151 tiene la misma descripción.  </w:t>
      </w:r>
    </w:p>
    <w:p w14:paraId="473109B3" w14:textId="77777777" w:rsidR="007823E3" w:rsidRPr="007823E3" w:rsidRDefault="007823E3" w:rsidP="007E3F9C">
      <w:pPr>
        <w:spacing w:before="60" w:after="60"/>
        <w:ind w:left="284"/>
        <w:rPr>
          <w:i/>
          <w:iCs/>
          <w:sz w:val="20"/>
        </w:rPr>
      </w:pPr>
      <w:r w:rsidRPr="007823E3">
        <w:rPr>
          <w:i/>
          <w:iCs/>
          <w:sz w:val="20"/>
        </w:rPr>
        <w:t xml:space="preserve">- Las unidades constructivas aprobadas bajo código N3L130 con descripción “Poste de concreto de 14x1050 - suspensión - Caribesol” y N3L130 con descripción “Poste de concreto de 14x1050 - retención - Caribesol” tienen los valores invertidos de acuerdo con lo solicitado. Se solicita respetuosamente a la CREG rectificar los valores aprobados.  </w:t>
      </w:r>
    </w:p>
    <w:p w14:paraId="6B8DF9FE" w14:textId="599BFAD1" w:rsidR="007823E3" w:rsidRPr="007823E3" w:rsidRDefault="007823E3" w:rsidP="007E3F9C">
      <w:pPr>
        <w:spacing w:before="60" w:after="60"/>
        <w:ind w:left="284"/>
        <w:rPr>
          <w:i/>
          <w:iCs/>
          <w:sz w:val="20"/>
        </w:rPr>
      </w:pPr>
      <w:r w:rsidRPr="007823E3">
        <w:rPr>
          <w:i/>
          <w:iCs/>
          <w:sz w:val="20"/>
        </w:rPr>
        <w:t>- La Comisión avaló la creación de la UC Especial N3CR5 Banco de condensadores tipo pedestal 4.8 MVAr - Caribesol, sin embargo, esta UC serán instados en la subestación El Silencio para</w:t>
      </w:r>
      <w:r>
        <w:rPr>
          <w:i/>
          <w:iCs/>
          <w:sz w:val="20"/>
        </w:rPr>
        <w:t xml:space="preserve"> </w:t>
      </w:r>
      <w:r w:rsidRPr="007823E3">
        <w:rPr>
          <w:i/>
          <w:iCs/>
          <w:sz w:val="20"/>
        </w:rPr>
        <w:t xml:space="preserve">el año 2021 bajo el proyecto 16 Subestación Silencio 13,8 kV de 2x4,8 MVAr en el nivel de tensión 2. De acuerdo con lo anterior, se solicita ajustar el nivel de tensión de la unidad constructiva a nivel de tensión 2.  </w:t>
      </w:r>
    </w:p>
    <w:p w14:paraId="7E36752D" w14:textId="44452E6B" w:rsidR="007823E3" w:rsidRDefault="007823E3" w:rsidP="007E3F9C">
      <w:pPr>
        <w:spacing w:before="60" w:after="60"/>
        <w:ind w:left="284"/>
        <w:rPr>
          <w:i/>
          <w:iCs/>
          <w:sz w:val="20"/>
        </w:rPr>
      </w:pPr>
      <w:r w:rsidRPr="007823E3">
        <w:rPr>
          <w:i/>
          <w:iCs/>
          <w:sz w:val="20"/>
        </w:rPr>
        <w:t>- Se codifican las UUCC ‘Equipo de control y telecomunicaciones N2 Caribesol – Caribesol’ con categoría 4 y ‘Sistema de suplencia temporal para redes N2 – Caribesol’ con categoría 9 bajo el mismo código N2EQ47. Se solicita respetuosamente a la CREG rectificar los códigos de estas UC</w:t>
      </w:r>
    </w:p>
    <w:p w14:paraId="07C69CF7" w14:textId="3C810A20" w:rsidR="00285AEF" w:rsidRDefault="00285AEF" w:rsidP="00446B5D">
      <w:pPr>
        <w:keepNext/>
        <w:rPr>
          <w:b/>
          <w:bCs/>
        </w:rPr>
      </w:pPr>
      <w:r w:rsidRPr="00285AEF">
        <w:rPr>
          <w:b/>
          <w:bCs/>
        </w:rPr>
        <w:t>Análisis de la Comisión</w:t>
      </w:r>
    </w:p>
    <w:p w14:paraId="3D6E4FC8" w14:textId="050EA750" w:rsidR="001E0FC8" w:rsidRPr="001E0FC8" w:rsidRDefault="001E0FC8" w:rsidP="00285AEF">
      <w:r w:rsidRPr="001E0FC8">
        <w:t>Se verific</w:t>
      </w:r>
      <w:r>
        <w:t>ó la asignación de los códigos de las UC y se realizaron los siguientes ajustes:</w:t>
      </w:r>
      <w:r w:rsidRPr="001E0FC8">
        <w:t xml:space="preserve"> </w:t>
      </w:r>
    </w:p>
    <w:p w14:paraId="66C62111" w14:textId="7CD5B714" w:rsidR="00BE3D5C" w:rsidRPr="001E0FC8" w:rsidRDefault="001E0FC8" w:rsidP="001E0FC8">
      <w:pPr>
        <w:pStyle w:val="Prrafodelista"/>
        <w:numPr>
          <w:ilvl w:val="0"/>
          <w:numId w:val="36"/>
        </w:numPr>
        <w:spacing w:before="120" w:after="120"/>
        <w:ind w:left="357" w:hanging="357"/>
      </w:pPr>
      <w:r w:rsidRPr="001E0FC8">
        <w:t>Se modific</w:t>
      </w:r>
      <w:r>
        <w:t>ó</w:t>
      </w:r>
      <w:r w:rsidRPr="001E0FC8">
        <w:t xml:space="preserve"> </w:t>
      </w:r>
      <w:r>
        <w:t xml:space="preserve">el código de la </w:t>
      </w:r>
      <w:r w:rsidRPr="001E0FC8">
        <w:t xml:space="preserve">UC </w:t>
      </w:r>
      <w:r w:rsidR="00BE3D5C" w:rsidRPr="001E0FC8">
        <w:t>N3L137 por N2L147</w:t>
      </w:r>
      <w:r>
        <w:t>.</w:t>
      </w:r>
    </w:p>
    <w:p w14:paraId="63164EC2" w14:textId="7F284304" w:rsidR="00BE3D5C" w:rsidRPr="001E0FC8" w:rsidRDefault="00442812" w:rsidP="001E0FC8">
      <w:pPr>
        <w:pStyle w:val="Prrafodelista"/>
        <w:numPr>
          <w:ilvl w:val="0"/>
          <w:numId w:val="36"/>
        </w:numPr>
        <w:spacing w:before="120" w:after="120"/>
        <w:ind w:left="357" w:hanging="357"/>
      </w:pPr>
      <w:r w:rsidRPr="00442812">
        <w:t>La unidad constructiva solicitada N3LE08</w:t>
      </w:r>
      <w:r>
        <w:t>, se</w:t>
      </w:r>
      <w:r w:rsidR="001E0FC8" w:rsidRPr="001E0FC8">
        <w:t xml:space="preserve"> modific</w:t>
      </w:r>
      <w:r w:rsidR="001E0FC8">
        <w:t>ó</w:t>
      </w:r>
      <w:r w:rsidR="001E0FC8" w:rsidRPr="001E0FC8">
        <w:t xml:space="preserve"> </w:t>
      </w:r>
      <w:r>
        <w:t xml:space="preserve">pasando del </w:t>
      </w:r>
      <w:r w:rsidR="001E0FC8">
        <w:t xml:space="preserve">código </w:t>
      </w:r>
      <w:r w:rsidR="003452C4" w:rsidRPr="001E0FC8">
        <w:t xml:space="preserve">N2L164 </w:t>
      </w:r>
      <w:r>
        <w:t xml:space="preserve">a </w:t>
      </w:r>
      <w:r w:rsidR="003452C4" w:rsidRPr="001E0FC8">
        <w:t>N3L145</w:t>
      </w:r>
      <w:r w:rsidR="00F960E1">
        <w:t>.</w:t>
      </w:r>
    </w:p>
    <w:p w14:paraId="493C00C9" w14:textId="3070F525" w:rsidR="00493783" w:rsidRPr="001E0FC8" w:rsidRDefault="00493783" w:rsidP="001E0FC8">
      <w:pPr>
        <w:pStyle w:val="Prrafodelista"/>
        <w:numPr>
          <w:ilvl w:val="0"/>
          <w:numId w:val="36"/>
        </w:numPr>
        <w:spacing w:before="120" w:after="120"/>
        <w:ind w:left="357" w:hanging="357"/>
      </w:pPr>
      <w:r w:rsidRPr="001E0FC8">
        <w:t>Se ajustan los costos de las UC N3L130 y N3L131</w:t>
      </w:r>
      <w:r w:rsidR="00442812">
        <w:t>.</w:t>
      </w:r>
    </w:p>
    <w:p w14:paraId="4F548EE6" w14:textId="6D64006B" w:rsidR="00493783" w:rsidRPr="00442812" w:rsidRDefault="00493783" w:rsidP="001E0FC8">
      <w:pPr>
        <w:pStyle w:val="Prrafodelista"/>
        <w:numPr>
          <w:ilvl w:val="0"/>
          <w:numId w:val="36"/>
        </w:numPr>
        <w:spacing w:before="120" w:after="120"/>
        <w:ind w:left="357" w:hanging="357"/>
      </w:pPr>
      <w:r w:rsidRPr="00442812">
        <w:t xml:space="preserve">Se ajustó el código de la UC de compensación </w:t>
      </w:r>
      <w:r w:rsidR="001E0FC8" w:rsidRPr="00442812">
        <w:t xml:space="preserve">pasando de </w:t>
      </w:r>
      <w:r w:rsidRPr="00442812">
        <w:t>N3C</w:t>
      </w:r>
      <w:r w:rsidR="001E0FC8" w:rsidRPr="00442812">
        <w:t>R</w:t>
      </w:r>
      <w:r w:rsidRPr="00442812">
        <w:t>5 a N2C</w:t>
      </w:r>
      <w:r w:rsidR="001E0FC8" w:rsidRPr="00442812">
        <w:t>R</w:t>
      </w:r>
      <w:r w:rsidRPr="00442812">
        <w:t>5</w:t>
      </w:r>
      <w:r w:rsidR="00442812">
        <w:t>.</w:t>
      </w:r>
    </w:p>
    <w:p w14:paraId="265CC59B" w14:textId="615F4EF4" w:rsidR="00493783" w:rsidRPr="00442812" w:rsidRDefault="00442812" w:rsidP="001E0FC8">
      <w:pPr>
        <w:pStyle w:val="Prrafodelista"/>
        <w:numPr>
          <w:ilvl w:val="0"/>
          <w:numId w:val="36"/>
        </w:numPr>
        <w:spacing w:before="120" w:after="120"/>
        <w:ind w:left="357" w:hanging="357"/>
      </w:pPr>
      <w:r>
        <w:t xml:space="preserve">Se ajustó el código de la </w:t>
      </w:r>
      <w:r w:rsidR="00493783" w:rsidRPr="00442812">
        <w:t>UC Sistema de suplencia temporal para redes N2</w:t>
      </w:r>
      <w:r>
        <w:t xml:space="preserve">, de </w:t>
      </w:r>
      <w:r w:rsidRPr="00442812">
        <w:t>N2E</w:t>
      </w:r>
      <w:r>
        <w:t>Q</w:t>
      </w:r>
      <w:r w:rsidRPr="00442812">
        <w:t>4</w:t>
      </w:r>
      <w:r w:rsidR="00FF6194">
        <w:t>7</w:t>
      </w:r>
      <w:r>
        <w:t xml:space="preserve"> a </w:t>
      </w:r>
      <w:r w:rsidR="00493783" w:rsidRPr="00442812">
        <w:t>N2E</w:t>
      </w:r>
      <w:r>
        <w:t>Q</w:t>
      </w:r>
      <w:r w:rsidR="00493783" w:rsidRPr="00442812">
        <w:t>49</w:t>
      </w:r>
      <w:r>
        <w:t>.</w:t>
      </w:r>
    </w:p>
    <w:p w14:paraId="6068ABA9" w14:textId="5F471B71" w:rsidR="006860FB" w:rsidRDefault="006860FB" w:rsidP="00446B5D">
      <w:pPr>
        <w:keepNext/>
        <w:rPr>
          <w:b/>
          <w:bCs/>
        </w:rPr>
      </w:pPr>
      <w:r>
        <w:rPr>
          <w:b/>
          <w:bCs/>
        </w:rPr>
        <w:t>Solicitud No. 21</w:t>
      </w:r>
    </w:p>
    <w:p w14:paraId="6212F13F" w14:textId="12F44A9E" w:rsidR="0071638C" w:rsidRDefault="006860FB" w:rsidP="007E3F9C">
      <w:pPr>
        <w:spacing w:before="60" w:after="60"/>
        <w:ind w:left="284"/>
        <w:rPr>
          <w:i/>
          <w:iCs/>
          <w:sz w:val="20"/>
          <w:szCs w:val="20"/>
        </w:rPr>
      </w:pPr>
      <w:r w:rsidRPr="006860FB">
        <w:rPr>
          <w:i/>
          <w:iCs/>
          <w:sz w:val="20"/>
          <w:szCs w:val="20"/>
        </w:rPr>
        <w:t>Se solicita a la CREG reconocer el índice de pérdidas totales a la fecha de corte de 28,64% conforme a lo descrito en el documento y teniendo en cuenta el efecto de las facturas anuladas, las cuales deben ser descontadas del cálculo de las ventas.</w:t>
      </w:r>
      <w:r w:rsidR="00E94BB7">
        <w:rPr>
          <w:i/>
          <w:iCs/>
          <w:sz w:val="20"/>
          <w:szCs w:val="20"/>
        </w:rPr>
        <w:t xml:space="preserve"> </w:t>
      </w:r>
      <w:r w:rsidR="0071638C">
        <w:rPr>
          <w:i/>
          <w:iCs/>
          <w:sz w:val="20"/>
          <w:szCs w:val="20"/>
        </w:rPr>
        <w:t>(…)</w:t>
      </w:r>
    </w:p>
    <w:p w14:paraId="1FCEBA36" w14:textId="77777777" w:rsidR="006860FB" w:rsidRPr="006860FB" w:rsidRDefault="006860FB" w:rsidP="007E3F9C">
      <w:pPr>
        <w:spacing w:before="60" w:after="60"/>
        <w:ind w:left="284"/>
        <w:rPr>
          <w:i/>
          <w:iCs/>
          <w:sz w:val="20"/>
          <w:szCs w:val="20"/>
        </w:rPr>
      </w:pPr>
      <w:r w:rsidRPr="006860FB">
        <w:rPr>
          <w:i/>
          <w:iCs/>
          <w:sz w:val="20"/>
          <w:szCs w:val="20"/>
        </w:rPr>
        <w:t xml:space="preserve">2.2.3.1 Diferencias en el IPT </w:t>
      </w:r>
      <w:r w:rsidRPr="006860FB">
        <w:rPr>
          <w:i/>
          <w:iCs/>
          <w:sz w:val="20"/>
          <w:szCs w:val="20"/>
          <w:vertAlign w:val="subscript"/>
        </w:rPr>
        <w:t>j,0</w:t>
      </w:r>
      <w:r w:rsidRPr="006860FB">
        <w:rPr>
          <w:i/>
          <w:iCs/>
          <w:sz w:val="20"/>
          <w:szCs w:val="20"/>
        </w:rPr>
        <w:t xml:space="preserve"> </w:t>
      </w:r>
    </w:p>
    <w:p w14:paraId="4E9E876C" w14:textId="08EA4D19" w:rsidR="006860FB" w:rsidRDefault="006860FB" w:rsidP="007E3F9C">
      <w:pPr>
        <w:spacing w:before="60" w:after="60"/>
        <w:ind w:left="284"/>
      </w:pPr>
      <w:r w:rsidRPr="006860FB">
        <w:rPr>
          <w:i/>
          <w:iCs/>
          <w:sz w:val="20"/>
          <w:szCs w:val="20"/>
        </w:rPr>
        <w:t xml:space="preserve">Dentro de la revisión realizada por AIR-E S.A.S. E.S.P. a la Resolución CREG 024 de 2021, en el Artículo 17 se aprobó un Índice de Pérdidas Totales del mercado al inicio del plan (IPTj,0) de 27,21%. Con el ánimo de comparar objetivamente el resultado de la Comisión con los cálculos propios, </w:t>
      </w:r>
      <w:r w:rsidRPr="006860FB">
        <w:rPr>
          <w:i/>
          <w:iCs/>
          <w:sz w:val="20"/>
          <w:szCs w:val="20"/>
          <w:u w:val="single"/>
        </w:rPr>
        <w:t>se identificó que, dentro de estos últimos, no habían sido restados los consumos refacturados de meses anteriores</w:t>
      </w:r>
      <w:r w:rsidRPr="006860FB">
        <w:rPr>
          <w:i/>
          <w:iCs/>
          <w:sz w:val="20"/>
          <w:szCs w:val="20"/>
        </w:rPr>
        <w:t>. De esta manera, el valor obtenido por AIR</w:t>
      </w:r>
      <w:r>
        <w:rPr>
          <w:i/>
          <w:iCs/>
          <w:sz w:val="20"/>
          <w:szCs w:val="20"/>
        </w:rPr>
        <w:noBreakHyphen/>
      </w:r>
      <w:r w:rsidRPr="006860FB">
        <w:rPr>
          <w:i/>
          <w:iCs/>
          <w:sz w:val="20"/>
          <w:szCs w:val="20"/>
        </w:rPr>
        <w:t>E S.A.S. E.S.P. de acuerdo con este ajuste, para de 29,14% a 28,64% y no al 27,21% aprobado en la Resolución, tal como se muestra en la Tabla 2-14.</w:t>
      </w:r>
      <w:r w:rsidR="00763F8A">
        <w:rPr>
          <w:i/>
          <w:iCs/>
          <w:sz w:val="20"/>
          <w:szCs w:val="20"/>
        </w:rPr>
        <w:t xml:space="preserve"> (…)</w:t>
      </w:r>
    </w:p>
    <w:p w14:paraId="5967F5A3" w14:textId="77777777" w:rsidR="006860FB" w:rsidRPr="006860FB" w:rsidRDefault="006860FB" w:rsidP="007E3F9C">
      <w:pPr>
        <w:spacing w:before="60" w:after="60"/>
        <w:ind w:left="284"/>
        <w:rPr>
          <w:i/>
          <w:iCs/>
          <w:sz w:val="20"/>
          <w:szCs w:val="20"/>
        </w:rPr>
      </w:pPr>
      <w:r w:rsidRPr="006860FB">
        <w:rPr>
          <w:i/>
          <w:iCs/>
          <w:sz w:val="20"/>
          <w:szCs w:val="20"/>
        </w:rPr>
        <w:t xml:space="preserve">Ahora bien, de acuerdo con el numeral 2.5.7.1 Índices de pérdidas de energía del Documento CREG 017 de 2021: </w:t>
      </w:r>
    </w:p>
    <w:p w14:paraId="0A783AE0" w14:textId="68D5493F" w:rsidR="006860FB" w:rsidRPr="006860FB" w:rsidRDefault="006860FB" w:rsidP="007E3F9C">
      <w:pPr>
        <w:spacing w:before="60" w:after="60"/>
        <w:ind w:left="284"/>
        <w:rPr>
          <w:i/>
          <w:iCs/>
          <w:sz w:val="20"/>
          <w:szCs w:val="20"/>
        </w:rPr>
      </w:pPr>
      <w:r w:rsidRPr="006860FB">
        <w:rPr>
          <w:i/>
          <w:iCs/>
          <w:sz w:val="20"/>
          <w:szCs w:val="20"/>
        </w:rPr>
        <w:t>“Para calcular las ventas a usuarios regulados del comercializador incumbente, en aplicación de la metodología establecida en la Resolución CREG 015 de 2018, la Comisión empleó el consumo facturado y reportado al SUI, considerando los ajustes de facturación solicitados por el OR, relacionados con consumo anulado y reliquidado”.</w:t>
      </w:r>
    </w:p>
    <w:p w14:paraId="1CB2DF32" w14:textId="77777777" w:rsidR="006860FB" w:rsidRPr="006860FB" w:rsidRDefault="006860FB" w:rsidP="007E3F9C">
      <w:pPr>
        <w:spacing w:before="60" w:after="60"/>
        <w:ind w:left="284"/>
        <w:rPr>
          <w:i/>
          <w:iCs/>
          <w:sz w:val="20"/>
          <w:szCs w:val="20"/>
        </w:rPr>
      </w:pPr>
      <w:r w:rsidRPr="006860FB">
        <w:rPr>
          <w:i/>
          <w:iCs/>
          <w:sz w:val="20"/>
          <w:szCs w:val="20"/>
        </w:rPr>
        <w:t>Empero</w:t>
      </w:r>
      <w:r w:rsidRPr="00FF7802">
        <w:rPr>
          <w:i/>
          <w:iCs/>
          <w:sz w:val="20"/>
          <w:szCs w:val="20"/>
          <w:u w:val="single"/>
        </w:rPr>
        <w:t>, la diferencia entre el resultado del Regulador frente al cálculo propio se debe precisamente al efecto de las facturas que se clasifican en el campo consumo de los formatos 2 y 3 del SUI como anuladas (A), las cuales suman 131.181.074 GWh/año para la fecha de corte 2019</w:t>
      </w:r>
      <w:r w:rsidRPr="006860FB">
        <w:rPr>
          <w:i/>
          <w:iCs/>
          <w:sz w:val="20"/>
          <w:szCs w:val="20"/>
        </w:rPr>
        <w:t xml:space="preserve">. </w:t>
      </w:r>
    </w:p>
    <w:p w14:paraId="447BE763" w14:textId="33967015" w:rsidR="006860FB" w:rsidRDefault="006860FB" w:rsidP="007E3F9C">
      <w:pPr>
        <w:spacing w:before="60" w:after="60"/>
        <w:ind w:left="284"/>
        <w:rPr>
          <w:i/>
          <w:iCs/>
          <w:sz w:val="20"/>
          <w:szCs w:val="20"/>
        </w:rPr>
      </w:pPr>
      <w:r w:rsidRPr="006860FB">
        <w:rPr>
          <w:i/>
          <w:iCs/>
          <w:sz w:val="20"/>
          <w:szCs w:val="20"/>
        </w:rPr>
        <w:t xml:space="preserve">De esta manera, se observó que </w:t>
      </w:r>
      <w:r w:rsidRPr="00FF7802">
        <w:rPr>
          <w:i/>
          <w:iCs/>
          <w:sz w:val="20"/>
          <w:szCs w:val="20"/>
          <w:u w:val="single"/>
        </w:rPr>
        <w:t>a las ventas extraídas del SUI, presuntamente, la Comisión no está restando las facturas anuladas para los niveles de tensión 1 y 2, a pesar de indicarse haberlas tenido en cuenta</w:t>
      </w:r>
      <w:r w:rsidRPr="006860FB">
        <w:rPr>
          <w:i/>
          <w:iCs/>
          <w:sz w:val="20"/>
          <w:szCs w:val="20"/>
        </w:rPr>
        <w:t>. En la Tabla 2-15 se muestra el cálculo replicado sin considerar las facturas anuladas.</w:t>
      </w:r>
    </w:p>
    <w:p w14:paraId="2D56B564" w14:textId="0717634A" w:rsidR="0071638C" w:rsidRPr="006860FB" w:rsidRDefault="0071638C" w:rsidP="007E3F9C">
      <w:pPr>
        <w:spacing w:before="60" w:after="60"/>
        <w:ind w:left="284"/>
        <w:rPr>
          <w:i/>
          <w:iCs/>
          <w:sz w:val="20"/>
          <w:szCs w:val="20"/>
        </w:rPr>
      </w:pPr>
      <w:r>
        <w:rPr>
          <w:i/>
          <w:iCs/>
          <w:sz w:val="20"/>
          <w:szCs w:val="20"/>
        </w:rPr>
        <w:t>Subrayado fuera de texto</w:t>
      </w:r>
    </w:p>
    <w:p w14:paraId="14B56797" w14:textId="0158B0D3" w:rsidR="006860FB" w:rsidRPr="00D25E16" w:rsidRDefault="00D25E16" w:rsidP="00446B5D">
      <w:pPr>
        <w:keepNext/>
        <w:rPr>
          <w:b/>
          <w:bCs/>
        </w:rPr>
      </w:pPr>
      <w:r w:rsidRPr="00D25E16">
        <w:rPr>
          <w:b/>
          <w:bCs/>
        </w:rPr>
        <w:t>Análisis de la Comisión</w:t>
      </w:r>
    </w:p>
    <w:p w14:paraId="281D1A78" w14:textId="69D3C1A8" w:rsidR="00970D42" w:rsidRDefault="00FA45B8" w:rsidP="00D25E16">
      <w:r>
        <w:t xml:space="preserve">En relación con la información de ventas a usuarios regulados del comercializador incumbente, en este caso Electricaribe, en </w:t>
      </w:r>
      <w:r w:rsidR="00970D42">
        <w:t>el documento de soporte de la Resolución CREG 0</w:t>
      </w:r>
      <w:r>
        <w:t>24</w:t>
      </w:r>
      <w:r w:rsidR="00970D42">
        <w:t xml:space="preserve"> de 2021 se señala lo siguiente: </w:t>
      </w:r>
    </w:p>
    <w:p w14:paraId="7CDC911D" w14:textId="77777777" w:rsidR="00970D42" w:rsidRPr="00970D42" w:rsidRDefault="00970D42" w:rsidP="006808CE">
      <w:pPr>
        <w:spacing w:before="60" w:after="60"/>
        <w:ind w:left="284"/>
        <w:rPr>
          <w:i/>
          <w:iCs/>
          <w:spacing w:val="-3"/>
          <w:sz w:val="20"/>
          <w:szCs w:val="20"/>
        </w:rPr>
      </w:pPr>
      <w:r w:rsidRPr="00970D42">
        <w:rPr>
          <w:i/>
          <w:iCs/>
          <w:spacing w:val="-3"/>
          <w:sz w:val="20"/>
          <w:szCs w:val="20"/>
        </w:rPr>
        <w:t>En comunicación con radicado CREG S-2020-006964 del 23 de diciembre de 2020, se solicitó a la SSPD indicar si, a la fecha, la información de consumo facturado del año 2019 para el mercado de Electricaribe reportada en el correo del 5 de septiembre de 2020 seguía estando vigente o había sido modificada.</w:t>
      </w:r>
    </w:p>
    <w:p w14:paraId="28FEAB4B" w14:textId="77777777" w:rsidR="00E94BB7" w:rsidRDefault="00970D42" w:rsidP="006808CE">
      <w:pPr>
        <w:spacing w:before="60" w:after="60"/>
        <w:ind w:left="284"/>
        <w:rPr>
          <w:i/>
          <w:iCs/>
          <w:spacing w:val="-3"/>
          <w:sz w:val="20"/>
          <w:szCs w:val="20"/>
        </w:rPr>
      </w:pPr>
      <w:r w:rsidRPr="00970D42">
        <w:rPr>
          <w:i/>
          <w:iCs/>
          <w:spacing w:val="-3"/>
          <w:sz w:val="20"/>
          <w:szCs w:val="20"/>
        </w:rPr>
        <w:t xml:space="preserve">En comunicación con radicado CREG E-2021-002674 del 1 de marzo de 2021, la SSPD dio respuesta a la solicitud de la Comisión indicando lo siguiente: (…) </w:t>
      </w:r>
    </w:p>
    <w:p w14:paraId="13818CD2" w14:textId="12141F3A" w:rsidR="00970D42" w:rsidRPr="00970D42" w:rsidRDefault="00970D42" w:rsidP="006808CE">
      <w:pPr>
        <w:spacing w:before="60" w:after="60"/>
        <w:ind w:left="284"/>
        <w:rPr>
          <w:i/>
          <w:iCs/>
          <w:spacing w:val="-3"/>
          <w:sz w:val="20"/>
          <w:szCs w:val="20"/>
        </w:rPr>
      </w:pPr>
      <w:r w:rsidRPr="00970D42">
        <w:rPr>
          <w:i/>
          <w:iCs/>
          <w:spacing w:val="-3"/>
          <w:sz w:val="20"/>
          <w:szCs w:val="20"/>
        </w:rPr>
        <w:t>La información remitida en su momento por la SSPD fue extraída de los Formatos 2 y 3 del SUI, definidos a través de la Resolución SSPD 8055 de 2010 y que corresponde a la información de facturación de los comercializadores de energía eléctrica.</w:t>
      </w:r>
    </w:p>
    <w:p w14:paraId="6C040DAF" w14:textId="5B064B2F" w:rsidR="00970D42" w:rsidRPr="00970D42" w:rsidRDefault="00970D42" w:rsidP="006808CE">
      <w:pPr>
        <w:spacing w:before="60" w:after="60"/>
        <w:ind w:left="284" w:right="190"/>
        <w:rPr>
          <w:i/>
          <w:iCs/>
          <w:spacing w:val="-3"/>
          <w:sz w:val="20"/>
          <w:szCs w:val="20"/>
        </w:rPr>
      </w:pPr>
      <w:r w:rsidRPr="00970D42">
        <w:rPr>
          <w:i/>
          <w:iCs/>
          <w:spacing w:val="-3"/>
          <w:sz w:val="20"/>
          <w:szCs w:val="20"/>
        </w:rPr>
        <w:t>Aclarado lo anterior, informamos que a través del radicado SSPD 20205292019672 del 24 de septiembre de 2020, Electrificadora del Caribe S.A. E.S.P. solicitó la reversión de los Formatos 2 y 3 de los años 2018 y 2019 a la Dirección Técnica de Gestión de Energía argumentando lo siguiente:</w:t>
      </w:r>
      <w:r w:rsidR="00E94BB7">
        <w:rPr>
          <w:i/>
          <w:iCs/>
          <w:spacing w:val="-3"/>
          <w:sz w:val="20"/>
          <w:szCs w:val="20"/>
        </w:rPr>
        <w:t xml:space="preserve"> (…)</w:t>
      </w:r>
    </w:p>
    <w:p w14:paraId="728DD1A8" w14:textId="2797E60C" w:rsidR="00970D42" w:rsidRPr="00970D42" w:rsidRDefault="00970D42" w:rsidP="006808CE">
      <w:pPr>
        <w:spacing w:before="60" w:after="60"/>
        <w:ind w:left="567" w:right="190"/>
        <w:rPr>
          <w:i/>
          <w:iCs/>
          <w:spacing w:val="-3"/>
          <w:sz w:val="20"/>
          <w:szCs w:val="20"/>
        </w:rPr>
      </w:pPr>
      <w:r w:rsidRPr="00970D42">
        <w:rPr>
          <w:i/>
          <w:iCs/>
          <w:spacing w:val="-3"/>
          <w:sz w:val="20"/>
          <w:szCs w:val="20"/>
        </w:rPr>
        <w:t>En atención a l comunicación de la SSPD N° 20202200891681, donde la SSPD reporte a la solicitud elevada por Electricaribe en referencia al reporte del consumo distribuido comunitario reportado al SUI en los formatos de información comercial 2 y 3, y su impacto en el cálculo de los indicadores de pérdidas de referencia para los mercados resultantes de Caribesol y CaribeMar que serán calculados por el LAC, encuentra necesario solicitar a la SSPD la reversión de los formatos 2 y 3 mencionados para los años 2018 y 2019.” (…)”</w:t>
      </w:r>
    </w:p>
    <w:p w14:paraId="45B10734" w14:textId="77777777" w:rsidR="00970D42" w:rsidRPr="00970D42" w:rsidRDefault="00970D42" w:rsidP="006808CE">
      <w:pPr>
        <w:spacing w:before="60" w:after="60"/>
        <w:ind w:left="567" w:right="190"/>
        <w:rPr>
          <w:i/>
          <w:iCs/>
          <w:spacing w:val="-3"/>
          <w:sz w:val="20"/>
          <w:szCs w:val="20"/>
        </w:rPr>
      </w:pPr>
      <w:r w:rsidRPr="00970D42">
        <w:rPr>
          <w:i/>
          <w:iCs/>
          <w:spacing w:val="-3"/>
          <w:sz w:val="20"/>
          <w:szCs w:val="20"/>
        </w:rPr>
        <w:t xml:space="preserve">Una vez cumplidas las verificaciones pertinentes y realizada una visita por parte de un equipo de profesionales de la DTGE a las instalaciones de la empresa, a través del radicado SSPD 20202201131651 del 10 de noviembre de 2020 </w:t>
      </w:r>
      <w:r w:rsidRPr="00FA45B8">
        <w:rPr>
          <w:i/>
          <w:iCs/>
          <w:spacing w:val="-3"/>
          <w:sz w:val="20"/>
          <w:szCs w:val="20"/>
          <w:u w:val="single"/>
        </w:rPr>
        <w:t>la Entidad aprobó la reversión de los Formatos 2 y 3 para los años 2018 y 2019. Así mismo, una vez verificado el estado de cargue de la información, a la fecha ya se cuenta con la información nuevamente certificada por parte de Electrificadora del Caribe S.A. E.S.P</w:t>
      </w:r>
      <w:r w:rsidRPr="00970D42">
        <w:rPr>
          <w:i/>
          <w:iCs/>
          <w:spacing w:val="-3"/>
          <w:sz w:val="20"/>
          <w:szCs w:val="20"/>
        </w:rPr>
        <w:t>.</w:t>
      </w:r>
    </w:p>
    <w:p w14:paraId="336E2265" w14:textId="273DF673" w:rsidR="00970D42" w:rsidRDefault="00970D42" w:rsidP="006808CE">
      <w:pPr>
        <w:spacing w:before="60" w:after="60"/>
        <w:ind w:left="567"/>
        <w:rPr>
          <w:i/>
          <w:iCs/>
          <w:spacing w:val="-3"/>
          <w:sz w:val="20"/>
          <w:szCs w:val="20"/>
        </w:rPr>
      </w:pPr>
      <w:r w:rsidRPr="00FA45B8">
        <w:rPr>
          <w:i/>
          <w:iCs/>
          <w:spacing w:val="-3"/>
          <w:sz w:val="20"/>
          <w:szCs w:val="20"/>
          <w:u w:val="single"/>
        </w:rPr>
        <w:t>Con base en la comunicación de la SSPD, el 12 de marzo de 2021 se realizó una nueva consulta a la BDD del SUI sobre el consumo facturado durante el año 2019</w:t>
      </w:r>
      <w:r w:rsidRPr="00970D42">
        <w:rPr>
          <w:i/>
          <w:iCs/>
          <w:spacing w:val="-3"/>
          <w:sz w:val="20"/>
          <w:szCs w:val="20"/>
        </w:rPr>
        <w:t xml:space="preserve"> en el mercado de Electricaribe y se encontró que los valores de ventas en esta consulta son menores que los de las consultas previas.</w:t>
      </w:r>
      <w:r w:rsidR="00FA45B8">
        <w:rPr>
          <w:i/>
          <w:iCs/>
          <w:spacing w:val="-3"/>
          <w:sz w:val="20"/>
          <w:szCs w:val="20"/>
        </w:rPr>
        <w:t xml:space="preserve"> (…)</w:t>
      </w:r>
      <w:r w:rsidRPr="00970D42">
        <w:rPr>
          <w:i/>
          <w:iCs/>
          <w:spacing w:val="-3"/>
          <w:sz w:val="20"/>
          <w:szCs w:val="20"/>
        </w:rPr>
        <w:t xml:space="preserve"> </w:t>
      </w:r>
    </w:p>
    <w:p w14:paraId="58D0AD6C" w14:textId="23BE089E" w:rsidR="00FA45B8" w:rsidRDefault="00FA45B8" w:rsidP="006808CE">
      <w:pPr>
        <w:spacing w:before="60" w:after="60"/>
        <w:ind w:left="284"/>
        <w:rPr>
          <w:i/>
          <w:iCs/>
          <w:spacing w:val="-3"/>
          <w:sz w:val="20"/>
          <w:szCs w:val="20"/>
        </w:rPr>
      </w:pPr>
      <w:r w:rsidRPr="00FA45B8">
        <w:rPr>
          <w:i/>
          <w:iCs/>
          <w:spacing w:val="-3"/>
          <w:sz w:val="20"/>
          <w:szCs w:val="20"/>
        </w:rPr>
        <w:t xml:space="preserve">Teniendo en cuenta que en el numeral 7.3.7.2 del anexo general de la Resolución CREG 015 de 2018 se establece que la variable EsVSFCj,n,m corresponde a </w:t>
      </w:r>
      <w:r w:rsidRPr="00FA45B8">
        <w:rPr>
          <w:i/>
          <w:iCs/>
          <w:spacing w:val="-3"/>
          <w:sz w:val="20"/>
          <w:szCs w:val="20"/>
          <w:u w:val="single"/>
        </w:rPr>
        <w:t>las ventas de energía eléctrica de usuarios regulados del comercializador incumbente, que es facturado y reportado al SUI y que este sistema es la fuente oficial de información del sector, para calcular las pérdidas de energía en aplicación de la metodología definida en las resoluciones CREG 015 de 2018 y 010 de 2020</w:t>
      </w:r>
      <w:r w:rsidRPr="00FA45B8">
        <w:rPr>
          <w:i/>
          <w:iCs/>
          <w:spacing w:val="-3"/>
          <w:sz w:val="20"/>
          <w:szCs w:val="20"/>
        </w:rPr>
        <w:t xml:space="preserve"> </w:t>
      </w:r>
      <w:r w:rsidRPr="00FA45B8">
        <w:rPr>
          <w:i/>
          <w:iCs/>
          <w:spacing w:val="-3"/>
          <w:sz w:val="20"/>
          <w:szCs w:val="20"/>
          <w:u w:val="single"/>
        </w:rPr>
        <w:t>la Comisión utiliza la información disponible en el SUI en marzo de 2021</w:t>
      </w:r>
      <w:r w:rsidRPr="00FA45B8">
        <w:rPr>
          <w:i/>
          <w:iCs/>
          <w:spacing w:val="-3"/>
          <w:sz w:val="20"/>
          <w:szCs w:val="20"/>
        </w:rPr>
        <w:t>. Con base en esta información y aplicando la metodología definida en la Resolución CREG 015 de 2018, se calculó un índice de pérdidas totales de 27,2% y un índice de pérdidas de nivel de tensión 1 de 35,1%%.</w:t>
      </w:r>
    </w:p>
    <w:p w14:paraId="4C5D5995" w14:textId="5A211205" w:rsidR="0071638C" w:rsidRPr="00970D42" w:rsidRDefault="0071638C" w:rsidP="006808CE">
      <w:pPr>
        <w:spacing w:before="60" w:after="60"/>
        <w:ind w:left="284"/>
        <w:rPr>
          <w:i/>
          <w:iCs/>
          <w:spacing w:val="-3"/>
          <w:sz w:val="20"/>
          <w:szCs w:val="20"/>
        </w:rPr>
      </w:pPr>
      <w:r>
        <w:rPr>
          <w:i/>
          <w:iCs/>
          <w:spacing w:val="-3"/>
          <w:sz w:val="20"/>
          <w:szCs w:val="20"/>
        </w:rPr>
        <w:t>Subrayado fuera de texto</w:t>
      </w:r>
    </w:p>
    <w:p w14:paraId="343F563F" w14:textId="54EA081E" w:rsidR="00970D42" w:rsidRDefault="00FA45B8" w:rsidP="00D25E16">
      <w:r>
        <w:t>Sobre la</w:t>
      </w:r>
      <w:r w:rsidR="0071638C">
        <w:t xml:space="preserve">s </w:t>
      </w:r>
      <w:r>
        <w:t xml:space="preserve">ventas a usuarios regulados utilizadas </w:t>
      </w:r>
      <w:r w:rsidR="0071638C">
        <w:t>en la aprobación de la Resolución CREG 024 de 2021</w:t>
      </w:r>
      <w:r w:rsidR="006808CE">
        <w:t>,</w:t>
      </w:r>
      <w:r w:rsidR="0071638C">
        <w:t xml:space="preserve"> </w:t>
      </w:r>
      <w:r>
        <w:t xml:space="preserve">se empleó la información de consumos disponibles en el SUI en la consulta realizada por esta Comisión en marzo de 2021, </w:t>
      </w:r>
      <w:r w:rsidR="0071638C">
        <w:t xml:space="preserve">la cual </w:t>
      </w:r>
      <w:r>
        <w:t xml:space="preserve">considera el cambio de información </w:t>
      </w:r>
      <w:r w:rsidR="0085369E">
        <w:t xml:space="preserve">realizado </w:t>
      </w:r>
      <w:r>
        <w:t xml:space="preserve">por la empresa </w:t>
      </w:r>
      <w:r w:rsidR="0085369E">
        <w:t>durante el año 2021</w:t>
      </w:r>
      <w:r>
        <w:t xml:space="preserve">.  </w:t>
      </w:r>
    </w:p>
    <w:p w14:paraId="5D2D6019" w14:textId="77777777" w:rsidR="0071638C" w:rsidRDefault="00FA45B8" w:rsidP="00D25E16">
      <w:r>
        <w:t xml:space="preserve">En relación con el tratamiento de la información correspondiente a </w:t>
      </w:r>
      <w:bookmarkStart w:id="11" w:name="_Hlk71194771"/>
      <w:r>
        <w:t xml:space="preserve">los campos 36 y 39 de los formatos 2 y 3 de la </w:t>
      </w:r>
      <w:r w:rsidRPr="00FA45B8">
        <w:t>Resolución SSPD 20102400008055, modificada por Resolución SSPD 20121300017645</w:t>
      </w:r>
      <w:bookmarkEnd w:id="11"/>
      <w:r w:rsidR="0085369E">
        <w:t>, s</w:t>
      </w:r>
      <w:r>
        <w:t>e señala que p</w:t>
      </w:r>
      <w:r w:rsidR="009E6D28">
        <w:t xml:space="preserve">ara la expedición de la Resolución CREG 024 de 2021 </w:t>
      </w:r>
      <w:r w:rsidR="00D25E16" w:rsidRPr="00D25E16">
        <w:t xml:space="preserve">la Comisión empleó el consumo facturado y reportado al SUI, considerando los ajustes de facturación solicitados por el OR, relacionados con </w:t>
      </w:r>
      <w:r w:rsidR="0085369E">
        <w:t xml:space="preserve">el </w:t>
      </w:r>
      <w:r w:rsidR="00D25E16" w:rsidRPr="00D25E16">
        <w:t>consumo anulado y reliquidado</w:t>
      </w:r>
      <w:r w:rsidR="0071638C">
        <w:t>.</w:t>
      </w:r>
    </w:p>
    <w:p w14:paraId="190A90B9" w14:textId="582A58D7" w:rsidR="00D25E16" w:rsidRDefault="0071638C" w:rsidP="00FF7802">
      <w:r>
        <w:t>Sobre este punto del recurso de reposición</w:t>
      </w:r>
      <w:r w:rsidR="006808CE">
        <w:t>,</w:t>
      </w:r>
      <w:r>
        <w:t xml:space="preserve"> en el cual </w:t>
      </w:r>
      <w:r w:rsidR="009E6D28">
        <w:t xml:space="preserve">el OR </w:t>
      </w:r>
      <w:r>
        <w:t xml:space="preserve">manifiesta </w:t>
      </w:r>
      <w:r w:rsidR="009E6D28">
        <w:t>que la Comisión no realizó dicho ajuste</w:t>
      </w:r>
      <w:r>
        <w:t xml:space="preserve">, la Comisión procedió a verificar </w:t>
      </w:r>
      <w:r w:rsidR="00D25E16">
        <w:t xml:space="preserve">que los valores empleados para determinar la variable </w:t>
      </w:r>
      <w:r w:rsidR="00D25E16" w:rsidRPr="00D25E16">
        <w:rPr>
          <w:i/>
          <w:iCs/>
        </w:rPr>
        <w:t>EsVSFC</w:t>
      </w:r>
      <w:r w:rsidR="00D25E16" w:rsidRPr="00D25E16">
        <w:rPr>
          <w:i/>
          <w:iCs/>
          <w:vertAlign w:val="subscript"/>
        </w:rPr>
        <w:t>j,1,m</w:t>
      </w:r>
      <w:r w:rsidR="00D25E16">
        <w:t xml:space="preserve"> consideraran el </w:t>
      </w:r>
      <w:r w:rsidR="009E6D28">
        <w:t>ajuste del campo tipo de facturación</w:t>
      </w:r>
      <w:r w:rsidR="00970D42">
        <w:t xml:space="preserve">, </w:t>
      </w:r>
      <w:r w:rsidR="009E6D28">
        <w:t xml:space="preserve">encontrando que </w:t>
      </w:r>
      <w:r w:rsidR="00970D42">
        <w:t xml:space="preserve">en los cálculos realizados </w:t>
      </w:r>
      <w:r w:rsidR="009E6D28">
        <w:t xml:space="preserve">se suman los consumos reportados </w:t>
      </w:r>
      <w:r>
        <w:t xml:space="preserve">en los campos 13 y 14 de los formatos 2 y 3 de la </w:t>
      </w:r>
      <w:r w:rsidRPr="00FA45B8">
        <w:t>Resolución SSPD 20102400008055</w:t>
      </w:r>
      <w:r w:rsidR="006808CE">
        <w:t>,</w:t>
      </w:r>
      <w:r>
        <w:t xml:space="preserve"> </w:t>
      </w:r>
      <w:r w:rsidR="009E6D28">
        <w:t xml:space="preserve">cuyo tipo de facturación corresponde a: i) inicial (I) y ii) liquidados/refacturados (L) </w:t>
      </w:r>
      <w:r>
        <w:t>en los campos 36 y 39 de dicha resolución</w:t>
      </w:r>
      <w:r w:rsidR="006808CE">
        <w:t>,</w:t>
      </w:r>
      <w:r>
        <w:t xml:space="preserve"> </w:t>
      </w:r>
      <w:r w:rsidR="009E6D28">
        <w:t xml:space="preserve">y que los consumos reportados </w:t>
      </w:r>
      <w:r>
        <w:t xml:space="preserve">en los campos 2 y 3 </w:t>
      </w:r>
      <w:r w:rsidR="009E6D28">
        <w:t xml:space="preserve">cuyo tipo de facturación corresponde a anulados (A), </w:t>
      </w:r>
      <w:r>
        <w:t xml:space="preserve">en los campos 36 y 39 fueron descontados, </w:t>
      </w:r>
      <w:r w:rsidR="009E6D28">
        <w:t>como se observa en la siguiente tabla:</w:t>
      </w:r>
    </w:p>
    <w:tbl>
      <w:tblPr>
        <w:tblW w:w="7366" w:type="dxa"/>
        <w:jc w:val="center"/>
        <w:tblCellMar>
          <w:left w:w="70" w:type="dxa"/>
          <w:right w:w="70" w:type="dxa"/>
        </w:tblCellMar>
        <w:tblLook w:val="04A0" w:firstRow="1" w:lastRow="0" w:firstColumn="1" w:lastColumn="0" w:noHBand="0" w:noVBand="1"/>
      </w:tblPr>
      <w:tblGrid>
        <w:gridCol w:w="1180"/>
        <w:gridCol w:w="1548"/>
        <w:gridCol w:w="1440"/>
        <w:gridCol w:w="1440"/>
        <w:gridCol w:w="1758"/>
      </w:tblGrid>
      <w:tr w:rsidR="00D25E16" w:rsidRPr="00D25E16" w14:paraId="0DBF98EA" w14:textId="77777777" w:rsidTr="00B4546C">
        <w:trPr>
          <w:trHeight w:val="227"/>
          <w:tblHeader/>
          <w:jc w:val="center"/>
        </w:trPr>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B87D2" w14:textId="5A50CC78" w:rsidR="00D25E16" w:rsidRPr="00E94BB7" w:rsidRDefault="00FF7802" w:rsidP="00FF7802">
            <w:pPr>
              <w:spacing w:before="60" w:after="60"/>
              <w:jc w:val="center"/>
              <w:rPr>
                <w:rFonts w:cs="Arial"/>
                <w:b/>
                <w:bCs/>
                <w:i/>
                <w:iCs/>
                <w:color w:val="000000"/>
                <w:sz w:val="18"/>
                <w:szCs w:val="18"/>
                <w:lang w:val="es-CO" w:eastAsia="es-CO"/>
              </w:rPr>
            </w:pPr>
            <w:r w:rsidRPr="00E94BB7">
              <w:rPr>
                <w:rFonts w:cs="Arial"/>
                <w:b/>
                <w:bCs/>
                <w:i/>
                <w:iCs/>
                <w:color w:val="000000"/>
                <w:sz w:val="18"/>
                <w:szCs w:val="18"/>
                <w:lang w:val="es-CO" w:eastAsia="es-CO"/>
              </w:rPr>
              <w:t>Mes</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6FF65063" w14:textId="2A32C334" w:rsidR="00D25E16" w:rsidRPr="00E94BB7" w:rsidRDefault="00D25E16" w:rsidP="00FF7802">
            <w:pPr>
              <w:spacing w:before="60" w:after="60"/>
              <w:jc w:val="center"/>
              <w:rPr>
                <w:rFonts w:cs="Arial"/>
                <w:b/>
                <w:bCs/>
                <w:i/>
                <w:iCs/>
                <w:color w:val="000000"/>
                <w:sz w:val="18"/>
                <w:szCs w:val="18"/>
                <w:lang w:val="es-CO" w:eastAsia="es-CO"/>
              </w:rPr>
            </w:pPr>
            <w:r w:rsidRPr="00E94BB7">
              <w:rPr>
                <w:rFonts w:cs="Arial"/>
                <w:b/>
                <w:bCs/>
                <w:i/>
                <w:iCs/>
                <w:color w:val="000000"/>
                <w:sz w:val="18"/>
                <w:szCs w:val="18"/>
                <w:lang w:val="es-CO" w:eastAsia="es-CO"/>
              </w:rPr>
              <w:t xml:space="preserve">Consumo </w:t>
            </w:r>
            <w:r w:rsidR="00B4546C">
              <w:rPr>
                <w:rFonts w:cs="Arial"/>
                <w:b/>
                <w:bCs/>
                <w:i/>
                <w:iCs/>
                <w:color w:val="000000"/>
                <w:sz w:val="18"/>
                <w:szCs w:val="18"/>
                <w:lang w:val="es-CO" w:eastAsia="es-CO"/>
              </w:rPr>
              <w:t>(</w:t>
            </w:r>
            <w:r w:rsidRPr="00E94BB7">
              <w:rPr>
                <w:rFonts w:cs="Arial"/>
                <w:b/>
                <w:bCs/>
                <w:i/>
                <w:iCs/>
                <w:color w:val="000000"/>
                <w:sz w:val="18"/>
                <w:szCs w:val="18"/>
                <w:lang w:val="es-CO" w:eastAsia="es-CO"/>
              </w:rPr>
              <w:t>I</w:t>
            </w:r>
            <w:r w:rsidR="00B4546C">
              <w:rPr>
                <w:rFonts w:cs="Arial"/>
                <w:b/>
                <w:bCs/>
                <w:i/>
                <w:iCs/>
                <w:color w:val="000000"/>
                <w:sz w:val="18"/>
                <w:szCs w:val="18"/>
                <w:lang w:val="es-CO" w:eastAsia="es-CO"/>
              </w:rPr>
              <w:t>)</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5776E2A5" w14:textId="4947475C" w:rsidR="00D25E16" w:rsidRPr="00E94BB7" w:rsidRDefault="00D25E16" w:rsidP="00FF7802">
            <w:pPr>
              <w:spacing w:before="60" w:after="60"/>
              <w:jc w:val="center"/>
              <w:rPr>
                <w:rFonts w:cs="Arial"/>
                <w:b/>
                <w:bCs/>
                <w:i/>
                <w:iCs/>
                <w:color w:val="000000"/>
                <w:sz w:val="18"/>
                <w:szCs w:val="18"/>
                <w:lang w:val="es-CO" w:eastAsia="es-CO"/>
              </w:rPr>
            </w:pPr>
            <w:r w:rsidRPr="00E94BB7">
              <w:rPr>
                <w:rFonts w:cs="Arial"/>
                <w:b/>
                <w:bCs/>
                <w:i/>
                <w:iCs/>
                <w:color w:val="000000"/>
                <w:sz w:val="18"/>
                <w:szCs w:val="18"/>
                <w:lang w:val="es-CO" w:eastAsia="es-CO"/>
              </w:rPr>
              <w:t xml:space="preserve">Consumo </w:t>
            </w:r>
            <w:r w:rsidR="00B4546C">
              <w:rPr>
                <w:rFonts w:cs="Arial"/>
                <w:b/>
                <w:bCs/>
                <w:i/>
                <w:iCs/>
                <w:color w:val="000000"/>
                <w:sz w:val="18"/>
                <w:szCs w:val="18"/>
                <w:lang w:val="es-CO" w:eastAsia="es-CO"/>
              </w:rPr>
              <w:t>(</w:t>
            </w:r>
            <w:r w:rsidRPr="00E94BB7">
              <w:rPr>
                <w:rFonts w:cs="Arial"/>
                <w:b/>
                <w:bCs/>
                <w:i/>
                <w:iCs/>
                <w:color w:val="000000"/>
                <w:sz w:val="18"/>
                <w:szCs w:val="18"/>
                <w:lang w:val="es-CO" w:eastAsia="es-CO"/>
              </w:rPr>
              <w:t>A</w:t>
            </w:r>
            <w:r w:rsidR="00B4546C">
              <w:rPr>
                <w:rFonts w:cs="Arial"/>
                <w:b/>
                <w:bCs/>
                <w:i/>
                <w:iCs/>
                <w:color w:val="000000"/>
                <w:sz w:val="18"/>
                <w:szCs w:val="18"/>
                <w:lang w:val="es-CO" w:eastAsia="es-CO"/>
              </w:rPr>
              <w:t>)</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06E1B760" w14:textId="5F738D7D" w:rsidR="00D25E16" w:rsidRPr="00E94BB7" w:rsidRDefault="00D25E16" w:rsidP="00FF7802">
            <w:pPr>
              <w:spacing w:before="60" w:after="60"/>
              <w:jc w:val="center"/>
              <w:rPr>
                <w:rFonts w:cs="Arial"/>
                <w:b/>
                <w:bCs/>
                <w:i/>
                <w:iCs/>
                <w:color w:val="000000"/>
                <w:sz w:val="18"/>
                <w:szCs w:val="18"/>
                <w:lang w:val="es-CO" w:eastAsia="es-CO"/>
              </w:rPr>
            </w:pPr>
            <w:r w:rsidRPr="00E94BB7">
              <w:rPr>
                <w:rFonts w:cs="Arial"/>
                <w:b/>
                <w:bCs/>
                <w:i/>
                <w:iCs/>
                <w:color w:val="000000"/>
                <w:sz w:val="18"/>
                <w:szCs w:val="18"/>
                <w:lang w:val="es-CO" w:eastAsia="es-CO"/>
              </w:rPr>
              <w:t xml:space="preserve">Consumo </w:t>
            </w:r>
            <w:r w:rsidR="00B4546C">
              <w:rPr>
                <w:rFonts w:cs="Arial"/>
                <w:b/>
                <w:bCs/>
                <w:i/>
                <w:iCs/>
                <w:color w:val="000000"/>
                <w:sz w:val="18"/>
                <w:szCs w:val="18"/>
                <w:lang w:val="es-CO" w:eastAsia="es-CO"/>
              </w:rPr>
              <w:t>(</w:t>
            </w:r>
            <w:r w:rsidRPr="00E94BB7">
              <w:rPr>
                <w:rFonts w:cs="Arial"/>
                <w:b/>
                <w:bCs/>
                <w:i/>
                <w:iCs/>
                <w:color w:val="000000"/>
                <w:sz w:val="18"/>
                <w:szCs w:val="18"/>
                <w:lang w:val="es-CO" w:eastAsia="es-CO"/>
              </w:rPr>
              <w:t>L</w:t>
            </w:r>
            <w:r w:rsidR="00B4546C">
              <w:rPr>
                <w:rFonts w:cs="Arial"/>
                <w:b/>
                <w:bCs/>
                <w:i/>
                <w:iCs/>
                <w:color w:val="000000"/>
                <w:sz w:val="18"/>
                <w:szCs w:val="18"/>
                <w:lang w:val="es-CO" w:eastAsia="es-CO"/>
              </w:rPr>
              <w:t>)</w:t>
            </w:r>
          </w:p>
        </w:tc>
        <w:tc>
          <w:tcPr>
            <w:tcW w:w="1758" w:type="dxa"/>
            <w:tcBorders>
              <w:top w:val="single" w:sz="4" w:space="0" w:color="auto"/>
              <w:left w:val="nil"/>
              <w:bottom w:val="single" w:sz="4" w:space="0" w:color="auto"/>
              <w:right w:val="single" w:sz="4" w:space="0" w:color="auto"/>
            </w:tcBorders>
            <w:shd w:val="clear" w:color="000000" w:fill="FFFFFF"/>
            <w:noWrap/>
            <w:vAlign w:val="center"/>
            <w:hideMark/>
          </w:tcPr>
          <w:p w14:paraId="1C4492C7" w14:textId="1A9FB1FE" w:rsidR="00D25E16" w:rsidRPr="00E94BB7" w:rsidRDefault="00D25E16" w:rsidP="00FF7802">
            <w:pPr>
              <w:spacing w:before="60" w:after="60"/>
              <w:jc w:val="center"/>
              <w:rPr>
                <w:rFonts w:cs="Arial"/>
                <w:b/>
                <w:bCs/>
                <w:i/>
                <w:iCs/>
                <w:color w:val="000000"/>
                <w:sz w:val="18"/>
                <w:szCs w:val="18"/>
                <w:lang w:val="es-CO" w:eastAsia="es-CO"/>
              </w:rPr>
            </w:pPr>
            <w:r w:rsidRPr="00E94BB7">
              <w:rPr>
                <w:rFonts w:cs="Arial"/>
                <w:b/>
                <w:bCs/>
                <w:i/>
                <w:iCs/>
                <w:color w:val="000000"/>
                <w:sz w:val="18"/>
                <w:szCs w:val="18"/>
                <w:lang w:val="es-CO" w:eastAsia="es-CO"/>
              </w:rPr>
              <w:t xml:space="preserve">Consumo </w:t>
            </w:r>
            <w:r w:rsidR="00B4546C">
              <w:rPr>
                <w:rFonts w:cs="Arial"/>
                <w:b/>
                <w:bCs/>
                <w:i/>
                <w:iCs/>
                <w:color w:val="000000"/>
                <w:sz w:val="18"/>
                <w:szCs w:val="18"/>
                <w:lang w:val="es-CO" w:eastAsia="es-CO"/>
              </w:rPr>
              <w:t>(</w:t>
            </w:r>
            <w:r w:rsidRPr="00E94BB7">
              <w:rPr>
                <w:rFonts w:cs="Arial"/>
                <w:b/>
                <w:bCs/>
                <w:i/>
                <w:iCs/>
                <w:color w:val="000000"/>
                <w:sz w:val="18"/>
                <w:szCs w:val="18"/>
                <w:lang w:val="es-CO" w:eastAsia="es-CO"/>
              </w:rPr>
              <w:t>I-A+L</w:t>
            </w:r>
            <w:r w:rsidR="00B4546C">
              <w:rPr>
                <w:rFonts w:cs="Arial"/>
                <w:b/>
                <w:bCs/>
                <w:i/>
                <w:iCs/>
                <w:color w:val="000000"/>
                <w:sz w:val="18"/>
                <w:szCs w:val="18"/>
                <w:lang w:val="es-CO" w:eastAsia="es-CO"/>
              </w:rPr>
              <w:t>)</w:t>
            </w:r>
          </w:p>
        </w:tc>
      </w:tr>
      <w:tr w:rsidR="00D25E16" w:rsidRPr="00D25E16" w14:paraId="7D94B553"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0A59FA77"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1-2019</w:t>
            </w:r>
          </w:p>
        </w:tc>
        <w:tc>
          <w:tcPr>
            <w:tcW w:w="1548" w:type="dxa"/>
            <w:tcBorders>
              <w:top w:val="nil"/>
              <w:left w:val="nil"/>
              <w:bottom w:val="single" w:sz="4" w:space="0" w:color="auto"/>
              <w:right w:val="single" w:sz="4" w:space="0" w:color="auto"/>
            </w:tcBorders>
            <w:shd w:val="clear" w:color="000000" w:fill="FFFFFF"/>
            <w:noWrap/>
            <w:vAlign w:val="center"/>
            <w:hideMark/>
          </w:tcPr>
          <w:p w14:paraId="38EA5636"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248.974.818</w:t>
            </w:r>
          </w:p>
        </w:tc>
        <w:tc>
          <w:tcPr>
            <w:tcW w:w="1440" w:type="dxa"/>
            <w:tcBorders>
              <w:top w:val="nil"/>
              <w:left w:val="nil"/>
              <w:bottom w:val="single" w:sz="4" w:space="0" w:color="auto"/>
              <w:right w:val="single" w:sz="4" w:space="0" w:color="auto"/>
            </w:tcBorders>
            <w:shd w:val="clear" w:color="000000" w:fill="FFFFFF"/>
            <w:noWrap/>
            <w:vAlign w:val="center"/>
            <w:hideMark/>
          </w:tcPr>
          <w:p w14:paraId="10FA2B30" w14:textId="0DE74B31"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2.564.896</w:t>
            </w:r>
          </w:p>
        </w:tc>
        <w:tc>
          <w:tcPr>
            <w:tcW w:w="1440" w:type="dxa"/>
            <w:tcBorders>
              <w:top w:val="nil"/>
              <w:left w:val="nil"/>
              <w:bottom w:val="single" w:sz="4" w:space="0" w:color="auto"/>
              <w:right w:val="single" w:sz="4" w:space="0" w:color="auto"/>
            </w:tcBorders>
            <w:shd w:val="clear" w:color="000000" w:fill="FFFFFF"/>
            <w:noWrap/>
            <w:vAlign w:val="center"/>
            <w:hideMark/>
          </w:tcPr>
          <w:p w14:paraId="6857948C"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980.762</w:t>
            </w:r>
          </w:p>
        </w:tc>
        <w:tc>
          <w:tcPr>
            <w:tcW w:w="1758" w:type="dxa"/>
            <w:tcBorders>
              <w:top w:val="nil"/>
              <w:left w:val="nil"/>
              <w:bottom w:val="single" w:sz="4" w:space="0" w:color="auto"/>
              <w:right w:val="single" w:sz="4" w:space="0" w:color="auto"/>
            </w:tcBorders>
            <w:shd w:val="clear" w:color="000000" w:fill="FFFFFF"/>
            <w:noWrap/>
            <w:vAlign w:val="center"/>
            <w:hideMark/>
          </w:tcPr>
          <w:p w14:paraId="02EA9CF9"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247.390.684</w:t>
            </w:r>
          </w:p>
        </w:tc>
      </w:tr>
      <w:tr w:rsidR="00D25E16" w:rsidRPr="00D25E16" w14:paraId="30CE8F5C"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4CFD2C30"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2-2019</w:t>
            </w:r>
          </w:p>
        </w:tc>
        <w:tc>
          <w:tcPr>
            <w:tcW w:w="1548" w:type="dxa"/>
            <w:tcBorders>
              <w:top w:val="nil"/>
              <w:left w:val="nil"/>
              <w:bottom w:val="single" w:sz="4" w:space="0" w:color="auto"/>
              <w:right w:val="single" w:sz="4" w:space="0" w:color="auto"/>
            </w:tcBorders>
            <w:shd w:val="clear" w:color="000000" w:fill="FFFFFF"/>
            <w:noWrap/>
            <w:vAlign w:val="center"/>
            <w:hideMark/>
          </w:tcPr>
          <w:p w14:paraId="279501BC"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266.424.571</w:t>
            </w:r>
          </w:p>
        </w:tc>
        <w:tc>
          <w:tcPr>
            <w:tcW w:w="1440" w:type="dxa"/>
            <w:tcBorders>
              <w:top w:val="nil"/>
              <w:left w:val="nil"/>
              <w:bottom w:val="single" w:sz="4" w:space="0" w:color="auto"/>
              <w:right w:val="single" w:sz="4" w:space="0" w:color="auto"/>
            </w:tcBorders>
            <w:shd w:val="clear" w:color="000000" w:fill="FFFFFF"/>
            <w:noWrap/>
            <w:vAlign w:val="center"/>
            <w:hideMark/>
          </w:tcPr>
          <w:p w14:paraId="1A704A0A" w14:textId="7D3C4BD9"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3.414.465</w:t>
            </w:r>
          </w:p>
        </w:tc>
        <w:tc>
          <w:tcPr>
            <w:tcW w:w="1440" w:type="dxa"/>
            <w:tcBorders>
              <w:top w:val="nil"/>
              <w:left w:val="nil"/>
              <w:bottom w:val="single" w:sz="4" w:space="0" w:color="auto"/>
              <w:right w:val="single" w:sz="4" w:space="0" w:color="auto"/>
            </w:tcBorders>
            <w:shd w:val="clear" w:color="000000" w:fill="FFFFFF"/>
            <w:noWrap/>
            <w:vAlign w:val="center"/>
            <w:hideMark/>
          </w:tcPr>
          <w:p w14:paraId="60D512B6"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1.469.088</w:t>
            </w:r>
          </w:p>
        </w:tc>
        <w:tc>
          <w:tcPr>
            <w:tcW w:w="1758" w:type="dxa"/>
            <w:tcBorders>
              <w:top w:val="nil"/>
              <w:left w:val="nil"/>
              <w:bottom w:val="single" w:sz="4" w:space="0" w:color="auto"/>
              <w:right w:val="single" w:sz="4" w:space="0" w:color="auto"/>
            </w:tcBorders>
            <w:shd w:val="clear" w:color="000000" w:fill="FFFFFF"/>
            <w:noWrap/>
            <w:vAlign w:val="center"/>
            <w:hideMark/>
          </w:tcPr>
          <w:p w14:paraId="693BA8FB"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264.479.194</w:t>
            </w:r>
          </w:p>
        </w:tc>
      </w:tr>
      <w:tr w:rsidR="00D25E16" w:rsidRPr="00D25E16" w14:paraId="504841B5"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7F5E7EA8"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3-2019</w:t>
            </w:r>
          </w:p>
        </w:tc>
        <w:tc>
          <w:tcPr>
            <w:tcW w:w="1548" w:type="dxa"/>
            <w:tcBorders>
              <w:top w:val="nil"/>
              <w:left w:val="nil"/>
              <w:bottom w:val="single" w:sz="4" w:space="0" w:color="auto"/>
              <w:right w:val="single" w:sz="4" w:space="0" w:color="auto"/>
            </w:tcBorders>
            <w:shd w:val="clear" w:color="000000" w:fill="FFFFFF"/>
            <w:noWrap/>
            <w:vAlign w:val="center"/>
            <w:hideMark/>
          </w:tcPr>
          <w:p w14:paraId="672DE2BF"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265.288.529</w:t>
            </w:r>
          </w:p>
        </w:tc>
        <w:tc>
          <w:tcPr>
            <w:tcW w:w="1440" w:type="dxa"/>
            <w:tcBorders>
              <w:top w:val="nil"/>
              <w:left w:val="nil"/>
              <w:bottom w:val="single" w:sz="4" w:space="0" w:color="auto"/>
              <w:right w:val="single" w:sz="4" w:space="0" w:color="auto"/>
            </w:tcBorders>
            <w:shd w:val="clear" w:color="000000" w:fill="FFFFFF"/>
            <w:noWrap/>
            <w:vAlign w:val="center"/>
            <w:hideMark/>
          </w:tcPr>
          <w:p w14:paraId="6660B2FE" w14:textId="0D36B4C1"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3.322.389</w:t>
            </w:r>
          </w:p>
        </w:tc>
        <w:tc>
          <w:tcPr>
            <w:tcW w:w="1440" w:type="dxa"/>
            <w:tcBorders>
              <w:top w:val="nil"/>
              <w:left w:val="nil"/>
              <w:bottom w:val="single" w:sz="4" w:space="0" w:color="auto"/>
              <w:right w:val="single" w:sz="4" w:space="0" w:color="auto"/>
            </w:tcBorders>
            <w:shd w:val="clear" w:color="000000" w:fill="FFFFFF"/>
            <w:noWrap/>
            <w:vAlign w:val="center"/>
            <w:hideMark/>
          </w:tcPr>
          <w:p w14:paraId="26BFB2E9"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1.396.619</w:t>
            </w:r>
          </w:p>
        </w:tc>
        <w:tc>
          <w:tcPr>
            <w:tcW w:w="1758" w:type="dxa"/>
            <w:tcBorders>
              <w:top w:val="nil"/>
              <w:left w:val="nil"/>
              <w:bottom w:val="single" w:sz="4" w:space="0" w:color="auto"/>
              <w:right w:val="single" w:sz="4" w:space="0" w:color="auto"/>
            </w:tcBorders>
            <w:shd w:val="clear" w:color="000000" w:fill="FFFFFF"/>
            <w:noWrap/>
            <w:vAlign w:val="center"/>
            <w:hideMark/>
          </w:tcPr>
          <w:p w14:paraId="233F590E"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263.362.759</w:t>
            </w:r>
          </w:p>
        </w:tc>
      </w:tr>
      <w:tr w:rsidR="00D25E16" w:rsidRPr="00D25E16" w14:paraId="1651F1FB"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7F0D8B80"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4-2019</w:t>
            </w:r>
          </w:p>
        </w:tc>
        <w:tc>
          <w:tcPr>
            <w:tcW w:w="1548" w:type="dxa"/>
            <w:tcBorders>
              <w:top w:val="nil"/>
              <w:left w:val="nil"/>
              <w:bottom w:val="single" w:sz="4" w:space="0" w:color="auto"/>
              <w:right w:val="single" w:sz="4" w:space="0" w:color="auto"/>
            </w:tcBorders>
            <w:shd w:val="clear" w:color="000000" w:fill="FFFFFF"/>
            <w:noWrap/>
            <w:vAlign w:val="center"/>
            <w:hideMark/>
          </w:tcPr>
          <w:p w14:paraId="45ADAA08"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284.108.323</w:t>
            </w:r>
          </w:p>
        </w:tc>
        <w:tc>
          <w:tcPr>
            <w:tcW w:w="1440" w:type="dxa"/>
            <w:tcBorders>
              <w:top w:val="nil"/>
              <w:left w:val="nil"/>
              <w:bottom w:val="single" w:sz="4" w:space="0" w:color="auto"/>
              <w:right w:val="single" w:sz="4" w:space="0" w:color="auto"/>
            </w:tcBorders>
            <w:shd w:val="clear" w:color="000000" w:fill="FFFFFF"/>
            <w:noWrap/>
            <w:vAlign w:val="center"/>
            <w:hideMark/>
          </w:tcPr>
          <w:p w14:paraId="3260CA8D" w14:textId="06C0F96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3.352.491</w:t>
            </w:r>
          </w:p>
        </w:tc>
        <w:tc>
          <w:tcPr>
            <w:tcW w:w="1440" w:type="dxa"/>
            <w:tcBorders>
              <w:top w:val="nil"/>
              <w:left w:val="nil"/>
              <w:bottom w:val="single" w:sz="4" w:space="0" w:color="auto"/>
              <w:right w:val="single" w:sz="4" w:space="0" w:color="auto"/>
            </w:tcBorders>
            <w:shd w:val="clear" w:color="000000" w:fill="FFFFFF"/>
            <w:noWrap/>
            <w:vAlign w:val="center"/>
            <w:hideMark/>
          </w:tcPr>
          <w:p w14:paraId="46474E4D"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1.856.091</w:t>
            </w:r>
          </w:p>
        </w:tc>
        <w:tc>
          <w:tcPr>
            <w:tcW w:w="1758" w:type="dxa"/>
            <w:tcBorders>
              <w:top w:val="nil"/>
              <w:left w:val="nil"/>
              <w:bottom w:val="single" w:sz="4" w:space="0" w:color="auto"/>
              <w:right w:val="single" w:sz="4" w:space="0" w:color="auto"/>
            </w:tcBorders>
            <w:shd w:val="clear" w:color="000000" w:fill="FFFFFF"/>
            <w:noWrap/>
            <w:vAlign w:val="center"/>
            <w:hideMark/>
          </w:tcPr>
          <w:p w14:paraId="3893B9F6"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282.611.923</w:t>
            </w:r>
          </w:p>
        </w:tc>
      </w:tr>
      <w:tr w:rsidR="00D25E16" w:rsidRPr="00D25E16" w14:paraId="6284F550"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60BCD4F7"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5-2019</w:t>
            </w:r>
          </w:p>
        </w:tc>
        <w:tc>
          <w:tcPr>
            <w:tcW w:w="1548" w:type="dxa"/>
            <w:tcBorders>
              <w:top w:val="nil"/>
              <w:left w:val="nil"/>
              <w:bottom w:val="single" w:sz="4" w:space="0" w:color="auto"/>
              <w:right w:val="single" w:sz="4" w:space="0" w:color="auto"/>
            </w:tcBorders>
            <w:shd w:val="clear" w:color="000000" w:fill="FFFFFF"/>
            <w:noWrap/>
            <w:vAlign w:val="center"/>
            <w:hideMark/>
          </w:tcPr>
          <w:p w14:paraId="4742FD11"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306.813.890</w:t>
            </w:r>
          </w:p>
        </w:tc>
        <w:tc>
          <w:tcPr>
            <w:tcW w:w="1440" w:type="dxa"/>
            <w:tcBorders>
              <w:top w:val="nil"/>
              <w:left w:val="nil"/>
              <w:bottom w:val="single" w:sz="4" w:space="0" w:color="auto"/>
              <w:right w:val="single" w:sz="4" w:space="0" w:color="auto"/>
            </w:tcBorders>
            <w:shd w:val="clear" w:color="000000" w:fill="FFFFFF"/>
            <w:noWrap/>
            <w:vAlign w:val="center"/>
            <w:hideMark/>
          </w:tcPr>
          <w:p w14:paraId="6FF3603F" w14:textId="342C9B1E"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4.003.454</w:t>
            </w:r>
          </w:p>
        </w:tc>
        <w:tc>
          <w:tcPr>
            <w:tcW w:w="1440" w:type="dxa"/>
            <w:tcBorders>
              <w:top w:val="nil"/>
              <w:left w:val="nil"/>
              <w:bottom w:val="single" w:sz="4" w:space="0" w:color="auto"/>
              <w:right w:val="single" w:sz="4" w:space="0" w:color="auto"/>
            </w:tcBorders>
            <w:shd w:val="clear" w:color="000000" w:fill="FFFFFF"/>
            <w:noWrap/>
            <w:vAlign w:val="center"/>
            <w:hideMark/>
          </w:tcPr>
          <w:p w14:paraId="66C04061"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2.296.777</w:t>
            </w:r>
          </w:p>
        </w:tc>
        <w:tc>
          <w:tcPr>
            <w:tcW w:w="1758" w:type="dxa"/>
            <w:tcBorders>
              <w:top w:val="nil"/>
              <w:left w:val="nil"/>
              <w:bottom w:val="single" w:sz="4" w:space="0" w:color="auto"/>
              <w:right w:val="single" w:sz="4" w:space="0" w:color="auto"/>
            </w:tcBorders>
            <w:shd w:val="clear" w:color="000000" w:fill="FFFFFF"/>
            <w:noWrap/>
            <w:vAlign w:val="center"/>
            <w:hideMark/>
          </w:tcPr>
          <w:p w14:paraId="7872ADDD"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305.107.213</w:t>
            </w:r>
          </w:p>
        </w:tc>
      </w:tr>
      <w:tr w:rsidR="00D25E16" w:rsidRPr="00D25E16" w14:paraId="1191CE8D"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21C3EBFC"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6-2019</w:t>
            </w:r>
          </w:p>
        </w:tc>
        <w:tc>
          <w:tcPr>
            <w:tcW w:w="1548" w:type="dxa"/>
            <w:tcBorders>
              <w:top w:val="nil"/>
              <w:left w:val="nil"/>
              <w:bottom w:val="single" w:sz="4" w:space="0" w:color="auto"/>
              <w:right w:val="single" w:sz="4" w:space="0" w:color="auto"/>
            </w:tcBorders>
            <w:shd w:val="clear" w:color="000000" w:fill="FFFFFF"/>
            <w:noWrap/>
            <w:vAlign w:val="center"/>
            <w:hideMark/>
          </w:tcPr>
          <w:p w14:paraId="7440E7ED"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305.508.705</w:t>
            </w:r>
          </w:p>
        </w:tc>
        <w:tc>
          <w:tcPr>
            <w:tcW w:w="1440" w:type="dxa"/>
            <w:tcBorders>
              <w:top w:val="nil"/>
              <w:left w:val="nil"/>
              <w:bottom w:val="single" w:sz="4" w:space="0" w:color="auto"/>
              <w:right w:val="single" w:sz="4" w:space="0" w:color="auto"/>
            </w:tcBorders>
            <w:shd w:val="clear" w:color="000000" w:fill="FFFFFF"/>
            <w:noWrap/>
            <w:vAlign w:val="center"/>
            <w:hideMark/>
          </w:tcPr>
          <w:p w14:paraId="790E76F1" w14:textId="2E47984E"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2.958.205</w:t>
            </w:r>
          </w:p>
        </w:tc>
        <w:tc>
          <w:tcPr>
            <w:tcW w:w="1440" w:type="dxa"/>
            <w:tcBorders>
              <w:top w:val="nil"/>
              <w:left w:val="nil"/>
              <w:bottom w:val="single" w:sz="4" w:space="0" w:color="auto"/>
              <w:right w:val="single" w:sz="4" w:space="0" w:color="auto"/>
            </w:tcBorders>
            <w:shd w:val="clear" w:color="000000" w:fill="FFFFFF"/>
            <w:noWrap/>
            <w:vAlign w:val="center"/>
            <w:hideMark/>
          </w:tcPr>
          <w:p w14:paraId="3AF5E187"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1.281.529</w:t>
            </w:r>
          </w:p>
        </w:tc>
        <w:tc>
          <w:tcPr>
            <w:tcW w:w="1758" w:type="dxa"/>
            <w:tcBorders>
              <w:top w:val="nil"/>
              <w:left w:val="nil"/>
              <w:bottom w:val="single" w:sz="4" w:space="0" w:color="auto"/>
              <w:right w:val="single" w:sz="4" w:space="0" w:color="auto"/>
            </w:tcBorders>
            <w:shd w:val="clear" w:color="000000" w:fill="FFFFFF"/>
            <w:noWrap/>
            <w:vAlign w:val="center"/>
            <w:hideMark/>
          </w:tcPr>
          <w:p w14:paraId="05D9DA21"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303.832.029</w:t>
            </w:r>
          </w:p>
        </w:tc>
      </w:tr>
      <w:tr w:rsidR="00D25E16" w:rsidRPr="00D25E16" w14:paraId="704F707C"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21ADB14B"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7-2019</w:t>
            </w:r>
          </w:p>
        </w:tc>
        <w:tc>
          <w:tcPr>
            <w:tcW w:w="1548" w:type="dxa"/>
            <w:tcBorders>
              <w:top w:val="nil"/>
              <w:left w:val="nil"/>
              <w:bottom w:val="single" w:sz="4" w:space="0" w:color="auto"/>
              <w:right w:val="single" w:sz="4" w:space="0" w:color="auto"/>
            </w:tcBorders>
            <w:shd w:val="clear" w:color="000000" w:fill="FFFFFF"/>
            <w:noWrap/>
            <w:vAlign w:val="center"/>
            <w:hideMark/>
          </w:tcPr>
          <w:p w14:paraId="1F775B52"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313.081.557</w:t>
            </w:r>
          </w:p>
        </w:tc>
        <w:tc>
          <w:tcPr>
            <w:tcW w:w="1440" w:type="dxa"/>
            <w:tcBorders>
              <w:top w:val="nil"/>
              <w:left w:val="nil"/>
              <w:bottom w:val="single" w:sz="4" w:space="0" w:color="auto"/>
              <w:right w:val="single" w:sz="4" w:space="0" w:color="auto"/>
            </w:tcBorders>
            <w:shd w:val="clear" w:color="000000" w:fill="FFFFFF"/>
            <w:noWrap/>
            <w:vAlign w:val="center"/>
            <w:hideMark/>
          </w:tcPr>
          <w:p w14:paraId="40F720CC" w14:textId="0BAAA9FA"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2.475.091</w:t>
            </w:r>
          </w:p>
        </w:tc>
        <w:tc>
          <w:tcPr>
            <w:tcW w:w="1440" w:type="dxa"/>
            <w:tcBorders>
              <w:top w:val="nil"/>
              <w:left w:val="nil"/>
              <w:bottom w:val="single" w:sz="4" w:space="0" w:color="auto"/>
              <w:right w:val="single" w:sz="4" w:space="0" w:color="auto"/>
            </w:tcBorders>
            <w:shd w:val="clear" w:color="000000" w:fill="FFFFFF"/>
            <w:noWrap/>
            <w:vAlign w:val="center"/>
            <w:hideMark/>
          </w:tcPr>
          <w:p w14:paraId="63B1FAF0"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1.242.686</w:t>
            </w:r>
          </w:p>
        </w:tc>
        <w:tc>
          <w:tcPr>
            <w:tcW w:w="1758" w:type="dxa"/>
            <w:tcBorders>
              <w:top w:val="nil"/>
              <w:left w:val="nil"/>
              <w:bottom w:val="single" w:sz="4" w:space="0" w:color="auto"/>
              <w:right w:val="single" w:sz="4" w:space="0" w:color="auto"/>
            </w:tcBorders>
            <w:shd w:val="clear" w:color="000000" w:fill="FFFFFF"/>
            <w:noWrap/>
            <w:vAlign w:val="center"/>
            <w:hideMark/>
          </w:tcPr>
          <w:p w14:paraId="3DF4B84E"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311.849.152</w:t>
            </w:r>
          </w:p>
        </w:tc>
      </w:tr>
      <w:tr w:rsidR="00D25E16" w:rsidRPr="00D25E16" w14:paraId="5BD56382"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329B3152"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8-2019</w:t>
            </w:r>
          </w:p>
        </w:tc>
        <w:tc>
          <w:tcPr>
            <w:tcW w:w="1548" w:type="dxa"/>
            <w:tcBorders>
              <w:top w:val="nil"/>
              <w:left w:val="nil"/>
              <w:bottom w:val="single" w:sz="4" w:space="0" w:color="auto"/>
              <w:right w:val="single" w:sz="4" w:space="0" w:color="auto"/>
            </w:tcBorders>
            <w:shd w:val="clear" w:color="000000" w:fill="FFFFFF"/>
            <w:noWrap/>
            <w:vAlign w:val="center"/>
            <w:hideMark/>
          </w:tcPr>
          <w:p w14:paraId="06BFDC67"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320.719.804</w:t>
            </w:r>
          </w:p>
        </w:tc>
        <w:tc>
          <w:tcPr>
            <w:tcW w:w="1440" w:type="dxa"/>
            <w:tcBorders>
              <w:top w:val="nil"/>
              <w:left w:val="nil"/>
              <w:bottom w:val="single" w:sz="4" w:space="0" w:color="auto"/>
              <w:right w:val="single" w:sz="4" w:space="0" w:color="auto"/>
            </w:tcBorders>
            <w:shd w:val="clear" w:color="000000" w:fill="FFFFFF"/>
            <w:noWrap/>
            <w:vAlign w:val="center"/>
            <w:hideMark/>
          </w:tcPr>
          <w:p w14:paraId="09770515" w14:textId="2D4793CB"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2.883.672</w:t>
            </w:r>
          </w:p>
        </w:tc>
        <w:tc>
          <w:tcPr>
            <w:tcW w:w="1440" w:type="dxa"/>
            <w:tcBorders>
              <w:top w:val="nil"/>
              <w:left w:val="nil"/>
              <w:bottom w:val="single" w:sz="4" w:space="0" w:color="auto"/>
              <w:right w:val="single" w:sz="4" w:space="0" w:color="auto"/>
            </w:tcBorders>
            <w:shd w:val="clear" w:color="000000" w:fill="FFFFFF"/>
            <w:noWrap/>
            <w:vAlign w:val="center"/>
            <w:hideMark/>
          </w:tcPr>
          <w:p w14:paraId="360AA9CE"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1.409.007</w:t>
            </w:r>
          </w:p>
        </w:tc>
        <w:tc>
          <w:tcPr>
            <w:tcW w:w="1758" w:type="dxa"/>
            <w:tcBorders>
              <w:top w:val="nil"/>
              <w:left w:val="nil"/>
              <w:bottom w:val="single" w:sz="4" w:space="0" w:color="auto"/>
              <w:right w:val="single" w:sz="4" w:space="0" w:color="auto"/>
            </w:tcBorders>
            <w:shd w:val="clear" w:color="000000" w:fill="FFFFFF"/>
            <w:noWrap/>
            <w:vAlign w:val="center"/>
            <w:hideMark/>
          </w:tcPr>
          <w:p w14:paraId="52211FFF"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319.245.139</w:t>
            </w:r>
          </w:p>
        </w:tc>
      </w:tr>
      <w:tr w:rsidR="00D25E16" w:rsidRPr="00D25E16" w14:paraId="7135F036"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24576552"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9-2019</w:t>
            </w:r>
          </w:p>
        </w:tc>
        <w:tc>
          <w:tcPr>
            <w:tcW w:w="1548" w:type="dxa"/>
            <w:tcBorders>
              <w:top w:val="nil"/>
              <w:left w:val="nil"/>
              <w:bottom w:val="single" w:sz="4" w:space="0" w:color="auto"/>
              <w:right w:val="single" w:sz="4" w:space="0" w:color="auto"/>
            </w:tcBorders>
            <w:shd w:val="clear" w:color="000000" w:fill="FFFFFF"/>
            <w:noWrap/>
            <w:vAlign w:val="center"/>
            <w:hideMark/>
          </w:tcPr>
          <w:p w14:paraId="47D6AE44"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322.047.113</w:t>
            </w:r>
          </w:p>
        </w:tc>
        <w:tc>
          <w:tcPr>
            <w:tcW w:w="1440" w:type="dxa"/>
            <w:tcBorders>
              <w:top w:val="nil"/>
              <w:left w:val="nil"/>
              <w:bottom w:val="single" w:sz="4" w:space="0" w:color="auto"/>
              <w:right w:val="single" w:sz="4" w:space="0" w:color="auto"/>
            </w:tcBorders>
            <w:shd w:val="clear" w:color="000000" w:fill="FFFFFF"/>
            <w:noWrap/>
            <w:vAlign w:val="center"/>
            <w:hideMark/>
          </w:tcPr>
          <w:p w14:paraId="11E83861" w14:textId="2DFDA086"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2.697.451</w:t>
            </w:r>
          </w:p>
        </w:tc>
        <w:tc>
          <w:tcPr>
            <w:tcW w:w="1440" w:type="dxa"/>
            <w:tcBorders>
              <w:top w:val="nil"/>
              <w:left w:val="nil"/>
              <w:bottom w:val="single" w:sz="4" w:space="0" w:color="auto"/>
              <w:right w:val="single" w:sz="4" w:space="0" w:color="auto"/>
            </w:tcBorders>
            <w:shd w:val="clear" w:color="000000" w:fill="FFFFFF"/>
            <w:noWrap/>
            <w:vAlign w:val="center"/>
            <w:hideMark/>
          </w:tcPr>
          <w:p w14:paraId="14C79444"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1.434.486</w:t>
            </w:r>
          </w:p>
        </w:tc>
        <w:tc>
          <w:tcPr>
            <w:tcW w:w="1758" w:type="dxa"/>
            <w:tcBorders>
              <w:top w:val="nil"/>
              <w:left w:val="nil"/>
              <w:bottom w:val="single" w:sz="4" w:space="0" w:color="auto"/>
              <w:right w:val="single" w:sz="4" w:space="0" w:color="auto"/>
            </w:tcBorders>
            <w:shd w:val="clear" w:color="000000" w:fill="FFFFFF"/>
            <w:noWrap/>
            <w:vAlign w:val="center"/>
            <w:hideMark/>
          </w:tcPr>
          <w:p w14:paraId="478FC2EE"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320.784.148</w:t>
            </w:r>
          </w:p>
        </w:tc>
      </w:tr>
      <w:tr w:rsidR="00D25E16" w:rsidRPr="00D25E16" w14:paraId="3CBCFF77"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3D4D39F5"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10-2019</w:t>
            </w:r>
          </w:p>
        </w:tc>
        <w:tc>
          <w:tcPr>
            <w:tcW w:w="1548" w:type="dxa"/>
            <w:tcBorders>
              <w:top w:val="nil"/>
              <w:left w:val="nil"/>
              <w:bottom w:val="single" w:sz="4" w:space="0" w:color="auto"/>
              <w:right w:val="single" w:sz="4" w:space="0" w:color="auto"/>
            </w:tcBorders>
            <w:shd w:val="clear" w:color="000000" w:fill="FFFFFF"/>
            <w:noWrap/>
            <w:vAlign w:val="center"/>
            <w:hideMark/>
          </w:tcPr>
          <w:p w14:paraId="56B54D09"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309.841.513</w:t>
            </w:r>
          </w:p>
        </w:tc>
        <w:tc>
          <w:tcPr>
            <w:tcW w:w="1440" w:type="dxa"/>
            <w:tcBorders>
              <w:top w:val="nil"/>
              <w:left w:val="nil"/>
              <w:bottom w:val="single" w:sz="4" w:space="0" w:color="auto"/>
              <w:right w:val="single" w:sz="4" w:space="0" w:color="auto"/>
            </w:tcBorders>
            <w:shd w:val="clear" w:color="000000" w:fill="FFFFFF"/>
            <w:noWrap/>
            <w:vAlign w:val="center"/>
            <w:hideMark/>
          </w:tcPr>
          <w:p w14:paraId="045934BB" w14:textId="7603FCFC"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2.982.628</w:t>
            </w:r>
          </w:p>
        </w:tc>
        <w:tc>
          <w:tcPr>
            <w:tcW w:w="1440" w:type="dxa"/>
            <w:tcBorders>
              <w:top w:val="nil"/>
              <w:left w:val="nil"/>
              <w:bottom w:val="single" w:sz="4" w:space="0" w:color="auto"/>
              <w:right w:val="single" w:sz="4" w:space="0" w:color="auto"/>
            </w:tcBorders>
            <w:shd w:val="clear" w:color="000000" w:fill="FFFFFF"/>
            <w:noWrap/>
            <w:vAlign w:val="center"/>
            <w:hideMark/>
          </w:tcPr>
          <w:p w14:paraId="6D4890F8"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1.586.303</w:t>
            </w:r>
          </w:p>
        </w:tc>
        <w:tc>
          <w:tcPr>
            <w:tcW w:w="1758" w:type="dxa"/>
            <w:tcBorders>
              <w:top w:val="nil"/>
              <w:left w:val="nil"/>
              <w:bottom w:val="single" w:sz="4" w:space="0" w:color="auto"/>
              <w:right w:val="single" w:sz="4" w:space="0" w:color="auto"/>
            </w:tcBorders>
            <w:shd w:val="clear" w:color="000000" w:fill="FFFFFF"/>
            <w:noWrap/>
            <w:vAlign w:val="center"/>
            <w:hideMark/>
          </w:tcPr>
          <w:p w14:paraId="13EE6C4A"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308.445.188</w:t>
            </w:r>
          </w:p>
        </w:tc>
      </w:tr>
      <w:tr w:rsidR="00D25E16" w:rsidRPr="00D25E16" w14:paraId="11CA592C"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39A154FE"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11-2019</w:t>
            </w:r>
          </w:p>
        </w:tc>
        <w:tc>
          <w:tcPr>
            <w:tcW w:w="1548" w:type="dxa"/>
            <w:tcBorders>
              <w:top w:val="nil"/>
              <w:left w:val="nil"/>
              <w:bottom w:val="single" w:sz="4" w:space="0" w:color="auto"/>
              <w:right w:val="single" w:sz="4" w:space="0" w:color="auto"/>
            </w:tcBorders>
            <w:shd w:val="clear" w:color="000000" w:fill="FFFFFF"/>
            <w:noWrap/>
            <w:vAlign w:val="center"/>
            <w:hideMark/>
          </w:tcPr>
          <w:p w14:paraId="7D46692A"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309.420.779</w:t>
            </w:r>
          </w:p>
        </w:tc>
        <w:tc>
          <w:tcPr>
            <w:tcW w:w="1440" w:type="dxa"/>
            <w:tcBorders>
              <w:top w:val="nil"/>
              <w:left w:val="nil"/>
              <w:bottom w:val="single" w:sz="4" w:space="0" w:color="auto"/>
              <w:right w:val="single" w:sz="4" w:space="0" w:color="auto"/>
            </w:tcBorders>
            <w:shd w:val="clear" w:color="000000" w:fill="FFFFFF"/>
            <w:noWrap/>
            <w:vAlign w:val="center"/>
            <w:hideMark/>
          </w:tcPr>
          <w:p w14:paraId="113D68BF" w14:textId="120D3441"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3.380.017</w:t>
            </w:r>
          </w:p>
        </w:tc>
        <w:tc>
          <w:tcPr>
            <w:tcW w:w="1440" w:type="dxa"/>
            <w:tcBorders>
              <w:top w:val="nil"/>
              <w:left w:val="nil"/>
              <w:bottom w:val="single" w:sz="4" w:space="0" w:color="auto"/>
              <w:right w:val="single" w:sz="4" w:space="0" w:color="auto"/>
            </w:tcBorders>
            <w:shd w:val="clear" w:color="000000" w:fill="FFFFFF"/>
            <w:noWrap/>
            <w:vAlign w:val="center"/>
            <w:hideMark/>
          </w:tcPr>
          <w:p w14:paraId="7BE81DDB"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1.703.833</w:t>
            </w:r>
          </w:p>
        </w:tc>
        <w:tc>
          <w:tcPr>
            <w:tcW w:w="1758" w:type="dxa"/>
            <w:tcBorders>
              <w:top w:val="nil"/>
              <w:left w:val="nil"/>
              <w:bottom w:val="single" w:sz="4" w:space="0" w:color="auto"/>
              <w:right w:val="single" w:sz="4" w:space="0" w:color="auto"/>
            </w:tcBorders>
            <w:shd w:val="clear" w:color="000000" w:fill="FFFFFF"/>
            <w:noWrap/>
            <w:vAlign w:val="center"/>
            <w:hideMark/>
          </w:tcPr>
          <w:p w14:paraId="12CE5CC9"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307.744.595</w:t>
            </w:r>
          </w:p>
        </w:tc>
      </w:tr>
      <w:tr w:rsidR="00D25E16" w:rsidRPr="00D25E16" w14:paraId="103089A3"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1ACBB1C5" w14:textId="77777777" w:rsidR="00D25E16" w:rsidRPr="00E94BB7" w:rsidRDefault="00D25E16" w:rsidP="00FF7802">
            <w:pPr>
              <w:spacing w:before="0" w:after="0"/>
              <w:jc w:val="left"/>
              <w:rPr>
                <w:rFonts w:cs="Arial"/>
                <w:i/>
                <w:iCs/>
                <w:color w:val="000000"/>
                <w:sz w:val="18"/>
                <w:szCs w:val="18"/>
                <w:lang w:val="es-CO" w:eastAsia="es-CO"/>
              </w:rPr>
            </w:pPr>
            <w:r w:rsidRPr="00E94BB7">
              <w:rPr>
                <w:rFonts w:cs="Arial"/>
                <w:i/>
                <w:iCs/>
                <w:color w:val="000000"/>
                <w:sz w:val="18"/>
                <w:szCs w:val="18"/>
                <w:lang w:val="es-CO" w:eastAsia="es-CO"/>
              </w:rPr>
              <w:t>12-2019</w:t>
            </w:r>
          </w:p>
        </w:tc>
        <w:tc>
          <w:tcPr>
            <w:tcW w:w="1548" w:type="dxa"/>
            <w:tcBorders>
              <w:top w:val="nil"/>
              <w:left w:val="nil"/>
              <w:bottom w:val="single" w:sz="4" w:space="0" w:color="auto"/>
              <w:right w:val="single" w:sz="4" w:space="0" w:color="auto"/>
            </w:tcBorders>
            <w:shd w:val="clear" w:color="000000" w:fill="FFFFFF"/>
            <w:noWrap/>
            <w:vAlign w:val="center"/>
            <w:hideMark/>
          </w:tcPr>
          <w:p w14:paraId="136FA2AB"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312.236.824</w:t>
            </w:r>
          </w:p>
        </w:tc>
        <w:tc>
          <w:tcPr>
            <w:tcW w:w="1440" w:type="dxa"/>
            <w:tcBorders>
              <w:top w:val="nil"/>
              <w:left w:val="nil"/>
              <w:bottom w:val="single" w:sz="4" w:space="0" w:color="auto"/>
              <w:right w:val="single" w:sz="4" w:space="0" w:color="auto"/>
            </w:tcBorders>
            <w:shd w:val="clear" w:color="000000" w:fill="FFFFFF"/>
            <w:noWrap/>
            <w:vAlign w:val="center"/>
            <w:hideMark/>
          </w:tcPr>
          <w:p w14:paraId="3CC03444" w14:textId="1F9A59E3"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2.984.823</w:t>
            </w:r>
          </w:p>
        </w:tc>
        <w:tc>
          <w:tcPr>
            <w:tcW w:w="1440" w:type="dxa"/>
            <w:tcBorders>
              <w:top w:val="nil"/>
              <w:left w:val="nil"/>
              <w:bottom w:val="single" w:sz="4" w:space="0" w:color="auto"/>
              <w:right w:val="single" w:sz="4" w:space="0" w:color="auto"/>
            </w:tcBorders>
            <w:shd w:val="clear" w:color="000000" w:fill="FFFFFF"/>
            <w:noWrap/>
            <w:vAlign w:val="center"/>
            <w:hideMark/>
          </w:tcPr>
          <w:p w14:paraId="34A1ECBF"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1.476.389</w:t>
            </w:r>
          </w:p>
        </w:tc>
        <w:tc>
          <w:tcPr>
            <w:tcW w:w="1758" w:type="dxa"/>
            <w:tcBorders>
              <w:top w:val="nil"/>
              <w:left w:val="nil"/>
              <w:bottom w:val="single" w:sz="4" w:space="0" w:color="auto"/>
              <w:right w:val="single" w:sz="4" w:space="0" w:color="auto"/>
            </w:tcBorders>
            <w:shd w:val="clear" w:color="000000" w:fill="FFFFFF"/>
            <w:noWrap/>
            <w:vAlign w:val="center"/>
            <w:hideMark/>
          </w:tcPr>
          <w:p w14:paraId="43041F46" w14:textId="77777777" w:rsidR="00D25E16" w:rsidRPr="00E94BB7" w:rsidRDefault="00D25E16" w:rsidP="00FF7802">
            <w:pPr>
              <w:spacing w:before="0" w:after="0"/>
              <w:jc w:val="right"/>
              <w:rPr>
                <w:rFonts w:cs="Arial"/>
                <w:i/>
                <w:iCs/>
                <w:color w:val="000000"/>
                <w:sz w:val="18"/>
                <w:szCs w:val="18"/>
                <w:lang w:val="es-CO" w:eastAsia="es-CO"/>
              </w:rPr>
            </w:pPr>
            <w:r w:rsidRPr="00E94BB7">
              <w:rPr>
                <w:rFonts w:cs="Arial"/>
                <w:i/>
                <w:iCs/>
                <w:color w:val="000000"/>
                <w:sz w:val="18"/>
                <w:szCs w:val="18"/>
                <w:lang w:val="es-CO" w:eastAsia="es-CO"/>
              </w:rPr>
              <w:t>310.728.390</w:t>
            </w:r>
          </w:p>
        </w:tc>
      </w:tr>
      <w:tr w:rsidR="00D25E16" w:rsidRPr="00D25E16" w14:paraId="23C486B2" w14:textId="77777777" w:rsidTr="00B4546C">
        <w:trPr>
          <w:trHeight w:val="227"/>
          <w:jc w:val="center"/>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14:paraId="311CF773" w14:textId="77777777" w:rsidR="00D25E16" w:rsidRPr="00E94BB7" w:rsidRDefault="00D25E16" w:rsidP="00FF7802">
            <w:pPr>
              <w:spacing w:before="60" w:after="60"/>
              <w:jc w:val="left"/>
              <w:rPr>
                <w:rFonts w:cs="Arial"/>
                <w:b/>
                <w:bCs/>
                <w:i/>
                <w:iCs/>
                <w:color w:val="000000"/>
                <w:sz w:val="18"/>
                <w:szCs w:val="18"/>
                <w:lang w:val="es-CO" w:eastAsia="es-CO"/>
              </w:rPr>
            </w:pPr>
            <w:r w:rsidRPr="00E94BB7">
              <w:rPr>
                <w:rFonts w:cs="Arial"/>
                <w:b/>
                <w:bCs/>
                <w:i/>
                <w:iCs/>
                <w:color w:val="000000"/>
                <w:sz w:val="18"/>
                <w:szCs w:val="18"/>
                <w:lang w:val="es-CO" w:eastAsia="es-CO"/>
              </w:rPr>
              <w:t>Total</w:t>
            </w:r>
          </w:p>
        </w:tc>
        <w:tc>
          <w:tcPr>
            <w:tcW w:w="1548" w:type="dxa"/>
            <w:tcBorders>
              <w:top w:val="nil"/>
              <w:left w:val="nil"/>
              <w:bottom w:val="single" w:sz="4" w:space="0" w:color="auto"/>
              <w:right w:val="single" w:sz="4" w:space="0" w:color="auto"/>
            </w:tcBorders>
            <w:shd w:val="clear" w:color="000000" w:fill="FFFFFF"/>
            <w:noWrap/>
            <w:vAlign w:val="center"/>
            <w:hideMark/>
          </w:tcPr>
          <w:p w14:paraId="3F4DCA53" w14:textId="77777777" w:rsidR="00D25E16" w:rsidRPr="00E94BB7" w:rsidRDefault="00D25E16" w:rsidP="00FF7802">
            <w:pPr>
              <w:spacing w:before="60" w:after="60"/>
              <w:jc w:val="right"/>
              <w:rPr>
                <w:rFonts w:cs="Arial"/>
                <w:b/>
                <w:bCs/>
                <w:i/>
                <w:iCs/>
                <w:color w:val="000000"/>
                <w:sz w:val="18"/>
                <w:szCs w:val="18"/>
                <w:lang w:val="es-CO" w:eastAsia="es-CO"/>
              </w:rPr>
            </w:pPr>
            <w:r w:rsidRPr="00E94BB7">
              <w:rPr>
                <w:rFonts w:cs="Arial"/>
                <w:b/>
                <w:bCs/>
                <w:i/>
                <w:iCs/>
                <w:color w:val="000000"/>
                <w:sz w:val="18"/>
                <w:szCs w:val="18"/>
                <w:lang w:val="es-CO" w:eastAsia="es-CO"/>
              </w:rPr>
              <w:t>3.564.466.426</w:t>
            </w:r>
          </w:p>
        </w:tc>
        <w:tc>
          <w:tcPr>
            <w:tcW w:w="1440" w:type="dxa"/>
            <w:tcBorders>
              <w:top w:val="nil"/>
              <w:left w:val="nil"/>
              <w:bottom w:val="single" w:sz="4" w:space="0" w:color="auto"/>
              <w:right w:val="single" w:sz="4" w:space="0" w:color="auto"/>
            </w:tcBorders>
            <w:shd w:val="clear" w:color="000000" w:fill="FFFFFF"/>
            <w:noWrap/>
            <w:vAlign w:val="center"/>
            <w:hideMark/>
          </w:tcPr>
          <w:p w14:paraId="265799EF" w14:textId="7F771CBF" w:rsidR="00D25E16" w:rsidRPr="00E94BB7" w:rsidRDefault="00D25E16" w:rsidP="00FF7802">
            <w:pPr>
              <w:spacing w:before="60" w:after="60"/>
              <w:jc w:val="right"/>
              <w:rPr>
                <w:rFonts w:cs="Arial"/>
                <w:b/>
                <w:bCs/>
                <w:i/>
                <w:iCs/>
                <w:color w:val="000000"/>
                <w:sz w:val="18"/>
                <w:szCs w:val="18"/>
                <w:lang w:val="es-CO" w:eastAsia="es-CO"/>
              </w:rPr>
            </w:pPr>
            <w:r w:rsidRPr="00E94BB7">
              <w:rPr>
                <w:rFonts w:cs="Arial"/>
                <w:b/>
                <w:bCs/>
                <w:i/>
                <w:iCs/>
                <w:color w:val="000000"/>
                <w:sz w:val="18"/>
                <w:szCs w:val="18"/>
                <w:lang w:val="es-CO" w:eastAsia="es-CO"/>
              </w:rPr>
              <w:t>37.019.582</w:t>
            </w:r>
          </w:p>
        </w:tc>
        <w:tc>
          <w:tcPr>
            <w:tcW w:w="1440" w:type="dxa"/>
            <w:tcBorders>
              <w:top w:val="nil"/>
              <w:left w:val="nil"/>
              <w:bottom w:val="single" w:sz="4" w:space="0" w:color="auto"/>
              <w:right w:val="single" w:sz="4" w:space="0" w:color="auto"/>
            </w:tcBorders>
            <w:shd w:val="clear" w:color="000000" w:fill="FFFFFF"/>
            <w:noWrap/>
            <w:vAlign w:val="center"/>
            <w:hideMark/>
          </w:tcPr>
          <w:p w14:paraId="09B9401E" w14:textId="77777777" w:rsidR="00D25E16" w:rsidRPr="00E94BB7" w:rsidRDefault="00D25E16" w:rsidP="00FF7802">
            <w:pPr>
              <w:spacing w:before="60" w:after="60"/>
              <w:jc w:val="right"/>
              <w:rPr>
                <w:rFonts w:cs="Arial"/>
                <w:b/>
                <w:bCs/>
                <w:i/>
                <w:iCs/>
                <w:color w:val="000000"/>
                <w:sz w:val="18"/>
                <w:szCs w:val="18"/>
                <w:lang w:val="es-CO" w:eastAsia="es-CO"/>
              </w:rPr>
            </w:pPr>
            <w:r w:rsidRPr="00E94BB7">
              <w:rPr>
                <w:rFonts w:cs="Arial"/>
                <w:b/>
                <w:bCs/>
                <w:i/>
                <w:iCs/>
                <w:color w:val="000000"/>
                <w:sz w:val="18"/>
                <w:szCs w:val="18"/>
                <w:lang w:val="es-CO" w:eastAsia="es-CO"/>
              </w:rPr>
              <w:t>18.133.570</w:t>
            </w:r>
          </w:p>
        </w:tc>
        <w:tc>
          <w:tcPr>
            <w:tcW w:w="1758" w:type="dxa"/>
            <w:tcBorders>
              <w:top w:val="nil"/>
              <w:left w:val="nil"/>
              <w:bottom w:val="single" w:sz="4" w:space="0" w:color="auto"/>
              <w:right w:val="single" w:sz="4" w:space="0" w:color="auto"/>
            </w:tcBorders>
            <w:shd w:val="clear" w:color="000000" w:fill="FFFFFF"/>
            <w:noWrap/>
            <w:vAlign w:val="center"/>
            <w:hideMark/>
          </w:tcPr>
          <w:p w14:paraId="22DD6DA8" w14:textId="77777777" w:rsidR="00D25E16" w:rsidRPr="00E94BB7" w:rsidRDefault="00D25E16" w:rsidP="00FF7802">
            <w:pPr>
              <w:spacing w:before="60" w:after="60"/>
              <w:jc w:val="right"/>
              <w:rPr>
                <w:rFonts w:cs="Arial"/>
                <w:b/>
                <w:bCs/>
                <w:i/>
                <w:iCs/>
                <w:color w:val="000000"/>
                <w:sz w:val="18"/>
                <w:szCs w:val="18"/>
                <w:lang w:val="es-CO" w:eastAsia="es-CO"/>
              </w:rPr>
            </w:pPr>
            <w:r w:rsidRPr="00E94BB7">
              <w:rPr>
                <w:rFonts w:cs="Arial"/>
                <w:b/>
                <w:bCs/>
                <w:i/>
                <w:iCs/>
                <w:color w:val="000000"/>
                <w:sz w:val="18"/>
                <w:szCs w:val="18"/>
                <w:lang w:val="es-CO" w:eastAsia="es-CO"/>
              </w:rPr>
              <w:t>3.545.580.414</w:t>
            </w:r>
          </w:p>
        </w:tc>
      </w:tr>
    </w:tbl>
    <w:p w14:paraId="49026ABD" w14:textId="6B9F201F" w:rsidR="009E6D28" w:rsidRDefault="009E6D28" w:rsidP="00970D42">
      <w:pPr>
        <w:rPr>
          <w:rFonts w:cs="Arial"/>
          <w:lang w:val="es-CO" w:eastAsia="es-CO"/>
        </w:rPr>
      </w:pPr>
      <w:r>
        <w:t xml:space="preserve">El valor de la variable </w:t>
      </w:r>
      <w:r w:rsidRPr="00D25E16">
        <w:rPr>
          <w:i/>
          <w:iCs/>
        </w:rPr>
        <w:t>EsVSFC</w:t>
      </w:r>
      <w:r w:rsidRPr="00D25E16">
        <w:rPr>
          <w:i/>
          <w:iCs/>
          <w:vertAlign w:val="subscript"/>
        </w:rPr>
        <w:t>j,1,m</w:t>
      </w:r>
      <w:r>
        <w:rPr>
          <w:i/>
          <w:iCs/>
          <w:vertAlign w:val="subscript"/>
        </w:rPr>
        <w:t xml:space="preserve"> </w:t>
      </w:r>
      <w:r>
        <w:t>empleado en el cálculo de los índices de pérdidas corresponde a 3.545.580.414</w:t>
      </w:r>
      <w:r w:rsidR="00FF7802">
        <w:t xml:space="preserve"> kWh</w:t>
      </w:r>
      <w:r>
        <w:t xml:space="preserve">, tal como se observa en la tabla </w:t>
      </w:r>
      <w:r w:rsidRPr="009E6D28">
        <w:rPr>
          <w:rFonts w:cs="Arial"/>
          <w:i/>
          <w:iCs/>
          <w:lang w:val="es-CO" w:eastAsia="es-CO"/>
        </w:rPr>
        <w:t>Ventas de usuarios regulados del comercializador incumbente</w:t>
      </w:r>
      <w:r w:rsidR="00970D42">
        <w:rPr>
          <w:rFonts w:cs="Arial"/>
          <w:lang w:val="es-CO" w:eastAsia="es-CO"/>
        </w:rPr>
        <w:t xml:space="preserve">, en el rango de celdas (AC262:AO266) </w:t>
      </w:r>
      <w:r>
        <w:rPr>
          <w:rFonts w:cs="Arial"/>
          <w:lang w:val="es-CO" w:eastAsia="es-CO"/>
        </w:rPr>
        <w:t xml:space="preserve">de la hoja de cálculo </w:t>
      </w:r>
      <w:r w:rsidRPr="00970D42">
        <w:rPr>
          <w:rFonts w:cs="Arial"/>
          <w:i/>
          <w:iCs/>
          <w:lang w:val="es-CO" w:eastAsia="es-CO"/>
        </w:rPr>
        <w:t>Capítulo_7</w:t>
      </w:r>
      <w:r>
        <w:rPr>
          <w:rFonts w:cs="Arial"/>
          <w:lang w:val="es-CO" w:eastAsia="es-CO"/>
        </w:rPr>
        <w:t xml:space="preserve"> del archivo </w:t>
      </w:r>
      <w:r w:rsidR="00970D42" w:rsidRPr="00970D42">
        <w:rPr>
          <w:rFonts w:cs="Arial"/>
          <w:i/>
          <w:iCs/>
          <w:lang w:val="es-CO" w:eastAsia="es-CO"/>
        </w:rPr>
        <w:t>Calculo ingresos D Air-e xlsx</w:t>
      </w:r>
      <w:r w:rsidR="00970D42">
        <w:rPr>
          <w:rFonts w:cs="Arial"/>
          <w:lang w:val="es-CO" w:eastAsia="es-CO"/>
        </w:rPr>
        <w:t xml:space="preserve"> entregado al OR como parte de los documentos de soporte de la Resolución CREG 024 de 2021. </w:t>
      </w:r>
    </w:p>
    <w:p w14:paraId="4971F172" w14:textId="38976D88" w:rsidR="00E8226C" w:rsidRPr="00970D42" w:rsidRDefault="00970D42" w:rsidP="00970D42">
      <w:pPr>
        <w:spacing w:beforeLines="60" w:before="144" w:afterLines="60" w:after="144"/>
        <w:jc w:val="center"/>
        <w:rPr>
          <w:rFonts w:cs="Arial"/>
          <w:b/>
          <w:bCs/>
          <w:sz w:val="22"/>
          <w:szCs w:val="22"/>
          <w:lang w:val="es-CO" w:eastAsia="es-CO"/>
        </w:rPr>
      </w:pPr>
      <w:r w:rsidRPr="00970D42">
        <w:rPr>
          <w:rFonts w:cs="Arial"/>
          <w:b/>
          <w:bCs/>
          <w:i/>
          <w:iCs/>
          <w:sz w:val="22"/>
          <w:szCs w:val="22"/>
          <w:lang w:val="es-CO" w:eastAsia="es-CO"/>
        </w:rPr>
        <w:t>Ventas de usuarios regulados del comercializador incumbente</w:t>
      </w:r>
    </w:p>
    <w:tbl>
      <w:tblPr>
        <w:tblW w:w="0" w:type="auto"/>
        <w:jc w:val="center"/>
        <w:tblCellMar>
          <w:left w:w="70" w:type="dxa"/>
          <w:right w:w="70" w:type="dxa"/>
        </w:tblCellMar>
        <w:tblLook w:val="04A0" w:firstRow="1" w:lastRow="0" w:firstColumn="1" w:lastColumn="0" w:noHBand="0" w:noVBand="1"/>
      </w:tblPr>
      <w:tblGrid>
        <w:gridCol w:w="1125"/>
        <w:gridCol w:w="1253"/>
        <w:gridCol w:w="1253"/>
        <w:gridCol w:w="1253"/>
        <w:gridCol w:w="1253"/>
        <w:gridCol w:w="1253"/>
        <w:gridCol w:w="1253"/>
      </w:tblGrid>
      <w:tr w:rsidR="009E6D28" w:rsidRPr="00E94BB7" w14:paraId="027E0E7A" w14:textId="77777777" w:rsidTr="00B4546C">
        <w:trPr>
          <w:trHeight w:val="5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5E94"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6A000D"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90B39C"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474D0C"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63BC58"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3D66E5"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A11A63"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m=-9</w:t>
            </w:r>
          </w:p>
        </w:tc>
      </w:tr>
      <w:tr w:rsidR="009E6D28" w:rsidRPr="00E94BB7" w14:paraId="63847B6A" w14:textId="77777777" w:rsidTr="00E94BB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FE0EE0"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j,4,m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D75D5"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EE1751"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0134FA"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5A1749"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C3BC4"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CD856D"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r>
      <w:tr w:rsidR="009E6D28" w:rsidRPr="00E94BB7" w14:paraId="3ECE2376" w14:textId="77777777" w:rsidTr="00E94BB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F8306"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j,3,m</w:t>
            </w:r>
          </w:p>
        </w:tc>
        <w:tc>
          <w:tcPr>
            <w:tcW w:w="0" w:type="auto"/>
            <w:tcBorders>
              <w:top w:val="nil"/>
              <w:left w:val="nil"/>
              <w:bottom w:val="single" w:sz="4" w:space="0" w:color="auto"/>
              <w:right w:val="single" w:sz="4" w:space="0" w:color="auto"/>
            </w:tcBorders>
            <w:shd w:val="clear" w:color="auto" w:fill="auto"/>
            <w:vAlign w:val="center"/>
            <w:hideMark/>
          </w:tcPr>
          <w:p w14:paraId="72D25E22"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529.067</w:t>
            </w:r>
          </w:p>
        </w:tc>
        <w:tc>
          <w:tcPr>
            <w:tcW w:w="0" w:type="auto"/>
            <w:tcBorders>
              <w:top w:val="nil"/>
              <w:left w:val="nil"/>
              <w:bottom w:val="single" w:sz="4" w:space="0" w:color="auto"/>
              <w:right w:val="single" w:sz="4" w:space="0" w:color="auto"/>
            </w:tcBorders>
            <w:shd w:val="clear" w:color="auto" w:fill="auto"/>
            <w:vAlign w:val="center"/>
            <w:hideMark/>
          </w:tcPr>
          <w:p w14:paraId="0B72405B"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1.713.387</w:t>
            </w:r>
          </w:p>
        </w:tc>
        <w:tc>
          <w:tcPr>
            <w:tcW w:w="0" w:type="auto"/>
            <w:tcBorders>
              <w:top w:val="nil"/>
              <w:left w:val="nil"/>
              <w:bottom w:val="single" w:sz="4" w:space="0" w:color="auto"/>
              <w:right w:val="single" w:sz="4" w:space="0" w:color="auto"/>
            </w:tcBorders>
            <w:shd w:val="clear" w:color="auto" w:fill="auto"/>
            <w:vAlign w:val="center"/>
            <w:hideMark/>
          </w:tcPr>
          <w:p w14:paraId="391B9C3B"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1.893.982</w:t>
            </w:r>
          </w:p>
        </w:tc>
        <w:tc>
          <w:tcPr>
            <w:tcW w:w="0" w:type="auto"/>
            <w:tcBorders>
              <w:top w:val="nil"/>
              <w:left w:val="nil"/>
              <w:bottom w:val="single" w:sz="4" w:space="0" w:color="auto"/>
              <w:right w:val="single" w:sz="4" w:space="0" w:color="auto"/>
            </w:tcBorders>
            <w:shd w:val="clear" w:color="auto" w:fill="auto"/>
            <w:vAlign w:val="center"/>
            <w:hideMark/>
          </w:tcPr>
          <w:p w14:paraId="73454D9C"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2.396.039</w:t>
            </w:r>
          </w:p>
        </w:tc>
        <w:tc>
          <w:tcPr>
            <w:tcW w:w="0" w:type="auto"/>
            <w:tcBorders>
              <w:top w:val="nil"/>
              <w:left w:val="nil"/>
              <w:bottom w:val="single" w:sz="4" w:space="0" w:color="auto"/>
              <w:right w:val="single" w:sz="4" w:space="0" w:color="auto"/>
            </w:tcBorders>
            <w:shd w:val="clear" w:color="auto" w:fill="auto"/>
            <w:vAlign w:val="center"/>
            <w:hideMark/>
          </w:tcPr>
          <w:p w14:paraId="44BF5321"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1.768.885</w:t>
            </w:r>
          </w:p>
        </w:tc>
        <w:tc>
          <w:tcPr>
            <w:tcW w:w="0" w:type="auto"/>
            <w:tcBorders>
              <w:top w:val="nil"/>
              <w:left w:val="nil"/>
              <w:bottom w:val="single" w:sz="4" w:space="0" w:color="auto"/>
              <w:right w:val="single" w:sz="4" w:space="0" w:color="auto"/>
            </w:tcBorders>
            <w:shd w:val="clear" w:color="auto" w:fill="auto"/>
            <w:vAlign w:val="center"/>
            <w:hideMark/>
          </w:tcPr>
          <w:p w14:paraId="7AE503C2"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1.695.146</w:t>
            </w:r>
          </w:p>
        </w:tc>
      </w:tr>
      <w:tr w:rsidR="009E6D28" w:rsidRPr="00E94BB7" w14:paraId="0A430961" w14:textId="77777777" w:rsidTr="00E94BB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33349F"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j,2,m</w:t>
            </w:r>
          </w:p>
        </w:tc>
        <w:tc>
          <w:tcPr>
            <w:tcW w:w="0" w:type="auto"/>
            <w:tcBorders>
              <w:top w:val="nil"/>
              <w:left w:val="nil"/>
              <w:bottom w:val="single" w:sz="4" w:space="0" w:color="auto"/>
              <w:right w:val="single" w:sz="4" w:space="0" w:color="auto"/>
            </w:tcBorders>
            <w:shd w:val="clear" w:color="auto" w:fill="auto"/>
            <w:vAlign w:val="center"/>
            <w:hideMark/>
          </w:tcPr>
          <w:p w14:paraId="18766792"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64.724.653</w:t>
            </w:r>
          </w:p>
        </w:tc>
        <w:tc>
          <w:tcPr>
            <w:tcW w:w="0" w:type="auto"/>
            <w:tcBorders>
              <w:top w:val="nil"/>
              <w:left w:val="nil"/>
              <w:bottom w:val="single" w:sz="4" w:space="0" w:color="auto"/>
              <w:right w:val="single" w:sz="4" w:space="0" w:color="auto"/>
            </w:tcBorders>
            <w:shd w:val="clear" w:color="auto" w:fill="auto"/>
            <w:vAlign w:val="center"/>
            <w:hideMark/>
          </w:tcPr>
          <w:p w14:paraId="116FFB2C"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88.358.814</w:t>
            </w:r>
          </w:p>
        </w:tc>
        <w:tc>
          <w:tcPr>
            <w:tcW w:w="0" w:type="auto"/>
            <w:tcBorders>
              <w:top w:val="nil"/>
              <w:left w:val="nil"/>
              <w:bottom w:val="single" w:sz="4" w:space="0" w:color="auto"/>
              <w:right w:val="single" w:sz="4" w:space="0" w:color="auto"/>
            </w:tcBorders>
            <w:shd w:val="clear" w:color="auto" w:fill="auto"/>
            <w:vAlign w:val="center"/>
            <w:hideMark/>
          </w:tcPr>
          <w:p w14:paraId="10038421"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87.910.931</w:t>
            </w:r>
          </w:p>
        </w:tc>
        <w:tc>
          <w:tcPr>
            <w:tcW w:w="0" w:type="auto"/>
            <w:tcBorders>
              <w:top w:val="nil"/>
              <w:left w:val="nil"/>
              <w:bottom w:val="single" w:sz="4" w:space="0" w:color="auto"/>
              <w:right w:val="single" w:sz="4" w:space="0" w:color="auto"/>
            </w:tcBorders>
            <w:shd w:val="clear" w:color="auto" w:fill="auto"/>
            <w:vAlign w:val="center"/>
            <w:hideMark/>
          </w:tcPr>
          <w:p w14:paraId="71F0A1DA"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92.147.707</w:t>
            </w:r>
          </w:p>
        </w:tc>
        <w:tc>
          <w:tcPr>
            <w:tcW w:w="0" w:type="auto"/>
            <w:tcBorders>
              <w:top w:val="nil"/>
              <w:left w:val="nil"/>
              <w:bottom w:val="single" w:sz="4" w:space="0" w:color="auto"/>
              <w:right w:val="single" w:sz="4" w:space="0" w:color="auto"/>
            </w:tcBorders>
            <w:shd w:val="clear" w:color="auto" w:fill="auto"/>
            <w:vAlign w:val="center"/>
            <w:hideMark/>
          </w:tcPr>
          <w:p w14:paraId="377E2D6B"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92.773.343</w:t>
            </w:r>
          </w:p>
        </w:tc>
        <w:tc>
          <w:tcPr>
            <w:tcW w:w="0" w:type="auto"/>
            <w:tcBorders>
              <w:top w:val="nil"/>
              <w:left w:val="nil"/>
              <w:bottom w:val="single" w:sz="4" w:space="0" w:color="auto"/>
              <w:right w:val="single" w:sz="4" w:space="0" w:color="auto"/>
            </w:tcBorders>
            <w:shd w:val="clear" w:color="auto" w:fill="auto"/>
            <w:vAlign w:val="center"/>
            <w:hideMark/>
          </w:tcPr>
          <w:p w14:paraId="7EA13A35"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92.793.006</w:t>
            </w:r>
          </w:p>
        </w:tc>
      </w:tr>
      <w:tr w:rsidR="009E6D28" w:rsidRPr="00E94BB7" w14:paraId="6691ECE1" w14:textId="77777777" w:rsidTr="00E94BB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CB871C"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j,1,m</w:t>
            </w:r>
          </w:p>
        </w:tc>
        <w:tc>
          <w:tcPr>
            <w:tcW w:w="0" w:type="auto"/>
            <w:tcBorders>
              <w:top w:val="nil"/>
              <w:left w:val="nil"/>
              <w:bottom w:val="single" w:sz="4" w:space="0" w:color="auto"/>
              <w:right w:val="single" w:sz="4" w:space="0" w:color="auto"/>
            </w:tcBorders>
            <w:shd w:val="clear" w:color="auto" w:fill="auto"/>
            <w:vAlign w:val="center"/>
            <w:hideMark/>
          </w:tcPr>
          <w:p w14:paraId="430B11D7"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247.390.684</w:t>
            </w:r>
          </w:p>
        </w:tc>
        <w:tc>
          <w:tcPr>
            <w:tcW w:w="0" w:type="auto"/>
            <w:tcBorders>
              <w:top w:val="nil"/>
              <w:left w:val="nil"/>
              <w:bottom w:val="single" w:sz="4" w:space="0" w:color="auto"/>
              <w:right w:val="single" w:sz="4" w:space="0" w:color="auto"/>
            </w:tcBorders>
            <w:shd w:val="clear" w:color="auto" w:fill="auto"/>
            <w:vAlign w:val="center"/>
            <w:hideMark/>
          </w:tcPr>
          <w:p w14:paraId="1AB848B0"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264.479.194</w:t>
            </w:r>
          </w:p>
        </w:tc>
        <w:tc>
          <w:tcPr>
            <w:tcW w:w="0" w:type="auto"/>
            <w:tcBorders>
              <w:top w:val="nil"/>
              <w:left w:val="nil"/>
              <w:bottom w:val="single" w:sz="4" w:space="0" w:color="auto"/>
              <w:right w:val="single" w:sz="4" w:space="0" w:color="auto"/>
            </w:tcBorders>
            <w:shd w:val="clear" w:color="auto" w:fill="auto"/>
            <w:vAlign w:val="center"/>
            <w:hideMark/>
          </w:tcPr>
          <w:p w14:paraId="2AC94AC6"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263.362.759</w:t>
            </w:r>
          </w:p>
        </w:tc>
        <w:tc>
          <w:tcPr>
            <w:tcW w:w="0" w:type="auto"/>
            <w:tcBorders>
              <w:top w:val="nil"/>
              <w:left w:val="nil"/>
              <w:bottom w:val="single" w:sz="4" w:space="0" w:color="auto"/>
              <w:right w:val="single" w:sz="4" w:space="0" w:color="auto"/>
            </w:tcBorders>
            <w:shd w:val="clear" w:color="auto" w:fill="auto"/>
            <w:vAlign w:val="center"/>
            <w:hideMark/>
          </w:tcPr>
          <w:p w14:paraId="074668AC"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282.611.923</w:t>
            </w:r>
          </w:p>
        </w:tc>
        <w:tc>
          <w:tcPr>
            <w:tcW w:w="0" w:type="auto"/>
            <w:tcBorders>
              <w:top w:val="nil"/>
              <w:left w:val="nil"/>
              <w:bottom w:val="single" w:sz="4" w:space="0" w:color="auto"/>
              <w:right w:val="single" w:sz="4" w:space="0" w:color="auto"/>
            </w:tcBorders>
            <w:shd w:val="clear" w:color="auto" w:fill="auto"/>
            <w:vAlign w:val="center"/>
            <w:hideMark/>
          </w:tcPr>
          <w:p w14:paraId="332A40B0"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305.107.213</w:t>
            </w:r>
          </w:p>
        </w:tc>
        <w:tc>
          <w:tcPr>
            <w:tcW w:w="0" w:type="auto"/>
            <w:tcBorders>
              <w:top w:val="nil"/>
              <w:left w:val="nil"/>
              <w:bottom w:val="single" w:sz="4" w:space="0" w:color="auto"/>
              <w:right w:val="single" w:sz="4" w:space="0" w:color="auto"/>
            </w:tcBorders>
            <w:shd w:val="clear" w:color="auto" w:fill="auto"/>
            <w:vAlign w:val="center"/>
            <w:hideMark/>
          </w:tcPr>
          <w:p w14:paraId="77006E3C"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303.832.029</w:t>
            </w:r>
          </w:p>
        </w:tc>
      </w:tr>
    </w:tbl>
    <w:p w14:paraId="7D97EE3E" w14:textId="40553C56" w:rsidR="00D25E16" w:rsidRDefault="00D25E16" w:rsidP="00F4214B">
      <w:pPr>
        <w:spacing w:before="60" w:after="60"/>
      </w:pPr>
    </w:p>
    <w:tbl>
      <w:tblPr>
        <w:tblW w:w="0" w:type="auto"/>
        <w:jc w:val="center"/>
        <w:tblCellMar>
          <w:left w:w="70" w:type="dxa"/>
          <w:right w:w="70" w:type="dxa"/>
        </w:tblCellMar>
        <w:tblLook w:val="04A0" w:firstRow="1" w:lastRow="0" w:firstColumn="1" w:lastColumn="0" w:noHBand="0" w:noVBand="1"/>
      </w:tblPr>
      <w:tblGrid>
        <w:gridCol w:w="1125"/>
        <w:gridCol w:w="1253"/>
        <w:gridCol w:w="1253"/>
        <w:gridCol w:w="1253"/>
        <w:gridCol w:w="1253"/>
        <w:gridCol w:w="1253"/>
        <w:gridCol w:w="1253"/>
      </w:tblGrid>
      <w:tr w:rsidR="009E6D28" w:rsidRPr="00E94BB7" w14:paraId="4E5F29E1" w14:textId="77777777" w:rsidTr="00B4546C">
        <w:trPr>
          <w:trHeight w:val="31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DB48"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8A2E80"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26BA11"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BD08A6"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01A66A"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5A0FBE"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1AC0B1" w14:textId="77777777" w:rsidR="009E6D28" w:rsidRPr="00E94BB7" w:rsidRDefault="009E6D28" w:rsidP="0014778F">
            <w:pPr>
              <w:spacing w:before="60" w:after="60"/>
              <w:jc w:val="center"/>
              <w:rPr>
                <w:rFonts w:cs="Arial"/>
                <w:i/>
                <w:iCs/>
                <w:sz w:val="18"/>
                <w:szCs w:val="18"/>
                <w:lang w:val="es-CO" w:eastAsia="es-CO"/>
              </w:rPr>
            </w:pPr>
            <w:r w:rsidRPr="00E94BB7">
              <w:rPr>
                <w:rFonts w:cs="Arial"/>
                <w:i/>
                <w:iCs/>
                <w:sz w:val="18"/>
                <w:szCs w:val="18"/>
                <w:lang w:val="es-CO" w:eastAsia="es-CO"/>
              </w:rPr>
              <w:t>mes m=-3</w:t>
            </w:r>
          </w:p>
        </w:tc>
      </w:tr>
      <w:tr w:rsidR="009E6D28" w:rsidRPr="00E94BB7" w14:paraId="62AD0CC8" w14:textId="77777777" w:rsidTr="0014778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685F0"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j,4,m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D22ED"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91B6AB"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9660F"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6D202D"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77FFD8"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9EBC5E"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0</w:t>
            </w:r>
          </w:p>
        </w:tc>
      </w:tr>
      <w:tr w:rsidR="009E6D28" w:rsidRPr="00E94BB7" w14:paraId="35540144" w14:textId="77777777" w:rsidTr="0014778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D04790"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j,3,m</w:t>
            </w:r>
          </w:p>
        </w:tc>
        <w:tc>
          <w:tcPr>
            <w:tcW w:w="0" w:type="auto"/>
            <w:tcBorders>
              <w:top w:val="nil"/>
              <w:left w:val="nil"/>
              <w:bottom w:val="single" w:sz="4" w:space="0" w:color="auto"/>
              <w:right w:val="single" w:sz="4" w:space="0" w:color="auto"/>
            </w:tcBorders>
            <w:shd w:val="clear" w:color="auto" w:fill="auto"/>
            <w:vAlign w:val="center"/>
            <w:hideMark/>
          </w:tcPr>
          <w:p w14:paraId="08561484"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1.414.614</w:t>
            </w:r>
          </w:p>
        </w:tc>
        <w:tc>
          <w:tcPr>
            <w:tcW w:w="0" w:type="auto"/>
            <w:tcBorders>
              <w:top w:val="nil"/>
              <w:left w:val="nil"/>
              <w:bottom w:val="single" w:sz="4" w:space="0" w:color="auto"/>
              <w:right w:val="single" w:sz="4" w:space="0" w:color="auto"/>
            </w:tcBorders>
            <w:shd w:val="clear" w:color="auto" w:fill="auto"/>
            <w:vAlign w:val="center"/>
            <w:hideMark/>
          </w:tcPr>
          <w:p w14:paraId="695DBE14"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1.375.877</w:t>
            </w:r>
          </w:p>
        </w:tc>
        <w:tc>
          <w:tcPr>
            <w:tcW w:w="0" w:type="auto"/>
            <w:tcBorders>
              <w:top w:val="nil"/>
              <w:left w:val="nil"/>
              <w:bottom w:val="single" w:sz="4" w:space="0" w:color="auto"/>
              <w:right w:val="single" w:sz="4" w:space="0" w:color="auto"/>
            </w:tcBorders>
            <w:shd w:val="clear" w:color="auto" w:fill="auto"/>
            <w:vAlign w:val="center"/>
            <w:hideMark/>
          </w:tcPr>
          <w:p w14:paraId="4C51F2F6"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2.035.074</w:t>
            </w:r>
          </w:p>
        </w:tc>
        <w:tc>
          <w:tcPr>
            <w:tcW w:w="0" w:type="auto"/>
            <w:tcBorders>
              <w:top w:val="nil"/>
              <w:left w:val="nil"/>
              <w:bottom w:val="single" w:sz="4" w:space="0" w:color="auto"/>
              <w:right w:val="single" w:sz="4" w:space="0" w:color="auto"/>
            </w:tcBorders>
            <w:shd w:val="clear" w:color="auto" w:fill="auto"/>
            <w:vAlign w:val="center"/>
            <w:hideMark/>
          </w:tcPr>
          <w:p w14:paraId="7EE29E35"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2.057.982</w:t>
            </w:r>
          </w:p>
        </w:tc>
        <w:tc>
          <w:tcPr>
            <w:tcW w:w="0" w:type="auto"/>
            <w:tcBorders>
              <w:top w:val="nil"/>
              <w:left w:val="nil"/>
              <w:bottom w:val="single" w:sz="4" w:space="0" w:color="auto"/>
              <w:right w:val="single" w:sz="4" w:space="0" w:color="auto"/>
            </w:tcBorders>
            <w:shd w:val="clear" w:color="auto" w:fill="auto"/>
            <w:vAlign w:val="center"/>
            <w:hideMark/>
          </w:tcPr>
          <w:p w14:paraId="56DC4519"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1.831.284</w:t>
            </w:r>
          </w:p>
        </w:tc>
        <w:tc>
          <w:tcPr>
            <w:tcW w:w="0" w:type="auto"/>
            <w:tcBorders>
              <w:top w:val="nil"/>
              <w:left w:val="nil"/>
              <w:bottom w:val="single" w:sz="4" w:space="0" w:color="auto"/>
              <w:right w:val="single" w:sz="4" w:space="0" w:color="auto"/>
            </w:tcBorders>
            <w:shd w:val="clear" w:color="auto" w:fill="auto"/>
            <w:vAlign w:val="center"/>
            <w:hideMark/>
          </w:tcPr>
          <w:p w14:paraId="5B53B502"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1.777.598</w:t>
            </w:r>
          </w:p>
        </w:tc>
      </w:tr>
      <w:tr w:rsidR="009E6D28" w:rsidRPr="00E94BB7" w14:paraId="73E3BDEC" w14:textId="77777777" w:rsidTr="0014778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16AFC"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j,2,m</w:t>
            </w:r>
          </w:p>
        </w:tc>
        <w:tc>
          <w:tcPr>
            <w:tcW w:w="0" w:type="auto"/>
            <w:tcBorders>
              <w:top w:val="nil"/>
              <w:left w:val="nil"/>
              <w:bottom w:val="single" w:sz="4" w:space="0" w:color="auto"/>
              <w:right w:val="single" w:sz="4" w:space="0" w:color="auto"/>
            </w:tcBorders>
            <w:shd w:val="clear" w:color="auto" w:fill="auto"/>
            <w:vAlign w:val="center"/>
            <w:hideMark/>
          </w:tcPr>
          <w:p w14:paraId="01324B39"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98.377.417</w:t>
            </w:r>
          </w:p>
        </w:tc>
        <w:tc>
          <w:tcPr>
            <w:tcW w:w="0" w:type="auto"/>
            <w:tcBorders>
              <w:top w:val="nil"/>
              <w:left w:val="nil"/>
              <w:bottom w:val="single" w:sz="4" w:space="0" w:color="auto"/>
              <w:right w:val="single" w:sz="4" w:space="0" w:color="auto"/>
            </w:tcBorders>
            <w:shd w:val="clear" w:color="auto" w:fill="auto"/>
            <w:vAlign w:val="center"/>
            <w:hideMark/>
          </w:tcPr>
          <w:p w14:paraId="017C7EFC"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98.319.276</w:t>
            </w:r>
          </w:p>
        </w:tc>
        <w:tc>
          <w:tcPr>
            <w:tcW w:w="0" w:type="auto"/>
            <w:tcBorders>
              <w:top w:val="nil"/>
              <w:left w:val="nil"/>
              <w:bottom w:val="single" w:sz="4" w:space="0" w:color="auto"/>
              <w:right w:val="single" w:sz="4" w:space="0" w:color="auto"/>
            </w:tcBorders>
            <w:shd w:val="clear" w:color="auto" w:fill="auto"/>
            <w:vAlign w:val="center"/>
            <w:hideMark/>
          </w:tcPr>
          <w:p w14:paraId="202042A5"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100.018.898</w:t>
            </w:r>
          </w:p>
        </w:tc>
        <w:tc>
          <w:tcPr>
            <w:tcW w:w="0" w:type="auto"/>
            <w:tcBorders>
              <w:top w:val="nil"/>
              <w:left w:val="nil"/>
              <w:bottom w:val="single" w:sz="4" w:space="0" w:color="auto"/>
              <w:right w:val="single" w:sz="4" w:space="0" w:color="auto"/>
            </w:tcBorders>
            <w:shd w:val="clear" w:color="auto" w:fill="auto"/>
            <w:vAlign w:val="center"/>
            <w:hideMark/>
          </w:tcPr>
          <w:p w14:paraId="10A982A8"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96.208.725</w:t>
            </w:r>
          </w:p>
        </w:tc>
        <w:tc>
          <w:tcPr>
            <w:tcW w:w="0" w:type="auto"/>
            <w:tcBorders>
              <w:top w:val="nil"/>
              <w:left w:val="nil"/>
              <w:bottom w:val="single" w:sz="4" w:space="0" w:color="auto"/>
              <w:right w:val="single" w:sz="4" w:space="0" w:color="auto"/>
            </w:tcBorders>
            <w:shd w:val="clear" w:color="auto" w:fill="auto"/>
            <w:vAlign w:val="center"/>
            <w:hideMark/>
          </w:tcPr>
          <w:p w14:paraId="52060F87"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95.864.289</w:t>
            </w:r>
          </w:p>
        </w:tc>
        <w:tc>
          <w:tcPr>
            <w:tcW w:w="0" w:type="auto"/>
            <w:tcBorders>
              <w:top w:val="nil"/>
              <w:left w:val="nil"/>
              <w:bottom w:val="single" w:sz="4" w:space="0" w:color="auto"/>
              <w:right w:val="single" w:sz="4" w:space="0" w:color="auto"/>
            </w:tcBorders>
            <w:shd w:val="clear" w:color="auto" w:fill="auto"/>
            <w:vAlign w:val="center"/>
            <w:hideMark/>
          </w:tcPr>
          <w:p w14:paraId="4D8EA1D8"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96.613.257</w:t>
            </w:r>
          </w:p>
        </w:tc>
      </w:tr>
      <w:tr w:rsidR="009E6D28" w:rsidRPr="00E94BB7" w14:paraId="58AA1E2F" w14:textId="77777777" w:rsidTr="0014778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F9FA81" w14:textId="77777777" w:rsidR="009E6D28" w:rsidRPr="00E94BB7" w:rsidRDefault="009E6D28" w:rsidP="0014778F">
            <w:pPr>
              <w:spacing w:before="60" w:after="60"/>
              <w:jc w:val="left"/>
              <w:rPr>
                <w:rFonts w:cs="Arial"/>
                <w:i/>
                <w:iCs/>
                <w:sz w:val="18"/>
                <w:szCs w:val="18"/>
                <w:lang w:val="es-CO" w:eastAsia="es-CO"/>
              </w:rPr>
            </w:pPr>
            <w:r w:rsidRPr="00E94BB7">
              <w:rPr>
                <w:rFonts w:cs="Arial"/>
                <w:i/>
                <w:iCs/>
                <w:sz w:val="18"/>
                <w:szCs w:val="18"/>
                <w:lang w:val="es-CO" w:eastAsia="es-CO"/>
              </w:rPr>
              <w:t>EsVSFC</w:t>
            </w:r>
            <w:r w:rsidRPr="00E94BB7">
              <w:rPr>
                <w:rFonts w:cs="Arial"/>
                <w:i/>
                <w:iCs/>
                <w:sz w:val="18"/>
                <w:szCs w:val="18"/>
                <w:vertAlign w:val="subscript"/>
                <w:lang w:val="es-CO" w:eastAsia="es-CO"/>
              </w:rPr>
              <w:t>j,1,m</w:t>
            </w:r>
          </w:p>
        </w:tc>
        <w:tc>
          <w:tcPr>
            <w:tcW w:w="0" w:type="auto"/>
            <w:tcBorders>
              <w:top w:val="nil"/>
              <w:left w:val="nil"/>
              <w:bottom w:val="single" w:sz="4" w:space="0" w:color="auto"/>
              <w:right w:val="single" w:sz="4" w:space="0" w:color="auto"/>
            </w:tcBorders>
            <w:shd w:val="clear" w:color="auto" w:fill="auto"/>
            <w:vAlign w:val="center"/>
            <w:hideMark/>
          </w:tcPr>
          <w:p w14:paraId="4B0BCC67"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311.849.152</w:t>
            </w:r>
          </w:p>
        </w:tc>
        <w:tc>
          <w:tcPr>
            <w:tcW w:w="0" w:type="auto"/>
            <w:tcBorders>
              <w:top w:val="nil"/>
              <w:left w:val="nil"/>
              <w:bottom w:val="single" w:sz="4" w:space="0" w:color="auto"/>
              <w:right w:val="single" w:sz="4" w:space="0" w:color="auto"/>
            </w:tcBorders>
            <w:shd w:val="clear" w:color="auto" w:fill="auto"/>
            <w:vAlign w:val="center"/>
            <w:hideMark/>
          </w:tcPr>
          <w:p w14:paraId="1EAD6556"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319.245.139</w:t>
            </w:r>
          </w:p>
        </w:tc>
        <w:tc>
          <w:tcPr>
            <w:tcW w:w="0" w:type="auto"/>
            <w:tcBorders>
              <w:top w:val="nil"/>
              <w:left w:val="nil"/>
              <w:bottom w:val="single" w:sz="4" w:space="0" w:color="auto"/>
              <w:right w:val="single" w:sz="4" w:space="0" w:color="auto"/>
            </w:tcBorders>
            <w:shd w:val="clear" w:color="auto" w:fill="auto"/>
            <w:vAlign w:val="center"/>
            <w:hideMark/>
          </w:tcPr>
          <w:p w14:paraId="7D155D85"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320.784.148</w:t>
            </w:r>
          </w:p>
        </w:tc>
        <w:tc>
          <w:tcPr>
            <w:tcW w:w="0" w:type="auto"/>
            <w:tcBorders>
              <w:top w:val="nil"/>
              <w:left w:val="nil"/>
              <w:bottom w:val="single" w:sz="4" w:space="0" w:color="auto"/>
              <w:right w:val="single" w:sz="4" w:space="0" w:color="auto"/>
            </w:tcBorders>
            <w:shd w:val="clear" w:color="auto" w:fill="auto"/>
            <w:vAlign w:val="center"/>
            <w:hideMark/>
          </w:tcPr>
          <w:p w14:paraId="37B1A9E2"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308.445.188</w:t>
            </w:r>
          </w:p>
        </w:tc>
        <w:tc>
          <w:tcPr>
            <w:tcW w:w="0" w:type="auto"/>
            <w:tcBorders>
              <w:top w:val="nil"/>
              <w:left w:val="nil"/>
              <w:bottom w:val="single" w:sz="4" w:space="0" w:color="auto"/>
              <w:right w:val="single" w:sz="4" w:space="0" w:color="auto"/>
            </w:tcBorders>
            <w:shd w:val="clear" w:color="auto" w:fill="auto"/>
            <w:vAlign w:val="center"/>
            <w:hideMark/>
          </w:tcPr>
          <w:p w14:paraId="35CF129A"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307.744.595</w:t>
            </w:r>
          </w:p>
        </w:tc>
        <w:tc>
          <w:tcPr>
            <w:tcW w:w="0" w:type="auto"/>
            <w:tcBorders>
              <w:top w:val="nil"/>
              <w:left w:val="nil"/>
              <w:bottom w:val="single" w:sz="4" w:space="0" w:color="auto"/>
              <w:right w:val="single" w:sz="4" w:space="0" w:color="auto"/>
            </w:tcBorders>
            <w:shd w:val="clear" w:color="auto" w:fill="auto"/>
            <w:vAlign w:val="center"/>
            <w:hideMark/>
          </w:tcPr>
          <w:p w14:paraId="64096D11" w14:textId="77777777" w:rsidR="009E6D28" w:rsidRPr="00E94BB7" w:rsidRDefault="009E6D28" w:rsidP="0014778F">
            <w:pPr>
              <w:spacing w:before="60" w:after="60"/>
              <w:jc w:val="right"/>
              <w:rPr>
                <w:rFonts w:cs="Arial"/>
                <w:i/>
                <w:iCs/>
                <w:color w:val="000000"/>
                <w:sz w:val="18"/>
                <w:szCs w:val="18"/>
                <w:lang w:val="es-CO" w:eastAsia="es-CO"/>
              </w:rPr>
            </w:pPr>
            <w:r w:rsidRPr="00E94BB7">
              <w:rPr>
                <w:rFonts w:cs="Arial"/>
                <w:i/>
                <w:iCs/>
                <w:color w:val="000000"/>
                <w:sz w:val="18"/>
                <w:szCs w:val="18"/>
                <w:lang w:val="es-CO" w:eastAsia="es-CO"/>
              </w:rPr>
              <w:t>310.728.390</w:t>
            </w:r>
          </w:p>
        </w:tc>
      </w:tr>
    </w:tbl>
    <w:p w14:paraId="20F896A5" w14:textId="6234E06F" w:rsidR="009E6D28" w:rsidRPr="0085369E" w:rsidRDefault="00970D42" w:rsidP="005C36C6">
      <w:r>
        <w:t>Con base en lo anterior</w:t>
      </w:r>
      <w:r w:rsidR="0085369E">
        <w:t xml:space="preserve">, no se modifica la información de la variable </w:t>
      </w:r>
      <w:r w:rsidR="0085369E" w:rsidRPr="00D25E16">
        <w:rPr>
          <w:i/>
          <w:iCs/>
        </w:rPr>
        <w:t>EsVSFC</w:t>
      </w:r>
      <w:r w:rsidR="0085369E" w:rsidRPr="00D25E16">
        <w:rPr>
          <w:i/>
          <w:iCs/>
          <w:vertAlign w:val="subscript"/>
        </w:rPr>
        <w:t>j,1,m</w:t>
      </w:r>
      <w:r w:rsidR="0085369E">
        <w:rPr>
          <w:i/>
          <w:iCs/>
          <w:vertAlign w:val="subscript"/>
        </w:rPr>
        <w:t xml:space="preserve">, </w:t>
      </w:r>
      <w:r w:rsidR="0085369E">
        <w:t xml:space="preserve">ya que para su cálculo se consideraron los ajustes solicitados por el OR durante la actuación administrativa respecto a la </w:t>
      </w:r>
      <w:r w:rsidR="00B664B8">
        <w:t xml:space="preserve">utilización de la información de </w:t>
      </w:r>
      <w:r w:rsidR="0085369E">
        <w:t xml:space="preserve">los campos 36 y 39 de los formatos 2 y 3 de la </w:t>
      </w:r>
      <w:r w:rsidR="0085369E" w:rsidRPr="00FA45B8">
        <w:t>Resolución SSPD 20102400008055, modificada por Resolución SSPD 20121300017645</w:t>
      </w:r>
      <w:r w:rsidR="0085369E">
        <w:t xml:space="preserve">, en el cálculo de las ventas a usuarios regulados. </w:t>
      </w:r>
    </w:p>
    <w:p w14:paraId="30573196" w14:textId="351674B9" w:rsidR="006412C6" w:rsidRDefault="006412C6" w:rsidP="00446B5D">
      <w:pPr>
        <w:keepNext/>
        <w:rPr>
          <w:b/>
          <w:bCs/>
        </w:rPr>
      </w:pPr>
      <w:r>
        <w:rPr>
          <w:b/>
          <w:bCs/>
        </w:rPr>
        <w:t>Solicitud No. 22</w:t>
      </w:r>
    </w:p>
    <w:p w14:paraId="0EE07E87" w14:textId="43DB2498" w:rsidR="009B2BC1" w:rsidRPr="009B2BC1" w:rsidRDefault="009B2BC1" w:rsidP="006808CE">
      <w:pPr>
        <w:spacing w:before="60" w:after="60"/>
        <w:ind w:left="284"/>
        <w:rPr>
          <w:i/>
          <w:iCs/>
          <w:sz w:val="20"/>
          <w:szCs w:val="20"/>
        </w:rPr>
      </w:pPr>
      <w:r w:rsidRPr="009B2BC1">
        <w:rPr>
          <w:i/>
          <w:iCs/>
          <w:sz w:val="20"/>
          <w:szCs w:val="20"/>
        </w:rPr>
        <w:t>Se solicita a la CREG el reconocimiento del valor del CPCE o del CPOR conforme a la senda propuesta por AIR-E S.A.S E.S.P.  la cual fue ajustada del 28,64% al 16,28%, y que no se encuentra sustentada en tecnología AMI.</w:t>
      </w:r>
    </w:p>
    <w:p w14:paraId="2F755C02" w14:textId="0A430190" w:rsidR="009B2BC1" w:rsidRPr="009B2BC1" w:rsidRDefault="009B2BC1" w:rsidP="00446B5D">
      <w:pPr>
        <w:keepNext/>
        <w:rPr>
          <w:b/>
          <w:bCs/>
        </w:rPr>
      </w:pPr>
      <w:r w:rsidRPr="009B2BC1">
        <w:rPr>
          <w:b/>
          <w:bCs/>
        </w:rPr>
        <w:t>Análisis de la Comisión</w:t>
      </w:r>
    </w:p>
    <w:p w14:paraId="4C4C2660" w14:textId="4917C1DF" w:rsidR="003C6E0D" w:rsidRDefault="003C6E0D" w:rsidP="005C36C6">
      <w:r>
        <w:t xml:space="preserve">En relación con la solicitud de incluir en la variable </w:t>
      </w:r>
      <w:r w:rsidRPr="00A10F17">
        <w:rPr>
          <w:i/>
          <w:iCs/>
        </w:rPr>
        <w:t>INVNUC</w:t>
      </w:r>
      <w:r>
        <w:t xml:space="preserve"> los costos asociados con los proyectos denominados medición centralizada</w:t>
      </w:r>
      <w:r w:rsidR="00C9465E">
        <w:t xml:space="preserve"> e incluir otros costos solicitados por la empresa</w:t>
      </w:r>
      <w:r>
        <w:t xml:space="preserve">, a continuación, se realizan los análisis correspondientes, con base en la información disponible: </w:t>
      </w:r>
    </w:p>
    <w:p w14:paraId="30140B8A" w14:textId="504CF2AF" w:rsidR="00157972" w:rsidRPr="00157972" w:rsidRDefault="00157972" w:rsidP="005C36C6">
      <w:pPr>
        <w:rPr>
          <w:b/>
          <w:bCs/>
        </w:rPr>
      </w:pPr>
      <w:r w:rsidRPr="00157972">
        <w:rPr>
          <w:b/>
          <w:bCs/>
        </w:rPr>
        <w:t>Información suministrada durante la actuación administrativa</w:t>
      </w:r>
    </w:p>
    <w:p w14:paraId="7B31A1E1" w14:textId="1EF2DB7F" w:rsidR="00A10F17" w:rsidRDefault="00A10F17" w:rsidP="005C36C6">
      <w:r>
        <w:t>A continuación, se presentan los documentos aportados por el OR durante la actuación administrativa que sirvieron de base para la decisión tomada en la Resolución CREG 024 de 2021.</w:t>
      </w:r>
    </w:p>
    <w:p w14:paraId="28A7BC43" w14:textId="211E0372" w:rsidR="00A10F17" w:rsidRPr="00A10F17" w:rsidRDefault="00A10F17" w:rsidP="00A10F17">
      <w:pPr>
        <w:pStyle w:val="Prrafodelista"/>
        <w:numPr>
          <w:ilvl w:val="0"/>
          <w:numId w:val="15"/>
        </w:numPr>
        <w:rPr>
          <w:b/>
          <w:bCs/>
        </w:rPr>
      </w:pPr>
      <w:r w:rsidRPr="00A10F17">
        <w:rPr>
          <w:b/>
          <w:bCs/>
        </w:rPr>
        <w:t>Información de cuentas creadas para el plan de pérdidas</w:t>
      </w:r>
    </w:p>
    <w:p w14:paraId="3239FB64" w14:textId="2DFC8E59" w:rsidR="00DF0931" w:rsidRPr="00F75B8D" w:rsidRDefault="00DF0931" w:rsidP="005C36C6">
      <w:bookmarkStart w:id="12" w:name="_Hlk72419462"/>
      <w:r>
        <w:t xml:space="preserve">En el documento </w:t>
      </w:r>
      <w:r w:rsidRPr="00DF0931">
        <w:rPr>
          <w:i/>
          <w:iCs/>
        </w:rPr>
        <w:t>Certificado contador CS RES 015 CPROG vf.pdf</w:t>
      </w:r>
      <w:r w:rsidR="00230985">
        <w:t xml:space="preserve">, </w:t>
      </w:r>
      <w:r>
        <w:t xml:space="preserve">enviado </w:t>
      </w:r>
      <w:r w:rsidR="00234F33">
        <w:t xml:space="preserve">por el OR </w:t>
      </w:r>
      <w:r w:rsidR="00230985">
        <w:t xml:space="preserve">como soporte de la solicitud inicial de aprobación de ingresos, </w:t>
      </w:r>
      <w:r w:rsidRPr="00F75B8D">
        <w:t xml:space="preserve">se </w:t>
      </w:r>
      <w:r w:rsidR="00234F33">
        <w:t xml:space="preserve">indica </w:t>
      </w:r>
      <w:r w:rsidRPr="00F75B8D">
        <w:t>lo siguiente:</w:t>
      </w:r>
    </w:p>
    <w:p w14:paraId="159E78C4" w14:textId="77777777" w:rsidR="00DF0931" w:rsidRPr="001B50BA" w:rsidRDefault="00DF0931" w:rsidP="006808CE">
      <w:pPr>
        <w:spacing w:before="60" w:after="60"/>
        <w:ind w:left="284"/>
        <w:rPr>
          <w:rFonts w:cs="Arial"/>
          <w:b/>
          <w:bCs/>
          <w:i/>
          <w:iCs/>
          <w:sz w:val="20"/>
          <w:szCs w:val="20"/>
          <w:shd w:val="clear" w:color="auto" w:fill="FAF9F8"/>
        </w:rPr>
      </w:pPr>
      <w:r w:rsidRPr="001B50BA">
        <w:rPr>
          <w:rFonts w:cs="Arial"/>
          <w:b/>
          <w:bCs/>
          <w:i/>
          <w:iCs/>
          <w:sz w:val="20"/>
          <w:szCs w:val="20"/>
          <w:shd w:val="clear" w:color="auto" w:fill="FAF9F8"/>
        </w:rPr>
        <w:t xml:space="preserve">EL SUSCRITO CONTADOR DE ELECTRIFICADORA DE CARIBE S.A. E.S.P. NIT 802.007.670-6  </w:t>
      </w:r>
    </w:p>
    <w:p w14:paraId="314BC599" w14:textId="2A59AABB" w:rsidR="00DF0931"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De acuerdo con lo establecido en el numeral 7.3.1 literal e) de la Resolución CREG 015 de 2018 de la Comisión de Regulación de Energía y Gas, </w:t>
      </w:r>
      <w:r w:rsidRPr="001B50BA">
        <w:rPr>
          <w:rFonts w:cs="Arial"/>
          <w:i/>
          <w:iCs/>
          <w:sz w:val="20"/>
          <w:szCs w:val="20"/>
          <w:u w:val="single"/>
          <w:shd w:val="clear" w:color="auto" w:fill="FAF9F8"/>
        </w:rPr>
        <w:t>se requiere que la Compañía suministre un certificado mediante el cual se detallen los códigos de las cuentas creadas en la contabilidad, que permita el registro independiente de todas las actividades relacionadas con el Plan de Reducción y Mantenimiento de Pérdidas</w:t>
      </w:r>
      <w:r w:rsidRPr="001B50BA">
        <w:rPr>
          <w:rFonts w:cs="Arial"/>
          <w:i/>
          <w:iCs/>
          <w:sz w:val="20"/>
          <w:szCs w:val="20"/>
          <w:shd w:val="clear" w:color="auto" w:fill="FAF9F8"/>
        </w:rPr>
        <w:t>.</w:t>
      </w:r>
    </w:p>
    <w:p w14:paraId="2BBDD366" w14:textId="0780659F" w:rsidR="00F75B8D"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En mi calidad de Contador de ELECTRICARIBE, </w:t>
      </w:r>
      <w:r w:rsidRPr="001B50BA">
        <w:rPr>
          <w:rFonts w:cs="Arial"/>
          <w:i/>
          <w:iCs/>
          <w:sz w:val="20"/>
          <w:szCs w:val="20"/>
          <w:u w:val="single"/>
          <w:shd w:val="clear" w:color="auto" w:fill="FAF9F8"/>
        </w:rPr>
        <w:t>informo que a fecha 29 de abril de 2020 la Compañía ha realizado los procedimientos para la implementación de la información incluida en el Anexo I adjunto denominado "Creación de cuentas contables destinadas al Programa de Reducción de Pérdidas Eficientes – CPROG" de CARIBESOL DE LA COSTA SAS ESP</w:t>
      </w:r>
      <w:r w:rsidRPr="001B50BA">
        <w:rPr>
          <w:rFonts w:cs="Arial"/>
          <w:i/>
          <w:iCs/>
          <w:sz w:val="20"/>
          <w:szCs w:val="20"/>
          <w:shd w:val="clear" w:color="auto" w:fill="FAF9F8"/>
        </w:rPr>
        <w:t xml:space="preserve">, identificada con el NIT No. 901.380.930-2, como consecuencia del proceso de solución empresarial adelantado sobre ELECTRICARIBE, el cual implicaba la creación de dicha empresa para la prestación del servicio de energía en los Departamentos de Guajira, Magdalena y Atlántico, luego de que se cumplan las condiciones definidas en el Reglamento de Presentación de Ofertas  Vinculantes y Enajenación de Acciones expedido por la Agente Especial de ELECTRICARIBE y el Contrato de Compraventa de Acciones. </w:t>
      </w:r>
      <w:r w:rsidRPr="001B50BA">
        <w:rPr>
          <w:rFonts w:cs="Arial"/>
          <w:i/>
          <w:iCs/>
          <w:sz w:val="20"/>
          <w:szCs w:val="20"/>
          <w:u w:val="single"/>
          <w:shd w:val="clear" w:color="auto" w:fill="FAF9F8"/>
        </w:rPr>
        <w:t>No obstante, la creación de estas cuentas por las razones antes expuestas, el manejo y modificación de las misas (sic) será responsabilidad de la administración de CARIBESOL DE LA COSTA SAS ESP</w:t>
      </w:r>
      <w:r w:rsidRPr="001B50BA">
        <w:rPr>
          <w:rFonts w:cs="Arial"/>
          <w:i/>
          <w:iCs/>
          <w:sz w:val="20"/>
          <w:szCs w:val="20"/>
          <w:shd w:val="clear" w:color="auto" w:fill="FAF9F8"/>
        </w:rPr>
        <w:t>.</w:t>
      </w:r>
      <w:r w:rsidR="00230985" w:rsidRPr="001B50BA">
        <w:rPr>
          <w:rFonts w:cs="Arial"/>
          <w:i/>
          <w:iCs/>
          <w:sz w:val="20"/>
          <w:szCs w:val="20"/>
          <w:shd w:val="clear" w:color="auto" w:fill="FAF9F8"/>
        </w:rPr>
        <w:t xml:space="preserve"> </w:t>
      </w:r>
      <w:r w:rsidR="00F75B8D" w:rsidRPr="001B50BA">
        <w:rPr>
          <w:rFonts w:cs="Arial"/>
          <w:i/>
          <w:iCs/>
          <w:sz w:val="20"/>
          <w:szCs w:val="20"/>
          <w:shd w:val="clear" w:color="auto" w:fill="FAF9F8"/>
        </w:rPr>
        <w:t>(…)</w:t>
      </w:r>
    </w:p>
    <w:p w14:paraId="3CB90603" w14:textId="77777777" w:rsidR="00F75B8D"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El proceso de implantación y revisión incluyeron, entre otras, las siguientes actividades:</w:t>
      </w:r>
    </w:p>
    <w:p w14:paraId="2C85B989" w14:textId="77777777" w:rsidR="00F75B8D"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1. Analizar la Resolución CREG 015 de 2018, modificada por la Resolución CREG 085 de 2018 y 036 de 2019, en la cual se establece la metodología para la remuneración de la actividad de distribución de energía eléctrica en el Sistema Interconectado Nacional, así mismo, los requerimientos de información que debe ser certificados por el Revisor Fiscal o Contador de la Compañía. </w:t>
      </w:r>
    </w:p>
    <w:p w14:paraId="205D4EEC" w14:textId="36A98628" w:rsidR="00F75B8D"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2. </w:t>
      </w:r>
      <w:r w:rsidRPr="001B50BA">
        <w:rPr>
          <w:rFonts w:cs="Arial"/>
          <w:i/>
          <w:iCs/>
          <w:sz w:val="20"/>
          <w:szCs w:val="20"/>
          <w:u w:val="single"/>
          <w:shd w:val="clear" w:color="auto" w:fill="FAF9F8"/>
        </w:rPr>
        <w:t>Indagar con las Gerencias de Control de Energía y Regulación, sobre los procedimientos que debe realizar la Compañía para dar cumplimiento al Plan de Reducción y Mantenimiento de Pérdidas</w:t>
      </w:r>
      <w:r w:rsidRPr="001B50BA">
        <w:rPr>
          <w:rFonts w:cs="Arial"/>
          <w:i/>
          <w:iCs/>
          <w:sz w:val="20"/>
          <w:szCs w:val="20"/>
          <w:shd w:val="clear" w:color="auto" w:fill="FAF9F8"/>
        </w:rPr>
        <w:t xml:space="preserve">. </w:t>
      </w:r>
    </w:p>
    <w:p w14:paraId="4925023F" w14:textId="3DAA7E7D" w:rsidR="00F75B8D" w:rsidRPr="001B50BA" w:rsidRDefault="00DF0931"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3. </w:t>
      </w:r>
      <w:r w:rsidRPr="001B50BA">
        <w:rPr>
          <w:rFonts w:cs="Arial"/>
          <w:i/>
          <w:iCs/>
          <w:sz w:val="20"/>
          <w:szCs w:val="20"/>
          <w:u w:val="single"/>
          <w:shd w:val="clear" w:color="auto" w:fill="FAF9F8"/>
        </w:rPr>
        <w:t>Elaborar los procedimientos contables mediante los cuales se detallan los códigos de las cuentas creadas en la contabilidad, que permita el registro independiente de todas las actividades relacionadas con el Plan de Reducción y Mantenimiento de Pérdidas</w:t>
      </w:r>
      <w:r w:rsidRPr="001B50BA">
        <w:rPr>
          <w:rFonts w:cs="Arial"/>
          <w:i/>
          <w:iCs/>
          <w:sz w:val="20"/>
          <w:szCs w:val="20"/>
          <w:shd w:val="clear" w:color="auto" w:fill="FAF9F8"/>
        </w:rPr>
        <w:t xml:space="preserve">. </w:t>
      </w:r>
      <w:r w:rsidR="00F75B8D" w:rsidRPr="001B50BA">
        <w:rPr>
          <w:rFonts w:cs="Arial"/>
          <w:i/>
          <w:iCs/>
          <w:sz w:val="20"/>
          <w:szCs w:val="20"/>
          <w:shd w:val="clear" w:color="auto" w:fill="FAF9F8"/>
        </w:rPr>
        <w:t>(…)</w:t>
      </w:r>
    </w:p>
    <w:p w14:paraId="62BFA0D8" w14:textId="28AB363E" w:rsidR="00DF0931" w:rsidRPr="001B50BA" w:rsidRDefault="00DF0931" w:rsidP="006808CE">
      <w:pPr>
        <w:spacing w:before="60" w:after="60"/>
        <w:ind w:left="284"/>
        <w:rPr>
          <w:i/>
          <w:iCs/>
          <w:sz w:val="20"/>
          <w:szCs w:val="20"/>
        </w:rPr>
      </w:pPr>
      <w:r w:rsidRPr="001B50BA">
        <w:rPr>
          <w:rFonts w:cs="Arial"/>
          <w:i/>
          <w:iCs/>
          <w:sz w:val="20"/>
          <w:szCs w:val="20"/>
          <w:shd w:val="clear" w:color="auto" w:fill="FAF9F8"/>
        </w:rPr>
        <w:t>Subrayado fuera de texto.</w:t>
      </w:r>
    </w:p>
    <w:p w14:paraId="669D9884" w14:textId="343365A2" w:rsidR="00DF0931" w:rsidRDefault="00F75B8D" w:rsidP="005C36C6">
      <w:r>
        <w:t xml:space="preserve">En relación con las cuentas destinadas al programa de reducción de pérdidas en el Anexo 1 de dicho documento se </w:t>
      </w:r>
      <w:r w:rsidR="00230985">
        <w:t xml:space="preserve">señala </w:t>
      </w:r>
      <w:r>
        <w:t>lo siguiente:</w:t>
      </w:r>
    </w:p>
    <w:p w14:paraId="06E21499" w14:textId="3D22D5EE" w:rsidR="00F75B8D" w:rsidRPr="001B50BA" w:rsidRDefault="00F75B8D" w:rsidP="006808CE">
      <w:pPr>
        <w:spacing w:before="60" w:after="60"/>
        <w:ind w:left="284"/>
        <w:jc w:val="center"/>
        <w:rPr>
          <w:rFonts w:cs="Arial"/>
          <w:i/>
          <w:iCs/>
          <w:sz w:val="20"/>
          <w:szCs w:val="20"/>
          <w:shd w:val="clear" w:color="auto" w:fill="FAF9F8"/>
        </w:rPr>
      </w:pPr>
      <w:r w:rsidRPr="001B50BA">
        <w:rPr>
          <w:rFonts w:cs="Arial"/>
          <w:i/>
          <w:iCs/>
          <w:sz w:val="20"/>
          <w:szCs w:val="20"/>
          <w:shd w:val="clear" w:color="auto" w:fill="FAF9F8"/>
        </w:rPr>
        <w:t>Anexo I Creación de cuentas contables destinadas al Programa de Reducción de Pérdidas Eficientes – CPROG</w:t>
      </w:r>
      <w:r w:rsidR="00230985" w:rsidRPr="001B50BA">
        <w:rPr>
          <w:rFonts w:cs="Arial"/>
          <w:i/>
          <w:iCs/>
          <w:sz w:val="20"/>
          <w:szCs w:val="20"/>
          <w:shd w:val="clear" w:color="auto" w:fill="FAF9F8"/>
        </w:rPr>
        <w:t xml:space="preserve"> </w:t>
      </w:r>
      <w:r w:rsidRPr="001B50BA">
        <w:rPr>
          <w:rFonts w:cs="Arial"/>
          <w:i/>
          <w:iCs/>
          <w:sz w:val="20"/>
          <w:szCs w:val="20"/>
          <w:shd w:val="clear" w:color="auto" w:fill="FAF9F8"/>
        </w:rPr>
        <w:t>Propuesta Plan Contable</w:t>
      </w:r>
    </w:p>
    <w:p w14:paraId="466EFBE6" w14:textId="77777777" w:rsidR="00F75B8D" w:rsidRPr="001B50BA" w:rsidRDefault="00F75B8D"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Actividades de inversión </w:t>
      </w:r>
    </w:p>
    <w:p w14:paraId="4576C88D" w14:textId="77777777" w:rsidR="00F75B8D" w:rsidRPr="001B50BA" w:rsidRDefault="00F75B8D" w:rsidP="006808CE">
      <w:pPr>
        <w:spacing w:before="60" w:after="60"/>
        <w:ind w:left="284"/>
        <w:rPr>
          <w:rFonts w:cs="Arial"/>
          <w:i/>
          <w:iCs/>
          <w:sz w:val="20"/>
          <w:szCs w:val="20"/>
          <w:shd w:val="clear" w:color="auto" w:fill="FAF9F8"/>
        </w:rPr>
      </w:pPr>
      <w:r w:rsidRPr="001B50BA">
        <w:rPr>
          <w:rFonts w:cs="Arial"/>
          <w:i/>
          <w:iCs/>
          <w:sz w:val="20"/>
          <w:szCs w:val="20"/>
          <w:u w:val="single"/>
          <w:shd w:val="clear" w:color="auto" w:fill="FAF9F8"/>
        </w:rPr>
        <w:t>En virtud de la mencionada resolución, la CARIBESOL DE LA COSTA SAS ESP ha desarrollado un plan de pérdidas con una fuerte inversión en redes y en equipos de macro medición</w:t>
      </w:r>
      <w:r w:rsidRPr="001B50BA">
        <w:rPr>
          <w:rFonts w:cs="Arial"/>
          <w:i/>
          <w:iCs/>
          <w:sz w:val="20"/>
          <w:szCs w:val="20"/>
          <w:shd w:val="clear" w:color="auto" w:fill="FAF9F8"/>
        </w:rPr>
        <w:t xml:space="preserve">, basada en el control energético, mejora de la red y tecnificación de la medida incorporando las últimas tecnologías de información, encaminadas a la detección y eliminación de anomalías a través de campañas que incluyen la normalización de instalaciones. </w:t>
      </w:r>
    </w:p>
    <w:p w14:paraId="028CFC4F" w14:textId="7EA3D455" w:rsidR="001B50BA" w:rsidRDefault="00F75B8D"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Las cuentas definidas para el registro del valor de las inversiones se han establecido </w:t>
      </w:r>
      <w:r w:rsidRPr="001B50BA">
        <w:rPr>
          <w:rFonts w:cs="Arial"/>
          <w:i/>
          <w:iCs/>
          <w:sz w:val="20"/>
          <w:szCs w:val="20"/>
          <w:u w:val="single"/>
          <w:shd w:val="clear" w:color="auto" w:fill="FAF9F8"/>
        </w:rPr>
        <w:t>teniendo en cuenta las líneas de acción principales definidas para el plan de reducción de pérdidas, las cuales son</w:t>
      </w:r>
      <w:r w:rsidRPr="001B50BA">
        <w:rPr>
          <w:rFonts w:cs="Arial"/>
          <w:i/>
          <w:iCs/>
          <w:sz w:val="20"/>
          <w:szCs w:val="20"/>
          <w:shd w:val="clear" w:color="auto" w:fill="FAF9F8"/>
        </w:rPr>
        <w:t>:</w:t>
      </w:r>
      <w:r w:rsidR="00763F8A">
        <w:rPr>
          <w:rFonts w:cs="Arial"/>
          <w:i/>
          <w:iCs/>
          <w:sz w:val="20"/>
          <w:szCs w:val="20"/>
          <w:shd w:val="clear" w:color="auto" w:fill="FAF9F8"/>
        </w:rPr>
        <w:t xml:space="preserve"> </w:t>
      </w:r>
      <w:r w:rsidR="005A6D6D" w:rsidRPr="001B50BA">
        <w:rPr>
          <w:rFonts w:cs="Arial"/>
          <w:i/>
          <w:iCs/>
          <w:sz w:val="20"/>
          <w:szCs w:val="20"/>
          <w:shd w:val="clear" w:color="auto" w:fill="FAF9F8"/>
        </w:rPr>
        <w:t>(…)</w:t>
      </w:r>
      <w:r w:rsidR="00230985" w:rsidRPr="001B50BA">
        <w:rPr>
          <w:rFonts w:cs="Arial"/>
          <w:i/>
          <w:iCs/>
          <w:sz w:val="20"/>
          <w:szCs w:val="20"/>
          <w:shd w:val="clear" w:color="auto" w:fill="FAF9F8"/>
        </w:rPr>
        <w:t xml:space="preserve"> </w:t>
      </w:r>
    </w:p>
    <w:p w14:paraId="46BC8ACB" w14:textId="6929C58F" w:rsidR="005A6D6D" w:rsidRPr="001B50BA" w:rsidRDefault="005A6D6D"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 </w:t>
      </w:r>
      <w:r w:rsidRPr="001B50BA">
        <w:rPr>
          <w:rFonts w:cs="Arial"/>
          <w:i/>
          <w:iCs/>
          <w:sz w:val="20"/>
          <w:szCs w:val="20"/>
          <w:u w:val="single"/>
          <w:shd w:val="clear" w:color="auto" w:fill="FAF9F8"/>
        </w:rPr>
        <w:t>Infraestructuras de Medición Avanzada</w:t>
      </w:r>
      <w:r w:rsidRPr="001B50BA">
        <w:rPr>
          <w:rFonts w:cs="Arial"/>
          <w:i/>
          <w:iCs/>
          <w:sz w:val="20"/>
          <w:szCs w:val="20"/>
          <w:shd w:val="clear" w:color="auto" w:fill="FAF9F8"/>
        </w:rPr>
        <w:t>: contiene la inversión por mano de obra y materiales, así como las herramientas informáticas, necesarias para la instalación de nuevos medidores y reemplazo de convencionales por este sistema de medición centralizada y que obedezcan a acciones para el control y reducción de pérdidas de energía.</w:t>
      </w:r>
    </w:p>
    <w:p w14:paraId="065D2F9F" w14:textId="34B60704" w:rsidR="005A6D6D" w:rsidRPr="001B50BA" w:rsidRDefault="005A6D6D"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 xml:space="preserve">• </w:t>
      </w:r>
      <w:r w:rsidRPr="001B50BA">
        <w:rPr>
          <w:rFonts w:cs="Arial"/>
          <w:i/>
          <w:iCs/>
          <w:sz w:val="20"/>
          <w:szCs w:val="20"/>
          <w:u w:val="single"/>
          <w:shd w:val="clear" w:color="auto" w:fill="FAF9F8"/>
        </w:rPr>
        <w:t>Aseguramiento y Mejora de Red</w:t>
      </w:r>
      <w:r w:rsidRPr="001B50BA">
        <w:rPr>
          <w:rFonts w:cs="Arial"/>
          <w:i/>
          <w:iCs/>
          <w:sz w:val="20"/>
          <w:szCs w:val="20"/>
          <w:shd w:val="clear" w:color="auto" w:fill="FAF9F8"/>
        </w:rPr>
        <w:t xml:space="preserve">: este plan consiste en la construcción de redes con protección (anti-defraudación), que dificultan la manipulación de las redes de baja tensión evitando conexiones ilegales. </w:t>
      </w:r>
      <w:r w:rsidRPr="001B50BA">
        <w:rPr>
          <w:rFonts w:cs="Arial"/>
          <w:i/>
          <w:iCs/>
          <w:sz w:val="20"/>
          <w:szCs w:val="20"/>
          <w:u w:val="single"/>
          <w:shd w:val="clear" w:color="auto" w:fill="FAF9F8"/>
        </w:rPr>
        <w:t>Contiene toda la inversión por mano de obra, materiales para la instalación de la red y las acometidas</w:t>
      </w:r>
      <w:r w:rsidRPr="001B50BA">
        <w:rPr>
          <w:rFonts w:cs="Arial"/>
          <w:i/>
          <w:iCs/>
          <w:sz w:val="20"/>
          <w:szCs w:val="20"/>
          <w:shd w:val="clear" w:color="auto" w:fill="FAF9F8"/>
        </w:rPr>
        <w:t>.</w:t>
      </w:r>
    </w:p>
    <w:p w14:paraId="4637E56A" w14:textId="6968FFDA" w:rsidR="005A6D6D" w:rsidRPr="001B50BA" w:rsidRDefault="005A6D6D" w:rsidP="006808CE">
      <w:pPr>
        <w:spacing w:before="60" w:after="60"/>
        <w:ind w:left="284"/>
        <w:rPr>
          <w:rFonts w:cs="Arial"/>
          <w:i/>
          <w:iCs/>
          <w:sz w:val="20"/>
          <w:szCs w:val="20"/>
          <w:shd w:val="clear" w:color="auto" w:fill="FAF9F8"/>
        </w:rPr>
      </w:pPr>
      <w:r w:rsidRPr="001B50BA">
        <w:rPr>
          <w:rFonts w:cs="Arial"/>
          <w:i/>
          <w:iCs/>
          <w:sz w:val="20"/>
          <w:szCs w:val="20"/>
          <w:shd w:val="clear" w:color="auto" w:fill="FAF9F8"/>
        </w:rPr>
        <w:t>Subrayado fuera de texto.</w:t>
      </w:r>
    </w:p>
    <w:p w14:paraId="5CA4035B" w14:textId="60FAFCD0" w:rsidR="00DF0931" w:rsidRPr="005A0DB4" w:rsidRDefault="00234F33" w:rsidP="005C36C6">
      <w:r>
        <w:t>E</w:t>
      </w:r>
      <w:r w:rsidR="00130964" w:rsidRPr="005A0DB4">
        <w:t xml:space="preserve">n el anexo </w:t>
      </w:r>
      <w:r>
        <w:t xml:space="preserve">se identifican </w:t>
      </w:r>
      <w:r w:rsidR="00130964" w:rsidRPr="005A0DB4">
        <w:t xml:space="preserve">cuentas asociadas con el programa de reducción de pérdidas </w:t>
      </w:r>
      <w:r>
        <w:t xml:space="preserve">que </w:t>
      </w:r>
      <w:r w:rsidR="00CF0740">
        <w:t xml:space="preserve">incluyen actividades </w:t>
      </w:r>
      <w:r w:rsidR="00230985">
        <w:t xml:space="preserve">denominadas </w:t>
      </w:r>
      <w:r w:rsidRPr="005A0DB4">
        <w:rPr>
          <w:i/>
          <w:iCs/>
        </w:rPr>
        <w:t>“</w:t>
      </w:r>
      <w:r>
        <w:rPr>
          <w:i/>
          <w:iCs/>
        </w:rPr>
        <w:t>I</w:t>
      </w:r>
      <w:r w:rsidRPr="005A0DB4">
        <w:rPr>
          <w:i/>
          <w:iCs/>
        </w:rPr>
        <w:t>nfraestructura de medición avanzada”</w:t>
      </w:r>
      <w:r w:rsidRPr="005A0DB4">
        <w:t xml:space="preserve"> conformada por las siguientes actividades </w:t>
      </w:r>
      <w:r w:rsidRPr="005A0DB4">
        <w:rPr>
          <w:i/>
          <w:iCs/>
        </w:rPr>
        <w:t>“AMI clientes regulares y medios, comunicación y software AMI, AMI grandes consumidores y operación AMI”</w:t>
      </w:r>
      <w:r w:rsidRPr="005A0DB4">
        <w:t xml:space="preserve"> </w:t>
      </w:r>
    </w:p>
    <w:p w14:paraId="48C8C7BF" w14:textId="1336F381" w:rsidR="005A6D6D" w:rsidRDefault="009D137F" w:rsidP="005C36C6">
      <w:r>
        <w:t>De otra parte, se observa que en las actividades clasificadas como aseguramiento y mejora de red se consideran</w:t>
      </w:r>
      <w:r w:rsidR="006808CE">
        <w:t>,</w:t>
      </w:r>
      <w:r>
        <w:t xml:space="preserve"> tanto la instalación de redes</w:t>
      </w:r>
      <w:r w:rsidR="006808CE">
        <w:t>,</w:t>
      </w:r>
      <w:r>
        <w:t xml:space="preserve"> </w:t>
      </w:r>
      <w:r w:rsidRPr="00230985">
        <w:t>como la instalación</w:t>
      </w:r>
      <w:r w:rsidRPr="009D137F">
        <w:rPr>
          <w:b/>
          <w:bCs/>
        </w:rPr>
        <w:t xml:space="preserve"> </w:t>
      </w:r>
      <w:r w:rsidRPr="00CF0740">
        <w:t>de acometidas</w:t>
      </w:r>
      <w:r>
        <w:t>.</w:t>
      </w:r>
    </w:p>
    <w:bookmarkEnd w:id="12"/>
    <w:p w14:paraId="5878BD8A" w14:textId="0936C2DD" w:rsidR="00A10F17" w:rsidRPr="00A10F17" w:rsidRDefault="00A10F17" w:rsidP="00FF7802">
      <w:pPr>
        <w:pStyle w:val="Prrafodelista"/>
        <w:numPr>
          <w:ilvl w:val="0"/>
          <w:numId w:val="15"/>
        </w:numPr>
        <w:spacing w:before="120" w:after="120"/>
        <w:ind w:left="357" w:hanging="357"/>
        <w:rPr>
          <w:b/>
          <w:bCs/>
        </w:rPr>
      </w:pPr>
      <w:r w:rsidRPr="00A10F17">
        <w:rPr>
          <w:b/>
          <w:bCs/>
        </w:rPr>
        <w:t xml:space="preserve">Resumen programas </w:t>
      </w:r>
      <w:r w:rsidR="00234F33">
        <w:rPr>
          <w:b/>
          <w:bCs/>
        </w:rPr>
        <w:t xml:space="preserve">del </w:t>
      </w:r>
      <w:r w:rsidRPr="00A10F17">
        <w:rPr>
          <w:b/>
          <w:bCs/>
        </w:rPr>
        <w:t>plan de pérdidas</w:t>
      </w:r>
    </w:p>
    <w:p w14:paraId="5F276AD8" w14:textId="52E7FC73" w:rsidR="00157972" w:rsidRDefault="00A10F17" w:rsidP="00157972">
      <w:r>
        <w:t>E</w:t>
      </w:r>
      <w:r w:rsidR="00157972">
        <w:t xml:space="preserve">l OR presentó el resumen de los programas incluidos en el plan de reducción de pérdidas, identificando los proyectos asignados al CPROG, al cargo de distribución y otros denominados gasto con ingreso. </w:t>
      </w:r>
      <w:r w:rsidR="00234F33">
        <w:t>L</w:t>
      </w:r>
      <w:r w:rsidR="00157972">
        <w:t xml:space="preserve">os gastos del CPROG suman un valor de 1.037.900 millones de pesos </w:t>
      </w:r>
      <w:r w:rsidR="00234F33">
        <w:t xml:space="preserve">a ejecutar </w:t>
      </w:r>
      <w:r w:rsidR="00157972">
        <w:t>entre el 2021 y el 2029.</w:t>
      </w:r>
    </w:p>
    <w:p w14:paraId="17F5C442" w14:textId="3297CD7D" w:rsidR="00157972" w:rsidRDefault="00763F8A" w:rsidP="00157972">
      <w:r>
        <w:t>E</w:t>
      </w:r>
      <w:r w:rsidR="00157972">
        <w:t xml:space="preserve">n la información suministrada por el OR no se encontraban desagregadas las actividades asociadas con la instalación de medidores convencionales y la instalación de medidores en proyectos denominados por el OR como medición centralizada. </w:t>
      </w:r>
    </w:p>
    <w:p w14:paraId="4A76E334" w14:textId="631278FA" w:rsidR="00157972" w:rsidRDefault="00157972" w:rsidP="00157972">
      <w:r>
        <w:t xml:space="preserve">De otra parte, dentro del resumen se </w:t>
      </w:r>
      <w:r w:rsidR="00234F33">
        <w:t xml:space="preserve">identificaron </w:t>
      </w:r>
      <w:r>
        <w:t xml:space="preserve">programas </w:t>
      </w:r>
      <w:r w:rsidR="00234F33">
        <w:t>no asociados con inversiones</w:t>
      </w:r>
      <w:r w:rsidR="008F4A44">
        <w:t>,</w:t>
      </w:r>
      <w:r w:rsidR="00234F33">
        <w:t xml:space="preserve"> sino a </w:t>
      </w:r>
      <w:r>
        <w:t>gastos</w:t>
      </w:r>
      <w:r w:rsidR="00234F33">
        <w:t xml:space="preserve"> como: </w:t>
      </w:r>
      <w:r>
        <w:t xml:space="preserve">campañas sistemáticas </w:t>
      </w:r>
      <w:r w:rsidR="00234F33">
        <w:t xml:space="preserve">en </w:t>
      </w:r>
      <w:r>
        <w:t>consumidores regulados y medios, inspecciones grandes consumidores y gestión social.</w:t>
      </w:r>
    </w:p>
    <w:p w14:paraId="20FC3873" w14:textId="7CEA610A" w:rsidR="00A10F17" w:rsidRPr="00A10F17" w:rsidRDefault="00A10F17" w:rsidP="006860FB">
      <w:pPr>
        <w:pStyle w:val="Prrafodelista"/>
        <w:numPr>
          <w:ilvl w:val="0"/>
          <w:numId w:val="15"/>
        </w:numPr>
        <w:spacing w:before="120" w:after="120"/>
        <w:ind w:left="357" w:hanging="357"/>
        <w:rPr>
          <w:b/>
          <w:bCs/>
        </w:rPr>
      </w:pPr>
      <w:r>
        <w:rPr>
          <w:b/>
          <w:bCs/>
        </w:rPr>
        <w:t xml:space="preserve">Archivos de cálculo con la valoración de los programas de pérdidas </w:t>
      </w:r>
    </w:p>
    <w:p w14:paraId="75A01E12" w14:textId="7E2DB10E" w:rsidR="00A10F17" w:rsidRDefault="00157972" w:rsidP="00763F8A">
      <w:r>
        <w:t xml:space="preserve">En los archivos de soporte se incluían descripciones de sistema de medición avanzada (AMI) </w:t>
      </w:r>
      <w:r w:rsidR="00763F8A">
        <w:t xml:space="preserve">y de </w:t>
      </w:r>
      <w:r w:rsidR="00A10F17">
        <w:t>medición centralizada</w:t>
      </w:r>
      <w:r w:rsidR="00763F8A">
        <w:t>.</w:t>
      </w:r>
    </w:p>
    <w:p w14:paraId="4DF729D1" w14:textId="3594FEBF" w:rsidR="00157972" w:rsidRDefault="00157972" w:rsidP="00157972">
      <w:r>
        <w:t xml:space="preserve">Con base en la información anterior, para la expedición de la Resolución CREG 024 de 2021 se excluyeron de la variable </w:t>
      </w:r>
      <w:r w:rsidRPr="007C378B">
        <w:rPr>
          <w:i/>
          <w:iCs/>
        </w:rPr>
        <w:t>INVNUC</w:t>
      </w:r>
      <w:r>
        <w:t xml:space="preserve"> las actividades relacionadas con normalización, así como las relacionadas con gastos. </w:t>
      </w:r>
    </w:p>
    <w:p w14:paraId="396C955D" w14:textId="330397EF" w:rsidR="00157972" w:rsidRPr="00A10F17" w:rsidRDefault="00A10F17" w:rsidP="00157972">
      <w:pPr>
        <w:rPr>
          <w:b/>
          <w:bCs/>
        </w:rPr>
      </w:pPr>
      <w:r w:rsidRPr="00A10F17">
        <w:rPr>
          <w:b/>
          <w:bCs/>
        </w:rPr>
        <w:t>Información presentada en el recurso de reposición</w:t>
      </w:r>
      <w:r w:rsidR="002D04DA">
        <w:rPr>
          <w:b/>
          <w:bCs/>
        </w:rPr>
        <w:t xml:space="preserve"> y análisis</w:t>
      </w:r>
    </w:p>
    <w:p w14:paraId="7D1DCF7A" w14:textId="0BFA381F" w:rsidR="00244646" w:rsidRPr="00244646" w:rsidRDefault="00244646" w:rsidP="005E535C">
      <w:pPr>
        <w:pStyle w:val="Prrafodelista"/>
        <w:numPr>
          <w:ilvl w:val="0"/>
          <w:numId w:val="15"/>
        </w:numPr>
        <w:spacing w:before="120" w:after="120"/>
        <w:ind w:left="357" w:hanging="357"/>
        <w:rPr>
          <w:b/>
          <w:bCs/>
        </w:rPr>
      </w:pPr>
      <w:r w:rsidRPr="00244646">
        <w:rPr>
          <w:b/>
          <w:bCs/>
        </w:rPr>
        <w:t>Ajuste de documentos que hacen alusión a sistemas de medición avanzada.</w:t>
      </w:r>
    </w:p>
    <w:p w14:paraId="58A3BCA9" w14:textId="4FF8212E" w:rsidR="002D04DA" w:rsidRDefault="002D04DA" w:rsidP="002D04DA">
      <w:r>
        <w:t xml:space="preserve">En el recurso de reposición se indica lo siguiente:  </w:t>
      </w:r>
    </w:p>
    <w:p w14:paraId="1C898D3E" w14:textId="77777777" w:rsidR="002D04DA" w:rsidRDefault="002D04DA" w:rsidP="008F4A44">
      <w:pPr>
        <w:spacing w:before="60" w:after="60"/>
        <w:ind w:left="284"/>
        <w:rPr>
          <w:i/>
          <w:iCs/>
          <w:sz w:val="20"/>
          <w:szCs w:val="20"/>
        </w:rPr>
      </w:pPr>
      <w:r w:rsidRPr="00357A92">
        <w:rPr>
          <w:i/>
          <w:iCs/>
          <w:sz w:val="20"/>
          <w:szCs w:val="20"/>
        </w:rPr>
        <w:t xml:space="preserve">AIR-E S.A.S. E.S.P. </w:t>
      </w:r>
      <w:r w:rsidRPr="00357A92">
        <w:rPr>
          <w:i/>
          <w:iCs/>
          <w:sz w:val="20"/>
          <w:szCs w:val="20"/>
          <w:u w:val="single"/>
        </w:rPr>
        <w:t>se permite aclarar que, aun cuando en el documento enviado en mayo de 2020 se muestran líneas con nomenclatura alusiva a la tecnología AMI, todas se encuentran con valores nulos y no fueron utilizados en los cálculos del Plan de Pérdidas</w:t>
      </w:r>
      <w:r w:rsidRPr="00357A92">
        <w:rPr>
          <w:i/>
          <w:iCs/>
          <w:sz w:val="20"/>
          <w:szCs w:val="20"/>
        </w:rPr>
        <w:t xml:space="preserve">. No obstante, para evitar interpretaciones erradas, </w:t>
      </w:r>
      <w:r w:rsidRPr="00357A92">
        <w:rPr>
          <w:i/>
          <w:iCs/>
          <w:sz w:val="20"/>
          <w:szCs w:val="20"/>
          <w:u w:val="single"/>
        </w:rPr>
        <w:t>en la respuesta al Auto I-2020-002880 con radicado CREG E-2020011205 del 14 de septiembre de 2020, se ajustaron también las nomenclaturas en el archivo “Actualizado Plan de Pérdidas 12092020. xlsx”,</w:t>
      </w:r>
      <w:r w:rsidRPr="00357A92">
        <w:rPr>
          <w:i/>
          <w:iCs/>
          <w:sz w:val="20"/>
          <w:szCs w:val="20"/>
        </w:rPr>
        <w:t xml:space="preserve"> por tanto, </w:t>
      </w:r>
      <w:r w:rsidRPr="00357A92">
        <w:rPr>
          <w:i/>
          <w:iCs/>
          <w:sz w:val="20"/>
          <w:szCs w:val="20"/>
          <w:u w:val="single"/>
        </w:rPr>
        <w:t>es el documento que debe ser valorado por su despacho para la definición de esta variable</w:t>
      </w:r>
      <w:r w:rsidRPr="00357A92">
        <w:rPr>
          <w:i/>
          <w:iCs/>
          <w:sz w:val="20"/>
          <w:szCs w:val="20"/>
        </w:rPr>
        <w:t>.</w:t>
      </w:r>
    </w:p>
    <w:p w14:paraId="63FC41F0" w14:textId="77777777" w:rsidR="002D04DA" w:rsidRPr="00357A92" w:rsidRDefault="002D04DA" w:rsidP="008F4A44">
      <w:pPr>
        <w:spacing w:before="60" w:after="60"/>
        <w:ind w:left="284"/>
        <w:rPr>
          <w:i/>
          <w:iCs/>
          <w:sz w:val="20"/>
          <w:szCs w:val="20"/>
        </w:rPr>
      </w:pPr>
      <w:r>
        <w:rPr>
          <w:i/>
          <w:iCs/>
          <w:sz w:val="20"/>
          <w:szCs w:val="20"/>
        </w:rPr>
        <w:t>Subrayado fuera de texto</w:t>
      </w:r>
    </w:p>
    <w:p w14:paraId="5F7A79CA" w14:textId="64BBF96A" w:rsidR="002D04DA" w:rsidRDefault="00234F33" w:rsidP="002D04DA">
      <w:r>
        <w:t>E</w:t>
      </w:r>
      <w:r w:rsidR="002D04DA">
        <w:t xml:space="preserve">n el archivo </w:t>
      </w:r>
      <w:r w:rsidR="002D04DA" w:rsidRPr="000F4409">
        <w:rPr>
          <w:i/>
          <w:iCs/>
        </w:rPr>
        <w:t>Actualizado Plan de Pérdidas</w:t>
      </w:r>
      <w:r w:rsidR="002D04DA">
        <w:rPr>
          <w:i/>
          <w:iCs/>
        </w:rPr>
        <w:t> </w:t>
      </w:r>
      <w:r w:rsidR="002D04DA" w:rsidRPr="000F4409">
        <w:rPr>
          <w:i/>
          <w:iCs/>
        </w:rPr>
        <w:t>12092020</w:t>
      </w:r>
      <w:r w:rsidR="002D04DA">
        <w:rPr>
          <w:i/>
          <w:iCs/>
        </w:rPr>
        <w:t>xl</w:t>
      </w:r>
      <w:r w:rsidR="002D04DA" w:rsidRPr="000F4409">
        <w:rPr>
          <w:i/>
          <w:iCs/>
        </w:rPr>
        <w:t>sx</w:t>
      </w:r>
      <w:r w:rsidR="002D04DA">
        <w:t xml:space="preserve">, enviado mediante la comunicación con radicado CREG E-2020-011205, </w:t>
      </w:r>
      <w:r>
        <w:t xml:space="preserve">el OR </w:t>
      </w:r>
      <w:r w:rsidR="002D04DA">
        <w:t xml:space="preserve">actualizó la información suministrada en el archivo inicial y </w:t>
      </w:r>
      <w:r>
        <w:t xml:space="preserve">modificó </w:t>
      </w:r>
      <w:r w:rsidR="002D04DA">
        <w:t>los nombres de los campos denominados AMI</w:t>
      </w:r>
      <w:r>
        <w:t>. N</w:t>
      </w:r>
      <w:r w:rsidR="002D04DA">
        <w:t xml:space="preserve">o obstante, los valores de referencia utilizados para determinar el costo de los proyectos denominados </w:t>
      </w:r>
      <w:r w:rsidR="002D04DA" w:rsidRPr="005A0DB4">
        <w:rPr>
          <w:i/>
          <w:iCs/>
        </w:rPr>
        <w:t xml:space="preserve">NORMALIZACIÓN </w:t>
      </w:r>
      <w:r w:rsidR="006860FB">
        <w:rPr>
          <w:i/>
          <w:iCs/>
        </w:rPr>
        <w:t xml:space="preserve">- </w:t>
      </w:r>
      <w:r w:rsidR="002D04DA" w:rsidRPr="005A0DB4">
        <w:rPr>
          <w:i/>
          <w:iCs/>
        </w:rPr>
        <w:t>MEDICIÓN CENTRALIZADA</w:t>
      </w:r>
      <w:r w:rsidR="002D04DA">
        <w:t xml:space="preserve"> corresponden con los presentados en los archivos iniciales, </w:t>
      </w:r>
      <w:r w:rsidR="002D04DA" w:rsidRPr="00CF0740">
        <w:t xml:space="preserve">hoja de cálculo </w:t>
      </w:r>
      <w:r w:rsidR="002D04DA" w:rsidRPr="00CF0740">
        <w:rPr>
          <w:i/>
          <w:iCs/>
        </w:rPr>
        <w:t>PRECIOS EEP ECA</w:t>
      </w:r>
      <w:r w:rsidR="002D04DA" w:rsidRPr="00CF0740">
        <w:t xml:space="preserve"> del archivo </w:t>
      </w:r>
      <w:r w:rsidR="002D04DA" w:rsidRPr="00CF0740">
        <w:rPr>
          <w:i/>
          <w:iCs/>
        </w:rPr>
        <w:t>Soporte Plan de pérdidas CARIBESOL vf sin_hojas_ocultas.xlsx</w:t>
      </w:r>
      <w:r w:rsidR="002D04DA">
        <w:t xml:space="preserve">. </w:t>
      </w:r>
    </w:p>
    <w:p w14:paraId="39AFD146" w14:textId="2A8E302D" w:rsidR="002D04DA" w:rsidRPr="00CF0740" w:rsidRDefault="002D04DA" w:rsidP="002D04DA">
      <w:r w:rsidRPr="00CF0740">
        <w:t xml:space="preserve">En el recurso de reposición se </w:t>
      </w:r>
      <w:r w:rsidR="00C002A2">
        <w:t xml:space="preserve">señala </w:t>
      </w:r>
      <w:r w:rsidRPr="00CF0740">
        <w:t>lo siguiente:</w:t>
      </w:r>
    </w:p>
    <w:p w14:paraId="28FC3D87" w14:textId="77777777" w:rsidR="002D04DA" w:rsidRPr="000B26C1" w:rsidRDefault="002D04DA" w:rsidP="008F4A44">
      <w:pPr>
        <w:spacing w:before="60" w:after="60"/>
        <w:ind w:left="284"/>
        <w:rPr>
          <w:i/>
          <w:iCs/>
          <w:sz w:val="20"/>
          <w:szCs w:val="20"/>
        </w:rPr>
      </w:pPr>
      <w:r w:rsidRPr="000B26C1">
        <w:rPr>
          <w:i/>
          <w:iCs/>
          <w:sz w:val="20"/>
          <w:szCs w:val="20"/>
        </w:rPr>
        <w:t xml:space="preserve">En el archivo Excel Actualizado Plan de Pérdidas 12092020 entregado el 14 de septiembre como parte del radicado CREG E - 2020 - 011205 se encontraba la opción de modelar el plan con o sin medida centralizada tal y como se muestra en la Figura 2-14.  </w:t>
      </w:r>
    </w:p>
    <w:p w14:paraId="6FD12860" w14:textId="1F745933" w:rsidR="002D04DA" w:rsidRDefault="002D04DA" w:rsidP="008F4A44">
      <w:pPr>
        <w:spacing w:before="60" w:after="60"/>
        <w:ind w:left="284"/>
        <w:jc w:val="center"/>
        <w:rPr>
          <w:i/>
          <w:iCs/>
          <w:sz w:val="20"/>
          <w:szCs w:val="20"/>
        </w:rPr>
      </w:pPr>
      <w:r w:rsidRPr="000B26C1">
        <w:rPr>
          <w:i/>
          <w:iCs/>
          <w:sz w:val="20"/>
          <w:szCs w:val="20"/>
        </w:rPr>
        <w:t>Figura 2-14 Simulador Plan de Pérdidas medida centralizada – medida convencional</w:t>
      </w:r>
      <w:r w:rsidR="009D0FFE">
        <w:rPr>
          <w:i/>
          <w:iCs/>
          <w:sz w:val="20"/>
          <w:szCs w:val="20"/>
        </w:rPr>
        <w:t xml:space="preserve"> (…)</w:t>
      </w:r>
    </w:p>
    <w:p w14:paraId="107B46C7" w14:textId="77777777" w:rsidR="002D04DA" w:rsidRPr="000B26C1" w:rsidRDefault="002D04DA" w:rsidP="008F4A44">
      <w:pPr>
        <w:spacing w:before="60" w:after="60"/>
        <w:ind w:left="284"/>
        <w:rPr>
          <w:i/>
          <w:iCs/>
          <w:sz w:val="20"/>
          <w:szCs w:val="20"/>
        </w:rPr>
      </w:pPr>
      <w:r w:rsidRPr="000B26C1">
        <w:rPr>
          <w:i/>
          <w:iCs/>
          <w:sz w:val="20"/>
          <w:szCs w:val="20"/>
        </w:rPr>
        <w:t xml:space="preserve">En consecuencia, no es correcto afirmar que en su mayoría el Plan de Pérdidas presentado por la compañía está sustentado en tecnología AMI, toda vez que, como se mostró en el párrafo anterior, se basa en medición convencional principalmente.  </w:t>
      </w:r>
    </w:p>
    <w:p w14:paraId="6456F6B0" w14:textId="6D5AC14F" w:rsidR="002D04DA" w:rsidRDefault="00234F33" w:rsidP="002D04DA">
      <w:r>
        <w:t>S</w:t>
      </w:r>
      <w:r w:rsidR="002D04DA">
        <w:t xml:space="preserve">i bien la imagen mostrada en el recurso corresponde a una de las hojas de cálculo del archivo entregado, </w:t>
      </w:r>
      <w:r>
        <w:t xml:space="preserve">algunos </w:t>
      </w:r>
      <w:r w:rsidR="002D04DA">
        <w:t>valores no corresponden con los valores del archivo enviado a esta Comisión</w:t>
      </w:r>
      <w:r w:rsidR="008F4A44">
        <w:t>. D</w:t>
      </w:r>
      <w:r w:rsidR="002D04DA">
        <w:t>e otra parte, no es claro que con la imagen se prueb</w:t>
      </w:r>
      <w:r>
        <w:t>e</w:t>
      </w:r>
      <w:r w:rsidR="002D04DA">
        <w:t xml:space="preserve"> que el plan no incluye en su mayoría proyectos relacionados con AMI</w:t>
      </w:r>
      <w:r>
        <w:t xml:space="preserve"> como se señala en el recurso</w:t>
      </w:r>
      <w:r w:rsidR="002D04DA">
        <w:t>.</w:t>
      </w:r>
    </w:p>
    <w:p w14:paraId="0F4EBF9C" w14:textId="4DB6DCC0" w:rsidR="002D04DA" w:rsidRDefault="002D04DA" w:rsidP="002D04DA">
      <w:r>
        <w:t xml:space="preserve">En el archivo </w:t>
      </w:r>
      <w:r w:rsidRPr="002D04DA">
        <w:rPr>
          <w:i/>
          <w:iCs/>
        </w:rPr>
        <w:t>Anexo 6-</w:t>
      </w:r>
      <w:r w:rsidRPr="008D3E90">
        <w:rPr>
          <w:i/>
          <w:iCs/>
        </w:rPr>
        <w:t>3 Plan de pérdidas ajustado 28.64%.xlsx</w:t>
      </w:r>
      <w:r>
        <w:t>, presentado en el recurso de reposición por el OR, se incluyen las mismas tablas de los archivos iniciales eliminando el texto AMI</w:t>
      </w:r>
      <w:r w:rsidR="008F4A44">
        <w:t>,</w:t>
      </w:r>
      <w:r>
        <w:t xml:space="preserve"> o cambiándolo por medición centralizada y ajustando la cantidad de usuarios con medición centralizada por tipo de usuario y estrato socioeconómico.</w:t>
      </w:r>
    </w:p>
    <w:p w14:paraId="3B71BE6D" w14:textId="3E5D0EEF" w:rsidR="00C002A2" w:rsidRPr="00244646" w:rsidRDefault="008B18CD" w:rsidP="005E535C">
      <w:pPr>
        <w:pStyle w:val="Prrafodelista"/>
        <w:numPr>
          <w:ilvl w:val="0"/>
          <w:numId w:val="15"/>
        </w:numPr>
        <w:spacing w:before="120" w:after="120"/>
        <w:ind w:left="357" w:hanging="357"/>
        <w:rPr>
          <w:b/>
          <w:bCs/>
        </w:rPr>
      </w:pPr>
      <w:r>
        <w:rPr>
          <w:b/>
          <w:bCs/>
        </w:rPr>
        <w:t xml:space="preserve">Actividades incluidas en el </w:t>
      </w:r>
      <w:r w:rsidR="00C002A2">
        <w:rPr>
          <w:b/>
          <w:bCs/>
        </w:rPr>
        <w:t>plan de pérdidas</w:t>
      </w:r>
      <w:r w:rsidR="00C002A2" w:rsidRPr="00244646">
        <w:rPr>
          <w:b/>
          <w:bCs/>
        </w:rPr>
        <w:t>.</w:t>
      </w:r>
    </w:p>
    <w:p w14:paraId="4920C332" w14:textId="344DF9F7" w:rsidR="00157972" w:rsidRDefault="00C002A2" w:rsidP="00234F33">
      <w:r>
        <w:t>E</w:t>
      </w:r>
      <w:r w:rsidR="00157972">
        <w:t>l OR env</w:t>
      </w:r>
      <w:r>
        <w:t>ió</w:t>
      </w:r>
      <w:r w:rsidR="00157972">
        <w:t xml:space="preserve"> </w:t>
      </w:r>
      <w:r>
        <w:t xml:space="preserve">una tabla resumen </w:t>
      </w:r>
      <w:r w:rsidR="00157972">
        <w:t xml:space="preserve">con las actividades del plan de pérdidas, desagregando las actividades que incluyen </w:t>
      </w:r>
      <w:r>
        <w:t xml:space="preserve">la instalación de </w:t>
      </w:r>
      <w:r w:rsidR="00157972">
        <w:t xml:space="preserve">medidores convencionales </w:t>
      </w:r>
      <w:r>
        <w:t xml:space="preserve">y la </w:t>
      </w:r>
      <w:r w:rsidR="00157972">
        <w:t xml:space="preserve">instalación de </w:t>
      </w:r>
      <w:r>
        <w:t>medición centralizada</w:t>
      </w:r>
      <w:r w:rsidR="00157972">
        <w:t xml:space="preserve">, </w:t>
      </w:r>
      <w:r>
        <w:t xml:space="preserve">así como el costo y el numeral del documento de soporte en el cual se encuentra la justificación de la actividad. </w:t>
      </w:r>
    </w:p>
    <w:p w14:paraId="7ED2E15B" w14:textId="22B82163" w:rsidR="00387CD9" w:rsidRDefault="00387CD9" w:rsidP="00387CD9">
      <w:r>
        <w:t>Con base en la información suministrada por el OR se identifican los siguientes valores para el componente CPROG del plan de pérdidas.</w:t>
      </w:r>
    </w:p>
    <w:tbl>
      <w:tblPr>
        <w:tblW w:w="5000" w:type="pct"/>
        <w:tblLayout w:type="fixed"/>
        <w:tblCellMar>
          <w:left w:w="70" w:type="dxa"/>
          <w:right w:w="70" w:type="dxa"/>
        </w:tblCellMar>
        <w:tblLook w:val="04A0" w:firstRow="1" w:lastRow="0" w:firstColumn="1" w:lastColumn="0" w:noHBand="0" w:noVBand="1"/>
      </w:tblPr>
      <w:tblGrid>
        <w:gridCol w:w="1132"/>
        <w:gridCol w:w="670"/>
        <w:gridCol w:w="670"/>
        <w:gridCol w:w="670"/>
        <w:gridCol w:w="670"/>
        <w:gridCol w:w="670"/>
        <w:gridCol w:w="670"/>
        <w:gridCol w:w="670"/>
        <w:gridCol w:w="670"/>
        <w:gridCol w:w="669"/>
        <w:gridCol w:w="669"/>
        <w:gridCol w:w="669"/>
        <w:gridCol w:w="847"/>
      </w:tblGrid>
      <w:tr w:rsidR="00387CD9" w:rsidRPr="0054716E" w14:paraId="58B08D81" w14:textId="77777777" w:rsidTr="001B50BA">
        <w:trPr>
          <w:trHeight w:val="30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5A90"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ACTIVIDAD</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09CB45EB"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564608BC"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2021</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57C9EF42"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2022</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78ECA472"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2023</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296D91B7"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2024</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6B7BED53"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0C4C6CCF"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2026</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6AF70B27"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2027</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2273BBB9"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2028</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4CF5790E"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2029</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0031E78E"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2030</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158CE16B" w14:textId="77777777" w:rsidR="00387CD9" w:rsidRPr="0054716E" w:rsidRDefault="00387CD9" w:rsidP="00A478FF">
            <w:pPr>
              <w:spacing w:before="0" w:after="0"/>
              <w:jc w:val="center"/>
              <w:rPr>
                <w:rFonts w:ascii="Calibri" w:hAnsi="Calibri"/>
                <w:b/>
                <w:bCs/>
                <w:color w:val="000000"/>
                <w:sz w:val="16"/>
                <w:szCs w:val="16"/>
                <w:lang w:val="es-CO" w:eastAsia="es-CO"/>
              </w:rPr>
            </w:pPr>
            <w:r w:rsidRPr="0054716E">
              <w:rPr>
                <w:rFonts w:ascii="Calibri" w:hAnsi="Calibri"/>
                <w:b/>
                <w:bCs/>
                <w:color w:val="000000"/>
                <w:sz w:val="16"/>
                <w:szCs w:val="16"/>
                <w:lang w:val="es-CO" w:eastAsia="es-CO"/>
              </w:rPr>
              <w:t>TOTAL</w:t>
            </w:r>
          </w:p>
        </w:tc>
      </w:tr>
      <w:tr w:rsidR="00387CD9" w:rsidRPr="0054716E" w14:paraId="4C825612" w14:textId="77777777" w:rsidTr="001B50BA">
        <w:trPr>
          <w:trHeight w:val="30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8316896" w14:textId="77777777" w:rsidR="00387CD9" w:rsidRPr="0054716E" w:rsidRDefault="00387CD9" w:rsidP="00A478FF">
            <w:pPr>
              <w:spacing w:before="0" w:after="0"/>
              <w:jc w:val="center"/>
              <w:rPr>
                <w:rFonts w:ascii="Calibri" w:hAnsi="Calibri"/>
                <w:color w:val="000000"/>
                <w:sz w:val="16"/>
                <w:szCs w:val="16"/>
                <w:lang w:val="es-CO" w:eastAsia="es-CO"/>
              </w:rPr>
            </w:pPr>
            <w:r w:rsidRPr="0054716E">
              <w:rPr>
                <w:rFonts w:ascii="Calibri" w:hAnsi="Calibri"/>
                <w:color w:val="000000"/>
                <w:sz w:val="16"/>
                <w:szCs w:val="16"/>
                <w:lang w:val="es-CO" w:eastAsia="es-CO"/>
              </w:rPr>
              <w:t>INCLUIDO EN EL CPROG</w:t>
            </w:r>
          </w:p>
        </w:tc>
        <w:tc>
          <w:tcPr>
            <w:tcW w:w="358" w:type="pct"/>
            <w:tcBorders>
              <w:top w:val="nil"/>
              <w:left w:val="nil"/>
              <w:bottom w:val="single" w:sz="4" w:space="0" w:color="auto"/>
              <w:right w:val="single" w:sz="4" w:space="0" w:color="auto"/>
            </w:tcBorders>
            <w:shd w:val="clear" w:color="auto" w:fill="auto"/>
            <w:noWrap/>
            <w:vAlign w:val="center"/>
            <w:hideMark/>
          </w:tcPr>
          <w:p w14:paraId="6A85FC8F"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10.498</w:t>
            </w:r>
          </w:p>
        </w:tc>
        <w:tc>
          <w:tcPr>
            <w:tcW w:w="358" w:type="pct"/>
            <w:tcBorders>
              <w:top w:val="nil"/>
              <w:left w:val="nil"/>
              <w:bottom w:val="single" w:sz="4" w:space="0" w:color="auto"/>
              <w:right w:val="single" w:sz="4" w:space="0" w:color="auto"/>
            </w:tcBorders>
            <w:shd w:val="clear" w:color="auto" w:fill="auto"/>
            <w:noWrap/>
            <w:vAlign w:val="center"/>
            <w:hideMark/>
          </w:tcPr>
          <w:p w14:paraId="3136F163"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125.253</w:t>
            </w:r>
          </w:p>
        </w:tc>
        <w:tc>
          <w:tcPr>
            <w:tcW w:w="358" w:type="pct"/>
            <w:tcBorders>
              <w:top w:val="nil"/>
              <w:left w:val="nil"/>
              <w:bottom w:val="single" w:sz="4" w:space="0" w:color="auto"/>
              <w:right w:val="single" w:sz="4" w:space="0" w:color="auto"/>
            </w:tcBorders>
            <w:shd w:val="clear" w:color="auto" w:fill="auto"/>
            <w:noWrap/>
            <w:vAlign w:val="center"/>
            <w:hideMark/>
          </w:tcPr>
          <w:p w14:paraId="23D72AF9"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155.561</w:t>
            </w:r>
          </w:p>
        </w:tc>
        <w:tc>
          <w:tcPr>
            <w:tcW w:w="358" w:type="pct"/>
            <w:tcBorders>
              <w:top w:val="nil"/>
              <w:left w:val="nil"/>
              <w:bottom w:val="single" w:sz="4" w:space="0" w:color="auto"/>
              <w:right w:val="single" w:sz="4" w:space="0" w:color="auto"/>
            </w:tcBorders>
            <w:shd w:val="clear" w:color="auto" w:fill="auto"/>
            <w:noWrap/>
            <w:vAlign w:val="center"/>
            <w:hideMark/>
          </w:tcPr>
          <w:p w14:paraId="10985B4A"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118.383</w:t>
            </w:r>
          </w:p>
        </w:tc>
        <w:tc>
          <w:tcPr>
            <w:tcW w:w="358" w:type="pct"/>
            <w:tcBorders>
              <w:top w:val="nil"/>
              <w:left w:val="nil"/>
              <w:bottom w:val="single" w:sz="4" w:space="0" w:color="auto"/>
              <w:right w:val="single" w:sz="4" w:space="0" w:color="auto"/>
            </w:tcBorders>
            <w:shd w:val="clear" w:color="auto" w:fill="auto"/>
            <w:noWrap/>
            <w:vAlign w:val="center"/>
            <w:hideMark/>
          </w:tcPr>
          <w:p w14:paraId="3FF2EEA3"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114.733</w:t>
            </w:r>
          </w:p>
        </w:tc>
        <w:tc>
          <w:tcPr>
            <w:tcW w:w="358" w:type="pct"/>
            <w:tcBorders>
              <w:top w:val="nil"/>
              <w:left w:val="nil"/>
              <w:bottom w:val="single" w:sz="4" w:space="0" w:color="auto"/>
              <w:right w:val="single" w:sz="4" w:space="0" w:color="auto"/>
            </w:tcBorders>
            <w:shd w:val="clear" w:color="auto" w:fill="auto"/>
            <w:noWrap/>
            <w:vAlign w:val="center"/>
            <w:hideMark/>
          </w:tcPr>
          <w:p w14:paraId="65B9CB5D"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102.649</w:t>
            </w:r>
          </w:p>
        </w:tc>
        <w:tc>
          <w:tcPr>
            <w:tcW w:w="358" w:type="pct"/>
            <w:tcBorders>
              <w:top w:val="nil"/>
              <w:left w:val="nil"/>
              <w:bottom w:val="single" w:sz="4" w:space="0" w:color="auto"/>
              <w:right w:val="single" w:sz="4" w:space="0" w:color="auto"/>
            </w:tcBorders>
            <w:shd w:val="clear" w:color="auto" w:fill="auto"/>
            <w:noWrap/>
            <w:vAlign w:val="center"/>
            <w:hideMark/>
          </w:tcPr>
          <w:p w14:paraId="23BB9B0F"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84.053</w:t>
            </w:r>
          </w:p>
        </w:tc>
        <w:tc>
          <w:tcPr>
            <w:tcW w:w="358" w:type="pct"/>
            <w:tcBorders>
              <w:top w:val="nil"/>
              <w:left w:val="nil"/>
              <w:bottom w:val="single" w:sz="4" w:space="0" w:color="auto"/>
              <w:right w:val="single" w:sz="4" w:space="0" w:color="auto"/>
            </w:tcBorders>
            <w:shd w:val="clear" w:color="auto" w:fill="auto"/>
            <w:noWrap/>
            <w:vAlign w:val="center"/>
            <w:hideMark/>
          </w:tcPr>
          <w:p w14:paraId="6F3853FB"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83.874</w:t>
            </w:r>
          </w:p>
        </w:tc>
        <w:tc>
          <w:tcPr>
            <w:tcW w:w="358" w:type="pct"/>
            <w:tcBorders>
              <w:top w:val="nil"/>
              <w:left w:val="nil"/>
              <w:bottom w:val="single" w:sz="4" w:space="0" w:color="auto"/>
              <w:right w:val="single" w:sz="4" w:space="0" w:color="auto"/>
            </w:tcBorders>
            <w:shd w:val="clear" w:color="auto" w:fill="auto"/>
            <w:noWrap/>
            <w:vAlign w:val="center"/>
            <w:hideMark/>
          </w:tcPr>
          <w:p w14:paraId="5EFAB39A"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93.575</w:t>
            </w:r>
          </w:p>
        </w:tc>
        <w:tc>
          <w:tcPr>
            <w:tcW w:w="358" w:type="pct"/>
            <w:tcBorders>
              <w:top w:val="nil"/>
              <w:left w:val="nil"/>
              <w:bottom w:val="single" w:sz="4" w:space="0" w:color="auto"/>
              <w:right w:val="single" w:sz="4" w:space="0" w:color="auto"/>
            </w:tcBorders>
            <w:shd w:val="clear" w:color="auto" w:fill="auto"/>
            <w:noWrap/>
            <w:vAlign w:val="center"/>
            <w:hideMark/>
          </w:tcPr>
          <w:p w14:paraId="52C8F8AE"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93.833</w:t>
            </w:r>
          </w:p>
        </w:tc>
        <w:tc>
          <w:tcPr>
            <w:tcW w:w="358" w:type="pct"/>
            <w:tcBorders>
              <w:top w:val="nil"/>
              <w:left w:val="nil"/>
              <w:bottom w:val="single" w:sz="4" w:space="0" w:color="auto"/>
              <w:right w:val="single" w:sz="4" w:space="0" w:color="auto"/>
            </w:tcBorders>
            <w:shd w:val="clear" w:color="auto" w:fill="auto"/>
            <w:noWrap/>
            <w:vAlign w:val="center"/>
            <w:hideMark/>
          </w:tcPr>
          <w:p w14:paraId="02F90DF8"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70.317</w:t>
            </w:r>
          </w:p>
        </w:tc>
        <w:tc>
          <w:tcPr>
            <w:tcW w:w="453" w:type="pct"/>
            <w:tcBorders>
              <w:top w:val="nil"/>
              <w:left w:val="nil"/>
              <w:bottom w:val="single" w:sz="4" w:space="0" w:color="auto"/>
              <w:right w:val="single" w:sz="4" w:space="0" w:color="auto"/>
            </w:tcBorders>
            <w:shd w:val="clear" w:color="auto" w:fill="auto"/>
            <w:noWrap/>
            <w:vAlign w:val="center"/>
            <w:hideMark/>
          </w:tcPr>
          <w:p w14:paraId="2799A602" w14:textId="77777777" w:rsidR="00387CD9" w:rsidRPr="001B50BA" w:rsidRDefault="00387CD9" w:rsidP="00A478FF">
            <w:pPr>
              <w:spacing w:before="0" w:after="0"/>
              <w:jc w:val="center"/>
              <w:rPr>
                <w:rFonts w:ascii="Calibri" w:hAnsi="Calibri"/>
                <w:color w:val="000000"/>
                <w:sz w:val="16"/>
                <w:szCs w:val="16"/>
                <w:lang w:val="es-CO" w:eastAsia="es-CO"/>
              </w:rPr>
            </w:pPr>
            <w:r w:rsidRPr="001B50BA">
              <w:rPr>
                <w:rFonts w:ascii="Calibri" w:hAnsi="Calibri"/>
                <w:color w:val="000000"/>
                <w:sz w:val="16"/>
                <w:szCs w:val="16"/>
                <w:lang w:val="es-CO" w:eastAsia="es-CO"/>
              </w:rPr>
              <w:t>1.052.729</w:t>
            </w:r>
          </w:p>
        </w:tc>
      </w:tr>
    </w:tbl>
    <w:p w14:paraId="5448DE02" w14:textId="35F255B1" w:rsidR="00387CD9" w:rsidRDefault="00387CD9" w:rsidP="00387CD9">
      <w:r>
        <w:t>El valor total de 1.052.729 millones de pesos, relacionado en el resumen por actividades y en la tabla de valores anuales, corresponde a la suma de los valores del p</w:t>
      </w:r>
      <w:r w:rsidR="00BE66A2">
        <w:t>eríodo</w:t>
      </w:r>
      <w:r>
        <w:t xml:space="preserve"> 2020</w:t>
      </w:r>
      <w:r w:rsidR="00C110FD">
        <w:t xml:space="preserve"> - </w:t>
      </w:r>
      <w:r>
        <w:t xml:space="preserve">2030, </w:t>
      </w:r>
      <w:r w:rsidR="00C110FD">
        <w:t xml:space="preserve">al respecto </w:t>
      </w:r>
      <w:r>
        <w:t>se aclara que los costos incluidos en el CPROG corresponden a los del p</w:t>
      </w:r>
      <w:r w:rsidR="00BE66A2">
        <w:t>eríodo</w:t>
      </w:r>
      <w:r>
        <w:t xml:space="preserve"> 2021 a 2030, al ser el 2021 el primer año del p</w:t>
      </w:r>
      <w:r w:rsidR="00BE66A2">
        <w:t>eríodo</w:t>
      </w:r>
      <w:r>
        <w:t xml:space="preserve"> tarifario. Al excluir el valor del año 2020 se tendría un valor de </w:t>
      </w:r>
      <w:r w:rsidRPr="0054716E">
        <w:t>1.042.230</w:t>
      </w:r>
      <w:r>
        <w:t xml:space="preserve"> millones de pesos asociados con la variable </w:t>
      </w:r>
      <w:r w:rsidRPr="0054716E">
        <w:rPr>
          <w:i/>
          <w:iCs/>
        </w:rPr>
        <w:t>CPROG</w:t>
      </w:r>
      <w:r>
        <w:t>.</w:t>
      </w:r>
    </w:p>
    <w:p w14:paraId="08ED3394" w14:textId="7481C439" w:rsidR="00157972" w:rsidRDefault="00C110FD" w:rsidP="00157972">
      <w:r>
        <w:t>De otra parte, e</w:t>
      </w:r>
      <w:r w:rsidR="00157972">
        <w:t xml:space="preserve">n </w:t>
      </w:r>
      <w:r w:rsidR="00DF01A3">
        <w:t xml:space="preserve">el resumen del plan </w:t>
      </w:r>
      <w:r w:rsidR="00157972">
        <w:t>se identifica</w:t>
      </w:r>
      <w:r w:rsidR="00C002A2">
        <w:t xml:space="preserve">n </w:t>
      </w:r>
      <w:r w:rsidR="00157972">
        <w:t xml:space="preserve">costos </w:t>
      </w:r>
      <w:r w:rsidR="00C002A2">
        <w:t xml:space="preserve">asociados con </w:t>
      </w:r>
      <w:r>
        <w:t xml:space="preserve">actividades </w:t>
      </w:r>
      <w:r w:rsidR="00157972">
        <w:t>que no corresponden a inversiones del plan de reducción de pérdidas sino a actividades relacionadas con gastos</w:t>
      </w:r>
      <w:r w:rsidR="00C002A2">
        <w:t>, de acuerdo con lo definido en la metodología definida en la Resolución CREG 015 de 2018.</w:t>
      </w:r>
    </w:p>
    <w:p w14:paraId="69FF7654" w14:textId="6973B7C7" w:rsidR="009D38E8" w:rsidRPr="009D38E8" w:rsidRDefault="009D38E8" w:rsidP="005E535C">
      <w:pPr>
        <w:pStyle w:val="Prrafodelista"/>
        <w:numPr>
          <w:ilvl w:val="0"/>
          <w:numId w:val="15"/>
        </w:numPr>
        <w:spacing w:before="120" w:after="120"/>
        <w:ind w:left="357" w:hanging="357"/>
        <w:rPr>
          <w:b/>
          <w:bCs/>
        </w:rPr>
      </w:pPr>
      <w:r w:rsidRPr="009D38E8">
        <w:rPr>
          <w:b/>
          <w:bCs/>
        </w:rPr>
        <w:t xml:space="preserve">Inversiones </w:t>
      </w:r>
      <w:r>
        <w:rPr>
          <w:b/>
          <w:bCs/>
        </w:rPr>
        <w:t xml:space="preserve">y gastos </w:t>
      </w:r>
      <w:r w:rsidRPr="009D38E8">
        <w:rPr>
          <w:b/>
          <w:bCs/>
        </w:rPr>
        <w:t>reconocid</w:t>
      </w:r>
      <w:r>
        <w:rPr>
          <w:b/>
          <w:bCs/>
        </w:rPr>
        <w:t>o</w:t>
      </w:r>
      <w:r w:rsidRPr="009D38E8">
        <w:rPr>
          <w:b/>
          <w:bCs/>
        </w:rPr>
        <w:t>s en el costo del plan del OR</w:t>
      </w:r>
    </w:p>
    <w:p w14:paraId="0EE06326" w14:textId="1340C751" w:rsidR="00157972" w:rsidRDefault="009D38E8" w:rsidP="00157972">
      <w:r>
        <w:t>E</w:t>
      </w:r>
      <w:r w:rsidR="00157972">
        <w:t xml:space="preserve">l numeral 7.3.2.3 de la Resolución CREG 015 de 2018, modificado en la Resolución CREG 085 de 2018 establece lo siguiente respecto al cálculo de la variable </w:t>
      </w:r>
      <w:r w:rsidR="00157972" w:rsidRPr="001F6D53">
        <w:rPr>
          <w:i/>
          <w:iCs/>
        </w:rPr>
        <w:t>CP</w:t>
      </w:r>
      <w:r w:rsidR="00157972">
        <w:rPr>
          <w:i/>
          <w:iCs/>
        </w:rPr>
        <w:t>O</w:t>
      </w:r>
      <w:r w:rsidR="00157972" w:rsidRPr="001F6D53">
        <w:rPr>
          <w:i/>
          <w:iCs/>
        </w:rPr>
        <w:t>R</w:t>
      </w:r>
      <w:r w:rsidR="00157972" w:rsidRPr="001F6D53">
        <w:rPr>
          <w:i/>
          <w:iCs/>
          <w:vertAlign w:val="subscript"/>
        </w:rPr>
        <w:t>j</w:t>
      </w:r>
      <w:r w:rsidR="00157972">
        <w:t>:</w:t>
      </w:r>
    </w:p>
    <w:p w14:paraId="51486CFD" w14:textId="77777777" w:rsidR="00157972" w:rsidRPr="001F6D53" w:rsidRDefault="00157972" w:rsidP="005E535C">
      <w:pPr>
        <w:spacing w:before="60" w:after="60"/>
        <w:ind w:left="708"/>
        <w:rPr>
          <w:b/>
          <w:i/>
          <w:iCs/>
          <w:sz w:val="20"/>
          <w:szCs w:val="20"/>
          <w:highlight w:val="cyan"/>
          <w:lang w:val="es-CO"/>
        </w:rPr>
      </w:pPr>
      <w:r w:rsidRPr="001F6D53">
        <w:rPr>
          <w:b/>
          <w:i/>
          <w:iCs/>
          <w:sz w:val="20"/>
          <w:szCs w:val="20"/>
          <w:lang w:val="es-CO"/>
        </w:rPr>
        <w:t>7.3.2.3. Cálculo de la variable CPORj</w:t>
      </w:r>
    </w:p>
    <w:p w14:paraId="628A0AFD" w14:textId="77777777" w:rsidR="00157972" w:rsidRPr="001F6D53" w:rsidRDefault="00157972" w:rsidP="005E535C">
      <w:pPr>
        <w:spacing w:before="60" w:after="60"/>
        <w:ind w:left="708"/>
        <w:rPr>
          <w:i/>
          <w:iCs/>
          <w:sz w:val="20"/>
          <w:szCs w:val="20"/>
        </w:rPr>
      </w:pPr>
      <w:r w:rsidRPr="001F6D53">
        <w:rPr>
          <w:i/>
          <w:iCs/>
          <w:sz w:val="20"/>
          <w:szCs w:val="20"/>
          <w:lang w:val="es-ES_tradnl"/>
        </w:rPr>
        <w:t>La variable CPOR</w:t>
      </w:r>
      <w:r w:rsidRPr="001F6D53">
        <w:rPr>
          <w:i/>
          <w:iCs/>
          <w:sz w:val="20"/>
          <w:szCs w:val="20"/>
          <w:vertAlign w:val="subscript"/>
          <w:lang w:val="es-ES_tradnl"/>
        </w:rPr>
        <w:t>j</w:t>
      </w:r>
      <w:r w:rsidRPr="001F6D53">
        <w:rPr>
          <w:i/>
          <w:iCs/>
          <w:sz w:val="20"/>
          <w:szCs w:val="20"/>
          <w:lang w:val="es-ES_tradnl"/>
        </w:rPr>
        <w:t xml:space="preserve"> está conformada por los gastos de AOM relacionados con pérdidas de energía y por la remuneración de las inversiones mencionadas en el numeral 7.3.2.1, según la siguiente expresión:</w:t>
      </w:r>
    </w:p>
    <w:p w14:paraId="64D46705" w14:textId="77777777" w:rsidR="00157972" w:rsidRPr="00F7576E" w:rsidRDefault="0015434B" w:rsidP="005E535C">
      <w:pPr>
        <w:spacing w:before="60" w:after="60"/>
        <w:ind w:left="708"/>
        <w:rPr>
          <w:i/>
          <w:iCs/>
          <w:sz w:val="18"/>
          <w:szCs w:val="18"/>
        </w:rPr>
      </w:pPr>
      <m:oMathPara>
        <m:oMath>
          <m:sSub>
            <m:sSubPr>
              <m:ctrlPr>
                <w:rPr>
                  <w:rFonts w:ascii="Cambria Math" w:hAnsi="Cambria Math"/>
                  <w:i/>
                  <w:iCs/>
                  <w:sz w:val="18"/>
                  <w:szCs w:val="18"/>
                </w:rPr>
              </m:ctrlPr>
            </m:sSubPr>
            <m:e>
              <m:r>
                <w:rPr>
                  <w:rFonts w:ascii="Cambria Math" w:hAnsi="Cambria Math"/>
                  <w:sz w:val="18"/>
                  <w:szCs w:val="18"/>
                </w:rPr>
                <m:t>CPOR</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INVNUC</m:t>
              </m:r>
            </m:e>
            <m:sub>
              <m:r>
                <w:rPr>
                  <w:rFonts w:ascii="Cambria Math" w:hAnsi="Cambria Math"/>
                  <w:sz w:val="18"/>
                  <w:szCs w:val="18"/>
                </w:rPr>
                <m:t>j</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DP</m:t>
              </m:r>
            </m:num>
            <m:den>
              <m:r>
                <w:rPr>
                  <w:rFonts w:ascii="Cambria Math" w:hAnsi="Cambria Math"/>
                  <w:sz w:val="18"/>
                  <w:szCs w:val="18"/>
                </w:rPr>
                <m:t>5</m:t>
              </m:r>
            </m:den>
          </m:f>
          <m:r>
            <w:rPr>
              <w:rFonts w:ascii="Cambria Math" w:hAnsi="Cambria Math"/>
              <w:sz w:val="18"/>
              <w:szCs w:val="18"/>
            </w:rPr>
            <m:t>*</m:t>
          </m:r>
          <m:nary>
            <m:naryPr>
              <m:chr m:val="∑"/>
              <m:limLoc m:val="undOvr"/>
              <m:ctrlPr>
                <w:rPr>
                  <w:rFonts w:ascii="Cambria Math" w:hAnsi="Cambria Math"/>
                  <w:i/>
                  <w:iCs/>
                  <w:sz w:val="18"/>
                  <w:szCs w:val="18"/>
                </w:rPr>
              </m:ctrlPr>
            </m:naryPr>
            <m:sub>
              <m:r>
                <w:rPr>
                  <w:rFonts w:ascii="Cambria Math" w:hAnsi="Cambria Math"/>
                  <w:sz w:val="18"/>
                  <w:szCs w:val="18"/>
                </w:rPr>
                <m:t>k=1</m:t>
              </m:r>
            </m:sub>
            <m:sup>
              <m:sSub>
                <m:sSubPr>
                  <m:ctrlPr>
                    <w:rPr>
                      <w:rFonts w:ascii="Cambria Math" w:hAnsi="Cambria Math"/>
                      <w:i/>
                      <w:iCs/>
                      <w:sz w:val="18"/>
                      <w:szCs w:val="18"/>
                    </w:rPr>
                  </m:ctrlPr>
                </m:sSubPr>
                <m:e>
                  <m:r>
                    <w:rPr>
                      <w:rFonts w:ascii="Cambria Math" w:hAnsi="Cambria Math"/>
                      <w:sz w:val="18"/>
                      <w:szCs w:val="18"/>
                    </w:rPr>
                    <m:t>K</m:t>
                  </m:r>
                </m:e>
                <m:sub>
                  <m:r>
                    <w:rPr>
                      <w:rFonts w:ascii="Cambria Math" w:hAnsi="Cambria Math"/>
                      <w:sz w:val="18"/>
                      <w:szCs w:val="18"/>
                    </w:rPr>
                    <m:t>j</m:t>
                  </m:r>
                </m:sub>
              </m:sSub>
            </m:sup>
            <m:e>
              <m:sSub>
                <m:sSubPr>
                  <m:ctrlPr>
                    <w:rPr>
                      <w:rFonts w:ascii="Cambria Math" w:hAnsi="Cambria Math"/>
                      <w:i/>
                      <w:iCs/>
                      <w:sz w:val="18"/>
                      <w:szCs w:val="18"/>
                    </w:rPr>
                  </m:ctrlPr>
                </m:sSubPr>
                <m:e>
                  <m:r>
                    <w:rPr>
                      <w:rFonts w:ascii="Cambria Math" w:hAnsi="Cambria Math"/>
                      <w:sz w:val="18"/>
                      <w:szCs w:val="18"/>
                    </w:rPr>
                    <m:t>AOMP</m:t>
                  </m:r>
                </m:e>
                <m:sub>
                  <m:r>
                    <w:rPr>
                      <w:rFonts w:ascii="Cambria Math" w:hAnsi="Cambria Math"/>
                      <w:sz w:val="18"/>
                      <w:szCs w:val="18"/>
                    </w:rPr>
                    <m:t>j,k</m:t>
                  </m:r>
                </m:sub>
              </m:sSub>
            </m:e>
          </m:nary>
        </m:oMath>
      </m:oMathPara>
    </w:p>
    <w:p w14:paraId="43812639" w14:textId="77777777" w:rsidR="00157972" w:rsidRPr="001F6D53" w:rsidRDefault="00157972" w:rsidP="005E535C">
      <w:pPr>
        <w:spacing w:before="60" w:after="60"/>
        <w:ind w:left="708"/>
        <w:rPr>
          <w:i/>
          <w:iCs/>
          <w:sz w:val="20"/>
          <w:szCs w:val="20"/>
        </w:rPr>
      </w:pPr>
      <w:r w:rsidRPr="001F6D53">
        <w:rPr>
          <w:i/>
          <w:iCs/>
          <w:sz w:val="20"/>
          <w:szCs w:val="20"/>
          <w:lang w:val="es-ES_tradnl"/>
        </w:rPr>
        <w:t>Donde:</w:t>
      </w:r>
    </w:p>
    <w:p w14:paraId="4CA438C4" w14:textId="77777777" w:rsidR="00157972" w:rsidRPr="001F6D53" w:rsidRDefault="00157972" w:rsidP="005E535C">
      <w:pPr>
        <w:spacing w:before="60" w:after="60"/>
        <w:ind w:left="2126" w:hanging="1418"/>
        <w:rPr>
          <w:i/>
          <w:iCs/>
          <w:sz w:val="20"/>
          <w:szCs w:val="20"/>
        </w:rPr>
      </w:pPr>
      <w:r w:rsidRPr="001F6D53">
        <w:rPr>
          <w:i/>
          <w:iCs/>
          <w:sz w:val="20"/>
          <w:szCs w:val="20"/>
        </w:rPr>
        <w:t>CPOR</w:t>
      </w:r>
      <w:r w:rsidRPr="001F6D53">
        <w:rPr>
          <w:i/>
          <w:iCs/>
          <w:sz w:val="20"/>
          <w:szCs w:val="20"/>
          <w:vertAlign w:val="subscript"/>
        </w:rPr>
        <w:t>j</w:t>
      </w:r>
      <w:r w:rsidRPr="001F6D53">
        <w:rPr>
          <w:i/>
          <w:iCs/>
          <w:sz w:val="20"/>
          <w:szCs w:val="20"/>
        </w:rPr>
        <w:t xml:space="preserve">: </w:t>
      </w:r>
      <w:r w:rsidRPr="001F6D53">
        <w:rPr>
          <w:i/>
          <w:iCs/>
          <w:sz w:val="20"/>
          <w:szCs w:val="20"/>
        </w:rPr>
        <w:tab/>
        <w:t>Costo total del plan, en pesos de la fecha de corte, presentado por el OR j para su aprobación.</w:t>
      </w:r>
    </w:p>
    <w:p w14:paraId="53228BCC" w14:textId="77777777" w:rsidR="00157972" w:rsidRPr="001F6D53" w:rsidRDefault="00157972" w:rsidP="005E535C">
      <w:pPr>
        <w:spacing w:before="60" w:after="60"/>
        <w:ind w:left="2126" w:hanging="1418"/>
        <w:rPr>
          <w:i/>
          <w:iCs/>
          <w:sz w:val="20"/>
          <w:szCs w:val="20"/>
        </w:rPr>
      </w:pPr>
      <w:r w:rsidRPr="001F6D53">
        <w:rPr>
          <w:i/>
          <w:iCs/>
          <w:sz w:val="20"/>
          <w:szCs w:val="20"/>
        </w:rPr>
        <w:t>INVNUC</w:t>
      </w:r>
      <w:r w:rsidRPr="001F6D53">
        <w:rPr>
          <w:i/>
          <w:iCs/>
          <w:sz w:val="20"/>
          <w:szCs w:val="20"/>
          <w:vertAlign w:val="subscript"/>
        </w:rPr>
        <w:t>j</w:t>
      </w:r>
      <w:r w:rsidRPr="001F6D53">
        <w:rPr>
          <w:i/>
          <w:iCs/>
          <w:sz w:val="20"/>
          <w:szCs w:val="20"/>
        </w:rPr>
        <w:t xml:space="preserve">: </w:t>
      </w:r>
      <w:r w:rsidRPr="001F6D53">
        <w:rPr>
          <w:i/>
          <w:iCs/>
          <w:sz w:val="20"/>
          <w:szCs w:val="20"/>
        </w:rPr>
        <w:tab/>
      </w:r>
      <w:r w:rsidRPr="001F6D53">
        <w:rPr>
          <w:i/>
          <w:iCs/>
          <w:sz w:val="20"/>
          <w:szCs w:val="20"/>
          <w:u w:val="single"/>
        </w:rPr>
        <w:t>Costo de las inversiones en activos que no son clasificables como UC del OR</w:t>
      </w:r>
      <w:r w:rsidRPr="001F6D53">
        <w:rPr>
          <w:i/>
          <w:iCs/>
          <w:sz w:val="20"/>
          <w:szCs w:val="20"/>
        </w:rPr>
        <w:t xml:space="preserve"> j, aplicable para los planes de reducción de pérdidas. Para los OR con plan de mantenimiento de pérdidas este valor es igual a cero (0).</w:t>
      </w:r>
    </w:p>
    <w:p w14:paraId="6F59EDB8" w14:textId="77777777" w:rsidR="00157972" w:rsidRPr="001F6D53" w:rsidRDefault="00157972" w:rsidP="005E535C">
      <w:pPr>
        <w:spacing w:before="60" w:after="60"/>
        <w:ind w:left="2126" w:hanging="1418"/>
        <w:rPr>
          <w:i/>
          <w:iCs/>
          <w:sz w:val="20"/>
          <w:szCs w:val="20"/>
        </w:rPr>
      </w:pPr>
      <w:r w:rsidRPr="001F6D53">
        <w:rPr>
          <w:i/>
          <w:iCs/>
          <w:sz w:val="20"/>
          <w:szCs w:val="20"/>
        </w:rPr>
        <w:t>AOMP</w:t>
      </w:r>
      <w:r w:rsidRPr="001F6D53">
        <w:rPr>
          <w:i/>
          <w:iCs/>
          <w:sz w:val="20"/>
          <w:szCs w:val="20"/>
          <w:vertAlign w:val="subscript"/>
        </w:rPr>
        <w:t>j,k</w:t>
      </w:r>
      <w:r w:rsidRPr="001F6D53">
        <w:rPr>
          <w:i/>
          <w:iCs/>
          <w:sz w:val="20"/>
          <w:szCs w:val="20"/>
        </w:rPr>
        <w:t>:</w:t>
      </w:r>
      <w:r w:rsidRPr="001F6D53">
        <w:rPr>
          <w:i/>
          <w:iCs/>
          <w:sz w:val="20"/>
          <w:szCs w:val="20"/>
        </w:rPr>
        <w:tab/>
        <w:t xml:space="preserve">Gastos del OR j en pérdidas de energía, durante los años k (de 2012 al 2016). </w:t>
      </w:r>
      <w:r w:rsidRPr="001F6D53">
        <w:rPr>
          <w:i/>
          <w:iCs/>
          <w:sz w:val="20"/>
          <w:szCs w:val="20"/>
          <w:u w:val="single"/>
        </w:rPr>
        <w:t>Esta información corresponde a la entregada por los OR en respuesta a las circulares CREG 027 de 2014 y CREG 015 de 2017, en pesos de la fecha de corte</w:t>
      </w:r>
      <w:r w:rsidRPr="001F6D53">
        <w:rPr>
          <w:i/>
          <w:iCs/>
          <w:sz w:val="20"/>
          <w:szCs w:val="20"/>
        </w:rPr>
        <w:t>.</w:t>
      </w:r>
    </w:p>
    <w:p w14:paraId="68019929" w14:textId="77777777" w:rsidR="00157972" w:rsidRPr="001F6D53" w:rsidRDefault="00157972" w:rsidP="005E535C">
      <w:pPr>
        <w:spacing w:before="60" w:after="60"/>
        <w:ind w:left="2126" w:hanging="2"/>
        <w:rPr>
          <w:i/>
          <w:iCs/>
          <w:sz w:val="20"/>
          <w:szCs w:val="20"/>
        </w:rPr>
      </w:pPr>
      <w:r w:rsidRPr="001F6D53">
        <w:rPr>
          <w:i/>
          <w:iCs/>
          <w:sz w:val="20"/>
          <w:szCs w:val="20"/>
        </w:rPr>
        <w:t xml:space="preserve">En el caso de que un OR no haya reportado información en respuesta a estas circulares, esta variable tomará el valor igual a cero (0). </w:t>
      </w:r>
    </w:p>
    <w:p w14:paraId="205DBAB3" w14:textId="77777777" w:rsidR="00157972" w:rsidRPr="001F6D53" w:rsidRDefault="00157972" w:rsidP="005E535C">
      <w:pPr>
        <w:spacing w:before="60" w:after="60"/>
        <w:ind w:left="2058" w:hanging="1350"/>
        <w:rPr>
          <w:i/>
          <w:iCs/>
          <w:sz w:val="20"/>
          <w:szCs w:val="20"/>
        </w:rPr>
      </w:pPr>
      <w:r w:rsidRPr="001F6D53">
        <w:rPr>
          <w:i/>
          <w:iCs/>
          <w:sz w:val="20"/>
          <w:szCs w:val="20"/>
        </w:rPr>
        <w:t>K</w:t>
      </w:r>
      <w:r w:rsidRPr="001F6D53">
        <w:rPr>
          <w:i/>
          <w:iCs/>
          <w:sz w:val="20"/>
          <w:szCs w:val="20"/>
          <w:vertAlign w:val="subscript"/>
        </w:rPr>
        <w:t>j</w:t>
      </w:r>
      <w:r w:rsidRPr="001F6D53">
        <w:rPr>
          <w:i/>
          <w:iCs/>
          <w:sz w:val="20"/>
          <w:szCs w:val="20"/>
        </w:rPr>
        <w:t xml:space="preserve">: </w:t>
      </w:r>
      <w:r w:rsidRPr="001F6D53">
        <w:rPr>
          <w:i/>
          <w:iCs/>
          <w:sz w:val="20"/>
          <w:szCs w:val="20"/>
        </w:rPr>
        <w:tab/>
      </w:r>
      <w:r w:rsidRPr="001F6D53">
        <w:rPr>
          <w:i/>
          <w:iCs/>
          <w:sz w:val="20"/>
          <w:szCs w:val="20"/>
        </w:rPr>
        <w:tab/>
        <w:t>Es el número de años con información reportada por el OR j.</w:t>
      </w:r>
    </w:p>
    <w:p w14:paraId="46D021B8" w14:textId="77777777" w:rsidR="00157972" w:rsidRDefault="00157972" w:rsidP="005E535C">
      <w:pPr>
        <w:spacing w:before="60" w:after="60"/>
        <w:ind w:left="2058" w:hanging="1350"/>
        <w:rPr>
          <w:i/>
          <w:iCs/>
          <w:sz w:val="20"/>
          <w:szCs w:val="20"/>
        </w:rPr>
      </w:pPr>
      <w:r w:rsidRPr="001F6D53">
        <w:rPr>
          <w:i/>
          <w:iCs/>
          <w:sz w:val="20"/>
          <w:szCs w:val="20"/>
        </w:rPr>
        <w:t xml:space="preserve">DP: </w:t>
      </w:r>
      <w:r w:rsidRPr="001F6D53">
        <w:rPr>
          <w:i/>
          <w:iCs/>
          <w:sz w:val="20"/>
          <w:szCs w:val="20"/>
        </w:rPr>
        <w:tab/>
        <w:t>Duración horizonte de planeación del plan de pérdidas en años, igual a diez (10).</w:t>
      </w:r>
    </w:p>
    <w:p w14:paraId="39AA6EA1" w14:textId="77777777" w:rsidR="00157972" w:rsidRPr="001F6D53" w:rsidRDefault="00157972" w:rsidP="005E535C">
      <w:pPr>
        <w:spacing w:before="60" w:after="60"/>
        <w:ind w:left="2058" w:hanging="1350"/>
        <w:rPr>
          <w:i/>
          <w:iCs/>
          <w:sz w:val="20"/>
          <w:szCs w:val="20"/>
        </w:rPr>
      </w:pPr>
      <w:r>
        <w:rPr>
          <w:i/>
          <w:iCs/>
          <w:sz w:val="20"/>
          <w:szCs w:val="20"/>
        </w:rPr>
        <w:t>Subrayado fuera de texto</w:t>
      </w:r>
    </w:p>
    <w:p w14:paraId="1F600710" w14:textId="261A8550" w:rsidR="00157972" w:rsidRDefault="00DF01A3" w:rsidP="00157972">
      <w:r>
        <w:t>En relación con las inversiones reconocidas en el plan de reducción de pérdidas, e</w:t>
      </w:r>
      <w:r w:rsidR="00157972">
        <w:t xml:space="preserve">l numeral 7.3.2.1 de la Resolución CREG 015 de 2018, modificado en la Resolución CREG 085 de 2018, establece lo siguiente </w:t>
      </w:r>
    </w:p>
    <w:p w14:paraId="41FBB167" w14:textId="77777777" w:rsidR="00157972" w:rsidRPr="001F6D53" w:rsidRDefault="00157972" w:rsidP="001B50BA">
      <w:pPr>
        <w:spacing w:before="60" w:after="60"/>
        <w:ind w:left="708"/>
        <w:rPr>
          <w:b/>
          <w:i/>
          <w:iCs/>
          <w:sz w:val="20"/>
          <w:szCs w:val="20"/>
          <w:highlight w:val="cyan"/>
          <w:lang w:val="es-CO"/>
        </w:rPr>
      </w:pPr>
      <w:r w:rsidRPr="001F6D53">
        <w:rPr>
          <w:b/>
          <w:i/>
          <w:iCs/>
          <w:sz w:val="20"/>
          <w:szCs w:val="20"/>
          <w:lang w:val="es-CO"/>
        </w:rPr>
        <w:t>7.3.2.1. Cálculo del costo anual del plan</w:t>
      </w:r>
    </w:p>
    <w:p w14:paraId="6FD185EC" w14:textId="77777777" w:rsidR="00157972" w:rsidRPr="001F6D53" w:rsidRDefault="00157972" w:rsidP="001B50BA">
      <w:pPr>
        <w:spacing w:before="60" w:after="60"/>
        <w:ind w:left="708"/>
        <w:rPr>
          <w:i/>
          <w:iCs/>
          <w:sz w:val="20"/>
          <w:szCs w:val="20"/>
        </w:rPr>
      </w:pPr>
      <w:r w:rsidRPr="001F6D53">
        <w:rPr>
          <w:i/>
          <w:iCs/>
          <w:sz w:val="20"/>
          <w:szCs w:val="20"/>
        </w:rPr>
        <w:t>La variable CAP</w:t>
      </w:r>
      <w:r w:rsidRPr="001F6D53">
        <w:rPr>
          <w:i/>
          <w:iCs/>
          <w:sz w:val="20"/>
          <w:szCs w:val="20"/>
          <w:vertAlign w:val="subscript"/>
        </w:rPr>
        <w:t>j</w:t>
      </w:r>
      <w:r w:rsidRPr="001F6D53">
        <w:rPr>
          <w:i/>
          <w:iCs/>
          <w:sz w:val="20"/>
          <w:szCs w:val="20"/>
        </w:rPr>
        <w:t xml:space="preserve"> corresponde al costo anual del plan que remunera los costos y gastos asociados con la recuperación o mantenimiento de pérdidas de energía y, para los OR que requieren de aprobación de plan de reducción de pérdidas la remuneración será de la siguiente manera:</w:t>
      </w:r>
    </w:p>
    <w:p w14:paraId="540B8FD7" w14:textId="77777777" w:rsidR="00157972" w:rsidRPr="00F7576E" w:rsidRDefault="0015434B" w:rsidP="001B50BA">
      <w:pPr>
        <w:spacing w:before="60" w:after="60"/>
        <w:ind w:left="708"/>
        <w:jc w:val="center"/>
        <w:rPr>
          <w:i/>
          <w:iCs/>
          <w:sz w:val="18"/>
          <w:szCs w:val="18"/>
        </w:rPr>
      </w:pPr>
      <m:oMathPara>
        <m:oMath>
          <m:sSub>
            <m:sSubPr>
              <m:ctrlPr>
                <w:rPr>
                  <w:rFonts w:ascii="Cambria Math" w:hAnsi="Cambria Math"/>
                  <w:i/>
                  <w:iCs/>
                  <w:sz w:val="18"/>
                  <w:szCs w:val="18"/>
                </w:rPr>
              </m:ctrlPr>
            </m:sSubPr>
            <m:e>
              <m:r>
                <w:rPr>
                  <w:rFonts w:ascii="Cambria Math" w:hAnsi="Cambria Math"/>
                  <w:sz w:val="18"/>
                  <w:szCs w:val="18"/>
                </w:rPr>
                <m:t>CAP</m:t>
              </m:r>
            </m:e>
            <m:sub>
              <m:r>
                <w:rPr>
                  <w:rFonts w:ascii="Cambria Math" w:hAnsi="Cambria Math"/>
                  <w:sz w:val="18"/>
                  <w:szCs w:val="18"/>
                </w:rPr>
                <m:t>j</m:t>
              </m:r>
            </m:sub>
          </m:sSub>
          <m:r>
            <w:rPr>
              <w:rFonts w:ascii="Cambria Math" w:hAnsi="Cambria Math"/>
              <w:sz w:val="18"/>
              <w:szCs w:val="18"/>
            </w:rPr>
            <m:t>=</m:t>
          </m:r>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szCs w:val="18"/>
                    </w:rPr>
                    <m:t>CTP</m:t>
                  </m:r>
                </m:e>
                <m:sub>
                  <m:r>
                    <w:rPr>
                      <w:rFonts w:ascii="Cambria Math" w:hAnsi="Cambria Math"/>
                      <w:sz w:val="18"/>
                      <w:szCs w:val="18"/>
                    </w:rPr>
                    <m:t>j</m:t>
                  </m:r>
                </m:sub>
              </m:sSub>
            </m:num>
            <m:den>
              <m:r>
                <w:rPr>
                  <w:rFonts w:ascii="Cambria Math" w:hAnsi="Cambria Math"/>
                  <w:sz w:val="18"/>
                  <w:szCs w:val="18"/>
                </w:rPr>
                <m:t>DP</m:t>
              </m:r>
            </m:den>
          </m:f>
        </m:oMath>
      </m:oMathPara>
    </w:p>
    <w:p w14:paraId="5A9A1487" w14:textId="77777777" w:rsidR="00157972" w:rsidRPr="001F6D53" w:rsidRDefault="00157972" w:rsidP="001B50BA">
      <w:pPr>
        <w:spacing w:before="60" w:after="60"/>
        <w:ind w:left="2118" w:hanging="1410"/>
        <w:rPr>
          <w:i/>
          <w:iCs/>
          <w:sz w:val="20"/>
          <w:szCs w:val="20"/>
        </w:rPr>
      </w:pPr>
      <w:r w:rsidRPr="001F6D53">
        <w:rPr>
          <w:i/>
          <w:iCs/>
          <w:sz w:val="20"/>
          <w:szCs w:val="20"/>
        </w:rPr>
        <w:t>Donde:</w:t>
      </w:r>
    </w:p>
    <w:p w14:paraId="64126EAF" w14:textId="77777777" w:rsidR="00157972" w:rsidRPr="001F6D53" w:rsidRDefault="00157972" w:rsidP="001B50BA">
      <w:pPr>
        <w:spacing w:before="60" w:after="60"/>
        <w:ind w:left="1701" w:hanging="993"/>
        <w:rPr>
          <w:i/>
          <w:iCs/>
          <w:sz w:val="20"/>
          <w:szCs w:val="20"/>
        </w:rPr>
      </w:pPr>
      <w:r w:rsidRPr="001F6D53">
        <w:rPr>
          <w:i/>
          <w:iCs/>
          <w:sz w:val="20"/>
          <w:szCs w:val="20"/>
        </w:rPr>
        <w:t>CAP</w:t>
      </w:r>
      <w:r w:rsidRPr="001F6D53">
        <w:rPr>
          <w:i/>
          <w:iCs/>
          <w:sz w:val="20"/>
          <w:szCs w:val="20"/>
          <w:vertAlign w:val="subscript"/>
        </w:rPr>
        <w:t>j</w:t>
      </w:r>
      <w:r w:rsidRPr="001F6D53">
        <w:rPr>
          <w:i/>
          <w:iCs/>
          <w:sz w:val="20"/>
          <w:szCs w:val="20"/>
        </w:rPr>
        <w:t xml:space="preserve">: </w:t>
      </w:r>
      <w:r w:rsidRPr="001F6D53">
        <w:rPr>
          <w:i/>
          <w:iCs/>
          <w:sz w:val="20"/>
          <w:szCs w:val="20"/>
        </w:rPr>
        <w:tab/>
        <w:t>Costo anual del plan de gestión de pérdidas del mercado de comercialización j aprobado al OR que atiende dicho mercado. El menor valor que toma esta variable es el que corresponde al AOM de mantenimiento de pérdidas.</w:t>
      </w:r>
    </w:p>
    <w:p w14:paraId="322D2224" w14:textId="77777777" w:rsidR="00157972" w:rsidRPr="001F6D53" w:rsidRDefault="00157972" w:rsidP="001B50BA">
      <w:pPr>
        <w:spacing w:before="60" w:after="60"/>
        <w:ind w:left="1701" w:hanging="993"/>
        <w:rPr>
          <w:i/>
          <w:iCs/>
          <w:sz w:val="20"/>
          <w:szCs w:val="20"/>
        </w:rPr>
      </w:pPr>
      <w:r w:rsidRPr="001F6D53">
        <w:rPr>
          <w:i/>
          <w:iCs/>
          <w:sz w:val="20"/>
          <w:szCs w:val="20"/>
        </w:rPr>
        <w:t>CTP</w:t>
      </w:r>
      <w:r w:rsidRPr="001F6D53">
        <w:rPr>
          <w:i/>
          <w:iCs/>
          <w:sz w:val="20"/>
          <w:szCs w:val="20"/>
          <w:vertAlign w:val="subscript"/>
        </w:rPr>
        <w:t>j</w:t>
      </w:r>
      <w:r w:rsidRPr="001F6D53">
        <w:rPr>
          <w:i/>
          <w:iCs/>
          <w:sz w:val="20"/>
          <w:szCs w:val="20"/>
        </w:rPr>
        <w:t>:</w:t>
      </w:r>
      <w:r w:rsidRPr="001F6D53">
        <w:rPr>
          <w:i/>
          <w:iCs/>
          <w:sz w:val="20"/>
          <w:szCs w:val="20"/>
          <w:vertAlign w:val="subscript"/>
        </w:rPr>
        <w:t xml:space="preserve">  </w:t>
      </w:r>
      <w:r w:rsidRPr="001F6D53">
        <w:rPr>
          <w:i/>
          <w:iCs/>
          <w:sz w:val="20"/>
          <w:szCs w:val="20"/>
          <w:vertAlign w:val="subscript"/>
        </w:rPr>
        <w:tab/>
      </w:r>
      <w:r w:rsidRPr="001F6D53">
        <w:rPr>
          <w:i/>
          <w:iCs/>
          <w:sz w:val="20"/>
          <w:szCs w:val="20"/>
        </w:rPr>
        <w:t>Costo total del plan para el OR j, en pesos de la fecha de corte, calculado según el numeral 7.3.2.</w:t>
      </w:r>
    </w:p>
    <w:p w14:paraId="08838E81" w14:textId="77777777" w:rsidR="00157972" w:rsidRPr="001F6D53" w:rsidRDefault="00157972" w:rsidP="001B50BA">
      <w:pPr>
        <w:spacing w:before="60" w:after="60"/>
        <w:ind w:left="1701" w:hanging="993"/>
        <w:rPr>
          <w:i/>
          <w:iCs/>
          <w:sz w:val="20"/>
          <w:szCs w:val="20"/>
        </w:rPr>
      </w:pPr>
      <w:r w:rsidRPr="001F6D53">
        <w:rPr>
          <w:i/>
          <w:iCs/>
          <w:sz w:val="20"/>
          <w:szCs w:val="20"/>
        </w:rPr>
        <w:t xml:space="preserve">DP: </w:t>
      </w:r>
      <w:r w:rsidRPr="001F6D53">
        <w:rPr>
          <w:i/>
          <w:iCs/>
          <w:sz w:val="20"/>
          <w:szCs w:val="20"/>
        </w:rPr>
        <w:tab/>
        <w:t xml:space="preserve">Duración horizonte de planeación del plan de pérdidas en años, igual a diez (10). </w:t>
      </w:r>
    </w:p>
    <w:p w14:paraId="39FEB305" w14:textId="77777777" w:rsidR="00157972" w:rsidRPr="001F6D53" w:rsidRDefault="00157972" w:rsidP="001B50BA">
      <w:pPr>
        <w:spacing w:before="60" w:after="60"/>
        <w:ind w:left="708"/>
        <w:rPr>
          <w:i/>
          <w:iCs/>
          <w:sz w:val="20"/>
          <w:szCs w:val="20"/>
        </w:rPr>
      </w:pPr>
      <w:r w:rsidRPr="001F6D53">
        <w:rPr>
          <w:i/>
          <w:iCs/>
          <w:sz w:val="20"/>
          <w:szCs w:val="20"/>
        </w:rPr>
        <w:t xml:space="preserve">Independientemente del horizonte de planeación del plan de pérdidas, este será remunerado durante la vigencia de los ingresos aprobados con base en la presente resolución.  </w:t>
      </w:r>
    </w:p>
    <w:p w14:paraId="7B269D95" w14:textId="77777777" w:rsidR="00157972" w:rsidRPr="001F6D53" w:rsidRDefault="00157972" w:rsidP="001B50BA">
      <w:pPr>
        <w:spacing w:before="60" w:after="60"/>
        <w:ind w:left="708"/>
        <w:rPr>
          <w:i/>
          <w:iCs/>
          <w:sz w:val="20"/>
          <w:szCs w:val="20"/>
        </w:rPr>
      </w:pPr>
      <w:r w:rsidRPr="00742009">
        <w:rPr>
          <w:i/>
          <w:iCs/>
          <w:sz w:val="20"/>
          <w:szCs w:val="20"/>
          <w:u w:val="single"/>
        </w:rPr>
        <w:t>En el costo total del plan se pueden incluir las siguientes inversiones: medidores de usuarios finales regulados que no cuenten con medidor a la fecha de presentación del plan y su costo no sea trasladado al usuario, medidores en el arranque de todas las líneas, equipos de medida en los puntos de entrada de cada nivel de tensión, macromedidores instalados en transformadores de distribución y sistemas de medición centralizada, incluyendo software y comunicaciones</w:t>
      </w:r>
      <w:r w:rsidRPr="001F6D53">
        <w:rPr>
          <w:i/>
          <w:iCs/>
          <w:sz w:val="20"/>
          <w:szCs w:val="20"/>
        </w:rPr>
        <w:t xml:space="preserve">. </w:t>
      </w:r>
    </w:p>
    <w:p w14:paraId="13784402" w14:textId="38BF18EC" w:rsidR="00157972" w:rsidRPr="001F6D53" w:rsidRDefault="00157972" w:rsidP="001B50BA">
      <w:pPr>
        <w:spacing w:before="60" w:after="60"/>
        <w:ind w:left="708"/>
        <w:rPr>
          <w:i/>
          <w:iCs/>
          <w:sz w:val="20"/>
          <w:szCs w:val="20"/>
        </w:rPr>
      </w:pPr>
      <w:r w:rsidRPr="001F6D53">
        <w:rPr>
          <w:i/>
          <w:iCs/>
          <w:sz w:val="20"/>
          <w:szCs w:val="20"/>
        </w:rPr>
        <w:t xml:space="preserve">Todos los sistemas de medición deben cumplir con el código de medida vigente y aplicar criterios de adaptabilidad, confiabilidad, seguridad, interoperabilidad, flexibilidad y escalabilidad. </w:t>
      </w:r>
      <w:r w:rsidR="00DF01A3">
        <w:rPr>
          <w:i/>
          <w:iCs/>
          <w:sz w:val="20"/>
          <w:szCs w:val="20"/>
        </w:rPr>
        <w:t>(…)</w:t>
      </w:r>
    </w:p>
    <w:p w14:paraId="2EB3A671" w14:textId="54CCF0FF" w:rsidR="00157972" w:rsidRPr="001F6D53" w:rsidRDefault="00DF01A3" w:rsidP="001B50BA">
      <w:pPr>
        <w:spacing w:before="60" w:after="60"/>
        <w:ind w:left="709"/>
        <w:rPr>
          <w:i/>
          <w:iCs/>
          <w:sz w:val="20"/>
          <w:szCs w:val="20"/>
        </w:rPr>
      </w:pPr>
      <w:r>
        <w:rPr>
          <w:i/>
          <w:iCs/>
          <w:sz w:val="20"/>
          <w:szCs w:val="20"/>
        </w:rPr>
        <w:t>Subrayado fuera de texto</w:t>
      </w:r>
    </w:p>
    <w:p w14:paraId="3D04FB9E" w14:textId="08E5D6D8" w:rsidR="00157972" w:rsidRDefault="00157972" w:rsidP="00157972">
      <w:r>
        <w:t xml:space="preserve">De acuerdo con </w:t>
      </w:r>
      <w:r w:rsidR="00DF01A3">
        <w:t xml:space="preserve">lo anterior, </w:t>
      </w:r>
      <w:r>
        <w:t xml:space="preserve">el costo del plan del OR está compuesto por dos componentes: i) la variable </w:t>
      </w:r>
      <w:r w:rsidRPr="00742009">
        <w:rPr>
          <w:i/>
          <w:iCs/>
        </w:rPr>
        <w:t>INVNUC</w:t>
      </w:r>
      <w:r>
        <w:t xml:space="preserve"> asociada a </w:t>
      </w:r>
      <w:r w:rsidRPr="00742009">
        <w:t>las inversiones en activos que no son clasificables como UC</w:t>
      </w:r>
      <w:r>
        <w:t>, las cuales están relacionadas en el numeral 7.3.2.</w:t>
      </w:r>
      <w:r w:rsidR="006F0541">
        <w:t>1</w:t>
      </w:r>
      <w:r>
        <w:t xml:space="preserve"> y ii) Los g</w:t>
      </w:r>
      <w:r w:rsidRPr="00742009">
        <w:t>astos del OR en pérdidas de energía</w:t>
      </w:r>
      <w:r>
        <w:t xml:space="preserve">, que es calculado con base en los costos históricos en reducción de pérdidas. </w:t>
      </w:r>
    </w:p>
    <w:p w14:paraId="0335A994" w14:textId="7B3F7EB3" w:rsidR="00157972" w:rsidRDefault="00157972" w:rsidP="00157972">
      <w:r>
        <w:t xml:space="preserve">De lo anterior es claro que en la variable </w:t>
      </w:r>
      <w:r w:rsidRPr="007C378B">
        <w:rPr>
          <w:i/>
          <w:iCs/>
        </w:rPr>
        <w:t>INVNUC</w:t>
      </w:r>
      <w:r>
        <w:t xml:space="preserve"> solamente se incluyen inversiones en activos que </w:t>
      </w:r>
      <w:r w:rsidRPr="00742009">
        <w:t>no son clasificables como UC</w:t>
      </w:r>
      <w:r w:rsidR="008F4A44">
        <w:t>,</w:t>
      </w:r>
      <w:r>
        <w:t xml:space="preserve"> y no se incluyen actividades relacionadas con gastos en reducción de pérdidas. </w:t>
      </w:r>
    </w:p>
    <w:p w14:paraId="1035C4C3" w14:textId="6FB0DB71" w:rsidR="009D38E8" w:rsidRPr="009D38E8" w:rsidRDefault="009D38E8" w:rsidP="005E535C">
      <w:pPr>
        <w:pStyle w:val="Prrafodelista"/>
        <w:numPr>
          <w:ilvl w:val="0"/>
          <w:numId w:val="15"/>
        </w:numPr>
        <w:spacing w:before="120" w:after="120"/>
        <w:ind w:left="357" w:hanging="357"/>
        <w:rPr>
          <w:b/>
          <w:bCs/>
        </w:rPr>
      </w:pPr>
      <w:bookmarkStart w:id="13" w:name="_Hlk72485381"/>
      <w:r w:rsidRPr="009D38E8">
        <w:rPr>
          <w:b/>
          <w:bCs/>
        </w:rPr>
        <w:t xml:space="preserve">Actividades </w:t>
      </w:r>
      <w:r>
        <w:rPr>
          <w:b/>
          <w:bCs/>
        </w:rPr>
        <w:t xml:space="preserve">solicitadas por el OR </w:t>
      </w:r>
      <w:r w:rsidRPr="009D38E8">
        <w:rPr>
          <w:b/>
          <w:bCs/>
        </w:rPr>
        <w:t xml:space="preserve">que no se </w:t>
      </w:r>
      <w:r>
        <w:rPr>
          <w:b/>
          <w:bCs/>
        </w:rPr>
        <w:t xml:space="preserve">incluyen </w:t>
      </w:r>
      <w:r w:rsidRPr="009D38E8">
        <w:rPr>
          <w:b/>
          <w:bCs/>
        </w:rPr>
        <w:t xml:space="preserve">en la variable </w:t>
      </w:r>
      <w:r w:rsidRPr="009D38E8">
        <w:rPr>
          <w:b/>
          <w:bCs/>
          <w:i/>
          <w:iCs/>
        </w:rPr>
        <w:t>INVNUC</w:t>
      </w:r>
      <w:bookmarkEnd w:id="13"/>
    </w:p>
    <w:p w14:paraId="53BE8403" w14:textId="7B408419" w:rsidR="00157972" w:rsidRDefault="00157972" w:rsidP="00157972">
      <w:bookmarkStart w:id="14" w:name="_Hlk72485400"/>
      <w:r>
        <w:t>A continuación, se presenta la justificación presentada por el OR para las actividades que</w:t>
      </w:r>
      <w:r w:rsidR="00C002A2">
        <w:t xml:space="preserve"> se entiende que </w:t>
      </w:r>
      <w:r>
        <w:t xml:space="preserve">no corresponden a inversiones </w:t>
      </w:r>
      <w:r w:rsidR="009D38E8">
        <w:t xml:space="preserve">sino a actividades relacionadas con gastos, </w:t>
      </w:r>
      <w:r>
        <w:t xml:space="preserve">según lo definido en el numeral </w:t>
      </w:r>
      <w:r w:rsidRPr="00990CE8">
        <w:t>7.3.2.</w:t>
      </w:r>
      <w:r>
        <w:t>1</w:t>
      </w:r>
      <w:r w:rsidRPr="00990CE8">
        <w:t xml:space="preserve"> del anexo general de la Resolución CREG 015 de 2018</w:t>
      </w:r>
      <w:r>
        <w:t>.</w:t>
      </w:r>
      <w:bookmarkEnd w:id="14"/>
    </w:p>
    <w:p w14:paraId="4EDB4905" w14:textId="77777777" w:rsidR="00157972" w:rsidRPr="002F0A4C" w:rsidRDefault="00157972" w:rsidP="00157972">
      <w:pPr>
        <w:rPr>
          <w:b/>
          <w:bCs/>
        </w:rPr>
      </w:pPr>
      <w:r w:rsidRPr="002F0A4C">
        <w:rPr>
          <w:b/>
          <w:bCs/>
        </w:rPr>
        <w:t>Revisi</w:t>
      </w:r>
      <w:r>
        <w:rPr>
          <w:b/>
          <w:bCs/>
        </w:rPr>
        <w:t>o</w:t>
      </w:r>
      <w:r w:rsidRPr="002F0A4C">
        <w:rPr>
          <w:b/>
          <w:bCs/>
        </w:rPr>
        <w:t>nes</w:t>
      </w:r>
    </w:p>
    <w:p w14:paraId="4D8D2E2A" w14:textId="77777777" w:rsidR="00157972" w:rsidRDefault="00157972" w:rsidP="008F4A44">
      <w:pPr>
        <w:spacing w:before="60" w:after="60"/>
        <w:ind w:left="284"/>
        <w:rPr>
          <w:i/>
          <w:iCs/>
          <w:sz w:val="20"/>
          <w:szCs w:val="20"/>
        </w:rPr>
      </w:pPr>
      <w:r w:rsidRPr="002F0A4C">
        <w:rPr>
          <w:i/>
          <w:iCs/>
          <w:sz w:val="20"/>
          <w:szCs w:val="20"/>
        </w:rPr>
        <w:t xml:space="preserve">La inversión implica </w:t>
      </w:r>
      <w:r w:rsidRPr="002F0A4C">
        <w:rPr>
          <w:i/>
          <w:iCs/>
          <w:sz w:val="20"/>
          <w:szCs w:val="20"/>
          <w:u w:val="single"/>
        </w:rPr>
        <w:t>la revisión de medidores de clientes</w:t>
      </w:r>
      <w:r w:rsidRPr="002F0A4C">
        <w:rPr>
          <w:i/>
          <w:iCs/>
          <w:sz w:val="20"/>
          <w:szCs w:val="20"/>
        </w:rPr>
        <w:t xml:space="preserve"> con constante 1, </w:t>
      </w:r>
      <w:r w:rsidRPr="002F0A4C">
        <w:rPr>
          <w:i/>
          <w:iCs/>
          <w:sz w:val="20"/>
          <w:szCs w:val="20"/>
          <w:u w:val="single"/>
        </w:rPr>
        <w:t>mediante la gestión inteligente de la información proveniente de diferentes sistemas generadores</w:t>
      </w:r>
      <w:r w:rsidRPr="002F0A4C">
        <w:rPr>
          <w:i/>
          <w:iCs/>
          <w:sz w:val="20"/>
          <w:szCs w:val="20"/>
        </w:rPr>
        <w:t>. Estas revisiones no se cobran al cliente</w:t>
      </w:r>
      <w:r>
        <w:rPr>
          <w:i/>
          <w:iCs/>
          <w:sz w:val="20"/>
          <w:szCs w:val="20"/>
        </w:rPr>
        <w:t>.</w:t>
      </w:r>
    </w:p>
    <w:p w14:paraId="3C30E9EF" w14:textId="77777777" w:rsidR="00157972" w:rsidRPr="002F0A4C" w:rsidRDefault="00157972" w:rsidP="008F4A44">
      <w:pPr>
        <w:spacing w:before="60" w:after="60"/>
        <w:ind w:left="284"/>
        <w:rPr>
          <w:i/>
          <w:iCs/>
          <w:sz w:val="20"/>
          <w:szCs w:val="20"/>
        </w:rPr>
      </w:pPr>
      <w:r>
        <w:rPr>
          <w:i/>
          <w:iCs/>
          <w:sz w:val="20"/>
          <w:szCs w:val="20"/>
        </w:rPr>
        <w:t>Subrayado fuera de texto.</w:t>
      </w:r>
    </w:p>
    <w:p w14:paraId="3B8B4626" w14:textId="77777777" w:rsidR="00157972" w:rsidRPr="002F0A4C" w:rsidRDefault="00157972" w:rsidP="00157972">
      <w:pPr>
        <w:rPr>
          <w:b/>
          <w:bCs/>
        </w:rPr>
      </w:pPr>
      <w:r w:rsidRPr="002F0A4C">
        <w:rPr>
          <w:b/>
          <w:bCs/>
        </w:rPr>
        <w:t>Inspección a grandes consumidores</w:t>
      </w:r>
    </w:p>
    <w:p w14:paraId="690EEEDA" w14:textId="77777777" w:rsidR="00157972" w:rsidRPr="00990CE8" w:rsidRDefault="00157972" w:rsidP="008F4A44">
      <w:pPr>
        <w:spacing w:before="60" w:after="60"/>
        <w:ind w:left="284"/>
        <w:rPr>
          <w:i/>
          <w:iCs/>
          <w:sz w:val="20"/>
          <w:szCs w:val="20"/>
        </w:rPr>
      </w:pPr>
      <w:r w:rsidRPr="00990CE8">
        <w:rPr>
          <w:i/>
          <w:iCs/>
          <w:sz w:val="20"/>
          <w:szCs w:val="20"/>
        </w:rPr>
        <w:t xml:space="preserve">Inversión para la </w:t>
      </w:r>
      <w:r w:rsidRPr="00990CE8">
        <w:rPr>
          <w:i/>
          <w:iCs/>
          <w:sz w:val="20"/>
          <w:szCs w:val="20"/>
          <w:u w:val="single"/>
        </w:rPr>
        <w:t>ejecución de acciones de control orientadas por las alarmas, eventos entregados por los sistemas complementarios y gestión inteligente de la información en el segmento de Grandes Consumidores</w:t>
      </w:r>
      <w:r w:rsidRPr="00990CE8">
        <w:rPr>
          <w:i/>
          <w:iCs/>
          <w:sz w:val="20"/>
          <w:szCs w:val="20"/>
        </w:rPr>
        <w:t>.  La inversión prevista en esta actividad no contempla medida centralizada y no se cobra al cliente</w:t>
      </w:r>
    </w:p>
    <w:p w14:paraId="7CEE133C" w14:textId="77777777" w:rsidR="00157972" w:rsidRPr="002F0A4C" w:rsidRDefault="00157972" w:rsidP="008F4A44">
      <w:pPr>
        <w:ind w:left="284"/>
        <w:rPr>
          <w:b/>
          <w:bCs/>
          <w:i/>
          <w:iCs/>
          <w:sz w:val="20"/>
          <w:szCs w:val="20"/>
        </w:rPr>
      </w:pPr>
      <w:r w:rsidRPr="002F0A4C">
        <w:rPr>
          <w:b/>
          <w:bCs/>
          <w:i/>
          <w:iCs/>
          <w:sz w:val="20"/>
          <w:szCs w:val="20"/>
        </w:rPr>
        <w:t>3.3.1.1. Actividades de Inspección a Grandes Consumidores</w:t>
      </w:r>
    </w:p>
    <w:p w14:paraId="5464D02B" w14:textId="77777777" w:rsidR="00157972" w:rsidRDefault="00157972" w:rsidP="008F4A44">
      <w:pPr>
        <w:spacing w:before="60" w:after="60"/>
        <w:ind w:left="284"/>
        <w:rPr>
          <w:i/>
          <w:iCs/>
          <w:sz w:val="20"/>
          <w:szCs w:val="20"/>
        </w:rPr>
      </w:pPr>
      <w:r w:rsidRPr="002F0A4C">
        <w:rPr>
          <w:i/>
          <w:iCs/>
          <w:sz w:val="20"/>
          <w:szCs w:val="20"/>
        </w:rPr>
        <w:t xml:space="preserve">Con este tipo de actividad se proyecta detener el crecimiento del indicador de Pérdidas de energía en este segmento de usuarios, además de garantizar que las actuaciones que se realicen de corrección se mantengan en el tiempo, lo cual permitirá un correcto mantenimiento del indicador de Pérdidas. Este grupo de usuarios, los cuales, por sus características de consumo, cualquier tipo de desviación por mínima que parezca, representa altos volúmenes de energía perdida. </w:t>
      </w:r>
      <w:r w:rsidRPr="002F0A4C">
        <w:rPr>
          <w:i/>
          <w:iCs/>
          <w:sz w:val="20"/>
          <w:szCs w:val="20"/>
          <w:u w:val="single"/>
        </w:rPr>
        <w:t>Dentro de estas actividades está incluidas visitas en campo, con la revisión de factores en TC´s y TP´s y equipos de medida, la correcta utilización de sellos, se debe verificar el correcto funcionamiento de los canales comunicación</w:t>
      </w:r>
      <w:r w:rsidRPr="002F0A4C">
        <w:rPr>
          <w:i/>
          <w:iCs/>
          <w:sz w:val="20"/>
          <w:szCs w:val="20"/>
        </w:rPr>
        <w:t xml:space="preserve"> y en general todo el cumplimiento del código de medida de acuerdo con la Resolución CREG 038 de 2014. </w:t>
      </w:r>
      <w:r w:rsidRPr="002F0A4C">
        <w:rPr>
          <w:i/>
          <w:iCs/>
          <w:sz w:val="20"/>
          <w:szCs w:val="20"/>
          <w:u w:val="single"/>
        </w:rPr>
        <w:t>También se adelantará labores de escritorio, verificando que toda la información extraída de campo se refleje en forma fidedigna en el Centro de Gestión de la medida y en el sistema Comercial</w:t>
      </w:r>
      <w:r w:rsidRPr="002F0A4C">
        <w:rPr>
          <w:i/>
          <w:iCs/>
          <w:sz w:val="20"/>
          <w:szCs w:val="20"/>
        </w:rPr>
        <w:t>. La aplicación aplica tanto a Grandes Consumidores del comercializador propio como el de terceros</w:t>
      </w:r>
    </w:p>
    <w:p w14:paraId="3A92E6B3" w14:textId="77777777" w:rsidR="00157972" w:rsidRPr="002F0A4C" w:rsidRDefault="00157972" w:rsidP="008F4A44">
      <w:pPr>
        <w:spacing w:before="60" w:after="60"/>
        <w:ind w:left="284"/>
        <w:rPr>
          <w:i/>
          <w:iCs/>
          <w:sz w:val="20"/>
          <w:szCs w:val="20"/>
        </w:rPr>
      </w:pPr>
      <w:r>
        <w:rPr>
          <w:i/>
          <w:iCs/>
          <w:sz w:val="20"/>
          <w:szCs w:val="20"/>
        </w:rPr>
        <w:t>Subrayado fuera de texto</w:t>
      </w:r>
    </w:p>
    <w:p w14:paraId="30A93C24" w14:textId="77777777" w:rsidR="00157972" w:rsidRPr="00990CE8" w:rsidRDefault="00157972" w:rsidP="00157972">
      <w:pPr>
        <w:rPr>
          <w:b/>
          <w:bCs/>
        </w:rPr>
      </w:pPr>
      <w:r w:rsidRPr="00990CE8">
        <w:rPr>
          <w:b/>
          <w:bCs/>
        </w:rPr>
        <w:t>Gestión alarmas</w:t>
      </w:r>
    </w:p>
    <w:p w14:paraId="6775061F" w14:textId="77777777" w:rsidR="00157972" w:rsidRDefault="00157972" w:rsidP="008F4A44">
      <w:pPr>
        <w:spacing w:before="60" w:after="60"/>
        <w:ind w:left="284"/>
        <w:rPr>
          <w:i/>
          <w:iCs/>
          <w:sz w:val="20"/>
          <w:szCs w:val="20"/>
        </w:rPr>
      </w:pPr>
      <w:r w:rsidRPr="00990CE8">
        <w:rPr>
          <w:i/>
          <w:iCs/>
          <w:sz w:val="20"/>
          <w:szCs w:val="20"/>
        </w:rPr>
        <w:t>Gestión inteligente de la información en el segmento de Grandes Consumidores</w:t>
      </w:r>
    </w:p>
    <w:p w14:paraId="0F78B353" w14:textId="77777777" w:rsidR="00157972" w:rsidRDefault="00157972" w:rsidP="008F4A44">
      <w:pPr>
        <w:spacing w:before="60" w:after="60"/>
        <w:ind w:left="284"/>
        <w:rPr>
          <w:i/>
          <w:iCs/>
          <w:sz w:val="20"/>
          <w:szCs w:val="20"/>
        </w:rPr>
      </w:pPr>
      <w:r w:rsidRPr="00990CE8">
        <w:rPr>
          <w:b/>
          <w:bCs/>
          <w:i/>
          <w:iCs/>
          <w:sz w:val="20"/>
          <w:szCs w:val="20"/>
        </w:rPr>
        <w:t>3.3.1.2 Telemedición en Grandes Consumidores</w:t>
      </w:r>
    </w:p>
    <w:p w14:paraId="24842563" w14:textId="77777777" w:rsidR="00157972" w:rsidRDefault="00157972" w:rsidP="008F4A44">
      <w:pPr>
        <w:spacing w:before="60" w:after="60"/>
        <w:ind w:left="284"/>
        <w:rPr>
          <w:i/>
          <w:iCs/>
          <w:sz w:val="20"/>
          <w:szCs w:val="20"/>
        </w:rPr>
      </w:pPr>
      <w:r>
        <w:rPr>
          <w:i/>
          <w:iCs/>
          <w:sz w:val="20"/>
          <w:szCs w:val="20"/>
        </w:rPr>
        <w:t xml:space="preserve">(…) </w:t>
      </w:r>
      <w:r w:rsidRPr="00990CE8">
        <w:rPr>
          <w:b/>
          <w:bCs/>
          <w:i/>
          <w:iCs/>
          <w:sz w:val="20"/>
          <w:szCs w:val="20"/>
        </w:rPr>
        <w:t>Atención de Alarmas:</w:t>
      </w:r>
      <w:r w:rsidRPr="00990CE8">
        <w:rPr>
          <w:i/>
          <w:iCs/>
          <w:sz w:val="20"/>
          <w:szCs w:val="20"/>
        </w:rPr>
        <w:t xml:space="preserve"> Consiste en el </w:t>
      </w:r>
      <w:r w:rsidRPr="00990CE8">
        <w:rPr>
          <w:i/>
          <w:iCs/>
          <w:sz w:val="20"/>
          <w:szCs w:val="20"/>
          <w:u w:val="single"/>
        </w:rPr>
        <w:t>análisis de variaciones de parámetros eléctricos en los sistemas de medición centralizados</w:t>
      </w:r>
      <w:r w:rsidRPr="00990CE8">
        <w:rPr>
          <w:i/>
          <w:iCs/>
          <w:sz w:val="20"/>
          <w:szCs w:val="20"/>
        </w:rPr>
        <w:t>, con el fin de atender oportunamente los eventos detectados, asegurando el levantamiento de una anomalía o irregularidad (confirmada en sitio) y la normalización requerida para superar el evento que generó la alarma.</w:t>
      </w:r>
    </w:p>
    <w:p w14:paraId="7C9AFD36" w14:textId="77777777" w:rsidR="00157972" w:rsidRPr="00990CE8" w:rsidRDefault="00157972" w:rsidP="008F4A44">
      <w:pPr>
        <w:spacing w:before="60" w:after="60"/>
        <w:ind w:left="284"/>
        <w:rPr>
          <w:i/>
          <w:iCs/>
          <w:sz w:val="20"/>
          <w:szCs w:val="20"/>
        </w:rPr>
      </w:pPr>
      <w:r>
        <w:rPr>
          <w:i/>
          <w:iCs/>
          <w:sz w:val="20"/>
          <w:szCs w:val="20"/>
        </w:rPr>
        <w:t>Subrayado fuera de texto</w:t>
      </w:r>
    </w:p>
    <w:p w14:paraId="60F0EDF0" w14:textId="77777777" w:rsidR="00157972" w:rsidRPr="00990CE8" w:rsidRDefault="00157972" w:rsidP="00157972">
      <w:pPr>
        <w:rPr>
          <w:b/>
          <w:bCs/>
        </w:rPr>
      </w:pPr>
      <w:r w:rsidRPr="00990CE8">
        <w:rPr>
          <w:b/>
          <w:bCs/>
        </w:rPr>
        <w:t>Gestión social</w:t>
      </w:r>
    </w:p>
    <w:p w14:paraId="15E4EAA1" w14:textId="77777777" w:rsidR="00157972" w:rsidRDefault="00157972" w:rsidP="008F4A44">
      <w:pPr>
        <w:spacing w:before="60" w:after="60"/>
        <w:ind w:left="284"/>
        <w:rPr>
          <w:i/>
          <w:iCs/>
          <w:sz w:val="20"/>
          <w:szCs w:val="20"/>
        </w:rPr>
      </w:pPr>
      <w:r w:rsidRPr="00990CE8">
        <w:rPr>
          <w:i/>
          <w:iCs/>
          <w:sz w:val="20"/>
          <w:szCs w:val="20"/>
          <w:u w:val="single"/>
        </w:rPr>
        <w:t>Inversión requerida para establecer el contacto con las diferentes comunidades con el fin de que se ejecuten las acciones del Plan Integral de Pérdidas de manera efectiva</w:t>
      </w:r>
      <w:r w:rsidRPr="00990CE8">
        <w:rPr>
          <w:i/>
          <w:iCs/>
          <w:sz w:val="20"/>
          <w:szCs w:val="20"/>
        </w:rPr>
        <w:t xml:space="preserve"> (estas actividades garantizan el éxito de la ejecución de los planes como instalación de medidores, normalización de comunidades de estratos bajos y comunidades conflictivas) </w:t>
      </w:r>
    </w:p>
    <w:p w14:paraId="0A09DF2F" w14:textId="77777777" w:rsidR="00157972" w:rsidRPr="00990CE8" w:rsidRDefault="00157972" w:rsidP="008F4A44">
      <w:pPr>
        <w:spacing w:before="60" w:after="60"/>
        <w:ind w:left="284"/>
        <w:rPr>
          <w:i/>
          <w:iCs/>
          <w:sz w:val="20"/>
          <w:szCs w:val="20"/>
        </w:rPr>
      </w:pPr>
      <w:r>
        <w:rPr>
          <w:i/>
          <w:iCs/>
          <w:sz w:val="20"/>
          <w:szCs w:val="20"/>
        </w:rPr>
        <w:t>Subrayado fuera de texto</w:t>
      </w:r>
    </w:p>
    <w:p w14:paraId="4BF28BFD" w14:textId="77F6D030" w:rsidR="00C002A2" w:rsidRDefault="00C002A2" w:rsidP="00C002A2">
      <w:r>
        <w:t xml:space="preserve">Con base en lo anterior, </w:t>
      </w:r>
      <w:r w:rsidR="00387CD9">
        <w:t xml:space="preserve">en la siguiente tabla se presentan las actividades solicitadas por el </w:t>
      </w:r>
      <w:r>
        <w:t>OR en su plan de reducción de pérdidas</w:t>
      </w:r>
      <w:r w:rsidR="00387CD9">
        <w:t xml:space="preserve">, </w:t>
      </w:r>
      <w:r w:rsidR="002F44A8">
        <w:t xml:space="preserve">señalando </w:t>
      </w:r>
      <w:r w:rsidR="00382F05">
        <w:t xml:space="preserve">las </w:t>
      </w:r>
      <w:r w:rsidR="00387CD9">
        <w:t xml:space="preserve">que </w:t>
      </w:r>
      <w:r>
        <w:t>se consideran parte del componente de inversiones</w:t>
      </w:r>
      <w:r w:rsidR="00387CD9">
        <w:t xml:space="preserve"> y cuáles no</w:t>
      </w:r>
      <w:r>
        <w:t>:</w:t>
      </w:r>
    </w:p>
    <w:tbl>
      <w:tblPr>
        <w:tblW w:w="4699" w:type="pct"/>
        <w:jc w:val="center"/>
        <w:tblLayout w:type="fixed"/>
        <w:tblCellMar>
          <w:left w:w="70" w:type="dxa"/>
          <w:right w:w="70" w:type="dxa"/>
        </w:tblCellMar>
        <w:tblLook w:val="04A0" w:firstRow="1" w:lastRow="0" w:firstColumn="1" w:lastColumn="0" w:noHBand="0" w:noVBand="1"/>
      </w:tblPr>
      <w:tblGrid>
        <w:gridCol w:w="3822"/>
        <w:gridCol w:w="1418"/>
        <w:gridCol w:w="1700"/>
        <w:gridCol w:w="1843"/>
      </w:tblGrid>
      <w:tr w:rsidR="00C002A2" w:rsidRPr="00333B2F" w14:paraId="22014BC9" w14:textId="77777777" w:rsidTr="00F7576E">
        <w:trPr>
          <w:trHeight w:val="227"/>
          <w:tblHeader/>
          <w:jc w:val="center"/>
        </w:trPr>
        <w:tc>
          <w:tcPr>
            <w:tcW w:w="2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155EF" w14:textId="77777777" w:rsidR="00C002A2" w:rsidRPr="00333B2F" w:rsidRDefault="00C002A2" w:rsidP="00A478FF">
            <w:pPr>
              <w:spacing w:before="0" w:after="0"/>
              <w:jc w:val="center"/>
              <w:rPr>
                <w:b/>
                <w:bCs/>
                <w:color w:val="000000"/>
                <w:sz w:val="16"/>
                <w:szCs w:val="16"/>
                <w:lang w:val="es-CO" w:eastAsia="es-CO"/>
              </w:rPr>
            </w:pPr>
            <w:r w:rsidRPr="00333B2F">
              <w:rPr>
                <w:b/>
                <w:bCs/>
                <w:color w:val="000000"/>
                <w:sz w:val="16"/>
                <w:szCs w:val="16"/>
                <w:lang w:val="es-CO" w:eastAsia="es-CO"/>
              </w:rPr>
              <w:t>Actividad</w:t>
            </w:r>
          </w:p>
        </w:tc>
        <w:tc>
          <w:tcPr>
            <w:tcW w:w="807" w:type="pct"/>
            <w:tcBorders>
              <w:top w:val="single" w:sz="4" w:space="0" w:color="auto"/>
              <w:left w:val="nil"/>
              <w:bottom w:val="single" w:sz="4" w:space="0" w:color="auto"/>
              <w:right w:val="single" w:sz="4" w:space="0" w:color="auto"/>
            </w:tcBorders>
            <w:shd w:val="clear" w:color="auto" w:fill="auto"/>
            <w:noWrap/>
            <w:vAlign w:val="center"/>
            <w:hideMark/>
          </w:tcPr>
          <w:p w14:paraId="6F7A7050" w14:textId="77777777" w:rsidR="00C002A2" w:rsidRPr="00333B2F" w:rsidRDefault="00C002A2" w:rsidP="00A478FF">
            <w:pPr>
              <w:spacing w:before="0" w:after="0"/>
              <w:jc w:val="center"/>
              <w:rPr>
                <w:b/>
                <w:bCs/>
                <w:color w:val="000000"/>
                <w:sz w:val="16"/>
                <w:szCs w:val="16"/>
                <w:lang w:val="es-CO" w:eastAsia="es-CO"/>
              </w:rPr>
            </w:pPr>
            <w:r w:rsidRPr="00333B2F">
              <w:rPr>
                <w:b/>
                <w:bCs/>
                <w:color w:val="000000"/>
                <w:sz w:val="16"/>
                <w:szCs w:val="16"/>
                <w:lang w:val="es-CO" w:eastAsia="es-CO"/>
              </w:rPr>
              <w:t>Tipo</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14:paraId="473399A2" w14:textId="2153D303" w:rsidR="00C002A2" w:rsidRPr="00333B2F" w:rsidRDefault="00387CD9" w:rsidP="00A478FF">
            <w:pPr>
              <w:spacing w:before="0" w:after="0"/>
              <w:jc w:val="center"/>
              <w:rPr>
                <w:b/>
                <w:bCs/>
                <w:color w:val="000000"/>
                <w:sz w:val="16"/>
                <w:szCs w:val="16"/>
                <w:lang w:val="es-CO" w:eastAsia="es-CO"/>
              </w:rPr>
            </w:pPr>
            <w:r w:rsidRPr="00333B2F">
              <w:rPr>
                <w:b/>
                <w:bCs/>
                <w:color w:val="000000"/>
                <w:sz w:val="16"/>
                <w:szCs w:val="16"/>
                <w:lang w:val="es-CO" w:eastAsia="es-CO"/>
              </w:rPr>
              <w:t xml:space="preserve">Valor </w:t>
            </w:r>
            <w:r w:rsidR="00C002A2" w:rsidRPr="00333B2F">
              <w:rPr>
                <w:b/>
                <w:bCs/>
                <w:color w:val="000000"/>
                <w:sz w:val="16"/>
                <w:szCs w:val="16"/>
                <w:lang w:val="es-CO" w:eastAsia="es-CO"/>
              </w:rPr>
              <w:t>solicitado 2021-2030</w:t>
            </w:r>
            <w:r w:rsidRPr="00333B2F">
              <w:rPr>
                <w:b/>
                <w:bCs/>
                <w:color w:val="000000"/>
                <w:sz w:val="16"/>
                <w:szCs w:val="16"/>
                <w:lang w:val="es-CO" w:eastAsia="es-CO"/>
              </w:rPr>
              <w:t xml:space="preserve"> (millones pesos)</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2199BD56" w14:textId="27D2E83E" w:rsidR="00C002A2" w:rsidRPr="00333B2F" w:rsidRDefault="00387CD9" w:rsidP="00A478FF">
            <w:pPr>
              <w:spacing w:before="0" w:after="0"/>
              <w:jc w:val="center"/>
              <w:rPr>
                <w:b/>
                <w:bCs/>
                <w:color w:val="000000"/>
                <w:sz w:val="16"/>
                <w:szCs w:val="16"/>
                <w:lang w:val="es-CO" w:eastAsia="es-CO"/>
              </w:rPr>
            </w:pPr>
            <w:r w:rsidRPr="00333B2F">
              <w:rPr>
                <w:b/>
                <w:bCs/>
                <w:color w:val="000000"/>
                <w:sz w:val="16"/>
                <w:szCs w:val="16"/>
                <w:lang w:val="es-CO" w:eastAsia="es-CO"/>
              </w:rPr>
              <w:t xml:space="preserve">Valor </w:t>
            </w:r>
            <w:r w:rsidR="00C002A2" w:rsidRPr="00333B2F">
              <w:rPr>
                <w:b/>
                <w:bCs/>
                <w:color w:val="000000"/>
                <w:sz w:val="16"/>
                <w:szCs w:val="16"/>
                <w:lang w:val="es-CO" w:eastAsia="es-CO"/>
              </w:rPr>
              <w:t>inversiones</w:t>
            </w:r>
            <w:r w:rsidR="00037848">
              <w:rPr>
                <w:b/>
                <w:bCs/>
                <w:color w:val="000000"/>
                <w:sz w:val="16"/>
                <w:szCs w:val="16"/>
                <w:lang w:val="es-CO" w:eastAsia="es-CO"/>
              </w:rPr>
              <w:t xml:space="preserve"> INVNUC</w:t>
            </w:r>
            <w:r w:rsidR="00C002A2" w:rsidRPr="00333B2F">
              <w:rPr>
                <w:b/>
                <w:bCs/>
                <w:color w:val="000000"/>
                <w:sz w:val="16"/>
                <w:szCs w:val="16"/>
                <w:lang w:val="es-CO" w:eastAsia="es-CO"/>
              </w:rPr>
              <w:t xml:space="preserve"> 2021-2030</w:t>
            </w:r>
            <w:r w:rsidRPr="00333B2F">
              <w:rPr>
                <w:b/>
                <w:bCs/>
                <w:color w:val="000000"/>
                <w:sz w:val="16"/>
                <w:szCs w:val="16"/>
                <w:lang w:val="es-CO" w:eastAsia="es-CO"/>
              </w:rPr>
              <w:t xml:space="preserve"> (millones pesos)</w:t>
            </w:r>
          </w:p>
        </w:tc>
      </w:tr>
      <w:tr w:rsidR="00C002A2" w:rsidRPr="00333B2F" w14:paraId="52B20628"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26C512B2"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Normalización</w:t>
            </w:r>
          </w:p>
        </w:tc>
        <w:tc>
          <w:tcPr>
            <w:tcW w:w="807" w:type="pct"/>
            <w:tcBorders>
              <w:top w:val="nil"/>
              <w:left w:val="nil"/>
              <w:bottom w:val="single" w:sz="4" w:space="0" w:color="auto"/>
              <w:right w:val="single" w:sz="4" w:space="0" w:color="auto"/>
            </w:tcBorders>
            <w:shd w:val="clear" w:color="auto" w:fill="auto"/>
            <w:noWrap/>
            <w:vAlign w:val="center"/>
            <w:hideMark/>
          </w:tcPr>
          <w:p w14:paraId="716B04BD"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31A1AAD7"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349.128</w:t>
            </w:r>
          </w:p>
        </w:tc>
        <w:tc>
          <w:tcPr>
            <w:tcW w:w="1050" w:type="pct"/>
            <w:tcBorders>
              <w:top w:val="nil"/>
              <w:left w:val="nil"/>
              <w:bottom w:val="single" w:sz="4" w:space="0" w:color="auto"/>
              <w:right w:val="single" w:sz="4" w:space="0" w:color="auto"/>
            </w:tcBorders>
            <w:shd w:val="clear" w:color="auto" w:fill="auto"/>
            <w:noWrap/>
            <w:vAlign w:val="center"/>
            <w:hideMark/>
          </w:tcPr>
          <w:p w14:paraId="2223CE67"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349.128</w:t>
            </w:r>
          </w:p>
        </w:tc>
      </w:tr>
      <w:tr w:rsidR="00C002A2" w:rsidRPr="00333B2F" w14:paraId="7E41CF72"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12A303FA"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Revisiones</w:t>
            </w:r>
          </w:p>
        </w:tc>
        <w:tc>
          <w:tcPr>
            <w:tcW w:w="807" w:type="pct"/>
            <w:tcBorders>
              <w:top w:val="nil"/>
              <w:left w:val="nil"/>
              <w:bottom w:val="single" w:sz="4" w:space="0" w:color="auto"/>
              <w:right w:val="single" w:sz="4" w:space="0" w:color="auto"/>
            </w:tcBorders>
            <w:shd w:val="clear" w:color="auto" w:fill="auto"/>
            <w:noWrap/>
            <w:vAlign w:val="center"/>
            <w:hideMark/>
          </w:tcPr>
          <w:p w14:paraId="12DC4053"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AOM</w:t>
            </w:r>
          </w:p>
        </w:tc>
        <w:tc>
          <w:tcPr>
            <w:tcW w:w="968" w:type="pct"/>
            <w:tcBorders>
              <w:top w:val="nil"/>
              <w:left w:val="nil"/>
              <w:bottom w:val="single" w:sz="4" w:space="0" w:color="auto"/>
              <w:right w:val="single" w:sz="4" w:space="0" w:color="auto"/>
            </w:tcBorders>
            <w:shd w:val="clear" w:color="auto" w:fill="auto"/>
            <w:noWrap/>
            <w:vAlign w:val="center"/>
            <w:hideMark/>
          </w:tcPr>
          <w:p w14:paraId="269C73F7"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206.279</w:t>
            </w:r>
          </w:p>
        </w:tc>
        <w:tc>
          <w:tcPr>
            <w:tcW w:w="1050" w:type="pct"/>
            <w:tcBorders>
              <w:top w:val="nil"/>
              <w:left w:val="nil"/>
              <w:bottom w:val="single" w:sz="4" w:space="0" w:color="auto"/>
              <w:right w:val="single" w:sz="4" w:space="0" w:color="auto"/>
            </w:tcBorders>
            <w:shd w:val="clear" w:color="auto" w:fill="auto"/>
            <w:noWrap/>
            <w:vAlign w:val="center"/>
            <w:hideMark/>
          </w:tcPr>
          <w:p w14:paraId="5B198CF7"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0</w:t>
            </w:r>
          </w:p>
        </w:tc>
      </w:tr>
      <w:tr w:rsidR="00C002A2" w:rsidRPr="00333B2F" w14:paraId="52F4EA41"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3DC041F3"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Incorporación Usuarios No Clientes (Censo)</w:t>
            </w:r>
          </w:p>
        </w:tc>
        <w:tc>
          <w:tcPr>
            <w:tcW w:w="807" w:type="pct"/>
            <w:tcBorders>
              <w:top w:val="nil"/>
              <w:left w:val="nil"/>
              <w:bottom w:val="single" w:sz="4" w:space="0" w:color="auto"/>
              <w:right w:val="single" w:sz="4" w:space="0" w:color="auto"/>
            </w:tcBorders>
            <w:shd w:val="clear" w:color="auto" w:fill="auto"/>
            <w:noWrap/>
            <w:vAlign w:val="center"/>
            <w:hideMark/>
          </w:tcPr>
          <w:p w14:paraId="13AED2BC"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34D72667"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7.576</w:t>
            </w:r>
          </w:p>
        </w:tc>
        <w:tc>
          <w:tcPr>
            <w:tcW w:w="1050" w:type="pct"/>
            <w:tcBorders>
              <w:top w:val="nil"/>
              <w:left w:val="nil"/>
              <w:bottom w:val="single" w:sz="4" w:space="0" w:color="auto"/>
              <w:right w:val="single" w:sz="4" w:space="0" w:color="auto"/>
            </w:tcBorders>
            <w:shd w:val="clear" w:color="auto" w:fill="auto"/>
            <w:noWrap/>
            <w:vAlign w:val="center"/>
            <w:hideMark/>
          </w:tcPr>
          <w:p w14:paraId="3CE9086C"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7.576</w:t>
            </w:r>
          </w:p>
        </w:tc>
      </w:tr>
      <w:tr w:rsidR="00C002A2" w:rsidRPr="00333B2F" w14:paraId="7CB94F1B"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18CBA358"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Inspección Grandes Consumidores</w:t>
            </w:r>
          </w:p>
        </w:tc>
        <w:tc>
          <w:tcPr>
            <w:tcW w:w="807" w:type="pct"/>
            <w:tcBorders>
              <w:top w:val="nil"/>
              <w:left w:val="nil"/>
              <w:bottom w:val="single" w:sz="4" w:space="0" w:color="auto"/>
              <w:right w:val="single" w:sz="4" w:space="0" w:color="auto"/>
            </w:tcBorders>
            <w:shd w:val="clear" w:color="auto" w:fill="auto"/>
            <w:noWrap/>
            <w:vAlign w:val="center"/>
            <w:hideMark/>
          </w:tcPr>
          <w:p w14:paraId="574637BE"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AOM</w:t>
            </w:r>
          </w:p>
        </w:tc>
        <w:tc>
          <w:tcPr>
            <w:tcW w:w="968" w:type="pct"/>
            <w:tcBorders>
              <w:top w:val="nil"/>
              <w:left w:val="nil"/>
              <w:bottom w:val="single" w:sz="4" w:space="0" w:color="auto"/>
              <w:right w:val="single" w:sz="4" w:space="0" w:color="auto"/>
            </w:tcBorders>
            <w:shd w:val="clear" w:color="auto" w:fill="auto"/>
            <w:noWrap/>
            <w:vAlign w:val="center"/>
            <w:hideMark/>
          </w:tcPr>
          <w:p w14:paraId="3BD54685"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9.445</w:t>
            </w:r>
          </w:p>
        </w:tc>
        <w:tc>
          <w:tcPr>
            <w:tcW w:w="1050" w:type="pct"/>
            <w:tcBorders>
              <w:top w:val="nil"/>
              <w:left w:val="nil"/>
              <w:bottom w:val="single" w:sz="4" w:space="0" w:color="auto"/>
              <w:right w:val="single" w:sz="4" w:space="0" w:color="auto"/>
            </w:tcBorders>
            <w:shd w:val="clear" w:color="auto" w:fill="auto"/>
            <w:noWrap/>
            <w:vAlign w:val="center"/>
            <w:hideMark/>
          </w:tcPr>
          <w:p w14:paraId="7FFF35A1"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0</w:t>
            </w:r>
          </w:p>
        </w:tc>
      </w:tr>
      <w:tr w:rsidR="00C002A2" w:rsidRPr="00333B2F" w14:paraId="252A2289"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6C1CB51E"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Instalación Totalizadores Subnormales Existentes</w:t>
            </w:r>
          </w:p>
        </w:tc>
        <w:tc>
          <w:tcPr>
            <w:tcW w:w="807" w:type="pct"/>
            <w:tcBorders>
              <w:top w:val="nil"/>
              <w:left w:val="nil"/>
              <w:bottom w:val="single" w:sz="4" w:space="0" w:color="auto"/>
              <w:right w:val="single" w:sz="4" w:space="0" w:color="auto"/>
            </w:tcBorders>
            <w:shd w:val="clear" w:color="auto" w:fill="auto"/>
            <w:noWrap/>
            <w:vAlign w:val="center"/>
            <w:hideMark/>
          </w:tcPr>
          <w:p w14:paraId="245D38E9"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275D039C"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3.867</w:t>
            </w:r>
          </w:p>
        </w:tc>
        <w:tc>
          <w:tcPr>
            <w:tcW w:w="1050" w:type="pct"/>
            <w:tcBorders>
              <w:top w:val="nil"/>
              <w:left w:val="nil"/>
              <w:bottom w:val="single" w:sz="4" w:space="0" w:color="auto"/>
              <w:right w:val="single" w:sz="4" w:space="0" w:color="auto"/>
            </w:tcBorders>
            <w:shd w:val="clear" w:color="auto" w:fill="auto"/>
            <w:noWrap/>
            <w:vAlign w:val="center"/>
            <w:hideMark/>
          </w:tcPr>
          <w:p w14:paraId="36603DA8"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3.867</w:t>
            </w:r>
          </w:p>
        </w:tc>
      </w:tr>
      <w:tr w:rsidR="00C002A2" w:rsidRPr="00333B2F" w14:paraId="1209851C"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5C7BA6B4"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Instalación Totalizadores Subnormales Nuevos</w:t>
            </w:r>
          </w:p>
        </w:tc>
        <w:tc>
          <w:tcPr>
            <w:tcW w:w="807" w:type="pct"/>
            <w:tcBorders>
              <w:top w:val="nil"/>
              <w:left w:val="nil"/>
              <w:bottom w:val="single" w:sz="4" w:space="0" w:color="auto"/>
              <w:right w:val="single" w:sz="4" w:space="0" w:color="auto"/>
            </w:tcBorders>
            <w:shd w:val="clear" w:color="auto" w:fill="auto"/>
            <w:noWrap/>
            <w:vAlign w:val="center"/>
            <w:hideMark/>
          </w:tcPr>
          <w:p w14:paraId="0EB7256E"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23239EDE"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1.018</w:t>
            </w:r>
          </w:p>
        </w:tc>
        <w:tc>
          <w:tcPr>
            <w:tcW w:w="1050" w:type="pct"/>
            <w:tcBorders>
              <w:top w:val="nil"/>
              <w:left w:val="nil"/>
              <w:bottom w:val="single" w:sz="4" w:space="0" w:color="auto"/>
              <w:right w:val="single" w:sz="4" w:space="0" w:color="auto"/>
            </w:tcBorders>
            <w:shd w:val="clear" w:color="auto" w:fill="auto"/>
            <w:noWrap/>
            <w:vAlign w:val="center"/>
            <w:hideMark/>
          </w:tcPr>
          <w:p w14:paraId="28925D14"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1.018</w:t>
            </w:r>
          </w:p>
        </w:tc>
      </w:tr>
      <w:tr w:rsidR="00C002A2" w:rsidRPr="00333B2F" w14:paraId="3A15B735"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12444988"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Gestión Alarmas</w:t>
            </w:r>
          </w:p>
        </w:tc>
        <w:tc>
          <w:tcPr>
            <w:tcW w:w="807" w:type="pct"/>
            <w:tcBorders>
              <w:top w:val="nil"/>
              <w:left w:val="nil"/>
              <w:bottom w:val="single" w:sz="4" w:space="0" w:color="auto"/>
              <w:right w:val="single" w:sz="4" w:space="0" w:color="auto"/>
            </w:tcBorders>
            <w:shd w:val="clear" w:color="auto" w:fill="auto"/>
            <w:noWrap/>
            <w:vAlign w:val="center"/>
            <w:hideMark/>
          </w:tcPr>
          <w:p w14:paraId="60C5AF62"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AOM</w:t>
            </w:r>
          </w:p>
        </w:tc>
        <w:tc>
          <w:tcPr>
            <w:tcW w:w="968" w:type="pct"/>
            <w:tcBorders>
              <w:top w:val="nil"/>
              <w:left w:val="nil"/>
              <w:bottom w:val="single" w:sz="4" w:space="0" w:color="auto"/>
              <w:right w:val="single" w:sz="4" w:space="0" w:color="auto"/>
            </w:tcBorders>
            <w:shd w:val="clear" w:color="auto" w:fill="auto"/>
            <w:noWrap/>
            <w:vAlign w:val="center"/>
            <w:hideMark/>
          </w:tcPr>
          <w:p w14:paraId="1AE63FA9"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855</w:t>
            </w:r>
          </w:p>
        </w:tc>
        <w:tc>
          <w:tcPr>
            <w:tcW w:w="1050" w:type="pct"/>
            <w:tcBorders>
              <w:top w:val="nil"/>
              <w:left w:val="nil"/>
              <w:bottom w:val="single" w:sz="4" w:space="0" w:color="auto"/>
              <w:right w:val="single" w:sz="4" w:space="0" w:color="auto"/>
            </w:tcBorders>
            <w:shd w:val="clear" w:color="auto" w:fill="auto"/>
            <w:noWrap/>
            <w:vAlign w:val="center"/>
            <w:hideMark/>
          </w:tcPr>
          <w:p w14:paraId="0E24EFF1"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0</w:t>
            </w:r>
          </w:p>
        </w:tc>
      </w:tr>
      <w:tr w:rsidR="00C002A2" w:rsidRPr="00333B2F" w14:paraId="2025456D"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6E22511B"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Gestión Social</w:t>
            </w:r>
          </w:p>
        </w:tc>
        <w:tc>
          <w:tcPr>
            <w:tcW w:w="807" w:type="pct"/>
            <w:tcBorders>
              <w:top w:val="nil"/>
              <w:left w:val="nil"/>
              <w:bottom w:val="single" w:sz="4" w:space="0" w:color="auto"/>
              <w:right w:val="single" w:sz="4" w:space="0" w:color="auto"/>
            </w:tcBorders>
            <w:shd w:val="clear" w:color="auto" w:fill="auto"/>
            <w:noWrap/>
            <w:vAlign w:val="center"/>
            <w:hideMark/>
          </w:tcPr>
          <w:p w14:paraId="358E6561"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AOM</w:t>
            </w:r>
          </w:p>
        </w:tc>
        <w:tc>
          <w:tcPr>
            <w:tcW w:w="968" w:type="pct"/>
            <w:tcBorders>
              <w:top w:val="nil"/>
              <w:left w:val="nil"/>
              <w:bottom w:val="single" w:sz="4" w:space="0" w:color="auto"/>
              <w:right w:val="single" w:sz="4" w:space="0" w:color="auto"/>
            </w:tcBorders>
            <w:shd w:val="clear" w:color="auto" w:fill="auto"/>
            <w:noWrap/>
            <w:vAlign w:val="center"/>
            <w:hideMark/>
          </w:tcPr>
          <w:p w14:paraId="32D41BB9"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58.327</w:t>
            </w:r>
          </w:p>
        </w:tc>
        <w:tc>
          <w:tcPr>
            <w:tcW w:w="1050" w:type="pct"/>
            <w:tcBorders>
              <w:top w:val="nil"/>
              <w:left w:val="nil"/>
              <w:bottom w:val="single" w:sz="4" w:space="0" w:color="auto"/>
              <w:right w:val="single" w:sz="4" w:space="0" w:color="auto"/>
            </w:tcBorders>
            <w:shd w:val="clear" w:color="auto" w:fill="auto"/>
            <w:noWrap/>
            <w:vAlign w:val="center"/>
            <w:hideMark/>
          </w:tcPr>
          <w:p w14:paraId="0E3847C0"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0</w:t>
            </w:r>
          </w:p>
        </w:tc>
      </w:tr>
      <w:tr w:rsidR="00C002A2" w:rsidRPr="00333B2F" w14:paraId="1DC6E535"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50E534AC" w14:textId="77777777" w:rsidR="00C002A2" w:rsidRPr="00037848" w:rsidRDefault="00C002A2" w:rsidP="00A478FF">
            <w:pPr>
              <w:spacing w:before="0" w:after="0"/>
              <w:jc w:val="left"/>
              <w:rPr>
                <w:color w:val="000000"/>
                <w:sz w:val="16"/>
                <w:szCs w:val="16"/>
                <w:lang w:val="es-CO" w:eastAsia="es-CO"/>
              </w:rPr>
            </w:pPr>
            <w:r w:rsidRPr="00037848">
              <w:rPr>
                <w:color w:val="000000"/>
                <w:sz w:val="16"/>
                <w:szCs w:val="16"/>
                <w:lang w:val="es-CO" w:eastAsia="es-CO"/>
              </w:rPr>
              <w:t>Comunicaciones</w:t>
            </w:r>
          </w:p>
        </w:tc>
        <w:tc>
          <w:tcPr>
            <w:tcW w:w="807" w:type="pct"/>
            <w:tcBorders>
              <w:top w:val="nil"/>
              <w:left w:val="nil"/>
              <w:bottom w:val="single" w:sz="4" w:space="0" w:color="auto"/>
              <w:right w:val="single" w:sz="4" w:space="0" w:color="auto"/>
            </w:tcBorders>
            <w:shd w:val="clear" w:color="auto" w:fill="auto"/>
            <w:noWrap/>
            <w:vAlign w:val="center"/>
            <w:hideMark/>
          </w:tcPr>
          <w:p w14:paraId="04228EAB" w14:textId="4EBCCF7E" w:rsidR="00C002A2" w:rsidRPr="00037848" w:rsidRDefault="002D6A14" w:rsidP="00A478FF">
            <w:pPr>
              <w:spacing w:before="0" w:after="0"/>
              <w:jc w:val="left"/>
              <w:rPr>
                <w:color w:val="000000"/>
                <w:sz w:val="16"/>
                <w:szCs w:val="16"/>
                <w:lang w:val="es-CO" w:eastAsia="es-CO"/>
              </w:rPr>
            </w:pPr>
            <w:r w:rsidRPr="00037848">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3CC7E3FA" w14:textId="77777777" w:rsidR="00C002A2" w:rsidRPr="00037848" w:rsidRDefault="00C002A2" w:rsidP="00A478FF">
            <w:pPr>
              <w:spacing w:before="0" w:after="0"/>
              <w:jc w:val="right"/>
              <w:rPr>
                <w:color w:val="000000"/>
                <w:sz w:val="16"/>
                <w:szCs w:val="16"/>
                <w:lang w:val="es-CO" w:eastAsia="es-CO"/>
              </w:rPr>
            </w:pPr>
            <w:r w:rsidRPr="00037848">
              <w:rPr>
                <w:color w:val="000000"/>
                <w:sz w:val="16"/>
                <w:szCs w:val="16"/>
                <w:lang w:val="es-CO" w:eastAsia="es-CO"/>
              </w:rPr>
              <w:t>35.236</w:t>
            </w:r>
          </w:p>
        </w:tc>
        <w:tc>
          <w:tcPr>
            <w:tcW w:w="1050" w:type="pct"/>
            <w:tcBorders>
              <w:top w:val="nil"/>
              <w:left w:val="nil"/>
              <w:bottom w:val="single" w:sz="4" w:space="0" w:color="auto"/>
              <w:right w:val="single" w:sz="4" w:space="0" w:color="auto"/>
            </w:tcBorders>
            <w:shd w:val="clear" w:color="auto" w:fill="auto"/>
            <w:noWrap/>
            <w:vAlign w:val="center"/>
            <w:hideMark/>
          </w:tcPr>
          <w:p w14:paraId="5B81CDF4" w14:textId="371A671F" w:rsidR="00C002A2" w:rsidRPr="00037848" w:rsidRDefault="002D6A14" w:rsidP="00A478FF">
            <w:pPr>
              <w:spacing w:before="0" w:after="0"/>
              <w:jc w:val="right"/>
              <w:rPr>
                <w:color w:val="000000"/>
                <w:sz w:val="16"/>
                <w:szCs w:val="16"/>
                <w:lang w:val="es-CO" w:eastAsia="es-CO"/>
              </w:rPr>
            </w:pPr>
            <w:r w:rsidRPr="00037848">
              <w:rPr>
                <w:color w:val="000000"/>
                <w:sz w:val="16"/>
                <w:szCs w:val="16"/>
                <w:lang w:val="es-CO" w:eastAsia="es-CO"/>
              </w:rPr>
              <w:t>35.236</w:t>
            </w:r>
          </w:p>
        </w:tc>
      </w:tr>
      <w:tr w:rsidR="00C002A2" w:rsidRPr="00333B2F" w14:paraId="5754E4B9"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7253D461" w14:textId="77777777" w:rsidR="00C002A2" w:rsidRPr="00037848" w:rsidRDefault="00C002A2" w:rsidP="00A478FF">
            <w:pPr>
              <w:spacing w:before="0" w:after="0"/>
              <w:jc w:val="left"/>
              <w:rPr>
                <w:color w:val="000000"/>
                <w:sz w:val="16"/>
                <w:szCs w:val="16"/>
                <w:lang w:val="es-CO" w:eastAsia="es-CO"/>
              </w:rPr>
            </w:pPr>
            <w:r w:rsidRPr="00037848">
              <w:rPr>
                <w:color w:val="000000"/>
                <w:sz w:val="16"/>
                <w:szCs w:val="16"/>
                <w:lang w:val="es-CO" w:eastAsia="es-CO"/>
              </w:rPr>
              <w:t>Software medida Centralizada</w:t>
            </w:r>
          </w:p>
        </w:tc>
        <w:tc>
          <w:tcPr>
            <w:tcW w:w="807" w:type="pct"/>
            <w:tcBorders>
              <w:top w:val="nil"/>
              <w:left w:val="nil"/>
              <w:bottom w:val="single" w:sz="4" w:space="0" w:color="auto"/>
              <w:right w:val="single" w:sz="4" w:space="0" w:color="auto"/>
            </w:tcBorders>
            <w:shd w:val="clear" w:color="auto" w:fill="auto"/>
            <w:noWrap/>
            <w:vAlign w:val="center"/>
            <w:hideMark/>
          </w:tcPr>
          <w:p w14:paraId="15077AF0" w14:textId="77777777" w:rsidR="00C002A2" w:rsidRPr="00037848" w:rsidRDefault="00C002A2" w:rsidP="00A478FF">
            <w:pPr>
              <w:spacing w:before="0" w:after="0"/>
              <w:jc w:val="left"/>
              <w:rPr>
                <w:color w:val="000000"/>
                <w:sz w:val="16"/>
                <w:szCs w:val="16"/>
                <w:lang w:val="es-CO" w:eastAsia="es-CO"/>
              </w:rPr>
            </w:pPr>
            <w:r w:rsidRPr="00037848">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5B03F9AA" w14:textId="77777777" w:rsidR="00C002A2" w:rsidRPr="00037848" w:rsidRDefault="00C002A2" w:rsidP="00A478FF">
            <w:pPr>
              <w:spacing w:before="0" w:after="0"/>
              <w:jc w:val="right"/>
              <w:rPr>
                <w:color w:val="000000"/>
                <w:sz w:val="16"/>
                <w:szCs w:val="16"/>
                <w:lang w:val="es-CO" w:eastAsia="es-CO"/>
              </w:rPr>
            </w:pPr>
            <w:r w:rsidRPr="00037848">
              <w:rPr>
                <w:color w:val="000000"/>
                <w:sz w:val="16"/>
                <w:szCs w:val="16"/>
                <w:lang w:val="es-CO" w:eastAsia="es-CO"/>
              </w:rPr>
              <w:t>29.363</w:t>
            </w:r>
          </w:p>
        </w:tc>
        <w:tc>
          <w:tcPr>
            <w:tcW w:w="1050" w:type="pct"/>
            <w:tcBorders>
              <w:top w:val="nil"/>
              <w:left w:val="nil"/>
              <w:bottom w:val="single" w:sz="4" w:space="0" w:color="auto"/>
              <w:right w:val="single" w:sz="4" w:space="0" w:color="auto"/>
            </w:tcBorders>
            <w:shd w:val="clear" w:color="auto" w:fill="auto"/>
            <w:noWrap/>
            <w:vAlign w:val="center"/>
            <w:hideMark/>
          </w:tcPr>
          <w:p w14:paraId="428DDC9A" w14:textId="77777777" w:rsidR="00C002A2" w:rsidRPr="00037848" w:rsidRDefault="00C002A2" w:rsidP="00A478FF">
            <w:pPr>
              <w:spacing w:before="0" w:after="0"/>
              <w:jc w:val="right"/>
              <w:rPr>
                <w:color w:val="000000"/>
                <w:sz w:val="16"/>
                <w:szCs w:val="16"/>
                <w:lang w:val="es-CO" w:eastAsia="es-CO"/>
              </w:rPr>
            </w:pPr>
            <w:r w:rsidRPr="00037848">
              <w:rPr>
                <w:color w:val="000000"/>
                <w:sz w:val="16"/>
                <w:szCs w:val="16"/>
                <w:lang w:val="es-CO" w:eastAsia="es-CO"/>
              </w:rPr>
              <w:t>29.363</w:t>
            </w:r>
          </w:p>
        </w:tc>
      </w:tr>
      <w:tr w:rsidR="00C002A2" w:rsidRPr="00333B2F" w14:paraId="4F0FC251" w14:textId="77777777" w:rsidTr="00F7576E">
        <w:trPr>
          <w:trHeight w:val="227"/>
          <w:jc w:val="center"/>
        </w:trPr>
        <w:tc>
          <w:tcPr>
            <w:tcW w:w="2176" w:type="pct"/>
            <w:tcBorders>
              <w:top w:val="nil"/>
              <w:left w:val="single" w:sz="4" w:space="0" w:color="auto"/>
              <w:bottom w:val="single" w:sz="4" w:space="0" w:color="auto"/>
              <w:right w:val="single" w:sz="4" w:space="0" w:color="auto"/>
            </w:tcBorders>
            <w:shd w:val="clear" w:color="auto" w:fill="auto"/>
            <w:noWrap/>
            <w:vAlign w:val="center"/>
            <w:hideMark/>
          </w:tcPr>
          <w:p w14:paraId="6ED772CF"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Medición Centralizada</w:t>
            </w:r>
          </w:p>
        </w:tc>
        <w:tc>
          <w:tcPr>
            <w:tcW w:w="807" w:type="pct"/>
            <w:tcBorders>
              <w:top w:val="nil"/>
              <w:left w:val="nil"/>
              <w:bottom w:val="single" w:sz="4" w:space="0" w:color="auto"/>
              <w:right w:val="single" w:sz="4" w:space="0" w:color="auto"/>
            </w:tcBorders>
            <w:shd w:val="clear" w:color="auto" w:fill="auto"/>
            <w:noWrap/>
            <w:vAlign w:val="center"/>
            <w:hideMark/>
          </w:tcPr>
          <w:p w14:paraId="5A5C54BA"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nil"/>
              <w:left w:val="nil"/>
              <w:bottom w:val="single" w:sz="4" w:space="0" w:color="auto"/>
              <w:right w:val="single" w:sz="4" w:space="0" w:color="auto"/>
            </w:tcBorders>
            <w:shd w:val="clear" w:color="auto" w:fill="auto"/>
            <w:noWrap/>
            <w:vAlign w:val="center"/>
            <w:hideMark/>
          </w:tcPr>
          <w:p w14:paraId="232B4235"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224.666</w:t>
            </w:r>
          </w:p>
        </w:tc>
        <w:tc>
          <w:tcPr>
            <w:tcW w:w="1050" w:type="pct"/>
            <w:tcBorders>
              <w:top w:val="nil"/>
              <w:left w:val="nil"/>
              <w:bottom w:val="single" w:sz="4" w:space="0" w:color="auto"/>
              <w:right w:val="single" w:sz="4" w:space="0" w:color="auto"/>
            </w:tcBorders>
            <w:shd w:val="clear" w:color="auto" w:fill="auto"/>
            <w:noWrap/>
            <w:vAlign w:val="center"/>
            <w:hideMark/>
          </w:tcPr>
          <w:p w14:paraId="4D97AE8A"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224.666</w:t>
            </w:r>
          </w:p>
        </w:tc>
      </w:tr>
      <w:tr w:rsidR="00C002A2" w:rsidRPr="00333B2F" w14:paraId="5DDAD919" w14:textId="77777777" w:rsidTr="00F7576E">
        <w:trPr>
          <w:trHeight w:val="227"/>
          <w:jc w:val="center"/>
        </w:trPr>
        <w:tc>
          <w:tcPr>
            <w:tcW w:w="2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E83A1"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Macromedida</w:t>
            </w:r>
          </w:p>
        </w:tc>
        <w:tc>
          <w:tcPr>
            <w:tcW w:w="807" w:type="pct"/>
            <w:tcBorders>
              <w:top w:val="single" w:sz="4" w:space="0" w:color="auto"/>
              <w:left w:val="nil"/>
              <w:bottom w:val="single" w:sz="4" w:space="0" w:color="auto"/>
              <w:right w:val="single" w:sz="4" w:space="0" w:color="auto"/>
            </w:tcBorders>
            <w:shd w:val="clear" w:color="auto" w:fill="auto"/>
            <w:noWrap/>
            <w:vAlign w:val="center"/>
            <w:hideMark/>
          </w:tcPr>
          <w:p w14:paraId="1E2C880A" w14:textId="77777777" w:rsidR="00C002A2" w:rsidRPr="00333B2F" w:rsidRDefault="00C002A2" w:rsidP="00A478FF">
            <w:pPr>
              <w:spacing w:before="0" w:after="0"/>
              <w:jc w:val="left"/>
              <w:rPr>
                <w:color w:val="000000"/>
                <w:sz w:val="16"/>
                <w:szCs w:val="16"/>
                <w:lang w:val="es-CO" w:eastAsia="es-CO"/>
              </w:rPr>
            </w:pPr>
            <w:r w:rsidRPr="00333B2F">
              <w:rPr>
                <w:color w:val="000000"/>
                <w:sz w:val="16"/>
                <w:szCs w:val="16"/>
                <w:lang w:val="es-CO" w:eastAsia="es-CO"/>
              </w:rPr>
              <w:t>Inversión</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14:paraId="2D6BA53A"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116.469</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15AE6163" w14:textId="77777777" w:rsidR="00C002A2" w:rsidRPr="00333B2F" w:rsidRDefault="00C002A2" w:rsidP="00A478FF">
            <w:pPr>
              <w:spacing w:before="0" w:after="0"/>
              <w:jc w:val="right"/>
              <w:rPr>
                <w:color w:val="000000"/>
                <w:sz w:val="16"/>
                <w:szCs w:val="16"/>
                <w:lang w:val="es-CO" w:eastAsia="es-CO"/>
              </w:rPr>
            </w:pPr>
            <w:r w:rsidRPr="00333B2F">
              <w:rPr>
                <w:color w:val="000000"/>
                <w:sz w:val="16"/>
                <w:szCs w:val="16"/>
                <w:lang w:val="es-CO" w:eastAsia="es-CO"/>
              </w:rPr>
              <w:t>116.469</w:t>
            </w:r>
          </w:p>
        </w:tc>
      </w:tr>
      <w:tr w:rsidR="00133D43" w:rsidRPr="00333B2F" w14:paraId="2DECF3B7" w14:textId="77777777" w:rsidTr="00F7576E">
        <w:trPr>
          <w:trHeight w:val="227"/>
          <w:jc w:val="center"/>
        </w:trPr>
        <w:tc>
          <w:tcPr>
            <w:tcW w:w="29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112875" w14:textId="4E2EA34C" w:rsidR="00133D43" w:rsidRPr="00133D43" w:rsidRDefault="00133D43" w:rsidP="00133D43">
            <w:pPr>
              <w:spacing w:before="0" w:after="0"/>
              <w:jc w:val="center"/>
              <w:rPr>
                <w:b/>
                <w:bCs/>
                <w:color w:val="000000"/>
                <w:sz w:val="16"/>
                <w:szCs w:val="16"/>
                <w:lang w:val="es-CO" w:eastAsia="es-CO"/>
              </w:rPr>
            </w:pPr>
            <w:r w:rsidRPr="00133D43">
              <w:rPr>
                <w:b/>
                <w:bCs/>
                <w:color w:val="000000"/>
                <w:sz w:val="16"/>
                <w:szCs w:val="16"/>
                <w:lang w:val="es-CO" w:eastAsia="es-CO"/>
              </w:rPr>
              <w:t>Total</w:t>
            </w:r>
          </w:p>
        </w:tc>
        <w:tc>
          <w:tcPr>
            <w:tcW w:w="968" w:type="pct"/>
            <w:tcBorders>
              <w:top w:val="single" w:sz="4" w:space="0" w:color="auto"/>
              <w:left w:val="nil"/>
              <w:bottom w:val="single" w:sz="4" w:space="0" w:color="auto"/>
              <w:right w:val="single" w:sz="4" w:space="0" w:color="auto"/>
            </w:tcBorders>
            <w:shd w:val="clear" w:color="auto" w:fill="auto"/>
            <w:noWrap/>
            <w:vAlign w:val="center"/>
          </w:tcPr>
          <w:p w14:paraId="6449DF8D" w14:textId="57C4DDA0" w:rsidR="00133D43" w:rsidRPr="00133D43" w:rsidRDefault="00133D43" w:rsidP="00A478FF">
            <w:pPr>
              <w:spacing w:before="0" w:after="0"/>
              <w:jc w:val="right"/>
              <w:rPr>
                <w:b/>
                <w:bCs/>
                <w:color w:val="000000"/>
                <w:sz w:val="16"/>
                <w:szCs w:val="16"/>
                <w:lang w:val="es-CO" w:eastAsia="es-CO"/>
              </w:rPr>
            </w:pPr>
            <w:r w:rsidRPr="00133D43">
              <w:rPr>
                <w:b/>
                <w:bCs/>
                <w:color w:val="000000"/>
                <w:sz w:val="16"/>
                <w:szCs w:val="16"/>
                <w:lang w:val="es-CO" w:eastAsia="es-CO"/>
              </w:rPr>
              <w:t>1.042.230</w:t>
            </w:r>
          </w:p>
        </w:tc>
        <w:tc>
          <w:tcPr>
            <w:tcW w:w="1050" w:type="pct"/>
            <w:tcBorders>
              <w:top w:val="single" w:sz="4" w:space="0" w:color="auto"/>
              <w:left w:val="nil"/>
              <w:bottom w:val="single" w:sz="4" w:space="0" w:color="auto"/>
              <w:right w:val="single" w:sz="4" w:space="0" w:color="auto"/>
            </w:tcBorders>
            <w:shd w:val="clear" w:color="auto" w:fill="auto"/>
            <w:noWrap/>
            <w:vAlign w:val="center"/>
          </w:tcPr>
          <w:p w14:paraId="01121645" w14:textId="12926862" w:rsidR="00133D43" w:rsidRPr="00133D43" w:rsidRDefault="00133D43" w:rsidP="00A478FF">
            <w:pPr>
              <w:spacing w:before="0" w:after="0"/>
              <w:jc w:val="right"/>
              <w:rPr>
                <w:b/>
                <w:bCs/>
                <w:color w:val="000000"/>
                <w:sz w:val="16"/>
                <w:szCs w:val="16"/>
                <w:lang w:val="es-CO" w:eastAsia="es-CO"/>
              </w:rPr>
            </w:pPr>
            <w:r w:rsidRPr="00133D43">
              <w:rPr>
                <w:b/>
                <w:bCs/>
                <w:color w:val="000000"/>
                <w:sz w:val="16"/>
                <w:szCs w:val="16"/>
                <w:lang w:val="es-CO" w:eastAsia="es-CO"/>
              </w:rPr>
              <w:t>767.324</w:t>
            </w:r>
          </w:p>
        </w:tc>
      </w:tr>
    </w:tbl>
    <w:p w14:paraId="696780F3" w14:textId="63C9EC95" w:rsidR="00990CE8" w:rsidRDefault="00133D43" w:rsidP="00990CE8">
      <w:r>
        <w:t xml:space="preserve">Por lo anterior, en la variable </w:t>
      </w:r>
      <w:r w:rsidRPr="009B2BC1">
        <w:rPr>
          <w:i/>
          <w:iCs/>
        </w:rPr>
        <w:t>INVNUC</w:t>
      </w:r>
      <w:r>
        <w:t xml:space="preserve"> se</w:t>
      </w:r>
      <w:r w:rsidR="009B2BC1">
        <w:t xml:space="preserve"> </w:t>
      </w:r>
      <w:r>
        <w:t>incluyen únicamente los valores asociados con las actividades de inversión</w:t>
      </w:r>
      <w:r w:rsidR="00974611">
        <w:t xml:space="preserve"> ya que </w:t>
      </w:r>
      <w:r>
        <w:t>las actividades asociadas con gastos hacen parte del componente de AOM de pérdidas</w:t>
      </w:r>
      <w:r w:rsidR="00641263">
        <w:t xml:space="preserve"> de acuerdo con la metodología definida en la Resolución CREG 015 de 2018</w:t>
      </w:r>
      <w:r>
        <w:t>.</w:t>
      </w:r>
    </w:p>
    <w:p w14:paraId="244C814F" w14:textId="60CA43DD" w:rsidR="009B2BC1" w:rsidRDefault="009B2BC1" w:rsidP="00446B5D">
      <w:pPr>
        <w:keepNext/>
        <w:rPr>
          <w:b/>
          <w:bCs/>
        </w:rPr>
      </w:pPr>
      <w:r>
        <w:rPr>
          <w:b/>
          <w:bCs/>
        </w:rPr>
        <w:t>Solicitud No. 23</w:t>
      </w:r>
    </w:p>
    <w:p w14:paraId="260971AB" w14:textId="77777777" w:rsidR="009B2BC1" w:rsidRPr="009B2BC1" w:rsidRDefault="009B2BC1" w:rsidP="009B2BC1">
      <w:r w:rsidRPr="009B2BC1">
        <w:t>El OR solicita lo siguiente:</w:t>
      </w:r>
    </w:p>
    <w:p w14:paraId="21581C92" w14:textId="26DA15DF" w:rsidR="009B2BC1" w:rsidRDefault="009B2BC1" w:rsidP="008F4A44">
      <w:pPr>
        <w:spacing w:before="60" w:after="60"/>
        <w:ind w:left="284"/>
        <w:rPr>
          <w:i/>
          <w:iCs/>
          <w:sz w:val="20"/>
          <w:szCs w:val="20"/>
        </w:rPr>
      </w:pPr>
      <w:r w:rsidRPr="009B2BC1">
        <w:rPr>
          <w:i/>
          <w:iCs/>
          <w:sz w:val="20"/>
          <w:szCs w:val="20"/>
        </w:rPr>
        <w:t>Se solicita al regulador reconocer los valores de AOM de pérdidas para los años 2012 y 2013 solicitados por AIR-E S.A.S. E.S.P. mediante radicado E-2021-002222</w:t>
      </w:r>
    </w:p>
    <w:p w14:paraId="1B38805F" w14:textId="77777777" w:rsidR="00661763" w:rsidRDefault="00661763" w:rsidP="00990CE8">
      <w:r>
        <w:t xml:space="preserve">En la comunicación con radicado CREG </w:t>
      </w:r>
      <w:r w:rsidRPr="00661763">
        <w:t>E-2021-002222</w:t>
      </w:r>
      <w:r>
        <w:t xml:space="preserve"> se encuentran cuatro carpetas con la siguiente información:</w:t>
      </w:r>
    </w:p>
    <w:p w14:paraId="58823C87" w14:textId="005E7C1B" w:rsidR="009B2BC1" w:rsidRDefault="00661763" w:rsidP="00661763">
      <w:pPr>
        <w:pStyle w:val="Prrafodelista"/>
        <w:numPr>
          <w:ilvl w:val="0"/>
          <w:numId w:val="17"/>
        </w:numPr>
        <w:spacing w:before="120" w:after="120"/>
        <w:ind w:left="357" w:hanging="357"/>
      </w:pPr>
      <w:r>
        <w:t xml:space="preserve">Anexo 1, contiene archivo </w:t>
      </w:r>
      <w:r w:rsidRPr="00661763">
        <w:rPr>
          <w:i/>
          <w:iCs/>
        </w:rPr>
        <w:t>20210217 Circular029-2018 Formatos reporte inventario OR Rev 5.xlsx</w:t>
      </w:r>
      <w:r>
        <w:t xml:space="preserve"> </w:t>
      </w:r>
    </w:p>
    <w:p w14:paraId="1E2B1B2D" w14:textId="42267612" w:rsidR="007C378B" w:rsidRDefault="00661763" w:rsidP="00661763">
      <w:pPr>
        <w:pStyle w:val="Prrafodelista"/>
        <w:numPr>
          <w:ilvl w:val="0"/>
          <w:numId w:val="17"/>
        </w:numPr>
        <w:spacing w:before="120" w:after="120"/>
        <w:ind w:left="357" w:hanging="357"/>
      </w:pPr>
      <w:r>
        <w:t xml:space="preserve">Anexo 2, contiene archivo </w:t>
      </w:r>
      <w:r w:rsidRPr="00661763">
        <w:rPr>
          <w:i/>
          <w:iCs/>
        </w:rPr>
        <w:t>GIS-AIR-E.gdb.rar</w:t>
      </w:r>
      <w:r>
        <w:t xml:space="preserve"> </w:t>
      </w:r>
    </w:p>
    <w:p w14:paraId="2771CA85" w14:textId="32A6E90C" w:rsidR="007C378B" w:rsidRDefault="00661763" w:rsidP="00661763">
      <w:pPr>
        <w:pStyle w:val="Prrafodelista"/>
        <w:numPr>
          <w:ilvl w:val="0"/>
          <w:numId w:val="17"/>
        </w:numPr>
        <w:spacing w:before="120" w:after="120"/>
        <w:ind w:left="357" w:hanging="357"/>
      </w:pPr>
      <w:r>
        <w:t xml:space="preserve">Anexo 3. Contiene archivo </w:t>
      </w:r>
      <w:r w:rsidRPr="00661763">
        <w:rPr>
          <w:i/>
          <w:iCs/>
        </w:rPr>
        <w:t>20210217 UC especiales.xlsx</w:t>
      </w:r>
      <w:r>
        <w:t xml:space="preserve"> y carpeta </w:t>
      </w:r>
      <w:r w:rsidRPr="00661763">
        <w:rPr>
          <w:i/>
          <w:iCs/>
        </w:rPr>
        <w:t>3.2 soporte UC especiales</w:t>
      </w:r>
    </w:p>
    <w:p w14:paraId="041C8999" w14:textId="48474CD9" w:rsidR="007C378B" w:rsidRDefault="00661763" w:rsidP="00661763">
      <w:pPr>
        <w:pStyle w:val="Prrafodelista"/>
        <w:numPr>
          <w:ilvl w:val="0"/>
          <w:numId w:val="17"/>
        </w:numPr>
        <w:spacing w:before="120" w:after="120"/>
        <w:ind w:left="357" w:hanging="357"/>
      </w:pPr>
      <w:r>
        <w:t xml:space="preserve">Anexo 4, contiene archivo </w:t>
      </w:r>
      <w:r w:rsidRPr="00661763">
        <w:rPr>
          <w:i/>
          <w:iCs/>
        </w:rPr>
        <w:t>20210217 Circular029-2018 Formato solicitud ingresos CREG 015.xlsx</w:t>
      </w:r>
    </w:p>
    <w:p w14:paraId="208CA468" w14:textId="1E613285" w:rsidR="00C161C4" w:rsidRDefault="00661763" w:rsidP="005C36C6">
      <w:r>
        <w:t xml:space="preserve">En el archivo </w:t>
      </w:r>
      <w:r w:rsidRPr="00661763">
        <w:rPr>
          <w:i/>
          <w:iCs/>
        </w:rPr>
        <w:t>20210217 Circular029-2018 Formato solicitud ingresos CREG 015.xlsx</w:t>
      </w:r>
      <w:r>
        <w:t xml:space="preserve"> se encuentra la siguiente información</w:t>
      </w:r>
      <w:r w:rsidR="00C356AB">
        <w:t xml:space="preserve"> de AOM destinado a pérdidas</w:t>
      </w:r>
      <w:r>
        <w:t>:</w:t>
      </w:r>
      <w:r w:rsidR="00F029B1">
        <w:t xml:space="preserve"> </w:t>
      </w:r>
    </w:p>
    <w:p w14:paraId="538E7836" w14:textId="1BA69B97" w:rsidR="00661763" w:rsidRPr="00661763" w:rsidRDefault="00661763" w:rsidP="00661763">
      <w:pPr>
        <w:ind w:left="708"/>
        <w:rPr>
          <w:b/>
          <w:bCs/>
          <w:lang w:val="es-CO" w:eastAsia="es-CO"/>
        </w:rPr>
      </w:pPr>
      <w:r w:rsidRPr="00661763">
        <w:rPr>
          <w:b/>
          <w:bCs/>
          <w:lang w:val="es-CO" w:eastAsia="es-CO"/>
        </w:rPr>
        <w:t>AOM destinado a programas de reducción de pérdidas</w:t>
      </w: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1695"/>
        <w:gridCol w:w="1385"/>
        <w:gridCol w:w="1385"/>
        <w:gridCol w:w="1385"/>
        <w:gridCol w:w="1385"/>
        <w:gridCol w:w="1385"/>
      </w:tblGrid>
      <w:tr w:rsidR="00661763" w:rsidRPr="00661763" w14:paraId="4CA4B48B" w14:textId="77777777" w:rsidTr="0066176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5E5FC6"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Variable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B8D2DB5"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2012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21F5F7C"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2013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89ECCA6"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2014</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F1DC36A"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2015</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3DE9270" w14:textId="77777777" w:rsidR="00661763" w:rsidRPr="00661763" w:rsidRDefault="00661763" w:rsidP="00661763">
            <w:pPr>
              <w:spacing w:before="0" w:after="0"/>
              <w:jc w:val="center"/>
              <w:rPr>
                <w:rFonts w:cs="Arial"/>
                <w:b/>
                <w:bCs/>
                <w:sz w:val="16"/>
                <w:szCs w:val="16"/>
                <w:lang w:val="es-CO" w:eastAsia="es-CO"/>
              </w:rPr>
            </w:pPr>
            <w:r w:rsidRPr="00661763">
              <w:rPr>
                <w:rFonts w:cs="Arial"/>
                <w:b/>
                <w:bCs/>
                <w:sz w:val="16"/>
                <w:szCs w:val="16"/>
                <w:lang w:val="es-CO" w:eastAsia="es-CO"/>
              </w:rPr>
              <w:t>2016</w:t>
            </w:r>
          </w:p>
        </w:tc>
      </w:tr>
      <w:tr w:rsidR="00661763" w:rsidRPr="00661763" w14:paraId="36BD4441" w14:textId="77777777" w:rsidTr="00661763">
        <w:trPr>
          <w:trHeight w:val="33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5AF1AE0" w14:textId="77777777" w:rsidR="00661763" w:rsidRPr="00661763" w:rsidRDefault="00661763" w:rsidP="00661763">
            <w:pPr>
              <w:spacing w:before="0" w:after="0"/>
              <w:jc w:val="left"/>
              <w:rPr>
                <w:rFonts w:cs="Arial"/>
                <w:i/>
                <w:iCs/>
                <w:sz w:val="16"/>
                <w:szCs w:val="16"/>
                <w:lang w:val="es-CO" w:eastAsia="es-CO"/>
              </w:rPr>
            </w:pPr>
            <w:r w:rsidRPr="00661763">
              <w:rPr>
                <w:rFonts w:cs="Arial"/>
                <w:i/>
                <w:iCs/>
                <w:sz w:val="16"/>
                <w:szCs w:val="16"/>
                <w:lang w:val="es-CO" w:eastAsia="es-CO"/>
              </w:rPr>
              <w:t>AOMP</w:t>
            </w:r>
            <w:r w:rsidRPr="00661763">
              <w:rPr>
                <w:rFonts w:cs="Arial"/>
                <w:i/>
                <w:iCs/>
                <w:sz w:val="16"/>
                <w:szCs w:val="16"/>
                <w:vertAlign w:val="subscript"/>
                <w:lang w:val="es-CO" w:eastAsia="es-CO"/>
              </w:rPr>
              <w:t>j,t</w:t>
            </w:r>
            <w:r w:rsidRPr="00661763">
              <w:rPr>
                <w:rFonts w:cs="Arial"/>
                <w:i/>
                <w:iCs/>
                <w:sz w:val="16"/>
                <w:szCs w:val="16"/>
                <w:lang w:val="es-CO" w:eastAsia="es-CO"/>
              </w:rPr>
              <w:t xml:space="preserve"> Electricaribe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A6F02D"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11.189.048.558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5897EE"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17.430.615.463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C97E65"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46.166.949.027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02C8FA"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46.899.473.717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E4E1F5"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47.096.950.221</w:t>
            </w:r>
          </w:p>
        </w:tc>
      </w:tr>
      <w:tr w:rsidR="00661763" w:rsidRPr="00661763" w14:paraId="2CED2BDC" w14:textId="77777777" w:rsidTr="00661763">
        <w:trPr>
          <w:trHeight w:val="33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5F039B2" w14:textId="77777777" w:rsidR="00661763" w:rsidRPr="00661763" w:rsidRDefault="00661763" w:rsidP="00661763">
            <w:pPr>
              <w:spacing w:before="0" w:after="0"/>
              <w:jc w:val="left"/>
              <w:rPr>
                <w:rFonts w:cs="Arial"/>
                <w:i/>
                <w:iCs/>
                <w:sz w:val="16"/>
                <w:szCs w:val="16"/>
                <w:lang w:val="es-CO" w:eastAsia="es-CO"/>
              </w:rPr>
            </w:pPr>
            <w:r w:rsidRPr="00661763">
              <w:rPr>
                <w:rFonts w:cs="Arial"/>
                <w:i/>
                <w:iCs/>
                <w:sz w:val="16"/>
                <w:szCs w:val="16"/>
                <w:lang w:val="es-CO" w:eastAsia="es-CO"/>
              </w:rPr>
              <w:t>AOMP</w:t>
            </w:r>
            <w:r w:rsidRPr="00661763">
              <w:rPr>
                <w:rFonts w:cs="Arial"/>
                <w:i/>
                <w:iCs/>
                <w:sz w:val="16"/>
                <w:szCs w:val="16"/>
                <w:vertAlign w:val="subscript"/>
                <w:lang w:val="es-CO" w:eastAsia="es-CO"/>
              </w:rPr>
              <w:t>j,t</w:t>
            </w:r>
            <w:r w:rsidRPr="00661763">
              <w:rPr>
                <w:rFonts w:cs="Arial"/>
                <w:i/>
                <w:iCs/>
                <w:sz w:val="16"/>
                <w:szCs w:val="16"/>
                <w:lang w:val="es-CO" w:eastAsia="es-CO"/>
              </w:rPr>
              <w:t xml:space="preserve"> AIRE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E23177"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2.507.257.575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9066DD"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3.905.876.575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C714D0"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10.345.154.198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763207"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10.509.299.350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69EE70" w14:textId="77777777" w:rsidR="00661763" w:rsidRPr="00661763" w:rsidRDefault="00661763" w:rsidP="00661763">
            <w:pPr>
              <w:spacing w:before="0" w:after="0"/>
              <w:jc w:val="right"/>
              <w:rPr>
                <w:rFonts w:cs="Arial"/>
                <w:color w:val="000000"/>
                <w:sz w:val="16"/>
                <w:szCs w:val="16"/>
                <w:lang w:val="es-CO" w:eastAsia="es-CO"/>
              </w:rPr>
            </w:pPr>
            <w:r w:rsidRPr="00661763">
              <w:rPr>
                <w:rFonts w:cs="Arial"/>
                <w:color w:val="000000"/>
                <w:sz w:val="16"/>
                <w:szCs w:val="16"/>
                <w:lang w:val="es-CO" w:eastAsia="es-CO"/>
              </w:rPr>
              <w:t>10.553.550.160</w:t>
            </w:r>
          </w:p>
        </w:tc>
      </w:tr>
    </w:tbl>
    <w:p w14:paraId="45F41C43" w14:textId="562576FF" w:rsidR="00FC4A62" w:rsidRDefault="00FB07B9" w:rsidP="005C36C6">
      <w:r>
        <w:t>D</w:t>
      </w:r>
      <w:r w:rsidR="00660AF7">
        <w:t xml:space="preserve">e acuerdo con </w:t>
      </w:r>
      <w:r w:rsidR="00FC4A62">
        <w:t xml:space="preserve">la metodología definida en la Resolución CREG 015 de 2018, para el reconocimiento </w:t>
      </w:r>
      <w:r w:rsidR="00660AF7">
        <w:t xml:space="preserve">del </w:t>
      </w:r>
      <w:r w:rsidR="00FC4A62">
        <w:t>i</w:t>
      </w:r>
      <w:r w:rsidR="00FC4A62" w:rsidRPr="00FC4A62">
        <w:t>ngreso anual por concepto de AOM</w:t>
      </w:r>
      <w:r w:rsidR="00FC4A62">
        <w:t xml:space="preserve"> se descuenta el valor correspondiente al AOM </w:t>
      </w:r>
      <w:r w:rsidR="00FC4A62" w:rsidRPr="00FC4A62">
        <w:t>destinado a los programas de reducción o mantenimiento de pérdidas</w:t>
      </w:r>
      <w:r w:rsidR="00FC4A62">
        <w:t xml:space="preserve">, ya que este mismo valor es incluido en el cálculo del costo anual del programa de gestión de pérdidas. </w:t>
      </w:r>
    </w:p>
    <w:p w14:paraId="2ADA8E02" w14:textId="4F3C8045" w:rsidR="00FC4A62" w:rsidRDefault="00FC4A62" w:rsidP="005C36C6">
      <w:r>
        <w:t>En el Artículo 10 de la Resolución CREG 010 de 2020 se establece</w:t>
      </w:r>
      <w:r w:rsidR="00660AF7">
        <w:t xml:space="preserve">, entre otros, </w:t>
      </w:r>
      <w:r>
        <w:t xml:space="preserve">el criterio para distribuir el valor de la variable </w:t>
      </w:r>
      <w:r w:rsidRPr="00FC4A62">
        <w:rPr>
          <w:i/>
          <w:iCs/>
        </w:rPr>
        <w:t>AOMP</w:t>
      </w:r>
      <w:r w:rsidRPr="00FC4A62">
        <w:rPr>
          <w:i/>
          <w:iCs/>
          <w:vertAlign w:val="subscript"/>
        </w:rPr>
        <w:t>j,k</w:t>
      </w:r>
      <w:r>
        <w:t xml:space="preserve"> del mercado de Electricaribe entre los mercados nuevos: </w:t>
      </w:r>
    </w:p>
    <w:p w14:paraId="2197B73A" w14:textId="159CDBA7" w:rsidR="00FC4A62" w:rsidRDefault="00FC4A62" w:rsidP="008F4A44">
      <w:pPr>
        <w:pStyle w:val="Artculo"/>
        <w:numPr>
          <w:ilvl w:val="0"/>
          <w:numId w:val="0"/>
        </w:numPr>
        <w:spacing w:before="60" w:after="60"/>
        <w:ind w:left="284"/>
        <w:outlineLvl w:val="2"/>
        <w:rPr>
          <w:b w:val="0"/>
          <w:i/>
          <w:iCs/>
          <w:sz w:val="20"/>
          <w:szCs w:val="20"/>
        </w:rPr>
      </w:pPr>
      <w:r w:rsidRPr="00FC4A62">
        <w:rPr>
          <w:i/>
          <w:iCs/>
          <w:sz w:val="20"/>
          <w:szCs w:val="20"/>
        </w:rPr>
        <w:t xml:space="preserve">Artículo 1 Cálculo del AOM de pérdidas. </w:t>
      </w:r>
      <w:r w:rsidRPr="00FC4A62">
        <w:rPr>
          <w:b w:val="0"/>
          <w:i/>
          <w:iCs/>
          <w:sz w:val="20"/>
          <w:szCs w:val="20"/>
        </w:rPr>
        <w:t xml:space="preserve">Para la aplicación de la metodología establecida en la Resolución CREG 015 de 2018 en los mercados resultantes y para el régimen transitorio especial definido en la presente resolución, </w:t>
      </w:r>
      <w:r w:rsidRPr="00FC4A62">
        <w:rPr>
          <w:b w:val="0"/>
          <w:i/>
          <w:iCs/>
          <w:sz w:val="20"/>
          <w:szCs w:val="20"/>
          <w:u w:val="single"/>
        </w:rPr>
        <w:t>para el cálculo de la variable AOMP</w:t>
      </w:r>
      <w:r w:rsidRPr="00FC4A62">
        <w:rPr>
          <w:b w:val="0"/>
          <w:i/>
          <w:iCs/>
          <w:sz w:val="20"/>
          <w:szCs w:val="20"/>
          <w:u w:val="single"/>
          <w:vertAlign w:val="subscript"/>
        </w:rPr>
        <w:t>j,k</w:t>
      </w:r>
      <w:r w:rsidRPr="00FC4A62">
        <w:rPr>
          <w:b w:val="0"/>
          <w:i/>
          <w:iCs/>
          <w:sz w:val="20"/>
          <w:szCs w:val="20"/>
          <w:u w:val="single"/>
        </w:rPr>
        <w:t xml:space="preserve"> del numeral 7.3.2.3 de dicha resolución</w:t>
      </w:r>
      <w:r w:rsidRPr="00FC4A62">
        <w:rPr>
          <w:b w:val="0"/>
          <w:i/>
          <w:iCs/>
          <w:sz w:val="20"/>
          <w:szCs w:val="20"/>
        </w:rPr>
        <w:t xml:space="preserve">, se utilizará la información del mercado caribe y </w:t>
      </w:r>
      <w:r w:rsidRPr="00FC4A62">
        <w:rPr>
          <w:b w:val="0"/>
          <w:i/>
          <w:iCs/>
          <w:sz w:val="20"/>
          <w:szCs w:val="20"/>
          <w:u w:val="single"/>
        </w:rPr>
        <w:t>se repartirá en forma proporcional a la longitud de las redes rurales de nivel de tensión 2 de los mercados resultantes</w:t>
      </w:r>
      <w:r w:rsidRPr="00FC4A62">
        <w:rPr>
          <w:b w:val="0"/>
          <w:i/>
          <w:iCs/>
          <w:sz w:val="20"/>
          <w:szCs w:val="20"/>
        </w:rPr>
        <w:t>.</w:t>
      </w:r>
    </w:p>
    <w:p w14:paraId="3DA35150" w14:textId="08D57C27" w:rsidR="00660AF7" w:rsidRPr="00660AF7" w:rsidRDefault="00660AF7" w:rsidP="008F4A44">
      <w:pPr>
        <w:pStyle w:val="Artculo"/>
        <w:numPr>
          <w:ilvl w:val="0"/>
          <w:numId w:val="0"/>
        </w:numPr>
        <w:spacing w:before="60" w:after="60"/>
        <w:ind w:left="284"/>
        <w:outlineLvl w:val="2"/>
        <w:rPr>
          <w:rFonts w:eastAsia="Arial"/>
          <w:b w:val="0"/>
          <w:bCs/>
          <w:i/>
          <w:iCs/>
          <w:sz w:val="20"/>
          <w:szCs w:val="20"/>
        </w:rPr>
      </w:pPr>
      <w:r w:rsidRPr="00660AF7">
        <w:rPr>
          <w:b w:val="0"/>
          <w:bCs/>
          <w:i/>
          <w:iCs/>
          <w:sz w:val="20"/>
          <w:szCs w:val="20"/>
        </w:rPr>
        <w:t>Subrayado fuera de texto</w:t>
      </w:r>
    </w:p>
    <w:p w14:paraId="68FB8465" w14:textId="7CEE38FB" w:rsidR="00C161C4" w:rsidRDefault="00FC4A62" w:rsidP="00FC4A62">
      <w:r>
        <w:t xml:space="preserve">En el literal b del artículo 9 de la Resolución CREG 010 de 2020 se establece lo </w:t>
      </w:r>
      <w:r w:rsidR="00535814">
        <w:t xml:space="preserve">relacionado </w:t>
      </w:r>
      <w:r>
        <w:t>con la información de</w:t>
      </w:r>
      <w:r w:rsidR="00535814">
        <w:t>l</w:t>
      </w:r>
      <w:r>
        <w:t xml:space="preserve"> AOM de pérdidas a descontar del AOM base:</w:t>
      </w:r>
    </w:p>
    <w:p w14:paraId="04C29599" w14:textId="7A0A984D" w:rsidR="00FC4A62" w:rsidRDefault="00660AF7" w:rsidP="008F4A44">
      <w:pPr>
        <w:pStyle w:val="Artculo"/>
        <w:numPr>
          <w:ilvl w:val="0"/>
          <w:numId w:val="0"/>
        </w:numPr>
        <w:spacing w:before="60" w:after="60"/>
        <w:ind w:left="284"/>
        <w:outlineLvl w:val="2"/>
        <w:rPr>
          <w:rFonts w:eastAsia="Arial"/>
          <w:b w:val="0"/>
          <w:i/>
          <w:iCs/>
          <w:sz w:val="20"/>
          <w:szCs w:val="20"/>
        </w:rPr>
      </w:pPr>
      <w:bookmarkStart w:id="15" w:name="_Ref27562216"/>
      <w:r>
        <w:rPr>
          <w:rFonts w:eastAsia="Arial"/>
          <w:b w:val="0"/>
          <w:i/>
          <w:iCs/>
          <w:sz w:val="20"/>
          <w:szCs w:val="20"/>
        </w:rPr>
        <w:t>b</w:t>
      </w:r>
      <w:r w:rsidR="00FC4A62">
        <w:rPr>
          <w:rFonts w:eastAsia="Arial"/>
          <w:b w:val="0"/>
          <w:i/>
          <w:iCs/>
          <w:sz w:val="20"/>
          <w:szCs w:val="20"/>
        </w:rPr>
        <w:t xml:space="preserve">. </w:t>
      </w:r>
      <w:r w:rsidR="00FC4A62" w:rsidRPr="00FC4A62">
        <w:rPr>
          <w:rFonts w:eastAsia="Arial"/>
          <w:b w:val="0"/>
          <w:i/>
          <w:iCs/>
          <w:sz w:val="20"/>
          <w:szCs w:val="20"/>
        </w:rPr>
        <w:t>Se calculará la variable AOMbase</w:t>
      </w:r>
      <w:r w:rsidR="00FC4A62" w:rsidRPr="00FC4A62">
        <w:rPr>
          <w:rFonts w:eastAsia="Arial"/>
          <w:b w:val="0"/>
          <w:i/>
          <w:iCs/>
          <w:sz w:val="20"/>
          <w:szCs w:val="20"/>
          <w:vertAlign w:val="subscript"/>
        </w:rPr>
        <w:t xml:space="preserve">j </w:t>
      </w:r>
      <w:r w:rsidR="00FC4A62" w:rsidRPr="00FC4A62">
        <w:rPr>
          <w:rFonts w:eastAsia="Arial"/>
          <w:b w:val="0"/>
          <w:i/>
          <w:iCs/>
          <w:sz w:val="20"/>
          <w:szCs w:val="20"/>
        </w:rPr>
        <w:t xml:space="preserve">relacionada en el numeral 4.1 de la Resolución CREG 015 de 2018, considerando las series de AOM demostrado entre el 2015 y el 2019, AOM remunerado entre el 2015 y el 2019 </w:t>
      </w:r>
      <w:r w:rsidR="00FC4A62" w:rsidRPr="00FC4A62">
        <w:rPr>
          <w:rFonts w:eastAsia="Arial"/>
          <w:b w:val="0"/>
          <w:i/>
          <w:iCs/>
          <w:sz w:val="20"/>
          <w:szCs w:val="20"/>
          <w:u w:val="single"/>
        </w:rPr>
        <w:t>y el AOM destinado a los programas de reducción o mantenimiento de pérdidas entre el 2015 y el 2019</w:t>
      </w:r>
      <w:r w:rsidR="00FC4A62" w:rsidRPr="00FC4A62">
        <w:rPr>
          <w:rFonts w:eastAsia="Arial"/>
          <w:b w:val="0"/>
          <w:i/>
          <w:iCs/>
          <w:sz w:val="20"/>
          <w:szCs w:val="20"/>
        </w:rPr>
        <w:t>.</w:t>
      </w:r>
      <w:bookmarkEnd w:id="15"/>
    </w:p>
    <w:p w14:paraId="0381B0A5" w14:textId="2162685C" w:rsidR="00660AF7" w:rsidRPr="00FC4A62" w:rsidRDefault="00660AF7" w:rsidP="008F4A44">
      <w:pPr>
        <w:pStyle w:val="Artculo"/>
        <w:numPr>
          <w:ilvl w:val="0"/>
          <w:numId w:val="0"/>
        </w:numPr>
        <w:spacing w:before="60" w:after="60"/>
        <w:ind w:left="284"/>
        <w:outlineLvl w:val="2"/>
        <w:rPr>
          <w:rFonts w:eastAsia="Arial"/>
          <w:b w:val="0"/>
          <w:i/>
          <w:iCs/>
          <w:sz w:val="20"/>
          <w:szCs w:val="20"/>
        </w:rPr>
      </w:pPr>
      <w:r w:rsidRPr="00660AF7">
        <w:rPr>
          <w:b w:val="0"/>
          <w:bCs/>
          <w:i/>
          <w:iCs/>
          <w:sz w:val="20"/>
          <w:szCs w:val="20"/>
        </w:rPr>
        <w:t>Subrayado fuera de texto</w:t>
      </w:r>
    </w:p>
    <w:p w14:paraId="30042AE0" w14:textId="7D13915D" w:rsidR="00660AF7" w:rsidRDefault="00FB07B9" w:rsidP="00660AF7">
      <w:r>
        <w:t xml:space="preserve">Con base en lo anterior, la información utilizada para definir el AOM destinado a programas de reducción de pérdidas para </w:t>
      </w:r>
      <w:r w:rsidR="00EB6EFF">
        <w:t xml:space="preserve">calcular </w:t>
      </w:r>
      <w:r>
        <w:t>el ingreso anual de AOM corresponde a la del p</w:t>
      </w:r>
      <w:r w:rsidR="00BE66A2">
        <w:t>eríodo</w:t>
      </w:r>
      <w:r>
        <w:t xml:space="preserve"> 2015 </w:t>
      </w:r>
      <w:r w:rsidR="00EB6EFF">
        <w:t xml:space="preserve">- </w:t>
      </w:r>
      <w:r>
        <w:t>2019.</w:t>
      </w:r>
    </w:p>
    <w:p w14:paraId="7685D62D" w14:textId="31131107" w:rsidR="00660AF7" w:rsidRDefault="00660AF7" w:rsidP="00660AF7">
      <w:r>
        <w:t>Aplicando la metodología definida en la Resolución CREG 010 de 2020</w:t>
      </w:r>
      <w:r w:rsidR="008F4A44">
        <w:t>,</w:t>
      </w:r>
      <w:r>
        <w:t xml:space="preserve"> el valor del AOM destinado a pérdidas, que corresponde al del mercado de Electricaribe, se distribuye entre los nuevos mercados con base en la longitud de redes rurales de nivel de tensión 2. Sobre este aspecto</w:t>
      </w:r>
      <w:r w:rsidR="008F4A44">
        <w:t>,</w:t>
      </w:r>
      <w:r>
        <w:t xml:space="preserve"> se identificó que los porcentajes empleados no corresponden con la longitud de redes rurales aprobadas en cada mercado, como se observa en la siguiente tabla. </w:t>
      </w:r>
    </w:p>
    <w:tbl>
      <w:tblPr>
        <w:tblW w:w="6374" w:type="dxa"/>
        <w:jc w:val="center"/>
        <w:tblCellMar>
          <w:left w:w="70" w:type="dxa"/>
          <w:right w:w="70" w:type="dxa"/>
        </w:tblCellMar>
        <w:tblLook w:val="04A0" w:firstRow="1" w:lastRow="0" w:firstColumn="1" w:lastColumn="0" w:noHBand="0" w:noVBand="1"/>
      </w:tblPr>
      <w:tblGrid>
        <w:gridCol w:w="2268"/>
        <w:gridCol w:w="2263"/>
        <w:gridCol w:w="1843"/>
      </w:tblGrid>
      <w:tr w:rsidR="00660AF7" w:rsidRPr="00660AF7" w14:paraId="4E07F569" w14:textId="77777777" w:rsidTr="00EB6EFF">
        <w:trPr>
          <w:trHeight w:val="33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FC39" w14:textId="77777777" w:rsidR="00660AF7" w:rsidRPr="00A05571" w:rsidRDefault="00660AF7" w:rsidP="00660AF7">
            <w:pPr>
              <w:spacing w:before="0" w:after="0"/>
              <w:jc w:val="left"/>
              <w:rPr>
                <w:rFonts w:cs="Arial"/>
                <w:sz w:val="20"/>
                <w:szCs w:val="20"/>
                <w:lang w:val="es-CO" w:eastAsia="es-CO"/>
              </w:rPr>
            </w:pPr>
            <w:r w:rsidRPr="00A05571">
              <w:rPr>
                <w:rFonts w:cs="Arial"/>
                <w:sz w:val="20"/>
                <w:szCs w:val="20"/>
                <w:lang w:val="es-CO" w:eastAsia="es-CO"/>
              </w:rPr>
              <w:t> </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14:paraId="4677DB91" w14:textId="03BD9215" w:rsidR="00660AF7" w:rsidRPr="00A05571" w:rsidRDefault="00660AF7" w:rsidP="00660AF7">
            <w:pPr>
              <w:spacing w:before="0" w:after="0"/>
              <w:jc w:val="center"/>
              <w:rPr>
                <w:rFonts w:cs="Arial"/>
                <w:b/>
                <w:bCs/>
                <w:sz w:val="20"/>
                <w:szCs w:val="20"/>
                <w:lang w:val="es-CO" w:eastAsia="es-CO"/>
              </w:rPr>
            </w:pPr>
            <w:r w:rsidRPr="00A05571">
              <w:rPr>
                <w:rFonts w:cs="Arial"/>
                <w:b/>
                <w:bCs/>
                <w:sz w:val="20"/>
                <w:szCs w:val="20"/>
                <w:lang w:val="es-CO" w:eastAsia="es-CO"/>
              </w:rPr>
              <w:t>Valores utilizados</w:t>
            </w:r>
            <w:r w:rsidR="00EB6EFF">
              <w:rPr>
                <w:rFonts w:cs="Arial"/>
                <w:b/>
                <w:bCs/>
                <w:sz w:val="20"/>
                <w:szCs w:val="20"/>
                <w:lang w:val="es-CO" w:eastAsia="es-CO"/>
              </w:rPr>
              <w:t xml:space="preserve"> CREG 024 de 2021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2F20BD" w14:textId="77777777" w:rsidR="00660AF7" w:rsidRPr="00A05571" w:rsidRDefault="00660AF7" w:rsidP="00660AF7">
            <w:pPr>
              <w:spacing w:before="0" w:after="0"/>
              <w:jc w:val="center"/>
              <w:rPr>
                <w:rFonts w:cs="Arial"/>
                <w:b/>
                <w:bCs/>
                <w:sz w:val="20"/>
                <w:szCs w:val="20"/>
                <w:lang w:val="es-CO" w:eastAsia="es-CO"/>
              </w:rPr>
            </w:pPr>
            <w:r w:rsidRPr="00A05571">
              <w:rPr>
                <w:rFonts w:cs="Arial"/>
                <w:b/>
                <w:bCs/>
                <w:sz w:val="20"/>
                <w:szCs w:val="20"/>
                <w:lang w:val="es-CO" w:eastAsia="es-CO"/>
              </w:rPr>
              <w:t>Valores revisados</w:t>
            </w:r>
          </w:p>
        </w:tc>
      </w:tr>
      <w:tr w:rsidR="00660AF7" w:rsidRPr="00660AF7" w14:paraId="6E516ADF" w14:textId="77777777" w:rsidTr="00EB6EFF">
        <w:trPr>
          <w:trHeight w:val="33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25E95A3" w14:textId="77777777" w:rsidR="00660AF7" w:rsidRPr="00A05571" w:rsidRDefault="00660AF7" w:rsidP="00660AF7">
            <w:pPr>
              <w:spacing w:before="0" w:after="0"/>
              <w:jc w:val="left"/>
              <w:rPr>
                <w:rFonts w:cs="Arial"/>
                <w:sz w:val="20"/>
                <w:szCs w:val="20"/>
                <w:lang w:val="es-CO" w:eastAsia="es-CO"/>
              </w:rPr>
            </w:pPr>
            <w:r w:rsidRPr="00A05571">
              <w:rPr>
                <w:rFonts w:cs="Arial"/>
                <w:sz w:val="20"/>
                <w:szCs w:val="20"/>
                <w:lang w:val="es-CO" w:eastAsia="es-CO"/>
              </w:rPr>
              <w:t>Caribemar</w:t>
            </w:r>
          </w:p>
        </w:tc>
        <w:tc>
          <w:tcPr>
            <w:tcW w:w="2263" w:type="dxa"/>
            <w:tcBorders>
              <w:top w:val="nil"/>
              <w:left w:val="nil"/>
              <w:bottom w:val="single" w:sz="4" w:space="0" w:color="auto"/>
              <w:right w:val="single" w:sz="4" w:space="0" w:color="auto"/>
            </w:tcBorders>
            <w:shd w:val="clear" w:color="auto" w:fill="auto"/>
            <w:noWrap/>
            <w:vAlign w:val="center"/>
            <w:hideMark/>
          </w:tcPr>
          <w:p w14:paraId="219F558C"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23.023</w:t>
            </w:r>
          </w:p>
        </w:tc>
        <w:tc>
          <w:tcPr>
            <w:tcW w:w="1843" w:type="dxa"/>
            <w:tcBorders>
              <w:top w:val="nil"/>
              <w:left w:val="nil"/>
              <w:bottom w:val="single" w:sz="4" w:space="0" w:color="auto"/>
              <w:right w:val="single" w:sz="4" w:space="0" w:color="auto"/>
            </w:tcBorders>
            <w:shd w:val="clear" w:color="auto" w:fill="auto"/>
            <w:noWrap/>
            <w:vAlign w:val="center"/>
            <w:hideMark/>
          </w:tcPr>
          <w:p w14:paraId="78A1B2B3"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19.837</w:t>
            </w:r>
          </w:p>
        </w:tc>
      </w:tr>
      <w:tr w:rsidR="00660AF7" w:rsidRPr="00660AF7" w14:paraId="640F35C2" w14:textId="77777777" w:rsidTr="00EB6EFF">
        <w:trPr>
          <w:trHeight w:val="25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47DD1F1" w14:textId="77777777" w:rsidR="00660AF7" w:rsidRPr="00A05571" w:rsidRDefault="00660AF7" w:rsidP="00660AF7">
            <w:pPr>
              <w:spacing w:before="0" w:after="0"/>
              <w:jc w:val="left"/>
              <w:rPr>
                <w:rFonts w:cs="Arial"/>
                <w:sz w:val="20"/>
                <w:szCs w:val="20"/>
                <w:lang w:val="es-CO" w:eastAsia="es-CO"/>
              </w:rPr>
            </w:pPr>
            <w:r w:rsidRPr="00A05571">
              <w:rPr>
                <w:rFonts w:cs="Arial"/>
                <w:sz w:val="20"/>
                <w:szCs w:val="20"/>
                <w:lang w:val="es-CO" w:eastAsia="es-CO"/>
              </w:rPr>
              <w:t>Caribesol</w:t>
            </w:r>
          </w:p>
        </w:tc>
        <w:tc>
          <w:tcPr>
            <w:tcW w:w="2263" w:type="dxa"/>
            <w:tcBorders>
              <w:top w:val="nil"/>
              <w:left w:val="nil"/>
              <w:bottom w:val="single" w:sz="4" w:space="0" w:color="auto"/>
              <w:right w:val="single" w:sz="4" w:space="0" w:color="auto"/>
            </w:tcBorders>
            <w:shd w:val="clear" w:color="auto" w:fill="auto"/>
            <w:noWrap/>
            <w:vAlign w:val="center"/>
            <w:hideMark/>
          </w:tcPr>
          <w:p w14:paraId="29EBD7CE"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9.399</w:t>
            </w:r>
          </w:p>
        </w:tc>
        <w:tc>
          <w:tcPr>
            <w:tcW w:w="1843" w:type="dxa"/>
            <w:tcBorders>
              <w:top w:val="nil"/>
              <w:left w:val="nil"/>
              <w:bottom w:val="single" w:sz="4" w:space="0" w:color="auto"/>
              <w:right w:val="single" w:sz="4" w:space="0" w:color="auto"/>
            </w:tcBorders>
            <w:shd w:val="clear" w:color="auto" w:fill="auto"/>
            <w:noWrap/>
            <w:vAlign w:val="center"/>
            <w:hideMark/>
          </w:tcPr>
          <w:p w14:paraId="57C2B7BA"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5.988</w:t>
            </w:r>
          </w:p>
        </w:tc>
      </w:tr>
      <w:tr w:rsidR="00660AF7" w:rsidRPr="00660AF7" w14:paraId="7FC37C0F" w14:textId="77777777" w:rsidTr="00EB6EFF">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68E2F7D" w14:textId="77777777" w:rsidR="00660AF7" w:rsidRPr="00A05571" w:rsidRDefault="00660AF7" w:rsidP="00660AF7">
            <w:pPr>
              <w:spacing w:before="0" w:after="0"/>
              <w:jc w:val="left"/>
              <w:rPr>
                <w:rFonts w:cs="Arial"/>
                <w:sz w:val="20"/>
                <w:szCs w:val="20"/>
                <w:lang w:val="es-CO" w:eastAsia="es-CO"/>
              </w:rPr>
            </w:pPr>
            <w:r w:rsidRPr="00A05571">
              <w:rPr>
                <w:rFonts w:cs="Arial"/>
                <w:sz w:val="20"/>
                <w:szCs w:val="20"/>
                <w:lang w:val="es-CO" w:eastAsia="es-CO"/>
              </w:rPr>
              <w:t>Porcentaje Caribesol</w:t>
            </w:r>
          </w:p>
        </w:tc>
        <w:tc>
          <w:tcPr>
            <w:tcW w:w="2263" w:type="dxa"/>
            <w:tcBorders>
              <w:top w:val="nil"/>
              <w:left w:val="nil"/>
              <w:bottom w:val="single" w:sz="4" w:space="0" w:color="auto"/>
              <w:right w:val="single" w:sz="4" w:space="0" w:color="auto"/>
            </w:tcBorders>
            <w:shd w:val="clear" w:color="auto" w:fill="auto"/>
            <w:noWrap/>
            <w:vAlign w:val="center"/>
            <w:hideMark/>
          </w:tcPr>
          <w:p w14:paraId="07C0AA5A"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29%</w:t>
            </w:r>
          </w:p>
        </w:tc>
        <w:tc>
          <w:tcPr>
            <w:tcW w:w="1843" w:type="dxa"/>
            <w:tcBorders>
              <w:top w:val="nil"/>
              <w:left w:val="nil"/>
              <w:bottom w:val="single" w:sz="4" w:space="0" w:color="auto"/>
              <w:right w:val="single" w:sz="4" w:space="0" w:color="auto"/>
            </w:tcBorders>
            <w:shd w:val="clear" w:color="auto" w:fill="auto"/>
            <w:noWrap/>
            <w:vAlign w:val="center"/>
            <w:hideMark/>
          </w:tcPr>
          <w:p w14:paraId="0553ED4E" w14:textId="77777777" w:rsidR="00660AF7" w:rsidRPr="00A05571" w:rsidRDefault="00660AF7" w:rsidP="00660AF7">
            <w:pPr>
              <w:spacing w:before="0" w:after="0"/>
              <w:jc w:val="right"/>
              <w:rPr>
                <w:rFonts w:cs="Arial"/>
                <w:sz w:val="20"/>
                <w:szCs w:val="20"/>
                <w:lang w:val="es-CO" w:eastAsia="es-CO"/>
              </w:rPr>
            </w:pPr>
            <w:r w:rsidRPr="00A05571">
              <w:rPr>
                <w:rFonts w:cs="Arial"/>
                <w:sz w:val="20"/>
                <w:szCs w:val="20"/>
                <w:lang w:val="es-CO" w:eastAsia="es-CO"/>
              </w:rPr>
              <w:t>23%</w:t>
            </w:r>
          </w:p>
        </w:tc>
      </w:tr>
    </w:tbl>
    <w:p w14:paraId="5BD5EE1B" w14:textId="4680E2DF" w:rsidR="00660AF7" w:rsidRDefault="00660AF7" w:rsidP="00660AF7">
      <w:r>
        <w:t>Con base en lo anterior</w:t>
      </w:r>
      <w:r w:rsidR="00B96F77">
        <w:t>,</w:t>
      </w:r>
      <w:r>
        <w:t xml:space="preserve"> se señala que los valores correspondientes a la variable </w:t>
      </w:r>
      <w:r w:rsidRPr="00B96F77">
        <w:rPr>
          <w:i/>
          <w:iCs/>
        </w:rPr>
        <w:t>AOMP</w:t>
      </w:r>
      <w:r w:rsidRPr="00B96F77">
        <w:rPr>
          <w:i/>
          <w:iCs/>
          <w:vertAlign w:val="subscript"/>
        </w:rPr>
        <w:t>j,k</w:t>
      </w:r>
      <w:r>
        <w:t xml:space="preserve"> </w:t>
      </w:r>
      <w:r w:rsidR="00B96F77">
        <w:t>corresponden a los reportados por Electricaribe a la Comisión para el p</w:t>
      </w:r>
      <w:r w:rsidR="00BE66A2">
        <w:t>eríodo</w:t>
      </w:r>
      <w:r w:rsidR="00B96F77">
        <w:t xml:space="preserve"> 2015 – 2019, por lo cual no se modifican</w:t>
      </w:r>
      <w:r w:rsidR="00EB6EFF">
        <w:t>.</w:t>
      </w:r>
      <w:r w:rsidR="00775CEF">
        <w:t xml:space="preserve"> </w:t>
      </w:r>
      <w:r w:rsidR="00EB6EFF">
        <w:t>No obstante</w:t>
      </w:r>
      <w:r w:rsidR="00B96F77">
        <w:t xml:space="preserve">, </w:t>
      </w:r>
      <w:r>
        <w:t xml:space="preserve">se ajusta </w:t>
      </w:r>
      <w:r w:rsidR="00B96F77">
        <w:t xml:space="preserve">la fracción del </w:t>
      </w:r>
      <w:r w:rsidR="00B96F77" w:rsidRPr="00B96F77">
        <w:rPr>
          <w:i/>
          <w:iCs/>
        </w:rPr>
        <w:t>AOMP</w:t>
      </w:r>
      <w:r w:rsidR="00B96F77" w:rsidRPr="00B96F77">
        <w:rPr>
          <w:i/>
          <w:iCs/>
          <w:vertAlign w:val="subscript"/>
        </w:rPr>
        <w:t>j,k</w:t>
      </w:r>
      <w:r w:rsidR="00B96F77">
        <w:t xml:space="preserve"> </w:t>
      </w:r>
      <w:r>
        <w:t xml:space="preserve">correspondiente </w:t>
      </w:r>
      <w:r w:rsidR="00B96F77">
        <w:t>al mercado de Caribesol con base en la revisión del porcentaje de redes rurales de nivel de tensión 2.</w:t>
      </w:r>
    </w:p>
    <w:p w14:paraId="0D383AEE" w14:textId="77777777" w:rsidR="00981992" w:rsidRDefault="00981992" w:rsidP="00981992">
      <w:pPr>
        <w:keepNext/>
        <w:rPr>
          <w:b/>
          <w:bCs/>
        </w:rPr>
      </w:pPr>
      <w:r>
        <w:rPr>
          <w:b/>
          <w:bCs/>
        </w:rPr>
        <w:t>Solicitud No. 24</w:t>
      </w:r>
    </w:p>
    <w:p w14:paraId="41398657" w14:textId="77777777" w:rsidR="00981992" w:rsidRPr="00C44CB2" w:rsidRDefault="00981992" w:rsidP="008F4A44">
      <w:pPr>
        <w:keepNext/>
        <w:ind w:left="284"/>
        <w:rPr>
          <w:i/>
          <w:iCs/>
          <w:sz w:val="20"/>
          <w:szCs w:val="20"/>
        </w:rPr>
      </w:pPr>
      <w:r w:rsidRPr="00C44CB2">
        <w:rPr>
          <w:i/>
          <w:iCs/>
          <w:sz w:val="20"/>
          <w:szCs w:val="20"/>
        </w:rPr>
        <w:t>Se solicita a la Comisión avalar las metas de calidad del servicio presentadas por AIR-E S.A.S E.S.P mediante radicado E-2021002222 el 17 de febrero de 2021, reconsiderando la información INDICA, ya que, una vez validada la información SUI, en promedio 1.620 transformadores no tienen información de Des NP, Des P, Fes NP, Fes P, cargada en los formatos 5 reportados al SUI.</w:t>
      </w:r>
    </w:p>
    <w:p w14:paraId="56E39531" w14:textId="77777777" w:rsidR="00981992" w:rsidRPr="00C44CB2" w:rsidRDefault="00981992" w:rsidP="00981992">
      <w:pPr>
        <w:rPr>
          <w:b/>
          <w:bCs/>
          <w:spacing w:val="-3"/>
        </w:rPr>
      </w:pPr>
      <w:r w:rsidRPr="00C44CB2">
        <w:rPr>
          <w:b/>
          <w:bCs/>
          <w:spacing w:val="-3"/>
        </w:rPr>
        <w:t>Análisis de la comisión</w:t>
      </w:r>
    </w:p>
    <w:p w14:paraId="73DF4D9E" w14:textId="49248C72" w:rsidR="00981992" w:rsidRPr="00C44CB2" w:rsidRDefault="00981992" w:rsidP="00981992">
      <w:pPr>
        <w:rPr>
          <w:spacing w:val="-3"/>
        </w:rPr>
      </w:pPr>
      <w:r w:rsidRPr="00C44CB2">
        <w:rPr>
          <w:spacing w:val="-3"/>
        </w:rPr>
        <w:t>Con respecto a la solicitud 24</w:t>
      </w:r>
      <w:r w:rsidR="008F4A44">
        <w:rPr>
          <w:spacing w:val="-3"/>
        </w:rPr>
        <w:t>,</w:t>
      </w:r>
      <w:r w:rsidRPr="00C44CB2">
        <w:rPr>
          <w:spacing w:val="-3"/>
        </w:rPr>
        <w:t xml:space="preserve"> la CREG encuentra que la información cargada para el año 2019 por el OR Electricaribe en el sistema INDICA es incorrecta, pues en varios meses los eventos solo tienen reportada la fecha de inicio y no la de finalización. Esta situación genera que el cálculo de los indicadores considere eventos que permanecen desde su fecha de inicio hasta finalizar el año, y en consecuencia</w:t>
      </w:r>
      <w:r w:rsidR="008F4A44">
        <w:rPr>
          <w:spacing w:val="-3"/>
        </w:rPr>
        <w:t>,</w:t>
      </w:r>
      <w:r w:rsidRPr="00C44CB2">
        <w:rPr>
          <w:spacing w:val="-3"/>
        </w:rPr>
        <w:t xml:space="preserve"> los valores de los indicadores de calidad que se obtienen se encuentran errados. Esta situación que fue mencionada en el documento de soporte de la Resolución CREG 024 de 2021. </w:t>
      </w:r>
    </w:p>
    <w:p w14:paraId="58B197EA" w14:textId="006B5614" w:rsidR="00981992" w:rsidRPr="00C44CB2" w:rsidRDefault="00981992" w:rsidP="00981992">
      <w:pPr>
        <w:rPr>
          <w:spacing w:val="-3"/>
        </w:rPr>
      </w:pPr>
      <w:r w:rsidRPr="00C44CB2">
        <w:rPr>
          <w:spacing w:val="-3"/>
        </w:rPr>
        <w:t xml:space="preserve">Tal como se establece en la Resolución CREG 015 de 2018, los indicadores de referencia de calidad media son utilizados para establecer las metas que debe alcanzar el OR, año a año, durante la aplicación </w:t>
      </w:r>
      <w:r w:rsidR="008F4A44">
        <w:rPr>
          <w:spacing w:val="-3"/>
        </w:rPr>
        <w:t xml:space="preserve">de </w:t>
      </w:r>
      <w:r w:rsidRPr="00C44CB2">
        <w:rPr>
          <w:spacing w:val="-3"/>
        </w:rPr>
        <w:t>esta metodología. Así mismo, partir de la comparación de estos indicadores con los que obtenga anualmente el OR se incluye en el cargo cobrado al usuario un incentivo positivo o negativo, según corresponda. Por lo anterior, la CREG considera que los indicadores de referencia deben ser consistentes con el nivel de calidad con el que inicia el OR y que</w:t>
      </w:r>
      <w:r w:rsidR="008F4A44">
        <w:rPr>
          <w:spacing w:val="-3"/>
        </w:rPr>
        <w:t>,</w:t>
      </w:r>
      <w:r w:rsidRPr="00C44CB2">
        <w:rPr>
          <w:spacing w:val="-3"/>
        </w:rPr>
        <w:t xml:space="preserve"> según la Resolución CREG 010 de 2020</w:t>
      </w:r>
      <w:r w:rsidR="008F4A44">
        <w:rPr>
          <w:spacing w:val="-3"/>
        </w:rPr>
        <w:t>,</w:t>
      </w:r>
      <w:r w:rsidRPr="00C44CB2">
        <w:rPr>
          <w:spacing w:val="-3"/>
        </w:rPr>
        <w:t xml:space="preserve"> es el desempeño durante el año 2019 y</w:t>
      </w:r>
      <w:r w:rsidR="008F4A44">
        <w:rPr>
          <w:spacing w:val="-3"/>
        </w:rPr>
        <w:t>,</w:t>
      </w:r>
      <w:r w:rsidRPr="00C44CB2">
        <w:rPr>
          <w:spacing w:val="-3"/>
        </w:rPr>
        <w:t xml:space="preserve"> por tanto</w:t>
      </w:r>
      <w:r w:rsidR="008F4A44">
        <w:rPr>
          <w:spacing w:val="-3"/>
        </w:rPr>
        <w:t>,</w:t>
      </w:r>
      <w:r w:rsidRPr="00C44CB2">
        <w:rPr>
          <w:spacing w:val="-3"/>
        </w:rPr>
        <w:t xml:space="preserve"> debe recurrirse a utilizar la mejor información disponible</w:t>
      </w:r>
      <w:r w:rsidR="008F4A44">
        <w:rPr>
          <w:spacing w:val="-3"/>
        </w:rPr>
        <w:t>,</w:t>
      </w:r>
      <w:r w:rsidRPr="00C44CB2">
        <w:rPr>
          <w:spacing w:val="-3"/>
        </w:rPr>
        <w:t xml:space="preserve"> que en este caso es la información del SUI, también reportada por el OR Electricaribe, para el año 2019.</w:t>
      </w:r>
    </w:p>
    <w:p w14:paraId="301DCD0B" w14:textId="1748E125" w:rsidR="00981992" w:rsidRPr="00C44CB2" w:rsidRDefault="00981992" w:rsidP="00981992">
      <w:pPr>
        <w:rPr>
          <w:spacing w:val="-3"/>
        </w:rPr>
      </w:pPr>
      <w:r w:rsidRPr="00C44CB2">
        <w:rPr>
          <w:spacing w:val="-3"/>
        </w:rPr>
        <w:t>Con respecto a la mención que hace el recurrente acerca de la falta de información de algunos transformadores en los reportes hechos por el OR al SUI, la CREG encuentra que esta no es una justificación suficiente para utilizar la información errada en INDICA y encuentra que el error en el valor calculado de los indicadores de referencia sería mucho mayor si se utiliza esta última base de datos. Al respecto se recuerda que los reportes de información que hacen los OR a los sistemas de información tienen una gran importancia para la aplicación de la regulación</w:t>
      </w:r>
      <w:r w:rsidR="008819D0">
        <w:rPr>
          <w:spacing w:val="-3"/>
        </w:rPr>
        <w:t>,</w:t>
      </w:r>
      <w:r w:rsidRPr="00C44CB2">
        <w:rPr>
          <w:spacing w:val="-3"/>
        </w:rPr>
        <w:t xml:space="preserve"> el seguimiento de su desempeño y</w:t>
      </w:r>
      <w:r w:rsidR="008819D0">
        <w:rPr>
          <w:spacing w:val="-3"/>
        </w:rPr>
        <w:t>,</w:t>
      </w:r>
      <w:r w:rsidRPr="00C44CB2">
        <w:rPr>
          <w:spacing w:val="-3"/>
        </w:rPr>
        <w:t xml:space="preserve"> principalmente</w:t>
      </w:r>
      <w:r w:rsidR="008819D0">
        <w:rPr>
          <w:spacing w:val="-3"/>
        </w:rPr>
        <w:t>,</w:t>
      </w:r>
      <w:r w:rsidRPr="00C44CB2">
        <w:rPr>
          <w:spacing w:val="-3"/>
        </w:rPr>
        <w:t xml:space="preserve"> la calidad en la prestación del servicio a los usuarios, con información veraz y oportuna.</w:t>
      </w:r>
    </w:p>
    <w:p w14:paraId="024FDB18" w14:textId="77777777" w:rsidR="00981992" w:rsidRDefault="00981992" w:rsidP="00981992">
      <w:pPr>
        <w:rPr>
          <w:spacing w:val="-3"/>
        </w:rPr>
      </w:pPr>
      <w:r w:rsidRPr="00C44CB2">
        <w:rPr>
          <w:spacing w:val="-3"/>
        </w:rPr>
        <w:t>Con base en lo anterior, la CREG no acepta la solicitud hecha en el recurso de reposición del OR.</w:t>
      </w:r>
    </w:p>
    <w:p w14:paraId="4C94CEC2" w14:textId="77777777" w:rsidR="00981992" w:rsidRDefault="00981992" w:rsidP="00981992">
      <w:pPr>
        <w:rPr>
          <w:spacing w:val="-3"/>
        </w:rPr>
      </w:pPr>
      <w:r>
        <w:rPr>
          <w:b/>
          <w:bCs/>
        </w:rPr>
        <w:t>Solicitud No. 25</w:t>
      </w:r>
    </w:p>
    <w:p w14:paraId="03CCB44F" w14:textId="77777777" w:rsidR="00981992" w:rsidRPr="00C44CB2" w:rsidRDefault="00981992" w:rsidP="008819D0">
      <w:pPr>
        <w:ind w:left="284"/>
        <w:rPr>
          <w:i/>
          <w:iCs/>
          <w:spacing w:val="-3"/>
          <w:sz w:val="20"/>
          <w:szCs w:val="20"/>
        </w:rPr>
      </w:pPr>
      <w:r w:rsidRPr="00C44CB2">
        <w:rPr>
          <w:i/>
          <w:iCs/>
          <w:spacing w:val="-3"/>
          <w:sz w:val="20"/>
          <w:szCs w:val="20"/>
        </w:rPr>
        <w:t>Se solicita a la CREG se reconsideren los criterios para la definición de las metas de DIUG y FIUG para valores mayores a 360 horas y veces establecidos en el numeral 5.2.4.2 del Anexo General de la Resolución CREG 015 de 2018, proponiendo para ello, una senda de cumplimiento a lo largo de 10 años. Lo anterior, considerando la condición inicial de deterioro de la red en la que AIR-E S.A.S. E.S.P. asumió la operación de los mercados de Atlántico, La Guajira y Magdalena, y que, la realización de las obras del Plan de Inversión conduce a mejoras significativas en la calidad del servicio en el mediano plazo.</w:t>
      </w:r>
    </w:p>
    <w:p w14:paraId="5F2DFE48" w14:textId="77777777" w:rsidR="00981992" w:rsidRPr="00C44CB2" w:rsidRDefault="00981992" w:rsidP="00981992">
      <w:pPr>
        <w:rPr>
          <w:b/>
          <w:bCs/>
          <w:spacing w:val="-3"/>
        </w:rPr>
      </w:pPr>
      <w:r w:rsidRPr="00C44CB2">
        <w:rPr>
          <w:b/>
          <w:bCs/>
          <w:spacing w:val="-3"/>
        </w:rPr>
        <w:t>Análisis de la comisión</w:t>
      </w:r>
    </w:p>
    <w:p w14:paraId="02810A38" w14:textId="6E3CB01D" w:rsidR="00981992" w:rsidRDefault="00981992" w:rsidP="00981992">
      <w:r>
        <w:t>Con respecto a esta petición la CREG encuentra que es una solicitud de modificación de la metodología para la remuneración de la actividad de distribución de energía eléctrica, en el tema de calidad del servicio en los SDL</w:t>
      </w:r>
      <w:r w:rsidR="008819D0">
        <w:t>,</w:t>
      </w:r>
      <w:r>
        <w:t xml:space="preserve"> ya que particularmente solicita “</w:t>
      </w:r>
      <w:r w:rsidRPr="003C74A5">
        <w:rPr>
          <w:i/>
          <w:iCs/>
        </w:rPr>
        <w:t xml:space="preserve"> (…) se reconsideren los criterios para la definición de las metas de DIUG y FIUG para valores mayores a 360 horas y veces establecidos en el numeral 5.2.4.2 del Anexo General de la Resolución CREG 015 de 2018, proponiendo para ello, una senda de cumplimiento a lo largo de 10 años. Lo anterior, considerando la condición inicial de deterioro de la red en la que AIR E S.A.S. E.S.P.</w:t>
      </w:r>
      <w:r>
        <w:t>”</w:t>
      </w:r>
    </w:p>
    <w:p w14:paraId="2B71B5B3" w14:textId="2B78F64F" w:rsidR="00981992" w:rsidRDefault="00981992" w:rsidP="00981992">
      <w:r>
        <w:t>Al respecto</w:t>
      </w:r>
      <w:r w:rsidR="008819D0">
        <w:t>,</w:t>
      </w:r>
      <w:r>
        <w:t xml:space="preserve"> esta Comisión no accede a lo solicitado</w:t>
      </w:r>
      <w:r w:rsidR="008819D0">
        <w:t>,</w:t>
      </w:r>
      <w:r>
        <w:t xml:space="preserve"> ya que encuentra que la petición no se relaciona con errores que se hayan cometido en la aplicación de las disposiciones establecidas para la definición de los indicadores de calidad mínima garantizada de referencia, DIUG y FIUG, sino que corresponde a una solicitud de modificación de la metodología.</w:t>
      </w:r>
    </w:p>
    <w:p w14:paraId="44546614" w14:textId="77777777" w:rsidR="00981992" w:rsidRDefault="00981992" w:rsidP="00981992">
      <w:r>
        <w:t>La CREG concluye que el recurso de reposición debe estar enmarcado en la objeción acerca de la aplicación que se dé en una actuación administrativa a lo establecido en la norma, más no es el medio para solicitar la modificación de dicha norma.</w:t>
      </w:r>
    </w:p>
    <w:p w14:paraId="2E92F731" w14:textId="77777777" w:rsidR="008E3648" w:rsidRDefault="008E3648" w:rsidP="008E3648">
      <w:pPr>
        <w:rPr>
          <w:spacing w:val="-3"/>
        </w:rPr>
      </w:pPr>
      <w:r>
        <w:rPr>
          <w:spacing w:val="-3"/>
        </w:rPr>
        <w:t xml:space="preserve">Con base en los análisis presentados anteriormente, se realizaron los ajustes correspondientes. La información detallada de las modificaciones realizadas se entrega como soporte de esta resolución. </w:t>
      </w:r>
    </w:p>
    <w:p w14:paraId="47644FEE" w14:textId="50D288DA"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0B5684">
        <w:rPr>
          <w:spacing w:val="-3"/>
        </w:rPr>
        <w:t>1100</w:t>
      </w:r>
      <w:r w:rsidR="00366AC7">
        <w:rPr>
          <w:spacing w:val="-3"/>
        </w:rPr>
        <w:t xml:space="preserve"> del </w:t>
      </w:r>
      <w:r w:rsidR="00F4214B">
        <w:rPr>
          <w:spacing w:val="-3"/>
        </w:rPr>
        <w:t>24</w:t>
      </w:r>
      <w:r w:rsidR="006259EB">
        <w:rPr>
          <w:spacing w:val="-3"/>
        </w:rPr>
        <w:t xml:space="preserve"> </w:t>
      </w:r>
      <w:r w:rsidR="002A7D62" w:rsidRPr="00BF69C9">
        <w:rPr>
          <w:spacing w:val="-3"/>
        </w:rPr>
        <w:t xml:space="preserve">de </w:t>
      </w:r>
      <w:r w:rsidR="008E3648">
        <w:rPr>
          <w:spacing w:val="-3"/>
        </w:rPr>
        <w:t xml:space="preserve">junio </w:t>
      </w:r>
      <w:r w:rsidR="002A7D62" w:rsidRPr="00BF69C9">
        <w:rPr>
          <w:spacing w:val="-3"/>
        </w:rPr>
        <w:t>de 20</w:t>
      </w:r>
      <w:r w:rsidR="0092537D">
        <w:rPr>
          <w:spacing w:val="-3"/>
        </w:rPr>
        <w:t>2</w:t>
      </w:r>
      <w:r w:rsidR="000C4F5C">
        <w:rPr>
          <w:spacing w:val="-3"/>
        </w:rPr>
        <w:t>1</w:t>
      </w:r>
      <w:r w:rsidR="002A7D62" w:rsidRPr="00BF69C9">
        <w:rPr>
          <w:spacing w:val="-3"/>
        </w:rPr>
        <w:t xml:space="preserve">, acordó expedir esta resolución. </w:t>
      </w:r>
    </w:p>
    <w:p w14:paraId="6E5B4B14" w14:textId="77777777" w:rsidR="00595129" w:rsidRPr="0019345E" w:rsidRDefault="00595129" w:rsidP="00F4214B">
      <w:pPr>
        <w:keepNext/>
        <w:spacing w:before="240" w:after="240"/>
        <w:ind w:right="51"/>
        <w:jc w:val="center"/>
        <w:rPr>
          <w:b/>
        </w:rPr>
      </w:pPr>
      <w:r w:rsidRPr="0019345E">
        <w:rPr>
          <w:b/>
        </w:rPr>
        <w:t>RESUELVE:</w:t>
      </w:r>
    </w:p>
    <w:p w14:paraId="3A416360" w14:textId="29739857" w:rsidR="006400D5" w:rsidRPr="00A71EA8" w:rsidRDefault="006400D5" w:rsidP="006400D5">
      <w:pPr>
        <w:pStyle w:val="Artculo"/>
        <w:spacing w:before="200" w:after="200"/>
        <w:ind w:left="0"/>
        <w:outlineLvl w:val="2"/>
        <w:rPr>
          <w:b w:val="0"/>
        </w:rPr>
      </w:pPr>
      <w:r>
        <w:t xml:space="preserve">Modificar el artículo 2 de la Resolución CREG </w:t>
      </w:r>
      <w:r w:rsidR="00AF2EBA">
        <w:t>024</w:t>
      </w:r>
      <w:r>
        <w:t xml:space="preserve"> de 202</w:t>
      </w:r>
      <w:r w:rsidR="00AF2EBA">
        <w:t>1</w:t>
      </w:r>
      <w:r>
        <w:t xml:space="preserve">. </w:t>
      </w:r>
      <w:r w:rsidRPr="00A71EA8">
        <w:rPr>
          <w:b w:val="0"/>
        </w:rPr>
        <w:t xml:space="preserve">El artículo 2 de la Resolución CREG </w:t>
      </w:r>
      <w:r w:rsidR="00AF2EBA">
        <w:rPr>
          <w:b w:val="0"/>
        </w:rPr>
        <w:t>024</w:t>
      </w:r>
      <w:r w:rsidRPr="00A71EA8">
        <w:rPr>
          <w:b w:val="0"/>
        </w:rPr>
        <w:t xml:space="preserve"> de 20</w:t>
      </w:r>
      <w:r>
        <w:rPr>
          <w:b w:val="0"/>
        </w:rPr>
        <w:t>2</w:t>
      </w:r>
      <w:r w:rsidR="00AF2EBA">
        <w:rPr>
          <w:b w:val="0"/>
        </w:rPr>
        <w:t>1</w:t>
      </w:r>
      <w:r w:rsidRPr="00A71EA8">
        <w:rPr>
          <w:b w:val="0"/>
        </w:rPr>
        <w:t xml:space="preserve"> quedará así:</w:t>
      </w:r>
    </w:p>
    <w:p w14:paraId="798E3EA6" w14:textId="613C423F" w:rsidR="006400D5" w:rsidRPr="00304BEA" w:rsidRDefault="006400D5" w:rsidP="008819D0">
      <w:pPr>
        <w:ind w:left="426"/>
        <w:rPr>
          <w:b/>
          <w:i/>
        </w:rPr>
      </w:pPr>
      <w:r w:rsidRPr="0056668A">
        <w:rPr>
          <w:b/>
          <w:i/>
          <w:sz w:val="22"/>
        </w:rPr>
        <w:t>Artículo 2. Base regulatoria de activos eléctricos al inicio del p</w:t>
      </w:r>
      <w:r w:rsidR="00BE66A2">
        <w:rPr>
          <w:b/>
          <w:i/>
          <w:sz w:val="22"/>
        </w:rPr>
        <w:t>eríodo</w:t>
      </w:r>
      <w:r w:rsidRPr="0056668A">
        <w:rPr>
          <w:b/>
          <w:i/>
          <w:sz w:val="22"/>
        </w:rPr>
        <w:t xml:space="preserve"> tarifario. </w:t>
      </w:r>
      <w:r w:rsidRPr="0056668A">
        <w:rPr>
          <w:i/>
          <w:sz w:val="22"/>
        </w:rPr>
        <w:t>La base regulatoria de activos eléctricos al inicio del p</w:t>
      </w:r>
      <w:r w:rsidR="00BE66A2">
        <w:rPr>
          <w:i/>
          <w:sz w:val="22"/>
        </w:rPr>
        <w:t>eríodo</w:t>
      </w:r>
      <w:r w:rsidRPr="0056668A">
        <w:rPr>
          <w:i/>
          <w:sz w:val="22"/>
        </w:rPr>
        <w:t xml:space="preserve"> tarifario, BRAE</w:t>
      </w:r>
      <w:r w:rsidRPr="0056668A">
        <w:rPr>
          <w:i/>
          <w:sz w:val="22"/>
          <w:vertAlign w:val="subscript"/>
        </w:rPr>
        <w:t>j,n,0</w:t>
      </w:r>
      <w:r w:rsidRPr="0056668A">
        <w:rPr>
          <w:i/>
          <w:sz w:val="22"/>
        </w:rPr>
        <w:t>, es el siguiente</w:t>
      </w:r>
      <w:r w:rsidRPr="00A71EA8">
        <w:rPr>
          <w:i/>
        </w:rPr>
        <w:t>:</w:t>
      </w:r>
    </w:p>
    <w:p w14:paraId="61067245" w14:textId="541F270D" w:rsidR="006400D5" w:rsidRDefault="006400D5" w:rsidP="006400D5">
      <w:pPr>
        <w:pStyle w:val="Descripcin"/>
        <w:ind w:left="426" w:right="425"/>
        <w:rPr>
          <w:i/>
        </w:rPr>
      </w:pPr>
      <w:r w:rsidRPr="00A71EA8">
        <w:rPr>
          <w:i/>
        </w:rPr>
        <w:t>Tabla</w:t>
      </w:r>
      <w:r>
        <w:rPr>
          <w:i/>
        </w:rPr>
        <w:t xml:space="preserve"> 1 </w:t>
      </w:r>
      <w:r w:rsidRPr="00A71EA8">
        <w:rPr>
          <w:i/>
        </w:rPr>
        <w:t>Base regulatoria de activos eléctricos al inicio del p</w:t>
      </w:r>
      <w:r w:rsidR="00BE66A2">
        <w:rPr>
          <w:i/>
        </w:rPr>
        <w:t>eríodo</w:t>
      </w:r>
      <w:r w:rsidRPr="00A71EA8">
        <w:rPr>
          <w:i/>
        </w:rPr>
        <w:t xml:space="preserve"> tarifario. </w:t>
      </w:r>
    </w:p>
    <w:tbl>
      <w:tblPr>
        <w:tblW w:w="3880" w:type="dxa"/>
        <w:jc w:val="center"/>
        <w:tblCellMar>
          <w:left w:w="70" w:type="dxa"/>
          <w:right w:w="70" w:type="dxa"/>
        </w:tblCellMar>
        <w:tblLook w:val="04A0" w:firstRow="1" w:lastRow="0" w:firstColumn="1" w:lastColumn="0" w:noHBand="0" w:noVBand="1"/>
      </w:tblPr>
      <w:tblGrid>
        <w:gridCol w:w="1900"/>
        <w:gridCol w:w="1980"/>
      </w:tblGrid>
      <w:tr w:rsidR="00AF2EBA" w:rsidRPr="00AF2EBA" w14:paraId="22559728" w14:textId="77777777" w:rsidTr="006E62C4">
        <w:trPr>
          <w:trHeight w:val="48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8D96C" w14:textId="77777777" w:rsidR="00AF2EBA" w:rsidRPr="00AF2EBA" w:rsidRDefault="00AF2EBA" w:rsidP="00AF2EBA">
            <w:pPr>
              <w:spacing w:before="0" w:after="0"/>
              <w:jc w:val="center"/>
              <w:rPr>
                <w:rFonts w:cs="Arial"/>
                <w:b/>
                <w:bCs/>
                <w:sz w:val="20"/>
                <w:szCs w:val="20"/>
                <w:lang w:val="es-CO" w:eastAsia="es-CO"/>
              </w:rPr>
            </w:pPr>
            <w:r w:rsidRPr="00AF2EBA">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AC9FF58" w14:textId="77777777" w:rsidR="00AF2EBA" w:rsidRPr="00AF2EBA" w:rsidRDefault="00AF2EBA" w:rsidP="00AF2EBA">
            <w:pPr>
              <w:spacing w:before="0" w:after="0"/>
              <w:jc w:val="center"/>
              <w:rPr>
                <w:rFonts w:cs="Arial"/>
                <w:b/>
                <w:bCs/>
                <w:sz w:val="18"/>
                <w:szCs w:val="18"/>
                <w:lang w:val="es-CO" w:eastAsia="es-CO"/>
              </w:rPr>
            </w:pPr>
            <w:r w:rsidRPr="00AF2EBA">
              <w:rPr>
                <w:rFonts w:cs="Arial"/>
                <w:b/>
                <w:bCs/>
                <w:sz w:val="18"/>
                <w:szCs w:val="18"/>
                <w:lang w:val="es-CO" w:eastAsia="es-CO"/>
              </w:rPr>
              <w:t>Pesos de diciembre de 2017</w:t>
            </w:r>
          </w:p>
        </w:tc>
      </w:tr>
      <w:tr w:rsidR="00AF2EBA" w:rsidRPr="00AF2EBA" w14:paraId="5A51C90B" w14:textId="77777777" w:rsidTr="006E62C4">
        <w:trPr>
          <w:trHeight w:val="315"/>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894983F" w14:textId="77777777" w:rsidR="00AF2EBA" w:rsidRPr="00AF2EBA" w:rsidRDefault="00AF2EBA" w:rsidP="00AF2EBA">
            <w:pPr>
              <w:spacing w:before="0" w:after="0"/>
              <w:jc w:val="center"/>
              <w:rPr>
                <w:rFonts w:cs="Arial"/>
                <w:i/>
                <w:iCs/>
                <w:sz w:val="18"/>
                <w:szCs w:val="18"/>
                <w:lang w:val="es-CO" w:eastAsia="es-CO"/>
              </w:rPr>
            </w:pPr>
            <w:r w:rsidRPr="00AF2EBA">
              <w:rPr>
                <w:rFonts w:cs="Arial"/>
                <w:i/>
                <w:iCs/>
                <w:sz w:val="18"/>
                <w:szCs w:val="18"/>
                <w:lang w:val="es-CO" w:eastAsia="es-CO"/>
              </w:rPr>
              <w:t>BRAE</w:t>
            </w:r>
            <w:r w:rsidRPr="00AF2EBA">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07A18401" w14:textId="77777777" w:rsidR="00AF2EBA" w:rsidRPr="00AF2EBA" w:rsidRDefault="00AF2EBA" w:rsidP="00AF2EBA">
            <w:pPr>
              <w:spacing w:before="0" w:after="0"/>
              <w:jc w:val="right"/>
              <w:rPr>
                <w:rFonts w:cs="Arial"/>
                <w:sz w:val="18"/>
                <w:szCs w:val="18"/>
                <w:lang w:val="es-CO" w:eastAsia="es-CO"/>
              </w:rPr>
            </w:pPr>
            <w:r w:rsidRPr="00AF2EBA">
              <w:rPr>
                <w:rFonts w:cs="Arial"/>
                <w:sz w:val="18"/>
                <w:szCs w:val="18"/>
                <w:lang w:val="es-CO" w:eastAsia="es-CO"/>
              </w:rPr>
              <w:t>666.398.844.579</w:t>
            </w:r>
          </w:p>
        </w:tc>
      </w:tr>
      <w:tr w:rsidR="00AF2EBA" w:rsidRPr="00AF2EBA" w14:paraId="6BB72BD2" w14:textId="77777777" w:rsidTr="006E62C4">
        <w:trPr>
          <w:trHeight w:val="315"/>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E9A8B0F" w14:textId="77777777" w:rsidR="00AF2EBA" w:rsidRPr="00AF2EBA" w:rsidRDefault="00AF2EBA" w:rsidP="00AF2EBA">
            <w:pPr>
              <w:spacing w:before="0" w:after="0"/>
              <w:jc w:val="center"/>
              <w:rPr>
                <w:rFonts w:cs="Arial"/>
                <w:i/>
                <w:iCs/>
                <w:sz w:val="18"/>
                <w:szCs w:val="18"/>
                <w:lang w:val="es-CO" w:eastAsia="es-CO"/>
              </w:rPr>
            </w:pPr>
            <w:r w:rsidRPr="00AF2EBA">
              <w:rPr>
                <w:rFonts w:cs="Arial"/>
                <w:i/>
                <w:iCs/>
                <w:sz w:val="18"/>
                <w:szCs w:val="18"/>
                <w:lang w:val="es-CO" w:eastAsia="es-CO"/>
              </w:rPr>
              <w:t>BRAE</w:t>
            </w:r>
            <w:r w:rsidRPr="00AF2EBA">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59D56CAE" w14:textId="77777777" w:rsidR="00AF2EBA" w:rsidRPr="00AF2EBA" w:rsidRDefault="00AF2EBA" w:rsidP="00AF2EBA">
            <w:pPr>
              <w:spacing w:before="0" w:after="0"/>
              <w:jc w:val="right"/>
              <w:rPr>
                <w:rFonts w:cs="Arial"/>
                <w:sz w:val="18"/>
                <w:szCs w:val="18"/>
                <w:lang w:val="es-CO" w:eastAsia="es-CO"/>
              </w:rPr>
            </w:pPr>
            <w:r w:rsidRPr="00AF2EBA">
              <w:rPr>
                <w:rFonts w:cs="Arial"/>
                <w:sz w:val="18"/>
                <w:szCs w:val="18"/>
                <w:lang w:val="es-CO" w:eastAsia="es-CO"/>
              </w:rPr>
              <w:t>263.339.896.879</w:t>
            </w:r>
          </w:p>
        </w:tc>
      </w:tr>
      <w:tr w:rsidR="00AF2EBA" w:rsidRPr="00AF2EBA" w14:paraId="7494A84D" w14:textId="77777777" w:rsidTr="006E62C4">
        <w:trPr>
          <w:trHeight w:val="315"/>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D19049B" w14:textId="77777777" w:rsidR="00AF2EBA" w:rsidRPr="00AF2EBA" w:rsidRDefault="00AF2EBA" w:rsidP="00AF2EBA">
            <w:pPr>
              <w:spacing w:before="0" w:after="0"/>
              <w:jc w:val="center"/>
              <w:rPr>
                <w:rFonts w:cs="Arial"/>
                <w:i/>
                <w:iCs/>
                <w:sz w:val="18"/>
                <w:szCs w:val="18"/>
                <w:lang w:val="es-CO" w:eastAsia="es-CO"/>
              </w:rPr>
            </w:pPr>
            <w:r w:rsidRPr="00AF2EBA">
              <w:rPr>
                <w:rFonts w:cs="Arial"/>
                <w:i/>
                <w:iCs/>
                <w:sz w:val="18"/>
                <w:szCs w:val="18"/>
                <w:lang w:val="es-CO" w:eastAsia="es-CO"/>
              </w:rPr>
              <w:t>BRAE</w:t>
            </w:r>
            <w:r w:rsidRPr="00AF2EBA">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73D2AF1C" w14:textId="77777777" w:rsidR="00AF2EBA" w:rsidRPr="00AF2EBA" w:rsidRDefault="00AF2EBA" w:rsidP="00AF2EBA">
            <w:pPr>
              <w:spacing w:before="0" w:after="0"/>
              <w:jc w:val="right"/>
              <w:rPr>
                <w:rFonts w:cs="Arial"/>
                <w:sz w:val="18"/>
                <w:szCs w:val="18"/>
                <w:lang w:val="es-CO" w:eastAsia="es-CO"/>
              </w:rPr>
            </w:pPr>
            <w:r w:rsidRPr="00AF2EBA">
              <w:rPr>
                <w:rFonts w:cs="Arial"/>
                <w:sz w:val="18"/>
                <w:szCs w:val="18"/>
                <w:lang w:val="es-CO" w:eastAsia="es-CO"/>
              </w:rPr>
              <w:t>936.733.662.549</w:t>
            </w:r>
          </w:p>
        </w:tc>
      </w:tr>
      <w:tr w:rsidR="00AF2EBA" w:rsidRPr="00AF2EBA" w14:paraId="7407D18F" w14:textId="77777777" w:rsidTr="006E62C4">
        <w:trPr>
          <w:trHeight w:val="315"/>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60977CE" w14:textId="77777777" w:rsidR="00AF2EBA" w:rsidRPr="00AF2EBA" w:rsidRDefault="00AF2EBA" w:rsidP="00AF2EBA">
            <w:pPr>
              <w:spacing w:before="0" w:after="0"/>
              <w:jc w:val="center"/>
              <w:rPr>
                <w:rFonts w:cs="Arial"/>
                <w:i/>
                <w:iCs/>
                <w:sz w:val="18"/>
                <w:szCs w:val="18"/>
                <w:lang w:val="es-CO" w:eastAsia="es-CO"/>
              </w:rPr>
            </w:pPr>
            <w:r w:rsidRPr="00AF2EBA">
              <w:rPr>
                <w:rFonts w:cs="Arial"/>
                <w:i/>
                <w:iCs/>
                <w:sz w:val="18"/>
                <w:szCs w:val="18"/>
                <w:lang w:val="es-CO" w:eastAsia="es-CO"/>
              </w:rPr>
              <w:t>BRAE</w:t>
            </w:r>
            <w:r w:rsidRPr="00AF2EBA">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3445C79E" w14:textId="77777777" w:rsidR="00AF2EBA" w:rsidRPr="00AF2EBA" w:rsidRDefault="00AF2EBA" w:rsidP="00AF2EBA">
            <w:pPr>
              <w:spacing w:before="0" w:after="0"/>
              <w:jc w:val="right"/>
              <w:rPr>
                <w:rFonts w:cs="Arial"/>
                <w:sz w:val="18"/>
                <w:szCs w:val="18"/>
                <w:lang w:val="es-CO" w:eastAsia="es-CO"/>
              </w:rPr>
            </w:pPr>
            <w:r w:rsidRPr="00AF2EBA">
              <w:rPr>
                <w:rFonts w:cs="Arial"/>
                <w:sz w:val="18"/>
                <w:szCs w:val="18"/>
                <w:lang w:val="es-CO" w:eastAsia="es-CO"/>
              </w:rPr>
              <w:t>574.348.218.782</w:t>
            </w:r>
          </w:p>
        </w:tc>
      </w:tr>
    </w:tbl>
    <w:p w14:paraId="130C9AC6" w14:textId="0EBA228E" w:rsidR="006E62C4" w:rsidRPr="000C23A9" w:rsidRDefault="006E62C4" w:rsidP="006E62C4">
      <w:pPr>
        <w:pStyle w:val="Artculo"/>
        <w:ind w:left="0"/>
        <w:outlineLvl w:val="2"/>
        <w:rPr>
          <w:b w:val="0"/>
        </w:rPr>
      </w:pPr>
      <w:r>
        <w:t xml:space="preserve">Modificar el artículo 3 de la Resolución CREG 024 de 2021. </w:t>
      </w:r>
      <w:r w:rsidRPr="00A71EA8">
        <w:rPr>
          <w:b w:val="0"/>
        </w:rPr>
        <w:t xml:space="preserve">El artículo </w:t>
      </w:r>
      <w:r>
        <w:rPr>
          <w:b w:val="0"/>
        </w:rPr>
        <w:t>3</w:t>
      </w:r>
      <w:r w:rsidRPr="00A71EA8">
        <w:rPr>
          <w:b w:val="0"/>
        </w:rPr>
        <w:t xml:space="preserve"> de la Resolución CREG </w:t>
      </w:r>
      <w:r>
        <w:rPr>
          <w:b w:val="0"/>
        </w:rPr>
        <w:t>024</w:t>
      </w:r>
      <w:r w:rsidRPr="00A71EA8">
        <w:rPr>
          <w:b w:val="0"/>
        </w:rPr>
        <w:t xml:space="preserve"> de 20</w:t>
      </w:r>
      <w:r>
        <w:rPr>
          <w:b w:val="0"/>
        </w:rPr>
        <w:t>21</w:t>
      </w:r>
      <w:r w:rsidRPr="00A71EA8">
        <w:rPr>
          <w:b w:val="0"/>
        </w:rPr>
        <w:t xml:space="preserve"> quedará así:</w:t>
      </w:r>
    </w:p>
    <w:p w14:paraId="7AD95407" w14:textId="6CDCB53B" w:rsidR="006E62C4" w:rsidRDefault="006E62C4" w:rsidP="006E62C4">
      <w:pPr>
        <w:pStyle w:val="Artculo"/>
        <w:numPr>
          <w:ilvl w:val="0"/>
          <w:numId w:val="0"/>
        </w:numPr>
        <w:spacing w:before="180" w:after="180"/>
        <w:ind w:left="426"/>
        <w:outlineLvl w:val="2"/>
        <w:rPr>
          <w:b w:val="0"/>
          <w:i/>
          <w:iCs/>
          <w:sz w:val="22"/>
          <w:szCs w:val="22"/>
        </w:rPr>
      </w:pPr>
      <w:r w:rsidRPr="006E62C4">
        <w:rPr>
          <w:i/>
          <w:iCs/>
          <w:sz w:val="22"/>
          <w:szCs w:val="22"/>
        </w:rPr>
        <w:t>Articulo 3 Inversión aprobada en el plan de inversiones</w:t>
      </w:r>
      <w:r w:rsidRPr="006E62C4">
        <w:rPr>
          <w:b w:val="0"/>
          <w:i/>
          <w:iCs/>
          <w:sz w:val="22"/>
          <w:szCs w:val="22"/>
        </w:rPr>
        <w:t>. El valor de las inversiones aprobadas en el plan de inversiones, INVA</w:t>
      </w:r>
      <w:r w:rsidRPr="006E62C4">
        <w:rPr>
          <w:b w:val="0"/>
          <w:i/>
          <w:iCs/>
          <w:sz w:val="22"/>
          <w:szCs w:val="22"/>
          <w:vertAlign w:val="subscript"/>
        </w:rPr>
        <w:t>j,n,l,t</w:t>
      </w:r>
      <w:r w:rsidRPr="006E62C4">
        <w:rPr>
          <w:b w:val="0"/>
          <w:i/>
          <w:iCs/>
          <w:sz w:val="22"/>
          <w:szCs w:val="22"/>
        </w:rPr>
        <w:t>, para cada nivel de tensión, es el siguiente:</w:t>
      </w:r>
    </w:p>
    <w:p w14:paraId="2AA35654" w14:textId="362292E9" w:rsidR="006E62C4" w:rsidRDefault="006E62C4" w:rsidP="006E62C4">
      <w:pPr>
        <w:pStyle w:val="Descripcin"/>
        <w:rPr>
          <w:i/>
          <w:iCs/>
        </w:rPr>
      </w:pPr>
      <w:r w:rsidRPr="006E62C4">
        <w:rPr>
          <w:i/>
          <w:iCs/>
        </w:rPr>
        <w:t>Tabla 2 Plan de inversiones del nivel de tensión 4, pesos de diciembre de 2017</w:t>
      </w:r>
    </w:p>
    <w:tbl>
      <w:tblPr>
        <w:tblW w:w="0" w:type="auto"/>
        <w:tblInd w:w="421" w:type="dxa"/>
        <w:tblCellMar>
          <w:left w:w="70" w:type="dxa"/>
          <w:right w:w="70" w:type="dxa"/>
        </w:tblCellMar>
        <w:tblLook w:val="04A0" w:firstRow="1" w:lastRow="0" w:firstColumn="1" w:lastColumn="0" w:noHBand="0" w:noVBand="1"/>
      </w:tblPr>
      <w:tblGrid>
        <w:gridCol w:w="1275"/>
        <w:gridCol w:w="1530"/>
        <w:gridCol w:w="1530"/>
        <w:gridCol w:w="1530"/>
        <w:gridCol w:w="1530"/>
        <w:gridCol w:w="1530"/>
      </w:tblGrid>
      <w:tr w:rsidR="006E62C4" w:rsidRPr="006E62C4" w14:paraId="79827BAB" w14:textId="77777777" w:rsidTr="006E62C4">
        <w:trPr>
          <w:trHeight w:val="480"/>
          <w:tblHeader/>
        </w:trPr>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2FA41" w14:textId="77777777" w:rsidR="006E62C4" w:rsidRPr="006E62C4" w:rsidRDefault="006E62C4" w:rsidP="006E62C4">
            <w:pPr>
              <w:spacing w:before="0" w:after="0"/>
              <w:jc w:val="center"/>
              <w:rPr>
                <w:rFonts w:cs="Arial"/>
                <w:b/>
                <w:bCs/>
                <w:i/>
                <w:iCs/>
                <w:color w:val="000000"/>
                <w:sz w:val="18"/>
                <w:szCs w:val="18"/>
                <w:lang w:val="es-CO" w:eastAsia="es-CO"/>
              </w:rPr>
            </w:pPr>
            <w:r w:rsidRPr="006E62C4">
              <w:rPr>
                <w:rFonts w:cs="Arial"/>
                <w:b/>
                <w:bCs/>
                <w:i/>
                <w:iCs/>
                <w:color w:val="000000"/>
                <w:sz w:val="18"/>
                <w:szCs w:val="18"/>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EE75452"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9ABD48"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5C57C9"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A091C3"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04B437"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j,4,l,5</w:t>
            </w:r>
          </w:p>
        </w:tc>
      </w:tr>
      <w:tr w:rsidR="006E62C4" w:rsidRPr="006E62C4" w14:paraId="0ABAC9CA"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1DCF3939"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2FAFA"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5F3164D"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9AB3467"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806489C"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11.694.182.000</w:t>
            </w:r>
          </w:p>
        </w:tc>
        <w:tc>
          <w:tcPr>
            <w:tcW w:w="0" w:type="auto"/>
            <w:tcBorders>
              <w:top w:val="nil"/>
              <w:left w:val="nil"/>
              <w:bottom w:val="single" w:sz="4" w:space="0" w:color="auto"/>
              <w:right w:val="single" w:sz="4" w:space="0" w:color="auto"/>
            </w:tcBorders>
            <w:shd w:val="clear" w:color="auto" w:fill="auto"/>
            <w:noWrap/>
            <w:vAlign w:val="center"/>
            <w:hideMark/>
          </w:tcPr>
          <w:p w14:paraId="441C3F72"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r>
      <w:tr w:rsidR="006E62C4" w:rsidRPr="006E62C4" w14:paraId="49BA276D"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3ADC07E6"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7E144"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2F9B7F5"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1130C12"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2C2CEC0"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6828F24"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r>
      <w:tr w:rsidR="006E62C4" w:rsidRPr="006E62C4" w14:paraId="678B3972"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05876827"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354B2"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1.269.808.656</w:t>
            </w:r>
          </w:p>
        </w:tc>
        <w:tc>
          <w:tcPr>
            <w:tcW w:w="0" w:type="auto"/>
            <w:tcBorders>
              <w:top w:val="nil"/>
              <w:left w:val="nil"/>
              <w:bottom w:val="single" w:sz="4" w:space="0" w:color="auto"/>
              <w:right w:val="single" w:sz="4" w:space="0" w:color="auto"/>
            </w:tcBorders>
            <w:shd w:val="clear" w:color="auto" w:fill="auto"/>
            <w:noWrap/>
            <w:vAlign w:val="center"/>
            <w:hideMark/>
          </w:tcPr>
          <w:p w14:paraId="18C4F0CE"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558.336.000</w:t>
            </w:r>
          </w:p>
        </w:tc>
        <w:tc>
          <w:tcPr>
            <w:tcW w:w="0" w:type="auto"/>
            <w:tcBorders>
              <w:top w:val="nil"/>
              <w:left w:val="nil"/>
              <w:bottom w:val="single" w:sz="4" w:space="0" w:color="auto"/>
              <w:right w:val="single" w:sz="4" w:space="0" w:color="auto"/>
            </w:tcBorders>
            <w:shd w:val="clear" w:color="auto" w:fill="auto"/>
            <w:noWrap/>
            <w:vAlign w:val="center"/>
            <w:hideMark/>
          </w:tcPr>
          <w:p w14:paraId="5656D4E5"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11.508.272.000</w:t>
            </w:r>
          </w:p>
        </w:tc>
        <w:tc>
          <w:tcPr>
            <w:tcW w:w="0" w:type="auto"/>
            <w:tcBorders>
              <w:top w:val="nil"/>
              <w:left w:val="nil"/>
              <w:bottom w:val="single" w:sz="4" w:space="0" w:color="auto"/>
              <w:right w:val="single" w:sz="4" w:space="0" w:color="auto"/>
            </w:tcBorders>
            <w:shd w:val="clear" w:color="auto" w:fill="auto"/>
            <w:noWrap/>
            <w:vAlign w:val="center"/>
            <w:hideMark/>
          </w:tcPr>
          <w:p w14:paraId="5C3228A9"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8.991.727.739</w:t>
            </w:r>
          </w:p>
        </w:tc>
        <w:tc>
          <w:tcPr>
            <w:tcW w:w="0" w:type="auto"/>
            <w:tcBorders>
              <w:top w:val="nil"/>
              <w:left w:val="nil"/>
              <w:bottom w:val="single" w:sz="4" w:space="0" w:color="auto"/>
              <w:right w:val="single" w:sz="4" w:space="0" w:color="auto"/>
            </w:tcBorders>
            <w:shd w:val="clear" w:color="auto" w:fill="auto"/>
            <w:noWrap/>
            <w:vAlign w:val="center"/>
            <w:hideMark/>
          </w:tcPr>
          <w:p w14:paraId="0B4EC293"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10.218.619.514</w:t>
            </w:r>
          </w:p>
        </w:tc>
      </w:tr>
      <w:tr w:rsidR="006E62C4" w:rsidRPr="006E62C4" w14:paraId="29E9272D"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6327C585"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169DE"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3.131.965.000</w:t>
            </w:r>
          </w:p>
        </w:tc>
        <w:tc>
          <w:tcPr>
            <w:tcW w:w="0" w:type="auto"/>
            <w:tcBorders>
              <w:top w:val="nil"/>
              <w:left w:val="nil"/>
              <w:bottom w:val="single" w:sz="4" w:space="0" w:color="auto"/>
              <w:right w:val="single" w:sz="4" w:space="0" w:color="auto"/>
            </w:tcBorders>
            <w:shd w:val="clear" w:color="auto" w:fill="auto"/>
            <w:noWrap/>
            <w:vAlign w:val="center"/>
            <w:hideMark/>
          </w:tcPr>
          <w:p w14:paraId="07D7285E"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1.514.427.000</w:t>
            </w:r>
          </w:p>
        </w:tc>
        <w:tc>
          <w:tcPr>
            <w:tcW w:w="0" w:type="auto"/>
            <w:tcBorders>
              <w:top w:val="nil"/>
              <w:left w:val="nil"/>
              <w:bottom w:val="single" w:sz="4" w:space="0" w:color="auto"/>
              <w:right w:val="single" w:sz="4" w:space="0" w:color="auto"/>
            </w:tcBorders>
            <w:shd w:val="clear" w:color="auto" w:fill="auto"/>
            <w:noWrap/>
            <w:vAlign w:val="center"/>
            <w:hideMark/>
          </w:tcPr>
          <w:p w14:paraId="643452E5"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3.452.028.000</w:t>
            </w:r>
          </w:p>
        </w:tc>
        <w:tc>
          <w:tcPr>
            <w:tcW w:w="0" w:type="auto"/>
            <w:tcBorders>
              <w:top w:val="nil"/>
              <w:left w:val="nil"/>
              <w:bottom w:val="single" w:sz="4" w:space="0" w:color="auto"/>
              <w:right w:val="single" w:sz="4" w:space="0" w:color="auto"/>
            </w:tcBorders>
            <w:shd w:val="clear" w:color="auto" w:fill="auto"/>
            <w:noWrap/>
            <w:vAlign w:val="center"/>
            <w:hideMark/>
          </w:tcPr>
          <w:p w14:paraId="465D1699"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3.134.848.504</w:t>
            </w:r>
          </w:p>
        </w:tc>
        <w:tc>
          <w:tcPr>
            <w:tcW w:w="0" w:type="auto"/>
            <w:tcBorders>
              <w:top w:val="nil"/>
              <w:left w:val="nil"/>
              <w:bottom w:val="single" w:sz="4" w:space="0" w:color="auto"/>
              <w:right w:val="single" w:sz="4" w:space="0" w:color="auto"/>
            </w:tcBorders>
            <w:shd w:val="clear" w:color="auto" w:fill="auto"/>
            <w:noWrap/>
            <w:vAlign w:val="center"/>
            <w:hideMark/>
          </w:tcPr>
          <w:p w14:paraId="7C38CBA3"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4.931.377.000</w:t>
            </w:r>
          </w:p>
        </w:tc>
      </w:tr>
      <w:tr w:rsidR="006E62C4" w:rsidRPr="006E62C4" w14:paraId="7DA408F6"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70909FAB"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A5768"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1.399.042.798</w:t>
            </w:r>
          </w:p>
        </w:tc>
        <w:tc>
          <w:tcPr>
            <w:tcW w:w="0" w:type="auto"/>
            <w:tcBorders>
              <w:top w:val="nil"/>
              <w:left w:val="nil"/>
              <w:bottom w:val="single" w:sz="4" w:space="0" w:color="auto"/>
              <w:right w:val="single" w:sz="4" w:space="0" w:color="auto"/>
            </w:tcBorders>
            <w:shd w:val="clear" w:color="auto" w:fill="auto"/>
            <w:noWrap/>
            <w:vAlign w:val="center"/>
            <w:hideMark/>
          </w:tcPr>
          <w:p w14:paraId="7A082D62"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304.938.000</w:t>
            </w:r>
          </w:p>
        </w:tc>
        <w:tc>
          <w:tcPr>
            <w:tcW w:w="0" w:type="auto"/>
            <w:tcBorders>
              <w:top w:val="nil"/>
              <w:left w:val="nil"/>
              <w:bottom w:val="single" w:sz="4" w:space="0" w:color="auto"/>
              <w:right w:val="single" w:sz="4" w:space="0" w:color="auto"/>
            </w:tcBorders>
            <w:shd w:val="clear" w:color="auto" w:fill="auto"/>
            <w:noWrap/>
            <w:vAlign w:val="center"/>
            <w:hideMark/>
          </w:tcPr>
          <w:p w14:paraId="26C20B81"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2.846.088.000</w:t>
            </w:r>
          </w:p>
        </w:tc>
        <w:tc>
          <w:tcPr>
            <w:tcW w:w="0" w:type="auto"/>
            <w:tcBorders>
              <w:top w:val="nil"/>
              <w:left w:val="nil"/>
              <w:bottom w:val="single" w:sz="4" w:space="0" w:color="auto"/>
              <w:right w:val="single" w:sz="4" w:space="0" w:color="auto"/>
            </w:tcBorders>
            <w:shd w:val="clear" w:color="auto" w:fill="auto"/>
            <w:noWrap/>
            <w:vAlign w:val="center"/>
            <w:hideMark/>
          </w:tcPr>
          <w:p w14:paraId="7D4013EC"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1.423.044.000</w:t>
            </w:r>
          </w:p>
        </w:tc>
        <w:tc>
          <w:tcPr>
            <w:tcW w:w="0" w:type="auto"/>
            <w:tcBorders>
              <w:top w:val="nil"/>
              <w:left w:val="nil"/>
              <w:bottom w:val="single" w:sz="4" w:space="0" w:color="auto"/>
              <w:right w:val="single" w:sz="4" w:space="0" w:color="auto"/>
            </w:tcBorders>
            <w:shd w:val="clear" w:color="auto" w:fill="auto"/>
            <w:noWrap/>
            <w:vAlign w:val="center"/>
            <w:hideMark/>
          </w:tcPr>
          <w:p w14:paraId="1E49508E"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1.016.460.000</w:t>
            </w:r>
          </w:p>
        </w:tc>
      </w:tr>
      <w:tr w:rsidR="006E62C4" w:rsidRPr="006E62C4" w14:paraId="292B0B94"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18F8BA1C"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877A6"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9.501.678.949</w:t>
            </w:r>
          </w:p>
        </w:tc>
        <w:tc>
          <w:tcPr>
            <w:tcW w:w="0" w:type="auto"/>
            <w:tcBorders>
              <w:top w:val="nil"/>
              <w:left w:val="nil"/>
              <w:bottom w:val="single" w:sz="4" w:space="0" w:color="auto"/>
              <w:right w:val="single" w:sz="4" w:space="0" w:color="auto"/>
            </w:tcBorders>
            <w:shd w:val="clear" w:color="auto" w:fill="auto"/>
            <w:noWrap/>
            <w:vAlign w:val="center"/>
            <w:hideMark/>
          </w:tcPr>
          <w:p w14:paraId="74E2ECF9"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9.227.488.898</w:t>
            </w:r>
          </w:p>
        </w:tc>
        <w:tc>
          <w:tcPr>
            <w:tcW w:w="0" w:type="auto"/>
            <w:tcBorders>
              <w:top w:val="nil"/>
              <w:left w:val="nil"/>
              <w:bottom w:val="single" w:sz="4" w:space="0" w:color="auto"/>
              <w:right w:val="single" w:sz="4" w:space="0" w:color="auto"/>
            </w:tcBorders>
            <w:shd w:val="clear" w:color="auto" w:fill="auto"/>
            <w:noWrap/>
            <w:vAlign w:val="center"/>
            <w:hideMark/>
          </w:tcPr>
          <w:p w14:paraId="40AA0C36"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5.277.881.975</w:t>
            </w:r>
          </w:p>
        </w:tc>
        <w:tc>
          <w:tcPr>
            <w:tcW w:w="0" w:type="auto"/>
            <w:tcBorders>
              <w:top w:val="nil"/>
              <w:left w:val="nil"/>
              <w:bottom w:val="single" w:sz="4" w:space="0" w:color="auto"/>
              <w:right w:val="single" w:sz="4" w:space="0" w:color="auto"/>
            </w:tcBorders>
            <w:shd w:val="clear" w:color="auto" w:fill="auto"/>
            <w:noWrap/>
            <w:vAlign w:val="center"/>
            <w:hideMark/>
          </w:tcPr>
          <w:p w14:paraId="56A341EB"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7.035.658.975</w:t>
            </w:r>
          </w:p>
        </w:tc>
        <w:tc>
          <w:tcPr>
            <w:tcW w:w="0" w:type="auto"/>
            <w:tcBorders>
              <w:top w:val="nil"/>
              <w:left w:val="nil"/>
              <w:bottom w:val="single" w:sz="4" w:space="0" w:color="auto"/>
              <w:right w:val="single" w:sz="4" w:space="0" w:color="auto"/>
            </w:tcBorders>
            <w:shd w:val="clear" w:color="auto" w:fill="auto"/>
            <w:noWrap/>
            <w:vAlign w:val="center"/>
            <w:hideMark/>
          </w:tcPr>
          <w:p w14:paraId="5024A717"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7.590.128.975</w:t>
            </w:r>
          </w:p>
        </w:tc>
      </w:tr>
      <w:tr w:rsidR="006E62C4" w:rsidRPr="006E62C4" w14:paraId="6253C529"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7367E7A8"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2F0F64"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4.788.122.466</w:t>
            </w:r>
          </w:p>
        </w:tc>
        <w:tc>
          <w:tcPr>
            <w:tcW w:w="0" w:type="auto"/>
            <w:tcBorders>
              <w:top w:val="nil"/>
              <w:left w:val="nil"/>
              <w:bottom w:val="single" w:sz="4" w:space="0" w:color="auto"/>
              <w:right w:val="single" w:sz="4" w:space="0" w:color="auto"/>
            </w:tcBorders>
            <w:shd w:val="clear" w:color="auto" w:fill="auto"/>
            <w:noWrap/>
            <w:vAlign w:val="center"/>
            <w:hideMark/>
          </w:tcPr>
          <w:p w14:paraId="4C6E56CE"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004F0D5"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17.573.318.854</w:t>
            </w:r>
          </w:p>
        </w:tc>
        <w:tc>
          <w:tcPr>
            <w:tcW w:w="0" w:type="auto"/>
            <w:tcBorders>
              <w:top w:val="nil"/>
              <w:left w:val="nil"/>
              <w:bottom w:val="single" w:sz="4" w:space="0" w:color="auto"/>
              <w:right w:val="single" w:sz="4" w:space="0" w:color="auto"/>
            </w:tcBorders>
            <w:shd w:val="clear" w:color="auto" w:fill="auto"/>
            <w:noWrap/>
            <w:vAlign w:val="center"/>
            <w:hideMark/>
          </w:tcPr>
          <w:p w14:paraId="1897E69C"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4.625.469.000</w:t>
            </w:r>
          </w:p>
        </w:tc>
        <w:tc>
          <w:tcPr>
            <w:tcW w:w="0" w:type="auto"/>
            <w:tcBorders>
              <w:top w:val="nil"/>
              <w:left w:val="nil"/>
              <w:bottom w:val="single" w:sz="4" w:space="0" w:color="auto"/>
              <w:right w:val="single" w:sz="4" w:space="0" w:color="auto"/>
            </w:tcBorders>
            <w:shd w:val="clear" w:color="auto" w:fill="auto"/>
            <w:noWrap/>
            <w:vAlign w:val="center"/>
            <w:hideMark/>
          </w:tcPr>
          <w:p w14:paraId="1676B03D"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8.062.081.700</w:t>
            </w:r>
          </w:p>
        </w:tc>
      </w:tr>
      <w:tr w:rsidR="006E62C4" w:rsidRPr="006E62C4" w14:paraId="61726418"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42BFAE28"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88FC76"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84A2317"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F311C98"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1.286.724.600</w:t>
            </w:r>
          </w:p>
        </w:tc>
        <w:tc>
          <w:tcPr>
            <w:tcW w:w="0" w:type="auto"/>
            <w:tcBorders>
              <w:top w:val="nil"/>
              <w:left w:val="nil"/>
              <w:bottom w:val="single" w:sz="4" w:space="0" w:color="auto"/>
              <w:right w:val="single" w:sz="4" w:space="0" w:color="auto"/>
            </w:tcBorders>
            <w:shd w:val="clear" w:color="auto" w:fill="auto"/>
            <w:noWrap/>
            <w:vAlign w:val="center"/>
            <w:hideMark/>
          </w:tcPr>
          <w:p w14:paraId="2A22DB25"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37.743.921.600</w:t>
            </w:r>
          </w:p>
        </w:tc>
        <w:tc>
          <w:tcPr>
            <w:tcW w:w="0" w:type="auto"/>
            <w:tcBorders>
              <w:top w:val="nil"/>
              <w:left w:val="nil"/>
              <w:bottom w:val="single" w:sz="4" w:space="0" w:color="auto"/>
              <w:right w:val="single" w:sz="4" w:space="0" w:color="auto"/>
            </w:tcBorders>
            <w:shd w:val="clear" w:color="auto" w:fill="auto"/>
            <w:noWrap/>
            <w:vAlign w:val="center"/>
            <w:hideMark/>
          </w:tcPr>
          <w:p w14:paraId="163DF1D0"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r>
      <w:tr w:rsidR="006E62C4" w:rsidRPr="006E62C4" w14:paraId="3C1F6DB1"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7C76DB03"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BCEA50"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875F261"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FE03BB1"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85EE7F2"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BF4DF18"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0</w:t>
            </w:r>
          </w:p>
        </w:tc>
      </w:tr>
      <w:tr w:rsidR="006E62C4" w:rsidRPr="006E62C4" w14:paraId="62DE0635" w14:textId="77777777" w:rsidTr="006E62C4">
        <w:trPr>
          <w:trHeight w:val="255"/>
        </w:trPr>
        <w:tc>
          <w:tcPr>
            <w:tcW w:w="1275" w:type="dxa"/>
            <w:tcBorders>
              <w:top w:val="nil"/>
              <w:left w:val="single" w:sz="4" w:space="0" w:color="auto"/>
              <w:bottom w:val="single" w:sz="4" w:space="0" w:color="auto"/>
              <w:right w:val="nil"/>
            </w:tcBorders>
            <w:shd w:val="clear" w:color="000000" w:fill="FFFFFF"/>
            <w:noWrap/>
            <w:vAlign w:val="center"/>
            <w:hideMark/>
          </w:tcPr>
          <w:p w14:paraId="1CBFEE34"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1FEA3"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13.064.174.452</w:t>
            </w:r>
          </w:p>
        </w:tc>
        <w:tc>
          <w:tcPr>
            <w:tcW w:w="0" w:type="auto"/>
            <w:tcBorders>
              <w:top w:val="nil"/>
              <w:left w:val="nil"/>
              <w:bottom w:val="single" w:sz="4" w:space="0" w:color="auto"/>
              <w:right w:val="single" w:sz="4" w:space="0" w:color="auto"/>
            </w:tcBorders>
            <w:shd w:val="clear" w:color="auto" w:fill="auto"/>
            <w:noWrap/>
            <w:vAlign w:val="center"/>
            <w:hideMark/>
          </w:tcPr>
          <w:p w14:paraId="55325A1A"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10.331.013.958</w:t>
            </w:r>
          </w:p>
        </w:tc>
        <w:tc>
          <w:tcPr>
            <w:tcW w:w="0" w:type="auto"/>
            <w:tcBorders>
              <w:top w:val="nil"/>
              <w:left w:val="nil"/>
              <w:bottom w:val="single" w:sz="4" w:space="0" w:color="auto"/>
              <w:right w:val="single" w:sz="4" w:space="0" w:color="auto"/>
            </w:tcBorders>
            <w:shd w:val="clear" w:color="auto" w:fill="auto"/>
            <w:noWrap/>
            <w:vAlign w:val="center"/>
            <w:hideMark/>
          </w:tcPr>
          <w:p w14:paraId="07B77BB4"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1.875.838.557</w:t>
            </w:r>
          </w:p>
        </w:tc>
        <w:tc>
          <w:tcPr>
            <w:tcW w:w="0" w:type="auto"/>
            <w:tcBorders>
              <w:top w:val="nil"/>
              <w:left w:val="nil"/>
              <w:bottom w:val="single" w:sz="4" w:space="0" w:color="auto"/>
              <w:right w:val="single" w:sz="4" w:space="0" w:color="auto"/>
            </w:tcBorders>
            <w:shd w:val="clear" w:color="auto" w:fill="auto"/>
            <w:noWrap/>
            <w:vAlign w:val="center"/>
            <w:hideMark/>
          </w:tcPr>
          <w:p w14:paraId="25115D38"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3.093.703.488</w:t>
            </w:r>
          </w:p>
        </w:tc>
        <w:tc>
          <w:tcPr>
            <w:tcW w:w="0" w:type="auto"/>
            <w:tcBorders>
              <w:top w:val="nil"/>
              <w:left w:val="nil"/>
              <w:bottom w:val="single" w:sz="4" w:space="0" w:color="auto"/>
              <w:right w:val="single" w:sz="4" w:space="0" w:color="auto"/>
            </w:tcBorders>
            <w:shd w:val="clear" w:color="auto" w:fill="auto"/>
            <w:noWrap/>
            <w:vAlign w:val="center"/>
            <w:hideMark/>
          </w:tcPr>
          <w:p w14:paraId="2631E2FF" w14:textId="77777777" w:rsidR="006E62C4" w:rsidRPr="006E62C4" w:rsidRDefault="006E62C4" w:rsidP="006E62C4">
            <w:pPr>
              <w:spacing w:before="0" w:after="0"/>
              <w:jc w:val="right"/>
              <w:rPr>
                <w:rFonts w:cs="Arial"/>
                <w:i/>
                <w:iCs/>
                <w:sz w:val="18"/>
                <w:szCs w:val="18"/>
                <w:lang w:val="es-CO" w:eastAsia="es-CO"/>
              </w:rPr>
            </w:pPr>
            <w:r w:rsidRPr="006E62C4">
              <w:rPr>
                <w:rFonts w:cs="Arial"/>
                <w:i/>
                <w:iCs/>
                <w:sz w:val="18"/>
                <w:szCs w:val="18"/>
                <w:lang w:val="es-CO" w:eastAsia="es-CO"/>
              </w:rPr>
              <w:t>4.576.062.053</w:t>
            </w:r>
          </w:p>
        </w:tc>
      </w:tr>
    </w:tbl>
    <w:p w14:paraId="0124E7B8" w14:textId="0386AA81" w:rsidR="006E62C4" w:rsidRDefault="006E62C4" w:rsidP="006E62C4">
      <w:pPr>
        <w:pStyle w:val="Descripcin"/>
        <w:rPr>
          <w:i/>
          <w:iCs/>
        </w:rPr>
      </w:pPr>
      <w:r w:rsidRPr="006E62C4">
        <w:rPr>
          <w:i/>
          <w:iCs/>
        </w:rPr>
        <w:t xml:space="preserve">Tabla </w:t>
      </w:r>
      <w:r>
        <w:rPr>
          <w:i/>
          <w:iCs/>
        </w:rPr>
        <w:t>3</w:t>
      </w:r>
      <w:r w:rsidRPr="006E62C4">
        <w:rPr>
          <w:i/>
          <w:iCs/>
        </w:rPr>
        <w:t xml:space="preserve"> Plan de inversiones del nivel de tensión </w:t>
      </w:r>
      <w:r>
        <w:rPr>
          <w:i/>
          <w:iCs/>
        </w:rPr>
        <w:t>3</w:t>
      </w:r>
      <w:r w:rsidRPr="006E62C4">
        <w:rPr>
          <w:i/>
          <w:iCs/>
        </w:rPr>
        <w:t>, pesos de diciembre de 2017</w:t>
      </w:r>
    </w:p>
    <w:tbl>
      <w:tblPr>
        <w:tblW w:w="0" w:type="auto"/>
        <w:tblInd w:w="421" w:type="dxa"/>
        <w:tblCellMar>
          <w:left w:w="70" w:type="dxa"/>
          <w:right w:w="70" w:type="dxa"/>
        </w:tblCellMar>
        <w:tblLook w:val="04A0" w:firstRow="1" w:lastRow="0" w:firstColumn="1" w:lastColumn="0" w:noHBand="0" w:noVBand="1"/>
      </w:tblPr>
      <w:tblGrid>
        <w:gridCol w:w="1332"/>
        <w:gridCol w:w="1541"/>
        <w:gridCol w:w="1541"/>
        <w:gridCol w:w="1429"/>
        <w:gridCol w:w="1541"/>
        <w:gridCol w:w="1541"/>
      </w:tblGrid>
      <w:tr w:rsidR="006E62C4" w:rsidRPr="006E62C4" w14:paraId="00F274F3" w14:textId="77777777" w:rsidTr="006E62C4">
        <w:trPr>
          <w:trHeight w:val="480"/>
          <w:tblHeader/>
        </w:trPr>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2B0F1" w14:textId="77777777" w:rsidR="006E62C4" w:rsidRPr="006E62C4" w:rsidRDefault="006E62C4" w:rsidP="006E62C4">
            <w:pPr>
              <w:spacing w:before="0" w:after="0"/>
              <w:jc w:val="center"/>
              <w:rPr>
                <w:rFonts w:cs="Arial"/>
                <w:b/>
                <w:bCs/>
                <w:color w:val="000000"/>
                <w:sz w:val="18"/>
                <w:szCs w:val="18"/>
                <w:lang w:val="es-CO" w:eastAsia="es-CO"/>
              </w:rPr>
            </w:pPr>
            <w:r w:rsidRPr="006E62C4">
              <w:rPr>
                <w:rFonts w:cs="Arial"/>
                <w:b/>
                <w:bCs/>
                <w:color w:val="000000"/>
                <w:sz w:val="18"/>
                <w:szCs w:val="18"/>
                <w:lang w:val="es-CO" w:eastAsia="es-CO"/>
              </w:rPr>
              <w:t xml:space="preserve">Categoría de activos </w:t>
            </w:r>
            <w:r w:rsidRPr="006E62C4">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AEAC8AC"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212E06"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EF7737"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BD6D6C"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E1B860C"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j,3,l,5</w:t>
            </w:r>
          </w:p>
        </w:tc>
      </w:tr>
      <w:tr w:rsidR="006E62C4" w:rsidRPr="006E62C4" w14:paraId="234C2899"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707D2D38"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CBE3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1.047.273.000</w:t>
            </w:r>
          </w:p>
        </w:tc>
        <w:tc>
          <w:tcPr>
            <w:tcW w:w="0" w:type="auto"/>
            <w:tcBorders>
              <w:top w:val="nil"/>
              <w:left w:val="nil"/>
              <w:bottom w:val="single" w:sz="4" w:space="0" w:color="auto"/>
              <w:right w:val="single" w:sz="4" w:space="0" w:color="auto"/>
            </w:tcBorders>
            <w:shd w:val="clear" w:color="auto" w:fill="auto"/>
            <w:noWrap/>
            <w:vAlign w:val="center"/>
            <w:hideMark/>
          </w:tcPr>
          <w:p w14:paraId="6E5A5FE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3.124.042.273</w:t>
            </w:r>
          </w:p>
        </w:tc>
        <w:tc>
          <w:tcPr>
            <w:tcW w:w="0" w:type="auto"/>
            <w:tcBorders>
              <w:top w:val="nil"/>
              <w:left w:val="nil"/>
              <w:bottom w:val="single" w:sz="4" w:space="0" w:color="auto"/>
              <w:right w:val="single" w:sz="4" w:space="0" w:color="auto"/>
            </w:tcBorders>
            <w:shd w:val="clear" w:color="auto" w:fill="auto"/>
            <w:noWrap/>
            <w:vAlign w:val="center"/>
            <w:hideMark/>
          </w:tcPr>
          <w:p w14:paraId="1C1E20E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3.555.584.500</w:t>
            </w:r>
          </w:p>
        </w:tc>
        <w:tc>
          <w:tcPr>
            <w:tcW w:w="0" w:type="auto"/>
            <w:tcBorders>
              <w:top w:val="nil"/>
              <w:left w:val="nil"/>
              <w:bottom w:val="single" w:sz="4" w:space="0" w:color="auto"/>
              <w:right w:val="single" w:sz="4" w:space="0" w:color="auto"/>
            </w:tcBorders>
            <w:shd w:val="clear" w:color="auto" w:fill="auto"/>
            <w:noWrap/>
            <w:vAlign w:val="center"/>
            <w:hideMark/>
          </w:tcPr>
          <w:p w14:paraId="4AE0D452"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3.411.607.167</w:t>
            </w:r>
          </w:p>
        </w:tc>
        <w:tc>
          <w:tcPr>
            <w:tcW w:w="0" w:type="auto"/>
            <w:tcBorders>
              <w:top w:val="nil"/>
              <w:left w:val="nil"/>
              <w:bottom w:val="single" w:sz="4" w:space="0" w:color="auto"/>
              <w:right w:val="single" w:sz="4" w:space="0" w:color="auto"/>
            </w:tcBorders>
            <w:shd w:val="clear" w:color="auto" w:fill="auto"/>
            <w:noWrap/>
            <w:vAlign w:val="center"/>
            <w:hideMark/>
          </w:tcPr>
          <w:p w14:paraId="2E3E338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3.048.354.000</w:t>
            </w:r>
          </w:p>
        </w:tc>
      </w:tr>
      <w:tr w:rsidR="006E62C4" w:rsidRPr="006E62C4" w14:paraId="5C3D4288"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3BBE4BE6"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299F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D8A33C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9F26F2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4A00F8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B80836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r>
      <w:tr w:rsidR="006E62C4" w:rsidRPr="006E62C4" w14:paraId="02530DB1"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352E45E1"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3BA6D9"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7.554.332.000</w:t>
            </w:r>
          </w:p>
        </w:tc>
        <w:tc>
          <w:tcPr>
            <w:tcW w:w="0" w:type="auto"/>
            <w:tcBorders>
              <w:top w:val="nil"/>
              <w:left w:val="nil"/>
              <w:bottom w:val="single" w:sz="4" w:space="0" w:color="auto"/>
              <w:right w:val="single" w:sz="4" w:space="0" w:color="auto"/>
            </w:tcBorders>
            <w:shd w:val="clear" w:color="auto" w:fill="auto"/>
            <w:noWrap/>
            <w:vAlign w:val="center"/>
            <w:hideMark/>
          </w:tcPr>
          <w:p w14:paraId="4A7CB21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24.291.112.000</w:t>
            </w:r>
          </w:p>
        </w:tc>
        <w:tc>
          <w:tcPr>
            <w:tcW w:w="0" w:type="auto"/>
            <w:tcBorders>
              <w:top w:val="nil"/>
              <w:left w:val="nil"/>
              <w:bottom w:val="single" w:sz="4" w:space="0" w:color="auto"/>
              <w:right w:val="single" w:sz="4" w:space="0" w:color="auto"/>
            </w:tcBorders>
            <w:shd w:val="clear" w:color="auto" w:fill="auto"/>
            <w:noWrap/>
            <w:vAlign w:val="center"/>
            <w:hideMark/>
          </w:tcPr>
          <w:p w14:paraId="2CC80AD9"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8.625.094.000</w:t>
            </w:r>
          </w:p>
        </w:tc>
        <w:tc>
          <w:tcPr>
            <w:tcW w:w="0" w:type="auto"/>
            <w:tcBorders>
              <w:top w:val="nil"/>
              <w:left w:val="nil"/>
              <w:bottom w:val="single" w:sz="4" w:space="0" w:color="auto"/>
              <w:right w:val="single" w:sz="4" w:space="0" w:color="auto"/>
            </w:tcBorders>
            <w:shd w:val="clear" w:color="auto" w:fill="auto"/>
            <w:noWrap/>
            <w:vAlign w:val="center"/>
            <w:hideMark/>
          </w:tcPr>
          <w:p w14:paraId="1154E40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15.162.932.034</w:t>
            </w:r>
          </w:p>
        </w:tc>
        <w:tc>
          <w:tcPr>
            <w:tcW w:w="0" w:type="auto"/>
            <w:tcBorders>
              <w:top w:val="nil"/>
              <w:left w:val="nil"/>
              <w:bottom w:val="single" w:sz="4" w:space="0" w:color="auto"/>
              <w:right w:val="single" w:sz="4" w:space="0" w:color="auto"/>
            </w:tcBorders>
            <w:shd w:val="clear" w:color="auto" w:fill="auto"/>
            <w:noWrap/>
            <w:vAlign w:val="center"/>
            <w:hideMark/>
          </w:tcPr>
          <w:p w14:paraId="00BD8990"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20.486.925.000</w:t>
            </w:r>
          </w:p>
        </w:tc>
      </w:tr>
      <w:tr w:rsidR="006E62C4" w:rsidRPr="006E62C4" w14:paraId="692DEE98"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4740F181"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DBBA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3.323.423.000</w:t>
            </w:r>
          </w:p>
        </w:tc>
        <w:tc>
          <w:tcPr>
            <w:tcW w:w="0" w:type="auto"/>
            <w:tcBorders>
              <w:top w:val="nil"/>
              <w:left w:val="nil"/>
              <w:bottom w:val="single" w:sz="4" w:space="0" w:color="auto"/>
              <w:right w:val="single" w:sz="4" w:space="0" w:color="auto"/>
            </w:tcBorders>
            <w:shd w:val="clear" w:color="auto" w:fill="auto"/>
            <w:noWrap/>
            <w:vAlign w:val="center"/>
            <w:hideMark/>
          </w:tcPr>
          <w:p w14:paraId="6F953329"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5.097.547.000</w:t>
            </w:r>
          </w:p>
        </w:tc>
        <w:tc>
          <w:tcPr>
            <w:tcW w:w="0" w:type="auto"/>
            <w:tcBorders>
              <w:top w:val="nil"/>
              <w:left w:val="nil"/>
              <w:bottom w:val="single" w:sz="4" w:space="0" w:color="auto"/>
              <w:right w:val="single" w:sz="4" w:space="0" w:color="auto"/>
            </w:tcBorders>
            <w:shd w:val="clear" w:color="auto" w:fill="auto"/>
            <w:noWrap/>
            <w:vAlign w:val="center"/>
            <w:hideMark/>
          </w:tcPr>
          <w:p w14:paraId="49D893E5"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1.925.047.000</w:t>
            </w:r>
          </w:p>
        </w:tc>
        <w:tc>
          <w:tcPr>
            <w:tcW w:w="0" w:type="auto"/>
            <w:tcBorders>
              <w:top w:val="nil"/>
              <w:left w:val="nil"/>
              <w:bottom w:val="single" w:sz="4" w:space="0" w:color="auto"/>
              <w:right w:val="single" w:sz="4" w:space="0" w:color="auto"/>
            </w:tcBorders>
            <w:shd w:val="clear" w:color="auto" w:fill="auto"/>
            <w:noWrap/>
            <w:vAlign w:val="center"/>
            <w:hideMark/>
          </w:tcPr>
          <w:p w14:paraId="14AE968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2.767.571.558</w:t>
            </w:r>
          </w:p>
        </w:tc>
        <w:tc>
          <w:tcPr>
            <w:tcW w:w="0" w:type="auto"/>
            <w:tcBorders>
              <w:top w:val="nil"/>
              <w:left w:val="nil"/>
              <w:bottom w:val="single" w:sz="4" w:space="0" w:color="auto"/>
              <w:right w:val="single" w:sz="4" w:space="0" w:color="auto"/>
            </w:tcBorders>
            <w:shd w:val="clear" w:color="auto" w:fill="auto"/>
            <w:noWrap/>
            <w:vAlign w:val="center"/>
            <w:hideMark/>
          </w:tcPr>
          <w:p w14:paraId="08D186D2"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2.802.064.000</w:t>
            </w:r>
          </w:p>
        </w:tc>
      </w:tr>
      <w:tr w:rsidR="006E62C4" w:rsidRPr="006E62C4" w14:paraId="5832B8FF"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222721ED"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D395E"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141.792.000</w:t>
            </w:r>
          </w:p>
        </w:tc>
        <w:tc>
          <w:tcPr>
            <w:tcW w:w="0" w:type="auto"/>
            <w:tcBorders>
              <w:top w:val="nil"/>
              <w:left w:val="nil"/>
              <w:bottom w:val="single" w:sz="4" w:space="0" w:color="auto"/>
              <w:right w:val="single" w:sz="4" w:space="0" w:color="auto"/>
            </w:tcBorders>
            <w:shd w:val="clear" w:color="auto" w:fill="auto"/>
            <w:noWrap/>
            <w:vAlign w:val="center"/>
            <w:hideMark/>
          </w:tcPr>
          <w:p w14:paraId="779EB4C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653.260.000</w:t>
            </w:r>
          </w:p>
        </w:tc>
        <w:tc>
          <w:tcPr>
            <w:tcW w:w="0" w:type="auto"/>
            <w:tcBorders>
              <w:top w:val="nil"/>
              <w:left w:val="nil"/>
              <w:bottom w:val="single" w:sz="4" w:space="0" w:color="auto"/>
              <w:right w:val="single" w:sz="4" w:space="0" w:color="auto"/>
            </w:tcBorders>
            <w:shd w:val="clear" w:color="auto" w:fill="auto"/>
            <w:noWrap/>
            <w:vAlign w:val="center"/>
            <w:hideMark/>
          </w:tcPr>
          <w:p w14:paraId="1E8AD44C"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264.596.000</w:t>
            </w:r>
          </w:p>
        </w:tc>
        <w:tc>
          <w:tcPr>
            <w:tcW w:w="0" w:type="auto"/>
            <w:tcBorders>
              <w:top w:val="nil"/>
              <w:left w:val="nil"/>
              <w:bottom w:val="single" w:sz="4" w:space="0" w:color="auto"/>
              <w:right w:val="single" w:sz="4" w:space="0" w:color="auto"/>
            </w:tcBorders>
            <w:shd w:val="clear" w:color="auto" w:fill="auto"/>
            <w:noWrap/>
            <w:vAlign w:val="center"/>
            <w:hideMark/>
          </w:tcPr>
          <w:p w14:paraId="4EFF278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88.620.000</w:t>
            </w:r>
          </w:p>
        </w:tc>
        <w:tc>
          <w:tcPr>
            <w:tcW w:w="0" w:type="auto"/>
            <w:tcBorders>
              <w:top w:val="nil"/>
              <w:left w:val="nil"/>
              <w:bottom w:val="single" w:sz="4" w:space="0" w:color="auto"/>
              <w:right w:val="single" w:sz="4" w:space="0" w:color="auto"/>
            </w:tcBorders>
            <w:shd w:val="clear" w:color="auto" w:fill="auto"/>
            <w:noWrap/>
            <w:vAlign w:val="center"/>
            <w:hideMark/>
          </w:tcPr>
          <w:p w14:paraId="2D9C173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193.700.000</w:t>
            </w:r>
          </w:p>
        </w:tc>
      </w:tr>
      <w:tr w:rsidR="006E62C4" w:rsidRPr="006E62C4" w14:paraId="59BC3556"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2CEFF4B1"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AECE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1.069.090.000</w:t>
            </w:r>
          </w:p>
        </w:tc>
        <w:tc>
          <w:tcPr>
            <w:tcW w:w="0" w:type="auto"/>
            <w:tcBorders>
              <w:top w:val="nil"/>
              <w:left w:val="nil"/>
              <w:bottom w:val="single" w:sz="4" w:space="0" w:color="auto"/>
              <w:right w:val="single" w:sz="4" w:space="0" w:color="auto"/>
            </w:tcBorders>
            <w:shd w:val="clear" w:color="auto" w:fill="auto"/>
            <w:noWrap/>
            <w:vAlign w:val="center"/>
            <w:hideMark/>
          </w:tcPr>
          <w:p w14:paraId="48AF92D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3.380.158.000</w:t>
            </w:r>
          </w:p>
        </w:tc>
        <w:tc>
          <w:tcPr>
            <w:tcW w:w="0" w:type="auto"/>
            <w:tcBorders>
              <w:top w:val="nil"/>
              <w:left w:val="nil"/>
              <w:bottom w:val="single" w:sz="4" w:space="0" w:color="auto"/>
              <w:right w:val="single" w:sz="4" w:space="0" w:color="auto"/>
            </w:tcBorders>
            <w:shd w:val="clear" w:color="auto" w:fill="auto"/>
            <w:noWrap/>
            <w:vAlign w:val="center"/>
            <w:hideMark/>
          </w:tcPr>
          <w:p w14:paraId="12A12709"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390.370.000</w:t>
            </w:r>
          </w:p>
        </w:tc>
        <w:tc>
          <w:tcPr>
            <w:tcW w:w="0" w:type="auto"/>
            <w:tcBorders>
              <w:top w:val="nil"/>
              <w:left w:val="nil"/>
              <w:bottom w:val="single" w:sz="4" w:space="0" w:color="auto"/>
              <w:right w:val="single" w:sz="4" w:space="0" w:color="auto"/>
            </w:tcBorders>
            <w:shd w:val="clear" w:color="auto" w:fill="auto"/>
            <w:noWrap/>
            <w:vAlign w:val="center"/>
            <w:hideMark/>
          </w:tcPr>
          <w:p w14:paraId="4B635172"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1.365.184.000</w:t>
            </w:r>
          </w:p>
        </w:tc>
        <w:tc>
          <w:tcPr>
            <w:tcW w:w="0" w:type="auto"/>
            <w:tcBorders>
              <w:top w:val="nil"/>
              <w:left w:val="nil"/>
              <w:bottom w:val="single" w:sz="4" w:space="0" w:color="auto"/>
              <w:right w:val="single" w:sz="4" w:space="0" w:color="auto"/>
            </w:tcBorders>
            <w:shd w:val="clear" w:color="auto" w:fill="auto"/>
            <w:noWrap/>
            <w:vAlign w:val="center"/>
            <w:hideMark/>
          </w:tcPr>
          <w:p w14:paraId="3C385FB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1.309.407.000</w:t>
            </w:r>
          </w:p>
        </w:tc>
      </w:tr>
      <w:tr w:rsidR="006E62C4" w:rsidRPr="006E62C4" w14:paraId="2D9DEC01"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2456FFE2"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A33A3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20.905.088.790</w:t>
            </w:r>
          </w:p>
        </w:tc>
        <w:tc>
          <w:tcPr>
            <w:tcW w:w="0" w:type="auto"/>
            <w:tcBorders>
              <w:top w:val="nil"/>
              <w:left w:val="nil"/>
              <w:bottom w:val="single" w:sz="4" w:space="0" w:color="auto"/>
              <w:right w:val="single" w:sz="4" w:space="0" w:color="auto"/>
            </w:tcBorders>
            <w:shd w:val="clear" w:color="auto" w:fill="auto"/>
            <w:noWrap/>
            <w:vAlign w:val="center"/>
            <w:hideMark/>
          </w:tcPr>
          <w:p w14:paraId="68FC79BC"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11.074.542.977</w:t>
            </w:r>
          </w:p>
        </w:tc>
        <w:tc>
          <w:tcPr>
            <w:tcW w:w="0" w:type="auto"/>
            <w:tcBorders>
              <w:top w:val="nil"/>
              <w:left w:val="nil"/>
              <w:bottom w:val="single" w:sz="4" w:space="0" w:color="auto"/>
              <w:right w:val="single" w:sz="4" w:space="0" w:color="auto"/>
            </w:tcBorders>
            <w:shd w:val="clear" w:color="auto" w:fill="auto"/>
            <w:noWrap/>
            <w:vAlign w:val="center"/>
            <w:hideMark/>
          </w:tcPr>
          <w:p w14:paraId="38D71EE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7.688.973.934</w:t>
            </w:r>
          </w:p>
        </w:tc>
        <w:tc>
          <w:tcPr>
            <w:tcW w:w="0" w:type="auto"/>
            <w:tcBorders>
              <w:top w:val="nil"/>
              <w:left w:val="nil"/>
              <w:bottom w:val="single" w:sz="4" w:space="0" w:color="auto"/>
              <w:right w:val="single" w:sz="4" w:space="0" w:color="auto"/>
            </w:tcBorders>
            <w:shd w:val="clear" w:color="auto" w:fill="auto"/>
            <w:noWrap/>
            <w:vAlign w:val="center"/>
            <w:hideMark/>
          </w:tcPr>
          <w:p w14:paraId="2FC861B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13.921.250.958</w:t>
            </w:r>
          </w:p>
        </w:tc>
        <w:tc>
          <w:tcPr>
            <w:tcW w:w="0" w:type="auto"/>
            <w:tcBorders>
              <w:top w:val="nil"/>
              <w:left w:val="nil"/>
              <w:bottom w:val="single" w:sz="4" w:space="0" w:color="auto"/>
              <w:right w:val="single" w:sz="4" w:space="0" w:color="auto"/>
            </w:tcBorders>
            <w:shd w:val="clear" w:color="auto" w:fill="auto"/>
            <w:noWrap/>
            <w:vAlign w:val="center"/>
            <w:hideMark/>
          </w:tcPr>
          <w:p w14:paraId="3558E03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34.219.764.800</w:t>
            </w:r>
          </w:p>
        </w:tc>
      </w:tr>
      <w:tr w:rsidR="006E62C4" w:rsidRPr="006E62C4" w14:paraId="69A75D1F"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1E73B649"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24D2C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1.434.009.262</w:t>
            </w:r>
          </w:p>
        </w:tc>
        <w:tc>
          <w:tcPr>
            <w:tcW w:w="0" w:type="auto"/>
            <w:tcBorders>
              <w:top w:val="nil"/>
              <w:left w:val="nil"/>
              <w:bottom w:val="single" w:sz="4" w:space="0" w:color="auto"/>
              <w:right w:val="single" w:sz="4" w:space="0" w:color="auto"/>
            </w:tcBorders>
            <w:shd w:val="clear" w:color="auto" w:fill="auto"/>
            <w:noWrap/>
            <w:vAlign w:val="center"/>
            <w:hideMark/>
          </w:tcPr>
          <w:p w14:paraId="17B7085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2.420.523.089</w:t>
            </w:r>
          </w:p>
        </w:tc>
        <w:tc>
          <w:tcPr>
            <w:tcW w:w="0" w:type="auto"/>
            <w:tcBorders>
              <w:top w:val="nil"/>
              <w:left w:val="nil"/>
              <w:bottom w:val="single" w:sz="4" w:space="0" w:color="auto"/>
              <w:right w:val="single" w:sz="4" w:space="0" w:color="auto"/>
            </w:tcBorders>
            <w:shd w:val="clear" w:color="auto" w:fill="auto"/>
            <w:noWrap/>
            <w:vAlign w:val="center"/>
            <w:hideMark/>
          </w:tcPr>
          <w:p w14:paraId="63C7C89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419.099.569</w:t>
            </w:r>
          </w:p>
        </w:tc>
        <w:tc>
          <w:tcPr>
            <w:tcW w:w="0" w:type="auto"/>
            <w:tcBorders>
              <w:top w:val="nil"/>
              <w:left w:val="nil"/>
              <w:bottom w:val="single" w:sz="4" w:space="0" w:color="auto"/>
              <w:right w:val="single" w:sz="4" w:space="0" w:color="auto"/>
            </w:tcBorders>
            <w:shd w:val="clear" w:color="auto" w:fill="auto"/>
            <w:noWrap/>
            <w:vAlign w:val="center"/>
            <w:hideMark/>
          </w:tcPr>
          <w:p w14:paraId="02676B0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1.608.778.500</w:t>
            </w:r>
          </w:p>
        </w:tc>
        <w:tc>
          <w:tcPr>
            <w:tcW w:w="0" w:type="auto"/>
            <w:tcBorders>
              <w:top w:val="nil"/>
              <w:left w:val="nil"/>
              <w:bottom w:val="single" w:sz="4" w:space="0" w:color="auto"/>
              <w:right w:val="single" w:sz="4" w:space="0" w:color="auto"/>
            </w:tcBorders>
            <w:shd w:val="clear" w:color="auto" w:fill="auto"/>
            <w:noWrap/>
            <w:vAlign w:val="center"/>
            <w:hideMark/>
          </w:tcPr>
          <w:p w14:paraId="5480BB89"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r>
      <w:tr w:rsidR="006E62C4" w:rsidRPr="006E62C4" w14:paraId="08448BEE"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54AC63C0"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B8F65"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721.580.586</w:t>
            </w:r>
          </w:p>
        </w:tc>
        <w:tc>
          <w:tcPr>
            <w:tcW w:w="0" w:type="auto"/>
            <w:tcBorders>
              <w:top w:val="nil"/>
              <w:left w:val="nil"/>
              <w:bottom w:val="single" w:sz="4" w:space="0" w:color="auto"/>
              <w:right w:val="single" w:sz="4" w:space="0" w:color="auto"/>
            </w:tcBorders>
            <w:shd w:val="clear" w:color="auto" w:fill="auto"/>
            <w:noWrap/>
            <w:vAlign w:val="center"/>
            <w:hideMark/>
          </w:tcPr>
          <w:p w14:paraId="4338FCF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4.237.358.000</w:t>
            </w:r>
          </w:p>
        </w:tc>
        <w:tc>
          <w:tcPr>
            <w:tcW w:w="0" w:type="auto"/>
            <w:tcBorders>
              <w:top w:val="nil"/>
              <w:left w:val="nil"/>
              <w:bottom w:val="single" w:sz="4" w:space="0" w:color="auto"/>
              <w:right w:val="single" w:sz="4" w:space="0" w:color="auto"/>
            </w:tcBorders>
            <w:shd w:val="clear" w:color="auto" w:fill="auto"/>
            <w:noWrap/>
            <w:vAlign w:val="center"/>
            <w:hideMark/>
          </w:tcPr>
          <w:p w14:paraId="7C4C8F1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5.080.000</w:t>
            </w:r>
          </w:p>
        </w:tc>
        <w:tc>
          <w:tcPr>
            <w:tcW w:w="0" w:type="auto"/>
            <w:tcBorders>
              <w:top w:val="nil"/>
              <w:left w:val="nil"/>
              <w:bottom w:val="single" w:sz="4" w:space="0" w:color="auto"/>
              <w:right w:val="single" w:sz="4" w:space="0" w:color="auto"/>
            </w:tcBorders>
            <w:shd w:val="clear" w:color="auto" w:fill="auto"/>
            <w:noWrap/>
            <w:vAlign w:val="center"/>
            <w:hideMark/>
          </w:tcPr>
          <w:p w14:paraId="2019D0D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22.860.000</w:t>
            </w:r>
          </w:p>
        </w:tc>
        <w:tc>
          <w:tcPr>
            <w:tcW w:w="0" w:type="auto"/>
            <w:tcBorders>
              <w:top w:val="nil"/>
              <w:left w:val="nil"/>
              <w:bottom w:val="single" w:sz="4" w:space="0" w:color="auto"/>
              <w:right w:val="single" w:sz="4" w:space="0" w:color="auto"/>
            </w:tcBorders>
            <w:shd w:val="clear" w:color="auto" w:fill="auto"/>
            <w:noWrap/>
            <w:vAlign w:val="center"/>
            <w:hideMark/>
          </w:tcPr>
          <w:p w14:paraId="196D117C"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43.180.000</w:t>
            </w:r>
          </w:p>
        </w:tc>
      </w:tr>
      <w:tr w:rsidR="006E62C4" w:rsidRPr="006E62C4" w14:paraId="7DB3DD7F" w14:textId="77777777" w:rsidTr="006E62C4">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48B8E0AF"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906E6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13.064.174.452</w:t>
            </w:r>
          </w:p>
        </w:tc>
        <w:tc>
          <w:tcPr>
            <w:tcW w:w="0" w:type="auto"/>
            <w:tcBorders>
              <w:top w:val="nil"/>
              <w:left w:val="nil"/>
              <w:bottom w:val="single" w:sz="4" w:space="0" w:color="auto"/>
              <w:right w:val="single" w:sz="4" w:space="0" w:color="auto"/>
            </w:tcBorders>
            <w:shd w:val="clear" w:color="auto" w:fill="auto"/>
            <w:noWrap/>
            <w:vAlign w:val="center"/>
            <w:hideMark/>
          </w:tcPr>
          <w:p w14:paraId="7AE7E3D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10.331.013.958</w:t>
            </w:r>
          </w:p>
        </w:tc>
        <w:tc>
          <w:tcPr>
            <w:tcW w:w="0" w:type="auto"/>
            <w:tcBorders>
              <w:top w:val="nil"/>
              <w:left w:val="nil"/>
              <w:bottom w:val="single" w:sz="4" w:space="0" w:color="auto"/>
              <w:right w:val="single" w:sz="4" w:space="0" w:color="auto"/>
            </w:tcBorders>
            <w:shd w:val="clear" w:color="auto" w:fill="auto"/>
            <w:noWrap/>
            <w:vAlign w:val="center"/>
            <w:hideMark/>
          </w:tcPr>
          <w:p w14:paraId="2D1CB68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1.875.838.557</w:t>
            </w:r>
          </w:p>
        </w:tc>
        <w:tc>
          <w:tcPr>
            <w:tcW w:w="0" w:type="auto"/>
            <w:tcBorders>
              <w:top w:val="nil"/>
              <w:left w:val="nil"/>
              <w:bottom w:val="single" w:sz="4" w:space="0" w:color="auto"/>
              <w:right w:val="single" w:sz="4" w:space="0" w:color="auto"/>
            </w:tcBorders>
            <w:shd w:val="clear" w:color="auto" w:fill="auto"/>
            <w:noWrap/>
            <w:vAlign w:val="center"/>
            <w:hideMark/>
          </w:tcPr>
          <w:p w14:paraId="41922F0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3.093.703.488</w:t>
            </w:r>
          </w:p>
        </w:tc>
        <w:tc>
          <w:tcPr>
            <w:tcW w:w="0" w:type="auto"/>
            <w:tcBorders>
              <w:top w:val="nil"/>
              <w:left w:val="nil"/>
              <w:bottom w:val="single" w:sz="4" w:space="0" w:color="auto"/>
              <w:right w:val="single" w:sz="4" w:space="0" w:color="auto"/>
            </w:tcBorders>
            <w:shd w:val="clear" w:color="auto" w:fill="auto"/>
            <w:noWrap/>
            <w:vAlign w:val="center"/>
            <w:hideMark/>
          </w:tcPr>
          <w:p w14:paraId="20231A4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4.576.062.053</w:t>
            </w:r>
          </w:p>
        </w:tc>
      </w:tr>
    </w:tbl>
    <w:p w14:paraId="23609D02" w14:textId="3D413C3E" w:rsidR="006E62C4" w:rsidRDefault="006E62C4" w:rsidP="006E62C4">
      <w:pPr>
        <w:pStyle w:val="Descripcin"/>
        <w:rPr>
          <w:i/>
          <w:iCs/>
        </w:rPr>
      </w:pPr>
      <w:r w:rsidRPr="006E62C4">
        <w:rPr>
          <w:i/>
          <w:iCs/>
        </w:rPr>
        <w:t xml:space="preserve">Tabla </w:t>
      </w:r>
      <w:r>
        <w:rPr>
          <w:i/>
          <w:iCs/>
        </w:rPr>
        <w:t>4</w:t>
      </w:r>
      <w:r w:rsidRPr="006E62C4">
        <w:rPr>
          <w:i/>
          <w:iCs/>
        </w:rPr>
        <w:t xml:space="preserve"> Plan de inversiones del nivel de tensión </w:t>
      </w:r>
      <w:r>
        <w:rPr>
          <w:i/>
          <w:iCs/>
        </w:rPr>
        <w:t>2</w:t>
      </w:r>
      <w:r w:rsidRPr="006E62C4">
        <w:rPr>
          <w:i/>
          <w:iCs/>
        </w:rPr>
        <w:t>, pesos de diciembre de 2017</w:t>
      </w:r>
    </w:p>
    <w:tbl>
      <w:tblPr>
        <w:tblW w:w="0" w:type="auto"/>
        <w:tblInd w:w="421" w:type="dxa"/>
        <w:tblCellMar>
          <w:left w:w="70" w:type="dxa"/>
          <w:right w:w="70" w:type="dxa"/>
        </w:tblCellMar>
        <w:tblLook w:val="04A0" w:firstRow="1" w:lastRow="0" w:firstColumn="1" w:lastColumn="0" w:noHBand="0" w:noVBand="1"/>
      </w:tblPr>
      <w:tblGrid>
        <w:gridCol w:w="1108"/>
        <w:gridCol w:w="1541"/>
        <w:gridCol w:w="1541"/>
        <w:gridCol w:w="1541"/>
        <w:gridCol w:w="1653"/>
        <w:gridCol w:w="1541"/>
      </w:tblGrid>
      <w:tr w:rsidR="006E62C4" w:rsidRPr="006E62C4" w14:paraId="5A06AE2F" w14:textId="77777777" w:rsidTr="006E62C4">
        <w:trPr>
          <w:trHeight w:val="480"/>
          <w:tblHeader/>
        </w:trPr>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39C88" w14:textId="77777777" w:rsidR="006E62C4" w:rsidRPr="006E62C4" w:rsidRDefault="006E62C4" w:rsidP="006E62C4">
            <w:pPr>
              <w:spacing w:before="0" w:after="0"/>
              <w:jc w:val="center"/>
              <w:rPr>
                <w:rFonts w:cs="Arial"/>
                <w:b/>
                <w:bCs/>
                <w:color w:val="000000"/>
                <w:sz w:val="18"/>
                <w:szCs w:val="18"/>
                <w:lang w:val="es-CO" w:eastAsia="es-CO"/>
              </w:rPr>
            </w:pPr>
            <w:r w:rsidRPr="006E62C4">
              <w:rPr>
                <w:rFonts w:cs="Arial"/>
                <w:b/>
                <w:bCs/>
                <w:color w:val="000000"/>
                <w:sz w:val="18"/>
                <w:szCs w:val="18"/>
                <w:lang w:val="es-CO" w:eastAsia="es-CO"/>
              </w:rPr>
              <w:t xml:space="preserve">Categoría de activos </w:t>
            </w:r>
            <w:r w:rsidRPr="006E62C4">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18EB5E"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90A4673"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3D6053"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A532FB"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A1B76D"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j,2,l,5</w:t>
            </w:r>
          </w:p>
        </w:tc>
      </w:tr>
      <w:tr w:rsidR="006E62C4" w:rsidRPr="006E62C4" w14:paraId="1C247EC0"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4D5515E4"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35BD5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28.856.986.100</w:t>
            </w:r>
          </w:p>
        </w:tc>
        <w:tc>
          <w:tcPr>
            <w:tcW w:w="0" w:type="auto"/>
            <w:tcBorders>
              <w:top w:val="nil"/>
              <w:left w:val="nil"/>
              <w:bottom w:val="single" w:sz="4" w:space="0" w:color="auto"/>
              <w:right w:val="single" w:sz="4" w:space="0" w:color="auto"/>
            </w:tcBorders>
            <w:shd w:val="clear" w:color="auto" w:fill="auto"/>
            <w:noWrap/>
            <w:vAlign w:val="center"/>
            <w:hideMark/>
          </w:tcPr>
          <w:p w14:paraId="2CADB9E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12.680.586.327</w:t>
            </w:r>
          </w:p>
        </w:tc>
        <w:tc>
          <w:tcPr>
            <w:tcW w:w="0" w:type="auto"/>
            <w:tcBorders>
              <w:top w:val="nil"/>
              <w:left w:val="nil"/>
              <w:bottom w:val="single" w:sz="4" w:space="0" w:color="auto"/>
              <w:right w:val="single" w:sz="4" w:space="0" w:color="auto"/>
            </w:tcBorders>
            <w:shd w:val="clear" w:color="auto" w:fill="auto"/>
            <w:noWrap/>
            <w:vAlign w:val="center"/>
            <w:hideMark/>
          </w:tcPr>
          <w:p w14:paraId="1FC2949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21.230.386.500</w:t>
            </w:r>
          </w:p>
        </w:tc>
        <w:tc>
          <w:tcPr>
            <w:tcW w:w="0" w:type="auto"/>
            <w:tcBorders>
              <w:top w:val="nil"/>
              <w:left w:val="nil"/>
              <w:bottom w:val="single" w:sz="4" w:space="0" w:color="auto"/>
              <w:right w:val="single" w:sz="4" w:space="0" w:color="auto"/>
            </w:tcBorders>
            <w:shd w:val="clear" w:color="auto" w:fill="auto"/>
            <w:noWrap/>
            <w:vAlign w:val="center"/>
            <w:hideMark/>
          </w:tcPr>
          <w:p w14:paraId="06CB1005"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11.664.677.333</w:t>
            </w:r>
          </w:p>
        </w:tc>
        <w:tc>
          <w:tcPr>
            <w:tcW w:w="0" w:type="auto"/>
            <w:tcBorders>
              <w:top w:val="nil"/>
              <w:left w:val="nil"/>
              <w:bottom w:val="single" w:sz="4" w:space="0" w:color="auto"/>
              <w:right w:val="single" w:sz="4" w:space="0" w:color="auto"/>
            </w:tcBorders>
            <w:shd w:val="clear" w:color="auto" w:fill="auto"/>
            <w:noWrap/>
            <w:vAlign w:val="center"/>
            <w:hideMark/>
          </w:tcPr>
          <w:p w14:paraId="373234E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13.244.011.500</w:t>
            </w:r>
          </w:p>
        </w:tc>
      </w:tr>
      <w:tr w:rsidR="006E62C4" w:rsidRPr="006E62C4" w14:paraId="41D50569"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3F1F56C1"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FFD2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701.022.784</w:t>
            </w:r>
          </w:p>
        </w:tc>
        <w:tc>
          <w:tcPr>
            <w:tcW w:w="0" w:type="auto"/>
            <w:tcBorders>
              <w:top w:val="nil"/>
              <w:left w:val="nil"/>
              <w:bottom w:val="single" w:sz="4" w:space="0" w:color="auto"/>
              <w:right w:val="single" w:sz="4" w:space="0" w:color="auto"/>
            </w:tcBorders>
            <w:shd w:val="clear" w:color="auto" w:fill="auto"/>
            <w:noWrap/>
            <w:vAlign w:val="center"/>
            <w:hideMark/>
          </w:tcPr>
          <w:p w14:paraId="07AEE51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B97276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0CF6CE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092265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r>
      <w:tr w:rsidR="006E62C4" w:rsidRPr="006E62C4" w14:paraId="78A8C220"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243D5D05"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26546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39.566.435.000</w:t>
            </w:r>
          </w:p>
        </w:tc>
        <w:tc>
          <w:tcPr>
            <w:tcW w:w="0" w:type="auto"/>
            <w:tcBorders>
              <w:top w:val="nil"/>
              <w:left w:val="nil"/>
              <w:bottom w:val="single" w:sz="4" w:space="0" w:color="auto"/>
              <w:right w:val="single" w:sz="4" w:space="0" w:color="auto"/>
            </w:tcBorders>
            <w:shd w:val="clear" w:color="auto" w:fill="auto"/>
            <w:noWrap/>
            <w:vAlign w:val="center"/>
            <w:hideMark/>
          </w:tcPr>
          <w:p w14:paraId="1681714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10.030.480.000</w:t>
            </w:r>
          </w:p>
        </w:tc>
        <w:tc>
          <w:tcPr>
            <w:tcW w:w="0" w:type="auto"/>
            <w:tcBorders>
              <w:top w:val="nil"/>
              <w:left w:val="nil"/>
              <w:bottom w:val="single" w:sz="4" w:space="0" w:color="auto"/>
              <w:right w:val="single" w:sz="4" w:space="0" w:color="auto"/>
            </w:tcBorders>
            <w:shd w:val="clear" w:color="auto" w:fill="auto"/>
            <w:noWrap/>
            <w:vAlign w:val="center"/>
            <w:hideMark/>
          </w:tcPr>
          <w:p w14:paraId="7EE3738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16.201.740.000</w:t>
            </w:r>
          </w:p>
        </w:tc>
        <w:tc>
          <w:tcPr>
            <w:tcW w:w="0" w:type="auto"/>
            <w:tcBorders>
              <w:top w:val="nil"/>
              <w:left w:val="nil"/>
              <w:bottom w:val="single" w:sz="4" w:space="0" w:color="auto"/>
              <w:right w:val="single" w:sz="4" w:space="0" w:color="auto"/>
            </w:tcBorders>
            <w:shd w:val="clear" w:color="auto" w:fill="auto"/>
            <w:noWrap/>
            <w:vAlign w:val="center"/>
            <w:hideMark/>
          </w:tcPr>
          <w:p w14:paraId="76D4E25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17.849.243.000</w:t>
            </w:r>
          </w:p>
        </w:tc>
        <w:tc>
          <w:tcPr>
            <w:tcW w:w="0" w:type="auto"/>
            <w:tcBorders>
              <w:top w:val="nil"/>
              <w:left w:val="nil"/>
              <w:bottom w:val="single" w:sz="4" w:space="0" w:color="auto"/>
              <w:right w:val="single" w:sz="4" w:space="0" w:color="auto"/>
            </w:tcBorders>
            <w:shd w:val="clear" w:color="auto" w:fill="auto"/>
            <w:noWrap/>
            <w:vAlign w:val="center"/>
            <w:hideMark/>
          </w:tcPr>
          <w:p w14:paraId="5FFC99E5"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10.589.101.000</w:t>
            </w:r>
          </w:p>
        </w:tc>
      </w:tr>
      <w:tr w:rsidR="006E62C4" w:rsidRPr="006E62C4" w14:paraId="6C2EAD17"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7D2C40F4"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4D03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10.980.656.467</w:t>
            </w:r>
          </w:p>
        </w:tc>
        <w:tc>
          <w:tcPr>
            <w:tcW w:w="0" w:type="auto"/>
            <w:tcBorders>
              <w:top w:val="nil"/>
              <w:left w:val="nil"/>
              <w:bottom w:val="single" w:sz="4" w:space="0" w:color="auto"/>
              <w:right w:val="single" w:sz="4" w:space="0" w:color="auto"/>
            </w:tcBorders>
            <w:shd w:val="clear" w:color="auto" w:fill="auto"/>
            <w:noWrap/>
            <w:vAlign w:val="center"/>
            <w:hideMark/>
          </w:tcPr>
          <w:p w14:paraId="0A75C141"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5.231.452.018</w:t>
            </w:r>
          </w:p>
        </w:tc>
        <w:tc>
          <w:tcPr>
            <w:tcW w:w="0" w:type="auto"/>
            <w:tcBorders>
              <w:top w:val="nil"/>
              <w:left w:val="nil"/>
              <w:bottom w:val="single" w:sz="4" w:space="0" w:color="auto"/>
              <w:right w:val="single" w:sz="4" w:space="0" w:color="auto"/>
            </w:tcBorders>
            <w:shd w:val="clear" w:color="auto" w:fill="auto"/>
            <w:noWrap/>
            <w:vAlign w:val="center"/>
            <w:hideMark/>
          </w:tcPr>
          <w:p w14:paraId="62838F3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8.046.407.140</w:t>
            </w:r>
          </w:p>
        </w:tc>
        <w:tc>
          <w:tcPr>
            <w:tcW w:w="0" w:type="auto"/>
            <w:tcBorders>
              <w:top w:val="nil"/>
              <w:left w:val="nil"/>
              <w:bottom w:val="single" w:sz="4" w:space="0" w:color="auto"/>
              <w:right w:val="single" w:sz="4" w:space="0" w:color="auto"/>
            </w:tcBorders>
            <w:shd w:val="clear" w:color="auto" w:fill="auto"/>
            <w:noWrap/>
            <w:vAlign w:val="center"/>
            <w:hideMark/>
          </w:tcPr>
          <w:p w14:paraId="6C19F81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9.010.843.467</w:t>
            </w:r>
          </w:p>
        </w:tc>
        <w:tc>
          <w:tcPr>
            <w:tcW w:w="0" w:type="auto"/>
            <w:tcBorders>
              <w:top w:val="nil"/>
              <w:left w:val="nil"/>
              <w:bottom w:val="single" w:sz="4" w:space="0" w:color="auto"/>
              <w:right w:val="single" w:sz="4" w:space="0" w:color="auto"/>
            </w:tcBorders>
            <w:shd w:val="clear" w:color="auto" w:fill="auto"/>
            <w:noWrap/>
            <w:vAlign w:val="center"/>
            <w:hideMark/>
          </w:tcPr>
          <w:p w14:paraId="3B4F4C4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5.559.271.224</w:t>
            </w:r>
          </w:p>
        </w:tc>
      </w:tr>
      <w:tr w:rsidR="006E62C4" w:rsidRPr="006E62C4" w14:paraId="4FEF242D"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55B32F02"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F500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2.517.558.000</w:t>
            </w:r>
          </w:p>
        </w:tc>
        <w:tc>
          <w:tcPr>
            <w:tcW w:w="0" w:type="auto"/>
            <w:tcBorders>
              <w:top w:val="nil"/>
              <w:left w:val="nil"/>
              <w:bottom w:val="single" w:sz="4" w:space="0" w:color="auto"/>
              <w:right w:val="single" w:sz="4" w:space="0" w:color="auto"/>
            </w:tcBorders>
            <w:shd w:val="clear" w:color="auto" w:fill="auto"/>
            <w:noWrap/>
            <w:vAlign w:val="center"/>
            <w:hideMark/>
          </w:tcPr>
          <w:p w14:paraId="0A4E9A8E"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1.689.271.000</w:t>
            </w:r>
          </w:p>
        </w:tc>
        <w:tc>
          <w:tcPr>
            <w:tcW w:w="0" w:type="auto"/>
            <w:tcBorders>
              <w:top w:val="nil"/>
              <w:left w:val="nil"/>
              <w:bottom w:val="single" w:sz="4" w:space="0" w:color="auto"/>
              <w:right w:val="single" w:sz="4" w:space="0" w:color="auto"/>
            </w:tcBorders>
            <w:shd w:val="clear" w:color="auto" w:fill="auto"/>
            <w:noWrap/>
            <w:vAlign w:val="center"/>
            <w:hideMark/>
          </w:tcPr>
          <w:p w14:paraId="048BE3E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83.565.000</w:t>
            </w:r>
          </w:p>
        </w:tc>
        <w:tc>
          <w:tcPr>
            <w:tcW w:w="0" w:type="auto"/>
            <w:tcBorders>
              <w:top w:val="nil"/>
              <w:left w:val="nil"/>
              <w:bottom w:val="single" w:sz="4" w:space="0" w:color="auto"/>
              <w:right w:val="single" w:sz="4" w:space="0" w:color="auto"/>
            </w:tcBorders>
            <w:shd w:val="clear" w:color="auto" w:fill="auto"/>
            <w:noWrap/>
            <w:vAlign w:val="center"/>
            <w:hideMark/>
          </w:tcPr>
          <w:p w14:paraId="05B3A04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364.621.000</w:t>
            </w:r>
          </w:p>
        </w:tc>
        <w:tc>
          <w:tcPr>
            <w:tcW w:w="0" w:type="auto"/>
            <w:tcBorders>
              <w:top w:val="nil"/>
              <w:left w:val="nil"/>
              <w:bottom w:val="single" w:sz="4" w:space="0" w:color="auto"/>
              <w:right w:val="single" w:sz="4" w:space="0" w:color="auto"/>
            </w:tcBorders>
            <w:shd w:val="clear" w:color="auto" w:fill="auto"/>
            <w:noWrap/>
            <w:vAlign w:val="center"/>
            <w:hideMark/>
          </w:tcPr>
          <w:p w14:paraId="571807C6"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77.562.000</w:t>
            </w:r>
          </w:p>
        </w:tc>
      </w:tr>
      <w:tr w:rsidR="006E62C4" w:rsidRPr="006E62C4" w14:paraId="0F154BA7"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244BA5BF"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24A3C"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3.164.656.250</w:t>
            </w:r>
          </w:p>
        </w:tc>
        <w:tc>
          <w:tcPr>
            <w:tcW w:w="0" w:type="auto"/>
            <w:tcBorders>
              <w:top w:val="nil"/>
              <w:left w:val="nil"/>
              <w:bottom w:val="single" w:sz="4" w:space="0" w:color="auto"/>
              <w:right w:val="single" w:sz="4" w:space="0" w:color="auto"/>
            </w:tcBorders>
            <w:shd w:val="clear" w:color="auto" w:fill="auto"/>
            <w:noWrap/>
            <w:vAlign w:val="center"/>
            <w:hideMark/>
          </w:tcPr>
          <w:p w14:paraId="0F869BF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2.684.152.000</w:t>
            </w:r>
          </w:p>
        </w:tc>
        <w:tc>
          <w:tcPr>
            <w:tcW w:w="0" w:type="auto"/>
            <w:tcBorders>
              <w:top w:val="nil"/>
              <w:left w:val="nil"/>
              <w:bottom w:val="single" w:sz="4" w:space="0" w:color="auto"/>
              <w:right w:val="single" w:sz="4" w:space="0" w:color="auto"/>
            </w:tcBorders>
            <w:shd w:val="clear" w:color="auto" w:fill="auto"/>
            <w:noWrap/>
            <w:vAlign w:val="center"/>
            <w:hideMark/>
          </w:tcPr>
          <w:p w14:paraId="3A1A271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1.793.226.000</w:t>
            </w:r>
          </w:p>
        </w:tc>
        <w:tc>
          <w:tcPr>
            <w:tcW w:w="0" w:type="auto"/>
            <w:tcBorders>
              <w:top w:val="nil"/>
              <w:left w:val="nil"/>
              <w:bottom w:val="single" w:sz="4" w:space="0" w:color="auto"/>
              <w:right w:val="single" w:sz="4" w:space="0" w:color="auto"/>
            </w:tcBorders>
            <w:shd w:val="clear" w:color="auto" w:fill="auto"/>
            <w:noWrap/>
            <w:vAlign w:val="center"/>
            <w:hideMark/>
          </w:tcPr>
          <w:p w14:paraId="185AD82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2.391.057.000</w:t>
            </w:r>
          </w:p>
        </w:tc>
        <w:tc>
          <w:tcPr>
            <w:tcW w:w="0" w:type="auto"/>
            <w:tcBorders>
              <w:top w:val="nil"/>
              <w:left w:val="nil"/>
              <w:bottom w:val="single" w:sz="4" w:space="0" w:color="auto"/>
              <w:right w:val="single" w:sz="4" w:space="0" w:color="auto"/>
            </w:tcBorders>
            <w:shd w:val="clear" w:color="auto" w:fill="auto"/>
            <w:noWrap/>
            <w:vAlign w:val="center"/>
            <w:hideMark/>
          </w:tcPr>
          <w:p w14:paraId="7023237C"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2.996.350.000</w:t>
            </w:r>
          </w:p>
        </w:tc>
      </w:tr>
      <w:tr w:rsidR="006E62C4" w:rsidRPr="006E62C4" w14:paraId="2BD1674C"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3F040608"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83BD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82.464.605.401</w:t>
            </w:r>
          </w:p>
        </w:tc>
        <w:tc>
          <w:tcPr>
            <w:tcW w:w="0" w:type="auto"/>
            <w:tcBorders>
              <w:top w:val="nil"/>
              <w:left w:val="nil"/>
              <w:bottom w:val="single" w:sz="4" w:space="0" w:color="auto"/>
              <w:right w:val="single" w:sz="4" w:space="0" w:color="auto"/>
            </w:tcBorders>
            <w:shd w:val="clear" w:color="auto" w:fill="auto"/>
            <w:noWrap/>
            <w:vAlign w:val="center"/>
            <w:hideMark/>
          </w:tcPr>
          <w:p w14:paraId="71CDA11E"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45.434.778.670</w:t>
            </w:r>
          </w:p>
        </w:tc>
        <w:tc>
          <w:tcPr>
            <w:tcW w:w="0" w:type="auto"/>
            <w:tcBorders>
              <w:top w:val="nil"/>
              <w:left w:val="nil"/>
              <w:bottom w:val="single" w:sz="4" w:space="0" w:color="auto"/>
              <w:right w:val="single" w:sz="4" w:space="0" w:color="auto"/>
            </w:tcBorders>
            <w:shd w:val="clear" w:color="auto" w:fill="auto"/>
            <w:noWrap/>
            <w:vAlign w:val="center"/>
            <w:hideMark/>
          </w:tcPr>
          <w:p w14:paraId="78AAE432"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98.084.795.400</w:t>
            </w:r>
          </w:p>
        </w:tc>
        <w:tc>
          <w:tcPr>
            <w:tcW w:w="0" w:type="auto"/>
            <w:tcBorders>
              <w:top w:val="nil"/>
              <w:left w:val="nil"/>
              <w:bottom w:val="single" w:sz="4" w:space="0" w:color="auto"/>
              <w:right w:val="single" w:sz="4" w:space="0" w:color="auto"/>
            </w:tcBorders>
            <w:shd w:val="clear" w:color="auto" w:fill="auto"/>
            <w:noWrap/>
            <w:vAlign w:val="center"/>
            <w:hideMark/>
          </w:tcPr>
          <w:p w14:paraId="4F014C5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105.075.632.383</w:t>
            </w:r>
          </w:p>
        </w:tc>
        <w:tc>
          <w:tcPr>
            <w:tcW w:w="0" w:type="auto"/>
            <w:tcBorders>
              <w:top w:val="nil"/>
              <w:left w:val="nil"/>
              <w:bottom w:val="single" w:sz="4" w:space="0" w:color="auto"/>
              <w:right w:val="single" w:sz="4" w:space="0" w:color="auto"/>
            </w:tcBorders>
            <w:shd w:val="clear" w:color="auto" w:fill="auto"/>
            <w:noWrap/>
            <w:vAlign w:val="center"/>
            <w:hideMark/>
          </w:tcPr>
          <w:p w14:paraId="7FDBBC3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89.439.689.574</w:t>
            </w:r>
          </w:p>
        </w:tc>
      </w:tr>
      <w:tr w:rsidR="006E62C4" w:rsidRPr="006E62C4" w14:paraId="230BE827"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1B74A142"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5B21D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14.499.720.705</w:t>
            </w:r>
          </w:p>
        </w:tc>
        <w:tc>
          <w:tcPr>
            <w:tcW w:w="0" w:type="auto"/>
            <w:tcBorders>
              <w:top w:val="nil"/>
              <w:left w:val="nil"/>
              <w:bottom w:val="single" w:sz="4" w:space="0" w:color="auto"/>
              <w:right w:val="single" w:sz="4" w:space="0" w:color="auto"/>
            </w:tcBorders>
            <w:shd w:val="clear" w:color="auto" w:fill="auto"/>
            <w:noWrap/>
            <w:vAlign w:val="center"/>
            <w:hideMark/>
          </w:tcPr>
          <w:p w14:paraId="172F00A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8.148.421.214</w:t>
            </w:r>
          </w:p>
        </w:tc>
        <w:tc>
          <w:tcPr>
            <w:tcW w:w="0" w:type="auto"/>
            <w:tcBorders>
              <w:top w:val="nil"/>
              <w:left w:val="nil"/>
              <w:bottom w:val="single" w:sz="4" w:space="0" w:color="auto"/>
              <w:right w:val="single" w:sz="4" w:space="0" w:color="auto"/>
            </w:tcBorders>
            <w:shd w:val="clear" w:color="auto" w:fill="auto"/>
            <w:noWrap/>
            <w:vAlign w:val="center"/>
            <w:hideMark/>
          </w:tcPr>
          <w:p w14:paraId="01394A6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10.399.431.895</w:t>
            </w:r>
          </w:p>
        </w:tc>
        <w:tc>
          <w:tcPr>
            <w:tcW w:w="0" w:type="auto"/>
            <w:tcBorders>
              <w:top w:val="nil"/>
              <w:left w:val="nil"/>
              <w:bottom w:val="single" w:sz="4" w:space="0" w:color="auto"/>
              <w:right w:val="single" w:sz="4" w:space="0" w:color="auto"/>
            </w:tcBorders>
            <w:shd w:val="clear" w:color="auto" w:fill="auto"/>
            <w:noWrap/>
            <w:vAlign w:val="center"/>
            <w:hideMark/>
          </w:tcPr>
          <w:p w14:paraId="0DE7562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15.164.218.219</w:t>
            </w:r>
          </w:p>
        </w:tc>
        <w:tc>
          <w:tcPr>
            <w:tcW w:w="0" w:type="auto"/>
            <w:tcBorders>
              <w:top w:val="nil"/>
              <w:left w:val="nil"/>
              <w:bottom w:val="single" w:sz="4" w:space="0" w:color="auto"/>
              <w:right w:val="single" w:sz="4" w:space="0" w:color="auto"/>
            </w:tcBorders>
            <w:shd w:val="clear" w:color="auto" w:fill="auto"/>
            <w:noWrap/>
            <w:vAlign w:val="center"/>
            <w:hideMark/>
          </w:tcPr>
          <w:p w14:paraId="7EE14473"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17.351.068.801</w:t>
            </w:r>
          </w:p>
        </w:tc>
      </w:tr>
      <w:tr w:rsidR="006E62C4" w:rsidRPr="006E62C4" w14:paraId="4ABF2F8B"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1AD5DF7C"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B5E2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17.403.229.586</w:t>
            </w:r>
          </w:p>
        </w:tc>
        <w:tc>
          <w:tcPr>
            <w:tcW w:w="0" w:type="auto"/>
            <w:tcBorders>
              <w:top w:val="nil"/>
              <w:left w:val="nil"/>
              <w:bottom w:val="single" w:sz="4" w:space="0" w:color="auto"/>
              <w:right w:val="single" w:sz="4" w:space="0" w:color="auto"/>
            </w:tcBorders>
            <w:shd w:val="clear" w:color="auto" w:fill="auto"/>
            <w:noWrap/>
            <w:vAlign w:val="center"/>
            <w:hideMark/>
          </w:tcPr>
          <w:p w14:paraId="7588E525"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13.757.470.000</w:t>
            </w:r>
          </w:p>
        </w:tc>
        <w:tc>
          <w:tcPr>
            <w:tcW w:w="0" w:type="auto"/>
            <w:tcBorders>
              <w:top w:val="nil"/>
              <w:left w:val="nil"/>
              <w:bottom w:val="single" w:sz="4" w:space="0" w:color="auto"/>
              <w:right w:val="single" w:sz="4" w:space="0" w:color="auto"/>
            </w:tcBorders>
            <w:shd w:val="clear" w:color="auto" w:fill="auto"/>
            <w:noWrap/>
            <w:vAlign w:val="center"/>
            <w:hideMark/>
          </w:tcPr>
          <w:p w14:paraId="1FCBC5D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10.893.666.000</w:t>
            </w:r>
          </w:p>
        </w:tc>
        <w:tc>
          <w:tcPr>
            <w:tcW w:w="0" w:type="auto"/>
            <w:tcBorders>
              <w:top w:val="nil"/>
              <w:left w:val="nil"/>
              <w:bottom w:val="single" w:sz="4" w:space="0" w:color="auto"/>
              <w:right w:val="single" w:sz="4" w:space="0" w:color="auto"/>
            </w:tcBorders>
            <w:shd w:val="clear" w:color="auto" w:fill="auto"/>
            <w:noWrap/>
            <w:vAlign w:val="center"/>
            <w:hideMark/>
          </w:tcPr>
          <w:p w14:paraId="677267D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6.387.288.000</w:t>
            </w:r>
          </w:p>
        </w:tc>
        <w:tc>
          <w:tcPr>
            <w:tcW w:w="0" w:type="auto"/>
            <w:tcBorders>
              <w:top w:val="nil"/>
              <w:left w:val="nil"/>
              <w:bottom w:val="single" w:sz="4" w:space="0" w:color="auto"/>
              <w:right w:val="single" w:sz="4" w:space="0" w:color="auto"/>
            </w:tcBorders>
            <w:shd w:val="clear" w:color="auto" w:fill="auto"/>
            <w:noWrap/>
            <w:vAlign w:val="center"/>
            <w:hideMark/>
          </w:tcPr>
          <w:p w14:paraId="2B071BB8"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5.963.870.000</w:t>
            </w:r>
          </w:p>
        </w:tc>
      </w:tr>
      <w:tr w:rsidR="006E62C4" w:rsidRPr="006E62C4" w14:paraId="5F58E25E" w14:textId="77777777" w:rsidTr="006E62C4">
        <w:trPr>
          <w:trHeight w:val="255"/>
        </w:trPr>
        <w:tc>
          <w:tcPr>
            <w:tcW w:w="1108" w:type="dxa"/>
            <w:tcBorders>
              <w:top w:val="nil"/>
              <w:left w:val="single" w:sz="4" w:space="0" w:color="auto"/>
              <w:bottom w:val="single" w:sz="4" w:space="0" w:color="auto"/>
              <w:right w:val="nil"/>
            </w:tcBorders>
            <w:shd w:val="clear" w:color="000000" w:fill="FFFFFF"/>
            <w:noWrap/>
            <w:vAlign w:val="center"/>
            <w:hideMark/>
          </w:tcPr>
          <w:p w14:paraId="238FCF33"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C99F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13.064.174.452</w:t>
            </w:r>
          </w:p>
        </w:tc>
        <w:tc>
          <w:tcPr>
            <w:tcW w:w="0" w:type="auto"/>
            <w:tcBorders>
              <w:top w:val="nil"/>
              <w:left w:val="nil"/>
              <w:bottom w:val="single" w:sz="4" w:space="0" w:color="auto"/>
              <w:right w:val="single" w:sz="4" w:space="0" w:color="auto"/>
            </w:tcBorders>
            <w:shd w:val="clear" w:color="auto" w:fill="auto"/>
            <w:noWrap/>
            <w:vAlign w:val="center"/>
            <w:hideMark/>
          </w:tcPr>
          <w:p w14:paraId="017C5D2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10.331.013.958</w:t>
            </w:r>
          </w:p>
        </w:tc>
        <w:tc>
          <w:tcPr>
            <w:tcW w:w="0" w:type="auto"/>
            <w:tcBorders>
              <w:top w:val="nil"/>
              <w:left w:val="nil"/>
              <w:bottom w:val="single" w:sz="4" w:space="0" w:color="auto"/>
              <w:right w:val="single" w:sz="4" w:space="0" w:color="auto"/>
            </w:tcBorders>
            <w:shd w:val="clear" w:color="auto" w:fill="auto"/>
            <w:noWrap/>
            <w:vAlign w:val="center"/>
            <w:hideMark/>
          </w:tcPr>
          <w:p w14:paraId="1B0F27C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1.875.838.557</w:t>
            </w:r>
          </w:p>
        </w:tc>
        <w:tc>
          <w:tcPr>
            <w:tcW w:w="0" w:type="auto"/>
            <w:tcBorders>
              <w:top w:val="nil"/>
              <w:left w:val="nil"/>
              <w:bottom w:val="single" w:sz="4" w:space="0" w:color="auto"/>
              <w:right w:val="single" w:sz="4" w:space="0" w:color="auto"/>
            </w:tcBorders>
            <w:shd w:val="clear" w:color="auto" w:fill="auto"/>
            <w:noWrap/>
            <w:vAlign w:val="center"/>
            <w:hideMark/>
          </w:tcPr>
          <w:p w14:paraId="2F76632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3.093.703.488</w:t>
            </w:r>
          </w:p>
        </w:tc>
        <w:tc>
          <w:tcPr>
            <w:tcW w:w="0" w:type="auto"/>
            <w:tcBorders>
              <w:top w:val="nil"/>
              <w:left w:val="nil"/>
              <w:bottom w:val="single" w:sz="4" w:space="0" w:color="auto"/>
              <w:right w:val="single" w:sz="4" w:space="0" w:color="auto"/>
            </w:tcBorders>
            <w:shd w:val="clear" w:color="auto" w:fill="auto"/>
            <w:noWrap/>
            <w:vAlign w:val="center"/>
            <w:hideMark/>
          </w:tcPr>
          <w:p w14:paraId="6BC77ED0"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4.576.062.053</w:t>
            </w:r>
          </w:p>
        </w:tc>
      </w:tr>
    </w:tbl>
    <w:p w14:paraId="5AFFCB2F" w14:textId="4D0E59A6" w:rsidR="006E62C4" w:rsidRPr="006E62C4" w:rsidRDefault="006E62C4" w:rsidP="006E62C4">
      <w:pPr>
        <w:pStyle w:val="Descripcin"/>
        <w:rPr>
          <w:i/>
          <w:iCs/>
        </w:rPr>
      </w:pPr>
      <w:r w:rsidRPr="006E62C4">
        <w:rPr>
          <w:i/>
          <w:iCs/>
        </w:rPr>
        <w:t xml:space="preserve">Tabla </w:t>
      </w:r>
      <w:r>
        <w:rPr>
          <w:i/>
          <w:iCs/>
        </w:rPr>
        <w:t>5</w:t>
      </w:r>
      <w:r w:rsidRPr="006E62C4">
        <w:rPr>
          <w:i/>
          <w:iCs/>
        </w:rPr>
        <w:t xml:space="preserve"> Plan de inversiones del nivel de tensión </w:t>
      </w:r>
      <w:r>
        <w:rPr>
          <w:i/>
          <w:iCs/>
        </w:rPr>
        <w:t>1</w:t>
      </w:r>
      <w:r w:rsidRPr="006E62C4">
        <w:rPr>
          <w:i/>
          <w:iCs/>
        </w:rPr>
        <w:t>, pesos de diciembre de 2017</w:t>
      </w:r>
    </w:p>
    <w:tbl>
      <w:tblPr>
        <w:tblW w:w="0" w:type="auto"/>
        <w:tblInd w:w="421" w:type="dxa"/>
        <w:tblCellMar>
          <w:left w:w="70" w:type="dxa"/>
          <w:right w:w="70" w:type="dxa"/>
        </w:tblCellMar>
        <w:tblLook w:val="04A0" w:firstRow="1" w:lastRow="0" w:firstColumn="1" w:lastColumn="0" w:noHBand="0" w:noVBand="1"/>
      </w:tblPr>
      <w:tblGrid>
        <w:gridCol w:w="1501"/>
        <w:gridCol w:w="1541"/>
        <w:gridCol w:w="1260"/>
        <w:gridCol w:w="1541"/>
        <w:gridCol w:w="1541"/>
        <w:gridCol w:w="1541"/>
      </w:tblGrid>
      <w:tr w:rsidR="006E62C4" w:rsidRPr="006E62C4" w14:paraId="1ADECECD" w14:textId="77777777" w:rsidTr="006E62C4">
        <w:trPr>
          <w:trHeight w:val="480"/>
          <w:tblHeader/>
        </w:trPr>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A3531" w14:textId="77777777" w:rsidR="006E62C4" w:rsidRPr="006E62C4" w:rsidRDefault="006E62C4" w:rsidP="006E62C4">
            <w:pPr>
              <w:spacing w:before="0" w:after="0"/>
              <w:jc w:val="center"/>
              <w:rPr>
                <w:rFonts w:cs="Arial"/>
                <w:b/>
                <w:bCs/>
                <w:color w:val="000000"/>
                <w:sz w:val="18"/>
                <w:szCs w:val="18"/>
                <w:lang w:val="es-CO" w:eastAsia="es-CO"/>
              </w:rPr>
            </w:pPr>
            <w:r w:rsidRPr="006E62C4">
              <w:rPr>
                <w:rFonts w:cs="Arial"/>
                <w:b/>
                <w:bCs/>
                <w:color w:val="000000"/>
                <w:sz w:val="18"/>
                <w:szCs w:val="18"/>
                <w:lang w:val="es-CO" w:eastAsia="es-CO"/>
              </w:rPr>
              <w:t xml:space="preserve">Categoría de activos </w:t>
            </w:r>
            <w:r w:rsidRPr="006E62C4">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FE766E0"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B62838F"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D5DB2E2"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EA448D6"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F8B378B" w14:textId="77777777" w:rsidR="006E62C4" w:rsidRPr="006E62C4" w:rsidRDefault="006E62C4" w:rsidP="006E62C4">
            <w:pPr>
              <w:spacing w:before="0" w:after="0"/>
              <w:jc w:val="center"/>
              <w:rPr>
                <w:rFonts w:cs="Arial"/>
                <w:b/>
                <w:bCs/>
                <w:i/>
                <w:iCs/>
                <w:sz w:val="18"/>
                <w:szCs w:val="18"/>
                <w:lang w:val="es-CO" w:eastAsia="es-CO"/>
              </w:rPr>
            </w:pPr>
            <w:r w:rsidRPr="006E62C4">
              <w:rPr>
                <w:rFonts w:cs="Arial"/>
                <w:b/>
                <w:bCs/>
                <w:i/>
                <w:iCs/>
                <w:sz w:val="18"/>
                <w:szCs w:val="18"/>
                <w:lang w:val="es-CO" w:eastAsia="es-CO"/>
              </w:rPr>
              <w:t>INVA</w:t>
            </w:r>
            <w:r w:rsidRPr="006E62C4">
              <w:rPr>
                <w:rFonts w:cs="Arial"/>
                <w:b/>
                <w:bCs/>
                <w:i/>
                <w:iCs/>
                <w:sz w:val="18"/>
                <w:szCs w:val="18"/>
                <w:vertAlign w:val="subscript"/>
                <w:lang w:val="es-CO" w:eastAsia="es-CO"/>
              </w:rPr>
              <w:t>j,1,l,5</w:t>
            </w:r>
          </w:p>
        </w:tc>
      </w:tr>
      <w:tr w:rsidR="006E62C4" w:rsidRPr="006E62C4" w14:paraId="5869D371" w14:textId="77777777" w:rsidTr="006E62C4">
        <w:trPr>
          <w:trHeight w:val="255"/>
        </w:trPr>
        <w:tc>
          <w:tcPr>
            <w:tcW w:w="1501" w:type="dxa"/>
            <w:tcBorders>
              <w:top w:val="nil"/>
              <w:left w:val="single" w:sz="4" w:space="0" w:color="auto"/>
              <w:bottom w:val="single" w:sz="4" w:space="0" w:color="auto"/>
              <w:right w:val="nil"/>
            </w:tcBorders>
            <w:shd w:val="clear" w:color="000000" w:fill="FFFFFF"/>
            <w:noWrap/>
            <w:vAlign w:val="center"/>
            <w:hideMark/>
          </w:tcPr>
          <w:p w14:paraId="70B05953"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FB09A"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30.340.685.000</w:t>
            </w:r>
          </w:p>
        </w:tc>
        <w:tc>
          <w:tcPr>
            <w:tcW w:w="0" w:type="auto"/>
            <w:tcBorders>
              <w:top w:val="nil"/>
              <w:left w:val="nil"/>
              <w:bottom w:val="single" w:sz="4" w:space="0" w:color="auto"/>
              <w:right w:val="single" w:sz="4" w:space="0" w:color="auto"/>
            </w:tcBorders>
            <w:shd w:val="clear" w:color="auto" w:fill="auto"/>
            <w:noWrap/>
            <w:vAlign w:val="center"/>
            <w:hideMark/>
          </w:tcPr>
          <w:p w14:paraId="4A06C9B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174DC5B"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24.092.388.000</w:t>
            </w:r>
          </w:p>
        </w:tc>
        <w:tc>
          <w:tcPr>
            <w:tcW w:w="0" w:type="auto"/>
            <w:tcBorders>
              <w:top w:val="nil"/>
              <w:left w:val="nil"/>
              <w:bottom w:val="single" w:sz="4" w:space="0" w:color="auto"/>
              <w:right w:val="single" w:sz="4" w:space="0" w:color="auto"/>
            </w:tcBorders>
            <w:shd w:val="clear" w:color="auto" w:fill="auto"/>
            <w:noWrap/>
            <w:vAlign w:val="center"/>
            <w:hideMark/>
          </w:tcPr>
          <w:p w14:paraId="7B3639FD"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25.953.645.000</w:t>
            </w:r>
          </w:p>
        </w:tc>
        <w:tc>
          <w:tcPr>
            <w:tcW w:w="0" w:type="auto"/>
            <w:tcBorders>
              <w:top w:val="nil"/>
              <w:left w:val="nil"/>
              <w:bottom w:val="single" w:sz="4" w:space="0" w:color="auto"/>
              <w:right w:val="single" w:sz="4" w:space="0" w:color="auto"/>
            </w:tcBorders>
            <w:shd w:val="clear" w:color="auto" w:fill="auto"/>
            <w:noWrap/>
            <w:vAlign w:val="center"/>
            <w:hideMark/>
          </w:tcPr>
          <w:p w14:paraId="6A5BA22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20.836.018.000</w:t>
            </w:r>
          </w:p>
        </w:tc>
      </w:tr>
      <w:tr w:rsidR="006E62C4" w:rsidRPr="006E62C4" w14:paraId="08EEF8E7" w14:textId="77777777" w:rsidTr="006E62C4">
        <w:trPr>
          <w:trHeight w:val="255"/>
        </w:trPr>
        <w:tc>
          <w:tcPr>
            <w:tcW w:w="1501" w:type="dxa"/>
            <w:tcBorders>
              <w:top w:val="nil"/>
              <w:left w:val="single" w:sz="4" w:space="0" w:color="auto"/>
              <w:bottom w:val="single" w:sz="4" w:space="0" w:color="auto"/>
              <w:right w:val="nil"/>
            </w:tcBorders>
            <w:shd w:val="clear" w:color="000000" w:fill="FFFFFF"/>
            <w:noWrap/>
            <w:vAlign w:val="center"/>
            <w:hideMark/>
          </w:tcPr>
          <w:p w14:paraId="6EE1853E" w14:textId="77777777" w:rsidR="006E62C4" w:rsidRPr="006E62C4" w:rsidRDefault="006E62C4" w:rsidP="006E62C4">
            <w:pPr>
              <w:spacing w:before="0" w:after="0"/>
              <w:jc w:val="center"/>
              <w:rPr>
                <w:rFonts w:cs="Arial"/>
                <w:i/>
                <w:iCs/>
                <w:color w:val="000000"/>
                <w:sz w:val="18"/>
                <w:szCs w:val="18"/>
                <w:lang w:val="es-CO" w:eastAsia="es-CO"/>
              </w:rPr>
            </w:pPr>
            <w:r w:rsidRPr="006E62C4">
              <w:rPr>
                <w:rFonts w:cs="Arial"/>
                <w:i/>
                <w:iCs/>
                <w:color w:val="000000"/>
                <w:sz w:val="18"/>
                <w:szCs w:val="18"/>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18AA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13.828.846.785</w:t>
            </w:r>
          </w:p>
        </w:tc>
        <w:tc>
          <w:tcPr>
            <w:tcW w:w="0" w:type="auto"/>
            <w:tcBorders>
              <w:top w:val="nil"/>
              <w:left w:val="nil"/>
              <w:bottom w:val="single" w:sz="4" w:space="0" w:color="auto"/>
              <w:right w:val="single" w:sz="4" w:space="0" w:color="auto"/>
            </w:tcBorders>
            <w:shd w:val="clear" w:color="auto" w:fill="auto"/>
            <w:noWrap/>
            <w:vAlign w:val="center"/>
            <w:hideMark/>
          </w:tcPr>
          <w:p w14:paraId="07F09DCF"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875.881.645</w:t>
            </w:r>
          </w:p>
        </w:tc>
        <w:tc>
          <w:tcPr>
            <w:tcW w:w="0" w:type="auto"/>
            <w:tcBorders>
              <w:top w:val="nil"/>
              <w:left w:val="nil"/>
              <w:bottom w:val="single" w:sz="4" w:space="0" w:color="auto"/>
              <w:right w:val="single" w:sz="4" w:space="0" w:color="auto"/>
            </w:tcBorders>
            <w:shd w:val="clear" w:color="auto" w:fill="auto"/>
            <w:noWrap/>
            <w:vAlign w:val="center"/>
            <w:hideMark/>
          </w:tcPr>
          <w:p w14:paraId="34E2B4B7"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23.576.536.291</w:t>
            </w:r>
          </w:p>
        </w:tc>
        <w:tc>
          <w:tcPr>
            <w:tcW w:w="0" w:type="auto"/>
            <w:tcBorders>
              <w:top w:val="nil"/>
              <w:left w:val="nil"/>
              <w:bottom w:val="single" w:sz="4" w:space="0" w:color="auto"/>
              <w:right w:val="single" w:sz="4" w:space="0" w:color="auto"/>
            </w:tcBorders>
            <w:shd w:val="clear" w:color="auto" w:fill="auto"/>
            <w:noWrap/>
            <w:vAlign w:val="center"/>
            <w:hideMark/>
          </w:tcPr>
          <w:p w14:paraId="783B91E4"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28.686.158.193</w:t>
            </w:r>
          </w:p>
        </w:tc>
        <w:tc>
          <w:tcPr>
            <w:tcW w:w="0" w:type="auto"/>
            <w:tcBorders>
              <w:top w:val="nil"/>
              <w:left w:val="nil"/>
              <w:bottom w:val="single" w:sz="4" w:space="0" w:color="auto"/>
              <w:right w:val="single" w:sz="4" w:space="0" w:color="auto"/>
            </w:tcBorders>
            <w:shd w:val="clear" w:color="auto" w:fill="auto"/>
            <w:noWrap/>
            <w:vAlign w:val="center"/>
            <w:hideMark/>
          </w:tcPr>
          <w:p w14:paraId="2058C7A0" w14:textId="77777777" w:rsidR="006E62C4" w:rsidRPr="006E62C4" w:rsidRDefault="006E62C4" w:rsidP="006E62C4">
            <w:pPr>
              <w:spacing w:before="0" w:after="0"/>
              <w:jc w:val="right"/>
              <w:rPr>
                <w:rFonts w:cs="Arial"/>
                <w:sz w:val="18"/>
                <w:szCs w:val="18"/>
                <w:lang w:val="es-CO" w:eastAsia="es-CO"/>
              </w:rPr>
            </w:pPr>
            <w:r w:rsidRPr="006E62C4">
              <w:rPr>
                <w:rFonts w:cs="Arial"/>
                <w:sz w:val="18"/>
                <w:szCs w:val="18"/>
                <w:lang w:val="es-CO" w:eastAsia="es-CO"/>
              </w:rPr>
              <w:t>28.994.125.610</w:t>
            </w:r>
          </w:p>
        </w:tc>
      </w:tr>
    </w:tbl>
    <w:p w14:paraId="4162F21F" w14:textId="5141A7B3" w:rsidR="00FF2292" w:rsidRPr="000C23A9" w:rsidRDefault="0055296B" w:rsidP="00FF2292">
      <w:pPr>
        <w:pStyle w:val="Artculo"/>
        <w:ind w:left="0"/>
        <w:outlineLvl w:val="2"/>
        <w:rPr>
          <w:b w:val="0"/>
        </w:rPr>
      </w:pPr>
      <w:r>
        <w:t>Mod</w:t>
      </w:r>
      <w:r w:rsidR="00FF2292">
        <w:t xml:space="preserve">ificar el artículo 4 de la Resolución CREG </w:t>
      </w:r>
      <w:r w:rsidR="009650C2">
        <w:t>024</w:t>
      </w:r>
      <w:r w:rsidR="00FF2292">
        <w:t xml:space="preserve"> de 202</w:t>
      </w:r>
      <w:r w:rsidR="009650C2">
        <w:t>1</w:t>
      </w:r>
      <w:r w:rsidR="00FF2292">
        <w:t xml:space="preserve">. </w:t>
      </w:r>
      <w:r w:rsidR="00FF2292" w:rsidRPr="00A71EA8">
        <w:rPr>
          <w:b w:val="0"/>
        </w:rPr>
        <w:t xml:space="preserve">El artículo </w:t>
      </w:r>
      <w:r w:rsidR="00FF2292">
        <w:rPr>
          <w:b w:val="0"/>
        </w:rPr>
        <w:t>4</w:t>
      </w:r>
      <w:r w:rsidR="00FF2292" w:rsidRPr="00A71EA8">
        <w:rPr>
          <w:b w:val="0"/>
        </w:rPr>
        <w:t xml:space="preserve"> de la Resolución CREG </w:t>
      </w:r>
      <w:r w:rsidR="009650C2" w:rsidRPr="009650C2">
        <w:rPr>
          <w:b w:val="0"/>
        </w:rPr>
        <w:t>024 de 2021</w:t>
      </w:r>
      <w:r w:rsidR="00FF2292" w:rsidRPr="00A71EA8">
        <w:rPr>
          <w:b w:val="0"/>
        </w:rPr>
        <w:t xml:space="preserve"> quedará así:</w:t>
      </w:r>
    </w:p>
    <w:p w14:paraId="0BEF63B6" w14:textId="77777777" w:rsidR="00FF2292" w:rsidRPr="0056668A" w:rsidRDefault="00FF2292" w:rsidP="008819D0">
      <w:pPr>
        <w:ind w:left="426"/>
        <w:rPr>
          <w:b/>
          <w:i/>
          <w:sz w:val="22"/>
        </w:rPr>
      </w:pPr>
      <w:r w:rsidRPr="0056668A">
        <w:rPr>
          <w:b/>
          <w:i/>
          <w:sz w:val="22"/>
        </w:rPr>
        <w:t xml:space="preserve">Artículo 4. Recuperación de capital de activos de la BRA inicial. </w:t>
      </w:r>
      <w:r w:rsidRPr="0056668A">
        <w:rPr>
          <w:i/>
          <w:sz w:val="22"/>
        </w:rPr>
        <w:t>El valor de la recuperación de capital reconocida para los activos incluidos en la base regulatoria inicial de activos, RCBIA</w:t>
      </w:r>
      <w:r w:rsidRPr="0056668A">
        <w:rPr>
          <w:i/>
          <w:sz w:val="22"/>
          <w:vertAlign w:val="subscript"/>
        </w:rPr>
        <w:t>j,n,1</w:t>
      </w:r>
      <w:r w:rsidRPr="0056668A">
        <w:rPr>
          <w:i/>
          <w:sz w:val="22"/>
        </w:rPr>
        <w:t>, es el siguiente:</w:t>
      </w:r>
    </w:p>
    <w:p w14:paraId="79D0E56D" w14:textId="2EF5A95D" w:rsidR="00FF2292" w:rsidRDefault="00FF2292" w:rsidP="00FF2292">
      <w:pPr>
        <w:pStyle w:val="Descripcin"/>
        <w:rPr>
          <w:i/>
          <w:iCs/>
        </w:rPr>
      </w:pPr>
      <w:r w:rsidRPr="00FF2292">
        <w:rPr>
          <w:i/>
          <w:iCs/>
        </w:rPr>
        <w:t xml:space="preserve">Tabla </w:t>
      </w:r>
      <w:r w:rsidR="00D62571">
        <w:rPr>
          <w:i/>
          <w:iCs/>
        </w:rPr>
        <w:t>6</w:t>
      </w:r>
      <w:r w:rsidRPr="00FF2292">
        <w:rPr>
          <w:i/>
          <w:iCs/>
        </w:rPr>
        <w:t xml:space="preserve"> Recuperación de capital de activos de la BRA inicial</w:t>
      </w:r>
    </w:p>
    <w:tbl>
      <w:tblPr>
        <w:tblW w:w="3880" w:type="dxa"/>
        <w:jc w:val="center"/>
        <w:tblCellMar>
          <w:left w:w="70" w:type="dxa"/>
          <w:right w:w="70" w:type="dxa"/>
        </w:tblCellMar>
        <w:tblLook w:val="04A0" w:firstRow="1" w:lastRow="0" w:firstColumn="1" w:lastColumn="0" w:noHBand="0" w:noVBand="1"/>
      </w:tblPr>
      <w:tblGrid>
        <w:gridCol w:w="1900"/>
        <w:gridCol w:w="1980"/>
      </w:tblGrid>
      <w:tr w:rsidR="009650C2" w:rsidRPr="009650C2" w14:paraId="4D4E5F58" w14:textId="77777777" w:rsidTr="009650C2">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E11A0" w14:textId="77777777" w:rsidR="009650C2" w:rsidRPr="009650C2" w:rsidRDefault="009650C2" w:rsidP="009650C2">
            <w:pPr>
              <w:spacing w:before="0" w:after="0"/>
              <w:jc w:val="center"/>
              <w:rPr>
                <w:rFonts w:cs="Arial"/>
                <w:b/>
                <w:bCs/>
                <w:sz w:val="18"/>
                <w:szCs w:val="18"/>
                <w:lang w:val="es-CO" w:eastAsia="es-CO"/>
              </w:rPr>
            </w:pPr>
            <w:r w:rsidRPr="009650C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6672048" w14:textId="77777777" w:rsidR="009650C2" w:rsidRPr="009650C2" w:rsidRDefault="009650C2" w:rsidP="009650C2">
            <w:pPr>
              <w:spacing w:before="0" w:after="0"/>
              <w:jc w:val="center"/>
              <w:rPr>
                <w:rFonts w:cs="Arial"/>
                <w:b/>
                <w:bCs/>
                <w:sz w:val="18"/>
                <w:szCs w:val="18"/>
                <w:lang w:val="es-CO" w:eastAsia="es-CO"/>
              </w:rPr>
            </w:pPr>
            <w:r w:rsidRPr="009650C2">
              <w:rPr>
                <w:rFonts w:cs="Arial"/>
                <w:b/>
                <w:bCs/>
                <w:sz w:val="18"/>
                <w:szCs w:val="18"/>
                <w:lang w:val="es-CO" w:eastAsia="es-CO"/>
              </w:rPr>
              <w:t>Pesos de diciembre de 2017</w:t>
            </w:r>
          </w:p>
        </w:tc>
      </w:tr>
      <w:tr w:rsidR="009650C2" w:rsidRPr="009650C2" w14:paraId="30CF2197"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2AC901B"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RCBIA</w:t>
            </w:r>
            <w:r w:rsidRPr="009650C2">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41212D2E"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21.837.051.997</w:t>
            </w:r>
          </w:p>
        </w:tc>
      </w:tr>
      <w:tr w:rsidR="009650C2" w:rsidRPr="009650C2" w14:paraId="53C7D486"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5487C91"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RCBIA</w:t>
            </w:r>
            <w:r w:rsidRPr="009650C2">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18DF90EF"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9.005.019.731</w:t>
            </w:r>
          </w:p>
        </w:tc>
      </w:tr>
      <w:tr w:rsidR="009650C2" w:rsidRPr="009650C2" w14:paraId="384C79B7"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430FF42"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RCBIA</w:t>
            </w:r>
            <w:r w:rsidRPr="009650C2">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56BD5400"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28.054.220.761</w:t>
            </w:r>
          </w:p>
        </w:tc>
      </w:tr>
      <w:tr w:rsidR="009650C2" w:rsidRPr="009650C2" w14:paraId="5014943A"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8E622AA"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RCBIA</w:t>
            </w:r>
            <w:r w:rsidRPr="009650C2">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5FCCD502"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28.147.963.678</w:t>
            </w:r>
          </w:p>
        </w:tc>
      </w:tr>
    </w:tbl>
    <w:p w14:paraId="6701EF95" w14:textId="3E5C21B7" w:rsidR="009650C2" w:rsidRPr="000C23A9" w:rsidRDefault="009650C2" w:rsidP="009650C2">
      <w:pPr>
        <w:pStyle w:val="Artculo"/>
        <w:ind w:left="0"/>
        <w:outlineLvl w:val="2"/>
        <w:rPr>
          <w:b w:val="0"/>
        </w:rPr>
      </w:pPr>
      <w:r>
        <w:t xml:space="preserve">Modificar el artículo 5 de la Resolución CREG 024 de 2021. </w:t>
      </w:r>
      <w:r w:rsidRPr="00A71EA8">
        <w:rPr>
          <w:b w:val="0"/>
        </w:rPr>
        <w:t xml:space="preserve">El artículo </w:t>
      </w:r>
      <w:r>
        <w:rPr>
          <w:b w:val="0"/>
        </w:rPr>
        <w:t>5</w:t>
      </w:r>
      <w:r w:rsidRPr="00A71EA8">
        <w:rPr>
          <w:b w:val="0"/>
        </w:rPr>
        <w:t xml:space="preserve"> de la Resolución CREG </w:t>
      </w:r>
      <w:r w:rsidRPr="009650C2">
        <w:rPr>
          <w:b w:val="0"/>
        </w:rPr>
        <w:t>024 de 2021</w:t>
      </w:r>
      <w:r w:rsidRPr="00A71EA8">
        <w:rPr>
          <w:b w:val="0"/>
        </w:rPr>
        <w:t xml:space="preserve"> quedará así:</w:t>
      </w:r>
    </w:p>
    <w:p w14:paraId="4B1C03F1" w14:textId="2008150F" w:rsidR="009650C2" w:rsidRPr="009650C2" w:rsidRDefault="009650C2" w:rsidP="009650C2">
      <w:pPr>
        <w:pStyle w:val="Artculo"/>
        <w:numPr>
          <w:ilvl w:val="0"/>
          <w:numId w:val="0"/>
        </w:numPr>
        <w:spacing w:before="180" w:after="180"/>
        <w:ind w:left="426"/>
        <w:outlineLvl w:val="2"/>
        <w:rPr>
          <w:b w:val="0"/>
          <w:i/>
          <w:iCs/>
        </w:rPr>
      </w:pPr>
      <w:r w:rsidRPr="009650C2">
        <w:rPr>
          <w:i/>
          <w:iCs/>
          <w:sz w:val="22"/>
          <w:szCs w:val="22"/>
        </w:rPr>
        <w:t>Artículo 5</w:t>
      </w:r>
      <w:r w:rsidR="004418B5">
        <w:rPr>
          <w:i/>
          <w:iCs/>
          <w:sz w:val="22"/>
          <w:szCs w:val="22"/>
        </w:rPr>
        <w:t>.</w:t>
      </w:r>
      <w:r w:rsidRPr="009650C2">
        <w:rPr>
          <w:i/>
          <w:iCs/>
          <w:sz w:val="22"/>
          <w:szCs w:val="22"/>
        </w:rPr>
        <w:t xml:space="preserve"> Recuperación de capital de activos nuevos</w:t>
      </w:r>
      <w:r w:rsidRPr="009650C2">
        <w:rPr>
          <w:b w:val="0"/>
          <w:i/>
          <w:iCs/>
          <w:sz w:val="22"/>
          <w:szCs w:val="22"/>
        </w:rPr>
        <w:t>. El valor de la recuperación de capital reconocida para los activos que entraron en operación en el primer año, RCNA</w:t>
      </w:r>
      <w:r w:rsidRPr="009650C2">
        <w:rPr>
          <w:b w:val="0"/>
          <w:i/>
          <w:iCs/>
          <w:sz w:val="22"/>
          <w:szCs w:val="22"/>
          <w:vertAlign w:val="subscript"/>
        </w:rPr>
        <w:t>j,n,1</w:t>
      </w:r>
      <w:r w:rsidRPr="009650C2">
        <w:rPr>
          <w:b w:val="0"/>
          <w:i/>
          <w:iCs/>
          <w:sz w:val="22"/>
          <w:szCs w:val="22"/>
        </w:rPr>
        <w:t>, es el siguiente:</w:t>
      </w:r>
    </w:p>
    <w:p w14:paraId="0CD00208" w14:textId="4923260C" w:rsidR="009650C2" w:rsidRDefault="009650C2" w:rsidP="009650C2">
      <w:pPr>
        <w:pStyle w:val="Descripcin"/>
        <w:rPr>
          <w:i/>
          <w:iCs/>
        </w:rPr>
      </w:pPr>
      <w:r w:rsidRPr="009650C2">
        <w:rPr>
          <w:i/>
          <w:iCs/>
        </w:rPr>
        <w:t>Tabla 7 Recuperación de capital de activos nuevos</w:t>
      </w:r>
    </w:p>
    <w:tbl>
      <w:tblPr>
        <w:tblW w:w="3880" w:type="dxa"/>
        <w:jc w:val="center"/>
        <w:tblCellMar>
          <w:left w:w="70" w:type="dxa"/>
          <w:right w:w="70" w:type="dxa"/>
        </w:tblCellMar>
        <w:tblLook w:val="04A0" w:firstRow="1" w:lastRow="0" w:firstColumn="1" w:lastColumn="0" w:noHBand="0" w:noVBand="1"/>
      </w:tblPr>
      <w:tblGrid>
        <w:gridCol w:w="1900"/>
        <w:gridCol w:w="1980"/>
      </w:tblGrid>
      <w:tr w:rsidR="009650C2" w:rsidRPr="009650C2" w14:paraId="1300B5D5" w14:textId="77777777" w:rsidTr="009650C2">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A9728" w14:textId="77777777" w:rsidR="009650C2" w:rsidRPr="009650C2" w:rsidRDefault="009650C2" w:rsidP="009650C2">
            <w:pPr>
              <w:spacing w:before="0" w:after="0"/>
              <w:jc w:val="center"/>
              <w:rPr>
                <w:rFonts w:cs="Arial"/>
                <w:b/>
                <w:bCs/>
                <w:sz w:val="18"/>
                <w:szCs w:val="18"/>
                <w:lang w:val="es-CO" w:eastAsia="es-CO"/>
              </w:rPr>
            </w:pPr>
            <w:r w:rsidRPr="009650C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D95B300" w14:textId="77777777" w:rsidR="009650C2" w:rsidRPr="009650C2" w:rsidRDefault="009650C2" w:rsidP="009650C2">
            <w:pPr>
              <w:spacing w:before="0" w:after="0"/>
              <w:jc w:val="center"/>
              <w:rPr>
                <w:rFonts w:cs="Arial"/>
                <w:b/>
                <w:bCs/>
                <w:sz w:val="18"/>
                <w:szCs w:val="18"/>
                <w:lang w:val="es-CO" w:eastAsia="es-CO"/>
              </w:rPr>
            </w:pPr>
            <w:r w:rsidRPr="009650C2">
              <w:rPr>
                <w:rFonts w:cs="Arial"/>
                <w:b/>
                <w:bCs/>
                <w:sz w:val="18"/>
                <w:szCs w:val="18"/>
                <w:lang w:val="es-CO" w:eastAsia="es-CO"/>
              </w:rPr>
              <w:t>Pesos de diciembre de 2017</w:t>
            </w:r>
          </w:p>
        </w:tc>
      </w:tr>
      <w:tr w:rsidR="009650C2" w:rsidRPr="009650C2" w14:paraId="64F2C369"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D4C7403"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RCNA</w:t>
            </w:r>
            <w:r w:rsidRPr="009650C2">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190B6372"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2.053.686.346</w:t>
            </w:r>
          </w:p>
        </w:tc>
      </w:tr>
      <w:tr w:rsidR="009650C2" w:rsidRPr="009650C2" w14:paraId="68C3D495"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03F796C"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RCNA</w:t>
            </w:r>
            <w:r w:rsidRPr="009650C2">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2E21FBC1"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2.477.957.026</w:t>
            </w:r>
          </w:p>
        </w:tc>
      </w:tr>
      <w:tr w:rsidR="009650C2" w:rsidRPr="009650C2" w14:paraId="3DB44CC5"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BBF3E2F"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RCNA</w:t>
            </w:r>
            <w:r w:rsidRPr="009650C2">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32C153B0"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7.317.195.480</w:t>
            </w:r>
          </w:p>
        </w:tc>
      </w:tr>
      <w:tr w:rsidR="009650C2" w:rsidRPr="009650C2" w14:paraId="1DBBF15A" w14:textId="77777777" w:rsidTr="009650C2">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48F2067F" w14:textId="77777777" w:rsidR="009650C2" w:rsidRPr="009650C2" w:rsidRDefault="009650C2" w:rsidP="009650C2">
            <w:pPr>
              <w:spacing w:before="0" w:after="0"/>
              <w:jc w:val="center"/>
              <w:rPr>
                <w:rFonts w:cs="Arial"/>
                <w:i/>
                <w:iCs/>
                <w:sz w:val="18"/>
                <w:szCs w:val="18"/>
                <w:lang w:val="es-CO" w:eastAsia="es-CO"/>
              </w:rPr>
            </w:pPr>
            <w:r w:rsidRPr="009650C2">
              <w:rPr>
                <w:rFonts w:cs="Arial"/>
                <w:i/>
                <w:iCs/>
                <w:sz w:val="18"/>
                <w:szCs w:val="18"/>
                <w:lang w:val="es-CO" w:eastAsia="es-CO"/>
              </w:rPr>
              <w:t>RCNA</w:t>
            </w:r>
            <w:r w:rsidRPr="009650C2">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07F00351" w14:textId="77777777" w:rsidR="009650C2" w:rsidRPr="009650C2" w:rsidRDefault="009650C2" w:rsidP="009650C2">
            <w:pPr>
              <w:spacing w:before="0" w:after="0"/>
              <w:jc w:val="right"/>
              <w:rPr>
                <w:rFonts w:cs="Arial"/>
                <w:sz w:val="18"/>
                <w:szCs w:val="18"/>
                <w:lang w:val="es-CO" w:eastAsia="es-CO"/>
              </w:rPr>
            </w:pPr>
            <w:r w:rsidRPr="009650C2">
              <w:rPr>
                <w:rFonts w:cs="Arial"/>
                <w:sz w:val="18"/>
                <w:szCs w:val="18"/>
                <w:lang w:val="es-CO" w:eastAsia="es-CO"/>
              </w:rPr>
              <w:t>1.640.912.054</w:t>
            </w:r>
          </w:p>
        </w:tc>
      </w:tr>
    </w:tbl>
    <w:p w14:paraId="0F367AEA" w14:textId="5EEC21DD" w:rsidR="009650C2" w:rsidRPr="000C23A9" w:rsidRDefault="009650C2" w:rsidP="009650C2">
      <w:pPr>
        <w:pStyle w:val="Artculo"/>
        <w:ind w:left="0"/>
        <w:outlineLvl w:val="2"/>
        <w:rPr>
          <w:b w:val="0"/>
        </w:rPr>
      </w:pPr>
      <w:r>
        <w:t xml:space="preserve">Modificar el artículo 6 de la Resolución CREG 024 de 2021. </w:t>
      </w:r>
      <w:r w:rsidRPr="00A71EA8">
        <w:rPr>
          <w:b w:val="0"/>
        </w:rPr>
        <w:t xml:space="preserve">El artículo </w:t>
      </w:r>
      <w:r>
        <w:rPr>
          <w:b w:val="0"/>
        </w:rPr>
        <w:t>6</w:t>
      </w:r>
      <w:r w:rsidRPr="00A71EA8">
        <w:rPr>
          <w:b w:val="0"/>
        </w:rPr>
        <w:t xml:space="preserve"> de la Resolución CREG </w:t>
      </w:r>
      <w:r w:rsidRPr="009650C2">
        <w:rPr>
          <w:b w:val="0"/>
        </w:rPr>
        <w:t>024 de 2021</w:t>
      </w:r>
      <w:r w:rsidRPr="00A71EA8">
        <w:rPr>
          <w:b w:val="0"/>
        </w:rPr>
        <w:t xml:space="preserve"> quedará así:</w:t>
      </w:r>
    </w:p>
    <w:p w14:paraId="2216404B" w14:textId="55095430" w:rsidR="004418B5" w:rsidRPr="004418B5" w:rsidRDefault="004418B5" w:rsidP="004418B5">
      <w:pPr>
        <w:pStyle w:val="Artculo"/>
        <w:numPr>
          <w:ilvl w:val="0"/>
          <w:numId w:val="0"/>
        </w:numPr>
        <w:spacing w:before="180" w:after="180"/>
        <w:ind w:left="567"/>
        <w:outlineLvl w:val="2"/>
        <w:rPr>
          <w:b w:val="0"/>
          <w:i/>
          <w:iCs/>
          <w:sz w:val="22"/>
          <w:szCs w:val="22"/>
        </w:rPr>
      </w:pPr>
      <w:r w:rsidRPr="004418B5">
        <w:rPr>
          <w:i/>
          <w:iCs/>
          <w:sz w:val="22"/>
          <w:szCs w:val="22"/>
        </w:rPr>
        <w:t>Artículo 6. Base regulatoria de terrenos</w:t>
      </w:r>
      <w:r w:rsidRPr="004418B5">
        <w:rPr>
          <w:b w:val="0"/>
          <w:i/>
          <w:iCs/>
          <w:sz w:val="22"/>
          <w:szCs w:val="22"/>
        </w:rPr>
        <w:t>. El valor de la base regulatoria de terrenos, BRT</w:t>
      </w:r>
      <w:r w:rsidRPr="004418B5">
        <w:rPr>
          <w:b w:val="0"/>
          <w:i/>
          <w:iCs/>
          <w:sz w:val="22"/>
          <w:szCs w:val="22"/>
          <w:vertAlign w:val="subscript"/>
        </w:rPr>
        <w:t>j,n,1</w:t>
      </w:r>
      <w:r w:rsidRPr="004418B5">
        <w:rPr>
          <w:b w:val="0"/>
          <w:i/>
          <w:iCs/>
          <w:sz w:val="22"/>
          <w:szCs w:val="22"/>
        </w:rPr>
        <w:t>, del año 1, para los niveles de tensión 4, 3 y 2, es el siguiente:</w:t>
      </w:r>
    </w:p>
    <w:p w14:paraId="4AAD4CAB" w14:textId="418ED82D" w:rsidR="004418B5" w:rsidRPr="004418B5" w:rsidRDefault="004418B5" w:rsidP="004418B5">
      <w:pPr>
        <w:pStyle w:val="Descripcin"/>
        <w:ind w:left="567"/>
        <w:rPr>
          <w:i/>
          <w:iCs/>
          <w:sz w:val="20"/>
          <w:szCs w:val="18"/>
        </w:rPr>
      </w:pPr>
      <w:r w:rsidRPr="004418B5">
        <w:rPr>
          <w:i/>
          <w:iCs/>
          <w:sz w:val="20"/>
          <w:szCs w:val="18"/>
        </w:rPr>
        <w:t xml:space="preserve">Tabla </w:t>
      </w:r>
      <w:r>
        <w:rPr>
          <w:i/>
          <w:iCs/>
          <w:sz w:val="20"/>
          <w:szCs w:val="18"/>
        </w:rPr>
        <w:t>8</w:t>
      </w:r>
      <w:r w:rsidRPr="004418B5">
        <w:rPr>
          <w:i/>
          <w:iCs/>
          <w:sz w:val="20"/>
          <w:szCs w:val="18"/>
        </w:rPr>
        <w:t xml:space="preserve"> Base regulatoria de terrenos</w:t>
      </w:r>
    </w:p>
    <w:tbl>
      <w:tblPr>
        <w:tblW w:w="3880" w:type="dxa"/>
        <w:jc w:val="center"/>
        <w:tblCellMar>
          <w:left w:w="70" w:type="dxa"/>
          <w:right w:w="70" w:type="dxa"/>
        </w:tblCellMar>
        <w:tblLook w:val="04A0" w:firstRow="1" w:lastRow="0" w:firstColumn="1" w:lastColumn="0" w:noHBand="0" w:noVBand="1"/>
      </w:tblPr>
      <w:tblGrid>
        <w:gridCol w:w="1900"/>
        <w:gridCol w:w="1980"/>
      </w:tblGrid>
      <w:tr w:rsidR="004418B5" w:rsidRPr="004418B5" w14:paraId="631538F5" w14:textId="77777777" w:rsidTr="00DD5736">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59282"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7E263A4"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Pesos de diciembre de 2017</w:t>
            </w:r>
          </w:p>
        </w:tc>
      </w:tr>
      <w:tr w:rsidR="004418B5" w:rsidRPr="004418B5" w14:paraId="4B571416" w14:textId="77777777" w:rsidTr="004418B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4036F98D"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BRT</w:t>
            </w:r>
            <w:r w:rsidRPr="004418B5">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18107B4E"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135.354.956</w:t>
            </w:r>
          </w:p>
        </w:tc>
      </w:tr>
      <w:tr w:rsidR="004418B5" w:rsidRPr="004418B5" w14:paraId="4F146D1C" w14:textId="77777777" w:rsidTr="004418B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6AA6509"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BRT</w:t>
            </w:r>
            <w:r w:rsidRPr="004418B5">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31F2EA54"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141.857.334</w:t>
            </w:r>
          </w:p>
        </w:tc>
      </w:tr>
      <w:tr w:rsidR="004418B5" w:rsidRPr="004418B5" w14:paraId="790DA12E" w14:textId="77777777" w:rsidTr="004418B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DAAA7C8"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BRT</w:t>
            </w:r>
            <w:r w:rsidRPr="004418B5">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76F390F9"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8.938.629</w:t>
            </w:r>
          </w:p>
        </w:tc>
      </w:tr>
    </w:tbl>
    <w:p w14:paraId="71E048D1" w14:textId="3898B62F" w:rsidR="004418B5" w:rsidRPr="000C23A9" w:rsidRDefault="004418B5" w:rsidP="004418B5">
      <w:pPr>
        <w:pStyle w:val="Artculo"/>
        <w:ind w:left="0"/>
        <w:outlineLvl w:val="2"/>
        <w:rPr>
          <w:b w:val="0"/>
        </w:rPr>
      </w:pPr>
      <w:r>
        <w:t xml:space="preserve">Modificar el artículo 7 de la Resolución CREG 024 de 2021. </w:t>
      </w:r>
      <w:r w:rsidRPr="00A71EA8">
        <w:rPr>
          <w:b w:val="0"/>
        </w:rPr>
        <w:t xml:space="preserve">El artículo </w:t>
      </w:r>
      <w:r>
        <w:rPr>
          <w:b w:val="0"/>
        </w:rPr>
        <w:t>7</w:t>
      </w:r>
      <w:r w:rsidRPr="00A71EA8">
        <w:rPr>
          <w:b w:val="0"/>
        </w:rPr>
        <w:t xml:space="preserve"> de la Resolución CREG </w:t>
      </w:r>
      <w:r w:rsidRPr="009650C2">
        <w:rPr>
          <w:b w:val="0"/>
        </w:rPr>
        <w:t>024 de 2021</w:t>
      </w:r>
      <w:r w:rsidRPr="00A71EA8">
        <w:rPr>
          <w:b w:val="0"/>
        </w:rPr>
        <w:t xml:space="preserve"> quedará así:</w:t>
      </w:r>
    </w:p>
    <w:p w14:paraId="06F15E80" w14:textId="770BFD8B" w:rsidR="004418B5" w:rsidRPr="004418B5" w:rsidRDefault="004418B5" w:rsidP="004418B5">
      <w:pPr>
        <w:pStyle w:val="Artculo"/>
        <w:numPr>
          <w:ilvl w:val="0"/>
          <w:numId w:val="0"/>
        </w:numPr>
        <w:spacing w:before="180" w:after="180"/>
        <w:ind w:left="567"/>
        <w:outlineLvl w:val="2"/>
        <w:rPr>
          <w:b w:val="0"/>
          <w:i/>
          <w:iCs/>
          <w:sz w:val="22"/>
          <w:szCs w:val="22"/>
        </w:rPr>
      </w:pPr>
      <w:r w:rsidRPr="004418B5">
        <w:rPr>
          <w:i/>
          <w:iCs/>
          <w:sz w:val="22"/>
          <w:szCs w:val="22"/>
        </w:rPr>
        <w:t>Artículo 7. AOM base por nivel de tensión</w:t>
      </w:r>
      <w:r w:rsidRPr="004418B5">
        <w:rPr>
          <w:b w:val="0"/>
          <w:i/>
          <w:iCs/>
          <w:sz w:val="22"/>
          <w:szCs w:val="22"/>
        </w:rPr>
        <w:t>. El valor del AOM base para cada nivel de tensión, AOMbase</w:t>
      </w:r>
      <w:r w:rsidRPr="004418B5">
        <w:rPr>
          <w:b w:val="0"/>
          <w:i/>
          <w:iCs/>
          <w:sz w:val="22"/>
          <w:szCs w:val="22"/>
          <w:vertAlign w:val="subscript"/>
        </w:rPr>
        <w:t>j,n</w:t>
      </w:r>
      <w:r w:rsidRPr="004418B5">
        <w:rPr>
          <w:b w:val="0"/>
          <w:i/>
          <w:iCs/>
          <w:sz w:val="22"/>
          <w:szCs w:val="22"/>
        </w:rPr>
        <w:t>, y para cada año es el siguiente:</w:t>
      </w:r>
    </w:p>
    <w:p w14:paraId="74C2FB4F" w14:textId="3187D898" w:rsidR="004418B5" w:rsidRPr="004418B5" w:rsidRDefault="004418B5" w:rsidP="004418B5">
      <w:pPr>
        <w:pStyle w:val="Descripcin"/>
        <w:ind w:left="567"/>
        <w:rPr>
          <w:i/>
          <w:iCs/>
          <w:sz w:val="20"/>
          <w:szCs w:val="18"/>
        </w:rPr>
      </w:pPr>
      <w:r w:rsidRPr="004418B5">
        <w:rPr>
          <w:i/>
          <w:iCs/>
          <w:sz w:val="20"/>
          <w:szCs w:val="18"/>
        </w:rPr>
        <w:t xml:space="preserve">Tabla </w:t>
      </w:r>
      <w:r>
        <w:rPr>
          <w:i/>
          <w:iCs/>
          <w:sz w:val="20"/>
          <w:szCs w:val="18"/>
        </w:rPr>
        <w:t xml:space="preserve">9 </w:t>
      </w:r>
      <w:r w:rsidRPr="004418B5">
        <w:rPr>
          <w:i/>
          <w:iCs/>
          <w:sz w:val="20"/>
          <w:szCs w:val="18"/>
        </w:rPr>
        <w:t>AOM base por nivel de tensión, pesos de diciembre de 2017</w:t>
      </w:r>
    </w:p>
    <w:tbl>
      <w:tblPr>
        <w:tblW w:w="0" w:type="auto"/>
        <w:jc w:val="right"/>
        <w:tblCellMar>
          <w:left w:w="70" w:type="dxa"/>
          <w:right w:w="70" w:type="dxa"/>
        </w:tblCellMar>
        <w:tblLook w:val="04A0" w:firstRow="1" w:lastRow="0" w:firstColumn="1" w:lastColumn="0" w:noHBand="0" w:noVBand="1"/>
      </w:tblPr>
      <w:tblGrid>
        <w:gridCol w:w="1116"/>
        <w:gridCol w:w="1541"/>
        <w:gridCol w:w="1541"/>
        <w:gridCol w:w="1541"/>
        <w:gridCol w:w="1541"/>
        <w:gridCol w:w="1541"/>
      </w:tblGrid>
      <w:tr w:rsidR="004418B5" w:rsidRPr="004418B5" w14:paraId="2D2F14DB" w14:textId="77777777" w:rsidTr="00DD5736">
        <w:trPr>
          <w:trHeight w:val="255"/>
          <w:tblHeader/>
          <w:jc w:val="righ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A950FDA"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Variable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8DE6CD"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Año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DC20AF"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Año 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DECE16"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Año 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950D24"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Año 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25EE2D" w14:textId="77777777" w:rsidR="004418B5" w:rsidRPr="004418B5" w:rsidRDefault="004418B5" w:rsidP="004418B5">
            <w:pPr>
              <w:spacing w:before="0" w:after="0"/>
              <w:jc w:val="center"/>
              <w:rPr>
                <w:rFonts w:cs="Arial"/>
                <w:b/>
                <w:bCs/>
                <w:sz w:val="18"/>
                <w:szCs w:val="18"/>
                <w:lang w:val="es-CO" w:eastAsia="es-CO"/>
              </w:rPr>
            </w:pPr>
            <w:r w:rsidRPr="004418B5">
              <w:rPr>
                <w:rFonts w:cs="Arial"/>
                <w:b/>
                <w:bCs/>
                <w:sz w:val="18"/>
                <w:szCs w:val="18"/>
                <w:lang w:val="es-CO" w:eastAsia="es-CO"/>
              </w:rPr>
              <w:t>Año 5</w:t>
            </w:r>
          </w:p>
        </w:tc>
      </w:tr>
      <w:tr w:rsidR="004418B5" w:rsidRPr="004418B5" w14:paraId="692473BF" w14:textId="77777777" w:rsidTr="004418B5">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3FED9A"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AOMbase</w:t>
            </w:r>
            <w:r w:rsidRPr="004418B5">
              <w:rPr>
                <w:rFonts w:cs="Arial"/>
                <w:i/>
                <w:iCs/>
                <w:color w:val="000000"/>
                <w:sz w:val="18"/>
                <w:szCs w:val="18"/>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698AF0D4"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42.582.702.753</w:t>
            </w:r>
          </w:p>
        </w:tc>
        <w:tc>
          <w:tcPr>
            <w:tcW w:w="0" w:type="auto"/>
            <w:tcBorders>
              <w:top w:val="nil"/>
              <w:left w:val="nil"/>
              <w:bottom w:val="single" w:sz="4" w:space="0" w:color="auto"/>
              <w:right w:val="single" w:sz="4" w:space="0" w:color="auto"/>
            </w:tcBorders>
            <w:shd w:val="clear" w:color="auto" w:fill="auto"/>
            <w:noWrap/>
            <w:vAlign w:val="center"/>
            <w:hideMark/>
          </w:tcPr>
          <w:p w14:paraId="1245E497"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42.582.702.753</w:t>
            </w:r>
          </w:p>
        </w:tc>
        <w:tc>
          <w:tcPr>
            <w:tcW w:w="0" w:type="auto"/>
            <w:tcBorders>
              <w:top w:val="nil"/>
              <w:left w:val="nil"/>
              <w:bottom w:val="single" w:sz="4" w:space="0" w:color="auto"/>
              <w:right w:val="single" w:sz="4" w:space="0" w:color="auto"/>
            </w:tcBorders>
            <w:shd w:val="clear" w:color="auto" w:fill="auto"/>
            <w:noWrap/>
            <w:vAlign w:val="center"/>
            <w:hideMark/>
          </w:tcPr>
          <w:p w14:paraId="1E5F2ABB"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42.582.702.753</w:t>
            </w:r>
          </w:p>
        </w:tc>
        <w:tc>
          <w:tcPr>
            <w:tcW w:w="0" w:type="auto"/>
            <w:tcBorders>
              <w:top w:val="nil"/>
              <w:left w:val="nil"/>
              <w:bottom w:val="single" w:sz="4" w:space="0" w:color="auto"/>
              <w:right w:val="single" w:sz="4" w:space="0" w:color="auto"/>
            </w:tcBorders>
            <w:shd w:val="clear" w:color="auto" w:fill="auto"/>
            <w:noWrap/>
            <w:vAlign w:val="center"/>
            <w:hideMark/>
          </w:tcPr>
          <w:p w14:paraId="43F7126A"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35.485.585.627</w:t>
            </w:r>
          </w:p>
        </w:tc>
        <w:tc>
          <w:tcPr>
            <w:tcW w:w="0" w:type="auto"/>
            <w:tcBorders>
              <w:top w:val="nil"/>
              <w:left w:val="nil"/>
              <w:bottom w:val="single" w:sz="4" w:space="0" w:color="auto"/>
              <w:right w:val="single" w:sz="4" w:space="0" w:color="auto"/>
            </w:tcBorders>
            <w:shd w:val="clear" w:color="auto" w:fill="auto"/>
            <w:noWrap/>
            <w:vAlign w:val="center"/>
            <w:hideMark/>
          </w:tcPr>
          <w:p w14:paraId="788A351C"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26.303.247.476</w:t>
            </w:r>
          </w:p>
        </w:tc>
      </w:tr>
      <w:tr w:rsidR="004418B5" w:rsidRPr="004418B5" w14:paraId="40D6A4E6" w14:textId="77777777" w:rsidTr="004418B5">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795AE7"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AOMbase</w:t>
            </w:r>
            <w:r w:rsidRPr="004418B5">
              <w:rPr>
                <w:rFonts w:cs="Arial"/>
                <w:i/>
                <w:iCs/>
                <w:color w:val="000000"/>
                <w:sz w:val="18"/>
                <w:szCs w:val="18"/>
                <w:vertAlign w:val="subscript"/>
                <w:lang w:val="es-CO" w:eastAsia="es-CO"/>
              </w:rPr>
              <w:t>j,3</w:t>
            </w:r>
          </w:p>
        </w:tc>
        <w:tc>
          <w:tcPr>
            <w:tcW w:w="0" w:type="auto"/>
            <w:tcBorders>
              <w:top w:val="nil"/>
              <w:left w:val="nil"/>
              <w:bottom w:val="single" w:sz="4" w:space="0" w:color="auto"/>
              <w:right w:val="single" w:sz="4" w:space="0" w:color="auto"/>
            </w:tcBorders>
            <w:shd w:val="clear" w:color="auto" w:fill="auto"/>
            <w:noWrap/>
            <w:vAlign w:val="center"/>
            <w:hideMark/>
          </w:tcPr>
          <w:p w14:paraId="68A114B3"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16.827.346.930</w:t>
            </w:r>
          </w:p>
        </w:tc>
        <w:tc>
          <w:tcPr>
            <w:tcW w:w="0" w:type="auto"/>
            <w:tcBorders>
              <w:top w:val="nil"/>
              <w:left w:val="nil"/>
              <w:bottom w:val="single" w:sz="4" w:space="0" w:color="auto"/>
              <w:right w:val="single" w:sz="4" w:space="0" w:color="auto"/>
            </w:tcBorders>
            <w:shd w:val="clear" w:color="auto" w:fill="auto"/>
            <w:noWrap/>
            <w:vAlign w:val="center"/>
            <w:hideMark/>
          </w:tcPr>
          <w:p w14:paraId="06A40D7E"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16.827.346.930</w:t>
            </w:r>
          </w:p>
        </w:tc>
        <w:tc>
          <w:tcPr>
            <w:tcW w:w="0" w:type="auto"/>
            <w:tcBorders>
              <w:top w:val="nil"/>
              <w:left w:val="nil"/>
              <w:bottom w:val="single" w:sz="4" w:space="0" w:color="auto"/>
              <w:right w:val="single" w:sz="4" w:space="0" w:color="auto"/>
            </w:tcBorders>
            <w:shd w:val="clear" w:color="auto" w:fill="auto"/>
            <w:noWrap/>
            <w:vAlign w:val="center"/>
            <w:hideMark/>
          </w:tcPr>
          <w:p w14:paraId="5EA654EB"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16.827.346.930</w:t>
            </w:r>
          </w:p>
        </w:tc>
        <w:tc>
          <w:tcPr>
            <w:tcW w:w="0" w:type="auto"/>
            <w:tcBorders>
              <w:top w:val="nil"/>
              <w:left w:val="nil"/>
              <w:bottom w:val="single" w:sz="4" w:space="0" w:color="auto"/>
              <w:right w:val="single" w:sz="4" w:space="0" w:color="auto"/>
            </w:tcBorders>
            <w:shd w:val="clear" w:color="auto" w:fill="auto"/>
            <w:noWrap/>
            <w:vAlign w:val="center"/>
            <w:hideMark/>
          </w:tcPr>
          <w:p w14:paraId="2E14936A"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14.022.789.109</w:t>
            </w:r>
          </w:p>
        </w:tc>
        <w:tc>
          <w:tcPr>
            <w:tcW w:w="0" w:type="auto"/>
            <w:tcBorders>
              <w:top w:val="nil"/>
              <w:left w:val="nil"/>
              <w:bottom w:val="single" w:sz="4" w:space="0" w:color="auto"/>
              <w:right w:val="single" w:sz="4" w:space="0" w:color="auto"/>
            </w:tcBorders>
            <w:shd w:val="clear" w:color="auto" w:fill="auto"/>
            <w:noWrap/>
            <w:vAlign w:val="center"/>
            <w:hideMark/>
          </w:tcPr>
          <w:p w14:paraId="66680D64"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10.394.217.419</w:t>
            </w:r>
          </w:p>
        </w:tc>
      </w:tr>
      <w:tr w:rsidR="004418B5" w:rsidRPr="004418B5" w14:paraId="50407E86" w14:textId="77777777" w:rsidTr="004418B5">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80D0CB"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AOMbase</w:t>
            </w:r>
            <w:r w:rsidRPr="004418B5">
              <w:rPr>
                <w:rFonts w:cs="Arial"/>
                <w:i/>
                <w:iCs/>
                <w:color w:val="000000"/>
                <w:sz w:val="18"/>
                <w:szCs w:val="18"/>
                <w:vertAlign w:val="subscript"/>
                <w:lang w:val="es-CO" w:eastAsia="es-CO"/>
              </w:rPr>
              <w:t>j,2</w:t>
            </w:r>
          </w:p>
        </w:tc>
        <w:tc>
          <w:tcPr>
            <w:tcW w:w="0" w:type="auto"/>
            <w:tcBorders>
              <w:top w:val="nil"/>
              <w:left w:val="nil"/>
              <w:bottom w:val="single" w:sz="4" w:space="0" w:color="auto"/>
              <w:right w:val="single" w:sz="4" w:space="0" w:color="auto"/>
            </w:tcBorders>
            <w:shd w:val="clear" w:color="auto" w:fill="auto"/>
            <w:noWrap/>
            <w:vAlign w:val="center"/>
            <w:hideMark/>
          </w:tcPr>
          <w:p w14:paraId="39D6A8EE"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59.857.023.216</w:t>
            </w:r>
          </w:p>
        </w:tc>
        <w:tc>
          <w:tcPr>
            <w:tcW w:w="0" w:type="auto"/>
            <w:tcBorders>
              <w:top w:val="nil"/>
              <w:left w:val="nil"/>
              <w:bottom w:val="single" w:sz="4" w:space="0" w:color="auto"/>
              <w:right w:val="single" w:sz="4" w:space="0" w:color="auto"/>
            </w:tcBorders>
            <w:shd w:val="clear" w:color="auto" w:fill="auto"/>
            <w:noWrap/>
            <w:vAlign w:val="center"/>
            <w:hideMark/>
          </w:tcPr>
          <w:p w14:paraId="7B1B7A3D"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59.857.023.216</w:t>
            </w:r>
          </w:p>
        </w:tc>
        <w:tc>
          <w:tcPr>
            <w:tcW w:w="0" w:type="auto"/>
            <w:tcBorders>
              <w:top w:val="nil"/>
              <w:left w:val="nil"/>
              <w:bottom w:val="single" w:sz="4" w:space="0" w:color="auto"/>
              <w:right w:val="single" w:sz="4" w:space="0" w:color="auto"/>
            </w:tcBorders>
            <w:shd w:val="clear" w:color="auto" w:fill="auto"/>
            <w:noWrap/>
            <w:vAlign w:val="center"/>
            <w:hideMark/>
          </w:tcPr>
          <w:p w14:paraId="682D76CF"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59.857.023.216</w:t>
            </w:r>
          </w:p>
        </w:tc>
        <w:tc>
          <w:tcPr>
            <w:tcW w:w="0" w:type="auto"/>
            <w:tcBorders>
              <w:top w:val="nil"/>
              <w:left w:val="nil"/>
              <w:bottom w:val="single" w:sz="4" w:space="0" w:color="auto"/>
              <w:right w:val="single" w:sz="4" w:space="0" w:color="auto"/>
            </w:tcBorders>
            <w:shd w:val="clear" w:color="auto" w:fill="auto"/>
            <w:noWrap/>
            <w:vAlign w:val="center"/>
            <w:hideMark/>
          </w:tcPr>
          <w:p w14:paraId="3333DEC2"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49.880.852.680</w:t>
            </w:r>
          </w:p>
        </w:tc>
        <w:tc>
          <w:tcPr>
            <w:tcW w:w="0" w:type="auto"/>
            <w:tcBorders>
              <w:top w:val="nil"/>
              <w:left w:val="nil"/>
              <w:bottom w:val="single" w:sz="4" w:space="0" w:color="auto"/>
              <w:right w:val="single" w:sz="4" w:space="0" w:color="auto"/>
            </w:tcBorders>
            <w:shd w:val="clear" w:color="auto" w:fill="auto"/>
            <w:noWrap/>
            <w:vAlign w:val="center"/>
            <w:hideMark/>
          </w:tcPr>
          <w:p w14:paraId="67F5801B"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36.973.559.522</w:t>
            </w:r>
          </w:p>
        </w:tc>
      </w:tr>
      <w:tr w:rsidR="004418B5" w:rsidRPr="004418B5" w14:paraId="0FEB007F" w14:textId="77777777" w:rsidTr="004418B5">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42B80A" w14:textId="77777777" w:rsidR="004418B5" w:rsidRPr="004418B5" w:rsidRDefault="004418B5" w:rsidP="004418B5">
            <w:pPr>
              <w:spacing w:before="0" w:after="0"/>
              <w:jc w:val="center"/>
              <w:rPr>
                <w:rFonts w:cs="Arial"/>
                <w:i/>
                <w:iCs/>
                <w:sz w:val="18"/>
                <w:szCs w:val="18"/>
                <w:lang w:val="es-CO" w:eastAsia="es-CO"/>
              </w:rPr>
            </w:pPr>
            <w:r w:rsidRPr="004418B5">
              <w:rPr>
                <w:rFonts w:cs="Arial"/>
                <w:i/>
                <w:iCs/>
                <w:sz w:val="18"/>
                <w:szCs w:val="18"/>
                <w:lang w:val="es-CO" w:eastAsia="es-CO"/>
              </w:rPr>
              <w:t>AOMbase</w:t>
            </w:r>
            <w:r w:rsidRPr="004418B5">
              <w:rPr>
                <w:rFonts w:cs="Arial"/>
                <w:i/>
                <w:iCs/>
                <w:color w:val="000000"/>
                <w:sz w:val="18"/>
                <w:szCs w:val="18"/>
                <w:vertAlign w:val="subscript"/>
                <w:lang w:val="es-CO" w:eastAsia="es-CO"/>
              </w:rPr>
              <w:t>j,1</w:t>
            </w:r>
          </w:p>
        </w:tc>
        <w:tc>
          <w:tcPr>
            <w:tcW w:w="0" w:type="auto"/>
            <w:tcBorders>
              <w:top w:val="nil"/>
              <w:left w:val="nil"/>
              <w:bottom w:val="single" w:sz="4" w:space="0" w:color="auto"/>
              <w:right w:val="single" w:sz="4" w:space="0" w:color="auto"/>
            </w:tcBorders>
            <w:shd w:val="clear" w:color="auto" w:fill="auto"/>
            <w:noWrap/>
            <w:vAlign w:val="center"/>
            <w:hideMark/>
          </w:tcPr>
          <w:p w14:paraId="7B9B3DE8"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36.700.693.100</w:t>
            </w:r>
          </w:p>
        </w:tc>
        <w:tc>
          <w:tcPr>
            <w:tcW w:w="0" w:type="auto"/>
            <w:tcBorders>
              <w:top w:val="nil"/>
              <w:left w:val="nil"/>
              <w:bottom w:val="single" w:sz="4" w:space="0" w:color="auto"/>
              <w:right w:val="single" w:sz="4" w:space="0" w:color="auto"/>
            </w:tcBorders>
            <w:shd w:val="clear" w:color="auto" w:fill="auto"/>
            <w:noWrap/>
            <w:vAlign w:val="center"/>
            <w:hideMark/>
          </w:tcPr>
          <w:p w14:paraId="0DA2EB2A"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36.700.693.100</w:t>
            </w:r>
          </w:p>
        </w:tc>
        <w:tc>
          <w:tcPr>
            <w:tcW w:w="0" w:type="auto"/>
            <w:tcBorders>
              <w:top w:val="nil"/>
              <w:left w:val="nil"/>
              <w:bottom w:val="single" w:sz="4" w:space="0" w:color="auto"/>
              <w:right w:val="single" w:sz="4" w:space="0" w:color="auto"/>
            </w:tcBorders>
            <w:shd w:val="clear" w:color="auto" w:fill="auto"/>
            <w:noWrap/>
            <w:vAlign w:val="center"/>
            <w:hideMark/>
          </w:tcPr>
          <w:p w14:paraId="3E2463BA"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36.700.693.100</w:t>
            </w:r>
          </w:p>
        </w:tc>
        <w:tc>
          <w:tcPr>
            <w:tcW w:w="0" w:type="auto"/>
            <w:tcBorders>
              <w:top w:val="nil"/>
              <w:left w:val="nil"/>
              <w:bottom w:val="single" w:sz="4" w:space="0" w:color="auto"/>
              <w:right w:val="single" w:sz="4" w:space="0" w:color="auto"/>
            </w:tcBorders>
            <w:shd w:val="clear" w:color="auto" w:fill="auto"/>
            <w:noWrap/>
            <w:vAlign w:val="center"/>
            <w:hideMark/>
          </w:tcPr>
          <w:p w14:paraId="1512BCA0"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30.583.910.917</w:t>
            </w:r>
          </w:p>
        </w:tc>
        <w:tc>
          <w:tcPr>
            <w:tcW w:w="0" w:type="auto"/>
            <w:tcBorders>
              <w:top w:val="nil"/>
              <w:left w:val="nil"/>
              <w:bottom w:val="single" w:sz="4" w:space="0" w:color="auto"/>
              <w:right w:val="single" w:sz="4" w:space="0" w:color="auto"/>
            </w:tcBorders>
            <w:shd w:val="clear" w:color="auto" w:fill="auto"/>
            <w:noWrap/>
            <w:vAlign w:val="center"/>
            <w:hideMark/>
          </w:tcPr>
          <w:p w14:paraId="0ADB08BD" w14:textId="77777777" w:rsidR="004418B5" w:rsidRPr="004418B5" w:rsidRDefault="004418B5" w:rsidP="004418B5">
            <w:pPr>
              <w:spacing w:before="0" w:after="0"/>
              <w:jc w:val="right"/>
              <w:rPr>
                <w:rFonts w:cs="Arial"/>
                <w:sz w:val="18"/>
                <w:szCs w:val="18"/>
                <w:lang w:val="es-CO" w:eastAsia="es-CO"/>
              </w:rPr>
            </w:pPr>
            <w:r w:rsidRPr="004418B5">
              <w:rPr>
                <w:rFonts w:cs="Arial"/>
                <w:sz w:val="18"/>
                <w:szCs w:val="18"/>
                <w:lang w:val="es-CO" w:eastAsia="es-CO"/>
              </w:rPr>
              <w:t>22.669.942.271</w:t>
            </w:r>
          </w:p>
        </w:tc>
      </w:tr>
    </w:tbl>
    <w:p w14:paraId="13409CAF" w14:textId="05415177" w:rsidR="00DD5736" w:rsidRPr="000C23A9" w:rsidRDefault="00DD5736" w:rsidP="00DD5736">
      <w:pPr>
        <w:pStyle w:val="Artculo"/>
        <w:ind w:left="0"/>
        <w:outlineLvl w:val="2"/>
        <w:rPr>
          <w:b w:val="0"/>
        </w:rPr>
      </w:pPr>
      <w:r>
        <w:t xml:space="preserve">Modificar el artículo 8 de la Resolución CREG 024 de 2021. </w:t>
      </w:r>
      <w:r w:rsidRPr="00A71EA8">
        <w:rPr>
          <w:b w:val="0"/>
        </w:rPr>
        <w:t xml:space="preserve">El artículo </w:t>
      </w:r>
      <w:r>
        <w:rPr>
          <w:b w:val="0"/>
        </w:rPr>
        <w:t>8</w:t>
      </w:r>
      <w:r w:rsidRPr="00A71EA8">
        <w:rPr>
          <w:b w:val="0"/>
        </w:rPr>
        <w:t xml:space="preserve"> de la Resolución CREG </w:t>
      </w:r>
      <w:r w:rsidRPr="009650C2">
        <w:rPr>
          <w:b w:val="0"/>
        </w:rPr>
        <w:t>024 de 2021</w:t>
      </w:r>
      <w:r w:rsidRPr="00A71EA8">
        <w:rPr>
          <w:b w:val="0"/>
        </w:rPr>
        <w:t xml:space="preserve"> quedará así:</w:t>
      </w:r>
    </w:p>
    <w:p w14:paraId="39D66FD5" w14:textId="57F56369" w:rsidR="00DD5736" w:rsidRPr="00DD5736" w:rsidRDefault="00DD5736" w:rsidP="00DD5736">
      <w:pPr>
        <w:pStyle w:val="Artculo"/>
        <w:numPr>
          <w:ilvl w:val="0"/>
          <w:numId w:val="0"/>
        </w:numPr>
        <w:spacing w:before="180" w:after="180"/>
        <w:ind w:left="567"/>
        <w:outlineLvl w:val="2"/>
        <w:rPr>
          <w:b w:val="0"/>
          <w:i/>
          <w:iCs/>
          <w:sz w:val="22"/>
          <w:szCs w:val="22"/>
        </w:rPr>
      </w:pPr>
      <w:r w:rsidRPr="00DD5736">
        <w:rPr>
          <w:i/>
          <w:iCs/>
          <w:sz w:val="22"/>
          <w:szCs w:val="22"/>
        </w:rPr>
        <w:t>Artículo 8. Factor ambiental para las nuevas inversiones</w:t>
      </w:r>
      <w:r w:rsidRPr="00DD5736">
        <w:rPr>
          <w:b w:val="0"/>
          <w:i/>
          <w:iCs/>
          <w:sz w:val="22"/>
          <w:szCs w:val="22"/>
        </w:rPr>
        <w:t>. El valor del factor ambiental para las nuevas inversiones, fAMB</w:t>
      </w:r>
      <w:r w:rsidRPr="00DD5736">
        <w:rPr>
          <w:b w:val="0"/>
          <w:i/>
          <w:iCs/>
          <w:sz w:val="22"/>
          <w:szCs w:val="22"/>
          <w:vertAlign w:val="subscript"/>
        </w:rPr>
        <w:t>j</w:t>
      </w:r>
      <w:r w:rsidRPr="00DD5736">
        <w:rPr>
          <w:b w:val="0"/>
          <w:i/>
          <w:iCs/>
          <w:sz w:val="22"/>
          <w:szCs w:val="22"/>
        </w:rPr>
        <w:t>, es el siguiente:</w:t>
      </w:r>
    </w:p>
    <w:p w14:paraId="728D0B54" w14:textId="7E858669" w:rsidR="00DD5736" w:rsidRPr="00DD5736" w:rsidRDefault="00DD5736" w:rsidP="00DD5736">
      <w:pPr>
        <w:pStyle w:val="Descripcin"/>
        <w:ind w:left="567"/>
        <w:rPr>
          <w:i/>
          <w:iCs/>
          <w:sz w:val="20"/>
          <w:szCs w:val="18"/>
        </w:rPr>
      </w:pPr>
      <w:r w:rsidRPr="00DD5736">
        <w:rPr>
          <w:i/>
          <w:iCs/>
          <w:sz w:val="20"/>
          <w:szCs w:val="18"/>
        </w:rPr>
        <w:t xml:space="preserve">Tabla </w:t>
      </w:r>
      <w:r>
        <w:rPr>
          <w:i/>
          <w:iCs/>
          <w:sz w:val="20"/>
          <w:szCs w:val="18"/>
        </w:rPr>
        <w:t>10</w:t>
      </w:r>
      <w:r w:rsidRPr="00DD5736">
        <w:rPr>
          <w:i/>
          <w:iCs/>
          <w:sz w:val="20"/>
          <w:szCs w:val="18"/>
        </w:rPr>
        <w:t xml:space="preserve"> Factor ambiental para nuevas inversiones</w:t>
      </w:r>
    </w:p>
    <w:tbl>
      <w:tblPr>
        <w:tblW w:w="3751" w:type="dxa"/>
        <w:jc w:val="center"/>
        <w:tblCellMar>
          <w:left w:w="70" w:type="dxa"/>
          <w:right w:w="70" w:type="dxa"/>
        </w:tblCellMar>
        <w:tblLook w:val="04A0" w:firstRow="1" w:lastRow="0" w:firstColumn="1" w:lastColumn="0" w:noHBand="0" w:noVBand="1"/>
      </w:tblPr>
      <w:tblGrid>
        <w:gridCol w:w="1791"/>
        <w:gridCol w:w="1960"/>
      </w:tblGrid>
      <w:tr w:rsidR="00DD5736" w:rsidRPr="009B079A" w14:paraId="2CC25190" w14:textId="77777777" w:rsidTr="007444D0">
        <w:trPr>
          <w:cantSplit/>
          <w:trHeight w:val="255"/>
          <w:tblHeader/>
          <w:jc w:val="center"/>
        </w:trPr>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88443" w14:textId="77777777" w:rsidR="00DD5736" w:rsidRPr="009B079A" w:rsidRDefault="00DD5736" w:rsidP="007444D0">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3F6C3CD" w14:textId="77777777" w:rsidR="00DD5736" w:rsidRPr="009B079A" w:rsidRDefault="00DD5736" w:rsidP="007444D0">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DD5736" w:rsidRPr="009B079A" w14:paraId="0FB079E4" w14:textId="77777777" w:rsidTr="007444D0">
        <w:trPr>
          <w:trHeight w:val="315"/>
          <w:jc w:val="center"/>
        </w:trPr>
        <w:tc>
          <w:tcPr>
            <w:tcW w:w="1791" w:type="dxa"/>
            <w:tcBorders>
              <w:top w:val="nil"/>
              <w:left w:val="single" w:sz="4" w:space="0" w:color="auto"/>
              <w:bottom w:val="single" w:sz="4" w:space="0" w:color="auto"/>
              <w:right w:val="single" w:sz="4" w:space="0" w:color="auto"/>
            </w:tcBorders>
            <w:shd w:val="clear" w:color="000000" w:fill="FFFFFF"/>
            <w:noWrap/>
            <w:vAlign w:val="center"/>
            <w:hideMark/>
          </w:tcPr>
          <w:p w14:paraId="35BFBCBB" w14:textId="77777777" w:rsidR="00DD5736" w:rsidRPr="009B079A" w:rsidRDefault="00DD5736" w:rsidP="007444D0">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17B82D59" w14:textId="3823D03D" w:rsidR="00DD5736" w:rsidRPr="009B079A" w:rsidRDefault="00DD5736" w:rsidP="007444D0">
            <w:pPr>
              <w:spacing w:before="0" w:after="0"/>
              <w:jc w:val="right"/>
              <w:rPr>
                <w:rFonts w:cs="Arial"/>
                <w:sz w:val="18"/>
                <w:szCs w:val="18"/>
                <w:lang w:val="es-CO" w:eastAsia="es-CO"/>
              </w:rPr>
            </w:pPr>
            <w:r w:rsidRPr="009B079A">
              <w:rPr>
                <w:rFonts w:cs="Arial"/>
                <w:sz w:val="18"/>
                <w:szCs w:val="18"/>
                <w:lang w:val="es-CO" w:eastAsia="es-CO"/>
              </w:rPr>
              <w:t>1,0</w:t>
            </w:r>
            <w:r>
              <w:rPr>
                <w:rFonts w:cs="Arial"/>
                <w:sz w:val="18"/>
                <w:szCs w:val="18"/>
                <w:lang w:val="es-CO" w:eastAsia="es-CO"/>
              </w:rPr>
              <w:t>507</w:t>
            </w:r>
          </w:p>
        </w:tc>
      </w:tr>
    </w:tbl>
    <w:p w14:paraId="46922CDB" w14:textId="7DE0FF3D" w:rsidR="00045E35" w:rsidRPr="000C23A9" w:rsidRDefault="00045E35" w:rsidP="00045E35">
      <w:pPr>
        <w:pStyle w:val="Artculo"/>
        <w:ind w:left="0"/>
        <w:outlineLvl w:val="2"/>
        <w:rPr>
          <w:b w:val="0"/>
        </w:rPr>
      </w:pPr>
      <w:r>
        <w:t xml:space="preserve">Modificar el artículo 15 de la Resolución CREG 024 de 2021. </w:t>
      </w:r>
      <w:r w:rsidRPr="00A71EA8">
        <w:rPr>
          <w:b w:val="0"/>
        </w:rPr>
        <w:t xml:space="preserve">El artículo </w:t>
      </w:r>
      <w:r>
        <w:rPr>
          <w:b w:val="0"/>
        </w:rPr>
        <w:t>15</w:t>
      </w:r>
      <w:r w:rsidRPr="00A71EA8">
        <w:rPr>
          <w:b w:val="0"/>
        </w:rPr>
        <w:t xml:space="preserve"> de la Resolución CREG </w:t>
      </w:r>
      <w:r w:rsidRPr="009650C2">
        <w:rPr>
          <w:b w:val="0"/>
        </w:rPr>
        <w:t>024 de 2021</w:t>
      </w:r>
      <w:r w:rsidRPr="00A71EA8">
        <w:rPr>
          <w:b w:val="0"/>
        </w:rPr>
        <w:t xml:space="preserve"> quedará así:</w:t>
      </w:r>
    </w:p>
    <w:p w14:paraId="47770D82" w14:textId="141278CA" w:rsidR="00045E35" w:rsidRPr="00045E35" w:rsidRDefault="00045E35" w:rsidP="00045E35">
      <w:pPr>
        <w:pStyle w:val="Artculo"/>
        <w:numPr>
          <w:ilvl w:val="0"/>
          <w:numId w:val="0"/>
        </w:numPr>
        <w:spacing w:before="180" w:after="180"/>
        <w:ind w:left="567"/>
        <w:outlineLvl w:val="2"/>
        <w:rPr>
          <w:b w:val="0"/>
          <w:i/>
          <w:iCs/>
          <w:sz w:val="22"/>
          <w:szCs w:val="22"/>
        </w:rPr>
      </w:pPr>
      <w:r w:rsidRPr="00045E35">
        <w:rPr>
          <w:i/>
          <w:iCs/>
          <w:sz w:val="22"/>
          <w:szCs w:val="22"/>
        </w:rPr>
        <w:t>Artículo 15 Costos de reposición de referencia.</w:t>
      </w:r>
      <w:r w:rsidRPr="00045E35">
        <w:rPr>
          <w:b w:val="0"/>
          <w:i/>
          <w:iCs/>
          <w:sz w:val="22"/>
          <w:szCs w:val="22"/>
        </w:rPr>
        <w:t xml:space="preserve"> El costo de reposición de referencia, CRR</w:t>
      </w:r>
      <w:r w:rsidRPr="00045E35">
        <w:rPr>
          <w:b w:val="0"/>
          <w:i/>
          <w:iCs/>
          <w:sz w:val="22"/>
          <w:szCs w:val="22"/>
          <w:vertAlign w:val="subscript"/>
        </w:rPr>
        <w:t>j</w:t>
      </w:r>
      <w:r w:rsidRPr="00045E35">
        <w:rPr>
          <w:b w:val="0"/>
          <w:i/>
          <w:iCs/>
          <w:sz w:val="22"/>
          <w:szCs w:val="22"/>
        </w:rPr>
        <w:t>, y los costos de reposición de referencia por nivel de tensión, Crr</w:t>
      </w:r>
      <w:r w:rsidRPr="00045E35">
        <w:rPr>
          <w:b w:val="0"/>
          <w:i/>
          <w:iCs/>
          <w:sz w:val="22"/>
          <w:szCs w:val="22"/>
          <w:vertAlign w:val="subscript"/>
        </w:rPr>
        <w:t>j,n</w:t>
      </w:r>
      <w:r w:rsidRPr="00045E35">
        <w:rPr>
          <w:b w:val="0"/>
          <w:i/>
          <w:iCs/>
          <w:sz w:val="22"/>
          <w:szCs w:val="22"/>
        </w:rPr>
        <w:t>, son los siguientes:</w:t>
      </w:r>
    </w:p>
    <w:p w14:paraId="3D4E1542" w14:textId="547686A0" w:rsidR="00045E35" w:rsidRPr="00045E35" w:rsidRDefault="00045E35" w:rsidP="00045E35">
      <w:pPr>
        <w:pStyle w:val="Descripcin"/>
        <w:ind w:left="567"/>
        <w:rPr>
          <w:i/>
          <w:iCs/>
          <w:sz w:val="20"/>
          <w:szCs w:val="18"/>
        </w:rPr>
      </w:pPr>
      <w:r w:rsidRPr="00045E35">
        <w:rPr>
          <w:i/>
          <w:iCs/>
          <w:sz w:val="20"/>
          <w:szCs w:val="18"/>
        </w:rPr>
        <w:t>Tabla 19 Costo de reposición de referencia</w:t>
      </w:r>
    </w:p>
    <w:tbl>
      <w:tblPr>
        <w:tblW w:w="3880" w:type="dxa"/>
        <w:jc w:val="center"/>
        <w:tblCellMar>
          <w:left w:w="70" w:type="dxa"/>
          <w:right w:w="70" w:type="dxa"/>
        </w:tblCellMar>
        <w:tblLook w:val="04A0" w:firstRow="1" w:lastRow="0" w:firstColumn="1" w:lastColumn="0" w:noHBand="0" w:noVBand="1"/>
      </w:tblPr>
      <w:tblGrid>
        <w:gridCol w:w="1900"/>
        <w:gridCol w:w="1980"/>
      </w:tblGrid>
      <w:tr w:rsidR="00045E35" w:rsidRPr="00045E35" w14:paraId="09838FB0" w14:textId="77777777" w:rsidTr="00045E35">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C72AB" w14:textId="77777777" w:rsidR="00045E35" w:rsidRPr="00045E35" w:rsidRDefault="00045E35" w:rsidP="00045E35">
            <w:pPr>
              <w:spacing w:before="0" w:after="0"/>
              <w:jc w:val="center"/>
              <w:rPr>
                <w:rFonts w:cs="Arial"/>
                <w:b/>
                <w:bCs/>
                <w:sz w:val="18"/>
                <w:szCs w:val="18"/>
                <w:lang w:val="es-CO" w:eastAsia="es-CO"/>
              </w:rPr>
            </w:pPr>
            <w:r w:rsidRPr="00045E35">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AE7CBD5" w14:textId="77777777" w:rsidR="00045E35" w:rsidRPr="00045E35" w:rsidRDefault="00045E35" w:rsidP="00045E35">
            <w:pPr>
              <w:spacing w:before="0" w:after="0"/>
              <w:jc w:val="center"/>
              <w:rPr>
                <w:rFonts w:cs="Arial"/>
                <w:b/>
                <w:bCs/>
                <w:sz w:val="18"/>
                <w:szCs w:val="18"/>
                <w:lang w:val="es-CO" w:eastAsia="es-CO"/>
              </w:rPr>
            </w:pPr>
            <w:r w:rsidRPr="00045E35">
              <w:rPr>
                <w:rFonts w:cs="Arial"/>
                <w:b/>
                <w:bCs/>
                <w:sz w:val="18"/>
                <w:szCs w:val="18"/>
                <w:lang w:val="es-CO" w:eastAsia="es-CO"/>
              </w:rPr>
              <w:t>Pesos de diciembre de 2017</w:t>
            </w:r>
          </w:p>
        </w:tc>
      </w:tr>
      <w:tr w:rsidR="00045E35" w:rsidRPr="00045E35" w14:paraId="57CE7FB7" w14:textId="77777777" w:rsidTr="00045E3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72BF63B" w14:textId="77777777" w:rsidR="00045E35" w:rsidRPr="00045E35" w:rsidRDefault="00045E35" w:rsidP="00045E35">
            <w:pPr>
              <w:spacing w:before="0" w:after="0"/>
              <w:jc w:val="center"/>
              <w:rPr>
                <w:rFonts w:cs="Arial"/>
                <w:i/>
                <w:iCs/>
                <w:sz w:val="18"/>
                <w:szCs w:val="18"/>
                <w:lang w:val="es-CO" w:eastAsia="es-CO"/>
              </w:rPr>
            </w:pPr>
            <w:r w:rsidRPr="00045E35">
              <w:rPr>
                <w:rFonts w:cs="Arial"/>
                <w:i/>
                <w:iCs/>
                <w:sz w:val="18"/>
                <w:szCs w:val="18"/>
                <w:lang w:val="es-CO" w:eastAsia="es-CO"/>
              </w:rPr>
              <w:t>CRR</w:t>
            </w:r>
            <w:r w:rsidRPr="00045E35">
              <w:rPr>
                <w:rFonts w:cs="Arial"/>
                <w:i/>
                <w:iCs/>
                <w:color w:val="000000"/>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0C91FE1E" w14:textId="77777777" w:rsidR="00045E35" w:rsidRPr="00045E35" w:rsidRDefault="00045E35" w:rsidP="00045E35">
            <w:pPr>
              <w:spacing w:before="0" w:after="0"/>
              <w:jc w:val="right"/>
              <w:rPr>
                <w:rFonts w:cs="Arial"/>
                <w:sz w:val="18"/>
                <w:szCs w:val="18"/>
                <w:lang w:val="es-CO" w:eastAsia="es-CO"/>
              </w:rPr>
            </w:pPr>
            <w:r w:rsidRPr="00045E35">
              <w:rPr>
                <w:rFonts w:cs="Arial"/>
                <w:sz w:val="18"/>
                <w:szCs w:val="18"/>
                <w:lang w:val="es-CO" w:eastAsia="es-CO"/>
              </w:rPr>
              <w:t>2.592.647.222.677</w:t>
            </w:r>
          </w:p>
        </w:tc>
      </w:tr>
      <w:tr w:rsidR="00045E35" w:rsidRPr="00045E35" w14:paraId="55974958" w14:textId="77777777" w:rsidTr="00045E3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8067FE0" w14:textId="77777777" w:rsidR="00045E35" w:rsidRPr="00045E35" w:rsidRDefault="00045E35" w:rsidP="00045E35">
            <w:pPr>
              <w:spacing w:before="0" w:after="0"/>
              <w:jc w:val="center"/>
              <w:rPr>
                <w:rFonts w:cs="Arial"/>
                <w:i/>
                <w:iCs/>
                <w:sz w:val="18"/>
                <w:szCs w:val="18"/>
                <w:lang w:val="es-CO" w:eastAsia="es-CO"/>
              </w:rPr>
            </w:pPr>
            <w:r w:rsidRPr="00045E35">
              <w:rPr>
                <w:rFonts w:cs="Arial"/>
                <w:i/>
                <w:iCs/>
                <w:sz w:val="18"/>
                <w:szCs w:val="18"/>
                <w:lang w:val="es-CO" w:eastAsia="es-CO"/>
              </w:rPr>
              <w:t>Crr</w:t>
            </w:r>
            <w:r w:rsidRPr="00045E35">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1C647989" w14:textId="77777777" w:rsidR="00045E35" w:rsidRPr="00045E35" w:rsidRDefault="00045E35" w:rsidP="00045E35">
            <w:pPr>
              <w:spacing w:before="0" w:after="0"/>
              <w:jc w:val="right"/>
              <w:rPr>
                <w:rFonts w:cs="Arial"/>
                <w:sz w:val="18"/>
                <w:szCs w:val="18"/>
                <w:lang w:val="es-CO" w:eastAsia="es-CO"/>
              </w:rPr>
            </w:pPr>
            <w:r w:rsidRPr="00045E35">
              <w:rPr>
                <w:rFonts w:cs="Arial"/>
                <w:sz w:val="18"/>
                <w:szCs w:val="18"/>
                <w:lang w:val="es-CO" w:eastAsia="es-CO"/>
              </w:rPr>
              <w:t>683.473.600.736</w:t>
            </w:r>
          </w:p>
        </w:tc>
      </w:tr>
      <w:tr w:rsidR="00045E35" w:rsidRPr="00045E35" w14:paraId="289C58C2" w14:textId="77777777" w:rsidTr="00045E3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7E5A73C" w14:textId="77777777" w:rsidR="00045E35" w:rsidRPr="00045E35" w:rsidRDefault="00045E35" w:rsidP="00045E35">
            <w:pPr>
              <w:spacing w:before="0" w:after="0"/>
              <w:jc w:val="center"/>
              <w:rPr>
                <w:rFonts w:cs="Arial"/>
                <w:i/>
                <w:iCs/>
                <w:sz w:val="18"/>
                <w:szCs w:val="18"/>
                <w:lang w:val="es-CO" w:eastAsia="es-CO"/>
              </w:rPr>
            </w:pPr>
            <w:r w:rsidRPr="00045E35">
              <w:rPr>
                <w:rFonts w:cs="Arial"/>
                <w:i/>
                <w:iCs/>
                <w:sz w:val="18"/>
                <w:szCs w:val="18"/>
                <w:lang w:val="es-CO" w:eastAsia="es-CO"/>
              </w:rPr>
              <w:t>Crr</w:t>
            </w:r>
            <w:r w:rsidRPr="00045E35">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304D82B6" w14:textId="77777777" w:rsidR="00045E35" w:rsidRPr="00045E35" w:rsidRDefault="00045E35" w:rsidP="00045E35">
            <w:pPr>
              <w:spacing w:before="0" w:after="0"/>
              <w:jc w:val="right"/>
              <w:rPr>
                <w:rFonts w:cs="Arial"/>
                <w:sz w:val="18"/>
                <w:szCs w:val="18"/>
                <w:lang w:val="es-CO" w:eastAsia="es-CO"/>
              </w:rPr>
            </w:pPr>
            <w:r w:rsidRPr="00045E35">
              <w:rPr>
                <w:rFonts w:cs="Arial"/>
                <w:sz w:val="18"/>
                <w:szCs w:val="18"/>
                <w:lang w:val="es-CO" w:eastAsia="es-CO"/>
              </w:rPr>
              <w:t>288.259.058.198</w:t>
            </w:r>
          </w:p>
        </w:tc>
      </w:tr>
      <w:tr w:rsidR="00045E35" w:rsidRPr="00045E35" w14:paraId="33AC6224" w14:textId="77777777" w:rsidTr="00045E3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105DFC0" w14:textId="77777777" w:rsidR="00045E35" w:rsidRPr="00045E35" w:rsidRDefault="00045E35" w:rsidP="00045E35">
            <w:pPr>
              <w:spacing w:before="0" w:after="0"/>
              <w:jc w:val="center"/>
              <w:rPr>
                <w:rFonts w:cs="Arial"/>
                <w:i/>
                <w:iCs/>
                <w:sz w:val="18"/>
                <w:szCs w:val="18"/>
                <w:lang w:val="es-CO" w:eastAsia="es-CO"/>
              </w:rPr>
            </w:pPr>
            <w:r w:rsidRPr="00045E35">
              <w:rPr>
                <w:rFonts w:cs="Arial"/>
                <w:i/>
                <w:iCs/>
                <w:sz w:val="18"/>
                <w:szCs w:val="18"/>
                <w:lang w:val="es-CO" w:eastAsia="es-CO"/>
              </w:rPr>
              <w:t>Crr</w:t>
            </w:r>
            <w:r w:rsidRPr="00045E35">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296570FD" w14:textId="77777777" w:rsidR="00045E35" w:rsidRPr="00045E35" w:rsidRDefault="00045E35" w:rsidP="00045E35">
            <w:pPr>
              <w:spacing w:before="0" w:after="0"/>
              <w:jc w:val="right"/>
              <w:rPr>
                <w:rFonts w:cs="Arial"/>
                <w:sz w:val="18"/>
                <w:szCs w:val="18"/>
                <w:lang w:val="es-CO" w:eastAsia="es-CO"/>
              </w:rPr>
            </w:pPr>
            <w:r w:rsidRPr="00045E35">
              <w:rPr>
                <w:rFonts w:cs="Arial"/>
                <w:sz w:val="18"/>
                <w:szCs w:val="18"/>
                <w:lang w:val="es-CO" w:eastAsia="es-CO"/>
              </w:rPr>
              <w:t>981.522.670.739</w:t>
            </w:r>
          </w:p>
        </w:tc>
      </w:tr>
      <w:tr w:rsidR="00045E35" w:rsidRPr="00045E35" w14:paraId="732BDED9" w14:textId="77777777" w:rsidTr="00045E35">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73DDCCF" w14:textId="77777777" w:rsidR="00045E35" w:rsidRPr="00045E35" w:rsidRDefault="00045E35" w:rsidP="00045E35">
            <w:pPr>
              <w:spacing w:before="0" w:after="0"/>
              <w:jc w:val="center"/>
              <w:rPr>
                <w:rFonts w:cs="Arial"/>
                <w:i/>
                <w:iCs/>
                <w:sz w:val="18"/>
                <w:szCs w:val="18"/>
                <w:lang w:val="es-CO" w:eastAsia="es-CO"/>
              </w:rPr>
            </w:pPr>
            <w:r w:rsidRPr="00045E35">
              <w:rPr>
                <w:rFonts w:cs="Arial"/>
                <w:i/>
                <w:iCs/>
                <w:sz w:val="18"/>
                <w:szCs w:val="18"/>
                <w:lang w:val="es-CO" w:eastAsia="es-CO"/>
              </w:rPr>
              <w:t>Crr</w:t>
            </w:r>
            <w:r w:rsidRPr="00045E35">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1B4CFA52" w14:textId="77777777" w:rsidR="00045E35" w:rsidRPr="00045E35" w:rsidRDefault="00045E35" w:rsidP="00045E35">
            <w:pPr>
              <w:spacing w:before="0" w:after="0"/>
              <w:jc w:val="right"/>
              <w:rPr>
                <w:rFonts w:cs="Arial"/>
                <w:sz w:val="18"/>
                <w:szCs w:val="18"/>
                <w:lang w:val="es-CO" w:eastAsia="es-CO"/>
              </w:rPr>
            </w:pPr>
            <w:r w:rsidRPr="00045E35">
              <w:rPr>
                <w:rFonts w:cs="Arial"/>
                <w:sz w:val="18"/>
                <w:szCs w:val="18"/>
                <w:lang w:val="es-CO" w:eastAsia="es-CO"/>
              </w:rPr>
              <w:t>639.391.893.005</w:t>
            </w:r>
          </w:p>
        </w:tc>
      </w:tr>
    </w:tbl>
    <w:p w14:paraId="00AC9D76" w14:textId="718C60CE" w:rsidR="00196698" w:rsidRPr="000C23A9" w:rsidRDefault="00196698" w:rsidP="00196698">
      <w:pPr>
        <w:pStyle w:val="Artculo"/>
        <w:ind w:left="0"/>
        <w:outlineLvl w:val="2"/>
        <w:rPr>
          <w:b w:val="0"/>
        </w:rPr>
      </w:pPr>
      <w:r>
        <w:t xml:space="preserve">Modificar el artículo 17 de la Resolución CREG 024 de 2021. </w:t>
      </w:r>
      <w:r w:rsidRPr="00A71EA8">
        <w:rPr>
          <w:b w:val="0"/>
        </w:rPr>
        <w:t xml:space="preserve">El artículo </w:t>
      </w:r>
      <w:r>
        <w:rPr>
          <w:b w:val="0"/>
        </w:rPr>
        <w:t>17</w:t>
      </w:r>
      <w:r w:rsidRPr="00A71EA8">
        <w:rPr>
          <w:b w:val="0"/>
        </w:rPr>
        <w:t xml:space="preserve"> de la Resolución CREG </w:t>
      </w:r>
      <w:r w:rsidRPr="009650C2">
        <w:rPr>
          <w:b w:val="0"/>
        </w:rPr>
        <w:t>024 de 2021</w:t>
      </w:r>
      <w:r w:rsidRPr="00A71EA8">
        <w:rPr>
          <w:b w:val="0"/>
        </w:rPr>
        <w:t xml:space="preserve"> quedará así:</w:t>
      </w:r>
    </w:p>
    <w:p w14:paraId="07F755D4" w14:textId="6235C018" w:rsidR="00196698" w:rsidRPr="00196698" w:rsidRDefault="00196698" w:rsidP="00196698">
      <w:pPr>
        <w:pStyle w:val="Artculo"/>
        <w:numPr>
          <w:ilvl w:val="0"/>
          <w:numId w:val="0"/>
        </w:numPr>
        <w:spacing w:before="180" w:after="180"/>
        <w:ind w:left="567"/>
        <w:outlineLvl w:val="2"/>
        <w:rPr>
          <w:b w:val="0"/>
          <w:i/>
          <w:iCs/>
          <w:sz w:val="22"/>
          <w:szCs w:val="22"/>
        </w:rPr>
      </w:pPr>
      <w:r w:rsidRPr="00196698">
        <w:rPr>
          <w:bCs/>
          <w:i/>
          <w:iCs/>
          <w:sz w:val="22"/>
          <w:szCs w:val="22"/>
        </w:rPr>
        <w:t>Artículo 17. Senda de reducción de pérdidas</w:t>
      </w:r>
      <w:r w:rsidRPr="00196698">
        <w:rPr>
          <w:b w:val="0"/>
          <w:i/>
          <w:iCs/>
          <w:sz w:val="22"/>
          <w:szCs w:val="22"/>
        </w:rPr>
        <w:t>. El índice de pérdidas totales del mercado al inicio del plan, IPT</w:t>
      </w:r>
      <w:r w:rsidRPr="00196698">
        <w:rPr>
          <w:b w:val="0"/>
          <w:i/>
          <w:iCs/>
          <w:sz w:val="22"/>
          <w:szCs w:val="22"/>
          <w:vertAlign w:val="subscript"/>
        </w:rPr>
        <w:t>j,0</w:t>
      </w:r>
      <w:r w:rsidRPr="00196698">
        <w:rPr>
          <w:b w:val="0"/>
          <w:i/>
          <w:iCs/>
          <w:sz w:val="22"/>
          <w:szCs w:val="22"/>
        </w:rPr>
        <w:t>, y e</w:t>
      </w:r>
      <w:r w:rsidRPr="00196698">
        <w:rPr>
          <w:b w:val="0"/>
          <w:bCs/>
          <w:i/>
          <w:iCs/>
          <w:sz w:val="22"/>
          <w:szCs w:val="22"/>
        </w:rPr>
        <w:t xml:space="preserve">l índice de pérdidas totales al final de la senda </w:t>
      </w:r>
      <w:r w:rsidRPr="00196698">
        <w:rPr>
          <w:b w:val="0"/>
          <w:i/>
          <w:iCs/>
          <w:sz w:val="22"/>
          <w:szCs w:val="22"/>
        </w:rPr>
        <w:t xml:space="preserve">son los siguientes: </w:t>
      </w:r>
    </w:p>
    <w:p w14:paraId="36A45DEA" w14:textId="6B1E59BD" w:rsidR="00196698" w:rsidRPr="00196698" w:rsidRDefault="00196698" w:rsidP="00196698">
      <w:pPr>
        <w:ind w:left="567"/>
        <w:jc w:val="center"/>
        <w:rPr>
          <w:i/>
          <w:iCs/>
          <w:sz w:val="22"/>
          <w:szCs w:val="22"/>
        </w:rPr>
      </w:pPr>
      <w:bookmarkStart w:id="16" w:name="_Ref65588548"/>
      <w:r w:rsidRPr="00196698">
        <w:rPr>
          <w:i/>
          <w:iCs/>
          <w:sz w:val="22"/>
          <w:szCs w:val="22"/>
        </w:rPr>
        <w:t xml:space="preserve">Tabla </w:t>
      </w:r>
      <w:bookmarkEnd w:id="16"/>
      <w:r>
        <w:rPr>
          <w:i/>
          <w:iCs/>
          <w:sz w:val="22"/>
          <w:szCs w:val="22"/>
        </w:rPr>
        <w:t>21</w:t>
      </w:r>
      <w:r w:rsidRPr="00196698">
        <w:rPr>
          <w:i/>
          <w:iCs/>
          <w:sz w:val="22"/>
          <w:szCs w:val="22"/>
        </w:rPr>
        <w:t xml:space="preserve"> Índices de referencia para la senda de reducción de pérdidas </w:t>
      </w:r>
    </w:p>
    <w:tbl>
      <w:tblPr>
        <w:tblW w:w="3880" w:type="dxa"/>
        <w:jc w:val="center"/>
        <w:tblCellMar>
          <w:left w:w="70" w:type="dxa"/>
          <w:right w:w="70" w:type="dxa"/>
        </w:tblCellMar>
        <w:tblLook w:val="04A0" w:firstRow="1" w:lastRow="0" w:firstColumn="1" w:lastColumn="0" w:noHBand="0" w:noVBand="1"/>
      </w:tblPr>
      <w:tblGrid>
        <w:gridCol w:w="1900"/>
        <w:gridCol w:w="1980"/>
      </w:tblGrid>
      <w:tr w:rsidR="00196698" w:rsidRPr="00196698" w14:paraId="037CC334" w14:textId="77777777" w:rsidTr="00196698">
        <w:trPr>
          <w:trHeight w:val="255"/>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B59A"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4A5B0CF"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Valor</w:t>
            </w:r>
          </w:p>
        </w:tc>
      </w:tr>
      <w:tr w:rsidR="00196698" w:rsidRPr="00196698" w14:paraId="7D8196C1" w14:textId="77777777" w:rsidTr="00196698">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45958BC" w14:textId="77777777" w:rsidR="00196698" w:rsidRPr="00196698" w:rsidRDefault="00196698" w:rsidP="00196698">
            <w:pPr>
              <w:spacing w:before="0" w:after="0"/>
              <w:jc w:val="center"/>
              <w:rPr>
                <w:rFonts w:cs="Arial"/>
                <w:i/>
                <w:iCs/>
                <w:sz w:val="18"/>
                <w:szCs w:val="18"/>
                <w:lang w:val="es-CO" w:eastAsia="es-CO"/>
              </w:rPr>
            </w:pPr>
            <w:r w:rsidRPr="00196698">
              <w:rPr>
                <w:rFonts w:cs="Arial"/>
                <w:i/>
                <w:iCs/>
                <w:sz w:val="18"/>
                <w:szCs w:val="18"/>
                <w:lang w:val="es-CO" w:eastAsia="es-CO"/>
              </w:rPr>
              <w:t>IPT</w:t>
            </w:r>
            <w:r w:rsidRPr="00196698">
              <w:rPr>
                <w:rFonts w:cs="Arial"/>
                <w:i/>
                <w:iCs/>
                <w:sz w:val="18"/>
                <w:szCs w:val="18"/>
                <w:vertAlign w:val="subscript"/>
                <w:lang w:val="es-CO" w:eastAsia="es-CO"/>
              </w:rPr>
              <w:t>j,0</w:t>
            </w:r>
          </w:p>
        </w:tc>
        <w:tc>
          <w:tcPr>
            <w:tcW w:w="1980" w:type="dxa"/>
            <w:tcBorders>
              <w:top w:val="nil"/>
              <w:left w:val="nil"/>
              <w:bottom w:val="single" w:sz="4" w:space="0" w:color="auto"/>
              <w:right w:val="single" w:sz="4" w:space="0" w:color="auto"/>
            </w:tcBorders>
            <w:shd w:val="clear" w:color="auto" w:fill="auto"/>
            <w:noWrap/>
            <w:vAlign w:val="center"/>
            <w:hideMark/>
          </w:tcPr>
          <w:p w14:paraId="52AE2300" w14:textId="77777777" w:rsidR="00196698" w:rsidRPr="00196698" w:rsidRDefault="00196698" w:rsidP="00196698">
            <w:pPr>
              <w:spacing w:before="0" w:after="0"/>
              <w:jc w:val="right"/>
              <w:rPr>
                <w:rFonts w:cs="Arial"/>
                <w:sz w:val="18"/>
                <w:szCs w:val="18"/>
                <w:lang w:val="es-CO" w:eastAsia="es-CO"/>
              </w:rPr>
            </w:pPr>
            <w:r w:rsidRPr="00196698">
              <w:rPr>
                <w:rFonts w:cs="Arial"/>
                <w:sz w:val="18"/>
                <w:szCs w:val="18"/>
                <w:lang w:val="es-CO" w:eastAsia="es-CO"/>
              </w:rPr>
              <w:t>27,21%</w:t>
            </w:r>
          </w:p>
        </w:tc>
      </w:tr>
      <w:tr w:rsidR="00196698" w:rsidRPr="00196698" w14:paraId="7CA1A7C3" w14:textId="77777777" w:rsidTr="00196698">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F816F8F" w14:textId="77777777" w:rsidR="00196698" w:rsidRPr="00196698" w:rsidRDefault="00196698" w:rsidP="00196698">
            <w:pPr>
              <w:spacing w:before="0" w:after="0"/>
              <w:jc w:val="center"/>
              <w:rPr>
                <w:rFonts w:cs="Arial"/>
                <w:i/>
                <w:iCs/>
                <w:sz w:val="18"/>
                <w:szCs w:val="18"/>
                <w:lang w:val="es-CO" w:eastAsia="es-CO"/>
              </w:rPr>
            </w:pPr>
            <w:r w:rsidRPr="00196698">
              <w:rPr>
                <w:rFonts w:cs="Arial"/>
                <w:i/>
                <w:iCs/>
                <w:sz w:val="18"/>
                <w:szCs w:val="18"/>
                <w:lang w:val="es-CO" w:eastAsia="es-CO"/>
              </w:rPr>
              <w:t>IPTS</w:t>
            </w:r>
            <w:r w:rsidRPr="00196698">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53A1AE1E" w14:textId="77777777" w:rsidR="00196698" w:rsidRPr="00196698" w:rsidRDefault="00196698" w:rsidP="00196698">
            <w:pPr>
              <w:spacing w:before="0" w:after="0"/>
              <w:jc w:val="right"/>
              <w:rPr>
                <w:rFonts w:cs="Arial"/>
                <w:sz w:val="18"/>
                <w:szCs w:val="18"/>
                <w:lang w:val="es-CO" w:eastAsia="es-CO"/>
              </w:rPr>
            </w:pPr>
            <w:r w:rsidRPr="00196698">
              <w:rPr>
                <w:rFonts w:cs="Arial"/>
                <w:sz w:val="18"/>
                <w:szCs w:val="18"/>
                <w:lang w:val="es-CO" w:eastAsia="es-CO"/>
              </w:rPr>
              <w:t>16.28%</w:t>
            </w:r>
          </w:p>
        </w:tc>
      </w:tr>
    </w:tbl>
    <w:p w14:paraId="04C8DC54" w14:textId="5896E2E8" w:rsidR="00196698" w:rsidRPr="000C23A9" w:rsidRDefault="00196698" w:rsidP="00196698">
      <w:pPr>
        <w:pStyle w:val="Artculo"/>
        <w:ind w:left="0"/>
        <w:outlineLvl w:val="2"/>
        <w:rPr>
          <w:b w:val="0"/>
        </w:rPr>
      </w:pPr>
      <w:r>
        <w:t xml:space="preserve">Modificar el artículo 18 de la Resolución CREG 024 de 2021. </w:t>
      </w:r>
      <w:r w:rsidRPr="00A71EA8">
        <w:rPr>
          <w:b w:val="0"/>
        </w:rPr>
        <w:t xml:space="preserve">El artículo </w:t>
      </w:r>
      <w:r>
        <w:rPr>
          <w:b w:val="0"/>
        </w:rPr>
        <w:t>18</w:t>
      </w:r>
      <w:r w:rsidRPr="00A71EA8">
        <w:rPr>
          <w:b w:val="0"/>
        </w:rPr>
        <w:t xml:space="preserve"> de la Resolución CREG </w:t>
      </w:r>
      <w:r w:rsidRPr="009650C2">
        <w:rPr>
          <w:b w:val="0"/>
        </w:rPr>
        <w:t>024 de 2021</w:t>
      </w:r>
      <w:r w:rsidRPr="00A71EA8">
        <w:rPr>
          <w:b w:val="0"/>
        </w:rPr>
        <w:t xml:space="preserve"> quedará así:</w:t>
      </w:r>
    </w:p>
    <w:p w14:paraId="2FDF815C" w14:textId="5D3FD132" w:rsidR="00196698" w:rsidRPr="00196698" w:rsidRDefault="00196698" w:rsidP="00196698">
      <w:pPr>
        <w:pStyle w:val="Artculo"/>
        <w:keepNext/>
        <w:numPr>
          <w:ilvl w:val="0"/>
          <w:numId w:val="0"/>
        </w:numPr>
        <w:spacing w:before="180" w:after="180"/>
        <w:ind w:left="567"/>
        <w:outlineLvl w:val="2"/>
        <w:rPr>
          <w:b w:val="0"/>
          <w:i/>
          <w:iCs/>
          <w:sz w:val="22"/>
          <w:szCs w:val="22"/>
        </w:rPr>
      </w:pPr>
      <w:r w:rsidRPr="00196698">
        <w:rPr>
          <w:i/>
          <w:iCs/>
          <w:sz w:val="22"/>
          <w:szCs w:val="22"/>
        </w:rPr>
        <w:t xml:space="preserve">Artículo 18. Costo anual del plan de gestión de pérdidas. </w:t>
      </w:r>
      <w:r w:rsidRPr="00196698">
        <w:rPr>
          <w:b w:val="0"/>
          <w:i/>
          <w:iCs/>
          <w:sz w:val="22"/>
          <w:szCs w:val="22"/>
        </w:rPr>
        <w:t>El costo anual del plan de gestión de pérdidas, CAP</w:t>
      </w:r>
      <w:r w:rsidRPr="00196698">
        <w:rPr>
          <w:b w:val="0"/>
          <w:i/>
          <w:iCs/>
          <w:sz w:val="22"/>
          <w:szCs w:val="22"/>
          <w:vertAlign w:val="subscript"/>
        </w:rPr>
        <w:t>j</w:t>
      </w:r>
      <w:r w:rsidRPr="00196698">
        <w:rPr>
          <w:b w:val="0"/>
          <w:i/>
          <w:iCs/>
          <w:sz w:val="22"/>
          <w:szCs w:val="22"/>
        </w:rPr>
        <w:t>, es el siguiente:</w:t>
      </w:r>
    </w:p>
    <w:p w14:paraId="2C726CA2" w14:textId="154585AE" w:rsidR="00196698" w:rsidRPr="00196698" w:rsidRDefault="00196698" w:rsidP="00196698">
      <w:pPr>
        <w:pStyle w:val="Descripcin"/>
        <w:ind w:left="567"/>
        <w:rPr>
          <w:i/>
          <w:iCs/>
          <w:sz w:val="20"/>
          <w:szCs w:val="18"/>
        </w:rPr>
      </w:pPr>
      <w:r w:rsidRPr="00196698">
        <w:rPr>
          <w:i/>
          <w:iCs/>
          <w:sz w:val="20"/>
          <w:szCs w:val="18"/>
        </w:rPr>
        <w:t xml:space="preserve">Tabla </w:t>
      </w:r>
      <w:r>
        <w:rPr>
          <w:i/>
          <w:iCs/>
          <w:sz w:val="20"/>
          <w:szCs w:val="18"/>
        </w:rPr>
        <w:t>22</w:t>
      </w:r>
      <w:r w:rsidRPr="00196698">
        <w:rPr>
          <w:i/>
          <w:iCs/>
          <w:sz w:val="20"/>
          <w:szCs w:val="18"/>
        </w:rPr>
        <w:t xml:space="preserve"> Costo anual del plan de gestión de pérdidas</w:t>
      </w:r>
    </w:p>
    <w:tbl>
      <w:tblPr>
        <w:tblW w:w="3880" w:type="dxa"/>
        <w:jc w:val="center"/>
        <w:tblCellMar>
          <w:left w:w="70" w:type="dxa"/>
          <w:right w:w="70" w:type="dxa"/>
        </w:tblCellMar>
        <w:tblLook w:val="04A0" w:firstRow="1" w:lastRow="0" w:firstColumn="1" w:lastColumn="0" w:noHBand="0" w:noVBand="1"/>
      </w:tblPr>
      <w:tblGrid>
        <w:gridCol w:w="1900"/>
        <w:gridCol w:w="1980"/>
      </w:tblGrid>
      <w:tr w:rsidR="00196698" w:rsidRPr="00196698" w14:paraId="086231F8" w14:textId="77777777" w:rsidTr="00196698">
        <w:trPr>
          <w:trHeight w:val="480"/>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B5AF1"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D8CA9FE"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Pesos de diciembre de 2017</w:t>
            </w:r>
          </w:p>
        </w:tc>
      </w:tr>
      <w:tr w:rsidR="00196698" w:rsidRPr="00196698" w14:paraId="5BD8904A" w14:textId="77777777" w:rsidTr="00196698">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A23AF84" w14:textId="77777777" w:rsidR="00196698" w:rsidRPr="00196698" w:rsidRDefault="00196698" w:rsidP="00196698">
            <w:pPr>
              <w:spacing w:before="0" w:after="0"/>
              <w:jc w:val="center"/>
              <w:rPr>
                <w:rFonts w:cs="Arial"/>
                <w:i/>
                <w:iCs/>
                <w:sz w:val="18"/>
                <w:szCs w:val="18"/>
                <w:lang w:val="es-CO" w:eastAsia="es-CO"/>
              </w:rPr>
            </w:pPr>
            <w:r w:rsidRPr="00196698">
              <w:rPr>
                <w:rFonts w:cs="Arial"/>
                <w:i/>
                <w:iCs/>
                <w:sz w:val="18"/>
                <w:szCs w:val="18"/>
                <w:lang w:val="es-CO" w:eastAsia="es-CO"/>
              </w:rPr>
              <w:t>CAP</w:t>
            </w:r>
            <w:r w:rsidRPr="00196698">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06112C2E" w14:textId="77777777" w:rsidR="00196698" w:rsidRPr="00196698" w:rsidRDefault="00196698" w:rsidP="00196698">
            <w:pPr>
              <w:spacing w:before="0" w:after="0"/>
              <w:jc w:val="right"/>
              <w:rPr>
                <w:rFonts w:cs="Arial"/>
                <w:sz w:val="18"/>
                <w:szCs w:val="18"/>
                <w:lang w:val="es-CO" w:eastAsia="es-CO"/>
              </w:rPr>
            </w:pPr>
            <w:r w:rsidRPr="00196698">
              <w:rPr>
                <w:rFonts w:cs="Arial"/>
                <w:sz w:val="18"/>
                <w:szCs w:val="18"/>
                <w:lang w:val="es-CO" w:eastAsia="es-CO"/>
              </w:rPr>
              <w:t>87.410.184.440</w:t>
            </w:r>
          </w:p>
        </w:tc>
      </w:tr>
    </w:tbl>
    <w:p w14:paraId="0518DAB4" w14:textId="5019C920" w:rsidR="00196698" w:rsidRPr="000C23A9" w:rsidRDefault="00196698" w:rsidP="00196698">
      <w:pPr>
        <w:pStyle w:val="Artculo"/>
        <w:ind w:left="0"/>
        <w:outlineLvl w:val="2"/>
        <w:rPr>
          <w:b w:val="0"/>
        </w:rPr>
      </w:pPr>
      <w:r>
        <w:t xml:space="preserve">Modificar el artículo 19 de la Resolución CREG 024 de 2021. </w:t>
      </w:r>
      <w:r w:rsidRPr="00A71EA8">
        <w:rPr>
          <w:b w:val="0"/>
        </w:rPr>
        <w:t xml:space="preserve">El artículo </w:t>
      </w:r>
      <w:r>
        <w:rPr>
          <w:b w:val="0"/>
        </w:rPr>
        <w:t>19</w:t>
      </w:r>
      <w:r w:rsidRPr="00A71EA8">
        <w:rPr>
          <w:b w:val="0"/>
        </w:rPr>
        <w:t xml:space="preserve"> de la Resolución CREG </w:t>
      </w:r>
      <w:r w:rsidRPr="009650C2">
        <w:rPr>
          <w:b w:val="0"/>
        </w:rPr>
        <w:t>024 de 2021</w:t>
      </w:r>
      <w:r w:rsidRPr="00A71EA8">
        <w:rPr>
          <w:b w:val="0"/>
        </w:rPr>
        <w:t xml:space="preserve"> quedará así:</w:t>
      </w:r>
    </w:p>
    <w:p w14:paraId="1671E60F" w14:textId="669D7EDF" w:rsidR="00196698" w:rsidRPr="00196698" w:rsidRDefault="00196698" w:rsidP="00196698">
      <w:pPr>
        <w:pStyle w:val="Artculo"/>
        <w:numPr>
          <w:ilvl w:val="0"/>
          <w:numId w:val="0"/>
        </w:numPr>
        <w:spacing w:before="180" w:after="180"/>
        <w:ind w:left="567"/>
        <w:outlineLvl w:val="2"/>
        <w:rPr>
          <w:b w:val="0"/>
          <w:i/>
          <w:iCs/>
          <w:sz w:val="22"/>
          <w:szCs w:val="22"/>
        </w:rPr>
      </w:pPr>
      <w:r w:rsidRPr="00196698">
        <w:rPr>
          <w:i/>
          <w:iCs/>
          <w:sz w:val="22"/>
          <w:szCs w:val="22"/>
        </w:rPr>
        <w:t xml:space="preserve">Artículo 19 Costo de las inversiones en activos que no son clasificables como UC. </w:t>
      </w:r>
      <w:r w:rsidRPr="00196698">
        <w:rPr>
          <w:b w:val="0"/>
          <w:i/>
          <w:iCs/>
          <w:sz w:val="22"/>
          <w:szCs w:val="22"/>
        </w:rPr>
        <w:t>El costo de las inversiones en activos que no son clasificables como unidades constructivas, INVNUC</w:t>
      </w:r>
      <w:r w:rsidRPr="00196698">
        <w:rPr>
          <w:b w:val="0"/>
          <w:i/>
          <w:iCs/>
          <w:sz w:val="22"/>
          <w:szCs w:val="22"/>
          <w:vertAlign w:val="subscript"/>
        </w:rPr>
        <w:t>j</w:t>
      </w:r>
      <w:r w:rsidRPr="00196698">
        <w:rPr>
          <w:b w:val="0"/>
          <w:i/>
          <w:iCs/>
          <w:sz w:val="22"/>
          <w:szCs w:val="22"/>
        </w:rPr>
        <w:t>, es el siguiente:</w:t>
      </w:r>
    </w:p>
    <w:p w14:paraId="2A93784F" w14:textId="3FC19E52" w:rsidR="00196698" w:rsidRDefault="00196698" w:rsidP="00196698">
      <w:pPr>
        <w:pStyle w:val="Descripcin"/>
        <w:ind w:left="567"/>
        <w:rPr>
          <w:i/>
          <w:iCs/>
          <w:sz w:val="20"/>
          <w:szCs w:val="18"/>
        </w:rPr>
      </w:pPr>
      <w:r w:rsidRPr="00196698">
        <w:rPr>
          <w:i/>
          <w:iCs/>
          <w:sz w:val="20"/>
          <w:szCs w:val="18"/>
        </w:rPr>
        <w:t>Tabla 23 Costo de inversiones en activos no clasificables como UC</w:t>
      </w:r>
    </w:p>
    <w:tbl>
      <w:tblPr>
        <w:tblW w:w="3880" w:type="dxa"/>
        <w:jc w:val="center"/>
        <w:tblCellMar>
          <w:left w:w="70" w:type="dxa"/>
          <w:right w:w="70" w:type="dxa"/>
        </w:tblCellMar>
        <w:tblLook w:val="04A0" w:firstRow="1" w:lastRow="0" w:firstColumn="1" w:lastColumn="0" w:noHBand="0" w:noVBand="1"/>
      </w:tblPr>
      <w:tblGrid>
        <w:gridCol w:w="1900"/>
        <w:gridCol w:w="1980"/>
      </w:tblGrid>
      <w:tr w:rsidR="00196698" w:rsidRPr="00196698" w14:paraId="7D3B4740" w14:textId="77777777" w:rsidTr="00196698">
        <w:trPr>
          <w:trHeight w:val="480"/>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30A87"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6467CD49" w14:textId="77777777" w:rsidR="00196698" w:rsidRPr="00196698" w:rsidRDefault="00196698" w:rsidP="00196698">
            <w:pPr>
              <w:spacing w:before="0" w:after="0"/>
              <w:jc w:val="center"/>
              <w:rPr>
                <w:rFonts w:cs="Arial"/>
                <w:b/>
                <w:bCs/>
                <w:sz w:val="18"/>
                <w:szCs w:val="18"/>
                <w:lang w:val="es-CO" w:eastAsia="es-CO"/>
              </w:rPr>
            </w:pPr>
            <w:r w:rsidRPr="00196698">
              <w:rPr>
                <w:rFonts w:cs="Arial"/>
                <w:b/>
                <w:bCs/>
                <w:sz w:val="18"/>
                <w:szCs w:val="18"/>
                <w:lang w:val="es-CO" w:eastAsia="es-CO"/>
              </w:rPr>
              <w:t>Pesos de diciembre de 2017</w:t>
            </w:r>
          </w:p>
        </w:tc>
      </w:tr>
      <w:tr w:rsidR="00196698" w:rsidRPr="00196698" w14:paraId="154F76AF" w14:textId="77777777" w:rsidTr="00196698">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6296B5E" w14:textId="77777777" w:rsidR="00196698" w:rsidRPr="00196698" w:rsidRDefault="00196698" w:rsidP="00196698">
            <w:pPr>
              <w:spacing w:before="0" w:after="0"/>
              <w:jc w:val="center"/>
              <w:rPr>
                <w:rFonts w:cs="Arial"/>
                <w:i/>
                <w:iCs/>
                <w:sz w:val="18"/>
                <w:szCs w:val="18"/>
                <w:lang w:val="es-CO" w:eastAsia="es-CO"/>
              </w:rPr>
            </w:pPr>
            <w:r w:rsidRPr="00196698">
              <w:rPr>
                <w:rFonts w:cs="Arial"/>
                <w:i/>
                <w:iCs/>
                <w:sz w:val="18"/>
                <w:szCs w:val="18"/>
                <w:lang w:val="es-CO" w:eastAsia="es-CO"/>
              </w:rPr>
              <w:t>INVNUC</w:t>
            </w:r>
            <w:r w:rsidRPr="00196698">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5E08DE92" w14:textId="77777777" w:rsidR="00196698" w:rsidRPr="00196698" w:rsidRDefault="00196698" w:rsidP="00196698">
            <w:pPr>
              <w:spacing w:before="0" w:after="0"/>
              <w:jc w:val="right"/>
              <w:rPr>
                <w:rFonts w:cs="Arial"/>
                <w:sz w:val="18"/>
                <w:szCs w:val="18"/>
                <w:lang w:val="es-CO" w:eastAsia="es-CO"/>
              </w:rPr>
            </w:pPr>
            <w:r w:rsidRPr="00196698">
              <w:rPr>
                <w:rFonts w:cs="Arial"/>
                <w:sz w:val="18"/>
                <w:szCs w:val="18"/>
                <w:lang w:val="es-CO" w:eastAsia="es-CO"/>
              </w:rPr>
              <w:t>767.324.000.000</w:t>
            </w:r>
          </w:p>
        </w:tc>
      </w:tr>
    </w:tbl>
    <w:p w14:paraId="56DD0E64" w14:textId="525E4048" w:rsidR="00793FA6" w:rsidRPr="0019345E" w:rsidRDefault="00F91043" w:rsidP="00C86023">
      <w:pPr>
        <w:pStyle w:val="Artculo"/>
        <w:ind w:left="0"/>
        <w:rPr>
          <w:b w:val="0"/>
        </w:rPr>
      </w:pPr>
      <w:r w:rsidRPr="0019345E">
        <w:rPr>
          <w:b w:val="0"/>
        </w:rPr>
        <w:t xml:space="preserve">La presente </w:t>
      </w:r>
      <w:r w:rsidR="00860944">
        <w:rPr>
          <w:b w:val="0"/>
        </w:rPr>
        <w:t>r</w:t>
      </w:r>
      <w:r w:rsidRPr="0019345E">
        <w:rPr>
          <w:b w:val="0"/>
        </w:rPr>
        <w:t>esolución deberá notificarse a</w:t>
      </w:r>
      <w:r w:rsidR="00F46347">
        <w:rPr>
          <w:b w:val="0"/>
        </w:rPr>
        <w:t>l representante legal de</w:t>
      </w:r>
      <w:r w:rsidRPr="0019345E">
        <w:rPr>
          <w:b w:val="0"/>
        </w:rPr>
        <w:t xml:space="preserve"> </w:t>
      </w:r>
      <w:r w:rsidR="0019461B" w:rsidRPr="0019461B">
        <w:rPr>
          <w:b w:val="0"/>
          <w:bCs/>
        </w:rPr>
        <w:t xml:space="preserve">la </w:t>
      </w:r>
      <w:r w:rsidR="00860944">
        <w:rPr>
          <w:b w:val="0"/>
          <w:bCs/>
        </w:rPr>
        <w:t xml:space="preserve">empresa </w:t>
      </w:r>
      <w:r w:rsidR="00860944" w:rsidRPr="00860944">
        <w:rPr>
          <w:b w:val="0"/>
          <w:bCs/>
        </w:rPr>
        <w:t>AIR</w:t>
      </w:r>
      <w:r w:rsidR="00860944">
        <w:rPr>
          <w:b w:val="0"/>
          <w:bCs/>
        </w:rPr>
        <w:t>-</w:t>
      </w:r>
      <w:r w:rsidR="00860944" w:rsidRPr="00860944">
        <w:rPr>
          <w:b w:val="0"/>
          <w:bCs/>
        </w:rPr>
        <w:t>E S.A.S</w:t>
      </w:r>
      <w:r w:rsidR="008819D0">
        <w:rPr>
          <w:b w:val="0"/>
          <w:bCs/>
        </w:rPr>
        <w:t>.</w:t>
      </w:r>
      <w:r w:rsidR="00860944" w:rsidRPr="00860944">
        <w:rPr>
          <w:b w:val="0"/>
          <w:bCs/>
        </w:rPr>
        <w:t xml:space="preserve"> E.S.P</w:t>
      </w:r>
      <w:r w:rsidRPr="0019345E">
        <w:rPr>
          <w:b w:val="0"/>
        </w:rPr>
        <w:t xml:space="preserve"> y publicarse en el </w:t>
      </w:r>
      <w:r w:rsidRPr="0019345E">
        <w:rPr>
          <w:b w:val="0"/>
          <w:i/>
        </w:rPr>
        <w:t>Diario Oficial</w:t>
      </w:r>
      <w:r w:rsidRPr="0019345E">
        <w:rPr>
          <w:b w:val="0"/>
        </w:rPr>
        <w:t xml:space="preserve">. </w:t>
      </w:r>
      <w:r w:rsidR="00DB77DF" w:rsidRPr="0019345E">
        <w:rPr>
          <w:b w:val="0"/>
        </w:rPr>
        <w:t xml:space="preserve">Contra lo dispuesto en este acto no procede </w:t>
      </w:r>
      <w:r w:rsidR="00DB77DF" w:rsidRPr="0019345E">
        <w:rPr>
          <w:b w:val="0"/>
          <w:bCs/>
          <w:lang w:val="es-CO"/>
        </w:rPr>
        <w:t>recurso alguno, toda vez que se entienden agotados todos los recursos que por ley son obligatorios.</w:t>
      </w:r>
    </w:p>
    <w:p w14:paraId="509827C2" w14:textId="5B504651" w:rsidR="001067D3" w:rsidRPr="00BF69C9" w:rsidRDefault="00585CF8" w:rsidP="00D62571">
      <w:pPr>
        <w:pStyle w:val="Artculo"/>
        <w:numPr>
          <w:ilvl w:val="0"/>
          <w:numId w:val="0"/>
        </w:numPr>
        <w:spacing w:before="360" w:after="360"/>
        <w:jc w:val="center"/>
        <w:rPr>
          <w:b w:val="0"/>
        </w:rPr>
      </w:pPr>
      <w:r>
        <w:t>NOTIF</w:t>
      </w:r>
      <w:r w:rsidR="00157B49">
        <w:t>Í</w:t>
      </w:r>
      <w:r>
        <w:t xml:space="preserve">QUESE, </w:t>
      </w:r>
      <w:r w:rsidR="001067D3" w:rsidRPr="00BF69C9">
        <w:t>PUBLÍQUESE Y CÚMPLASE</w:t>
      </w:r>
    </w:p>
    <w:p w14:paraId="6AA84D0C" w14:textId="5422DB8D" w:rsidR="007C127E" w:rsidRPr="000B5684" w:rsidRDefault="003343FE" w:rsidP="00344B9B">
      <w:pPr>
        <w:spacing w:before="240"/>
        <w:rPr>
          <w:b/>
          <w:bCs/>
        </w:rPr>
      </w:pPr>
      <w:r w:rsidRPr="00BF69C9">
        <w:t xml:space="preserve">Dado en Bogotá D.C., </w:t>
      </w:r>
      <w:r w:rsidR="000B5684" w:rsidRPr="000B5684">
        <w:rPr>
          <w:b/>
          <w:bCs/>
        </w:rPr>
        <w:t>24 JUN. 2021</w:t>
      </w:r>
    </w:p>
    <w:p w14:paraId="55A0C0EA" w14:textId="6052E21B" w:rsidR="003343FE" w:rsidRDefault="003343FE" w:rsidP="007C127E"/>
    <w:p w14:paraId="66B922DD" w14:textId="27E8395B" w:rsidR="0019461B" w:rsidRDefault="0019461B" w:rsidP="007C127E"/>
    <w:p w14:paraId="7840E807" w14:textId="77777777" w:rsidR="008819D0" w:rsidRDefault="008819D0" w:rsidP="007C127E"/>
    <w:tbl>
      <w:tblPr>
        <w:tblW w:w="9498" w:type="dxa"/>
        <w:jc w:val="center"/>
        <w:tblCellSpacing w:w="0" w:type="dxa"/>
        <w:tblCellMar>
          <w:left w:w="0" w:type="dxa"/>
          <w:right w:w="0" w:type="dxa"/>
        </w:tblCellMar>
        <w:tblLook w:val="04A0" w:firstRow="1" w:lastRow="0" w:firstColumn="1" w:lastColumn="0" w:noHBand="0" w:noVBand="1"/>
      </w:tblPr>
      <w:tblGrid>
        <w:gridCol w:w="4536"/>
        <w:gridCol w:w="4962"/>
      </w:tblGrid>
      <w:tr w:rsidR="00950BFC" w:rsidRPr="00BF69C9" w14:paraId="0364671F" w14:textId="77777777" w:rsidTr="008819D0">
        <w:trPr>
          <w:tblCellSpacing w:w="0" w:type="dxa"/>
          <w:jc w:val="center"/>
        </w:trPr>
        <w:tc>
          <w:tcPr>
            <w:tcW w:w="4536" w:type="dxa"/>
          </w:tcPr>
          <w:p w14:paraId="65DE2AD7" w14:textId="2995A5D7" w:rsidR="00950BFC" w:rsidRPr="00BF69C9" w:rsidRDefault="00BA3D71" w:rsidP="00894B89">
            <w:pPr>
              <w:spacing w:before="0" w:after="0"/>
              <w:ind w:left="66"/>
              <w:jc w:val="center"/>
              <w:rPr>
                <w:rFonts w:cs="Arial"/>
                <w:b/>
              </w:rPr>
            </w:pPr>
            <w:r>
              <w:rPr>
                <w:rFonts w:cs="Arial"/>
                <w:b/>
              </w:rPr>
              <w:t>MIGUEL LOTERO ROBLEDO</w:t>
            </w:r>
          </w:p>
        </w:tc>
        <w:tc>
          <w:tcPr>
            <w:tcW w:w="4962" w:type="dxa"/>
          </w:tcPr>
          <w:p w14:paraId="171E6063" w14:textId="044DB032" w:rsidR="00950BFC" w:rsidRPr="00BF69C9" w:rsidRDefault="00586135" w:rsidP="00DE7B7E">
            <w:pPr>
              <w:spacing w:before="0" w:after="0"/>
              <w:ind w:left="69"/>
              <w:jc w:val="center"/>
              <w:rPr>
                <w:rFonts w:cs="Arial"/>
                <w:b/>
              </w:rPr>
            </w:pPr>
            <w:r>
              <w:rPr>
                <w:rFonts w:cs="Arial"/>
                <w:b/>
              </w:rPr>
              <w:t xml:space="preserve">JORGE </w:t>
            </w:r>
            <w:r w:rsidR="008819D0">
              <w:rPr>
                <w:rFonts w:cs="Arial"/>
                <w:b/>
              </w:rPr>
              <w:t xml:space="preserve">ALBERTO </w:t>
            </w:r>
            <w:r>
              <w:rPr>
                <w:rFonts w:cs="Arial"/>
                <w:b/>
              </w:rPr>
              <w:t>VALENCIA MARÍN</w:t>
            </w:r>
          </w:p>
        </w:tc>
      </w:tr>
      <w:tr w:rsidR="00950BFC" w:rsidRPr="00BF69C9" w14:paraId="2768DC86" w14:textId="77777777" w:rsidTr="008819D0">
        <w:trPr>
          <w:tblCellSpacing w:w="0" w:type="dxa"/>
          <w:jc w:val="center"/>
        </w:trPr>
        <w:tc>
          <w:tcPr>
            <w:tcW w:w="4536" w:type="dxa"/>
            <w:hideMark/>
          </w:tcPr>
          <w:p w14:paraId="3DD4C9BB" w14:textId="71676DB2" w:rsidR="00950BFC" w:rsidRPr="00BF69C9" w:rsidRDefault="00BA3D71" w:rsidP="00894B89">
            <w:pPr>
              <w:spacing w:before="0" w:after="0"/>
              <w:ind w:left="66"/>
              <w:jc w:val="center"/>
              <w:rPr>
                <w:rFonts w:eastAsia="Arial Unicode MS" w:cs="Arial"/>
                <w:color w:val="000000"/>
              </w:rPr>
            </w:pPr>
            <w:r>
              <w:rPr>
                <w:rFonts w:cs="Arial"/>
              </w:rPr>
              <w:t>Vicem</w:t>
            </w:r>
            <w:r w:rsidR="00950BFC" w:rsidRPr="00BF69C9">
              <w:rPr>
                <w:rFonts w:cs="Arial"/>
              </w:rPr>
              <w:t>inistr</w:t>
            </w:r>
            <w:r w:rsidR="00D85092">
              <w:rPr>
                <w:rFonts w:cs="Arial"/>
              </w:rPr>
              <w:t>o</w:t>
            </w:r>
            <w:r w:rsidR="00950BFC" w:rsidRPr="00BF69C9">
              <w:rPr>
                <w:rFonts w:cs="Arial"/>
              </w:rPr>
              <w:t xml:space="preserve"> de </w:t>
            </w:r>
            <w:r w:rsidR="00D62571">
              <w:rPr>
                <w:rFonts w:cs="Arial"/>
              </w:rPr>
              <w:t>E</w:t>
            </w:r>
            <w:r>
              <w:rPr>
                <w:rFonts w:cs="Arial"/>
              </w:rPr>
              <w:t xml:space="preserve">nergía, </w:t>
            </w:r>
            <w:r w:rsidR="000364AC">
              <w:rPr>
                <w:rFonts w:cs="Arial"/>
              </w:rPr>
              <w:t xml:space="preserve">delegado del Ministro de </w:t>
            </w:r>
            <w:r w:rsidR="00950BFC" w:rsidRPr="00BF69C9">
              <w:rPr>
                <w:rFonts w:cs="Arial"/>
              </w:rPr>
              <w:t>Minas y Energía</w:t>
            </w:r>
          </w:p>
        </w:tc>
        <w:tc>
          <w:tcPr>
            <w:tcW w:w="4962"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8819D0">
        <w:trPr>
          <w:tblCellSpacing w:w="0" w:type="dxa"/>
          <w:jc w:val="center"/>
        </w:trPr>
        <w:tc>
          <w:tcPr>
            <w:tcW w:w="4536"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962"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847A87">
      <w:pPr>
        <w:spacing w:before="0" w:after="0"/>
        <w:rPr>
          <w:b/>
        </w:rPr>
      </w:pPr>
    </w:p>
    <w:sectPr w:rsidR="00950BFC" w:rsidRPr="00CF2A2D" w:rsidSect="00383A88">
      <w:headerReference w:type="default" r:id="rId12"/>
      <w:headerReference w:type="first" r:id="rId13"/>
      <w:type w:val="continuous"/>
      <w:pgSz w:w="12242" w:h="18722" w:code="123"/>
      <w:pgMar w:top="240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8EE4" w14:textId="77777777" w:rsidR="00911569" w:rsidRDefault="00911569">
      <w:r>
        <w:separator/>
      </w:r>
    </w:p>
    <w:p w14:paraId="2A369E7D" w14:textId="77777777" w:rsidR="00911569" w:rsidRDefault="00911569"/>
    <w:p w14:paraId="0C6AFD33" w14:textId="77777777" w:rsidR="00911569" w:rsidRDefault="00911569" w:rsidP="00C851C0"/>
  </w:endnote>
  <w:endnote w:type="continuationSeparator" w:id="0">
    <w:p w14:paraId="7938D347" w14:textId="77777777" w:rsidR="00911569" w:rsidRDefault="00911569">
      <w:r>
        <w:continuationSeparator/>
      </w:r>
    </w:p>
    <w:p w14:paraId="140E4933" w14:textId="77777777" w:rsidR="00911569" w:rsidRDefault="00911569"/>
    <w:p w14:paraId="031AED7E" w14:textId="77777777" w:rsidR="00911569" w:rsidRDefault="00911569"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9A4B" w14:textId="77777777" w:rsidR="00911569" w:rsidRDefault="00911569">
      <w:r>
        <w:separator/>
      </w:r>
    </w:p>
    <w:p w14:paraId="016FF65B" w14:textId="77777777" w:rsidR="00911569" w:rsidRDefault="00911569"/>
    <w:p w14:paraId="3F4AC2FF" w14:textId="77777777" w:rsidR="00911569" w:rsidRDefault="00911569" w:rsidP="00C851C0"/>
  </w:footnote>
  <w:footnote w:type="continuationSeparator" w:id="0">
    <w:p w14:paraId="311251CE" w14:textId="77777777" w:rsidR="00911569" w:rsidRDefault="00911569">
      <w:r>
        <w:continuationSeparator/>
      </w:r>
    </w:p>
    <w:p w14:paraId="26D90DA0" w14:textId="77777777" w:rsidR="00911569" w:rsidRDefault="00911569"/>
    <w:p w14:paraId="6FEC7908" w14:textId="77777777" w:rsidR="00911569" w:rsidRDefault="00911569"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19452BAA" w:rsidR="00566C12" w:rsidRPr="002560C5" w:rsidRDefault="00566C1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0B5684">
      <w:rPr>
        <w:rFonts w:cs="Arial"/>
        <w:bCs/>
        <w:szCs w:val="24"/>
        <w:u w:val="single"/>
      </w:rPr>
      <w:t xml:space="preserve"> </w:t>
    </w:r>
    <w:r w:rsidR="000B5684" w:rsidRPr="000B5684">
      <w:rPr>
        <w:rFonts w:cs="Arial"/>
        <w:bCs/>
        <w:szCs w:val="24"/>
        <w:u w:val="single"/>
      </w:rPr>
      <w:t>0</w:t>
    </w:r>
    <w:r w:rsidR="000B5684">
      <w:rPr>
        <w:rFonts w:cs="Arial"/>
        <w:bCs/>
        <w:szCs w:val="24"/>
        <w:u w:val="single"/>
      </w:rPr>
      <w:t>7</w:t>
    </w:r>
    <w:r w:rsidR="000B5684" w:rsidRPr="000B5684">
      <w:rPr>
        <w:rFonts w:cs="Arial"/>
        <w:bCs/>
        <w:szCs w:val="24"/>
        <w:u w:val="single"/>
      </w:rPr>
      <w:t>8</w:t>
    </w:r>
    <w:r w:rsidR="000B5684">
      <w:rPr>
        <w:rFonts w:cs="Arial"/>
        <w:b w:val="0"/>
        <w:sz w:val="22"/>
        <w:szCs w:val="22"/>
      </w:rPr>
      <w:t xml:space="preserve">  </w:t>
    </w:r>
    <w:r w:rsidRPr="002560C5">
      <w:rPr>
        <w:rFonts w:cs="Arial"/>
        <w:b w:val="0"/>
        <w:sz w:val="22"/>
        <w:szCs w:val="22"/>
      </w:rPr>
      <w:tab/>
      <w:t xml:space="preserve">DE </w:t>
    </w:r>
    <w:r w:rsidR="000B5684" w:rsidRPr="000B5684">
      <w:rPr>
        <w:rFonts w:cs="Arial"/>
        <w:bCs/>
        <w:szCs w:val="24"/>
        <w:u w:val="single"/>
      </w:rPr>
      <w:t>24 JUN. 2021</w:t>
    </w:r>
    <w:r w:rsidR="000B5684">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r w:rsidR="0015434B">
      <w:fldChar w:fldCharType="begin"/>
    </w:r>
    <w:r w:rsidR="0015434B">
      <w:instrText xml:space="preserve"> NUMPAGES  \* MERGEFORMAT </w:instrText>
    </w:r>
    <w:r w:rsidR="0015434B">
      <w:fldChar w:fldCharType="separate"/>
    </w:r>
    <w:r w:rsidRPr="005851B8">
      <w:rPr>
        <w:rFonts w:cs="Arial"/>
        <w:b w:val="0"/>
        <w:noProof/>
        <w:sz w:val="22"/>
        <w:szCs w:val="22"/>
      </w:rPr>
      <w:t>14</w:t>
    </w:r>
    <w:r w:rsidR="0015434B">
      <w:rPr>
        <w:rFonts w:cs="Arial"/>
        <w:b w:val="0"/>
        <w:noProof/>
        <w:sz w:val="22"/>
        <w:szCs w:val="22"/>
      </w:rPr>
      <w:fldChar w:fldCharType="end"/>
    </w:r>
  </w:p>
  <w:p w14:paraId="5EEBDD92" w14:textId="77777777" w:rsidR="00566C12" w:rsidRDefault="00566C1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CD2CD71">
              <wp:simplePos x="0" y="0"/>
              <wp:positionH relativeFrom="column">
                <wp:posOffset>-118110</wp:posOffset>
              </wp:positionH>
              <wp:positionV relativeFrom="paragraph">
                <wp:posOffset>138429</wp:posOffset>
              </wp:positionV>
              <wp:extent cx="6267450" cy="102584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58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F1A7" id="Rectangle 1" o:spid="_x0000_s1026" style="position:absolute;margin-left:-9.3pt;margin-top:10.9pt;width:493.5pt;height:8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" filled="f" strokeweight="1.5pt"/>
          </w:pict>
        </mc:Fallback>
      </mc:AlternateContent>
    </w:r>
  </w:p>
  <w:p w14:paraId="19A008AD" w14:textId="0D88A59D" w:rsidR="00566C12" w:rsidRPr="00F30572" w:rsidRDefault="00893E3A" w:rsidP="00893E3A">
    <w:pPr>
      <w:pBdr>
        <w:bottom w:val="single" w:sz="4" w:space="1" w:color="auto"/>
      </w:pBdr>
      <w:rPr>
        <w:sz w:val="22"/>
        <w:szCs w:val="22"/>
      </w:rPr>
    </w:pPr>
    <w:r w:rsidRPr="00893E3A">
      <w:rPr>
        <w:sz w:val="22"/>
        <w:szCs w:val="22"/>
      </w:rPr>
      <w:t>Por la cual se resuelve el recurso de reposición interpuesto por AIR E S.A.S E.S.P contra la Resolución CREG 024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566C12" w:rsidRDefault="00566C12"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66C12" w:rsidRDefault="00566C12">
    <w:pPr>
      <w:pStyle w:val="Encabezado"/>
      <w:jc w:val="center"/>
      <w:rPr>
        <w:rFonts w:ascii="Arial" w:hAnsi="Arial" w:cs="Arial"/>
        <w:spacing w:val="20"/>
        <w:sz w:val="20"/>
      </w:rPr>
    </w:pPr>
  </w:p>
  <w:p w14:paraId="1A5CD802" w14:textId="77777777" w:rsidR="00566C12" w:rsidRDefault="00566C1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501C9116">
              <wp:simplePos x="0" y="0"/>
              <wp:positionH relativeFrom="column">
                <wp:posOffset>-99061</wp:posOffset>
              </wp:positionH>
              <wp:positionV relativeFrom="paragraph">
                <wp:posOffset>257810</wp:posOffset>
              </wp:positionV>
              <wp:extent cx="62198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4B66" id="Rectangle 2" o:spid="_x0000_s1026" style="position:absolute;margin-left:-7.8pt;margin-top:20.3pt;width:489.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FF673B"/>
    <w:multiLevelType w:val="hybridMultilevel"/>
    <w:tmpl w:val="05B0A53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7A90871"/>
    <w:multiLevelType w:val="hybridMultilevel"/>
    <w:tmpl w:val="254675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716D81"/>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0C973196"/>
    <w:multiLevelType w:val="hybridMultilevel"/>
    <w:tmpl w:val="FB883EF0"/>
    <w:lvl w:ilvl="0" w:tplc="240A0005">
      <w:start w:val="1"/>
      <w:numFmt w:val="bullet"/>
      <w:lvlText w:val=""/>
      <w:lvlJc w:val="left"/>
      <w:pPr>
        <w:ind w:left="1571" w:hanging="360"/>
      </w:pPr>
      <w:rPr>
        <w:rFonts w:ascii="Wingdings" w:hAnsi="Wingdings"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7" w15:restartNumberingAfterBreak="0">
    <w:nsid w:val="0CDA396C"/>
    <w:multiLevelType w:val="hybridMultilevel"/>
    <w:tmpl w:val="E47AA87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F597815"/>
    <w:multiLevelType w:val="hybridMultilevel"/>
    <w:tmpl w:val="0240988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2F44159"/>
    <w:multiLevelType w:val="multilevel"/>
    <w:tmpl w:val="B75A6A9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1430"/>
        </w:tabs>
        <w:ind w:left="1430" w:hanging="720"/>
      </w:pPr>
      <w:rPr>
        <w:b/>
      </w:rPr>
    </w:lvl>
    <w:lvl w:ilvl="3">
      <w:start w:val="1"/>
      <w:numFmt w:val="decimal"/>
      <w:lvlText w:val="%1.%2.%3.%4"/>
      <w:lvlJc w:val="left"/>
      <w:pPr>
        <w:tabs>
          <w:tab w:val="num" w:pos="1005"/>
        </w:tabs>
        <w:ind w:left="1005" w:hanging="864"/>
      </w:pPr>
      <w:rPr>
        <w:color w:val="000000" w:themeColor="text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71718D"/>
    <w:multiLevelType w:val="hybridMultilevel"/>
    <w:tmpl w:val="DC0C4B7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7B94C6C"/>
    <w:multiLevelType w:val="hybridMultilevel"/>
    <w:tmpl w:val="1DA0D6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A76486F"/>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5" w15:restartNumberingAfterBreak="0">
    <w:nsid w:val="20353698"/>
    <w:multiLevelType w:val="hybridMultilevel"/>
    <w:tmpl w:val="3740DA6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20E37A2"/>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27355612"/>
    <w:multiLevelType w:val="hybridMultilevel"/>
    <w:tmpl w:val="951E29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9" w15:restartNumberingAfterBreak="0">
    <w:nsid w:val="2F534D2B"/>
    <w:multiLevelType w:val="hybridMultilevel"/>
    <w:tmpl w:val="69B81BD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C65DF2"/>
    <w:multiLevelType w:val="hybridMultilevel"/>
    <w:tmpl w:val="67E2DE8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CF351C"/>
    <w:multiLevelType w:val="hybridMultilevel"/>
    <w:tmpl w:val="8024711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4" w15:restartNumberingAfterBreak="0">
    <w:nsid w:val="4330416C"/>
    <w:multiLevelType w:val="hybridMultilevel"/>
    <w:tmpl w:val="75D0173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3C7643A"/>
    <w:multiLevelType w:val="multilevel"/>
    <w:tmpl w:val="A896EDA8"/>
    <w:lvl w:ilvl="0">
      <w:start w:val="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372F0B"/>
    <w:multiLevelType w:val="multilevel"/>
    <w:tmpl w:val="2A6CDC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0C602BD"/>
    <w:multiLevelType w:val="hybridMultilevel"/>
    <w:tmpl w:val="997EE44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1957547"/>
    <w:multiLevelType w:val="multilevel"/>
    <w:tmpl w:val="43C40B72"/>
    <w:lvl w:ilvl="0">
      <w:start w:val="3"/>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357" w:hanging="1080"/>
      </w:pPr>
      <w:rPr>
        <w:rFonts w:hint="default"/>
        <w:i/>
        <w:i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56C4DE9"/>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1"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DD02025"/>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5" w15:restartNumberingAfterBreak="0">
    <w:nsid w:val="6FE85773"/>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BC64BA"/>
    <w:multiLevelType w:val="hybridMultilevel"/>
    <w:tmpl w:val="7CC65BB8"/>
    <w:lvl w:ilvl="0" w:tplc="240A0005">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31"/>
  </w:num>
  <w:num w:numId="4">
    <w:abstractNumId w:val="27"/>
  </w:num>
  <w:num w:numId="5">
    <w:abstractNumId w:val="33"/>
  </w:num>
  <w:num w:numId="6">
    <w:abstractNumId w:val="20"/>
  </w:num>
  <w:num w:numId="7">
    <w:abstractNumId w:val="36"/>
  </w:num>
  <w:num w:numId="8">
    <w:abstractNumId w:val="10"/>
  </w:num>
  <w:num w:numId="9">
    <w:abstractNumId w:val="2"/>
  </w:num>
  <w:num w:numId="10">
    <w:abstractNumId w:val="34"/>
  </w:num>
  <w:num w:numId="11">
    <w:abstractNumId w:val="9"/>
  </w:num>
  <w:num w:numId="12">
    <w:abstractNumId w:val="12"/>
  </w:num>
  <w:num w:numId="13">
    <w:abstractNumId w:val="21"/>
  </w:num>
  <w:num w:numId="14">
    <w:abstractNumId w:val="29"/>
  </w:num>
  <w:num w:numId="15">
    <w:abstractNumId w:val="24"/>
  </w:num>
  <w:num w:numId="16">
    <w:abstractNumId w:val="11"/>
  </w:num>
  <w:num w:numId="17">
    <w:abstractNumId w:val="28"/>
  </w:num>
  <w:num w:numId="18">
    <w:abstractNumId w:val="7"/>
  </w:num>
  <w:num w:numId="19">
    <w:abstractNumId w:val="5"/>
  </w:num>
  <w:num w:numId="20">
    <w:abstractNumId w:val="35"/>
  </w:num>
  <w:num w:numId="21">
    <w:abstractNumId w:val="16"/>
  </w:num>
  <w:num w:numId="22">
    <w:abstractNumId w:val="19"/>
  </w:num>
  <w:num w:numId="23">
    <w:abstractNumId w:val="13"/>
  </w:num>
  <w:num w:numId="24">
    <w:abstractNumId w:val="26"/>
  </w:num>
  <w:num w:numId="25">
    <w:abstractNumId w:val="3"/>
  </w:num>
  <w:num w:numId="26">
    <w:abstractNumId w:val="25"/>
  </w:num>
  <w:num w:numId="27">
    <w:abstractNumId w:val="33"/>
  </w:num>
  <w:num w:numId="28">
    <w:abstractNumId w:val="6"/>
  </w:num>
  <w:num w:numId="29">
    <w:abstractNumId w:val="37"/>
  </w:num>
  <w:num w:numId="30">
    <w:abstractNumId w:val="15"/>
  </w:num>
  <w:num w:numId="31">
    <w:abstractNumId w:val="30"/>
  </w:num>
  <w:num w:numId="32">
    <w:abstractNumId w:val="22"/>
  </w:num>
  <w:num w:numId="33">
    <w:abstractNumId w:val="8"/>
  </w:num>
  <w:num w:numId="34">
    <w:abstractNumId w:val="33"/>
  </w:num>
  <w:num w:numId="35">
    <w:abstractNumId w:val="4"/>
  </w:num>
  <w:num w:numId="3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0E0"/>
    <w:rsid w:val="0000215F"/>
    <w:rsid w:val="000023DF"/>
    <w:rsid w:val="00003049"/>
    <w:rsid w:val="00005326"/>
    <w:rsid w:val="000055A9"/>
    <w:rsid w:val="000056FB"/>
    <w:rsid w:val="00006585"/>
    <w:rsid w:val="00006AE2"/>
    <w:rsid w:val="00006EF5"/>
    <w:rsid w:val="0000762D"/>
    <w:rsid w:val="000076A1"/>
    <w:rsid w:val="0001209B"/>
    <w:rsid w:val="00012259"/>
    <w:rsid w:val="0001368F"/>
    <w:rsid w:val="00015F4C"/>
    <w:rsid w:val="000162EE"/>
    <w:rsid w:val="00016B85"/>
    <w:rsid w:val="00016F42"/>
    <w:rsid w:val="00017396"/>
    <w:rsid w:val="000203BE"/>
    <w:rsid w:val="00020991"/>
    <w:rsid w:val="0002117B"/>
    <w:rsid w:val="00021AB8"/>
    <w:rsid w:val="00022832"/>
    <w:rsid w:val="00023841"/>
    <w:rsid w:val="00023CC3"/>
    <w:rsid w:val="00024B72"/>
    <w:rsid w:val="00024EEB"/>
    <w:rsid w:val="00025383"/>
    <w:rsid w:val="0002591D"/>
    <w:rsid w:val="00025D05"/>
    <w:rsid w:val="000268D6"/>
    <w:rsid w:val="00027C0A"/>
    <w:rsid w:val="00027C0E"/>
    <w:rsid w:val="000303FE"/>
    <w:rsid w:val="00031CB6"/>
    <w:rsid w:val="00032C8E"/>
    <w:rsid w:val="000338C8"/>
    <w:rsid w:val="00033D75"/>
    <w:rsid w:val="00034669"/>
    <w:rsid w:val="00034F65"/>
    <w:rsid w:val="0003547A"/>
    <w:rsid w:val="0003562B"/>
    <w:rsid w:val="0003568E"/>
    <w:rsid w:val="000356FD"/>
    <w:rsid w:val="00035DAC"/>
    <w:rsid w:val="000364AC"/>
    <w:rsid w:val="0003695A"/>
    <w:rsid w:val="00037848"/>
    <w:rsid w:val="00037C2F"/>
    <w:rsid w:val="00040250"/>
    <w:rsid w:val="000408EC"/>
    <w:rsid w:val="00040DE8"/>
    <w:rsid w:val="00041C27"/>
    <w:rsid w:val="00042A98"/>
    <w:rsid w:val="000432E2"/>
    <w:rsid w:val="000446EC"/>
    <w:rsid w:val="00045094"/>
    <w:rsid w:val="00045D3D"/>
    <w:rsid w:val="00045E35"/>
    <w:rsid w:val="00046B5A"/>
    <w:rsid w:val="00047000"/>
    <w:rsid w:val="0005171B"/>
    <w:rsid w:val="00051D1F"/>
    <w:rsid w:val="000536E8"/>
    <w:rsid w:val="00053BE6"/>
    <w:rsid w:val="00054233"/>
    <w:rsid w:val="00055040"/>
    <w:rsid w:val="00055984"/>
    <w:rsid w:val="00056ECE"/>
    <w:rsid w:val="0005705F"/>
    <w:rsid w:val="0005740C"/>
    <w:rsid w:val="00060DCE"/>
    <w:rsid w:val="000620D1"/>
    <w:rsid w:val="000627E5"/>
    <w:rsid w:val="00063454"/>
    <w:rsid w:val="00063657"/>
    <w:rsid w:val="00064F07"/>
    <w:rsid w:val="00065D0A"/>
    <w:rsid w:val="00067977"/>
    <w:rsid w:val="000701D3"/>
    <w:rsid w:val="000703B1"/>
    <w:rsid w:val="00070AC1"/>
    <w:rsid w:val="0007409E"/>
    <w:rsid w:val="00076325"/>
    <w:rsid w:val="00076680"/>
    <w:rsid w:val="000767A0"/>
    <w:rsid w:val="00076A1D"/>
    <w:rsid w:val="000771FB"/>
    <w:rsid w:val="0007724C"/>
    <w:rsid w:val="0008073E"/>
    <w:rsid w:val="000808A5"/>
    <w:rsid w:val="0008115D"/>
    <w:rsid w:val="00081335"/>
    <w:rsid w:val="000821D9"/>
    <w:rsid w:val="00082B34"/>
    <w:rsid w:val="00082FE9"/>
    <w:rsid w:val="000831AC"/>
    <w:rsid w:val="00083364"/>
    <w:rsid w:val="000837A5"/>
    <w:rsid w:val="00083AA8"/>
    <w:rsid w:val="00084F74"/>
    <w:rsid w:val="00085013"/>
    <w:rsid w:val="000857D1"/>
    <w:rsid w:val="00085C94"/>
    <w:rsid w:val="0008751B"/>
    <w:rsid w:val="0008776A"/>
    <w:rsid w:val="0009104E"/>
    <w:rsid w:val="0009196C"/>
    <w:rsid w:val="00091CDB"/>
    <w:rsid w:val="000931FF"/>
    <w:rsid w:val="000936B5"/>
    <w:rsid w:val="000957BC"/>
    <w:rsid w:val="00095EA2"/>
    <w:rsid w:val="000A0B0B"/>
    <w:rsid w:val="000A1108"/>
    <w:rsid w:val="000A11B8"/>
    <w:rsid w:val="000A1319"/>
    <w:rsid w:val="000A189D"/>
    <w:rsid w:val="000A19AC"/>
    <w:rsid w:val="000A31B6"/>
    <w:rsid w:val="000A38CC"/>
    <w:rsid w:val="000A6EEA"/>
    <w:rsid w:val="000B26C1"/>
    <w:rsid w:val="000B2EC9"/>
    <w:rsid w:val="000B3688"/>
    <w:rsid w:val="000B5566"/>
    <w:rsid w:val="000B5684"/>
    <w:rsid w:val="000B5EF3"/>
    <w:rsid w:val="000B653C"/>
    <w:rsid w:val="000B65BD"/>
    <w:rsid w:val="000B7990"/>
    <w:rsid w:val="000C06AF"/>
    <w:rsid w:val="000C1519"/>
    <w:rsid w:val="000C1951"/>
    <w:rsid w:val="000C1DE0"/>
    <w:rsid w:val="000C2165"/>
    <w:rsid w:val="000C23A9"/>
    <w:rsid w:val="000C266A"/>
    <w:rsid w:val="000C4F5C"/>
    <w:rsid w:val="000C5DF4"/>
    <w:rsid w:val="000C5F9C"/>
    <w:rsid w:val="000C64D6"/>
    <w:rsid w:val="000C6881"/>
    <w:rsid w:val="000C68A9"/>
    <w:rsid w:val="000C743D"/>
    <w:rsid w:val="000C784A"/>
    <w:rsid w:val="000D06CB"/>
    <w:rsid w:val="000D1E36"/>
    <w:rsid w:val="000D26F8"/>
    <w:rsid w:val="000D2A00"/>
    <w:rsid w:val="000D36AF"/>
    <w:rsid w:val="000D3884"/>
    <w:rsid w:val="000D3A7D"/>
    <w:rsid w:val="000D3FC2"/>
    <w:rsid w:val="000D5201"/>
    <w:rsid w:val="000D5C79"/>
    <w:rsid w:val="000E1309"/>
    <w:rsid w:val="000E1C36"/>
    <w:rsid w:val="000E272B"/>
    <w:rsid w:val="000E2A42"/>
    <w:rsid w:val="000E2ECD"/>
    <w:rsid w:val="000E3D26"/>
    <w:rsid w:val="000E41DA"/>
    <w:rsid w:val="000E461D"/>
    <w:rsid w:val="000E5CC4"/>
    <w:rsid w:val="000F30B5"/>
    <w:rsid w:val="000F32D0"/>
    <w:rsid w:val="000F3A75"/>
    <w:rsid w:val="000F4223"/>
    <w:rsid w:val="000F4409"/>
    <w:rsid w:val="000F4463"/>
    <w:rsid w:val="000F47C4"/>
    <w:rsid w:val="000F5392"/>
    <w:rsid w:val="000F563E"/>
    <w:rsid w:val="000F6198"/>
    <w:rsid w:val="000F68AA"/>
    <w:rsid w:val="000F69EC"/>
    <w:rsid w:val="000F7AE9"/>
    <w:rsid w:val="000F7C81"/>
    <w:rsid w:val="0010087D"/>
    <w:rsid w:val="0010101F"/>
    <w:rsid w:val="00101F35"/>
    <w:rsid w:val="0010333D"/>
    <w:rsid w:val="00103A88"/>
    <w:rsid w:val="00105E02"/>
    <w:rsid w:val="0010658E"/>
    <w:rsid w:val="00106654"/>
    <w:rsid w:val="001067D3"/>
    <w:rsid w:val="00107BE0"/>
    <w:rsid w:val="001106AF"/>
    <w:rsid w:val="001129C7"/>
    <w:rsid w:val="00112F16"/>
    <w:rsid w:val="0011457A"/>
    <w:rsid w:val="001147FF"/>
    <w:rsid w:val="001167F7"/>
    <w:rsid w:val="001177E6"/>
    <w:rsid w:val="00117CC3"/>
    <w:rsid w:val="00121CA0"/>
    <w:rsid w:val="00125916"/>
    <w:rsid w:val="001264C4"/>
    <w:rsid w:val="00126763"/>
    <w:rsid w:val="00126B7F"/>
    <w:rsid w:val="0012783F"/>
    <w:rsid w:val="00130964"/>
    <w:rsid w:val="00130D85"/>
    <w:rsid w:val="00132D4E"/>
    <w:rsid w:val="00132FDE"/>
    <w:rsid w:val="00132FE3"/>
    <w:rsid w:val="001333FC"/>
    <w:rsid w:val="0013384D"/>
    <w:rsid w:val="001338E9"/>
    <w:rsid w:val="00133D43"/>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14F"/>
    <w:rsid w:val="00145736"/>
    <w:rsid w:val="001459D6"/>
    <w:rsid w:val="001459FB"/>
    <w:rsid w:val="0014778F"/>
    <w:rsid w:val="001478B5"/>
    <w:rsid w:val="00151A0F"/>
    <w:rsid w:val="001520CC"/>
    <w:rsid w:val="0015228B"/>
    <w:rsid w:val="00152A35"/>
    <w:rsid w:val="00152D9A"/>
    <w:rsid w:val="00152E0C"/>
    <w:rsid w:val="0015338C"/>
    <w:rsid w:val="001541F3"/>
    <w:rsid w:val="0015434B"/>
    <w:rsid w:val="00154D0C"/>
    <w:rsid w:val="001560A7"/>
    <w:rsid w:val="00156A4D"/>
    <w:rsid w:val="00157972"/>
    <w:rsid w:val="00157B49"/>
    <w:rsid w:val="00160BCF"/>
    <w:rsid w:val="00161084"/>
    <w:rsid w:val="00164E00"/>
    <w:rsid w:val="00166AA9"/>
    <w:rsid w:val="00166B53"/>
    <w:rsid w:val="001710F9"/>
    <w:rsid w:val="00171B59"/>
    <w:rsid w:val="00174211"/>
    <w:rsid w:val="001762DD"/>
    <w:rsid w:val="00177652"/>
    <w:rsid w:val="001778BC"/>
    <w:rsid w:val="00177C51"/>
    <w:rsid w:val="00177CFC"/>
    <w:rsid w:val="00177D48"/>
    <w:rsid w:val="00177E96"/>
    <w:rsid w:val="0018109D"/>
    <w:rsid w:val="0018241F"/>
    <w:rsid w:val="001827DF"/>
    <w:rsid w:val="00182E70"/>
    <w:rsid w:val="00184170"/>
    <w:rsid w:val="00185F79"/>
    <w:rsid w:val="001876F9"/>
    <w:rsid w:val="001879E3"/>
    <w:rsid w:val="00190C2D"/>
    <w:rsid w:val="00192CBF"/>
    <w:rsid w:val="00192FF1"/>
    <w:rsid w:val="0019345E"/>
    <w:rsid w:val="0019354C"/>
    <w:rsid w:val="001943A1"/>
    <w:rsid w:val="0019461B"/>
    <w:rsid w:val="00194947"/>
    <w:rsid w:val="001949D2"/>
    <w:rsid w:val="00194C52"/>
    <w:rsid w:val="0019667F"/>
    <w:rsid w:val="00196698"/>
    <w:rsid w:val="00196D8C"/>
    <w:rsid w:val="00197F32"/>
    <w:rsid w:val="001A0F6F"/>
    <w:rsid w:val="001A1422"/>
    <w:rsid w:val="001A2B6E"/>
    <w:rsid w:val="001A3643"/>
    <w:rsid w:val="001A39D5"/>
    <w:rsid w:val="001A42B8"/>
    <w:rsid w:val="001A44FC"/>
    <w:rsid w:val="001A5F1B"/>
    <w:rsid w:val="001A6488"/>
    <w:rsid w:val="001A7613"/>
    <w:rsid w:val="001B03F7"/>
    <w:rsid w:val="001B05A4"/>
    <w:rsid w:val="001B17F4"/>
    <w:rsid w:val="001B1C22"/>
    <w:rsid w:val="001B34C6"/>
    <w:rsid w:val="001B3984"/>
    <w:rsid w:val="001B3D78"/>
    <w:rsid w:val="001B50BA"/>
    <w:rsid w:val="001B70F6"/>
    <w:rsid w:val="001C06CE"/>
    <w:rsid w:val="001C083E"/>
    <w:rsid w:val="001C0C42"/>
    <w:rsid w:val="001C2018"/>
    <w:rsid w:val="001C36F4"/>
    <w:rsid w:val="001C3877"/>
    <w:rsid w:val="001C4A3C"/>
    <w:rsid w:val="001D0772"/>
    <w:rsid w:val="001D2EA9"/>
    <w:rsid w:val="001D31E0"/>
    <w:rsid w:val="001D3333"/>
    <w:rsid w:val="001D4A1A"/>
    <w:rsid w:val="001D516B"/>
    <w:rsid w:val="001D5FA1"/>
    <w:rsid w:val="001D7832"/>
    <w:rsid w:val="001E0A4F"/>
    <w:rsid w:val="001E0FC8"/>
    <w:rsid w:val="001E1023"/>
    <w:rsid w:val="001E3911"/>
    <w:rsid w:val="001E42F7"/>
    <w:rsid w:val="001E485E"/>
    <w:rsid w:val="001E55E0"/>
    <w:rsid w:val="001E692F"/>
    <w:rsid w:val="001E6EA9"/>
    <w:rsid w:val="001E7513"/>
    <w:rsid w:val="001F0461"/>
    <w:rsid w:val="001F08A8"/>
    <w:rsid w:val="001F1310"/>
    <w:rsid w:val="001F277A"/>
    <w:rsid w:val="001F27C5"/>
    <w:rsid w:val="001F2C5B"/>
    <w:rsid w:val="001F2FD8"/>
    <w:rsid w:val="001F4256"/>
    <w:rsid w:val="001F5AFE"/>
    <w:rsid w:val="001F6D53"/>
    <w:rsid w:val="001F780F"/>
    <w:rsid w:val="00200922"/>
    <w:rsid w:val="002012D8"/>
    <w:rsid w:val="002015A0"/>
    <w:rsid w:val="002029FA"/>
    <w:rsid w:val="002038CE"/>
    <w:rsid w:val="002039D6"/>
    <w:rsid w:val="002040C1"/>
    <w:rsid w:val="00204D82"/>
    <w:rsid w:val="0020533E"/>
    <w:rsid w:val="00206B97"/>
    <w:rsid w:val="00207D99"/>
    <w:rsid w:val="00210DC1"/>
    <w:rsid w:val="0021157A"/>
    <w:rsid w:val="00211D34"/>
    <w:rsid w:val="00212AEB"/>
    <w:rsid w:val="002131D7"/>
    <w:rsid w:val="002133FA"/>
    <w:rsid w:val="00214328"/>
    <w:rsid w:val="00214F04"/>
    <w:rsid w:val="00215F30"/>
    <w:rsid w:val="002162DB"/>
    <w:rsid w:val="002166E7"/>
    <w:rsid w:val="00216E62"/>
    <w:rsid w:val="00217D47"/>
    <w:rsid w:val="00223E50"/>
    <w:rsid w:val="0022483E"/>
    <w:rsid w:val="00224FC9"/>
    <w:rsid w:val="00227061"/>
    <w:rsid w:val="00227D53"/>
    <w:rsid w:val="00227E1E"/>
    <w:rsid w:val="00230985"/>
    <w:rsid w:val="00233041"/>
    <w:rsid w:val="0023338E"/>
    <w:rsid w:val="00234F33"/>
    <w:rsid w:val="002352B9"/>
    <w:rsid w:val="0023598E"/>
    <w:rsid w:val="0023621E"/>
    <w:rsid w:val="002367F5"/>
    <w:rsid w:val="00237EDC"/>
    <w:rsid w:val="00240640"/>
    <w:rsid w:val="00242A95"/>
    <w:rsid w:val="00242F2B"/>
    <w:rsid w:val="002433FA"/>
    <w:rsid w:val="002436B9"/>
    <w:rsid w:val="00243761"/>
    <w:rsid w:val="00243A0A"/>
    <w:rsid w:val="002444FF"/>
    <w:rsid w:val="00244646"/>
    <w:rsid w:val="00244C3E"/>
    <w:rsid w:val="002452F2"/>
    <w:rsid w:val="00245E5D"/>
    <w:rsid w:val="00246D05"/>
    <w:rsid w:val="0025525F"/>
    <w:rsid w:val="00255649"/>
    <w:rsid w:val="00255960"/>
    <w:rsid w:val="00255DFE"/>
    <w:rsid w:val="002560C5"/>
    <w:rsid w:val="00256DBC"/>
    <w:rsid w:val="00256EA4"/>
    <w:rsid w:val="002571C8"/>
    <w:rsid w:val="002578B3"/>
    <w:rsid w:val="002579DC"/>
    <w:rsid w:val="00257A41"/>
    <w:rsid w:val="002603B0"/>
    <w:rsid w:val="00260906"/>
    <w:rsid w:val="002613C6"/>
    <w:rsid w:val="00261CF7"/>
    <w:rsid w:val="00262248"/>
    <w:rsid w:val="0026282C"/>
    <w:rsid w:val="00262AEC"/>
    <w:rsid w:val="002631B1"/>
    <w:rsid w:val="00264F14"/>
    <w:rsid w:val="0026521A"/>
    <w:rsid w:val="002654BA"/>
    <w:rsid w:val="002657E2"/>
    <w:rsid w:val="00266CD6"/>
    <w:rsid w:val="002673AC"/>
    <w:rsid w:val="00267B60"/>
    <w:rsid w:val="00270C4A"/>
    <w:rsid w:val="00271781"/>
    <w:rsid w:val="00271C36"/>
    <w:rsid w:val="0027278C"/>
    <w:rsid w:val="00273484"/>
    <w:rsid w:val="002739BD"/>
    <w:rsid w:val="00274A6F"/>
    <w:rsid w:val="00274C95"/>
    <w:rsid w:val="00275DAB"/>
    <w:rsid w:val="00276059"/>
    <w:rsid w:val="00280F65"/>
    <w:rsid w:val="002821BE"/>
    <w:rsid w:val="002836E2"/>
    <w:rsid w:val="00284AE6"/>
    <w:rsid w:val="00285AEF"/>
    <w:rsid w:val="0028662C"/>
    <w:rsid w:val="002903C0"/>
    <w:rsid w:val="002903D1"/>
    <w:rsid w:val="00291726"/>
    <w:rsid w:val="002922A7"/>
    <w:rsid w:val="00292FE9"/>
    <w:rsid w:val="002936B2"/>
    <w:rsid w:val="00293D0C"/>
    <w:rsid w:val="0029534B"/>
    <w:rsid w:val="00295582"/>
    <w:rsid w:val="00295857"/>
    <w:rsid w:val="00295ACD"/>
    <w:rsid w:val="0029698E"/>
    <w:rsid w:val="002A101D"/>
    <w:rsid w:val="002A1E50"/>
    <w:rsid w:val="002A51EF"/>
    <w:rsid w:val="002A6480"/>
    <w:rsid w:val="002A6CEB"/>
    <w:rsid w:val="002A782A"/>
    <w:rsid w:val="002A7D62"/>
    <w:rsid w:val="002B0922"/>
    <w:rsid w:val="002B0AAA"/>
    <w:rsid w:val="002B1021"/>
    <w:rsid w:val="002B11E2"/>
    <w:rsid w:val="002B24B8"/>
    <w:rsid w:val="002B5E3C"/>
    <w:rsid w:val="002B71B1"/>
    <w:rsid w:val="002B73B1"/>
    <w:rsid w:val="002C01FA"/>
    <w:rsid w:val="002C04F0"/>
    <w:rsid w:val="002C0713"/>
    <w:rsid w:val="002C0DCD"/>
    <w:rsid w:val="002C3488"/>
    <w:rsid w:val="002C4170"/>
    <w:rsid w:val="002C5023"/>
    <w:rsid w:val="002C51F2"/>
    <w:rsid w:val="002C5612"/>
    <w:rsid w:val="002C7252"/>
    <w:rsid w:val="002D04DA"/>
    <w:rsid w:val="002D3602"/>
    <w:rsid w:val="002D3AE9"/>
    <w:rsid w:val="002D3CE7"/>
    <w:rsid w:val="002D4510"/>
    <w:rsid w:val="002D5D80"/>
    <w:rsid w:val="002D6A14"/>
    <w:rsid w:val="002D7D6C"/>
    <w:rsid w:val="002E09F5"/>
    <w:rsid w:val="002E1770"/>
    <w:rsid w:val="002E1AF2"/>
    <w:rsid w:val="002E1F65"/>
    <w:rsid w:val="002E635C"/>
    <w:rsid w:val="002E6544"/>
    <w:rsid w:val="002E679E"/>
    <w:rsid w:val="002E7997"/>
    <w:rsid w:val="002F026E"/>
    <w:rsid w:val="002F0734"/>
    <w:rsid w:val="002F0A4C"/>
    <w:rsid w:val="002F22EB"/>
    <w:rsid w:val="002F3712"/>
    <w:rsid w:val="002F44A8"/>
    <w:rsid w:val="002F45E2"/>
    <w:rsid w:val="002F46E7"/>
    <w:rsid w:val="002F72DB"/>
    <w:rsid w:val="002F75C0"/>
    <w:rsid w:val="002F7B19"/>
    <w:rsid w:val="003008A1"/>
    <w:rsid w:val="00302EFB"/>
    <w:rsid w:val="0030336F"/>
    <w:rsid w:val="00303BEA"/>
    <w:rsid w:val="00303CE1"/>
    <w:rsid w:val="003040BE"/>
    <w:rsid w:val="00304BEA"/>
    <w:rsid w:val="0030641B"/>
    <w:rsid w:val="00307E9C"/>
    <w:rsid w:val="00307F8B"/>
    <w:rsid w:val="00307F96"/>
    <w:rsid w:val="003101DA"/>
    <w:rsid w:val="003107DC"/>
    <w:rsid w:val="003111C3"/>
    <w:rsid w:val="00311C94"/>
    <w:rsid w:val="00312443"/>
    <w:rsid w:val="00312DDD"/>
    <w:rsid w:val="0031391C"/>
    <w:rsid w:val="00313B84"/>
    <w:rsid w:val="00314757"/>
    <w:rsid w:val="0031547B"/>
    <w:rsid w:val="00315689"/>
    <w:rsid w:val="00315CD0"/>
    <w:rsid w:val="003163BC"/>
    <w:rsid w:val="00316BB2"/>
    <w:rsid w:val="00317410"/>
    <w:rsid w:val="003211CE"/>
    <w:rsid w:val="0032190A"/>
    <w:rsid w:val="00321B6E"/>
    <w:rsid w:val="00322010"/>
    <w:rsid w:val="003225F9"/>
    <w:rsid w:val="003246CB"/>
    <w:rsid w:val="00326A3F"/>
    <w:rsid w:val="0032714E"/>
    <w:rsid w:val="00327412"/>
    <w:rsid w:val="00327443"/>
    <w:rsid w:val="00330AB2"/>
    <w:rsid w:val="00330E17"/>
    <w:rsid w:val="00331421"/>
    <w:rsid w:val="00331431"/>
    <w:rsid w:val="00331C8C"/>
    <w:rsid w:val="00333AEE"/>
    <w:rsid w:val="00333B2F"/>
    <w:rsid w:val="003340E9"/>
    <w:rsid w:val="003343C8"/>
    <w:rsid w:val="003343FE"/>
    <w:rsid w:val="003344C3"/>
    <w:rsid w:val="0033564E"/>
    <w:rsid w:val="00335EAC"/>
    <w:rsid w:val="0033715F"/>
    <w:rsid w:val="003373A2"/>
    <w:rsid w:val="00337971"/>
    <w:rsid w:val="00337C84"/>
    <w:rsid w:val="00340ADB"/>
    <w:rsid w:val="00340DAF"/>
    <w:rsid w:val="00341ABC"/>
    <w:rsid w:val="00344B9B"/>
    <w:rsid w:val="003452C4"/>
    <w:rsid w:val="003461B1"/>
    <w:rsid w:val="003473A2"/>
    <w:rsid w:val="00350A8C"/>
    <w:rsid w:val="00350DE4"/>
    <w:rsid w:val="00351E6B"/>
    <w:rsid w:val="00352C2F"/>
    <w:rsid w:val="0035403A"/>
    <w:rsid w:val="00355FF3"/>
    <w:rsid w:val="00356CFB"/>
    <w:rsid w:val="00357A92"/>
    <w:rsid w:val="003606A3"/>
    <w:rsid w:val="003614BE"/>
    <w:rsid w:val="00361EF5"/>
    <w:rsid w:val="00363463"/>
    <w:rsid w:val="0036394B"/>
    <w:rsid w:val="003646C3"/>
    <w:rsid w:val="00366AC7"/>
    <w:rsid w:val="00366DB6"/>
    <w:rsid w:val="00367001"/>
    <w:rsid w:val="003671B0"/>
    <w:rsid w:val="0036724C"/>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2F05"/>
    <w:rsid w:val="00383A88"/>
    <w:rsid w:val="00383AB4"/>
    <w:rsid w:val="00383E1F"/>
    <w:rsid w:val="00384BFB"/>
    <w:rsid w:val="00385A73"/>
    <w:rsid w:val="00386A9A"/>
    <w:rsid w:val="00386E4B"/>
    <w:rsid w:val="00387A1C"/>
    <w:rsid w:val="00387C27"/>
    <w:rsid w:val="00387CD9"/>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6A68"/>
    <w:rsid w:val="00397365"/>
    <w:rsid w:val="00397DA6"/>
    <w:rsid w:val="003A0389"/>
    <w:rsid w:val="003A05F4"/>
    <w:rsid w:val="003A09A2"/>
    <w:rsid w:val="003A1451"/>
    <w:rsid w:val="003A1A65"/>
    <w:rsid w:val="003A31F6"/>
    <w:rsid w:val="003A3A6C"/>
    <w:rsid w:val="003A3E98"/>
    <w:rsid w:val="003A4D67"/>
    <w:rsid w:val="003A6FE1"/>
    <w:rsid w:val="003A7F4E"/>
    <w:rsid w:val="003B07F4"/>
    <w:rsid w:val="003B1627"/>
    <w:rsid w:val="003B2C98"/>
    <w:rsid w:val="003B3CE0"/>
    <w:rsid w:val="003B3EF0"/>
    <w:rsid w:val="003B4485"/>
    <w:rsid w:val="003B534A"/>
    <w:rsid w:val="003B5531"/>
    <w:rsid w:val="003B5A66"/>
    <w:rsid w:val="003B718A"/>
    <w:rsid w:val="003B79D4"/>
    <w:rsid w:val="003B7A86"/>
    <w:rsid w:val="003B7AE8"/>
    <w:rsid w:val="003C0474"/>
    <w:rsid w:val="003C156A"/>
    <w:rsid w:val="003C242C"/>
    <w:rsid w:val="003C3447"/>
    <w:rsid w:val="003C4072"/>
    <w:rsid w:val="003C5E2C"/>
    <w:rsid w:val="003C6579"/>
    <w:rsid w:val="003C6E0D"/>
    <w:rsid w:val="003C7FA6"/>
    <w:rsid w:val="003D0607"/>
    <w:rsid w:val="003D076C"/>
    <w:rsid w:val="003D1367"/>
    <w:rsid w:val="003D160E"/>
    <w:rsid w:val="003D1FD8"/>
    <w:rsid w:val="003D34F9"/>
    <w:rsid w:val="003D38E3"/>
    <w:rsid w:val="003D6335"/>
    <w:rsid w:val="003D63E6"/>
    <w:rsid w:val="003D68CE"/>
    <w:rsid w:val="003D7344"/>
    <w:rsid w:val="003E01CE"/>
    <w:rsid w:val="003E0745"/>
    <w:rsid w:val="003E1A9F"/>
    <w:rsid w:val="003E3442"/>
    <w:rsid w:val="003E489D"/>
    <w:rsid w:val="003E5626"/>
    <w:rsid w:val="003E5A4D"/>
    <w:rsid w:val="003E5FCF"/>
    <w:rsid w:val="003E7112"/>
    <w:rsid w:val="003E7120"/>
    <w:rsid w:val="003E7817"/>
    <w:rsid w:val="003E7875"/>
    <w:rsid w:val="003E78B5"/>
    <w:rsid w:val="003F06BB"/>
    <w:rsid w:val="003F1778"/>
    <w:rsid w:val="003F22FF"/>
    <w:rsid w:val="003F3E09"/>
    <w:rsid w:val="003F3F29"/>
    <w:rsid w:val="003F54A4"/>
    <w:rsid w:val="003F70F2"/>
    <w:rsid w:val="003F71DF"/>
    <w:rsid w:val="003F77E3"/>
    <w:rsid w:val="003F7F62"/>
    <w:rsid w:val="003F7F77"/>
    <w:rsid w:val="00400A3D"/>
    <w:rsid w:val="004010BC"/>
    <w:rsid w:val="00401992"/>
    <w:rsid w:val="0040199C"/>
    <w:rsid w:val="00401C5E"/>
    <w:rsid w:val="00402C03"/>
    <w:rsid w:val="00405029"/>
    <w:rsid w:val="00405433"/>
    <w:rsid w:val="0040566D"/>
    <w:rsid w:val="00406D0D"/>
    <w:rsid w:val="00407515"/>
    <w:rsid w:val="0040781C"/>
    <w:rsid w:val="0040783A"/>
    <w:rsid w:val="00407A25"/>
    <w:rsid w:val="00410552"/>
    <w:rsid w:val="00412D3E"/>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27550"/>
    <w:rsid w:val="004302BF"/>
    <w:rsid w:val="00432822"/>
    <w:rsid w:val="00436359"/>
    <w:rsid w:val="004403F9"/>
    <w:rsid w:val="00440567"/>
    <w:rsid w:val="00440840"/>
    <w:rsid w:val="00440DC7"/>
    <w:rsid w:val="004418B5"/>
    <w:rsid w:val="00441C8E"/>
    <w:rsid w:val="00441FD9"/>
    <w:rsid w:val="00442812"/>
    <w:rsid w:val="004429D9"/>
    <w:rsid w:val="0044318E"/>
    <w:rsid w:val="00443B35"/>
    <w:rsid w:val="004457D6"/>
    <w:rsid w:val="00446100"/>
    <w:rsid w:val="00446813"/>
    <w:rsid w:val="00446B5D"/>
    <w:rsid w:val="00446BEE"/>
    <w:rsid w:val="00446C55"/>
    <w:rsid w:val="0045002C"/>
    <w:rsid w:val="0045009B"/>
    <w:rsid w:val="004508F2"/>
    <w:rsid w:val="00450A9D"/>
    <w:rsid w:val="00451303"/>
    <w:rsid w:val="0045178C"/>
    <w:rsid w:val="00452577"/>
    <w:rsid w:val="004526AC"/>
    <w:rsid w:val="0045293D"/>
    <w:rsid w:val="00453055"/>
    <w:rsid w:val="0045463B"/>
    <w:rsid w:val="004557E4"/>
    <w:rsid w:val="00455DAE"/>
    <w:rsid w:val="00455E26"/>
    <w:rsid w:val="00456622"/>
    <w:rsid w:val="00460C2D"/>
    <w:rsid w:val="00461362"/>
    <w:rsid w:val="0046146A"/>
    <w:rsid w:val="00461628"/>
    <w:rsid w:val="00461D9A"/>
    <w:rsid w:val="00462077"/>
    <w:rsid w:val="004629A8"/>
    <w:rsid w:val="00466988"/>
    <w:rsid w:val="00470634"/>
    <w:rsid w:val="0047092D"/>
    <w:rsid w:val="0047122B"/>
    <w:rsid w:val="004717DD"/>
    <w:rsid w:val="00472125"/>
    <w:rsid w:val="00472B74"/>
    <w:rsid w:val="0047365B"/>
    <w:rsid w:val="00473B7A"/>
    <w:rsid w:val="00474922"/>
    <w:rsid w:val="00475A5D"/>
    <w:rsid w:val="004771D9"/>
    <w:rsid w:val="00481F5D"/>
    <w:rsid w:val="0048216C"/>
    <w:rsid w:val="004821BC"/>
    <w:rsid w:val="004829F6"/>
    <w:rsid w:val="00482D44"/>
    <w:rsid w:val="004836D4"/>
    <w:rsid w:val="00483D96"/>
    <w:rsid w:val="00485CA3"/>
    <w:rsid w:val="00485DBF"/>
    <w:rsid w:val="00486441"/>
    <w:rsid w:val="004907D8"/>
    <w:rsid w:val="00490CC9"/>
    <w:rsid w:val="00492C4A"/>
    <w:rsid w:val="00493783"/>
    <w:rsid w:val="00493A74"/>
    <w:rsid w:val="00495EFD"/>
    <w:rsid w:val="004960E9"/>
    <w:rsid w:val="00497384"/>
    <w:rsid w:val="00497DC9"/>
    <w:rsid w:val="004A221B"/>
    <w:rsid w:val="004A2E88"/>
    <w:rsid w:val="004A3BDC"/>
    <w:rsid w:val="004A5305"/>
    <w:rsid w:val="004A6144"/>
    <w:rsid w:val="004A6D92"/>
    <w:rsid w:val="004B132B"/>
    <w:rsid w:val="004B13C6"/>
    <w:rsid w:val="004B41C9"/>
    <w:rsid w:val="004B68F4"/>
    <w:rsid w:val="004B7FAF"/>
    <w:rsid w:val="004C0257"/>
    <w:rsid w:val="004C0564"/>
    <w:rsid w:val="004C05BC"/>
    <w:rsid w:val="004C3072"/>
    <w:rsid w:val="004C415D"/>
    <w:rsid w:val="004C44A7"/>
    <w:rsid w:val="004C485A"/>
    <w:rsid w:val="004C5DCB"/>
    <w:rsid w:val="004C687E"/>
    <w:rsid w:val="004D040D"/>
    <w:rsid w:val="004D182B"/>
    <w:rsid w:val="004D1B6F"/>
    <w:rsid w:val="004D355C"/>
    <w:rsid w:val="004D4B8C"/>
    <w:rsid w:val="004D4D72"/>
    <w:rsid w:val="004D5A3A"/>
    <w:rsid w:val="004D6BC4"/>
    <w:rsid w:val="004D72B2"/>
    <w:rsid w:val="004D7634"/>
    <w:rsid w:val="004E1214"/>
    <w:rsid w:val="004E196A"/>
    <w:rsid w:val="004E410F"/>
    <w:rsid w:val="004E55D4"/>
    <w:rsid w:val="004E5EAA"/>
    <w:rsid w:val="004E611A"/>
    <w:rsid w:val="004E617B"/>
    <w:rsid w:val="004E650C"/>
    <w:rsid w:val="004F0852"/>
    <w:rsid w:val="004F165C"/>
    <w:rsid w:val="004F177E"/>
    <w:rsid w:val="004F17CA"/>
    <w:rsid w:val="004F339F"/>
    <w:rsid w:val="004F373D"/>
    <w:rsid w:val="004F3DF8"/>
    <w:rsid w:val="004F5343"/>
    <w:rsid w:val="004F5F72"/>
    <w:rsid w:val="004F6360"/>
    <w:rsid w:val="004F6460"/>
    <w:rsid w:val="005010CF"/>
    <w:rsid w:val="00501AAD"/>
    <w:rsid w:val="00501B46"/>
    <w:rsid w:val="00503B34"/>
    <w:rsid w:val="005044C6"/>
    <w:rsid w:val="00505138"/>
    <w:rsid w:val="005051AE"/>
    <w:rsid w:val="00505FC9"/>
    <w:rsid w:val="00506AFF"/>
    <w:rsid w:val="00506E54"/>
    <w:rsid w:val="00506EFF"/>
    <w:rsid w:val="00507DC6"/>
    <w:rsid w:val="0051095E"/>
    <w:rsid w:val="00512094"/>
    <w:rsid w:val="0051288E"/>
    <w:rsid w:val="00513117"/>
    <w:rsid w:val="00513332"/>
    <w:rsid w:val="005145AE"/>
    <w:rsid w:val="00515D56"/>
    <w:rsid w:val="0051635B"/>
    <w:rsid w:val="00516E25"/>
    <w:rsid w:val="00516E64"/>
    <w:rsid w:val="00517400"/>
    <w:rsid w:val="00517BCE"/>
    <w:rsid w:val="00517ECD"/>
    <w:rsid w:val="00521271"/>
    <w:rsid w:val="00521367"/>
    <w:rsid w:val="0052144F"/>
    <w:rsid w:val="00521637"/>
    <w:rsid w:val="00523A96"/>
    <w:rsid w:val="0052525C"/>
    <w:rsid w:val="00525389"/>
    <w:rsid w:val="00525697"/>
    <w:rsid w:val="00525AEE"/>
    <w:rsid w:val="00526A6A"/>
    <w:rsid w:val="00526C8C"/>
    <w:rsid w:val="0052720E"/>
    <w:rsid w:val="0052725A"/>
    <w:rsid w:val="00527482"/>
    <w:rsid w:val="005300D3"/>
    <w:rsid w:val="0053058C"/>
    <w:rsid w:val="0053133C"/>
    <w:rsid w:val="00531E01"/>
    <w:rsid w:val="0053520D"/>
    <w:rsid w:val="00535814"/>
    <w:rsid w:val="00536925"/>
    <w:rsid w:val="00537FF8"/>
    <w:rsid w:val="0054109E"/>
    <w:rsid w:val="00542A10"/>
    <w:rsid w:val="00543038"/>
    <w:rsid w:val="005439F7"/>
    <w:rsid w:val="00543B0C"/>
    <w:rsid w:val="00544F82"/>
    <w:rsid w:val="00545317"/>
    <w:rsid w:val="00545DA9"/>
    <w:rsid w:val="005460E7"/>
    <w:rsid w:val="00546568"/>
    <w:rsid w:val="00546CD5"/>
    <w:rsid w:val="0054716E"/>
    <w:rsid w:val="005509D2"/>
    <w:rsid w:val="00551C12"/>
    <w:rsid w:val="005520BF"/>
    <w:rsid w:val="0055296B"/>
    <w:rsid w:val="005532D5"/>
    <w:rsid w:val="0055403E"/>
    <w:rsid w:val="00554C96"/>
    <w:rsid w:val="005556FC"/>
    <w:rsid w:val="00555BA6"/>
    <w:rsid w:val="00555F0E"/>
    <w:rsid w:val="00557262"/>
    <w:rsid w:val="00560558"/>
    <w:rsid w:val="00560A68"/>
    <w:rsid w:val="005628C1"/>
    <w:rsid w:val="00563C43"/>
    <w:rsid w:val="00563E79"/>
    <w:rsid w:val="0056428B"/>
    <w:rsid w:val="00564B67"/>
    <w:rsid w:val="00564B8B"/>
    <w:rsid w:val="00564EDF"/>
    <w:rsid w:val="0056570C"/>
    <w:rsid w:val="00566685"/>
    <w:rsid w:val="0056668A"/>
    <w:rsid w:val="00566C12"/>
    <w:rsid w:val="005673AC"/>
    <w:rsid w:val="00570CC7"/>
    <w:rsid w:val="005711EC"/>
    <w:rsid w:val="005714A3"/>
    <w:rsid w:val="00571C46"/>
    <w:rsid w:val="00571D26"/>
    <w:rsid w:val="00574008"/>
    <w:rsid w:val="005750F5"/>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4821"/>
    <w:rsid w:val="00595129"/>
    <w:rsid w:val="0059537B"/>
    <w:rsid w:val="00595682"/>
    <w:rsid w:val="005A01FB"/>
    <w:rsid w:val="005A0DB4"/>
    <w:rsid w:val="005A0E0C"/>
    <w:rsid w:val="005A2771"/>
    <w:rsid w:val="005A32ED"/>
    <w:rsid w:val="005A35ED"/>
    <w:rsid w:val="005A3E1C"/>
    <w:rsid w:val="005A4407"/>
    <w:rsid w:val="005A544F"/>
    <w:rsid w:val="005A59EF"/>
    <w:rsid w:val="005A5B8B"/>
    <w:rsid w:val="005A5DF6"/>
    <w:rsid w:val="005A648D"/>
    <w:rsid w:val="005A6D6D"/>
    <w:rsid w:val="005A7385"/>
    <w:rsid w:val="005B1C7E"/>
    <w:rsid w:val="005B2098"/>
    <w:rsid w:val="005B20F7"/>
    <w:rsid w:val="005B6CB3"/>
    <w:rsid w:val="005B6E70"/>
    <w:rsid w:val="005C00E9"/>
    <w:rsid w:val="005C0F45"/>
    <w:rsid w:val="005C1C67"/>
    <w:rsid w:val="005C2146"/>
    <w:rsid w:val="005C24B6"/>
    <w:rsid w:val="005C2813"/>
    <w:rsid w:val="005C36C6"/>
    <w:rsid w:val="005C3BAA"/>
    <w:rsid w:val="005C51B8"/>
    <w:rsid w:val="005C6976"/>
    <w:rsid w:val="005C772C"/>
    <w:rsid w:val="005C7781"/>
    <w:rsid w:val="005D0A73"/>
    <w:rsid w:val="005D1C05"/>
    <w:rsid w:val="005D1DE8"/>
    <w:rsid w:val="005D3126"/>
    <w:rsid w:val="005D352F"/>
    <w:rsid w:val="005D533D"/>
    <w:rsid w:val="005D5BC6"/>
    <w:rsid w:val="005D5F64"/>
    <w:rsid w:val="005D7530"/>
    <w:rsid w:val="005E2B7C"/>
    <w:rsid w:val="005E3DB5"/>
    <w:rsid w:val="005E4914"/>
    <w:rsid w:val="005E535C"/>
    <w:rsid w:val="005E6234"/>
    <w:rsid w:val="005F023D"/>
    <w:rsid w:val="005F3244"/>
    <w:rsid w:val="005F3416"/>
    <w:rsid w:val="005F39BD"/>
    <w:rsid w:val="005F39CA"/>
    <w:rsid w:val="005F4D0C"/>
    <w:rsid w:val="005F502F"/>
    <w:rsid w:val="005F526D"/>
    <w:rsid w:val="005F6F41"/>
    <w:rsid w:val="005F7013"/>
    <w:rsid w:val="00601487"/>
    <w:rsid w:val="00601DDF"/>
    <w:rsid w:val="00601F10"/>
    <w:rsid w:val="00602457"/>
    <w:rsid w:val="00602C53"/>
    <w:rsid w:val="0060532A"/>
    <w:rsid w:val="00605DA0"/>
    <w:rsid w:val="00605DA7"/>
    <w:rsid w:val="006102A4"/>
    <w:rsid w:val="00610A14"/>
    <w:rsid w:val="0061112B"/>
    <w:rsid w:val="00611B5C"/>
    <w:rsid w:val="006140AF"/>
    <w:rsid w:val="00614138"/>
    <w:rsid w:val="00614509"/>
    <w:rsid w:val="0061581B"/>
    <w:rsid w:val="006166B9"/>
    <w:rsid w:val="00616B17"/>
    <w:rsid w:val="00620164"/>
    <w:rsid w:val="006203E4"/>
    <w:rsid w:val="00620F71"/>
    <w:rsid w:val="00621736"/>
    <w:rsid w:val="00622D5C"/>
    <w:rsid w:val="00623032"/>
    <w:rsid w:val="006236DF"/>
    <w:rsid w:val="00624AF6"/>
    <w:rsid w:val="006259EB"/>
    <w:rsid w:val="00625BCF"/>
    <w:rsid w:val="00625D9F"/>
    <w:rsid w:val="00625DC6"/>
    <w:rsid w:val="006263B4"/>
    <w:rsid w:val="0062729D"/>
    <w:rsid w:val="00627335"/>
    <w:rsid w:val="006310C9"/>
    <w:rsid w:val="00631D91"/>
    <w:rsid w:val="006327E7"/>
    <w:rsid w:val="00632871"/>
    <w:rsid w:val="006351E5"/>
    <w:rsid w:val="00635B22"/>
    <w:rsid w:val="00635B25"/>
    <w:rsid w:val="00636835"/>
    <w:rsid w:val="00637F1B"/>
    <w:rsid w:val="006400D5"/>
    <w:rsid w:val="006402E5"/>
    <w:rsid w:val="0064057A"/>
    <w:rsid w:val="00641263"/>
    <w:rsid w:val="006412C6"/>
    <w:rsid w:val="00641554"/>
    <w:rsid w:val="0064343E"/>
    <w:rsid w:val="00643719"/>
    <w:rsid w:val="0064391D"/>
    <w:rsid w:val="00644E86"/>
    <w:rsid w:val="006456FE"/>
    <w:rsid w:val="00645BF9"/>
    <w:rsid w:val="0064648A"/>
    <w:rsid w:val="00646756"/>
    <w:rsid w:val="006508AB"/>
    <w:rsid w:val="00650D7D"/>
    <w:rsid w:val="00651154"/>
    <w:rsid w:val="006516F4"/>
    <w:rsid w:val="00651821"/>
    <w:rsid w:val="00651BBF"/>
    <w:rsid w:val="00651C8E"/>
    <w:rsid w:val="006528E5"/>
    <w:rsid w:val="00652BEB"/>
    <w:rsid w:val="00653410"/>
    <w:rsid w:val="00654384"/>
    <w:rsid w:val="00657B06"/>
    <w:rsid w:val="00660AF7"/>
    <w:rsid w:val="00661763"/>
    <w:rsid w:val="006622B2"/>
    <w:rsid w:val="00663B7D"/>
    <w:rsid w:val="00666A1D"/>
    <w:rsid w:val="006675CD"/>
    <w:rsid w:val="00667AD5"/>
    <w:rsid w:val="00667BDF"/>
    <w:rsid w:val="00667C7D"/>
    <w:rsid w:val="0067238D"/>
    <w:rsid w:val="00672517"/>
    <w:rsid w:val="006740B2"/>
    <w:rsid w:val="00674313"/>
    <w:rsid w:val="006747D5"/>
    <w:rsid w:val="00675985"/>
    <w:rsid w:val="00676724"/>
    <w:rsid w:val="00677E6A"/>
    <w:rsid w:val="006808CE"/>
    <w:rsid w:val="00680BFA"/>
    <w:rsid w:val="00682A2F"/>
    <w:rsid w:val="0068360C"/>
    <w:rsid w:val="00683EB3"/>
    <w:rsid w:val="00684578"/>
    <w:rsid w:val="00684D9B"/>
    <w:rsid w:val="0068510A"/>
    <w:rsid w:val="00685BCB"/>
    <w:rsid w:val="006860FB"/>
    <w:rsid w:val="00690CEF"/>
    <w:rsid w:val="006918A8"/>
    <w:rsid w:val="00692345"/>
    <w:rsid w:val="0069245B"/>
    <w:rsid w:val="00694071"/>
    <w:rsid w:val="006947FF"/>
    <w:rsid w:val="006948FC"/>
    <w:rsid w:val="00694E6C"/>
    <w:rsid w:val="00697556"/>
    <w:rsid w:val="006978F7"/>
    <w:rsid w:val="006A1CA8"/>
    <w:rsid w:val="006A1EB6"/>
    <w:rsid w:val="006A2A23"/>
    <w:rsid w:val="006A2EDF"/>
    <w:rsid w:val="006A4993"/>
    <w:rsid w:val="006A4BBD"/>
    <w:rsid w:val="006A5EB3"/>
    <w:rsid w:val="006A616B"/>
    <w:rsid w:val="006A72C7"/>
    <w:rsid w:val="006B0670"/>
    <w:rsid w:val="006B1A05"/>
    <w:rsid w:val="006B1FDF"/>
    <w:rsid w:val="006B3D1D"/>
    <w:rsid w:val="006B4081"/>
    <w:rsid w:val="006B4647"/>
    <w:rsid w:val="006B4C2B"/>
    <w:rsid w:val="006B4EA0"/>
    <w:rsid w:val="006B5DFE"/>
    <w:rsid w:val="006B6139"/>
    <w:rsid w:val="006B6194"/>
    <w:rsid w:val="006B661E"/>
    <w:rsid w:val="006B6D47"/>
    <w:rsid w:val="006B7078"/>
    <w:rsid w:val="006B719A"/>
    <w:rsid w:val="006C077F"/>
    <w:rsid w:val="006C1FD7"/>
    <w:rsid w:val="006C39C5"/>
    <w:rsid w:val="006C3E16"/>
    <w:rsid w:val="006C4912"/>
    <w:rsid w:val="006C5AFE"/>
    <w:rsid w:val="006C5F0F"/>
    <w:rsid w:val="006C7715"/>
    <w:rsid w:val="006C7AF6"/>
    <w:rsid w:val="006C7F6B"/>
    <w:rsid w:val="006D1ED8"/>
    <w:rsid w:val="006D2747"/>
    <w:rsid w:val="006D30B1"/>
    <w:rsid w:val="006D5E04"/>
    <w:rsid w:val="006E0A54"/>
    <w:rsid w:val="006E155D"/>
    <w:rsid w:val="006E1EEA"/>
    <w:rsid w:val="006E38F5"/>
    <w:rsid w:val="006E4298"/>
    <w:rsid w:val="006E4C15"/>
    <w:rsid w:val="006E523F"/>
    <w:rsid w:val="006E5FC3"/>
    <w:rsid w:val="006E62C4"/>
    <w:rsid w:val="006F0541"/>
    <w:rsid w:val="006F2302"/>
    <w:rsid w:val="006F268E"/>
    <w:rsid w:val="006F2EC8"/>
    <w:rsid w:val="006F33A3"/>
    <w:rsid w:val="006F3970"/>
    <w:rsid w:val="006F4824"/>
    <w:rsid w:val="006F51FB"/>
    <w:rsid w:val="006F56D0"/>
    <w:rsid w:val="006F5E13"/>
    <w:rsid w:val="006F6886"/>
    <w:rsid w:val="006F6D95"/>
    <w:rsid w:val="006F7CFE"/>
    <w:rsid w:val="007018C5"/>
    <w:rsid w:val="007022AC"/>
    <w:rsid w:val="00702937"/>
    <w:rsid w:val="00702EFF"/>
    <w:rsid w:val="00703F67"/>
    <w:rsid w:val="00705BF0"/>
    <w:rsid w:val="00705E23"/>
    <w:rsid w:val="00705F85"/>
    <w:rsid w:val="00706179"/>
    <w:rsid w:val="00706F13"/>
    <w:rsid w:val="00706FF6"/>
    <w:rsid w:val="007072E8"/>
    <w:rsid w:val="007076FB"/>
    <w:rsid w:val="00707ED5"/>
    <w:rsid w:val="00710CBC"/>
    <w:rsid w:val="00710FF1"/>
    <w:rsid w:val="00711E2F"/>
    <w:rsid w:val="007127EF"/>
    <w:rsid w:val="007134B4"/>
    <w:rsid w:val="00714A31"/>
    <w:rsid w:val="00714FD3"/>
    <w:rsid w:val="0071618D"/>
    <w:rsid w:val="0071638C"/>
    <w:rsid w:val="00720AE2"/>
    <w:rsid w:val="00720E2E"/>
    <w:rsid w:val="0072116F"/>
    <w:rsid w:val="00721534"/>
    <w:rsid w:val="00721A52"/>
    <w:rsid w:val="00721D5B"/>
    <w:rsid w:val="00722B3D"/>
    <w:rsid w:val="00723714"/>
    <w:rsid w:val="00723CF0"/>
    <w:rsid w:val="0072463D"/>
    <w:rsid w:val="00724792"/>
    <w:rsid w:val="00724A10"/>
    <w:rsid w:val="00724C58"/>
    <w:rsid w:val="00725FA4"/>
    <w:rsid w:val="007275E4"/>
    <w:rsid w:val="00727B2C"/>
    <w:rsid w:val="00732B59"/>
    <w:rsid w:val="00732E0B"/>
    <w:rsid w:val="00732FDC"/>
    <w:rsid w:val="0073309A"/>
    <w:rsid w:val="00733DD7"/>
    <w:rsid w:val="007340CC"/>
    <w:rsid w:val="00734187"/>
    <w:rsid w:val="00734C73"/>
    <w:rsid w:val="007351C6"/>
    <w:rsid w:val="00736B70"/>
    <w:rsid w:val="00740446"/>
    <w:rsid w:val="00742009"/>
    <w:rsid w:val="007438A9"/>
    <w:rsid w:val="00743E7F"/>
    <w:rsid w:val="0074491E"/>
    <w:rsid w:val="00745C85"/>
    <w:rsid w:val="00746724"/>
    <w:rsid w:val="00746E56"/>
    <w:rsid w:val="007511E4"/>
    <w:rsid w:val="0075578E"/>
    <w:rsid w:val="00756ABB"/>
    <w:rsid w:val="007602F3"/>
    <w:rsid w:val="007605AC"/>
    <w:rsid w:val="0076163F"/>
    <w:rsid w:val="0076247A"/>
    <w:rsid w:val="00762FB0"/>
    <w:rsid w:val="00763175"/>
    <w:rsid w:val="00763381"/>
    <w:rsid w:val="00763F8A"/>
    <w:rsid w:val="0076625D"/>
    <w:rsid w:val="00767391"/>
    <w:rsid w:val="007705CD"/>
    <w:rsid w:val="00771B7C"/>
    <w:rsid w:val="00774ABE"/>
    <w:rsid w:val="00774E3B"/>
    <w:rsid w:val="00775964"/>
    <w:rsid w:val="00775CEF"/>
    <w:rsid w:val="0077639F"/>
    <w:rsid w:val="007765FE"/>
    <w:rsid w:val="007766B3"/>
    <w:rsid w:val="00777163"/>
    <w:rsid w:val="00781E1A"/>
    <w:rsid w:val="007823E3"/>
    <w:rsid w:val="00785678"/>
    <w:rsid w:val="00787E5A"/>
    <w:rsid w:val="00790375"/>
    <w:rsid w:val="007910F2"/>
    <w:rsid w:val="007914FE"/>
    <w:rsid w:val="007928B7"/>
    <w:rsid w:val="00793623"/>
    <w:rsid w:val="00793C5D"/>
    <w:rsid w:val="00793FA6"/>
    <w:rsid w:val="00794E2E"/>
    <w:rsid w:val="00795373"/>
    <w:rsid w:val="00795BFB"/>
    <w:rsid w:val="00797DBC"/>
    <w:rsid w:val="007A060C"/>
    <w:rsid w:val="007A1FE8"/>
    <w:rsid w:val="007A5379"/>
    <w:rsid w:val="007A5E57"/>
    <w:rsid w:val="007B0FAC"/>
    <w:rsid w:val="007B100F"/>
    <w:rsid w:val="007B1CF5"/>
    <w:rsid w:val="007B2760"/>
    <w:rsid w:val="007B3F26"/>
    <w:rsid w:val="007B47D3"/>
    <w:rsid w:val="007B53E9"/>
    <w:rsid w:val="007B564B"/>
    <w:rsid w:val="007B5CF2"/>
    <w:rsid w:val="007B5F8C"/>
    <w:rsid w:val="007B6903"/>
    <w:rsid w:val="007B6C0B"/>
    <w:rsid w:val="007B71EE"/>
    <w:rsid w:val="007B73FC"/>
    <w:rsid w:val="007B77CE"/>
    <w:rsid w:val="007B7ACF"/>
    <w:rsid w:val="007C0A8E"/>
    <w:rsid w:val="007C127E"/>
    <w:rsid w:val="007C1B10"/>
    <w:rsid w:val="007C2407"/>
    <w:rsid w:val="007C378B"/>
    <w:rsid w:val="007C585E"/>
    <w:rsid w:val="007C5B24"/>
    <w:rsid w:val="007C6290"/>
    <w:rsid w:val="007C679C"/>
    <w:rsid w:val="007C79E3"/>
    <w:rsid w:val="007D1D55"/>
    <w:rsid w:val="007D4665"/>
    <w:rsid w:val="007D49D7"/>
    <w:rsid w:val="007D688D"/>
    <w:rsid w:val="007D69D2"/>
    <w:rsid w:val="007D6B92"/>
    <w:rsid w:val="007E09A4"/>
    <w:rsid w:val="007E1112"/>
    <w:rsid w:val="007E2283"/>
    <w:rsid w:val="007E27DA"/>
    <w:rsid w:val="007E3430"/>
    <w:rsid w:val="007E3D47"/>
    <w:rsid w:val="007E3F9C"/>
    <w:rsid w:val="007E4A8E"/>
    <w:rsid w:val="007E53C7"/>
    <w:rsid w:val="007E5792"/>
    <w:rsid w:val="007E5AC9"/>
    <w:rsid w:val="007E5B81"/>
    <w:rsid w:val="007E66B1"/>
    <w:rsid w:val="007E6772"/>
    <w:rsid w:val="007E70EB"/>
    <w:rsid w:val="007E71A4"/>
    <w:rsid w:val="007E72CE"/>
    <w:rsid w:val="007E7529"/>
    <w:rsid w:val="007E7A97"/>
    <w:rsid w:val="007F1280"/>
    <w:rsid w:val="007F54DB"/>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8CC"/>
    <w:rsid w:val="00815B09"/>
    <w:rsid w:val="008167FC"/>
    <w:rsid w:val="00817731"/>
    <w:rsid w:val="008211A4"/>
    <w:rsid w:val="00821257"/>
    <w:rsid w:val="00821986"/>
    <w:rsid w:val="008221CC"/>
    <w:rsid w:val="0082264D"/>
    <w:rsid w:val="00822961"/>
    <w:rsid w:val="0082304A"/>
    <w:rsid w:val="0082311D"/>
    <w:rsid w:val="008237CA"/>
    <w:rsid w:val="008251BC"/>
    <w:rsid w:val="00826E96"/>
    <w:rsid w:val="008276D9"/>
    <w:rsid w:val="00827DCB"/>
    <w:rsid w:val="00830FF0"/>
    <w:rsid w:val="0083140E"/>
    <w:rsid w:val="0083169C"/>
    <w:rsid w:val="008318F6"/>
    <w:rsid w:val="00831A7D"/>
    <w:rsid w:val="008324DF"/>
    <w:rsid w:val="00832A68"/>
    <w:rsid w:val="00834EFB"/>
    <w:rsid w:val="008356CA"/>
    <w:rsid w:val="00836BE3"/>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B06"/>
    <w:rsid w:val="00852ACA"/>
    <w:rsid w:val="0085369E"/>
    <w:rsid w:val="00854203"/>
    <w:rsid w:val="0085640E"/>
    <w:rsid w:val="008567D4"/>
    <w:rsid w:val="0085773A"/>
    <w:rsid w:val="00860944"/>
    <w:rsid w:val="00861829"/>
    <w:rsid w:val="008625B3"/>
    <w:rsid w:val="00862E48"/>
    <w:rsid w:val="00863A37"/>
    <w:rsid w:val="00863AB8"/>
    <w:rsid w:val="00864C35"/>
    <w:rsid w:val="00864F48"/>
    <w:rsid w:val="00865C16"/>
    <w:rsid w:val="00870417"/>
    <w:rsid w:val="0087143B"/>
    <w:rsid w:val="00872617"/>
    <w:rsid w:val="00873150"/>
    <w:rsid w:val="00873E50"/>
    <w:rsid w:val="00873F4F"/>
    <w:rsid w:val="00873FF9"/>
    <w:rsid w:val="00874329"/>
    <w:rsid w:val="00874613"/>
    <w:rsid w:val="00875B5E"/>
    <w:rsid w:val="00876557"/>
    <w:rsid w:val="0087657D"/>
    <w:rsid w:val="0087730D"/>
    <w:rsid w:val="008807D5"/>
    <w:rsid w:val="00880832"/>
    <w:rsid w:val="008819D0"/>
    <w:rsid w:val="00881A25"/>
    <w:rsid w:val="0088369F"/>
    <w:rsid w:val="008836A4"/>
    <w:rsid w:val="00884D80"/>
    <w:rsid w:val="00886047"/>
    <w:rsid w:val="00886D19"/>
    <w:rsid w:val="00886EE1"/>
    <w:rsid w:val="0088727D"/>
    <w:rsid w:val="00887F31"/>
    <w:rsid w:val="008902C7"/>
    <w:rsid w:val="0089291A"/>
    <w:rsid w:val="00892A07"/>
    <w:rsid w:val="00892F2C"/>
    <w:rsid w:val="0089340F"/>
    <w:rsid w:val="00893E3A"/>
    <w:rsid w:val="008944D2"/>
    <w:rsid w:val="00894B89"/>
    <w:rsid w:val="00895326"/>
    <w:rsid w:val="00896736"/>
    <w:rsid w:val="00896F62"/>
    <w:rsid w:val="0089779F"/>
    <w:rsid w:val="00897C27"/>
    <w:rsid w:val="00897C75"/>
    <w:rsid w:val="008A0F70"/>
    <w:rsid w:val="008A1221"/>
    <w:rsid w:val="008A1461"/>
    <w:rsid w:val="008A1EDB"/>
    <w:rsid w:val="008A2565"/>
    <w:rsid w:val="008A3CD8"/>
    <w:rsid w:val="008A4148"/>
    <w:rsid w:val="008A4BD9"/>
    <w:rsid w:val="008A6101"/>
    <w:rsid w:val="008A66C8"/>
    <w:rsid w:val="008A6BE9"/>
    <w:rsid w:val="008A7669"/>
    <w:rsid w:val="008B1869"/>
    <w:rsid w:val="008B18CD"/>
    <w:rsid w:val="008B21A6"/>
    <w:rsid w:val="008B220B"/>
    <w:rsid w:val="008B2CEF"/>
    <w:rsid w:val="008B2EAF"/>
    <w:rsid w:val="008B3AEF"/>
    <w:rsid w:val="008B3DAA"/>
    <w:rsid w:val="008B502D"/>
    <w:rsid w:val="008B61E5"/>
    <w:rsid w:val="008B6760"/>
    <w:rsid w:val="008B6CFD"/>
    <w:rsid w:val="008B7358"/>
    <w:rsid w:val="008C1097"/>
    <w:rsid w:val="008C1130"/>
    <w:rsid w:val="008C1914"/>
    <w:rsid w:val="008C1DEE"/>
    <w:rsid w:val="008C3591"/>
    <w:rsid w:val="008C38AB"/>
    <w:rsid w:val="008C5419"/>
    <w:rsid w:val="008C54CC"/>
    <w:rsid w:val="008C6406"/>
    <w:rsid w:val="008C6D97"/>
    <w:rsid w:val="008C6F1F"/>
    <w:rsid w:val="008C7A5E"/>
    <w:rsid w:val="008C7A64"/>
    <w:rsid w:val="008C7ED8"/>
    <w:rsid w:val="008D01AC"/>
    <w:rsid w:val="008D0647"/>
    <w:rsid w:val="008D13D1"/>
    <w:rsid w:val="008D18E6"/>
    <w:rsid w:val="008D1DC5"/>
    <w:rsid w:val="008D2C6D"/>
    <w:rsid w:val="008D3144"/>
    <w:rsid w:val="008D3613"/>
    <w:rsid w:val="008D3E90"/>
    <w:rsid w:val="008D4375"/>
    <w:rsid w:val="008D6D03"/>
    <w:rsid w:val="008D7023"/>
    <w:rsid w:val="008D7A9B"/>
    <w:rsid w:val="008E0060"/>
    <w:rsid w:val="008E0F2A"/>
    <w:rsid w:val="008E121C"/>
    <w:rsid w:val="008E1E53"/>
    <w:rsid w:val="008E2DD8"/>
    <w:rsid w:val="008E3648"/>
    <w:rsid w:val="008E4655"/>
    <w:rsid w:val="008E46EE"/>
    <w:rsid w:val="008E4AFF"/>
    <w:rsid w:val="008E4F4C"/>
    <w:rsid w:val="008E57B9"/>
    <w:rsid w:val="008E6687"/>
    <w:rsid w:val="008E6D31"/>
    <w:rsid w:val="008E7091"/>
    <w:rsid w:val="008E76AC"/>
    <w:rsid w:val="008E76D4"/>
    <w:rsid w:val="008F03AC"/>
    <w:rsid w:val="008F09C6"/>
    <w:rsid w:val="008F1341"/>
    <w:rsid w:val="008F136C"/>
    <w:rsid w:val="008F1EB1"/>
    <w:rsid w:val="008F1FDC"/>
    <w:rsid w:val="008F21F6"/>
    <w:rsid w:val="008F2EB0"/>
    <w:rsid w:val="008F3E80"/>
    <w:rsid w:val="008F44D5"/>
    <w:rsid w:val="008F4A44"/>
    <w:rsid w:val="008F63A8"/>
    <w:rsid w:val="008F6FA2"/>
    <w:rsid w:val="008F70D7"/>
    <w:rsid w:val="008F72E0"/>
    <w:rsid w:val="008F7664"/>
    <w:rsid w:val="008F76EA"/>
    <w:rsid w:val="00900D5E"/>
    <w:rsid w:val="00900E75"/>
    <w:rsid w:val="00901457"/>
    <w:rsid w:val="00901DFC"/>
    <w:rsid w:val="00901EFD"/>
    <w:rsid w:val="00902F64"/>
    <w:rsid w:val="00903386"/>
    <w:rsid w:val="009049C5"/>
    <w:rsid w:val="00904A12"/>
    <w:rsid w:val="00906A2D"/>
    <w:rsid w:val="009073C2"/>
    <w:rsid w:val="009076AD"/>
    <w:rsid w:val="009113F1"/>
    <w:rsid w:val="00911569"/>
    <w:rsid w:val="00911884"/>
    <w:rsid w:val="00911F4D"/>
    <w:rsid w:val="0091359D"/>
    <w:rsid w:val="0091459C"/>
    <w:rsid w:val="00914F06"/>
    <w:rsid w:val="00916D5B"/>
    <w:rsid w:val="00917201"/>
    <w:rsid w:val="00917367"/>
    <w:rsid w:val="00920663"/>
    <w:rsid w:val="00920CF6"/>
    <w:rsid w:val="00920DFD"/>
    <w:rsid w:val="00921834"/>
    <w:rsid w:val="00923B14"/>
    <w:rsid w:val="0092537D"/>
    <w:rsid w:val="00925993"/>
    <w:rsid w:val="00926475"/>
    <w:rsid w:val="00926D40"/>
    <w:rsid w:val="00927EC6"/>
    <w:rsid w:val="00930543"/>
    <w:rsid w:val="009307CF"/>
    <w:rsid w:val="00931ADD"/>
    <w:rsid w:val="00931E01"/>
    <w:rsid w:val="0093297A"/>
    <w:rsid w:val="00932B77"/>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50BFC"/>
    <w:rsid w:val="0095183F"/>
    <w:rsid w:val="00951925"/>
    <w:rsid w:val="00951AF0"/>
    <w:rsid w:val="00951F79"/>
    <w:rsid w:val="009524E2"/>
    <w:rsid w:val="009529A6"/>
    <w:rsid w:val="009536C2"/>
    <w:rsid w:val="00954404"/>
    <w:rsid w:val="00954C36"/>
    <w:rsid w:val="00954EB1"/>
    <w:rsid w:val="00955F64"/>
    <w:rsid w:val="009561C0"/>
    <w:rsid w:val="00957503"/>
    <w:rsid w:val="00961195"/>
    <w:rsid w:val="00961746"/>
    <w:rsid w:val="00961EAC"/>
    <w:rsid w:val="0096279C"/>
    <w:rsid w:val="0096342A"/>
    <w:rsid w:val="00964BE8"/>
    <w:rsid w:val="009650C2"/>
    <w:rsid w:val="0096528C"/>
    <w:rsid w:val="00967498"/>
    <w:rsid w:val="009703FA"/>
    <w:rsid w:val="00970D42"/>
    <w:rsid w:val="00971B12"/>
    <w:rsid w:val="00971CC1"/>
    <w:rsid w:val="009733BB"/>
    <w:rsid w:val="00974611"/>
    <w:rsid w:val="0097499D"/>
    <w:rsid w:val="00974AB5"/>
    <w:rsid w:val="00974F63"/>
    <w:rsid w:val="00975624"/>
    <w:rsid w:val="00976EC7"/>
    <w:rsid w:val="00976FD7"/>
    <w:rsid w:val="009801C9"/>
    <w:rsid w:val="00981992"/>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02A9"/>
    <w:rsid w:val="00990CE8"/>
    <w:rsid w:val="009917B1"/>
    <w:rsid w:val="00991B54"/>
    <w:rsid w:val="009935FB"/>
    <w:rsid w:val="009938CA"/>
    <w:rsid w:val="00993AF1"/>
    <w:rsid w:val="00996465"/>
    <w:rsid w:val="00996E66"/>
    <w:rsid w:val="009971F5"/>
    <w:rsid w:val="00997985"/>
    <w:rsid w:val="00997E69"/>
    <w:rsid w:val="009A0187"/>
    <w:rsid w:val="009A0748"/>
    <w:rsid w:val="009A075B"/>
    <w:rsid w:val="009A235E"/>
    <w:rsid w:val="009A3C4E"/>
    <w:rsid w:val="009A3DAA"/>
    <w:rsid w:val="009A4D1C"/>
    <w:rsid w:val="009A4F41"/>
    <w:rsid w:val="009A5320"/>
    <w:rsid w:val="009A53C6"/>
    <w:rsid w:val="009A58FB"/>
    <w:rsid w:val="009B079A"/>
    <w:rsid w:val="009B1328"/>
    <w:rsid w:val="009B2383"/>
    <w:rsid w:val="009B283D"/>
    <w:rsid w:val="009B2BC1"/>
    <w:rsid w:val="009B303D"/>
    <w:rsid w:val="009B33F6"/>
    <w:rsid w:val="009B45B2"/>
    <w:rsid w:val="009B4CB8"/>
    <w:rsid w:val="009B4F8D"/>
    <w:rsid w:val="009B52B2"/>
    <w:rsid w:val="009B5752"/>
    <w:rsid w:val="009B57F5"/>
    <w:rsid w:val="009B5878"/>
    <w:rsid w:val="009C0BED"/>
    <w:rsid w:val="009C152D"/>
    <w:rsid w:val="009C15AD"/>
    <w:rsid w:val="009C167B"/>
    <w:rsid w:val="009C17D3"/>
    <w:rsid w:val="009C1933"/>
    <w:rsid w:val="009C2AF0"/>
    <w:rsid w:val="009C3DB8"/>
    <w:rsid w:val="009C422B"/>
    <w:rsid w:val="009C4A7A"/>
    <w:rsid w:val="009C51C4"/>
    <w:rsid w:val="009C6CAA"/>
    <w:rsid w:val="009C6FF8"/>
    <w:rsid w:val="009C71DA"/>
    <w:rsid w:val="009C7500"/>
    <w:rsid w:val="009C7987"/>
    <w:rsid w:val="009C7F29"/>
    <w:rsid w:val="009D02EA"/>
    <w:rsid w:val="009D0F79"/>
    <w:rsid w:val="009D0FFE"/>
    <w:rsid w:val="009D137F"/>
    <w:rsid w:val="009D191F"/>
    <w:rsid w:val="009D1F4D"/>
    <w:rsid w:val="009D28E9"/>
    <w:rsid w:val="009D2A09"/>
    <w:rsid w:val="009D38E8"/>
    <w:rsid w:val="009D4626"/>
    <w:rsid w:val="009D5457"/>
    <w:rsid w:val="009D5565"/>
    <w:rsid w:val="009D75F9"/>
    <w:rsid w:val="009E06C2"/>
    <w:rsid w:val="009E07DF"/>
    <w:rsid w:val="009E0A18"/>
    <w:rsid w:val="009E1320"/>
    <w:rsid w:val="009E1EB8"/>
    <w:rsid w:val="009E3023"/>
    <w:rsid w:val="009E3D1C"/>
    <w:rsid w:val="009E459C"/>
    <w:rsid w:val="009E5113"/>
    <w:rsid w:val="009E5521"/>
    <w:rsid w:val="009E5968"/>
    <w:rsid w:val="009E5BC5"/>
    <w:rsid w:val="009E6D28"/>
    <w:rsid w:val="009E725C"/>
    <w:rsid w:val="009E7922"/>
    <w:rsid w:val="009F0489"/>
    <w:rsid w:val="009F10FD"/>
    <w:rsid w:val="009F15BD"/>
    <w:rsid w:val="009F252B"/>
    <w:rsid w:val="009F457C"/>
    <w:rsid w:val="009F47F4"/>
    <w:rsid w:val="009F4A54"/>
    <w:rsid w:val="009F4BEC"/>
    <w:rsid w:val="009F4F37"/>
    <w:rsid w:val="009F553B"/>
    <w:rsid w:val="009F5874"/>
    <w:rsid w:val="009F59FE"/>
    <w:rsid w:val="00A01374"/>
    <w:rsid w:val="00A02886"/>
    <w:rsid w:val="00A043FB"/>
    <w:rsid w:val="00A045AB"/>
    <w:rsid w:val="00A04D18"/>
    <w:rsid w:val="00A0515F"/>
    <w:rsid w:val="00A05571"/>
    <w:rsid w:val="00A0606B"/>
    <w:rsid w:val="00A061FC"/>
    <w:rsid w:val="00A06C25"/>
    <w:rsid w:val="00A0708C"/>
    <w:rsid w:val="00A07643"/>
    <w:rsid w:val="00A07CC1"/>
    <w:rsid w:val="00A10393"/>
    <w:rsid w:val="00A10857"/>
    <w:rsid w:val="00A10F17"/>
    <w:rsid w:val="00A11576"/>
    <w:rsid w:val="00A12211"/>
    <w:rsid w:val="00A122C5"/>
    <w:rsid w:val="00A144D4"/>
    <w:rsid w:val="00A169DC"/>
    <w:rsid w:val="00A16ECA"/>
    <w:rsid w:val="00A1772B"/>
    <w:rsid w:val="00A17E05"/>
    <w:rsid w:val="00A22024"/>
    <w:rsid w:val="00A2261B"/>
    <w:rsid w:val="00A23DA6"/>
    <w:rsid w:val="00A240CB"/>
    <w:rsid w:val="00A242DE"/>
    <w:rsid w:val="00A2447F"/>
    <w:rsid w:val="00A2482E"/>
    <w:rsid w:val="00A24CB4"/>
    <w:rsid w:val="00A25FD7"/>
    <w:rsid w:val="00A263AC"/>
    <w:rsid w:val="00A26AF4"/>
    <w:rsid w:val="00A26DEA"/>
    <w:rsid w:val="00A27683"/>
    <w:rsid w:val="00A366F9"/>
    <w:rsid w:val="00A37064"/>
    <w:rsid w:val="00A3773C"/>
    <w:rsid w:val="00A40669"/>
    <w:rsid w:val="00A406BE"/>
    <w:rsid w:val="00A40880"/>
    <w:rsid w:val="00A43041"/>
    <w:rsid w:val="00A43AFF"/>
    <w:rsid w:val="00A44EEE"/>
    <w:rsid w:val="00A454E3"/>
    <w:rsid w:val="00A458BF"/>
    <w:rsid w:val="00A46303"/>
    <w:rsid w:val="00A47016"/>
    <w:rsid w:val="00A50F78"/>
    <w:rsid w:val="00A51DA4"/>
    <w:rsid w:val="00A52D39"/>
    <w:rsid w:val="00A532D3"/>
    <w:rsid w:val="00A537A1"/>
    <w:rsid w:val="00A5449F"/>
    <w:rsid w:val="00A54624"/>
    <w:rsid w:val="00A60C76"/>
    <w:rsid w:val="00A60F91"/>
    <w:rsid w:val="00A61324"/>
    <w:rsid w:val="00A619C0"/>
    <w:rsid w:val="00A61A67"/>
    <w:rsid w:val="00A62CF6"/>
    <w:rsid w:val="00A6411B"/>
    <w:rsid w:val="00A645DF"/>
    <w:rsid w:val="00A6492A"/>
    <w:rsid w:val="00A65095"/>
    <w:rsid w:val="00A65194"/>
    <w:rsid w:val="00A66313"/>
    <w:rsid w:val="00A7075A"/>
    <w:rsid w:val="00A7111B"/>
    <w:rsid w:val="00A71EA8"/>
    <w:rsid w:val="00A731C3"/>
    <w:rsid w:val="00A73303"/>
    <w:rsid w:val="00A74AD1"/>
    <w:rsid w:val="00A7793A"/>
    <w:rsid w:val="00A77C02"/>
    <w:rsid w:val="00A80C05"/>
    <w:rsid w:val="00A80C7B"/>
    <w:rsid w:val="00A82091"/>
    <w:rsid w:val="00A827B5"/>
    <w:rsid w:val="00A83A71"/>
    <w:rsid w:val="00A83B99"/>
    <w:rsid w:val="00A83EE1"/>
    <w:rsid w:val="00A8497A"/>
    <w:rsid w:val="00A85C52"/>
    <w:rsid w:val="00A85FD1"/>
    <w:rsid w:val="00A90A5A"/>
    <w:rsid w:val="00A92EDA"/>
    <w:rsid w:val="00A95099"/>
    <w:rsid w:val="00A956C0"/>
    <w:rsid w:val="00AA0FA8"/>
    <w:rsid w:val="00AA2290"/>
    <w:rsid w:val="00AA2722"/>
    <w:rsid w:val="00AA289B"/>
    <w:rsid w:val="00AA3E6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66F"/>
    <w:rsid w:val="00AB604C"/>
    <w:rsid w:val="00AB64FE"/>
    <w:rsid w:val="00AB6CA7"/>
    <w:rsid w:val="00AB6D57"/>
    <w:rsid w:val="00AB6D86"/>
    <w:rsid w:val="00AB6DD5"/>
    <w:rsid w:val="00AC0BD4"/>
    <w:rsid w:val="00AC1F33"/>
    <w:rsid w:val="00AC2678"/>
    <w:rsid w:val="00AC3B82"/>
    <w:rsid w:val="00AC3EF0"/>
    <w:rsid w:val="00AC422F"/>
    <w:rsid w:val="00AC45AE"/>
    <w:rsid w:val="00AC5050"/>
    <w:rsid w:val="00AD01E4"/>
    <w:rsid w:val="00AD0858"/>
    <w:rsid w:val="00AD17E6"/>
    <w:rsid w:val="00AD4D6E"/>
    <w:rsid w:val="00AD744F"/>
    <w:rsid w:val="00AD7D7C"/>
    <w:rsid w:val="00AE02E3"/>
    <w:rsid w:val="00AE06DD"/>
    <w:rsid w:val="00AE1231"/>
    <w:rsid w:val="00AE168C"/>
    <w:rsid w:val="00AE1C98"/>
    <w:rsid w:val="00AE262D"/>
    <w:rsid w:val="00AE2B11"/>
    <w:rsid w:val="00AE4F77"/>
    <w:rsid w:val="00AE5145"/>
    <w:rsid w:val="00AE7340"/>
    <w:rsid w:val="00AF0BB5"/>
    <w:rsid w:val="00AF0C52"/>
    <w:rsid w:val="00AF1BBD"/>
    <w:rsid w:val="00AF246E"/>
    <w:rsid w:val="00AF29D5"/>
    <w:rsid w:val="00AF2EBA"/>
    <w:rsid w:val="00AF4CDE"/>
    <w:rsid w:val="00AF5249"/>
    <w:rsid w:val="00AF53F4"/>
    <w:rsid w:val="00AF55D4"/>
    <w:rsid w:val="00AF7159"/>
    <w:rsid w:val="00AF794B"/>
    <w:rsid w:val="00B03139"/>
    <w:rsid w:val="00B03620"/>
    <w:rsid w:val="00B0472F"/>
    <w:rsid w:val="00B04948"/>
    <w:rsid w:val="00B05249"/>
    <w:rsid w:val="00B052C2"/>
    <w:rsid w:val="00B05633"/>
    <w:rsid w:val="00B05C2E"/>
    <w:rsid w:val="00B06FFE"/>
    <w:rsid w:val="00B077F9"/>
    <w:rsid w:val="00B10207"/>
    <w:rsid w:val="00B11EAF"/>
    <w:rsid w:val="00B13BDD"/>
    <w:rsid w:val="00B141E7"/>
    <w:rsid w:val="00B14213"/>
    <w:rsid w:val="00B15349"/>
    <w:rsid w:val="00B16417"/>
    <w:rsid w:val="00B16B69"/>
    <w:rsid w:val="00B17A8F"/>
    <w:rsid w:val="00B17D1F"/>
    <w:rsid w:val="00B20839"/>
    <w:rsid w:val="00B2421A"/>
    <w:rsid w:val="00B2435A"/>
    <w:rsid w:val="00B24CD2"/>
    <w:rsid w:val="00B25B86"/>
    <w:rsid w:val="00B26197"/>
    <w:rsid w:val="00B26280"/>
    <w:rsid w:val="00B265A1"/>
    <w:rsid w:val="00B26626"/>
    <w:rsid w:val="00B31665"/>
    <w:rsid w:val="00B3194B"/>
    <w:rsid w:val="00B31D3C"/>
    <w:rsid w:val="00B3344F"/>
    <w:rsid w:val="00B3461A"/>
    <w:rsid w:val="00B3466A"/>
    <w:rsid w:val="00B351B4"/>
    <w:rsid w:val="00B351FA"/>
    <w:rsid w:val="00B35960"/>
    <w:rsid w:val="00B36664"/>
    <w:rsid w:val="00B40D0D"/>
    <w:rsid w:val="00B41DF4"/>
    <w:rsid w:val="00B4232B"/>
    <w:rsid w:val="00B42917"/>
    <w:rsid w:val="00B42993"/>
    <w:rsid w:val="00B43325"/>
    <w:rsid w:val="00B43898"/>
    <w:rsid w:val="00B4546C"/>
    <w:rsid w:val="00B45A6D"/>
    <w:rsid w:val="00B4654C"/>
    <w:rsid w:val="00B46BCA"/>
    <w:rsid w:val="00B47528"/>
    <w:rsid w:val="00B478AA"/>
    <w:rsid w:val="00B52415"/>
    <w:rsid w:val="00B5293D"/>
    <w:rsid w:val="00B554FE"/>
    <w:rsid w:val="00B55692"/>
    <w:rsid w:val="00B56028"/>
    <w:rsid w:val="00B565C7"/>
    <w:rsid w:val="00B56D7B"/>
    <w:rsid w:val="00B5711A"/>
    <w:rsid w:val="00B57D8C"/>
    <w:rsid w:val="00B600A4"/>
    <w:rsid w:val="00B600FD"/>
    <w:rsid w:val="00B601FD"/>
    <w:rsid w:val="00B61D64"/>
    <w:rsid w:val="00B64F3D"/>
    <w:rsid w:val="00B6591A"/>
    <w:rsid w:val="00B65F61"/>
    <w:rsid w:val="00B664B8"/>
    <w:rsid w:val="00B665CD"/>
    <w:rsid w:val="00B6735F"/>
    <w:rsid w:val="00B710D7"/>
    <w:rsid w:val="00B72E5C"/>
    <w:rsid w:val="00B74125"/>
    <w:rsid w:val="00B744B8"/>
    <w:rsid w:val="00B749E9"/>
    <w:rsid w:val="00B754FA"/>
    <w:rsid w:val="00B75663"/>
    <w:rsid w:val="00B76A1F"/>
    <w:rsid w:val="00B76A8B"/>
    <w:rsid w:val="00B77035"/>
    <w:rsid w:val="00B77482"/>
    <w:rsid w:val="00B77CD0"/>
    <w:rsid w:val="00B80A4C"/>
    <w:rsid w:val="00B80A53"/>
    <w:rsid w:val="00B8131D"/>
    <w:rsid w:val="00B825C2"/>
    <w:rsid w:val="00B82619"/>
    <w:rsid w:val="00B82883"/>
    <w:rsid w:val="00B82DE0"/>
    <w:rsid w:val="00B83CA6"/>
    <w:rsid w:val="00B83F64"/>
    <w:rsid w:val="00B84993"/>
    <w:rsid w:val="00B84C00"/>
    <w:rsid w:val="00B85325"/>
    <w:rsid w:val="00B85425"/>
    <w:rsid w:val="00B85FD4"/>
    <w:rsid w:val="00B87806"/>
    <w:rsid w:val="00B87EC9"/>
    <w:rsid w:val="00B90941"/>
    <w:rsid w:val="00B91386"/>
    <w:rsid w:val="00B91CB6"/>
    <w:rsid w:val="00B91F5D"/>
    <w:rsid w:val="00B93640"/>
    <w:rsid w:val="00B93B69"/>
    <w:rsid w:val="00B93FE5"/>
    <w:rsid w:val="00B93FF5"/>
    <w:rsid w:val="00B94C9E"/>
    <w:rsid w:val="00B94D33"/>
    <w:rsid w:val="00B96F77"/>
    <w:rsid w:val="00BA070B"/>
    <w:rsid w:val="00BA13ED"/>
    <w:rsid w:val="00BA2E21"/>
    <w:rsid w:val="00BA3864"/>
    <w:rsid w:val="00BA3D71"/>
    <w:rsid w:val="00BA4149"/>
    <w:rsid w:val="00BA4427"/>
    <w:rsid w:val="00BA5137"/>
    <w:rsid w:val="00BA5C68"/>
    <w:rsid w:val="00BA7F12"/>
    <w:rsid w:val="00BB1D17"/>
    <w:rsid w:val="00BB3160"/>
    <w:rsid w:val="00BB4C02"/>
    <w:rsid w:val="00BB5474"/>
    <w:rsid w:val="00BB6133"/>
    <w:rsid w:val="00BB6691"/>
    <w:rsid w:val="00BB6A96"/>
    <w:rsid w:val="00BB708E"/>
    <w:rsid w:val="00BB751A"/>
    <w:rsid w:val="00BC24A1"/>
    <w:rsid w:val="00BC38FD"/>
    <w:rsid w:val="00BC3C53"/>
    <w:rsid w:val="00BC4487"/>
    <w:rsid w:val="00BC4C9E"/>
    <w:rsid w:val="00BC58DA"/>
    <w:rsid w:val="00BC5BEC"/>
    <w:rsid w:val="00BD1F61"/>
    <w:rsid w:val="00BD23A7"/>
    <w:rsid w:val="00BD28F0"/>
    <w:rsid w:val="00BD30D2"/>
    <w:rsid w:val="00BD3EB5"/>
    <w:rsid w:val="00BD524F"/>
    <w:rsid w:val="00BD6191"/>
    <w:rsid w:val="00BD681A"/>
    <w:rsid w:val="00BD7269"/>
    <w:rsid w:val="00BD72C1"/>
    <w:rsid w:val="00BE0434"/>
    <w:rsid w:val="00BE064B"/>
    <w:rsid w:val="00BE2586"/>
    <w:rsid w:val="00BE3D5C"/>
    <w:rsid w:val="00BE479B"/>
    <w:rsid w:val="00BE4A70"/>
    <w:rsid w:val="00BE511F"/>
    <w:rsid w:val="00BE52B5"/>
    <w:rsid w:val="00BE6240"/>
    <w:rsid w:val="00BE6451"/>
    <w:rsid w:val="00BE66A2"/>
    <w:rsid w:val="00BE6D1B"/>
    <w:rsid w:val="00BE6FCB"/>
    <w:rsid w:val="00BF2DF6"/>
    <w:rsid w:val="00BF316F"/>
    <w:rsid w:val="00BF350D"/>
    <w:rsid w:val="00BF4A8F"/>
    <w:rsid w:val="00BF4C2F"/>
    <w:rsid w:val="00BF5767"/>
    <w:rsid w:val="00BF5A0E"/>
    <w:rsid w:val="00BF69C9"/>
    <w:rsid w:val="00BF737C"/>
    <w:rsid w:val="00BF7706"/>
    <w:rsid w:val="00BF7F5D"/>
    <w:rsid w:val="00C002A2"/>
    <w:rsid w:val="00C00DFC"/>
    <w:rsid w:val="00C01D40"/>
    <w:rsid w:val="00C01DF8"/>
    <w:rsid w:val="00C02231"/>
    <w:rsid w:val="00C02BA1"/>
    <w:rsid w:val="00C02D7C"/>
    <w:rsid w:val="00C030AB"/>
    <w:rsid w:val="00C034CB"/>
    <w:rsid w:val="00C03C77"/>
    <w:rsid w:val="00C03D13"/>
    <w:rsid w:val="00C04886"/>
    <w:rsid w:val="00C0509B"/>
    <w:rsid w:val="00C051A8"/>
    <w:rsid w:val="00C054BC"/>
    <w:rsid w:val="00C059D0"/>
    <w:rsid w:val="00C05CE5"/>
    <w:rsid w:val="00C06851"/>
    <w:rsid w:val="00C07859"/>
    <w:rsid w:val="00C07D28"/>
    <w:rsid w:val="00C10433"/>
    <w:rsid w:val="00C110FD"/>
    <w:rsid w:val="00C1142D"/>
    <w:rsid w:val="00C11B7D"/>
    <w:rsid w:val="00C11F53"/>
    <w:rsid w:val="00C12F3B"/>
    <w:rsid w:val="00C14033"/>
    <w:rsid w:val="00C14CCE"/>
    <w:rsid w:val="00C14D0B"/>
    <w:rsid w:val="00C158D4"/>
    <w:rsid w:val="00C161C4"/>
    <w:rsid w:val="00C1640B"/>
    <w:rsid w:val="00C16479"/>
    <w:rsid w:val="00C170C2"/>
    <w:rsid w:val="00C17547"/>
    <w:rsid w:val="00C17897"/>
    <w:rsid w:val="00C17F23"/>
    <w:rsid w:val="00C202E9"/>
    <w:rsid w:val="00C20C7D"/>
    <w:rsid w:val="00C2199B"/>
    <w:rsid w:val="00C21A7C"/>
    <w:rsid w:val="00C22ACF"/>
    <w:rsid w:val="00C23D5E"/>
    <w:rsid w:val="00C24D55"/>
    <w:rsid w:val="00C2650A"/>
    <w:rsid w:val="00C273C7"/>
    <w:rsid w:val="00C30D93"/>
    <w:rsid w:val="00C312D2"/>
    <w:rsid w:val="00C3136D"/>
    <w:rsid w:val="00C32B95"/>
    <w:rsid w:val="00C32CD4"/>
    <w:rsid w:val="00C32EF4"/>
    <w:rsid w:val="00C33493"/>
    <w:rsid w:val="00C356AB"/>
    <w:rsid w:val="00C357DB"/>
    <w:rsid w:val="00C35E0A"/>
    <w:rsid w:val="00C36017"/>
    <w:rsid w:val="00C362A6"/>
    <w:rsid w:val="00C367C9"/>
    <w:rsid w:val="00C368B1"/>
    <w:rsid w:val="00C36AE6"/>
    <w:rsid w:val="00C40052"/>
    <w:rsid w:val="00C409D5"/>
    <w:rsid w:val="00C435C3"/>
    <w:rsid w:val="00C43912"/>
    <w:rsid w:val="00C43FAE"/>
    <w:rsid w:val="00C441C5"/>
    <w:rsid w:val="00C4460E"/>
    <w:rsid w:val="00C44B9B"/>
    <w:rsid w:val="00C44CC9"/>
    <w:rsid w:val="00C44E5F"/>
    <w:rsid w:val="00C45493"/>
    <w:rsid w:val="00C46B05"/>
    <w:rsid w:val="00C4722C"/>
    <w:rsid w:val="00C47E5D"/>
    <w:rsid w:val="00C50334"/>
    <w:rsid w:val="00C51595"/>
    <w:rsid w:val="00C51666"/>
    <w:rsid w:val="00C51B7C"/>
    <w:rsid w:val="00C52727"/>
    <w:rsid w:val="00C5546F"/>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A06"/>
    <w:rsid w:val="00C771BE"/>
    <w:rsid w:val="00C823AC"/>
    <w:rsid w:val="00C83796"/>
    <w:rsid w:val="00C83DE3"/>
    <w:rsid w:val="00C83FA4"/>
    <w:rsid w:val="00C851C0"/>
    <w:rsid w:val="00C856E8"/>
    <w:rsid w:val="00C85990"/>
    <w:rsid w:val="00C86023"/>
    <w:rsid w:val="00C8661B"/>
    <w:rsid w:val="00C868C6"/>
    <w:rsid w:val="00C87F56"/>
    <w:rsid w:val="00C92DD1"/>
    <w:rsid w:val="00C939C5"/>
    <w:rsid w:val="00C93C63"/>
    <w:rsid w:val="00C9465E"/>
    <w:rsid w:val="00C94B9E"/>
    <w:rsid w:val="00C95040"/>
    <w:rsid w:val="00C9528B"/>
    <w:rsid w:val="00C95C54"/>
    <w:rsid w:val="00C9652E"/>
    <w:rsid w:val="00C96974"/>
    <w:rsid w:val="00C97581"/>
    <w:rsid w:val="00C979BF"/>
    <w:rsid w:val="00CA03C8"/>
    <w:rsid w:val="00CA0630"/>
    <w:rsid w:val="00CA0DFD"/>
    <w:rsid w:val="00CA139A"/>
    <w:rsid w:val="00CA19FA"/>
    <w:rsid w:val="00CA2899"/>
    <w:rsid w:val="00CA3A3D"/>
    <w:rsid w:val="00CA3AA6"/>
    <w:rsid w:val="00CA3EF3"/>
    <w:rsid w:val="00CA4880"/>
    <w:rsid w:val="00CA4F3A"/>
    <w:rsid w:val="00CA51FC"/>
    <w:rsid w:val="00CA555C"/>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6324"/>
    <w:rsid w:val="00CB7813"/>
    <w:rsid w:val="00CC06BA"/>
    <w:rsid w:val="00CC269A"/>
    <w:rsid w:val="00CC4551"/>
    <w:rsid w:val="00CC4757"/>
    <w:rsid w:val="00CC4AD9"/>
    <w:rsid w:val="00CC51D4"/>
    <w:rsid w:val="00CC5367"/>
    <w:rsid w:val="00CC5633"/>
    <w:rsid w:val="00CC65DA"/>
    <w:rsid w:val="00CC6C62"/>
    <w:rsid w:val="00CC7BB5"/>
    <w:rsid w:val="00CD1043"/>
    <w:rsid w:val="00CD13F3"/>
    <w:rsid w:val="00CD14B9"/>
    <w:rsid w:val="00CD1962"/>
    <w:rsid w:val="00CD46B3"/>
    <w:rsid w:val="00CD6692"/>
    <w:rsid w:val="00CD692C"/>
    <w:rsid w:val="00CD6C8C"/>
    <w:rsid w:val="00CD7B7C"/>
    <w:rsid w:val="00CE02A6"/>
    <w:rsid w:val="00CE11CC"/>
    <w:rsid w:val="00CE18A4"/>
    <w:rsid w:val="00CE2AA7"/>
    <w:rsid w:val="00CE31D4"/>
    <w:rsid w:val="00CE4916"/>
    <w:rsid w:val="00CE5AA0"/>
    <w:rsid w:val="00CE5F1D"/>
    <w:rsid w:val="00CF0103"/>
    <w:rsid w:val="00CF0740"/>
    <w:rsid w:val="00CF0A42"/>
    <w:rsid w:val="00CF174F"/>
    <w:rsid w:val="00CF18AF"/>
    <w:rsid w:val="00CF18FA"/>
    <w:rsid w:val="00CF21B9"/>
    <w:rsid w:val="00CF2A2D"/>
    <w:rsid w:val="00CF3182"/>
    <w:rsid w:val="00CF5BD1"/>
    <w:rsid w:val="00CF6BF9"/>
    <w:rsid w:val="00CF75DD"/>
    <w:rsid w:val="00D00748"/>
    <w:rsid w:val="00D02A5C"/>
    <w:rsid w:val="00D0307D"/>
    <w:rsid w:val="00D03745"/>
    <w:rsid w:val="00D03800"/>
    <w:rsid w:val="00D04EC2"/>
    <w:rsid w:val="00D065D3"/>
    <w:rsid w:val="00D06B96"/>
    <w:rsid w:val="00D0721D"/>
    <w:rsid w:val="00D10C65"/>
    <w:rsid w:val="00D10DD2"/>
    <w:rsid w:val="00D11C4B"/>
    <w:rsid w:val="00D12AEC"/>
    <w:rsid w:val="00D13799"/>
    <w:rsid w:val="00D14142"/>
    <w:rsid w:val="00D14C94"/>
    <w:rsid w:val="00D1712E"/>
    <w:rsid w:val="00D20068"/>
    <w:rsid w:val="00D2014C"/>
    <w:rsid w:val="00D20C48"/>
    <w:rsid w:val="00D215E1"/>
    <w:rsid w:val="00D21DF3"/>
    <w:rsid w:val="00D220B4"/>
    <w:rsid w:val="00D231C8"/>
    <w:rsid w:val="00D256FA"/>
    <w:rsid w:val="00D25E16"/>
    <w:rsid w:val="00D25F2C"/>
    <w:rsid w:val="00D266FB"/>
    <w:rsid w:val="00D26D63"/>
    <w:rsid w:val="00D26F4A"/>
    <w:rsid w:val="00D27672"/>
    <w:rsid w:val="00D27F49"/>
    <w:rsid w:val="00D30CE1"/>
    <w:rsid w:val="00D31C4A"/>
    <w:rsid w:val="00D32F94"/>
    <w:rsid w:val="00D33B6B"/>
    <w:rsid w:val="00D3421B"/>
    <w:rsid w:val="00D342A6"/>
    <w:rsid w:val="00D343C4"/>
    <w:rsid w:val="00D34440"/>
    <w:rsid w:val="00D3458A"/>
    <w:rsid w:val="00D34FC6"/>
    <w:rsid w:val="00D35A33"/>
    <w:rsid w:val="00D361C8"/>
    <w:rsid w:val="00D3636B"/>
    <w:rsid w:val="00D36A6A"/>
    <w:rsid w:val="00D37540"/>
    <w:rsid w:val="00D37634"/>
    <w:rsid w:val="00D400F9"/>
    <w:rsid w:val="00D41024"/>
    <w:rsid w:val="00D428AA"/>
    <w:rsid w:val="00D443BE"/>
    <w:rsid w:val="00D45CA6"/>
    <w:rsid w:val="00D45CAC"/>
    <w:rsid w:val="00D464BF"/>
    <w:rsid w:val="00D46635"/>
    <w:rsid w:val="00D46EAD"/>
    <w:rsid w:val="00D524B1"/>
    <w:rsid w:val="00D52BDB"/>
    <w:rsid w:val="00D5356B"/>
    <w:rsid w:val="00D53E26"/>
    <w:rsid w:val="00D553D3"/>
    <w:rsid w:val="00D557EE"/>
    <w:rsid w:val="00D57074"/>
    <w:rsid w:val="00D57E87"/>
    <w:rsid w:val="00D60EE3"/>
    <w:rsid w:val="00D60EE7"/>
    <w:rsid w:val="00D62571"/>
    <w:rsid w:val="00D62F75"/>
    <w:rsid w:val="00D630BE"/>
    <w:rsid w:val="00D6322D"/>
    <w:rsid w:val="00D65A49"/>
    <w:rsid w:val="00D65EBE"/>
    <w:rsid w:val="00D70E31"/>
    <w:rsid w:val="00D711B2"/>
    <w:rsid w:val="00D72DA3"/>
    <w:rsid w:val="00D755F8"/>
    <w:rsid w:val="00D76752"/>
    <w:rsid w:val="00D77688"/>
    <w:rsid w:val="00D77B9E"/>
    <w:rsid w:val="00D80C9F"/>
    <w:rsid w:val="00D82487"/>
    <w:rsid w:val="00D829B1"/>
    <w:rsid w:val="00D8377A"/>
    <w:rsid w:val="00D839D1"/>
    <w:rsid w:val="00D84D15"/>
    <w:rsid w:val="00D85092"/>
    <w:rsid w:val="00D85297"/>
    <w:rsid w:val="00D85B77"/>
    <w:rsid w:val="00D87054"/>
    <w:rsid w:val="00D87308"/>
    <w:rsid w:val="00D87FDD"/>
    <w:rsid w:val="00D9080F"/>
    <w:rsid w:val="00D91E04"/>
    <w:rsid w:val="00D931A3"/>
    <w:rsid w:val="00D94CCE"/>
    <w:rsid w:val="00D95055"/>
    <w:rsid w:val="00D95AA4"/>
    <w:rsid w:val="00D95BBB"/>
    <w:rsid w:val="00D960F9"/>
    <w:rsid w:val="00D964EE"/>
    <w:rsid w:val="00D979E4"/>
    <w:rsid w:val="00DA0339"/>
    <w:rsid w:val="00DA0B14"/>
    <w:rsid w:val="00DA2076"/>
    <w:rsid w:val="00DA416E"/>
    <w:rsid w:val="00DA4D4B"/>
    <w:rsid w:val="00DA59D4"/>
    <w:rsid w:val="00DA5ADC"/>
    <w:rsid w:val="00DA61BD"/>
    <w:rsid w:val="00DA653F"/>
    <w:rsid w:val="00DA6EF0"/>
    <w:rsid w:val="00DA78EC"/>
    <w:rsid w:val="00DA7CAD"/>
    <w:rsid w:val="00DB020A"/>
    <w:rsid w:val="00DB182C"/>
    <w:rsid w:val="00DB2582"/>
    <w:rsid w:val="00DB390F"/>
    <w:rsid w:val="00DB4AAD"/>
    <w:rsid w:val="00DB5402"/>
    <w:rsid w:val="00DB62A2"/>
    <w:rsid w:val="00DB77DF"/>
    <w:rsid w:val="00DC02C0"/>
    <w:rsid w:val="00DC0F46"/>
    <w:rsid w:val="00DC1AB9"/>
    <w:rsid w:val="00DC22D8"/>
    <w:rsid w:val="00DC292D"/>
    <w:rsid w:val="00DC2DB9"/>
    <w:rsid w:val="00DC30E6"/>
    <w:rsid w:val="00DC32A9"/>
    <w:rsid w:val="00DC3445"/>
    <w:rsid w:val="00DC3BD1"/>
    <w:rsid w:val="00DC4047"/>
    <w:rsid w:val="00DC4BB6"/>
    <w:rsid w:val="00DC5A3D"/>
    <w:rsid w:val="00DC61DA"/>
    <w:rsid w:val="00DC756E"/>
    <w:rsid w:val="00DC7B09"/>
    <w:rsid w:val="00DD096C"/>
    <w:rsid w:val="00DD236B"/>
    <w:rsid w:val="00DD3302"/>
    <w:rsid w:val="00DD3943"/>
    <w:rsid w:val="00DD3EF5"/>
    <w:rsid w:val="00DD4248"/>
    <w:rsid w:val="00DD4707"/>
    <w:rsid w:val="00DD4F0E"/>
    <w:rsid w:val="00DD54ED"/>
    <w:rsid w:val="00DD5736"/>
    <w:rsid w:val="00DD5F22"/>
    <w:rsid w:val="00DD763B"/>
    <w:rsid w:val="00DE0C49"/>
    <w:rsid w:val="00DE0DD9"/>
    <w:rsid w:val="00DE1D45"/>
    <w:rsid w:val="00DE2C11"/>
    <w:rsid w:val="00DE3611"/>
    <w:rsid w:val="00DE3D6D"/>
    <w:rsid w:val="00DE481D"/>
    <w:rsid w:val="00DE4ACD"/>
    <w:rsid w:val="00DE69C7"/>
    <w:rsid w:val="00DE74ED"/>
    <w:rsid w:val="00DE7A52"/>
    <w:rsid w:val="00DE7B7E"/>
    <w:rsid w:val="00DF004C"/>
    <w:rsid w:val="00DF01A3"/>
    <w:rsid w:val="00DF090C"/>
    <w:rsid w:val="00DF0931"/>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0E98"/>
    <w:rsid w:val="00E1320F"/>
    <w:rsid w:val="00E154C8"/>
    <w:rsid w:val="00E16AAC"/>
    <w:rsid w:val="00E21A87"/>
    <w:rsid w:val="00E21AF5"/>
    <w:rsid w:val="00E24036"/>
    <w:rsid w:val="00E240E2"/>
    <w:rsid w:val="00E24857"/>
    <w:rsid w:val="00E24D4E"/>
    <w:rsid w:val="00E25479"/>
    <w:rsid w:val="00E26F95"/>
    <w:rsid w:val="00E27608"/>
    <w:rsid w:val="00E3092E"/>
    <w:rsid w:val="00E3419F"/>
    <w:rsid w:val="00E348B6"/>
    <w:rsid w:val="00E35613"/>
    <w:rsid w:val="00E361BF"/>
    <w:rsid w:val="00E36456"/>
    <w:rsid w:val="00E3651B"/>
    <w:rsid w:val="00E37D9F"/>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3E8"/>
    <w:rsid w:val="00E61918"/>
    <w:rsid w:val="00E62B27"/>
    <w:rsid w:val="00E65533"/>
    <w:rsid w:val="00E66A24"/>
    <w:rsid w:val="00E66EF8"/>
    <w:rsid w:val="00E6757C"/>
    <w:rsid w:val="00E70347"/>
    <w:rsid w:val="00E70525"/>
    <w:rsid w:val="00E71517"/>
    <w:rsid w:val="00E719F5"/>
    <w:rsid w:val="00E72226"/>
    <w:rsid w:val="00E72EDC"/>
    <w:rsid w:val="00E73CF4"/>
    <w:rsid w:val="00E74176"/>
    <w:rsid w:val="00E76552"/>
    <w:rsid w:val="00E770BB"/>
    <w:rsid w:val="00E77C52"/>
    <w:rsid w:val="00E80AA0"/>
    <w:rsid w:val="00E81AA5"/>
    <w:rsid w:val="00E81CB4"/>
    <w:rsid w:val="00E8226C"/>
    <w:rsid w:val="00E82A33"/>
    <w:rsid w:val="00E82D75"/>
    <w:rsid w:val="00E8393E"/>
    <w:rsid w:val="00E83DD8"/>
    <w:rsid w:val="00E83F58"/>
    <w:rsid w:val="00E8548B"/>
    <w:rsid w:val="00E8585B"/>
    <w:rsid w:val="00E85C1F"/>
    <w:rsid w:val="00E86C55"/>
    <w:rsid w:val="00E87CCE"/>
    <w:rsid w:val="00E87F41"/>
    <w:rsid w:val="00E90E21"/>
    <w:rsid w:val="00E90F09"/>
    <w:rsid w:val="00E92880"/>
    <w:rsid w:val="00E92D2E"/>
    <w:rsid w:val="00E92FFA"/>
    <w:rsid w:val="00E9330F"/>
    <w:rsid w:val="00E93E5E"/>
    <w:rsid w:val="00E94BB7"/>
    <w:rsid w:val="00E95049"/>
    <w:rsid w:val="00E95321"/>
    <w:rsid w:val="00E95572"/>
    <w:rsid w:val="00E959C0"/>
    <w:rsid w:val="00E9667C"/>
    <w:rsid w:val="00E97071"/>
    <w:rsid w:val="00E97083"/>
    <w:rsid w:val="00E973B0"/>
    <w:rsid w:val="00EA20BE"/>
    <w:rsid w:val="00EA3193"/>
    <w:rsid w:val="00EA396E"/>
    <w:rsid w:val="00EA3F15"/>
    <w:rsid w:val="00EA5C47"/>
    <w:rsid w:val="00EA5CB1"/>
    <w:rsid w:val="00EA5F40"/>
    <w:rsid w:val="00EA69C9"/>
    <w:rsid w:val="00EA7847"/>
    <w:rsid w:val="00EA7BB7"/>
    <w:rsid w:val="00EA7C02"/>
    <w:rsid w:val="00EB16F4"/>
    <w:rsid w:val="00EB29E1"/>
    <w:rsid w:val="00EB2AD3"/>
    <w:rsid w:val="00EB2F92"/>
    <w:rsid w:val="00EB3439"/>
    <w:rsid w:val="00EB352A"/>
    <w:rsid w:val="00EB3569"/>
    <w:rsid w:val="00EB3D1E"/>
    <w:rsid w:val="00EB432F"/>
    <w:rsid w:val="00EB4C2F"/>
    <w:rsid w:val="00EB5054"/>
    <w:rsid w:val="00EB6E9E"/>
    <w:rsid w:val="00EB6EFF"/>
    <w:rsid w:val="00EC0085"/>
    <w:rsid w:val="00EC24EC"/>
    <w:rsid w:val="00EC2AFB"/>
    <w:rsid w:val="00EC4FD7"/>
    <w:rsid w:val="00EC5563"/>
    <w:rsid w:val="00EC5748"/>
    <w:rsid w:val="00EC5A4B"/>
    <w:rsid w:val="00EC688C"/>
    <w:rsid w:val="00EC7659"/>
    <w:rsid w:val="00ED0150"/>
    <w:rsid w:val="00ED0D19"/>
    <w:rsid w:val="00ED130C"/>
    <w:rsid w:val="00ED25DC"/>
    <w:rsid w:val="00ED2AFF"/>
    <w:rsid w:val="00ED3BFC"/>
    <w:rsid w:val="00ED3DCD"/>
    <w:rsid w:val="00ED5D82"/>
    <w:rsid w:val="00ED5FF2"/>
    <w:rsid w:val="00ED74F3"/>
    <w:rsid w:val="00ED7DB3"/>
    <w:rsid w:val="00EE14D6"/>
    <w:rsid w:val="00EE1951"/>
    <w:rsid w:val="00EE259D"/>
    <w:rsid w:val="00EE2CA1"/>
    <w:rsid w:val="00EE2E6E"/>
    <w:rsid w:val="00EE36B2"/>
    <w:rsid w:val="00EE3FCD"/>
    <w:rsid w:val="00EE45EA"/>
    <w:rsid w:val="00EE4FE4"/>
    <w:rsid w:val="00EE5E86"/>
    <w:rsid w:val="00EE5FCC"/>
    <w:rsid w:val="00EE62C0"/>
    <w:rsid w:val="00EE64AA"/>
    <w:rsid w:val="00EE76C0"/>
    <w:rsid w:val="00EF3279"/>
    <w:rsid w:val="00EF5E35"/>
    <w:rsid w:val="00EF6391"/>
    <w:rsid w:val="00EF70B1"/>
    <w:rsid w:val="00F0030B"/>
    <w:rsid w:val="00F0035C"/>
    <w:rsid w:val="00F00B67"/>
    <w:rsid w:val="00F00C64"/>
    <w:rsid w:val="00F00C90"/>
    <w:rsid w:val="00F01EB4"/>
    <w:rsid w:val="00F029B1"/>
    <w:rsid w:val="00F02C0E"/>
    <w:rsid w:val="00F02E6B"/>
    <w:rsid w:val="00F044B6"/>
    <w:rsid w:val="00F04810"/>
    <w:rsid w:val="00F04C88"/>
    <w:rsid w:val="00F04F0D"/>
    <w:rsid w:val="00F0759E"/>
    <w:rsid w:val="00F07B90"/>
    <w:rsid w:val="00F11188"/>
    <w:rsid w:val="00F13E43"/>
    <w:rsid w:val="00F144BE"/>
    <w:rsid w:val="00F16A43"/>
    <w:rsid w:val="00F178D8"/>
    <w:rsid w:val="00F17914"/>
    <w:rsid w:val="00F17B18"/>
    <w:rsid w:val="00F219B9"/>
    <w:rsid w:val="00F224BD"/>
    <w:rsid w:val="00F22EF2"/>
    <w:rsid w:val="00F231C2"/>
    <w:rsid w:val="00F2375C"/>
    <w:rsid w:val="00F23E4C"/>
    <w:rsid w:val="00F246AE"/>
    <w:rsid w:val="00F25A7F"/>
    <w:rsid w:val="00F25FBE"/>
    <w:rsid w:val="00F270E9"/>
    <w:rsid w:val="00F2718C"/>
    <w:rsid w:val="00F30041"/>
    <w:rsid w:val="00F304FE"/>
    <w:rsid w:val="00F30572"/>
    <w:rsid w:val="00F30829"/>
    <w:rsid w:val="00F3147E"/>
    <w:rsid w:val="00F3199B"/>
    <w:rsid w:val="00F320B2"/>
    <w:rsid w:val="00F335D7"/>
    <w:rsid w:val="00F35F07"/>
    <w:rsid w:val="00F36702"/>
    <w:rsid w:val="00F37A1B"/>
    <w:rsid w:val="00F40882"/>
    <w:rsid w:val="00F4214B"/>
    <w:rsid w:val="00F4259F"/>
    <w:rsid w:val="00F46347"/>
    <w:rsid w:val="00F46780"/>
    <w:rsid w:val="00F50305"/>
    <w:rsid w:val="00F50AC4"/>
    <w:rsid w:val="00F51218"/>
    <w:rsid w:val="00F516D1"/>
    <w:rsid w:val="00F51A86"/>
    <w:rsid w:val="00F51C53"/>
    <w:rsid w:val="00F52701"/>
    <w:rsid w:val="00F532BA"/>
    <w:rsid w:val="00F54493"/>
    <w:rsid w:val="00F5566F"/>
    <w:rsid w:val="00F559EF"/>
    <w:rsid w:val="00F55A19"/>
    <w:rsid w:val="00F56125"/>
    <w:rsid w:val="00F564F9"/>
    <w:rsid w:val="00F57709"/>
    <w:rsid w:val="00F57CCB"/>
    <w:rsid w:val="00F600D4"/>
    <w:rsid w:val="00F6205E"/>
    <w:rsid w:val="00F6297F"/>
    <w:rsid w:val="00F62A1B"/>
    <w:rsid w:val="00F64373"/>
    <w:rsid w:val="00F66930"/>
    <w:rsid w:val="00F678DC"/>
    <w:rsid w:val="00F70043"/>
    <w:rsid w:val="00F72105"/>
    <w:rsid w:val="00F72B25"/>
    <w:rsid w:val="00F73E95"/>
    <w:rsid w:val="00F74293"/>
    <w:rsid w:val="00F74C38"/>
    <w:rsid w:val="00F7576E"/>
    <w:rsid w:val="00F75B8D"/>
    <w:rsid w:val="00F75FF9"/>
    <w:rsid w:val="00F7693A"/>
    <w:rsid w:val="00F76BB6"/>
    <w:rsid w:val="00F76C1D"/>
    <w:rsid w:val="00F7760D"/>
    <w:rsid w:val="00F77B04"/>
    <w:rsid w:val="00F77B98"/>
    <w:rsid w:val="00F77D2D"/>
    <w:rsid w:val="00F800C1"/>
    <w:rsid w:val="00F80317"/>
    <w:rsid w:val="00F821A3"/>
    <w:rsid w:val="00F82C05"/>
    <w:rsid w:val="00F82D5C"/>
    <w:rsid w:val="00F84552"/>
    <w:rsid w:val="00F84C8C"/>
    <w:rsid w:val="00F86162"/>
    <w:rsid w:val="00F87F6A"/>
    <w:rsid w:val="00F91043"/>
    <w:rsid w:val="00F91C11"/>
    <w:rsid w:val="00F9246F"/>
    <w:rsid w:val="00F9309A"/>
    <w:rsid w:val="00F9314A"/>
    <w:rsid w:val="00F940B2"/>
    <w:rsid w:val="00F9422A"/>
    <w:rsid w:val="00F94902"/>
    <w:rsid w:val="00F95AF6"/>
    <w:rsid w:val="00F95D08"/>
    <w:rsid w:val="00F960E1"/>
    <w:rsid w:val="00F9742E"/>
    <w:rsid w:val="00FA0E96"/>
    <w:rsid w:val="00FA1206"/>
    <w:rsid w:val="00FA1462"/>
    <w:rsid w:val="00FA3C61"/>
    <w:rsid w:val="00FA45B8"/>
    <w:rsid w:val="00FA5BD7"/>
    <w:rsid w:val="00FA75EC"/>
    <w:rsid w:val="00FB07B9"/>
    <w:rsid w:val="00FB19E8"/>
    <w:rsid w:val="00FB1DA9"/>
    <w:rsid w:val="00FB24A5"/>
    <w:rsid w:val="00FB2A38"/>
    <w:rsid w:val="00FB2CA8"/>
    <w:rsid w:val="00FB387F"/>
    <w:rsid w:val="00FB397E"/>
    <w:rsid w:val="00FB3B0F"/>
    <w:rsid w:val="00FB41DE"/>
    <w:rsid w:val="00FB49F6"/>
    <w:rsid w:val="00FB5CA9"/>
    <w:rsid w:val="00FB5EC8"/>
    <w:rsid w:val="00FB5FC2"/>
    <w:rsid w:val="00FB61D1"/>
    <w:rsid w:val="00FB67F1"/>
    <w:rsid w:val="00FB6C27"/>
    <w:rsid w:val="00FB7A02"/>
    <w:rsid w:val="00FB7F50"/>
    <w:rsid w:val="00FC0F7A"/>
    <w:rsid w:val="00FC3165"/>
    <w:rsid w:val="00FC4A62"/>
    <w:rsid w:val="00FC4B39"/>
    <w:rsid w:val="00FC4BFD"/>
    <w:rsid w:val="00FC524D"/>
    <w:rsid w:val="00FC5798"/>
    <w:rsid w:val="00FC58EF"/>
    <w:rsid w:val="00FC5ADC"/>
    <w:rsid w:val="00FC5FE4"/>
    <w:rsid w:val="00FC64D4"/>
    <w:rsid w:val="00FC783B"/>
    <w:rsid w:val="00FC786D"/>
    <w:rsid w:val="00FD0D49"/>
    <w:rsid w:val="00FD1049"/>
    <w:rsid w:val="00FD1785"/>
    <w:rsid w:val="00FD2D52"/>
    <w:rsid w:val="00FD30C0"/>
    <w:rsid w:val="00FD33DF"/>
    <w:rsid w:val="00FD3CBE"/>
    <w:rsid w:val="00FD5320"/>
    <w:rsid w:val="00FD69A5"/>
    <w:rsid w:val="00FD7AA3"/>
    <w:rsid w:val="00FE304A"/>
    <w:rsid w:val="00FE38A0"/>
    <w:rsid w:val="00FE39D7"/>
    <w:rsid w:val="00FE460F"/>
    <w:rsid w:val="00FE4A21"/>
    <w:rsid w:val="00FE4ECD"/>
    <w:rsid w:val="00FE6205"/>
    <w:rsid w:val="00FE771C"/>
    <w:rsid w:val="00FE7EAA"/>
    <w:rsid w:val="00FF0A41"/>
    <w:rsid w:val="00FF2292"/>
    <w:rsid w:val="00FF2D46"/>
    <w:rsid w:val="00FF4689"/>
    <w:rsid w:val="00FF4760"/>
    <w:rsid w:val="00FF4827"/>
    <w:rsid w:val="00FF6194"/>
    <w:rsid w:val="00FF67D7"/>
    <w:rsid w:val="00FF75C5"/>
    <w:rsid w:val="00FF7802"/>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titulo 3,Liste 1,Bullets,References,Lista vistosa - Énfasis 11,Bolita,BOLA,BOLADEF,Antes de enumeración,Párrafo de lista2,Suntítulo 4,Bullet,lista numerada,Subtítulo 4,titulo 4,Fluvial1,Párrafo numerado,Titulo 4,lp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Bullet Car,lista numerada Car,Subtítulo 4 Car,lp1 Car"/>
    <w:link w:val="Prrafodelista"/>
    <w:qFormat/>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aliases w:val="Neg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Sangra2">
    <w:name w:val="Sangría 2"/>
    <w:basedOn w:val="Normal"/>
    <w:rsid w:val="00B91386"/>
    <w:pPr>
      <w:spacing w:before="0" w:after="0" w:line="240" w:lineRule="exact"/>
      <w:ind w:left="907"/>
    </w:pPr>
    <w:rPr>
      <w:rFonts w:ascii="Arial" w:hAnsi="Arial"/>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490">
      <w:bodyDiv w:val="1"/>
      <w:marLeft w:val="0"/>
      <w:marRight w:val="0"/>
      <w:marTop w:val="0"/>
      <w:marBottom w:val="0"/>
      <w:divBdr>
        <w:top w:val="none" w:sz="0" w:space="0" w:color="auto"/>
        <w:left w:val="none" w:sz="0" w:space="0" w:color="auto"/>
        <w:bottom w:val="none" w:sz="0" w:space="0" w:color="auto"/>
        <w:right w:val="none" w:sz="0" w:space="0" w:color="auto"/>
      </w:divBdr>
    </w:div>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4954604">
      <w:bodyDiv w:val="1"/>
      <w:marLeft w:val="0"/>
      <w:marRight w:val="0"/>
      <w:marTop w:val="0"/>
      <w:marBottom w:val="0"/>
      <w:divBdr>
        <w:top w:val="none" w:sz="0" w:space="0" w:color="auto"/>
        <w:left w:val="none" w:sz="0" w:space="0" w:color="auto"/>
        <w:bottom w:val="none" w:sz="0" w:space="0" w:color="auto"/>
        <w:right w:val="none" w:sz="0" w:space="0" w:color="auto"/>
      </w:divBdr>
    </w:div>
    <w:div w:id="6523124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3210883">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07429200">
      <w:bodyDiv w:val="1"/>
      <w:marLeft w:val="0"/>
      <w:marRight w:val="0"/>
      <w:marTop w:val="0"/>
      <w:marBottom w:val="0"/>
      <w:divBdr>
        <w:top w:val="none" w:sz="0" w:space="0" w:color="auto"/>
        <w:left w:val="none" w:sz="0" w:space="0" w:color="auto"/>
        <w:bottom w:val="none" w:sz="0" w:space="0" w:color="auto"/>
        <w:right w:val="none" w:sz="0" w:space="0" w:color="auto"/>
      </w:divBdr>
    </w:div>
    <w:div w:id="111630589">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246450">
      <w:bodyDiv w:val="1"/>
      <w:marLeft w:val="0"/>
      <w:marRight w:val="0"/>
      <w:marTop w:val="0"/>
      <w:marBottom w:val="0"/>
      <w:divBdr>
        <w:top w:val="none" w:sz="0" w:space="0" w:color="auto"/>
        <w:left w:val="none" w:sz="0" w:space="0" w:color="auto"/>
        <w:bottom w:val="none" w:sz="0" w:space="0" w:color="auto"/>
        <w:right w:val="none" w:sz="0" w:space="0" w:color="auto"/>
      </w:divBdr>
    </w:div>
    <w:div w:id="147720134">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2293024">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3176202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022677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82754730">
      <w:bodyDiv w:val="1"/>
      <w:marLeft w:val="0"/>
      <w:marRight w:val="0"/>
      <w:marTop w:val="0"/>
      <w:marBottom w:val="0"/>
      <w:divBdr>
        <w:top w:val="none" w:sz="0" w:space="0" w:color="auto"/>
        <w:left w:val="none" w:sz="0" w:space="0" w:color="auto"/>
        <w:bottom w:val="none" w:sz="0" w:space="0" w:color="auto"/>
        <w:right w:val="none" w:sz="0" w:space="0" w:color="auto"/>
      </w:divBdr>
    </w:div>
    <w:div w:id="387345596">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158509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71895009">
      <w:bodyDiv w:val="1"/>
      <w:marLeft w:val="0"/>
      <w:marRight w:val="0"/>
      <w:marTop w:val="0"/>
      <w:marBottom w:val="0"/>
      <w:divBdr>
        <w:top w:val="none" w:sz="0" w:space="0" w:color="auto"/>
        <w:left w:val="none" w:sz="0" w:space="0" w:color="auto"/>
        <w:bottom w:val="none" w:sz="0" w:space="0" w:color="auto"/>
        <w:right w:val="none" w:sz="0" w:space="0" w:color="auto"/>
      </w:divBdr>
    </w:div>
    <w:div w:id="586810604">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04310281">
      <w:bodyDiv w:val="1"/>
      <w:marLeft w:val="0"/>
      <w:marRight w:val="0"/>
      <w:marTop w:val="0"/>
      <w:marBottom w:val="0"/>
      <w:divBdr>
        <w:top w:val="none" w:sz="0" w:space="0" w:color="auto"/>
        <w:left w:val="none" w:sz="0" w:space="0" w:color="auto"/>
        <w:bottom w:val="none" w:sz="0" w:space="0" w:color="auto"/>
        <w:right w:val="none" w:sz="0" w:space="0" w:color="auto"/>
      </w:divBdr>
    </w:div>
    <w:div w:id="608202783">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08845142">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5243056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47250646">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5990288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4148101">
      <w:bodyDiv w:val="1"/>
      <w:marLeft w:val="0"/>
      <w:marRight w:val="0"/>
      <w:marTop w:val="0"/>
      <w:marBottom w:val="0"/>
      <w:divBdr>
        <w:top w:val="none" w:sz="0" w:space="0" w:color="auto"/>
        <w:left w:val="none" w:sz="0" w:space="0" w:color="auto"/>
        <w:bottom w:val="none" w:sz="0" w:space="0" w:color="auto"/>
        <w:right w:val="none" w:sz="0" w:space="0" w:color="auto"/>
      </w:divBdr>
    </w:div>
    <w:div w:id="924647645">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71854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41311129">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31311318">
      <w:bodyDiv w:val="1"/>
      <w:marLeft w:val="0"/>
      <w:marRight w:val="0"/>
      <w:marTop w:val="0"/>
      <w:marBottom w:val="0"/>
      <w:divBdr>
        <w:top w:val="none" w:sz="0" w:space="0" w:color="auto"/>
        <w:left w:val="none" w:sz="0" w:space="0" w:color="auto"/>
        <w:bottom w:val="none" w:sz="0" w:space="0" w:color="auto"/>
        <w:right w:val="none" w:sz="0" w:space="0" w:color="auto"/>
      </w:divBdr>
    </w:div>
    <w:div w:id="1241332618">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88857518">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69454853">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139645">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9235172">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78499363">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488113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1722836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6472508">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1012580">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143177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28924919">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53322482">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43748666">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79397663">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6417483">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0A8D-A098-4031-A172-D4D05DE3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39</Pages>
  <Words>19438</Words>
  <Characters>106913</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126099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2021-06-25T23:44:00Z</cp:lastPrinted>
  <dcterms:created xsi:type="dcterms:W3CDTF">2021-06-29T15:52:00Z</dcterms:created>
  <dcterms:modified xsi:type="dcterms:W3CDTF">2021-06-29T15:52:00Z</dcterms:modified>
</cp:coreProperties>
</file>