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7C252B"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531579335" r:id="rId10"/>
        </w:pi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 xml:space="preserve">DE </w:t>
      </w:r>
      <w:r w:rsidR="00397BC0" w:rsidRPr="00E060BE">
        <w:rPr>
          <w:rFonts w:ascii="Bookman Old Style" w:hAnsi="Bookman Old Style"/>
          <w:sz w:val="24"/>
          <w:szCs w:val="24"/>
        </w:rPr>
        <w:t>201</w:t>
      </w:r>
      <w:r w:rsidR="00397BC0">
        <w:rPr>
          <w:rFonts w:ascii="Bookman Old Style" w:hAnsi="Bookman Old Style"/>
          <w:sz w:val="24"/>
          <w:szCs w:val="24"/>
        </w:rPr>
        <w:t>6</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A60C08" w:rsidRPr="00C435C3" w:rsidRDefault="00A60C08" w:rsidP="00A60C08">
      <w:pPr>
        <w:ind w:left="0"/>
        <w:jc w:val="center"/>
        <w:rPr>
          <w:rFonts w:ascii="Bookman Old Style" w:hAnsi="Bookman Old Style"/>
        </w:rPr>
      </w:pPr>
      <w:r w:rsidRPr="00C435C3">
        <w:rPr>
          <w:rFonts w:ascii="Bookman Old Style" w:hAnsi="Bookman Old Style"/>
        </w:rPr>
        <w:t xml:space="preserve">Por </w:t>
      </w:r>
      <w:r>
        <w:rPr>
          <w:rFonts w:ascii="Bookman Old Style" w:hAnsi="Bookman Old Style"/>
        </w:rPr>
        <w:t xml:space="preserve">la cual se </w:t>
      </w:r>
      <w:r w:rsidR="004C33BE">
        <w:rPr>
          <w:rFonts w:ascii="Bookman Old Style" w:hAnsi="Bookman Old Style"/>
        </w:rPr>
        <w:t>convoca a una Subasta de Reconfiguración de Venta para el período 201</w:t>
      </w:r>
      <w:r w:rsidR="00896934">
        <w:rPr>
          <w:rFonts w:ascii="Bookman Old Style" w:hAnsi="Bookman Old Style"/>
        </w:rPr>
        <w:t>6</w:t>
      </w:r>
      <w:r w:rsidR="004C33BE">
        <w:rPr>
          <w:rFonts w:ascii="Bookman Old Style" w:hAnsi="Bookman Old Style"/>
        </w:rPr>
        <w:t>-201</w:t>
      </w:r>
      <w:r w:rsidR="00896934">
        <w:rPr>
          <w:rFonts w:ascii="Bookman Old Style" w:hAnsi="Bookman Old Style"/>
        </w:rPr>
        <w:t>7</w:t>
      </w:r>
      <w:r w:rsidR="004C33BE">
        <w:rPr>
          <w:rFonts w:ascii="Bookman Old Style" w:hAnsi="Bookman Old Style"/>
        </w:rPr>
        <w:t xml:space="preserve"> </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sidR="00685EE6">
        <w:rPr>
          <w:rFonts w:ascii="Bookman Old Style" w:hAnsi="Bookman Old Style"/>
          <w:b w:val="0"/>
        </w:rPr>
        <w:t>,</w:t>
      </w:r>
      <w:r w:rsidRPr="00C435C3">
        <w:rPr>
          <w:rFonts w:ascii="Bookman Old Style" w:hAnsi="Bookman Old Style"/>
          <w:b w:val="0"/>
        </w:rPr>
        <w:t xml:space="preserve"> 2253 de 1994</w:t>
      </w:r>
      <w:r w:rsidR="00685EE6">
        <w:rPr>
          <w:rFonts w:ascii="Bookman Old Style" w:hAnsi="Bookman Old Style"/>
          <w:b w:val="0"/>
        </w:rPr>
        <w:t xml:space="preserve"> y 1260 de 2013</w:t>
      </w:r>
      <w:r w:rsidRPr="00C435C3">
        <w:rPr>
          <w:rFonts w:ascii="Bookman Old Style" w:hAnsi="Bookman Old Style"/>
          <w:b w:val="0"/>
        </w:rPr>
        <w:t>.</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264F30" w:rsidRPr="00E060BE" w:rsidRDefault="00264F30"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Pr>
          <w:rFonts w:ascii="Bookman Old Style" w:hAnsi="Bookman Old Style"/>
        </w:rPr>
        <w:t>cidad de generación de respaldo.</w:t>
      </w:r>
    </w:p>
    <w:p w:rsidR="00F608C3" w:rsidRDefault="00F608C3" w:rsidP="00F608C3">
      <w:pPr>
        <w:ind w:left="360"/>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685EE6">
        <w:rPr>
          <w:rFonts w:ascii="Bookman Old Style" w:hAnsi="Bookman Old Style"/>
        </w:rPr>
        <w:t>E</w:t>
      </w:r>
      <w:r>
        <w:rPr>
          <w:rFonts w:ascii="Bookman Old Style" w:hAnsi="Bookman Old Style"/>
        </w:rPr>
        <w:t>nergía</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rsidR="00A60C08" w:rsidRDefault="00A60C08" w:rsidP="00A60C08">
      <w:pPr>
        <w:ind w:left="0"/>
        <w:jc w:val="both"/>
        <w:rPr>
          <w:rFonts w:ascii="Bookman Old Style" w:hAnsi="Bookman Old Style"/>
        </w:rPr>
      </w:pPr>
    </w:p>
    <w:p w:rsidR="00DA3E0B" w:rsidRDefault="00DA3E0B" w:rsidP="00611A0B">
      <w:pPr>
        <w:ind w:left="0"/>
        <w:jc w:val="both"/>
        <w:rPr>
          <w:rFonts w:ascii="Bookman Old Style" w:hAnsi="Bookman Old Style" w:cs="Arial"/>
        </w:rPr>
      </w:pPr>
      <w:r>
        <w:rPr>
          <w:rFonts w:ascii="Bookman Old Style" w:hAnsi="Bookman Old Style" w:cs="Arial"/>
        </w:rPr>
        <w:t xml:space="preserve">La Comisión de Regulación de Energía y Gas, expidió la Resolución CREG </w:t>
      </w:r>
      <w:r w:rsidR="00611A0B">
        <w:rPr>
          <w:rFonts w:ascii="Bookman Old Style" w:hAnsi="Bookman Old Style" w:cs="Arial"/>
        </w:rPr>
        <w:t>051</w:t>
      </w:r>
      <w:r w:rsidR="004C33BE">
        <w:rPr>
          <w:rFonts w:ascii="Bookman Old Style" w:hAnsi="Bookman Old Style" w:cs="Arial"/>
        </w:rPr>
        <w:t xml:space="preserve"> </w:t>
      </w:r>
      <w:r>
        <w:rPr>
          <w:rFonts w:ascii="Bookman Old Style" w:hAnsi="Bookman Old Style" w:cs="Arial"/>
        </w:rPr>
        <w:t xml:space="preserve">de 2012 </w:t>
      </w:r>
      <w:r w:rsidR="001F1BA7">
        <w:rPr>
          <w:rFonts w:ascii="Bookman Old Style" w:hAnsi="Bookman Old Style" w:cs="Arial"/>
        </w:rPr>
        <w:t>“</w:t>
      </w:r>
      <w:r w:rsidR="00611A0B">
        <w:rPr>
          <w:rFonts w:ascii="Bookman Old Style" w:hAnsi="Bookman Old Style"/>
        </w:rPr>
        <w:t>Por la cual se definen las reglas de las Subastas de Reconfiguración como parte de los Anillos de Seguridad del Cargo por Confiabilidad</w:t>
      </w:r>
      <w:r w:rsidR="001F1BA7">
        <w:rPr>
          <w:rFonts w:ascii="Bookman Old Style" w:hAnsi="Bookman Old Style"/>
        </w:rPr>
        <w:t>”</w:t>
      </w:r>
      <w:r w:rsidR="004C33BE">
        <w:rPr>
          <w:rFonts w:ascii="Bookman Old Style" w:hAnsi="Bookman Old Style" w:cs="Arial"/>
        </w:rPr>
        <w:t>.</w:t>
      </w:r>
    </w:p>
    <w:p w:rsidR="00DA3E0B" w:rsidRDefault="00DA3E0B" w:rsidP="004412D3">
      <w:pPr>
        <w:ind w:left="0"/>
        <w:jc w:val="both"/>
        <w:rPr>
          <w:rFonts w:ascii="Bookman Old Style" w:hAnsi="Bookman Old Style" w:cs="Arial"/>
        </w:rPr>
      </w:pPr>
    </w:p>
    <w:p w:rsidR="00B75E93" w:rsidRPr="00CD50A3" w:rsidRDefault="004C33BE" w:rsidP="00B75E93">
      <w:pPr>
        <w:ind w:left="0"/>
        <w:jc w:val="both"/>
        <w:rPr>
          <w:rFonts w:ascii="Bookman Old Style" w:hAnsi="Bookman Old Style" w:cs="Arial"/>
        </w:rPr>
      </w:pPr>
      <w:r w:rsidRPr="00CD50A3">
        <w:rPr>
          <w:rFonts w:ascii="Bookman Old Style" w:hAnsi="Bookman Old Style" w:cs="Arial"/>
        </w:rPr>
        <w:t xml:space="preserve">Una vez analizado el balance </w:t>
      </w:r>
      <w:r w:rsidR="002043B4" w:rsidRPr="00CD50A3">
        <w:rPr>
          <w:rFonts w:ascii="Bookman Old Style" w:hAnsi="Bookman Old Style" w:cs="Arial"/>
        </w:rPr>
        <w:t xml:space="preserve">las </w:t>
      </w:r>
      <w:r w:rsidRPr="00CD50A3">
        <w:rPr>
          <w:rFonts w:ascii="Bookman Old Style" w:hAnsi="Bookman Old Style" w:cs="Arial"/>
        </w:rPr>
        <w:t xml:space="preserve">OEF para el </w:t>
      </w:r>
      <w:r w:rsidR="002043B4" w:rsidRPr="00CD50A3">
        <w:rPr>
          <w:rFonts w:ascii="Bookman Old Style" w:hAnsi="Bookman Old Style" w:cs="Arial"/>
        </w:rPr>
        <w:t xml:space="preserve">período </w:t>
      </w:r>
      <w:r w:rsidRPr="00CD50A3">
        <w:rPr>
          <w:rFonts w:ascii="Bookman Old Style" w:hAnsi="Bookman Old Style" w:cs="Arial"/>
        </w:rPr>
        <w:t>201</w:t>
      </w:r>
      <w:r w:rsidR="00F176CB" w:rsidRPr="00CD50A3">
        <w:rPr>
          <w:rFonts w:ascii="Bookman Old Style" w:hAnsi="Bookman Old Style" w:cs="Arial"/>
        </w:rPr>
        <w:t>6</w:t>
      </w:r>
      <w:r w:rsidR="002043B4" w:rsidRPr="00CD50A3">
        <w:rPr>
          <w:rFonts w:ascii="Bookman Old Style" w:hAnsi="Bookman Old Style" w:cs="Arial"/>
        </w:rPr>
        <w:t>-201</w:t>
      </w:r>
      <w:r w:rsidR="00F176CB" w:rsidRPr="00CD50A3">
        <w:rPr>
          <w:rFonts w:ascii="Bookman Old Style" w:hAnsi="Bookman Old Style" w:cs="Arial"/>
        </w:rPr>
        <w:t>7</w:t>
      </w:r>
      <w:r w:rsidRPr="00CD50A3">
        <w:rPr>
          <w:rFonts w:ascii="Bookman Old Style" w:hAnsi="Bookman Old Style" w:cs="Arial"/>
        </w:rPr>
        <w:t xml:space="preserve"> y las proyecciones de demanda de </w:t>
      </w:r>
      <w:r w:rsidR="000078E0" w:rsidRPr="00CD50A3">
        <w:rPr>
          <w:rFonts w:ascii="Bookman Old Style" w:hAnsi="Bookman Old Style" w:cs="Arial"/>
        </w:rPr>
        <w:t xml:space="preserve">energía eléctrica </w:t>
      </w:r>
      <w:r w:rsidRPr="00CD50A3">
        <w:rPr>
          <w:rFonts w:ascii="Bookman Old Style" w:hAnsi="Bookman Old Style" w:cs="Arial"/>
        </w:rPr>
        <w:t xml:space="preserve">más recientes de </w:t>
      </w:r>
      <w:r w:rsidR="000078E0" w:rsidRPr="00CD50A3">
        <w:rPr>
          <w:rFonts w:ascii="Bookman Old Style" w:hAnsi="Bookman Old Style" w:cs="Arial"/>
        </w:rPr>
        <w:t xml:space="preserve">la </w:t>
      </w:r>
      <w:r w:rsidRPr="00CD50A3">
        <w:rPr>
          <w:rFonts w:ascii="Bookman Old Style" w:hAnsi="Bookman Old Style" w:cs="Arial"/>
        </w:rPr>
        <w:t>UPME</w:t>
      </w:r>
      <w:r w:rsidR="000078E0" w:rsidRPr="00CD50A3">
        <w:rPr>
          <w:rFonts w:ascii="Bookman Old Style" w:hAnsi="Bookman Old Style" w:cs="Arial"/>
        </w:rPr>
        <w:t xml:space="preserve"> (</w:t>
      </w:r>
      <w:r w:rsidR="00F176CB" w:rsidRPr="00CD50A3">
        <w:rPr>
          <w:rFonts w:ascii="Bookman Old Style" w:hAnsi="Bookman Old Style" w:cs="Arial"/>
        </w:rPr>
        <w:t>junio</w:t>
      </w:r>
      <w:r w:rsidRPr="00CD50A3">
        <w:rPr>
          <w:rFonts w:ascii="Bookman Old Style" w:hAnsi="Bookman Old Style" w:cs="Arial"/>
        </w:rPr>
        <w:t xml:space="preserve"> de 201</w:t>
      </w:r>
      <w:r w:rsidR="00F176CB" w:rsidRPr="00CD50A3">
        <w:rPr>
          <w:rFonts w:ascii="Bookman Old Style" w:hAnsi="Bookman Old Style" w:cs="Arial"/>
        </w:rPr>
        <w:t>6</w:t>
      </w:r>
      <w:r w:rsidR="000078E0" w:rsidRPr="00CD50A3">
        <w:rPr>
          <w:rFonts w:ascii="Bookman Old Style" w:hAnsi="Bookman Old Style" w:cs="Arial"/>
        </w:rPr>
        <w:t xml:space="preserve">) </w:t>
      </w:r>
      <w:r w:rsidR="002043B4" w:rsidRPr="00CD50A3">
        <w:rPr>
          <w:rFonts w:ascii="Bookman Old Style" w:hAnsi="Bookman Old Style" w:cs="Arial"/>
        </w:rPr>
        <w:t>para el mismo período</w:t>
      </w:r>
      <w:r w:rsidRPr="00CD50A3">
        <w:rPr>
          <w:rFonts w:ascii="Bookman Old Style" w:hAnsi="Bookman Old Style" w:cs="Arial"/>
        </w:rPr>
        <w:t xml:space="preserve">, se encuentra que existe exceso de OEF. </w:t>
      </w:r>
      <w:r w:rsidR="00B75E93" w:rsidRPr="00CD50A3">
        <w:rPr>
          <w:rFonts w:ascii="Bookman Old Style" w:hAnsi="Bookman Old Style" w:cs="Arial"/>
        </w:rPr>
        <w:t xml:space="preserve">Los </w:t>
      </w:r>
      <w:r w:rsidRPr="00CD50A3">
        <w:rPr>
          <w:rFonts w:ascii="Bookman Old Style" w:hAnsi="Bookman Old Style" w:cs="Arial"/>
        </w:rPr>
        <w:t xml:space="preserve">análisis se </w:t>
      </w:r>
      <w:r w:rsidR="00D3164A" w:rsidRPr="00CD50A3">
        <w:rPr>
          <w:rFonts w:ascii="Bookman Old Style" w:hAnsi="Bookman Old Style" w:cs="Arial"/>
        </w:rPr>
        <w:t xml:space="preserve">presentan </w:t>
      </w:r>
      <w:r w:rsidRPr="00CD50A3">
        <w:rPr>
          <w:rFonts w:ascii="Bookman Old Style" w:hAnsi="Bookman Old Style" w:cs="Arial"/>
        </w:rPr>
        <w:t xml:space="preserve">en el </w:t>
      </w:r>
      <w:r w:rsidR="00B75E93" w:rsidRPr="00CD50A3">
        <w:rPr>
          <w:rFonts w:ascii="Bookman Old Style" w:hAnsi="Bookman Old Style" w:cs="Arial"/>
        </w:rPr>
        <w:t>documento CREG-</w:t>
      </w:r>
      <w:r w:rsidR="00F608C3">
        <w:rPr>
          <w:rFonts w:ascii="Bookman Old Style" w:hAnsi="Bookman Old Style" w:cs="Arial"/>
        </w:rPr>
        <w:t>074</w:t>
      </w:r>
      <w:r w:rsidR="00E46432" w:rsidRPr="00CD50A3">
        <w:rPr>
          <w:rFonts w:ascii="Bookman Old Style" w:hAnsi="Bookman Old Style" w:cs="Arial"/>
        </w:rPr>
        <w:t xml:space="preserve"> </w:t>
      </w:r>
      <w:r w:rsidR="00B75E93" w:rsidRPr="00CD50A3">
        <w:rPr>
          <w:rFonts w:ascii="Bookman Old Style" w:hAnsi="Bookman Old Style" w:cs="Arial"/>
        </w:rPr>
        <w:t xml:space="preserve">del </w:t>
      </w:r>
      <w:r w:rsidR="00342098">
        <w:rPr>
          <w:rFonts w:ascii="Bookman Old Style" w:hAnsi="Bookman Old Style" w:cs="Arial"/>
        </w:rPr>
        <w:t>25</w:t>
      </w:r>
      <w:r w:rsidR="00342098" w:rsidRPr="00CD50A3">
        <w:rPr>
          <w:rFonts w:ascii="Bookman Old Style" w:hAnsi="Bookman Old Style" w:cs="Arial"/>
        </w:rPr>
        <w:t xml:space="preserve"> </w:t>
      </w:r>
      <w:r w:rsidR="00B75E93" w:rsidRPr="00CD50A3">
        <w:rPr>
          <w:rFonts w:ascii="Bookman Old Style" w:hAnsi="Bookman Old Style" w:cs="Arial"/>
        </w:rPr>
        <w:t xml:space="preserve">de </w:t>
      </w:r>
      <w:r w:rsidR="00E46432" w:rsidRPr="00CD50A3">
        <w:rPr>
          <w:rFonts w:ascii="Bookman Old Style" w:hAnsi="Bookman Old Style" w:cs="Arial"/>
        </w:rPr>
        <w:t>ju</w:t>
      </w:r>
      <w:r w:rsidR="00F176CB" w:rsidRPr="00CD50A3">
        <w:rPr>
          <w:rFonts w:ascii="Bookman Old Style" w:hAnsi="Bookman Old Style" w:cs="Arial"/>
        </w:rPr>
        <w:t>l</w:t>
      </w:r>
      <w:r w:rsidR="00E46432" w:rsidRPr="00CD50A3">
        <w:rPr>
          <w:rFonts w:ascii="Bookman Old Style" w:hAnsi="Bookman Old Style" w:cs="Arial"/>
        </w:rPr>
        <w:t xml:space="preserve">io </w:t>
      </w:r>
      <w:r w:rsidR="00B75E93" w:rsidRPr="00CD50A3">
        <w:rPr>
          <w:rFonts w:ascii="Bookman Old Style" w:hAnsi="Bookman Old Style" w:cs="Arial"/>
        </w:rPr>
        <w:t>de 201</w:t>
      </w:r>
      <w:r w:rsidR="00F176CB" w:rsidRPr="00CD50A3">
        <w:rPr>
          <w:rFonts w:ascii="Bookman Old Style" w:hAnsi="Bookman Old Style" w:cs="Arial"/>
        </w:rPr>
        <w:t>6</w:t>
      </w:r>
      <w:r w:rsidRPr="00CD50A3">
        <w:rPr>
          <w:rFonts w:ascii="Bookman Old Style" w:hAnsi="Bookman Old Style" w:cs="Arial"/>
        </w:rPr>
        <w:t>.</w:t>
      </w:r>
    </w:p>
    <w:p w:rsidR="004C33BE" w:rsidRPr="00896934" w:rsidRDefault="004C33BE" w:rsidP="00B75E93">
      <w:pPr>
        <w:ind w:left="0"/>
        <w:jc w:val="both"/>
        <w:rPr>
          <w:rFonts w:ascii="Bookman Old Style" w:hAnsi="Bookman Old Style" w:cs="Arial"/>
          <w:highlight w:val="yellow"/>
        </w:rPr>
      </w:pPr>
    </w:p>
    <w:p w:rsidR="004C33BE" w:rsidRPr="00342506" w:rsidRDefault="004C33BE" w:rsidP="00B75E93">
      <w:pPr>
        <w:ind w:left="0"/>
        <w:jc w:val="both"/>
        <w:rPr>
          <w:rFonts w:ascii="Bookman Old Style" w:hAnsi="Bookman Old Style" w:cs="Arial"/>
        </w:rPr>
      </w:pPr>
      <w:r w:rsidRPr="00342506">
        <w:rPr>
          <w:rFonts w:ascii="Bookman Old Style" w:hAnsi="Bookman Old Style" w:cs="Arial"/>
        </w:rPr>
        <w:t xml:space="preserve">Para dar mayor oportunidad a la </w:t>
      </w:r>
      <w:r w:rsidR="002043B4" w:rsidRPr="00342506">
        <w:rPr>
          <w:rFonts w:ascii="Bookman Old Style" w:hAnsi="Bookman Old Style" w:cs="Arial"/>
        </w:rPr>
        <w:t>participación en</w:t>
      </w:r>
      <w:r w:rsidRPr="00342506">
        <w:rPr>
          <w:rFonts w:ascii="Bookman Old Style" w:hAnsi="Bookman Old Style" w:cs="Arial"/>
        </w:rPr>
        <w:t xml:space="preserve"> la Subasta de Reconfiguración de Venta </w:t>
      </w:r>
      <w:r w:rsidR="002043B4" w:rsidRPr="00342506">
        <w:rPr>
          <w:rFonts w:ascii="Bookman Old Style" w:hAnsi="Bookman Old Style" w:cs="Arial"/>
        </w:rPr>
        <w:t>es necesario</w:t>
      </w:r>
      <w:r w:rsidRPr="00342506">
        <w:rPr>
          <w:rFonts w:ascii="Bookman Old Style" w:hAnsi="Bookman Old Style" w:cs="Arial"/>
        </w:rPr>
        <w:t xml:space="preserve"> dar una transición a las plantas en construcción que requier</w:t>
      </w:r>
      <w:r w:rsidR="000415FA" w:rsidRPr="00342506">
        <w:rPr>
          <w:rFonts w:ascii="Bookman Old Style" w:hAnsi="Bookman Old Style" w:cs="Arial"/>
        </w:rPr>
        <w:t>a</w:t>
      </w:r>
      <w:r w:rsidRPr="00342506">
        <w:rPr>
          <w:rFonts w:ascii="Bookman Old Style" w:hAnsi="Bookman Old Style" w:cs="Arial"/>
        </w:rPr>
        <w:t>n cobertura de energía para el período 201</w:t>
      </w:r>
      <w:r w:rsidR="00F176CB" w:rsidRPr="00342506">
        <w:rPr>
          <w:rFonts w:ascii="Bookman Old Style" w:hAnsi="Bookman Old Style" w:cs="Arial"/>
        </w:rPr>
        <w:t>6</w:t>
      </w:r>
      <w:r w:rsidRPr="00342506">
        <w:rPr>
          <w:rFonts w:ascii="Bookman Old Style" w:hAnsi="Bookman Old Style" w:cs="Arial"/>
        </w:rPr>
        <w:t>-201</w:t>
      </w:r>
      <w:r w:rsidR="00F176CB" w:rsidRPr="00342506">
        <w:rPr>
          <w:rFonts w:ascii="Bookman Old Style" w:hAnsi="Bookman Old Style" w:cs="Arial"/>
        </w:rPr>
        <w:t>7</w:t>
      </w:r>
      <w:r w:rsidRPr="00342506">
        <w:rPr>
          <w:rFonts w:ascii="Bookman Old Style" w:hAnsi="Bookman Old Style" w:cs="Arial"/>
        </w:rPr>
        <w:t>.</w:t>
      </w:r>
    </w:p>
    <w:p w:rsidR="00B75E93" w:rsidRPr="00342506" w:rsidRDefault="00B75E93" w:rsidP="004412D3">
      <w:pPr>
        <w:ind w:left="0"/>
        <w:jc w:val="both"/>
        <w:rPr>
          <w:rFonts w:ascii="Bookman Old Style" w:hAnsi="Bookman Old Style" w:cs="Arial"/>
          <w:lang w:val="es-ES_tradnl"/>
        </w:rPr>
      </w:pPr>
    </w:p>
    <w:p w:rsidR="002043B4" w:rsidRPr="00CD50A3" w:rsidRDefault="0036749E" w:rsidP="004412D3">
      <w:pPr>
        <w:ind w:left="0"/>
        <w:jc w:val="both"/>
        <w:rPr>
          <w:rFonts w:ascii="Bookman Old Style" w:hAnsi="Bookman Old Style" w:cs="Arial"/>
          <w:lang w:val="es-ES_tradnl"/>
        </w:rPr>
      </w:pPr>
      <w:r w:rsidRPr="00CD50A3">
        <w:rPr>
          <w:rFonts w:ascii="Bookman Old Style" w:hAnsi="Bookman Old Style" w:cs="Arial"/>
          <w:lang w:val="es-ES_tradnl"/>
        </w:rPr>
        <w:t>No se informó de esta resolución a la Superintendencia de Industria y Comercio por cuanto no se considera que lo dispuesto en ella tenga incidencia sobre la libre competencia.</w:t>
      </w:r>
    </w:p>
    <w:p w:rsidR="0036749E" w:rsidRPr="00CD50A3" w:rsidRDefault="0036749E" w:rsidP="004412D3">
      <w:pPr>
        <w:ind w:left="0"/>
        <w:jc w:val="both"/>
        <w:rPr>
          <w:rFonts w:ascii="Bookman Old Style" w:hAnsi="Bookman Old Style" w:cs="Arial"/>
          <w:lang w:val="es-ES_tradnl"/>
        </w:rPr>
      </w:pPr>
    </w:p>
    <w:p w:rsidR="00314837" w:rsidRPr="00CD50A3" w:rsidRDefault="00F8584D" w:rsidP="004412D3">
      <w:pPr>
        <w:ind w:left="0"/>
        <w:jc w:val="both"/>
        <w:rPr>
          <w:rFonts w:ascii="Bookman Old Style" w:hAnsi="Bookman Old Style" w:cs="Arial"/>
          <w:lang w:val="es-ES_tradnl"/>
        </w:rPr>
      </w:pPr>
      <w:r w:rsidRPr="00314837">
        <w:rPr>
          <w:rFonts w:ascii="Bookman Old Style" w:hAnsi="Bookman Old Style" w:cs="Arial"/>
          <w:lang w:val="es-ES_tradnl"/>
        </w:rPr>
        <w:t xml:space="preserve">De conformidad con lo establecido </w:t>
      </w:r>
      <w:r w:rsidRPr="00E34E29">
        <w:rPr>
          <w:rFonts w:ascii="Arial" w:hAnsi="Arial" w:cs="Arial"/>
          <w:i/>
          <w:noProof/>
          <w:sz w:val="22"/>
        </w:rPr>
        <w:t xml:space="preserve"> </w:t>
      </w:r>
      <w:r w:rsidRPr="007D4C23">
        <w:rPr>
          <w:rFonts w:ascii="Bookman Old Style" w:hAnsi="Bookman Old Style" w:cs="Arial"/>
        </w:rPr>
        <w:t>en el artículo 2.2.13.3.2</w:t>
      </w:r>
      <w:r>
        <w:rPr>
          <w:rFonts w:ascii="Bookman Old Style" w:hAnsi="Bookman Old Style" w:cs="Arial"/>
        </w:rPr>
        <w:t xml:space="preserve"> del</w:t>
      </w:r>
      <w:r w:rsidRPr="00314837">
        <w:rPr>
          <w:rFonts w:ascii="Bookman Old Style" w:hAnsi="Bookman Old Style" w:cs="Arial"/>
          <w:lang w:val="es-ES_tradnl"/>
        </w:rPr>
        <w:t xml:space="preserve"> </w:t>
      </w:r>
      <w:r w:rsidRPr="00E34E29">
        <w:rPr>
          <w:rFonts w:ascii="Bookman Old Style" w:hAnsi="Bookman Old Style" w:cs="Arial"/>
          <w:lang w:val="es-ES_tradnl"/>
        </w:rPr>
        <w:t>Decreto 1078 de 2015</w:t>
      </w:r>
      <w:r>
        <w:rPr>
          <w:rFonts w:ascii="Bookman Old Style" w:hAnsi="Bookman Old Style" w:cs="Arial"/>
          <w:lang w:val="es-ES_tradnl"/>
        </w:rPr>
        <w:t xml:space="preserve"> “ Por el cual se expide el Decreto Único Reglamentario del Sector Tecnologías de la Información</w:t>
      </w:r>
      <w:r w:rsidRPr="00E34E29">
        <w:rPr>
          <w:rFonts w:ascii="Bookman Old Style" w:hAnsi="Bookman Old Style" w:cs="Arial"/>
          <w:lang w:val="es-ES_tradnl"/>
        </w:rPr>
        <w:t xml:space="preserve"> </w:t>
      </w:r>
      <w:r>
        <w:rPr>
          <w:rFonts w:ascii="Bookman Old Style" w:hAnsi="Bookman Old Style" w:cs="Arial"/>
          <w:lang w:val="es-ES_tradnl"/>
        </w:rPr>
        <w:t xml:space="preserve">y las Comunicaciones </w:t>
      </w:r>
      <w:r w:rsidR="00314837" w:rsidRPr="00CD50A3">
        <w:rPr>
          <w:rFonts w:ascii="Bookman Old Style" w:hAnsi="Bookman Old Style" w:cs="Arial"/>
          <w:lang w:val="es-ES_tradnl"/>
        </w:rPr>
        <w:t xml:space="preserve">y el numeral 3 del artículo 2 de la Resolución CREG 097 de 2004, la Comisión decidió por unanimidad no </w:t>
      </w:r>
      <w:r w:rsidR="00314837" w:rsidRPr="00CD50A3">
        <w:rPr>
          <w:rFonts w:ascii="Bookman Old Style" w:hAnsi="Bookman Old Style" w:cs="Arial"/>
          <w:lang w:val="es-ES_tradnl"/>
        </w:rPr>
        <w:lastRenderedPageBreak/>
        <w:t>someter la presente Resolución a las disposiciones sobre publicidad de proyectos de regulación previstas en el citado Decreto, debido a la existencia de razones de conveniencia general y de oportunidad, toda vez</w:t>
      </w:r>
      <w:r w:rsidR="002A22B6" w:rsidRPr="00CD50A3">
        <w:rPr>
          <w:rFonts w:ascii="Bookman Old Style" w:hAnsi="Bookman Old Style" w:cs="Arial"/>
          <w:lang w:val="es-ES_tradnl"/>
        </w:rPr>
        <w:t xml:space="preserve"> que </w:t>
      </w:r>
      <w:r w:rsidR="00424BF4" w:rsidRPr="00CD50A3">
        <w:rPr>
          <w:rFonts w:ascii="Bookman Old Style" w:hAnsi="Bookman Old Style" w:cs="Arial"/>
          <w:lang w:val="es-ES_tradnl"/>
        </w:rPr>
        <w:t xml:space="preserve">se debe realizar </w:t>
      </w:r>
      <w:r w:rsidR="000415FA">
        <w:rPr>
          <w:rFonts w:ascii="Bookman Old Style" w:hAnsi="Bookman Old Style" w:cs="Arial"/>
          <w:lang w:val="es-ES_tradnl"/>
        </w:rPr>
        <w:t>una</w:t>
      </w:r>
      <w:r w:rsidR="00424BF4" w:rsidRPr="00CD50A3">
        <w:rPr>
          <w:rFonts w:ascii="Bookman Old Style" w:hAnsi="Bookman Old Style" w:cs="Arial"/>
          <w:lang w:val="es-ES_tradnl"/>
        </w:rPr>
        <w:t xml:space="preserve"> subasta </w:t>
      </w:r>
      <w:r w:rsidR="00D45DF6" w:rsidRPr="00CD50A3">
        <w:rPr>
          <w:rFonts w:ascii="Bookman Old Style" w:hAnsi="Bookman Old Style" w:cs="Arial"/>
          <w:lang w:val="es-ES_tradnl"/>
        </w:rPr>
        <w:t>de reconfiguración de venta a la brevedad posible para asegurar</w:t>
      </w:r>
      <w:r w:rsidR="00E971C6" w:rsidRPr="00CD50A3">
        <w:rPr>
          <w:rFonts w:ascii="Bookman Old Style" w:hAnsi="Bookman Old Style" w:cs="Arial"/>
          <w:lang w:val="es-ES_tradnl"/>
        </w:rPr>
        <w:t xml:space="preserve"> </w:t>
      </w:r>
      <w:r w:rsidR="00424BF4" w:rsidRPr="00CD50A3">
        <w:rPr>
          <w:rFonts w:ascii="Bookman Old Style" w:hAnsi="Bookman Old Style" w:cs="Arial"/>
          <w:lang w:val="es-ES_tradnl"/>
        </w:rPr>
        <w:t>la</w:t>
      </w:r>
      <w:r w:rsidR="00E971C6" w:rsidRPr="00CD50A3">
        <w:rPr>
          <w:rFonts w:ascii="Bookman Old Style" w:hAnsi="Bookman Old Style" w:cs="Arial"/>
          <w:lang w:val="es-ES_tradnl"/>
        </w:rPr>
        <w:t xml:space="preserve"> mayor participación </w:t>
      </w:r>
      <w:r w:rsidR="002D3A8E" w:rsidRPr="00CD50A3">
        <w:rPr>
          <w:rFonts w:ascii="Bookman Old Style" w:hAnsi="Bookman Old Style" w:cs="Arial"/>
          <w:lang w:val="es-ES_tradnl"/>
        </w:rPr>
        <w:t>en la misma</w:t>
      </w:r>
      <w:r w:rsidR="00424BF4" w:rsidRPr="00CD50A3">
        <w:rPr>
          <w:rFonts w:ascii="Bookman Old Style" w:hAnsi="Bookman Old Style" w:cs="Arial"/>
          <w:lang w:val="es-ES_tradnl"/>
        </w:rPr>
        <w:t xml:space="preserve"> y así mismo obtener el mayor beneficio para el usuario</w:t>
      </w:r>
      <w:r w:rsidR="00314837" w:rsidRPr="00CD50A3">
        <w:rPr>
          <w:rFonts w:ascii="Bookman Old Style" w:hAnsi="Bookman Old Style" w:cs="Arial"/>
          <w:lang w:val="es-ES_tradnl"/>
        </w:rPr>
        <w:t>.</w:t>
      </w:r>
    </w:p>
    <w:p w:rsidR="00314837" w:rsidRPr="00CD50A3" w:rsidRDefault="00314837" w:rsidP="004412D3">
      <w:pPr>
        <w:ind w:left="0"/>
        <w:jc w:val="both"/>
        <w:rPr>
          <w:rFonts w:ascii="Bookman Old Style" w:hAnsi="Bookman Old Style" w:cs="Arial"/>
          <w:lang w:val="es-ES_tradnl"/>
        </w:rPr>
      </w:pPr>
    </w:p>
    <w:p w:rsidR="00B75E93" w:rsidRPr="00B75E93" w:rsidRDefault="00B75E93" w:rsidP="00B75E93">
      <w:pPr>
        <w:ind w:left="0"/>
        <w:jc w:val="both"/>
        <w:rPr>
          <w:rFonts w:ascii="Bookman Old Style" w:hAnsi="Bookman Old Style" w:cs="Arial"/>
        </w:rPr>
      </w:pPr>
      <w:r w:rsidRPr="00CD50A3">
        <w:rPr>
          <w:rFonts w:ascii="Bookman Old Style" w:hAnsi="Bookman Old Style" w:cs="Arial"/>
          <w:lang w:val="es-ES_tradnl"/>
        </w:rPr>
        <w:t>L</w:t>
      </w:r>
      <w:r w:rsidRPr="00CD50A3">
        <w:rPr>
          <w:rFonts w:ascii="Bookman Old Style" w:hAnsi="Bookman Old Style" w:cs="Arial"/>
        </w:rPr>
        <w:t xml:space="preserve">a Comisión de Regulación de Energía y Gas, en su sesión </w:t>
      </w:r>
      <w:r w:rsidR="00FF693E">
        <w:rPr>
          <w:rFonts w:ascii="Bookman Old Style" w:hAnsi="Bookman Old Style" w:cs="Arial"/>
        </w:rPr>
        <w:t>727</w:t>
      </w:r>
      <w:r w:rsidR="00FF693E" w:rsidRPr="00CD50A3">
        <w:rPr>
          <w:rFonts w:ascii="Bookman Old Style" w:hAnsi="Bookman Old Style" w:cs="Arial"/>
        </w:rPr>
        <w:t xml:space="preserve"> </w:t>
      </w:r>
      <w:r w:rsidRPr="00CD50A3">
        <w:rPr>
          <w:rFonts w:ascii="Bookman Old Style" w:hAnsi="Bookman Old Style" w:cs="Arial"/>
        </w:rPr>
        <w:t xml:space="preserve">del </w:t>
      </w:r>
      <w:r w:rsidR="00FF693E">
        <w:rPr>
          <w:rFonts w:ascii="Bookman Old Style" w:hAnsi="Bookman Old Style" w:cs="Arial"/>
        </w:rPr>
        <w:t>25</w:t>
      </w:r>
      <w:r w:rsidR="00FF693E" w:rsidRPr="00CD50A3">
        <w:rPr>
          <w:rFonts w:ascii="Bookman Old Style" w:hAnsi="Bookman Old Style" w:cs="Arial"/>
        </w:rPr>
        <w:t xml:space="preserve"> </w:t>
      </w:r>
      <w:r w:rsidRPr="00CD50A3">
        <w:rPr>
          <w:rFonts w:ascii="Bookman Old Style" w:hAnsi="Bookman Old Style" w:cs="Arial"/>
        </w:rPr>
        <w:t xml:space="preserve">de </w:t>
      </w:r>
      <w:r w:rsidR="00E920F7" w:rsidRPr="00CD50A3">
        <w:rPr>
          <w:rFonts w:ascii="Bookman Old Style" w:hAnsi="Bookman Old Style" w:cs="Arial"/>
        </w:rPr>
        <w:t>ju</w:t>
      </w:r>
      <w:r w:rsidR="00F176CB" w:rsidRPr="00CD50A3">
        <w:rPr>
          <w:rFonts w:ascii="Bookman Old Style" w:hAnsi="Bookman Old Style" w:cs="Arial"/>
        </w:rPr>
        <w:t>l</w:t>
      </w:r>
      <w:r w:rsidR="00E920F7" w:rsidRPr="00CD50A3">
        <w:rPr>
          <w:rFonts w:ascii="Bookman Old Style" w:hAnsi="Bookman Old Style" w:cs="Arial"/>
        </w:rPr>
        <w:t xml:space="preserve">io </w:t>
      </w:r>
      <w:r w:rsidRPr="00CD50A3">
        <w:rPr>
          <w:rFonts w:ascii="Bookman Old Style" w:hAnsi="Bookman Old Style" w:cs="Arial"/>
        </w:rPr>
        <w:t>de 201</w:t>
      </w:r>
      <w:r w:rsidR="00F176CB" w:rsidRPr="00CD50A3">
        <w:rPr>
          <w:rFonts w:ascii="Bookman Old Style" w:hAnsi="Bookman Old Style" w:cs="Arial"/>
        </w:rPr>
        <w:t>6</w:t>
      </w:r>
      <w:r w:rsidRPr="00CD50A3">
        <w:rPr>
          <w:rFonts w:ascii="Bookman Old Style" w:hAnsi="Bookman Old Style" w:cs="Arial"/>
        </w:rPr>
        <w:t xml:space="preserve">, acordó expedir la presente resolución con el fin de adoptar decisiones relacionadas con </w:t>
      </w:r>
      <w:r w:rsidR="00C527FD" w:rsidRPr="00CD50A3">
        <w:rPr>
          <w:rFonts w:ascii="Bookman Old Style" w:hAnsi="Bookman Old Style" w:cs="Arial"/>
        </w:rPr>
        <w:t xml:space="preserve">la convocatoria a </w:t>
      </w:r>
      <w:r w:rsidR="00CD50A3" w:rsidRPr="00CD50A3">
        <w:rPr>
          <w:rFonts w:ascii="Bookman Old Style" w:hAnsi="Bookman Old Style" w:cs="Arial"/>
        </w:rPr>
        <w:t>la Subast</w:t>
      </w:r>
      <w:r w:rsidR="00CD50A3">
        <w:rPr>
          <w:rFonts w:ascii="Bookman Old Style" w:hAnsi="Bookman Old Style" w:cs="Arial"/>
        </w:rPr>
        <w:t>a</w:t>
      </w:r>
      <w:r w:rsidRPr="00CD50A3">
        <w:rPr>
          <w:rFonts w:ascii="Bookman Old Style" w:hAnsi="Bookman Old Style" w:cs="Arial"/>
        </w:rPr>
        <w:t xml:space="preserve"> de Reconfiguración</w:t>
      </w:r>
      <w:r w:rsidR="00C527FD" w:rsidRPr="00CD50A3">
        <w:rPr>
          <w:rFonts w:ascii="Bookman Old Style" w:hAnsi="Bookman Old Style" w:cs="Arial"/>
        </w:rPr>
        <w:t xml:space="preserve"> de Venta para el período 201</w:t>
      </w:r>
      <w:r w:rsidR="00F176CB" w:rsidRPr="00CD50A3">
        <w:rPr>
          <w:rFonts w:ascii="Bookman Old Style" w:hAnsi="Bookman Old Style" w:cs="Arial"/>
        </w:rPr>
        <w:t>6</w:t>
      </w:r>
      <w:r w:rsidR="00C527FD" w:rsidRPr="00CD50A3">
        <w:rPr>
          <w:rFonts w:ascii="Bookman Old Style" w:hAnsi="Bookman Old Style" w:cs="Arial"/>
        </w:rPr>
        <w:t>-201</w:t>
      </w:r>
      <w:r w:rsidR="00F176CB" w:rsidRPr="00CD50A3">
        <w:rPr>
          <w:rFonts w:ascii="Bookman Old Style" w:hAnsi="Bookman Old Style" w:cs="Arial"/>
        </w:rPr>
        <w:t>7</w:t>
      </w:r>
      <w:r w:rsidRPr="00CD50A3">
        <w:rPr>
          <w:rFonts w:ascii="Bookman Old Style" w:hAnsi="Bookman Old Style" w:cs="Arial"/>
        </w:rPr>
        <w:t>.</w:t>
      </w:r>
    </w:p>
    <w:p w:rsidR="00DA3E0B" w:rsidRDefault="00DA3E0B" w:rsidP="004412D3">
      <w:pPr>
        <w:ind w:left="0"/>
        <w:jc w:val="both"/>
        <w:rPr>
          <w:rFonts w:ascii="Bookman Old Style" w:hAnsi="Bookman Old Style" w:cs="Arial"/>
          <w:lang w:val="es-ES_tradnl"/>
        </w:rPr>
      </w:pPr>
    </w:p>
    <w:p w:rsidR="008C56A2" w:rsidRPr="00B75E93" w:rsidRDefault="008C56A2" w:rsidP="004412D3">
      <w:pPr>
        <w:ind w:left="0"/>
        <w:jc w:val="both"/>
        <w:rPr>
          <w:rFonts w:ascii="Bookman Old Style" w:hAnsi="Bookman Old Style" w:cs="Arial"/>
          <w:lang w:val="es-ES_tradnl"/>
        </w:rPr>
      </w:pPr>
    </w:p>
    <w:p w:rsidR="008D502B" w:rsidRDefault="008D502B" w:rsidP="008D502B">
      <w:pPr>
        <w:ind w:left="0"/>
        <w:jc w:val="both"/>
        <w:rPr>
          <w:rFonts w:ascii="Bookman Old Style" w:hAnsi="Bookman Old Style"/>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E06AEF" w:rsidRDefault="00E06AEF" w:rsidP="00E060BE">
      <w:pPr>
        <w:tabs>
          <w:tab w:val="center" w:pos="4512"/>
          <w:tab w:val="left" w:pos="7088"/>
        </w:tabs>
        <w:suppressAutoHyphens/>
        <w:ind w:left="0" w:right="51"/>
        <w:rPr>
          <w:rFonts w:ascii="Bookman Old Style" w:hAnsi="Bookman Old Style" w:cs="Arial"/>
          <w:b/>
          <w:color w:val="000000"/>
        </w:rPr>
      </w:pP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C527FD"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C527FD">
        <w:rPr>
          <w:rFonts w:ascii="Bookman Old Style" w:hAnsi="Bookman Old Style" w:cs="Arial"/>
          <w:b/>
          <w:color w:val="000000"/>
        </w:rPr>
        <w:t>Objeto</w:t>
      </w:r>
      <w:r w:rsidR="00F505A9">
        <w:rPr>
          <w:rFonts w:ascii="Bookman Old Style" w:hAnsi="Bookman Old Style" w:cs="Arial"/>
          <w:b/>
          <w:color w:val="000000"/>
        </w:rPr>
        <w:t>.</w:t>
      </w:r>
      <w:r w:rsidR="00F505A9">
        <w:rPr>
          <w:rFonts w:ascii="Bookman Old Style" w:hAnsi="Bookman Old Style" w:cs="Arial"/>
          <w:color w:val="000000"/>
        </w:rPr>
        <w:t xml:space="preserve"> </w:t>
      </w:r>
      <w:r w:rsidR="00C527FD">
        <w:rPr>
          <w:rFonts w:ascii="Bookman Old Style" w:hAnsi="Bookman Old Style" w:cs="Arial"/>
          <w:color w:val="000000"/>
        </w:rPr>
        <w:t xml:space="preserve">Mediante la presente resolución se establece </w:t>
      </w:r>
      <w:r w:rsidR="002043B4">
        <w:rPr>
          <w:rFonts w:ascii="Bookman Old Style" w:hAnsi="Bookman Old Style" w:cs="Arial"/>
          <w:color w:val="000000"/>
        </w:rPr>
        <w:t xml:space="preserve">el </w:t>
      </w:r>
      <w:r w:rsidR="00C527FD">
        <w:rPr>
          <w:rFonts w:ascii="Bookman Old Style" w:hAnsi="Bookman Old Style" w:cs="Arial"/>
          <w:color w:val="000000"/>
        </w:rPr>
        <w:t>cronograma para que</w:t>
      </w:r>
      <w:r w:rsidR="00424BF4">
        <w:rPr>
          <w:rFonts w:ascii="Bookman Old Style" w:hAnsi="Bookman Old Style" w:cs="Arial"/>
          <w:color w:val="000000"/>
        </w:rPr>
        <w:t xml:space="preserve"> el </w:t>
      </w:r>
      <w:r w:rsidR="00C527FD">
        <w:rPr>
          <w:rFonts w:ascii="Bookman Old Style" w:hAnsi="Bookman Old Style" w:cs="Arial"/>
          <w:color w:val="000000"/>
        </w:rPr>
        <w:t>Administrador del Sistema de Intercambios Comerciales del Mercado de Energía Mayorista (ASIC) lleve a cabo la Subasta de Reconfiguración de Venta para el período comprendido entre el 1 de diciembre de 201</w:t>
      </w:r>
      <w:r w:rsidR="00896934">
        <w:rPr>
          <w:rFonts w:ascii="Bookman Old Style" w:hAnsi="Bookman Old Style" w:cs="Arial"/>
          <w:color w:val="000000"/>
        </w:rPr>
        <w:t>6</w:t>
      </w:r>
      <w:r w:rsidR="00C527FD">
        <w:rPr>
          <w:rFonts w:ascii="Bookman Old Style" w:hAnsi="Bookman Old Style" w:cs="Arial"/>
          <w:color w:val="000000"/>
        </w:rPr>
        <w:t xml:space="preserve"> y el 30 de noviembre de 201</w:t>
      </w:r>
      <w:r w:rsidR="00896934">
        <w:rPr>
          <w:rFonts w:ascii="Bookman Old Style" w:hAnsi="Bookman Old Style" w:cs="Arial"/>
          <w:color w:val="000000"/>
        </w:rPr>
        <w:t>7</w:t>
      </w:r>
      <w:r w:rsidR="00B71BE8">
        <w:rPr>
          <w:rFonts w:ascii="Bookman Old Style" w:hAnsi="Bookman Old Style" w:cs="Arial"/>
          <w:color w:val="000000"/>
        </w:rPr>
        <w:t xml:space="preserve"> de acuerdo con las normas definidas en la Resolución CREG </w:t>
      </w:r>
      <w:r w:rsidR="00094C28">
        <w:rPr>
          <w:rFonts w:ascii="Bookman Old Style" w:hAnsi="Bookman Old Style" w:cs="Arial"/>
          <w:color w:val="000000"/>
        </w:rPr>
        <w:t xml:space="preserve">051 </w:t>
      </w:r>
      <w:r w:rsidR="00B71BE8">
        <w:rPr>
          <w:rFonts w:ascii="Bookman Old Style" w:hAnsi="Bookman Old Style" w:cs="Arial"/>
          <w:color w:val="000000"/>
        </w:rPr>
        <w:t>de 2012</w:t>
      </w:r>
      <w:r w:rsidR="00C527FD">
        <w:rPr>
          <w:rFonts w:ascii="Bookman Old Style" w:hAnsi="Bookman Old Style" w:cs="Arial"/>
          <w:color w:val="000000"/>
        </w:rPr>
        <w:t>.</w:t>
      </w:r>
    </w:p>
    <w:p w:rsidR="00982465" w:rsidRPr="008C56A2" w:rsidRDefault="00982465" w:rsidP="00E06AEF">
      <w:pPr>
        <w:tabs>
          <w:tab w:val="center" w:pos="4512"/>
          <w:tab w:val="left" w:pos="7088"/>
        </w:tabs>
        <w:suppressAutoHyphens/>
        <w:ind w:left="0" w:right="51"/>
        <w:jc w:val="both"/>
        <w:rPr>
          <w:rFonts w:ascii="Bookman Old Style" w:hAnsi="Bookman Old Style" w:cs="Arial"/>
          <w:color w:val="000000"/>
          <w:sz w:val="28"/>
        </w:rPr>
      </w:pPr>
    </w:p>
    <w:p w:rsidR="000C1CA5" w:rsidRDefault="00FA4E1D" w:rsidP="00E06AEF">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t>Artículo</w:t>
      </w:r>
      <w:r w:rsidR="00A165DC">
        <w:rPr>
          <w:rFonts w:ascii="Bookman Old Style" w:hAnsi="Bookman Old Style" w:cs="Arial"/>
          <w:b/>
          <w:color w:val="000000"/>
        </w:rPr>
        <w:t xml:space="preserve"> 2</w:t>
      </w:r>
      <w:r w:rsidRPr="00D967A6">
        <w:rPr>
          <w:rFonts w:ascii="Bookman Old Style" w:hAnsi="Bookman Old Style" w:cs="Arial"/>
          <w:b/>
          <w:color w:val="000000"/>
        </w:rPr>
        <w:t xml:space="preserve">. </w:t>
      </w:r>
      <w:r w:rsidR="00C527FD">
        <w:rPr>
          <w:rFonts w:ascii="Bookman Old Style" w:hAnsi="Bookman Old Style" w:cs="Arial"/>
          <w:b/>
          <w:color w:val="000000"/>
        </w:rPr>
        <w:t>Convocatoria a participar en la Subasta de Reconfiguración de Venta</w:t>
      </w:r>
      <w:r w:rsidRPr="00D967A6">
        <w:rPr>
          <w:rFonts w:ascii="Bookman Old Style" w:hAnsi="Bookman Old Style" w:cs="Arial"/>
          <w:b/>
          <w:color w:val="000000"/>
        </w:rPr>
        <w:t>.</w:t>
      </w:r>
      <w:r>
        <w:rPr>
          <w:rFonts w:ascii="Bookman Old Style" w:hAnsi="Bookman Old Style" w:cs="Arial"/>
          <w:color w:val="000000"/>
        </w:rPr>
        <w:t xml:space="preserve"> </w:t>
      </w:r>
      <w:r w:rsidR="00C527FD">
        <w:rPr>
          <w:rFonts w:ascii="Bookman Old Style" w:hAnsi="Bookman Old Style" w:cs="Arial"/>
          <w:color w:val="000000"/>
        </w:rPr>
        <w:t>La Comisión de Regulación de Energía y Gas convoca a tod</w:t>
      </w:r>
      <w:r w:rsidR="001B4677">
        <w:rPr>
          <w:rFonts w:ascii="Bookman Old Style" w:hAnsi="Bookman Old Style" w:cs="Arial"/>
          <w:color w:val="000000"/>
        </w:rPr>
        <w:t>o</w:t>
      </w:r>
      <w:r w:rsidR="00C527FD">
        <w:rPr>
          <w:rFonts w:ascii="Bookman Old Style" w:hAnsi="Bookman Old Style" w:cs="Arial"/>
          <w:color w:val="000000"/>
        </w:rPr>
        <w:t>s l</w:t>
      </w:r>
      <w:r w:rsidR="001B4677">
        <w:rPr>
          <w:rFonts w:ascii="Bookman Old Style" w:hAnsi="Bookman Old Style" w:cs="Arial"/>
          <w:color w:val="000000"/>
        </w:rPr>
        <w:t>o</w:t>
      </w:r>
      <w:r w:rsidR="00C527FD">
        <w:rPr>
          <w:rFonts w:ascii="Bookman Old Style" w:hAnsi="Bookman Old Style" w:cs="Arial"/>
          <w:color w:val="000000"/>
        </w:rPr>
        <w:t xml:space="preserve">s </w:t>
      </w:r>
      <w:r w:rsidR="001B4677">
        <w:rPr>
          <w:rFonts w:ascii="Bookman Old Style" w:hAnsi="Bookman Old Style" w:cs="Arial"/>
          <w:color w:val="000000"/>
        </w:rPr>
        <w:t>agentes generadores</w:t>
      </w:r>
      <w:r w:rsidR="00C527FD">
        <w:rPr>
          <w:rFonts w:ascii="Bookman Old Style" w:hAnsi="Bookman Old Style" w:cs="Arial"/>
          <w:color w:val="000000"/>
        </w:rPr>
        <w:t xml:space="preserve"> con Plantas o Unidades de generación que tienen asignaciones de OEF para el período 201</w:t>
      </w:r>
      <w:r w:rsidR="00896934">
        <w:rPr>
          <w:rFonts w:ascii="Bookman Old Style" w:hAnsi="Bookman Old Style" w:cs="Arial"/>
          <w:color w:val="000000"/>
        </w:rPr>
        <w:t>6</w:t>
      </w:r>
      <w:r w:rsidR="00C527FD">
        <w:rPr>
          <w:rFonts w:ascii="Bookman Old Style" w:hAnsi="Bookman Old Style" w:cs="Arial"/>
          <w:color w:val="000000"/>
        </w:rPr>
        <w:t>-201</w:t>
      </w:r>
      <w:r w:rsidR="00896934">
        <w:rPr>
          <w:rFonts w:ascii="Bookman Old Style" w:hAnsi="Bookman Old Style" w:cs="Arial"/>
          <w:color w:val="000000"/>
        </w:rPr>
        <w:t>7</w:t>
      </w:r>
      <w:r w:rsidR="00C527FD">
        <w:rPr>
          <w:rFonts w:ascii="Bookman Old Style" w:hAnsi="Bookman Old Style" w:cs="Arial"/>
          <w:color w:val="000000"/>
        </w:rPr>
        <w:t xml:space="preserve"> a participar en la Subasta de Reconfiguración de Venta para el período 201</w:t>
      </w:r>
      <w:r w:rsidR="00896934">
        <w:rPr>
          <w:rFonts w:ascii="Bookman Old Style" w:hAnsi="Bookman Old Style" w:cs="Arial"/>
          <w:color w:val="000000"/>
        </w:rPr>
        <w:t>6</w:t>
      </w:r>
      <w:r w:rsidR="00C527FD">
        <w:rPr>
          <w:rFonts w:ascii="Bookman Old Style" w:hAnsi="Bookman Old Style" w:cs="Arial"/>
          <w:color w:val="000000"/>
        </w:rPr>
        <w:t>-201</w:t>
      </w:r>
      <w:r w:rsidR="00896934">
        <w:rPr>
          <w:rFonts w:ascii="Bookman Old Style" w:hAnsi="Bookman Old Style" w:cs="Arial"/>
          <w:color w:val="000000"/>
        </w:rPr>
        <w:t>7</w:t>
      </w:r>
      <w:r w:rsidR="00C527FD">
        <w:rPr>
          <w:rFonts w:ascii="Bookman Old Style" w:hAnsi="Bookman Old Style" w:cs="Arial"/>
          <w:color w:val="000000"/>
        </w:rPr>
        <w:t xml:space="preserve">, la cual será realizada </w:t>
      </w:r>
      <w:r w:rsidR="002043B4">
        <w:rPr>
          <w:rFonts w:ascii="Bookman Old Style" w:hAnsi="Bookman Old Style" w:cs="Arial"/>
          <w:color w:val="000000"/>
        </w:rPr>
        <w:t>según</w:t>
      </w:r>
      <w:r w:rsidR="00AF2EDE">
        <w:rPr>
          <w:rFonts w:ascii="Bookman Old Style" w:hAnsi="Bookman Old Style" w:cs="Arial"/>
          <w:color w:val="000000"/>
        </w:rPr>
        <w:t xml:space="preserve"> </w:t>
      </w:r>
      <w:r w:rsidR="00C527FD">
        <w:rPr>
          <w:rFonts w:ascii="Bookman Old Style" w:hAnsi="Bookman Old Style" w:cs="Arial"/>
          <w:color w:val="000000"/>
        </w:rPr>
        <w:t>los plazos definidos en la presente Resolución</w:t>
      </w:r>
      <w:r w:rsidR="00EB72BA">
        <w:rPr>
          <w:rFonts w:ascii="Bookman Old Style" w:hAnsi="Bookman Old Style" w:cs="Arial"/>
          <w:color w:val="000000"/>
        </w:rPr>
        <w:t>.</w:t>
      </w:r>
    </w:p>
    <w:p w:rsidR="000C1CA5" w:rsidRPr="008C56A2" w:rsidRDefault="000C1CA5" w:rsidP="00E06AEF">
      <w:pPr>
        <w:tabs>
          <w:tab w:val="center" w:pos="4512"/>
          <w:tab w:val="left" w:pos="7088"/>
        </w:tabs>
        <w:suppressAutoHyphens/>
        <w:ind w:left="0" w:right="51"/>
        <w:jc w:val="both"/>
        <w:rPr>
          <w:rFonts w:ascii="Bookman Old Style" w:hAnsi="Bookman Old Style" w:cs="Arial"/>
          <w:color w:val="000000"/>
          <w:sz w:val="28"/>
        </w:rPr>
      </w:pPr>
    </w:p>
    <w:p w:rsidR="009F1672" w:rsidRDefault="00202498" w:rsidP="00E06AEF">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sidR="00DA3F77">
        <w:rPr>
          <w:rFonts w:ascii="Bookman Old Style" w:hAnsi="Bookman Old Style" w:cs="Arial"/>
          <w:b/>
          <w:color w:val="000000"/>
        </w:rPr>
        <w:t>3</w:t>
      </w:r>
      <w:r w:rsidRPr="00202498">
        <w:rPr>
          <w:rFonts w:ascii="Bookman Old Style" w:hAnsi="Bookman Old Style" w:cs="Arial"/>
          <w:b/>
          <w:color w:val="000000"/>
        </w:rPr>
        <w:t>. P</w:t>
      </w:r>
      <w:r w:rsidR="00C527FD">
        <w:rPr>
          <w:rFonts w:ascii="Bookman Old Style" w:hAnsi="Bookman Old Style" w:cs="Arial"/>
          <w:b/>
          <w:color w:val="000000"/>
        </w:rPr>
        <w:t>eríodo de Vigencia de la Obligaciones de Energía de Venta que se asignar</w:t>
      </w:r>
      <w:r w:rsidR="002043B4">
        <w:rPr>
          <w:rFonts w:ascii="Bookman Old Style" w:hAnsi="Bookman Old Style" w:cs="Arial"/>
          <w:b/>
          <w:color w:val="000000"/>
        </w:rPr>
        <w:t>á</w:t>
      </w:r>
      <w:r w:rsidR="00C527FD">
        <w:rPr>
          <w:rFonts w:ascii="Bookman Old Style" w:hAnsi="Bookman Old Style" w:cs="Arial"/>
          <w:b/>
          <w:color w:val="000000"/>
        </w:rPr>
        <w:t>n en la Subasta de Reconfiguración</w:t>
      </w:r>
      <w:r w:rsidRPr="00202498">
        <w:rPr>
          <w:rFonts w:ascii="Bookman Old Style" w:hAnsi="Bookman Old Style" w:cs="Arial"/>
          <w:b/>
          <w:color w:val="000000"/>
        </w:rPr>
        <w:t>.</w:t>
      </w:r>
      <w:r>
        <w:rPr>
          <w:rFonts w:ascii="Bookman Old Style" w:hAnsi="Bookman Old Style" w:cs="Arial"/>
          <w:color w:val="000000"/>
        </w:rPr>
        <w:t xml:space="preserve"> En la Subasta de Reconfiguración de Venta </w:t>
      </w:r>
      <w:r w:rsidR="00A46AC7">
        <w:rPr>
          <w:rFonts w:ascii="Bookman Old Style" w:hAnsi="Bookman Old Style" w:cs="Arial"/>
          <w:color w:val="000000"/>
        </w:rPr>
        <w:t>se asignar</w:t>
      </w:r>
      <w:r w:rsidR="002043B4">
        <w:rPr>
          <w:rFonts w:ascii="Bookman Old Style" w:hAnsi="Bookman Old Style" w:cs="Arial"/>
          <w:color w:val="000000"/>
        </w:rPr>
        <w:t>á</w:t>
      </w:r>
      <w:r w:rsidR="00A46AC7">
        <w:rPr>
          <w:rFonts w:ascii="Bookman Old Style" w:hAnsi="Bookman Old Style" w:cs="Arial"/>
          <w:color w:val="000000"/>
        </w:rPr>
        <w:t xml:space="preserve">n </w:t>
      </w:r>
      <w:r w:rsidR="002043B4">
        <w:rPr>
          <w:rFonts w:ascii="Bookman Old Style" w:hAnsi="Bookman Old Style" w:cs="Arial"/>
          <w:color w:val="000000"/>
        </w:rPr>
        <w:t xml:space="preserve">las </w:t>
      </w:r>
      <w:r w:rsidR="00A46AC7">
        <w:rPr>
          <w:rFonts w:ascii="Bookman Old Style" w:hAnsi="Bookman Old Style" w:cs="Arial"/>
          <w:color w:val="000000"/>
        </w:rPr>
        <w:t>OEF de Venta para el período de vigencia comprendido entre el 1 de diciembre de 201</w:t>
      </w:r>
      <w:r w:rsidR="00896934">
        <w:rPr>
          <w:rFonts w:ascii="Bookman Old Style" w:hAnsi="Bookman Old Style" w:cs="Arial"/>
          <w:color w:val="000000"/>
        </w:rPr>
        <w:t>6</w:t>
      </w:r>
      <w:r w:rsidR="00A46AC7">
        <w:rPr>
          <w:rFonts w:ascii="Bookman Old Style" w:hAnsi="Bookman Old Style" w:cs="Arial"/>
          <w:color w:val="000000"/>
        </w:rPr>
        <w:t xml:space="preserve"> y el 30 de noviembre de 201</w:t>
      </w:r>
      <w:r w:rsidR="00896934">
        <w:rPr>
          <w:rFonts w:ascii="Bookman Old Style" w:hAnsi="Bookman Old Style" w:cs="Arial"/>
          <w:color w:val="000000"/>
        </w:rPr>
        <w:t>7</w:t>
      </w:r>
      <w:r w:rsidR="00A46AC7">
        <w:rPr>
          <w:rFonts w:ascii="Bookman Old Style" w:hAnsi="Bookman Old Style" w:cs="Arial"/>
          <w:color w:val="000000"/>
        </w:rPr>
        <w:t>.</w:t>
      </w:r>
    </w:p>
    <w:p w:rsidR="00C2797E" w:rsidRPr="008C56A2" w:rsidRDefault="00C2797E" w:rsidP="00E06AEF">
      <w:pPr>
        <w:tabs>
          <w:tab w:val="center" w:pos="4512"/>
          <w:tab w:val="left" w:pos="7088"/>
        </w:tabs>
        <w:suppressAutoHyphens/>
        <w:ind w:left="0" w:right="51"/>
        <w:jc w:val="both"/>
        <w:rPr>
          <w:rFonts w:ascii="Bookman Old Style" w:hAnsi="Bookman Old Style" w:cs="Arial"/>
          <w:color w:val="000000"/>
          <w:sz w:val="28"/>
        </w:rPr>
      </w:pPr>
    </w:p>
    <w:p w:rsidR="00C2797E" w:rsidRDefault="00C2797E" w:rsidP="00E06AEF">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sidR="00DA3F77">
        <w:rPr>
          <w:rFonts w:ascii="Bookman Old Style" w:hAnsi="Bookman Old Style" w:cs="Arial"/>
          <w:b/>
          <w:color w:val="000000"/>
        </w:rPr>
        <w:t>4</w:t>
      </w:r>
      <w:r w:rsidRPr="00E53D0C">
        <w:rPr>
          <w:rFonts w:ascii="Bookman Old Style" w:hAnsi="Bookman Old Style" w:cs="Arial"/>
          <w:b/>
          <w:color w:val="000000"/>
        </w:rPr>
        <w:t xml:space="preserve">. </w:t>
      </w:r>
      <w:r w:rsidR="00A46AC7">
        <w:rPr>
          <w:rFonts w:ascii="Bookman Old Style" w:hAnsi="Bookman Old Style" w:cs="Arial"/>
          <w:b/>
          <w:color w:val="000000"/>
        </w:rPr>
        <w:t>Cronograma para el reporte de información por quienes deseen participar en la Subasta de Reconfiguración de Venta para el período  de vigencia comprendido entre el 1 de diciembre de 201</w:t>
      </w:r>
      <w:r w:rsidR="00896934">
        <w:rPr>
          <w:rFonts w:ascii="Bookman Old Style" w:hAnsi="Bookman Old Style" w:cs="Arial"/>
          <w:b/>
          <w:color w:val="000000"/>
        </w:rPr>
        <w:t>6</w:t>
      </w:r>
      <w:r w:rsidR="00A46AC7">
        <w:rPr>
          <w:rFonts w:ascii="Bookman Old Style" w:hAnsi="Bookman Old Style" w:cs="Arial"/>
          <w:b/>
          <w:color w:val="000000"/>
        </w:rPr>
        <w:t xml:space="preserve"> y el 30 de noviembre de 201</w:t>
      </w:r>
      <w:r w:rsidR="00896934">
        <w:rPr>
          <w:rFonts w:ascii="Bookman Old Style" w:hAnsi="Bookman Old Style" w:cs="Arial"/>
          <w:b/>
          <w:color w:val="000000"/>
        </w:rPr>
        <w:t>7</w:t>
      </w:r>
      <w:r w:rsidR="00E53D0C" w:rsidRPr="00E53D0C">
        <w:rPr>
          <w:rFonts w:ascii="Bookman Old Style" w:hAnsi="Bookman Old Style" w:cs="Arial"/>
          <w:b/>
          <w:color w:val="000000"/>
        </w:rPr>
        <w:t>.</w:t>
      </w:r>
      <w:r w:rsidR="00E53D0C">
        <w:rPr>
          <w:rFonts w:ascii="Bookman Old Style" w:hAnsi="Bookman Old Style" w:cs="Arial"/>
          <w:color w:val="000000"/>
        </w:rPr>
        <w:t xml:space="preserve"> </w:t>
      </w:r>
      <w:r w:rsidR="00A46AC7">
        <w:rPr>
          <w:rFonts w:ascii="Bookman Old Style" w:hAnsi="Bookman Old Style" w:cs="Arial"/>
          <w:color w:val="000000"/>
        </w:rPr>
        <w:t xml:space="preserve">Los agentes </w:t>
      </w:r>
      <w:r w:rsidR="001B4677">
        <w:rPr>
          <w:rFonts w:ascii="Bookman Old Style" w:hAnsi="Bookman Old Style" w:cs="Arial"/>
          <w:color w:val="000000"/>
        </w:rPr>
        <w:t xml:space="preserve">generadores </w:t>
      </w:r>
      <w:r w:rsidR="00A46AC7">
        <w:rPr>
          <w:rFonts w:ascii="Bookman Old Style" w:hAnsi="Bookman Old Style" w:cs="Arial"/>
          <w:color w:val="000000"/>
        </w:rPr>
        <w:t>que deseen participar en la Subasta de Reconfiguración de Venta para el período de vigencia comprendido entre el 1 de diciembre de 201</w:t>
      </w:r>
      <w:r w:rsidR="00896934">
        <w:rPr>
          <w:rFonts w:ascii="Bookman Old Style" w:hAnsi="Bookman Old Style" w:cs="Arial"/>
          <w:color w:val="000000"/>
        </w:rPr>
        <w:t>6</w:t>
      </w:r>
      <w:r w:rsidR="00A46AC7">
        <w:rPr>
          <w:rFonts w:ascii="Bookman Old Style" w:hAnsi="Bookman Old Style" w:cs="Arial"/>
          <w:color w:val="000000"/>
        </w:rPr>
        <w:t xml:space="preserve"> y el 30 de noviembre de 201</w:t>
      </w:r>
      <w:r w:rsidR="00896934">
        <w:rPr>
          <w:rFonts w:ascii="Bookman Old Style" w:hAnsi="Bookman Old Style" w:cs="Arial"/>
          <w:color w:val="000000"/>
        </w:rPr>
        <w:t>7</w:t>
      </w:r>
      <w:r w:rsidR="00A46AC7">
        <w:rPr>
          <w:rFonts w:ascii="Bookman Old Style" w:hAnsi="Bookman Old Style" w:cs="Arial"/>
          <w:color w:val="000000"/>
        </w:rPr>
        <w:t xml:space="preserve"> deberán remitir la información establecida en el Anexo de esta Resolución</w:t>
      </w:r>
      <w:r w:rsidR="00EA24A6">
        <w:rPr>
          <w:rFonts w:ascii="Bookman Old Style" w:hAnsi="Bookman Old Style" w:cs="Arial"/>
          <w:color w:val="000000"/>
        </w:rPr>
        <w:t xml:space="preserve"> en los plazos allí señalados</w:t>
      </w:r>
      <w:r w:rsidR="00E53D0C">
        <w:rPr>
          <w:rFonts w:ascii="Bookman Old Style" w:hAnsi="Bookman Old Style" w:cs="Arial"/>
          <w:color w:val="000000"/>
        </w:rPr>
        <w:t>.</w:t>
      </w:r>
    </w:p>
    <w:p w:rsidR="00E53D0C" w:rsidRDefault="00E53D0C" w:rsidP="00E06AEF">
      <w:pPr>
        <w:tabs>
          <w:tab w:val="center" w:pos="4512"/>
          <w:tab w:val="left" w:pos="7088"/>
        </w:tabs>
        <w:suppressAutoHyphens/>
        <w:ind w:left="0" w:right="51"/>
        <w:jc w:val="both"/>
        <w:rPr>
          <w:rFonts w:ascii="Bookman Old Style" w:hAnsi="Bookman Old Style" w:cs="Arial"/>
          <w:color w:val="000000"/>
        </w:rPr>
      </w:pPr>
    </w:p>
    <w:p w:rsidR="00A46AC7" w:rsidRPr="00A46AC7" w:rsidRDefault="00A46AC7" w:rsidP="00BE4720">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Parágrafo. </w:t>
      </w:r>
      <w:r>
        <w:rPr>
          <w:rFonts w:ascii="Bookman Old Style" w:hAnsi="Bookman Old Style" w:cs="Arial"/>
          <w:color w:val="000000"/>
        </w:rPr>
        <w:t xml:space="preserve">Los plazos establecidos en el Anexo de la presente Resolución vencerán a las 17:00 horas del respectivo día. </w:t>
      </w:r>
      <w:r w:rsidR="008B194E">
        <w:rPr>
          <w:rFonts w:ascii="Bookman Old Style" w:hAnsi="Bookman Old Style" w:cs="Arial"/>
          <w:color w:val="000000"/>
        </w:rPr>
        <w:t>Los agentes que no cumplan los plazos establecidos en el anexo no serán considerados en la Subasta de Reconfiguración de Venta.</w:t>
      </w:r>
    </w:p>
    <w:p w:rsidR="00A46AC7" w:rsidRDefault="00A46AC7" w:rsidP="00BE4720">
      <w:pPr>
        <w:tabs>
          <w:tab w:val="center" w:pos="709"/>
        </w:tabs>
        <w:suppressAutoHyphens/>
        <w:ind w:left="0" w:right="51"/>
        <w:jc w:val="both"/>
        <w:rPr>
          <w:rFonts w:ascii="Bookman Old Style" w:hAnsi="Bookman Old Style" w:cs="Arial"/>
          <w:b/>
          <w:color w:val="000000"/>
          <w:sz w:val="28"/>
        </w:rPr>
      </w:pPr>
    </w:p>
    <w:p w:rsidR="00F608C3" w:rsidRPr="008C56A2" w:rsidRDefault="00F608C3" w:rsidP="00BE4720">
      <w:pPr>
        <w:tabs>
          <w:tab w:val="center" w:pos="709"/>
        </w:tabs>
        <w:suppressAutoHyphens/>
        <w:ind w:left="0" w:right="51"/>
        <w:jc w:val="both"/>
        <w:rPr>
          <w:rFonts w:ascii="Bookman Old Style" w:hAnsi="Bookman Old Style" w:cs="Arial"/>
          <w:b/>
          <w:color w:val="000000"/>
          <w:sz w:val="28"/>
        </w:rPr>
      </w:pPr>
    </w:p>
    <w:p w:rsidR="00C54B51" w:rsidRDefault="00BE4720" w:rsidP="00BE4720">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sidR="00DA3F77">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sidR="008B194E">
        <w:rPr>
          <w:rFonts w:ascii="Bookman Old Style" w:hAnsi="Bookman Old Style" w:cs="Arial"/>
          <w:b/>
          <w:color w:val="000000"/>
          <w:lang w:val="es-CO"/>
        </w:rPr>
        <w:t>Transición</w:t>
      </w:r>
      <w:r w:rsidR="00C87143">
        <w:rPr>
          <w:rFonts w:ascii="Bookman Old Style" w:hAnsi="Bookman Old Style" w:cs="Arial"/>
          <w:b/>
          <w:color w:val="000000"/>
          <w:lang w:val="es-CO"/>
        </w:rPr>
        <w:t xml:space="preserve">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w:t>
      </w:r>
      <w:r w:rsidR="00694D7C">
        <w:rPr>
          <w:rFonts w:ascii="Bookman Old Style" w:hAnsi="Bookman Old Style" w:cs="Arial"/>
          <w:color w:val="000000"/>
          <w:lang w:val="es-CO"/>
        </w:rPr>
        <w:t xml:space="preserve">Los plazos para el cumplimiento de la actualización </w:t>
      </w:r>
      <w:r w:rsidR="007142E0">
        <w:rPr>
          <w:rFonts w:ascii="Bookman Old Style" w:hAnsi="Bookman Old Style" w:cs="Arial"/>
          <w:color w:val="000000"/>
          <w:lang w:val="es-CO"/>
        </w:rPr>
        <w:t xml:space="preserve">de </w:t>
      </w:r>
      <w:r w:rsidR="00694D7C">
        <w:rPr>
          <w:rFonts w:ascii="Bookman Old Style" w:hAnsi="Bookman Old Style" w:cs="Arial"/>
          <w:color w:val="000000"/>
          <w:lang w:val="es-CO"/>
        </w:rPr>
        <w:t>garantías y registro de contratos de respaldo previstos en la Resolución CREG 061 de 2007,</w:t>
      </w:r>
      <w:r w:rsidR="00C54B51">
        <w:rPr>
          <w:rFonts w:ascii="Bookman Old Style" w:hAnsi="Bookman Old Style" w:cs="Arial"/>
          <w:color w:val="000000"/>
          <w:lang w:val="es-CO"/>
        </w:rPr>
        <w:t xml:space="preserve"> </w:t>
      </w:r>
      <w:r w:rsidR="00C54B51" w:rsidRPr="00342506">
        <w:rPr>
          <w:rFonts w:ascii="Bookman Old Style" w:hAnsi="Bookman Old Style" w:cs="Arial"/>
          <w:color w:val="000000"/>
          <w:lang w:val="es-CO"/>
        </w:rPr>
        <w:t>y la</w:t>
      </w:r>
      <w:r w:rsidR="000415FA" w:rsidRPr="00342506">
        <w:rPr>
          <w:rFonts w:ascii="Bookman Old Style" w:hAnsi="Bookman Old Style" w:cs="Arial"/>
          <w:color w:val="000000"/>
          <w:lang w:val="es-CO"/>
        </w:rPr>
        <w:t>s auditorias de plantas</w:t>
      </w:r>
      <w:r w:rsidR="00C54B51" w:rsidRPr="00342506">
        <w:rPr>
          <w:rFonts w:ascii="Bookman Old Style" w:hAnsi="Bookman Old Style" w:cs="Arial"/>
          <w:color w:val="000000"/>
          <w:lang w:val="es-CO"/>
        </w:rPr>
        <w:t xml:space="preserve"> de que trata el </w:t>
      </w:r>
      <w:r w:rsidR="000415FA" w:rsidRPr="00342506">
        <w:rPr>
          <w:rFonts w:ascii="Bookman Old Style" w:hAnsi="Bookman Old Style" w:cs="Arial"/>
          <w:color w:val="000000"/>
          <w:lang w:val="es-CO"/>
        </w:rPr>
        <w:t>artículo 8</w:t>
      </w:r>
      <w:r w:rsidR="00C54B51" w:rsidRPr="00342506">
        <w:rPr>
          <w:rFonts w:ascii="Bookman Old Style" w:hAnsi="Bookman Old Style" w:cs="Arial"/>
          <w:color w:val="000000"/>
          <w:lang w:val="es-CO"/>
        </w:rPr>
        <w:t xml:space="preserve"> de la Resolución CREG 071 de 2006</w:t>
      </w:r>
      <w:r w:rsidR="00C54B51">
        <w:rPr>
          <w:rFonts w:ascii="Bookman Old Style" w:hAnsi="Bookman Old Style" w:cs="Arial"/>
          <w:color w:val="000000"/>
          <w:lang w:val="es-CO"/>
        </w:rPr>
        <w:t>,</w:t>
      </w:r>
      <w:r w:rsidR="00694D7C">
        <w:rPr>
          <w:rFonts w:ascii="Bookman Old Style" w:hAnsi="Bookman Old Style" w:cs="Arial"/>
          <w:color w:val="000000"/>
          <w:lang w:val="es-CO"/>
        </w:rPr>
        <w:t xml:space="preserve"> se suspenderán para las plantas en construcción que tengan OEF para el período 201</w:t>
      </w:r>
      <w:r w:rsidR="00896934">
        <w:rPr>
          <w:rFonts w:ascii="Bookman Old Style" w:hAnsi="Bookman Old Style" w:cs="Arial"/>
          <w:color w:val="000000"/>
          <w:lang w:val="es-CO"/>
        </w:rPr>
        <w:t>6</w:t>
      </w:r>
      <w:r w:rsidR="00694D7C">
        <w:rPr>
          <w:rFonts w:ascii="Bookman Old Style" w:hAnsi="Bookman Old Style" w:cs="Arial"/>
          <w:color w:val="000000"/>
          <w:lang w:val="es-CO"/>
        </w:rPr>
        <w:t xml:space="preserve"> - 201</w:t>
      </w:r>
      <w:r w:rsidR="00896934">
        <w:rPr>
          <w:rFonts w:ascii="Bookman Old Style" w:hAnsi="Bookman Old Style" w:cs="Arial"/>
          <w:color w:val="000000"/>
          <w:lang w:val="es-CO"/>
        </w:rPr>
        <w:t>7</w:t>
      </w:r>
      <w:r w:rsidR="00694D7C">
        <w:rPr>
          <w:rFonts w:ascii="Bookman Old Style" w:hAnsi="Bookman Old Style" w:cs="Arial"/>
          <w:color w:val="000000"/>
          <w:lang w:val="es-CO"/>
        </w:rPr>
        <w:t xml:space="preserve"> </w:t>
      </w:r>
      <w:r w:rsidR="001B4677">
        <w:rPr>
          <w:rFonts w:ascii="Bookman Old Style" w:hAnsi="Bookman Old Style" w:cs="Arial"/>
          <w:color w:val="000000"/>
          <w:lang w:val="es-CO"/>
        </w:rPr>
        <w:t>una vez entre en vigencia la presente Resolución</w:t>
      </w:r>
      <w:r w:rsidR="00694D7C">
        <w:rPr>
          <w:rFonts w:ascii="Bookman Old Style" w:hAnsi="Bookman Old Style" w:cs="Arial"/>
          <w:color w:val="000000"/>
          <w:lang w:val="es-CO"/>
        </w:rPr>
        <w:t>.</w:t>
      </w:r>
      <w:r w:rsidR="000415FA">
        <w:rPr>
          <w:rFonts w:ascii="Bookman Old Style" w:hAnsi="Bookman Old Style" w:cs="Arial"/>
          <w:color w:val="000000"/>
          <w:lang w:val="es-CO"/>
        </w:rPr>
        <w:t xml:space="preserve"> Lo anterior, sin perjuicio de la certificación del porcentaje de avance del proyecto</w:t>
      </w:r>
      <w:r w:rsidR="00FD2EE5" w:rsidRPr="00FD2EE5">
        <w:rPr>
          <w:rFonts w:ascii="Bookman Old Style" w:hAnsi="Bookman Old Style" w:cs="Arial"/>
          <w:color w:val="000000"/>
          <w:lang w:val="es-CO"/>
        </w:rPr>
        <w:t xml:space="preserve"> </w:t>
      </w:r>
      <w:r w:rsidR="000415FA">
        <w:rPr>
          <w:rFonts w:ascii="Bookman Old Style" w:hAnsi="Bookman Old Style" w:cs="Arial"/>
          <w:color w:val="000000"/>
          <w:lang w:val="es-CO"/>
        </w:rPr>
        <w:t>que pueda requerir el agente propietario o representante del mismo.</w:t>
      </w:r>
    </w:p>
    <w:p w:rsidR="00C54B51" w:rsidRDefault="00C54B51" w:rsidP="00BE4720">
      <w:pPr>
        <w:tabs>
          <w:tab w:val="center" w:pos="709"/>
        </w:tabs>
        <w:suppressAutoHyphens/>
        <w:ind w:left="0" w:right="51"/>
        <w:jc w:val="both"/>
        <w:rPr>
          <w:rFonts w:ascii="Bookman Old Style" w:hAnsi="Bookman Old Style" w:cs="Arial"/>
          <w:color w:val="000000"/>
          <w:lang w:val="es-CO"/>
        </w:rPr>
      </w:pPr>
    </w:p>
    <w:p w:rsidR="00694D7C" w:rsidRDefault="00342098" w:rsidP="00BE4720">
      <w:pPr>
        <w:tabs>
          <w:tab w:val="center" w:pos="709"/>
        </w:tabs>
        <w:suppressAutoHyphens/>
        <w:ind w:left="0" w:right="51"/>
        <w:jc w:val="both"/>
        <w:rPr>
          <w:rFonts w:ascii="Bookman Old Style" w:hAnsi="Bookman Old Style" w:cs="Arial"/>
          <w:color w:val="000000"/>
          <w:lang w:val="es-CO"/>
        </w:rPr>
      </w:pPr>
      <w:r>
        <w:rPr>
          <w:rFonts w:ascii="Bookman Old Style" w:hAnsi="Bookman Old Style" w:cs="Arial"/>
          <w:color w:val="000000"/>
          <w:lang w:val="es-CO"/>
        </w:rPr>
        <w:t>S</w:t>
      </w:r>
      <w:r w:rsidR="00FD2EE5">
        <w:rPr>
          <w:rFonts w:ascii="Bookman Old Style" w:hAnsi="Bookman Old Style" w:cs="Arial"/>
          <w:color w:val="000000"/>
          <w:lang w:val="es-CO"/>
        </w:rPr>
        <w:t xml:space="preserve">e </w:t>
      </w:r>
      <w:r w:rsidR="009F2FD4">
        <w:rPr>
          <w:rFonts w:ascii="Bookman Old Style" w:hAnsi="Bookman Old Style" w:cs="Arial"/>
          <w:color w:val="000000"/>
          <w:lang w:val="es-CO"/>
        </w:rPr>
        <w:t>reanuda</w:t>
      </w:r>
      <w:r w:rsidR="00E60C09">
        <w:rPr>
          <w:rFonts w:ascii="Bookman Old Style" w:hAnsi="Bookman Old Style" w:cs="Arial"/>
          <w:color w:val="000000"/>
          <w:lang w:val="es-CO"/>
        </w:rPr>
        <w:t>rá</w:t>
      </w:r>
      <w:r w:rsidR="00FD2EE5">
        <w:rPr>
          <w:rFonts w:ascii="Bookman Old Style" w:hAnsi="Bookman Old Style" w:cs="Arial"/>
          <w:color w:val="000000"/>
          <w:lang w:val="es-CO"/>
        </w:rPr>
        <w:t xml:space="preserve"> la contabilización de </w:t>
      </w:r>
      <w:r w:rsidR="00C54B51">
        <w:rPr>
          <w:rFonts w:ascii="Bookman Old Style" w:hAnsi="Bookman Old Style" w:cs="Arial"/>
          <w:color w:val="000000"/>
          <w:lang w:val="es-CO"/>
        </w:rPr>
        <w:t>los</w:t>
      </w:r>
      <w:r w:rsidR="00FD2EE5">
        <w:rPr>
          <w:rFonts w:ascii="Bookman Old Style" w:hAnsi="Bookman Old Style" w:cs="Arial"/>
          <w:color w:val="000000"/>
          <w:lang w:val="es-CO"/>
        </w:rPr>
        <w:t xml:space="preserve"> plazos</w:t>
      </w:r>
      <w:r w:rsidR="00C54B51">
        <w:rPr>
          <w:rFonts w:ascii="Bookman Old Style" w:hAnsi="Bookman Old Style" w:cs="Arial"/>
          <w:color w:val="000000"/>
          <w:lang w:val="es-CO"/>
        </w:rPr>
        <w:t xml:space="preserve"> y</w:t>
      </w:r>
      <w:r>
        <w:rPr>
          <w:rFonts w:ascii="Bookman Old Style" w:hAnsi="Bookman Old Style" w:cs="Arial"/>
          <w:color w:val="000000"/>
          <w:lang w:val="es-CO"/>
        </w:rPr>
        <w:t xml:space="preserve"> auditorias</w:t>
      </w:r>
      <w:r w:rsidR="00C54B51">
        <w:rPr>
          <w:rFonts w:ascii="Bookman Old Style" w:hAnsi="Bookman Old Style" w:cs="Arial"/>
          <w:color w:val="000000"/>
          <w:lang w:val="es-CO"/>
        </w:rPr>
        <w:t xml:space="preserve"> </w:t>
      </w:r>
      <w:r>
        <w:rPr>
          <w:rFonts w:ascii="Bookman Old Style" w:hAnsi="Bookman Old Style" w:cs="Arial"/>
          <w:color w:val="000000"/>
          <w:lang w:val="es-CO"/>
        </w:rPr>
        <w:t>señaladas en presente artículo diez (10) hábiles siguientes a la etapa de asignación y publicación de la Subasta de Reconfiguración de Venta para el período 2016-2017</w:t>
      </w:r>
      <w:r w:rsidR="00FD2EE5">
        <w:rPr>
          <w:rFonts w:ascii="Bookman Old Style" w:hAnsi="Bookman Old Style" w:cs="Arial"/>
          <w:color w:val="000000"/>
          <w:lang w:val="es-CO"/>
        </w:rPr>
        <w:t>.</w:t>
      </w:r>
    </w:p>
    <w:p w:rsidR="00896934" w:rsidRDefault="00896934" w:rsidP="00BE4720">
      <w:pPr>
        <w:tabs>
          <w:tab w:val="center" w:pos="709"/>
        </w:tabs>
        <w:suppressAutoHyphens/>
        <w:ind w:left="0" w:right="51"/>
        <w:jc w:val="both"/>
        <w:rPr>
          <w:rFonts w:ascii="Bookman Old Style" w:hAnsi="Bookman Old Style" w:cs="Arial"/>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87143">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F608C3">
        <w:rPr>
          <w:rFonts w:ascii="Bookman Old Style" w:hAnsi="Bookman Old Style" w:cs="Arial"/>
          <w:i/>
          <w:color w:val="000000"/>
          <w:lang w:val="es-CO"/>
        </w:rPr>
        <w:t>Diario Oficial</w:t>
      </w:r>
      <w:r>
        <w:rPr>
          <w:rFonts w:ascii="Bookman Old Style" w:hAnsi="Bookman Old Style" w:cs="Arial"/>
          <w:color w:val="000000"/>
          <w:lang w:val="es-CO"/>
        </w:rPr>
        <w:t xml:space="preserve"> y deroga las disposiciones que le sean contrarias.</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661E64" w:rsidP="00661E64">
      <w:pPr>
        <w:rPr>
          <w:rFonts w:ascii="Bookman Old Style" w:hAnsi="Bookman Old Style"/>
        </w:rPr>
      </w:pPr>
    </w:p>
    <w:p w:rsidR="00661E64" w:rsidRDefault="00661E64" w:rsidP="00661E64">
      <w:pPr>
        <w:ind w:left="0"/>
        <w:rPr>
          <w:rFonts w:ascii="Bookman Old Style" w:hAnsi="Bookman Old Style"/>
        </w:rPr>
      </w:pPr>
    </w:p>
    <w:p w:rsidR="00661E64" w:rsidRDefault="00661E64" w:rsidP="00661E64">
      <w:pPr>
        <w:ind w:left="0"/>
        <w:rPr>
          <w:rFonts w:ascii="Bookman Old Style" w:hAnsi="Bookman Old Style"/>
        </w:rPr>
      </w:pPr>
      <w:r>
        <w:rPr>
          <w:rFonts w:ascii="Bookman Old Style" w:hAnsi="Bookman Old Style"/>
        </w:rPr>
        <w:t>Dada en Bogotá, D.C.</w:t>
      </w:r>
    </w:p>
    <w:p w:rsidR="00661E64" w:rsidRDefault="00661E64" w:rsidP="00661E64">
      <w:pPr>
        <w:ind w:left="0"/>
        <w:rPr>
          <w:rFonts w:ascii="Bookman Old Style" w:hAnsi="Bookman Old Style"/>
        </w:rPr>
      </w:pPr>
    </w:p>
    <w:p w:rsidR="00FA28B4" w:rsidRDefault="00FA28B4"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FA28B4" w:rsidRDefault="00FA28B4" w:rsidP="00661E64">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FC7584" w:rsidTr="00CD50A3">
        <w:trPr>
          <w:jc w:val="right"/>
        </w:trPr>
        <w:tc>
          <w:tcPr>
            <w:tcW w:w="4871" w:type="dxa"/>
            <w:hideMark/>
          </w:tcPr>
          <w:p w:rsidR="00FC7584" w:rsidRDefault="00C54B51" w:rsidP="00F608C3">
            <w:pPr>
              <w:ind w:left="0"/>
              <w:jc w:val="center"/>
              <w:rPr>
                <w:rFonts w:ascii="Bookman Old Style" w:hAnsi="Bookman Old Style" w:cs="Arial"/>
                <w:b/>
                <w:spacing w:val="-3"/>
                <w:lang w:val="es-ES_tradnl"/>
              </w:rPr>
            </w:pPr>
            <w:r>
              <w:rPr>
                <w:rFonts w:ascii="Bookman Old Style" w:hAnsi="Bookman Old Style" w:cs="Arial"/>
                <w:b/>
                <w:spacing w:val="-3"/>
              </w:rPr>
              <w:t>GERM</w:t>
            </w:r>
            <w:r w:rsidR="00F608C3">
              <w:rPr>
                <w:rFonts w:ascii="Bookman Old Style" w:hAnsi="Bookman Old Style" w:cs="Arial"/>
                <w:b/>
                <w:spacing w:val="-3"/>
              </w:rPr>
              <w:t>Á</w:t>
            </w:r>
            <w:r>
              <w:rPr>
                <w:rFonts w:ascii="Bookman Old Style" w:hAnsi="Bookman Old Style" w:cs="Arial"/>
                <w:b/>
                <w:spacing w:val="-3"/>
              </w:rPr>
              <w:t>N ARCE</w:t>
            </w:r>
            <w:r w:rsidR="001B4677">
              <w:rPr>
                <w:rFonts w:ascii="Bookman Old Style" w:hAnsi="Bookman Old Style" w:cs="Arial"/>
                <w:b/>
                <w:spacing w:val="-3"/>
              </w:rPr>
              <w:t xml:space="preserve"> ZAPATA</w:t>
            </w:r>
          </w:p>
        </w:tc>
        <w:tc>
          <w:tcPr>
            <w:tcW w:w="4692" w:type="dxa"/>
            <w:hideMark/>
          </w:tcPr>
          <w:p w:rsidR="00FC7584" w:rsidRDefault="00C54B51" w:rsidP="00C54B51">
            <w:pPr>
              <w:ind w:left="0" w:right="567"/>
              <w:jc w:val="center"/>
              <w:rPr>
                <w:rFonts w:ascii="Bookman Old Style" w:hAnsi="Bookman Old Style" w:cs="Arial"/>
                <w:b/>
                <w:spacing w:val="-3"/>
                <w:lang w:val="es-ES_tradnl"/>
              </w:rPr>
            </w:pPr>
            <w:r>
              <w:rPr>
                <w:rFonts w:ascii="Bookman Old Style" w:hAnsi="Bookman Old Style" w:cs="Arial"/>
                <w:b/>
                <w:spacing w:val="-3"/>
                <w:lang w:val="es-ES_tradnl"/>
              </w:rPr>
              <w:t>JORGE PINTO NOLLA</w:t>
            </w:r>
          </w:p>
        </w:tc>
      </w:tr>
      <w:tr w:rsidR="00FC7584" w:rsidTr="00CD50A3">
        <w:trPr>
          <w:jc w:val="right"/>
        </w:trPr>
        <w:tc>
          <w:tcPr>
            <w:tcW w:w="4871" w:type="dxa"/>
            <w:hideMark/>
          </w:tcPr>
          <w:p w:rsidR="00FC7584" w:rsidRDefault="00FC7584" w:rsidP="00896934">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692" w:type="dxa"/>
            <w:hideMark/>
          </w:tcPr>
          <w:p w:rsidR="00FC7584" w:rsidRDefault="00FC7584" w:rsidP="00C54B51">
            <w:pPr>
              <w:ind w:left="19"/>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r w:rsidR="00FC7584" w:rsidTr="00CD50A3">
        <w:trPr>
          <w:jc w:val="right"/>
        </w:trPr>
        <w:tc>
          <w:tcPr>
            <w:tcW w:w="4871" w:type="dxa"/>
            <w:hideMark/>
          </w:tcPr>
          <w:p w:rsidR="00FC7584" w:rsidRDefault="00FC7584" w:rsidP="00C54B51">
            <w:pPr>
              <w:ind w:left="0"/>
              <w:jc w:val="center"/>
              <w:rPr>
                <w:rFonts w:ascii="Bookman Old Style" w:hAnsi="Bookman Old Style" w:cs="Arial"/>
                <w:spacing w:val="-3"/>
              </w:rPr>
            </w:pPr>
            <w:r>
              <w:rPr>
                <w:rFonts w:ascii="Bookman Old Style" w:hAnsi="Bookman Old Style" w:cs="Arial"/>
                <w:spacing w:val="-3"/>
              </w:rPr>
              <w:t>Presidente</w:t>
            </w:r>
          </w:p>
        </w:tc>
        <w:tc>
          <w:tcPr>
            <w:tcW w:w="4692" w:type="dxa"/>
          </w:tcPr>
          <w:p w:rsidR="00FC7584" w:rsidRDefault="00FC7584" w:rsidP="00896934">
            <w:pPr>
              <w:rPr>
                <w:rFonts w:ascii="Bookman Old Style" w:hAnsi="Bookman Old Style" w:cs="Arial"/>
                <w:spacing w:val="-3"/>
              </w:rPr>
            </w:pPr>
          </w:p>
        </w:tc>
      </w:tr>
    </w:tbl>
    <w:p w:rsidR="00FA28B4" w:rsidRDefault="00FA28B4" w:rsidP="00661E64">
      <w:pPr>
        <w:ind w:left="0"/>
        <w:rPr>
          <w:rFonts w:ascii="Bookman Old Style" w:hAnsi="Bookman Old Style"/>
        </w:rPr>
      </w:pPr>
    </w:p>
    <w:p w:rsidR="00FA28B4" w:rsidRDefault="00FA28B4" w:rsidP="00661E64">
      <w:pPr>
        <w:ind w:left="0"/>
        <w:rPr>
          <w:rFonts w:ascii="Bookman Old Style" w:hAnsi="Bookman Old Style"/>
        </w:rPr>
      </w:pPr>
    </w:p>
    <w:p w:rsidR="002301FE" w:rsidRDefault="002301FE"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2A7E68">
      <w:pPr>
        <w:ind w:left="0"/>
        <w:jc w:val="center"/>
        <w:rPr>
          <w:rFonts w:ascii="Bookman Old Style" w:hAnsi="Bookman Old Style"/>
          <w:b/>
          <w:lang w:val="es-CO"/>
        </w:rPr>
      </w:pPr>
      <w:r>
        <w:rPr>
          <w:rFonts w:ascii="Bookman Old Style" w:hAnsi="Bookman Old Style"/>
          <w:b/>
          <w:lang w:val="es-CO"/>
        </w:rPr>
        <w:t>ANEXO</w:t>
      </w:r>
    </w:p>
    <w:p w:rsidR="002A7E68" w:rsidRDefault="002A7E68" w:rsidP="004C33BE">
      <w:pPr>
        <w:ind w:left="0"/>
        <w:rPr>
          <w:rFonts w:ascii="Bookman Old Style" w:hAnsi="Bookman Old Style"/>
          <w:b/>
          <w:lang w:val="es-CO"/>
        </w:rPr>
      </w:pPr>
    </w:p>
    <w:tbl>
      <w:tblPr>
        <w:tblStyle w:val="Tablaconcuadrcula"/>
        <w:tblW w:w="0" w:type="auto"/>
        <w:tblInd w:w="108" w:type="dxa"/>
        <w:tblLayout w:type="fixed"/>
        <w:tblLook w:val="04A0" w:firstRow="1" w:lastRow="0" w:firstColumn="1" w:lastColumn="0" w:noHBand="0" w:noVBand="1"/>
      </w:tblPr>
      <w:tblGrid>
        <w:gridCol w:w="1985"/>
        <w:gridCol w:w="3685"/>
        <w:gridCol w:w="1843"/>
        <w:gridCol w:w="1843"/>
      </w:tblGrid>
      <w:tr w:rsidR="00F176CB" w:rsidTr="00F176CB">
        <w:tc>
          <w:tcPr>
            <w:tcW w:w="9356" w:type="dxa"/>
            <w:gridSpan w:val="4"/>
            <w:tcBorders>
              <w:bottom w:val="single" w:sz="4" w:space="0" w:color="000000"/>
            </w:tcBorders>
          </w:tcPr>
          <w:p w:rsidR="00F176CB" w:rsidRPr="00CD50A3" w:rsidRDefault="00F176CB" w:rsidP="00F176CB">
            <w:pPr>
              <w:ind w:left="0"/>
              <w:jc w:val="center"/>
              <w:rPr>
                <w:rFonts w:ascii="Bookman Old Style" w:hAnsi="Bookman Old Style"/>
                <w:b/>
                <w:sz w:val="20"/>
                <w:szCs w:val="21"/>
                <w:lang w:val="es-CO"/>
              </w:rPr>
            </w:pPr>
            <w:r w:rsidRPr="00CD50A3">
              <w:rPr>
                <w:rFonts w:ascii="Bookman Old Style" w:hAnsi="Bookman Old Style"/>
                <w:b/>
                <w:sz w:val="20"/>
                <w:szCs w:val="21"/>
                <w:lang w:val="es-CO"/>
              </w:rPr>
              <w:t xml:space="preserve">CRONOGRAMA PARA REPORTE DE INFORMACIÓN POR PARTE DE QUIENES DESEEN PARTICIPAR EN LA SUBASTA DE RECONFIGURACIÓN DE VENTA PARA EL PERÍODO </w:t>
            </w:r>
          </w:p>
          <w:p w:rsidR="00F176CB" w:rsidRDefault="00F176CB" w:rsidP="00F176CB">
            <w:pPr>
              <w:ind w:left="0"/>
              <w:jc w:val="center"/>
              <w:rPr>
                <w:rFonts w:ascii="Bookman Old Style" w:hAnsi="Bookman Old Style"/>
                <w:lang w:val="es-CO"/>
              </w:rPr>
            </w:pPr>
            <w:r w:rsidRPr="00CD50A3">
              <w:rPr>
                <w:rFonts w:ascii="Bookman Old Style" w:hAnsi="Bookman Old Style"/>
                <w:b/>
                <w:sz w:val="20"/>
                <w:szCs w:val="21"/>
                <w:lang w:val="es-CO"/>
              </w:rPr>
              <w:t>DICIEMBRE 2016 A NOVIEMBRE 2017</w:t>
            </w:r>
          </w:p>
        </w:tc>
      </w:tr>
      <w:tr w:rsidR="00F176CB" w:rsidTr="00F176CB">
        <w:tc>
          <w:tcPr>
            <w:tcW w:w="1985" w:type="dxa"/>
            <w:shd w:val="clear" w:color="auto" w:fill="000000" w:themeFill="text1"/>
          </w:tcPr>
          <w:p w:rsidR="00F176CB" w:rsidRPr="00F176CB" w:rsidRDefault="00F176CB" w:rsidP="00F176CB">
            <w:pPr>
              <w:ind w:left="0"/>
              <w:jc w:val="center"/>
              <w:rPr>
                <w:rFonts w:ascii="Bookman Old Style" w:hAnsi="Bookman Old Style"/>
                <w:b/>
                <w:sz w:val="18"/>
                <w:szCs w:val="21"/>
                <w:lang w:val="es-CO"/>
              </w:rPr>
            </w:pPr>
            <w:r w:rsidRPr="00F176CB">
              <w:rPr>
                <w:rFonts w:ascii="Bookman Old Style" w:hAnsi="Bookman Old Style"/>
                <w:b/>
                <w:sz w:val="18"/>
                <w:szCs w:val="21"/>
                <w:lang w:val="es-CO"/>
              </w:rPr>
              <w:t>Tipo</w:t>
            </w:r>
          </w:p>
        </w:tc>
        <w:tc>
          <w:tcPr>
            <w:tcW w:w="3685" w:type="dxa"/>
            <w:shd w:val="clear" w:color="auto" w:fill="000000" w:themeFill="text1"/>
          </w:tcPr>
          <w:p w:rsidR="00F176CB" w:rsidRPr="00F176CB" w:rsidRDefault="00F176CB" w:rsidP="00F176CB">
            <w:pPr>
              <w:ind w:left="0"/>
              <w:jc w:val="center"/>
              <w:rPr>
                <w:rFonts w:ascii="Bookman Old Style" w:hAnsi="Bookman Old Style"/>
                <w:b/>
                <w:sz w:val="18"/>
                <w:szCs w:val="21"/>
                <w:lang w:val="es-CO"/>
              </w:rPr>
            </w:pPr>
            <w:r w:rsidRPr="00F176CB">
              <w:rPr>
                <w:rFonts w:ascii="Bookman Old Style" w:hAnsi="Bookman Old Style"/>
                <w:b/>
                <w:sz w:val="18"/>
                <w:szCs w:val="21"/>
                <w:lang w:val="es-CO"/>
              </w:rPr>
              <w:t>Descripción</w:t>
            </w:r>
          </w:p>
        </w:tc>
        <w:tc>
          <w:tcPr>
            <w:tcW w:w="1843" w:type="dxa"/>
            <w:shd w:val="clear" w:color="auto" w:fill="000000" w:themeFill="text1"/>
          </w:tcPr>
          <w:p w:rsidR="00F176CB" w:rsidRPr="00F176CB" w:rsidRDefault="00F176CB" w:rsidP="00F176CB">
            <w:pPr>
              <w:ind w:left="0"/>
              <w:jc w:val="center"/>
              <w:rPr>
                <w:rFonts w:ascii="Bookman Old Style" w:hAnsi="Bookman Old Style"/>
                <w:b/>
                <w:sz w:val="18"/>
                <w:szCs w:val="21"/>
                <w:lang w:val="es-CO"/>
              </w:rPr>
            </w:pPr>
            <w:r w:rsidRPr="00F176CB">
              <w:rPr>
                <w:rFonts w:ascii="Bookman Old Style" w:hAnsi="Bookman Old Style"/>
                <w:b/>
                <w:sz w:val="18"/>
                <w:szCs w:val="21"/>
                <w:lang w:val="es-CO"/>
              </w:rPr>
              <w:t>Responsable</w:t>
            </w:r>
          </w:p>
        </w:tc>
        <w:tc>
          <w:tcPr>
            <w:tcW w:w="1843" w:type="dxa"/>
            <w:shd w:val="clear" w:color="auto" w:fill="000000" w:themeFill="text1"/>
          </w:tcPr>
          <w:p w:rsidR="00F176CB" w:rsidRPr="00F176CB" w:rsidRDefault="00F176CB" w:rsidP="00F176CB">
            <w:pPr>
              <w:ind w:left="0"/>
              <w:jc w:val="center"/>
              <w:rPr>
                <w:rFonts w:ascii="Bookman Old Style" w:hAnsi="Bookman Old Style"/>
                <w:b/>
                <w:sz w:val="18"/>
                <w:szCs w:val="21"/>
                <w:lang w:val="es-CO"/>
              </w:rPr>
            </w:pPr>
            <w:r w:rsidRPr="00F176CB">
              <w:rPr>
                <w:rFonts w:ascii="Bookman Old Style" w:hAnsi="Bookman Old Style"/>
                <w:b/>
                <w:sz w:val="18"/>
                <w:szCs w:val="21"/>
                <w:lang w:val="es-CO"/>
              </w:rPr>
              <w:t>Fecha</w:t>
            </w:r>
          </w:p>
        </w:tc>
      </w:tr>
      <w:tr w:rsidR="00F176CB" w:rsidTr="00CD50A3">
        <w:tc>
          <w:tcPr>
            <w:tcW w:w="1985" w:type="dxa"/>
            <w:vAlign w:val="center"/>
          </w:tcPr>
          <w:p w:rsidR="00F176CB" w:rsidRPr="00F176CB" w:rsidRDefault="00F176CB" w:rsidP="00F176CB">
            <w:pPr>
              <w:ind w:left="0"/>
              <w:jc w:val="both"/>
              <w:rPr>
                <w:rFonts w:ascii="Bookman Old Style" w:hAnsi="Bookman Old Style"/>
                <w:sz w:val="18"/>
                <w:szCs w:val="21"/>
                <w:lang w:val="es-CO"/>
              </w:rPr>
            </w:pPr>
            <w:r>
              <w:rPr>
                <w:rFonts w:ascii="Bookman Old Style" w:hAnsi="Bookman Old Style"/>
                <w:sz w:val="18"/>
                <w:szCs w:val="21"/>
                <w:lang w:val="es-CO"/>
              </w:rPr>
              <w:t>Declaración de interés</w:t>
            </w:r>
          </w:p>
        </w:tc>
        <w:tc>
          <w:tcPr>
            <w:tcW w:w="3685" w:type="dxa"/>
          </w:tcPr>
          <w:p w:rsidR="00F176CB" w:rsidRPr="00F176CB" w:rsidRDefault="00F176CB" w:rsidP="00F176CB">
            <w:pPr>
              <w:ind w:left="0"/>
              <w:jc w:val="both"/>
              <w:rPr>
                <w:rFonts w:ascii="Bookman Old Style" w:hAnsi="Bookman Old Style"/>
                <w:sz w:val="18"/>
                <w:szCs w:val="21"/>
                <w:lang w:val="es-CO"/>
              </w:rPr>
            </w:pPr>
            <w:r>
              <w:rPr>
                <w:rFonts w:ascii="Bookman Old Style" w:hAnsi="Bookman Old Style"/>
                <w:sz w:val="18"/>
                <w:szCs w:val="21"/>
                <w:lang w:val="es-CO"/>
              </w:rPr>
              <w:t>Comunicación por el representante legal mediante la cual se informa a la CREG y al ASIC el interés de participar en la subasta de reconfiguración de venta. La comunicación debe informar: período para el cual participa (diciembre 2016 a noviembre de 2017), nombre del agente generador y la planta para la cual se adquirirían las OEF de venta.</w:t>
            </w:r>
          </w:p>
        </w:tc>
        <w:tc>
          <w:tcPr>
            <w:tcW w:w="1843" w:type="dxa"/>
            <w:vAlign w:val="center"/>
          </w:tcPr>
          <w:p w:rsidR="00F176CB" w:rsidRPr="00F176CB" w:rsidRDefault="00F176CB" w:rsidP="00F176CB">
            <w:pPr>
              <w:ind w:left="0"/>
              <w:jc w:val="both"/>
              <w:rPr>
                <w:rFonts w:ascii="Bookman Old Style" w:hAnsi="Bookman Old Style"/>
                <w:sz w:val="18"/>
                <w:szCs w:val="21"/>
                <w:lang w:val="es-CO"/>
              </w:rPr>
            </w:pPr>
            <w:r>
              <w:rPr>
                <w:rFonts w:ascii="Bookman Old Style" w:hAnsi="Bookman Old Style"/>
                <w:sz w:val="18"/>
                <w:szCs w:val="21"/>
                <w:lang w:val="es-CO"/>
              </w:rPr>
              <w:t>Agente generador</w:t>
            </w:r>
          </w:p>
        </w:tc>
        <w:tc>
          <w:tcPr>
            <w:tcW w:w="1843"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 xml:space="preserve">Hasta </w:t>
            </w:r>
            <w:r w:rsidR="0042722B">
              <w:rPr>
                <w:rFonts w:ascii="Bookman Old Style" w:hAnsi="Bookman Old Style"/>
                <w:sz w:val="18"/>
                <w:szCs w:val="21"/>
                <w:lang w:val="es-CO"/>
              </w:rPr>
              <w:t>veinte</w:t>
            </w:r>
            <w:r>
              <w:rPr>
                <w:rFonts w:ascii="Bookman Old Style" w:hAnsi="Bookman Old Style"/>
                <w:sz w:val="18"/>
                <w:szCs w:val="21"/>
                <w:lang w:val="es-CO"/>
              </w:rPr>
              <w:t xml:space="preserve"> (</w:t>
            </w:r>
            <w:r w:rsidR="0042722B">
              <w:rPr>
                <w:rFonts w:ascii="Bookman Old Style" w:hAnsi="Bookman Old Style"/>
                <w:sz w:val="18"/>
                <w:szCs w:val="21"/>
                <w:lang w:val="es-CO"/>
              </w:rPr>
              <w:t>20</w:t>
            </w:r>
            <w:r>
              <w:rPr>
                <w:rFonts w:ascii="Bookman Old Style" w:hAnsi="Bookman Old Style"/>
                <w:sz w:val="18"/>
                <w:szCs w:val="21"/>
                <w:lang w:val="es-CO"/>
              </w:rPr>
              <w:t>) días hábiles después de entrar en vigencia la presente resolución.</w:t>
            </w:r>
          </w:p>
        </w:tc>
      </w:tr>
      <w:tr w:rsidR="00F176CB" w:rsidTr="00CD50A3">
        <w:tc>
          <w:tcPr>
            <w:tcW w:w="1985"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Publicación Precio Máximo Cargo por Confiabilidad</w:t>
            </w:r>
          </w:p>
        </w:tc>
        <w:tc>
          <w:tcPr>
            <w:tcW w:w="3685"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Publicación del precio máximo del cargo por confiabilidad para el período diciembre 2016 a noviembre 2017.</w:t>
            </w:r>
          </w:p>
        </w:tc>
        <w:tc>
          <w:tcPr>
            <w:tcW w:w="1843" w:type="dxa"/>
            <w:vAlign w:val="center"/>
          </w:tcPr>
          <w:p w:rsidR="00F176CB" w:rsidRPr="00F176CB" w:rsidRDefault="00CD50A3" w:rsidP="00CD50A3">
            <w:pPr>
              <w:ind w:left="0"/>
              <w:jc w:val="center"/>
              <w:rPr>
                <w:rFonts w:ascii="Bookman Old Style" w:hAnsi="Bookman Old Style"/>
                <w:sz w:val="18"/>
                <w:szCs w:val="21"/>
                <w:lang w:val="es-CO"/>
              </w:rPr>
            </w:pPr>
            <w:r>
              <w:rPr>
                <w:rFonts w:ascii="Bookman Old Style" w:hAnsi="Bookman Old Style"/>
                <w:sz w:val="18"/>
                <w:szCs w:val="21"/>
                <w:lang w:val="es-CO"/>
              </w:rPr>
              <w:t>ASIC</w:t>
            </w:r>
          </w:p>
        </w:tc>
        <w:tc>
          <w:tcPr>
            <w:tcW w:w="1843" w:type="dxa"/>
            <w:vAlign w:val="center"/>
          </w:tcPr>
          <w:p w:rsidR="00F176CB" w:rsidRPr="00F176CB" w:rsidRDefault="00CD50A3">
            <w:pPr>
              <w:ind w:left="0"/>
              <w:jc w:val="both"/>
              <w:rPr>
                <w:rFonts w:ascii="Bookman Old Style" w:hAnsi="Bookman Old Style"/>
                <w:sz w:val="18"/>
                <w:szCs w:val="21"/>
                <w:lang w:val="es-CO"/>
              </w:rPr>
            </w:pPr>
            <w:r>
              <w:rPr>
                <w:rFonts w:ascii="Bookman Old Style" w:hAnsi="Bookman Old Style"/>
                <w:sz w:val="18"/>
                <w:szCs w:val="21"/>
                <w:lang w:val="es-CO"/>
              </w:rPr>
              <w:t xml:space="preserve">Dentro de los </w:t>
            </w:r>
            <w:r w:rsidR="0042722B">
              <w:rPr>
                <w:rFonts w:ascii="Bookman Old Style" w:hAnsi="Bookman Old Style"/>
                <w:sz w:val="18"/>
                <w:szCs w:val="21"/>
                <w:lang w:val="es-CO"/>
              </w:rPr>
              <w:t>cinco</w:t>
            </w:r>
            <w:r>
              <w:rPr>
                <w:rFonts w:ascii="Bookman Old Style" w:hAnsi="Bookman Old Style"/>
                <w:sz w:val="18"/>
                <w:szCs w:val="21"/>
                <w:lang w:val="es-CO"/>
              </w:rPr>
              <w:t xml:space="preserve"> (</w:t>
            </w:r>
            <w:r w:rsidR="0042722B">
              <w:rPr>
                <w:rFonts w:ascii="Bookman Old Style" w:hAnsi="Bookman Old Style"/>
                <w:sz w:val="18"/>
                <w:szCs w:val="21"/>
                <w:lang w:val="es-CO"/>
              </w:rPr>
              <w:t>5</w:t>
            </w:r>
            <w:r>
              <w:rPr>
                <w:rFonts w:ascii="Bookman Old Style" w:hAnsi="Bookman Old Style"/>
                <w:sz w:val="18"/>
                <w:szCs w:val="21"/>
                <w:lang w:val="es-CO"/>
              </w:rPr>
              <w:t>) días hábiles siguientes a la fecha de declaración de interés.</w:t>
            </w:r>
          </w:p>
        </w:tc>
      </w:tr>
      <w:tr w:rsidR="00F176CB" w:rsidTr="00CD50A3">
        <w:trPr>
          <w:trHeight w:val="274"/>
        </w:trPr>
        <w:tc>
          <w:tcPr>
            <w:tcW w:w="1985"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Entrega de sobres cerrados y apertura</w:t>
            </w:r>
          </w:p>
        </w:tc>
        <w:tc>
          <w:tcPr>
            <w:tcW w:w="3685"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Entrega de sobres cerrados y apertura</w:t>
            </w:r>
          </w:p>
        </w:tc>
        <w:tc>
          <w:tcPr>
            <w:tcW w:w="1843" w:type="dxa"/>
            <w:vAlign w:val="center"/>
          </w:tcPr>
          <w:p w:rsidR="00F176CB" w:rsidRDefault="00CD50A3" w:rsidP="00CD50A3">
            <w:pPr>
              <w:ind w:left="0"/>
              <w:jc w:val="center"/>
              <w:rPr>
                <w:rFonts w:ascii="Bookman Old Style" w:hAnsi="Bookman Old Style"/>
                <w:sz w:val="18"/>
                <w:szCs w:val="21"/>
                <w:lang w:val="es-CO"/>
              </w:rPr>
            </w:pPr>
            <w:r>
              <w:rPr>
                <w:rFonts w:ascii="Bookman Old Style" w:hAnsi="Bookman Old Style"/>
                <w:sz w:val="18"/>
                <w:szCs w:val="21"/>
                <w:lang w:val="es-CO"/>
              </w:rPr>
              <w:t>Agente generador.</w:t>
            </w:r>
          </w:p>
          <w:p w:rsidR="00CD50A3" w:rsidRPr="00F176CB" w:rsidRDefault="00CD50A3" w:rsidP="00CD50A3">
            <w:pPr>
              <w:ind w:left="0"/>
              <w:jc w:val="center"/>
              <w:rPr>
                <w:rFonts w:ascii="Bookman Old Style" w:hAnsi="Bookman Old Style"/>
                <w:sz w:val="18"/>
                <w:szCs w:val="21"/>
                <w:lang w:val="es-CO"/>
              </w:rPr>
            </w:pPr>
            <w:r>
              <w:rPr>
                <w:rFonts w:ascii="Bookman Old Style" w:hAnsi="Bookman Old Style"/>
                <w:sz w:val="18"/>
                <w:szCs w:val="21"/>
                <w:lang w:val="es-CO"/>
              </w:rPr>
              <w:t>ASIC</w:t>
            </w:r>
          </w:p>
        </w:tc>
        <w:tc>
          <w:tcPr>
            <w:tcW w:w="1843"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Dentro de los cinco (5) días hábiles siguientes a la fecha de publicación precio máximo.</w:t>
            </w:r>
          </w:p>
        </w:tc>
      </w:tr>
      <w:tr w:rsidR="00F176CB" w:rsidTr="00CD50A3">
        <w:tc>
          <w:tcPr>
            <w:tcW w:w="1985"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Asignación y publicación</w:t>
            </w:r>
          </w:p>
        </w:tc>
        <w:tc>
          <w:tcPr>
            <w:tcW w:w="3685"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Asignación de las OEF de venta a agentes con OEF y publicación de resultados.</w:t>
            </w:r>
          </w:p>
        </w:tc>
        <w:tc>
          <w:tcPr>
            <w:tcW w:w="1843" w:type="dxa"/>
            <w:vAlign w:val="center"/>
          </w:tcPr>
          <w:p w:rsidR="00F176CB" w:rsidRPr="00F176CB" w:rsidRDefault="00CD50A3" w:rsidP="00CD50A3">
            <w:pPr>
              <w:ind w:left="0"/>
              <w:jc w:val="center"/>
              <w:rPr>
                <w:rFonts w:ascii="Bookman Old Style" w:hAnsi="Bookman Old Style"/>
                <w:sz w:val="18"/>
                <w:szCs w:val="21"/>
                <w:lang w:val="es-CO"/>
              </w:rPr>
            </w:pPr>
            <w:r>
              <w:rPr>
                <w:rFonts w:ascii="Bookman Old Style" w:hAnsi="Bookman Old Style"/>
                <w:sz w:val="18"/>
                <w:szCs w:val="21"/>
                <w:lang w:val="es-CO"/>
              </w:rPr>
              <w:t>ASIC</w:t>
            </w:r>
          </w:p>
        </w:tc>
        <w:tc>
          <w:tcPr>
            <w:tcW w:w="1843" w:type="dxa"/>
            <w:vAlign w:val="center"/>
          </w:tcPr>
          <w:p w:rsidR="00F176CB" w:rsidRPr="00F176CB" w:rsidRDefault="00CD50A3" w:rsidP="00F176CB">
            <w:pPr>
              <w:ind w:left="0"/>
              <w:jc w:val="both"/>
              <w:rPr>
                <w:rFonts w:ascii="Bookman Old Style" w:hAnsi="Bookman Old Style"/>
                <w:sz w:val="18"/>
                <w:szCs w:val="21"/>
                <w:lang w:val="es-CO"/>
              </w:rPr>
            </w:pPr>
            <w:r>
              <w:rPr>
                <w:rFonts w:ascii="Bookman Old Style" w:hAnsi="Bookman Old Style"/>
                <w:sz w:val="18"/>
                <w:szCs w:val="21"/>
                <w:lang w:val="es-CO"/>
              </w:rPr>
              <w:t>Dentro del siguiente día hábil a la entrega de los sobres cerrados.</w:t>
            </w:r>
          </w:p>
        </w:tc>
      </w:tr>
    </w:tbl>
    <w:p w:rsidR="002A7E68" w:rsidRDefault="002A7E68" w:rsidP="001640E6">
      <w:pPr>
        <w:rPr>
          <w:rFonts w:ascii="Bookman Old Style" w:hAnsi="Bookman Old Style"/>
          <w:lang w:val="es-CO"/>
        </w:rPr>
      </w:pPr>
    </w:p>
    <w:p w:rsidR="00FC7584" w:rsidRDefault="00FC7584" w:rsidP="001640E6">
      <w:pPr>
        <w:rPr>
          <w:rFonts w:ascii="Bookman Old Style" w:hAnsi="Bookman Old Style"/>
          <w:lang w:val="es-CO"/>
        </w:rPr>
      </w:pPr>
    </w:p>
    <w:p w:rsidR="001E37F8" w:rsidRDefault="001E37F8" w:rsidP="001640E6">
      <w:pPr>
        <w:rPr>
          <w:rFonts w:ascii="Bookman Old Style" w:hAnsi="Bookman Old Style"/>
          <w:lang w:val="es-CO"/>
        </w:rPr>
      </w:pPr>
    </w:p>
    <w:p w:rsidR="00FC7584" w:rsidRDefault="00FC7584" w:rsidP="001640E6">
      <w:pPr>
        <w:rPr>
          <w:rFonts w:ascii="Bookman Old Style" w:hAnsi="Bookman Old Style"/>
          <w:lang w:val="es-CO"/>
        </w:rPr>
      </w:pPr>
    </w:p>
    <w:p w:rsidR="00FA28B4" w:rsidRDefault="00FA28B4" w:rsidP="001640E6">
      <w:pPr>
        <w:rPr>
          <w:rFonts w:ascii="Bookman Old Style" w:hAnsi="Bookman Old Style"/>
          <w:lang w:val="es-CO"/>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FC7584" w:rsidTr="00CD50A3">
        <w:trPr>
          <w:jc w:val="right"/>
        </w:trPr>
        <w:tc>
          <w:tcPr>
            <w:tcW w:w="4871" w:type="dxa"/>
            <w:hideMark/>
          </w:tcPr>
          <w:p w:rsidR="00FC7584" w:rsidRDefault="00F176CB" w:rsidP="00F176CB">
            <w:pPr>
              <w:ind w:left="0"/>
              <w:jc w:val="center"/>
              <w:rPr>
                <w:rFonts w:ascii="Bookman Old Style" w:hAnsi="Bookman Old Style" w:cs="Arial"/>
                <w:b/>
                <w:spacing w:val="-3"/>
                <w:lang w:val="es-ES_tradnl"/>
              </w:rPr>
            </w:pPr>
            <w:r>
              <w:rPr>
                <w:rFonts w:ascii="Bookman Old Style" w:hAnsi="Bookman Old Style" w:cs="Arial"/>
                <w:b/>
                <w:spacing w:val="-3"/>
              </w:rPr>
              <w:t>GERMAN ARCE ZAPATA</w:t>
            </w:r>
          </w:p>
        </w:tc>
        <w:tc>
          <w:tcPr>
            <w:tcW w:w="4692" w:type="dxa"/>
            <w:hideMark/>
          </w:tcPr>
          <w:p w:rsidR="00FC7584" w:rsidRDefault="00F176CB" w:rsidP="00F176CB">
            <w:pPr>
              <w:ind w:left="19" w:right="567"/>
              <w:jc w:val="center"/>
              <w:rPr>
                <w:rFonts w:ascii="Bookman Old Style" w:hAnsi="Bookman Old Style" w:cs="Arial"/>
                <w:b/>
                <w:spacing w:val="-3"/>
                <w:lang w:val="es-ES_tradnl"/>
              </w:rPr>
            </w:pPr>
            <w:r>
              <w:rPr>
                <w:rFonts w:ascii="Bookman Old Style" w:hAnsi="Bookman Old Style" w:cs="Arial"/>
                <w:b/>
                <w:spacing w:val="-3"/>
                <w:lang w:val="es-ES_tradnl"/>
              </w:rPr>
              <w:t>JORGE PINTO NOLLA</w:t>
            </w:r>
          </w:p>
        </w:tc>
      </w:tr>
      <w:tr w:rsidR="00FC7584" w:rsidTr="00CD50A3">
        <w:trPr>
          <w:jc w:val="right"/>
        </w:trPr>
        <w:tc>
          <w:tcPr>
            <w:tcW w:w="4871" w:type="dxa"/>
            <w:hideMark/>
          </w:tcPr>
          <w:p w:rsidR="00FC7584" w:rsidRDefault="00FC7584" w:rsidP="00F176CB">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692" w:type="dxa"/>
            <w:hideMark/>
          </w:tcPr>
          <w:p w:rsidR="00FC7584" w:rsidRDefault="00FC7584" w:rsidP="00F176CB">
            <w:pPr>
              <w:ind w:left="0"/>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r w:rsidR="00FC7584" w:rsidTr="00CD50A3">
        <w:trPr>
          <w:jc w:val="right"/>
        </w:trPr>
        <w:tc>
          <w:tcPr>
            <w:tcW w:w="4871" w:type="dxa"/>
            <w:hideMark/>
          </w:tcPr>
          <w:p w:rsidR="00FC7584" w:rsidRDefault="00FC7584" w:rsidP="00F176CB">
            <w:pPr>
              <w:ind w:left="0"/>
              <w:jc w:val="center"/>
              <w:rPr>
                <w:rFonts w:ascii="Bookman Old Style" w:hAnsi="Bookman Old Style" w:cs="Arial"/>
                <w:spacing w:val="-3"/>
              </w:rPr>
            </w:pPr>
            <w:r>
              <w:rPr>
                <w:rFonts w:ascii="Bookman Old Style" w:hAnsi="Bookman Old Style" w:cs="Arial"/>
                <w:spacing w:val="-3"/>
              </w:rPr>
              <w:t>Presidente</w:t>
            </w:r>
          </w:p>
        </w:tc>
        <w:tc>
          <w:tcPr>
            <w:tcW w:w="4692" w:type="dxa"/>
          </w:tcPr>
          <w:p w:rsidR="00FC7584" w:rsidRDefault="00FC7584" w:rsidP="00896934">
            <w:pPr>
              <w:rPr>
                <w:rFonts w:ascii="Bookman Old Style" w:hAnsi="Bookman Old Style" w:cs="Arial"/>
                <w:spacing w:val="-3"/>
              </w:rPr>
            </w:pPr>
          </w:p>
        </w:tc>
      </w:tr>
    </w:tbl>
    <w:p w:rsidR="00FA28B4" w:rsidRDefault="00FA28B4" w:rsidP="001640E6">
      <w:pPr>
        <w:rPr>
          <w:rFonts w:ascii="Bookman Old Style" w:hAnsi="Bookman Old Style"/>
          <w:lang w:val="es-CO"/>
        </w:rPr>
      </w:pPr>
    </w:p>
    <w:p w:rsidR="00995A1B" w:rsidRDefault="00995A1B" w:rsidP="001640E6">
      <w:pPr>
        <w:rPr>
          <w:rFonts w:ascii="Bookman Old Style" w:hAnsi="Bookman Old Style"/>
          <w:lang w:val="es-CO"/>
        </w:rPr>
      </w:pPr>
    </w:p>
    <w:p w:rsidR="00995A1B" w:rsidRDefault="00995A1B" w:rsidP="001640E6">
      <w:pPr>
        <w:rPr>
          <w:rFonts w:ascii="Bookman Old Style" w:hAnsi="Bookman Old Style"/>
          <w:lang w:val="es-CO"/>
        </w:rPr>
      </w:pPr>
    </w:p>
    <w:p w:rsidR="00995A1B" w:rsidRDefault="00995A1B" w:rsidP="001640E6">
      <w:pPr>
        <w:rPr>
          <w:rFonts w:ascii="Bookman Old Style" w:hAnsi="Bookman Old Style"/>
          <w:lang w:val="es-CO"/>
        </w:rPr>
      </w:pPr>
    </w:p>
    <w:p w:rsidR="00191AD7" w:rsidRDefault="00191AD7" w:rsidP="001640E6">
      <w:pPr>
        <w:rPr>
          <w:rFonts w:ascii="Bookman Old Style" w:hAnsi="Bookman Old Style"/>
          <w:lang w:val="es-CO"/>
        </w:rPr>
      </w:pPr>
    </w:p>
    <w:p w:rsidR="00191AD7" w:rsidRPr="001640E6" w:rsidRDefault="00191AD7" w:rsidP="001640E6">
      <w:pPr>
        <w:rPr>
          <w:rFonts w:ascii="Bookman Old Style" w:hAnsi="Bookman Old Style"/>
          <w:lang w:val="es-CO"/>
        </w:rPr>
      </w:pPr>
    </w:p>
    <w:sectPr w:rsidR="00191AD7" w:rsidRPr="001640E6" w:rsidSect="00F176CB">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83" w:rsidRDefault="00AF3F83">
      <w:r>
        <w:separator/>
      </w:r>
    </w:p>
  </w:endnote>
  <w:endnote w:type="continuationSeparator" w:id="0">
    <w:p w:rsidR="00AF3F83" w:rsidRDefault="00AF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83" w:rsidRDefault="00AF3F83">
      <w:r>
        <w:separator/>
      </w:r>
    </w:p>
  </w:footnote>
  <w:footnote w:type="continuationSeparator" w:id="0">
    <w:p w:rsidR="00AF3F83" w:rsidRDefault="00AF3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34" w:rsidRDefault="00896934" w:rsidP="00951F79">
    <w:pPr>
      <w:pStyle w:val="Ttulo1"/>
      <w:ind w:right="6"/>
      <w:jc w:val="left"/>
      <w:rPr>
        <w:rFonts w:ascii="Bookman Old Style" w:hAnsi="Bookman Old Style" w:cs="Arial"/>
        <w:b w:val="0"/>
        <w:sz w:val="22"/>
        <w:szCs w:val="22"/>
      </w:rPr>
    </w:pPr>
  </w:p>
  <w:p w:rsidR="00896934" w:rsidRPr="00951F79" w:rsidRDefault="0089693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C252B">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C252B">
      <w:fldChar w:fldCharType="begin"/>
    </w:r>
    <w:r w:rsidR="007C252B">
      <w:instrText xml:space="preserve"> NUMPAGES  \* MERGEFORMAT </w:instrText>
    </w:r>
    <w:r w:rsidR="007C252B">
      <w:fldChar w:fldCharType="separate"/>
    </w:r>
    <w:r w:rsidR="007C252B" w:rsidRPr="007C252B">
      <w:rPr>
        <w:rFonts w:ascii="Bookman Old Style" w:hAnsi="Bookman Old Style" w:cs="Arial"/>
        <w:b w:val="0"/>
        <w:noProof/>
        <w:sz w:val="22"/>
        <w:szCs w:val="22"/>
      </w:rPr>
      <w:t>5</w:t>
    </w:r>
    <w:r w:rsidR="007C252B">
      <w:rPr>
        <w:rFonts w:ascii="Bookman Old Style" w:hAnsi="Bookman Old Style" w:cs="Arial"/>
        <w:b w:val="0"/>
        <w:noProof/>
        <w:sz w:val="22"/>
        <w:szCs w:val="22"/>
      </w:rPr>
      <w:fldChar w:fldCharType="end"/>
    </w:r>
  </w:p>
  <w:p w:rsidR="00896934" w:rsidRDefault="0089693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4D3F687" wp14:editId="62A56F6F">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96934" w:rsidRPr="008C56A2" w:rsidRDefault="00896934" w:rsidP="00E46432">
    <w:pPr>
      <w:ind w:left="0"/>
      <w:jc w:val="center"/>
      <w:rPr>
        <w:rFonts w:ascii="Bookman Old Style" w:hAnsi="Bookman Old Style"/>
        <w:sz w:val="22"/>
        <w:szCs w:val="22"/>
      </w:rPr>
    </w:pPr>
    <w:r w:rsidRPr="008C56A2">
      <w:rPr>
        <w:rFonts w:ascii="Bookman Old Style" w:hAnsi="Bookman Old Style"/>
        <w:sz w:val="22"/>
        <w:szCs w:val="22"/>
      </w:rPr>
      <w:t>Por la cual se convoca a una Subasta de Reconfiguración de Venta para el período 201</w:t>
    </w:r>
    <w:r>
      <w:rPr>
        <w:rFonts w:ascii="Bookman Old Style" w:hAnsi="Bookman Old Style"/>
        <w:sz w:val="22"/>
        <w:szCs w:val="22"/>
      </w:rPr>
      <w:t>6</w:t>
    </w:r>
    <w:r w:rsidRPr="008C56A2">
      <w:rPr>
        <w:rFonts w:ascii="Bookman Old Style" w:hAnsi="Bookman Old Style"/>
        <w:sz w:val="22"/>
        <w:szCs w:val="22"/>
      </w:rPr>
      <w:t>-201</w:t>
    </w:r>
    <w:r>
      <w:rPr>
        <w:rFonts w:ascii="Bookman Old Style" w:hAnsi="Bookman Old Style"/>
        <w:sz w:val="22"/>
        <w:szCs w:val="22"/>
      </w:rPr>
      <w:t>7</w:t>
    </w:r>
    <w:r w:rsidRPr="008C56A2">
      <w:rPr>
        <w:rFonts w:ascii="Bookman Old Style" w:hAnsi="Bookman Old Style"/>
        <w:sz w:val="22"/>
        <w:szCs w:val="22"/>
      </w:rPr>
      <w:t xml:space="preserve"> </w:t>
    </w:r>
  </w:p>
  <w:p w:rsidR="00896934" w:rsidRPr="00045D3D" w:rsidRDefault="00896934"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34" w:rsidRDefault="0089693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896934" w:rsidRDefault="00896934">
    <w:pPr>
      <w:pStyle w:val="Encabezado"/>
      <w:jc w:val="center"/>
      <w:rPr>
        <w:rFonts w:ascii="Arial" w:hAnsi="Arial" w:cs="Arial"/>
        <w:spacing w:val="20"/>
        <w:sz w:val="20"/>
      </w:rPr>
    </w:pPr>
  </w:p>
  <w:p w:rsidR="00896934" w:rsidRDefault="0089693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4F8BA57" wp14:editId="45115B98">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313A0"/>
    <w:rsid w:val="00031B7E"/>
    <w:rsid w:val="000357DA"/>
    <w:rsid w:val="00035ECB"/>
    <w:rsid w:val="000415FA"/>
    <w:rsid w:val="00045D3D"/>
    <w:rsid w:val="00053B50"/>
    <w:rsid w:val="00056D36"/>
    <w:rsid w:val="000577EC"/>
    <w:rsid w:val="00060CB0"/>
    <w:rsid w:val="00063657"/>
    <w:rsid w:val="0006410B"/>
    <w:rsid w:val="000706E3"/>
    <w:rsid w:val="00076680"/>
    <w:rsid w:val="00076A1D"/>
    <w:rsid w:val="0008073E"/>
    <w:rsid w:val="00087C09"/>
    <w:rsid w:val="0009093A"/>
    <w:rsid w:val="00091CDB"/>
    <w:rsid w:val="000931F8"/>
    <w:rsid w:val="00094C28"/>
    <w:rsid w:val="00096FE2"/>
    <w:rsid w:val="00097331"/>
    <w:rsid w:val="000A0268"/>
    <w:rsid w:val="000A0B7F"/>
    <w:rsid w:val="000A19AC"/>
    <w:rsid w:val="000A5DC5"/>
    <w:rsid w:val="000B0FF1"/>
    <w:rsid w:val="000B2EC9"/>
    <w:rsid w:val="000B3D44"/>
    <w:rsid w:val="000B4486"/>
    <w:rsid w:val="000B6074"/>
    <w:rsid w:val="000C1CA5"/>
    <w:rsid w:val="000C7FE5"/>
    <w:rsid w:val="000D0827"/>
    <w:rsid w:val="000D26F8"/>
    <w:rsid w:val="000D3F4B"/>
    <w:rsid w:val="000D7CEC"/>
    <w:rsid w:val="000E1C01"/>
    <w:rsid w:val="000E4151"/>
    <w:rsid w:val="000E52BB"/>
    <w:rsid w:val="000F3D98"/>
    <w:rsid w:val="000F487C"/>
    <w:rsid w:val="0010144E"/>
    <w:rsid w:val="0011058F"/>
    <w:rsid w:val="00112A91"/>
    <w:rsid w:val="00125C5D"/>
    <w:rsid w:val="001317DA"/>
    <w:rsid w:val="0013526C"/>
    <w:rsid w:val="001405C6"/>
    <w:rsid w:val="00141013"/>
    <w:rsid w:val="001472C8"/>
    <w:rsid w:val="00162E66"/>
    <w:rsid w:val="001640E6"/>
    <w:rsid w:val="00174A24"/>
    <w:rsid w:val="00182A27"/>
    <w:rsid w:val="00185A78"/>
    <w:rsid w:val="001866F9"/>
    <w:rsid w:val="00191AD7"/>
    <w:rsid w:val="00192CBF"/>
    <w:rsid w:val="00192FF1"/>
    <w:rsid w:val="001A5F1B"/>
    <w:rsid w:val="001B1433"/>
    <w:rsid w:val="001B1C22"/>
    <w:rsid w:val="001B1D58"/>
    <w:rsid w:val="001B34C6"/>
    <w:rsid w:val="001B4677"/>
    <w:rsid w:val="001B53A4"/>
    <w:rsid w:val="001B5904"/>
    <w:rsid w:val="001B7105"/>
    <w:rsid w:val="001C6406"/>
    <w:rsid w:val="001C6D96"/>
    <w:rsid w:val="001C7514"/>
    <w:rsid w:val="001D0A0E"/>
    <w:rsid w:val="001D7832"/>
    <w:rsid w:val="001E05E9"/>
    <w:rsid w:val="001E37F8"/>
    <w:rsid w:val="001E53FD"/>
    <w:rsid w:val="001E6BF8"/>
    <w:rsid w:val="001F1BA7"/>
    <w:rsid w:val="00202498"/>
    <w:rsid w:val="002043B4"/>
    <w:rsid w:val="00205DDC"/>
    <w:rsid w:val="00205EC3"/>
    <w:rsid w:val="002064D8"/>
    <w:rsid w:val="00207B62"/>
    <w:rsid w:val="00210DC1"/>
    <w:rsid w:val="00211D34"/>
    <w:rsid w:val="00214F04"/>
    <w:rsid w:val="0022170F"/>
    <w:rsid w:val="00226BE9"/>
    <w:rsid w:val="002301FE"/>
    <w:rsid w:val="0023044C"/>
    <w:rsid w:val="00230FBA"/>
    <w:rsid w:val="00231BFA"/>
    <w:rsid w:val="00240E51"/>
    <w:rsid w:val="0024138E"/>
    <w:rsid w:val="00251033"/>
    <w:rsid w:val="002556A6"/>
    <w:rsid w:val="00262413"/>
    <w:rsid w:val="00264F30"/>
    <w:rsid w:val="00266CD6"/>
    <w:rsid w:val="00272F3D"/>
    <w:rsid w:val="00275DAB"/>
    <w:rsid w:val="00283C59"/>
    <w:rsid w:val="002A22B6"/>
    <w:rsid w:val="002A2AB3"/>
    <w:rsid w:val="002A326B"/>
    <w:rsid w:val="002A3CD9"/>
    <w:rsid w:val="002A6428"/>
    <w:rsid w:val="002A782A"/>
    <w:rsid w:val="002A7E68"/>
    <w:rsid w:val="002B11E2"/>
    <w:rsid w:val="002B24B8"/>
    <w:rsid w:val="002B5912"/>
    <w:rsid w:val="002C30E0"/>
    <w:rsid w:val="002C31A9"/>
    <w:rsid w:val="002C6239"/>
    <w:rsid w:val="002D3A8E"/>
    <w:rsid w:val="002D3AE9"/>
    <w:rsid w:val="002D4510"/>
    <w:rsid w:val="002D6BD5"/>
    <w:rsid w:val="002D723C"/>
    <w:rsid w:val="002E0C73"/>
    <w:rsid w:val="002E5A6A"/>
    <w:rsid w:val="002F0734"/>
    <w:rsid w:val="002F1D14"/>
    <w:rsid w:val="002F46E7"/>
    <w:rsid w:val="002F471C"/>
    <w:rsid w:val="002F6CF1"/>
    <w:rsid w:val="00301E31"/>
    <w:rsid w:val="00302176"/>
    <w:rsid w:val="003057F3"/>
    <w:rsid w:val="00306523"/>
    <w:rsid w:val="003101DA"/>
    <w:rsid w:val="00314757"/>
    <w:rsid w:val="00314837"/>
    <w:rsid w:val="003163BC"/>
    <w:rsid w:val="003211CE"/>
    <w:rsid w:val="0032789E"/>
    <w:rsid w:val="00330A28"/>
    <w:rsid w:val="00331C7F"/>
    <w:rsid w:val="0034073A"/>
    <w:rsid w:val="00342098"/>
    <w:rsid w:val="00342506"/>
    <w:rsid w:val="00344373"/>
    <w:rsid w:val="00345679"/>
    <w:rsid w:val="0035403A"/>
    <w:rsid w:val="0036394B"/>
    <w:rsid w:val="00366DB6"/>
    <w:rsid w:val="0036749E"/>
    <w:rsid w:val="003709B5"/>
    <w:rsid w:val="00371889"/>
    <w:rsid w:val="003759C2"/>
    <w:rsid w:val="0039319D"/>
    <w:rsid w:val="00397365"/>
    <w:rsid w:val="00397BC0"/>
    <w:rsid w:val="003A0B15"/>
    <w:rsid w:val="003A250F"/>
    <w:rsid w:val="003A31F6"/>
    <w:rsid w:val="003B6640"/>
    <w:rsid w:val="003B752B"/>
    <w:rsid w:val="003C3447"/>
    <w:rsid w:val="003C389E"/>
    <w:rsid w:val="003C3E73"/>
    <w:rsid w:val="003C4403"/>
    <w:rsid w:val="003C4C80"/>
    <w:rsid w:val="003D0673"/>
    <w:rsid w:val="003D076C"/>
    <w:rsid w:val="003D2014"/>
    <w:rsid w:val="003D3E22"/>
    <w:rsid w:val="003D709F"/>
    <w:rsid w:val="003E439A"/>
    <w:rsid w:val="003E4E07"/>
    <w:rsid w:val="003E78B5"/>
    <w:rsid w:val="003F6F00"/>
    <w:rsid w:val="003F786C"/>
    <w:rsid w:val="00401668"/>
    <w:rsid w:val="004126E8"/>
    <w:rsid w:val="00412BC0"/>
    <w:rsid w:val="004140B9"/>
    <w:rsid w:val="0041473D"/>
    <w:rsid w:val="00415BAB"/>
    <w:rsid w:val="00415ED2"/>
    <w:rsid w:val="0042068C"/>
    <w:rsid w:val="00422314"/>
    <w:rsid w:val="00423B5E"/>
    <w:rsid w:val="00424BF4"/>
    <w:rsid w:val="00425617"/>
    <w:rsid w:val="0042722B"/>
    <w:rsid w:val="00433CCA"/>
    <w:rsid w:val="004412D3"/>
    <w:rsid w:val="0044318E"/>
    <w:rsid w:val="00443B35"/>
    <w:rsid w:val="00447509"/>
    <w:rsid w:val="00471070"/>
    <w:rsid w:val="0047122B"/>
    <w:rsid w:val="00473B7A"/>
    <w:rsid w:val="004756AE"/>
    <w:rsid w:val="00495466"/>
    <w:rsid w:val="00495D61"/>
    <w:rsid w:val="004960E9"/>
    <w:rsid w:val="004968BF"/>
    <w:rsid w:val="00497047"/>
    <w:rsid w:val="004A2E0B"/>
    <w:rsid w:val="004A2E88"/>
    <w:rsid w:val="004A5305"/>
    <w:rsid w:val="004A7930"/>
    <w:rsid w:val="004B082F"/>
    <w:rsid w:val="004B1081"/>
    <w:rsid w:val="004B2A6F"/>
    <w:rsid w:val="004B517C"/>
    <w:rsid w:val="004B67F7"/>
    <w:rsid w:val="004C1248"/>
    <w:rsid w:val="004C1DE8"/>
    <w:rsid w:val="004C33BE"/>
    <w:rsid w:val="004C3733"/>
    <w:rsid w:val="004D7634"/>
    <w:rsid w:val="004D7AAC"/>
    <w:rsid w:val="004E22D9"/>
    <w:rsid w:val="004E361F"/>
    <w:rsid w:val="004E4630"/>
    <w:rsid w:val="004E5334"/>
    <w:rsid w:val="004E611A"/>
    <w:rsid w:val="004F1673"/>
    <w:rsid w:val="004F3640"/>
    <w:rsid w:val="004F39AF"/>
    <w:rsid w:val="005029F7"/>
    <w:rsid w:val="00502BA6"/>
    <w:rsid w:val="00504ADC"/>
    <w:rsid w:val="00506327"/>
    <w:rsid w:val="00507134"/>
    <w:rsid w:val="0051695A"/>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701E8"/>
    <w:rsid w:val="00580106"/>
    <w:rsid w:val="00582F38"/>
    <w:rsid w:val="00586025"/>
    <w:rsid w:val="005920DF"/>
    <w:rsid w:val="00593190"/>
    <w:rsid w:val="00593C4F"/>
    <w:rsid w:val="005946A8"/>
    <w:rsid w:val="005A2B4D"/>
    <w:rsid w:val="005A4407"/>
    <w:rsid w:val="005A59EF"/>
    <w:rsid w:val="005A7FBC"/>
    <w:rsid w:val="005B1C7E"/>
    <w:rsid w:val="005C3F2A"/>
    <w:rsid w:val="005C4CDD"/>
    <w:rsid w:val="005C6976"/>
    <w:rsid w:val="005C6EAC"/>
    <w:rsid w:val="005E17F4"/>
    <w:rsid w:val="005E2A46"/>
    <w:rsid w:val="005F6F41"/>
    <w:rsid w:val="00611A0B"/>
    <w:rsid w:val="006141A4"/>
    <w:rsid w:val="00614D01"/>
    <w:rsid w:val="00625DC6"/>
    <w:rsid w:val="00633E7A"/>
    <w:rsid w:val="00636B5E"/>
    <w:rsid w:val="00640382"/>
    <w:rsid w:val="0064391D"/>
    <w:rsid w:val="00651821"/>
    <w:rsid w:val="00654384"/>
    <w:rsid w:val="00661E64"/>
    <w:rsid w:val="0066698F"/>
    <w:rsid w:val="006675CD"/>
    <w:rsid w:val="0066789E"/>
    <w:rsid w:val="0067206E"/>
    <w:rsid w:val="00676709"/>
    <w:rsid w:val="00680722"/>
    <w:rsid w:val="00684D9B"/>
    <w:rsid w:val="0068510A"/>
    <w:rsid w:val="00685EE6"/>
    <w:rsid w:val="006940C6"/>
    <w:rsid w:val="00694D7C"/>
    <w:rsid w:val="00696155"/>
    <w:rsid w:val="00697556"/>
    <w:rsid w:val="006978D7"/>
    <w:rsid w:val="006A57CA"/>
    <w:rsid w:val="006A629B"/>
    <w:rsid w:val="006B4647"/>
    <w:rsid w:val="006B4C2B"/>
    <w:rsid w:val="006B50AF"/>
    <w:rsid w:val="006B5F53"/>
    <w:rsid w:val="006B6194"/>
    <w:rsid w:val="006B6D47"/>
    <w:rsid w:val="006C145F"/>
    <w:rsid w:val="006C1EDD"/>
    <w:rsid w:val="006C5AFE"/>
    <w:rsid w:val="006C6C91"/>
    <w:rsid w:val="006C76B0"/>
    <w:rsid w:val="006D33A1"/>
    <w:rsid w:val="006E1564"/>
    <w:rsid w:val="006E4859"/>
    <w:rsid w:val="006F05C5"/>
    <w:rsid w:val="006F22B5"/>
    <w:rsid w:val="006F6D95"/>
    <w:rsid w:val="00704093"/>
    <w:rsid w:val="0070527B"/>
    <w:rsid w:val="00706F13"/>
    <w:rsid w:val="007072E8"/>
    <w:rsid w:val="007124F3"/>
    <w:rsid w:val="00713D6C"/>
    <w:rsid w:val="007142E0"/>
    <w:rsid w:val="0071618D"/>
    <w:rsid w:val="00725FA4"/>
    <w:rsid w:val="007343EA"/>
    <w:rsid w:val="0073555D"/>
    <w:rsid w:val="0073712A"/>
    <w:rsid w:val="00737EE1"/>
    <w:rsid w:val="00737F10"/>
    <w:rsid w:val="00740446"/>
    <w:rsid w:val="00742B65"/>
    <w:rsid w:val="007438A9"/>
    <w:rsid w:val="0074491E"/>
    <w:rsid w:val="0076247A"/>
    <w:rsid w:val="00765AF4"/>
    <w:rsid w:val="0076768F"/>
    <w:rsid w:val="00771817"/>
    <w:rsid w:val="00775964"/>
    <w:rsid w:val="007765FE"/>
    <w:rsid w:val="00785DCD"/>
    <w:rsid w:val="00792978"/>
    <w:rsid w:val="00794E2E"/>
    <w:rsid w:val="00795BFB"/>
    <w:rsid w:val="0079603D"/>
    <w:rsid w:val="007B2756"/>
    <w:rsid w:val="007B2760"/>
    <w:rsid w:val="007B5922"/>
    <w:rsid w:val="007B616A"/>
    <w:rsid w:val="007C1157"/>
    <w:rsid w:val="007C252B"/>
    <w:rsid w:val="007C3511"/>
    <w:rsid w:val="007C39A6"/>
    <w:rsid w:val="007C652E"/>
    <w:rsid w:val="007C6982"/>
    <w:rsid w:val="007D0057"/>
    <w:rsid w:val="007E1530"/>
    <w:rsid w:val="007E5749"/>
    <w:rsid w:val="007E60EC"/>
    <w:rsid w:val="007F0A17"/>
    <w:rsid w:val="007F7175"/>
    <w:rsid w:val="00801BF8"/>
    <w:rsid w:val="00805E3F"/>
    <w:rsid w:val="008066F0"/>
    <w:rsid w:val="00806C01"/>
    <w:rsid w:val="00812DCC"/>
    <w:rsid w:val="008148CC"/>
    <w:rsid w:val="0081575C"/>
    <w:rsid w:val="008211A4"/>
    <w:rsid w:val="008277AE"/>
    <w:rsid w:val="00834DC9"/>
    <w:rsid w:val="00845EFB"/>
    <w:rsid w:val="00854351"/>
    <w:rsid w:val="00855F3F"/>
    <w:rsid w:val="00872A77"/>
    <w:rsid w:val="00873150"/>
    <w:rsid w:val="00875920"/>
    <w:rsid w:val="0087657D"/>
    <w:rsid w:val="00876CA9"/>
    <w:rsid w:val="008807D5"/>
    <w:rsid w:val="00880832"/>
    <w:rsid w:val="0088328A"/>
    <w:rsid w:val="00883AFD"/>
    <w:rsid w:val="00886EE1"/>
    <w:rsid w:val="0088727D"/>
    <w:rsid w:val="008925C9"/>
    <w:rsid w:val="008954C9"/>
    <w:rsid w:val="00896934"/>
    <w:rsid w:val="00897C75"/>
    <w:rsid w:val="008A645A"/>
    <w:rsid w:val="008A64E3"/>
    <w:rsid w:val="008A6CC8"/>
    <w:rsid w:val="008B194E"/>
    <w:rsid w:val="008B573C"/>
    <w:rsid w:val="008C1130"/>
    <w:rsid w:val="008C56A2"/>
    <w:rsid w:val="008D0E4E"/>
    <w:rsid w:val="008D18E6"/>
    <w:rsid w:val="008D2FF2"/>
    <w:rsid w:val="008D502B"/>
    <w:rsid w:val="008D7A9B"/>
    <w:rsid w:val="008E0060"/>
    <w:rsid w:val="008E3EFF"/>
    <w:rsid w:val="008E7091"/>
    <w:rsid w:val="008E76AC"/>
    <w:rsid w:val="008F21F6"/>
    <w:rsid w:val="008F2B56"/>
    <w:rsid w:val="00905646"/>
    <w:rsid w:val="00905CA9"/>
    <w:rsid w:val="00905CFA"/>
    <w:rsid w:val="00906440"/>
    <w:rsid w:val="00910DEB"/>
    <w:rsid w:val="00913ADF"/>
    <w:rsid w:val="00913DC8"/>
    <w:rsid w:val="00922962"/>
    <w:rsid w:val="00935660"/>
    <w:rsid w:val="00946544"/>
    <w:rsid w:val="00946A97"/>
    <w:rsid w:val="009503E6"/>
    <w:rsid w:val="0095126F"/>
    <w:rsid w:val="00951F79"/>
    <w:rsid w:val="00952614"/>
    <w:rsid w:val="00956822"/>
    <w:rsid w:val="009625F2"/>
    <w:rsid w:val="00963DA8"/>
    <w:rsid w:val="00964F16"/>
    <w:rsid w:val="00974AB5"/>
    <w:rsid w:val="00975314"/>
    <w:rsid w:val="0097632B"/>
    <w:rsid w:val="00980FED"/>
    <w:rsid w:val="00981C84"/>
    <w:rsid w:val="00982465"/>
    <w:rsid w:val="009841D5"/>
    <w:rsid w:val="0098706D"/>
    <w:rsid w:val="00992A19"/>
    <w:rsid w:val="009935FB"/>
    <w:rsid w:val="00995A1B"/>
    <w:rsid w:val="009A2368"/>
    <w:rsid w:val="009A7B7F"/>
    <w:rsid w:val="009B09AF"/>
    <w:rsid w:val="009B27A6"/>
    <w:rsid w:val="009C3BEE"/>
    <w:rsid w:val="009D2BC7"/>
    <w:rsid w:val="009E7022"/>
    <w:rsid w:val="009F1672"/>
    <w:rsid w:val="009F2FD4"/>
    <w:rsid w:val="009F4A54"/>
    <w:rsid w:val="009F4BEC"/>
    <w:rsid w:val="009F5874"/>
    <w:rsid w:val="009F6F54"/>
    <w:rsid w:val="00A00382"/>
    <w:rsid w:val="00A165DC"/>
    <w:rsid w:val="00A22F8D"/>
    <w:rsid w:val="00A25FD7"/>
    <w:rsid w:val="00A26CC4"/>
    <w:rsid w:val="00A278E9"/>
    <w:rsid w:val="00A310EC"/>
    <w:rsid w:val="00A43AFF"/>
    <w:rsid w:val="00A43CA4"/>
    <w:rsid w:val="00A44B63"/>
    <w:rsid w:val="00A46AC7"/>
    <w:rsid w:val="00A60C08"/>
    <w:rsid w:val="00A755E7"/>
    <w:rsid w:val="00A75B79"/>
    <w:rsid w:val="00A7793A"/>
    <w:rsid w:val="00A918E9"/>
    <w:rsid w:val="00A923AA"/>
    <w:rsid w:val="00A93BB1"/>
    <w:rsid w:val="00AA34DE"/>
    <w:rsid w:val="00AA4CC7"/>
    <w:rsid w:val="00AA5E8E"/>
    <w:rsid w:val="00AA63BE"/>
    <w:rsid w:val="00AB2C5F"/>
    <w:rsid w:val="00AB6CA7"/>
    <w:rsid w:val="00AD01E4"/>
    <w:rsid w:val="00AD0858"/>
    <w:rsid w:val="00AD0BD2"/>
    <w:rsid w:val="00AD3448"/>
    <w:rsid w:val="00AD4B14"/>
    <w:rsid w:val="00AE1881"/>
    <w:rsid w:val="00AE2BC9"/>
    <w:rsid w:val="00AE7340"/>
    <w:rsid w:val="00AF0BCC"/>
    <w:rsid w:val="00AF1BBD"/>
    <w:rsid w:val="00AF221E"/>
    <w:rsid w:val="00AF2491"/>
    <w:rsid w:val="00AF2EDE"/>
    <w:rsid w:val="00AF3F83"/>
    <w:rsid w:val="00B004BE"/>
    <w:rsid w:val="00B01240"/>
    <w:rsid w:val="00B01CD6"/>
    <w:rsid w:val="00B10207"/>
    <w:rsid w:val="00B1360B"/>
    <w:rsid w:val="00B141E7"/>
    <w:rsid w:val="00B1534C"/>
    <w:rsid w:val="00B153A4"/>
    <w:rsid w:val="00B26CA0"/>
    <w:rsid w:val="00B311C3"/>
    <w:rsid w:val="00B351B4"/>
    <w:rsid w:val="00B353B4"/>
    <w:rsid w:val="00B40971"/>
    <w:rsid w:val="00B447E5"/>
    <w:rsid w:val="00B468CA"/>
    <w:rsid w:val="00B46BCA"/>
    <w:rsid w:val="00B478AA"/>
    <w:rsid w:val="00B53A10"/>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A3CCB"/>
    <w:rsid w:val="00BA7C4B"/>
    <w:rsid w:val="00BB02A5"/>
    <w:rsid w:val="00BB1822"/>
    <w:rsid w:val="00BB6211"/>
    <w:rsid w:val="00BC38FD"/>
    <w:rsid w:val="00BC4506"/>
    <w:rsid w:val="00BC4C75"/>
    <w:rsid w:val="00BC5C7E"/>
    <w:rsid w:val="00BC7A94"/>
    <w:rsid w:val="00BC7E5B"/>
    <w:rsid w:val="00BE4720"/>
    <w:rsid w:val="00BF2EB1"/>
    <w:rsid w:val="00BF5B71"/>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2C0"/>
    <w:rsid w:val="00C5095A"/>
    <w:rsid w:val="00C51B82"/>
    <w:rsid w:val="00C527FD"/>
    <w:rsid w:val="00C54B51"/>
    <w:rsid w:val="00C6234B"/>
    <w:rsid w:val="00C63EAE"/>
    <w:rsid w:val="00C73260"/>
    <w:rsid w:val="00C7629F"/>
    <w:rsid w:val="00C8049D"/>
    <w:rsid w:val="00C8661B"/>
    <w:rsid w:val="00C87143"/>
    <w:rsid w:val="00C9105E"/>
    <w:rsid w:val="00C91212"/>
    <w:rsid w:val="00C9746F"/>
    <w:rsid w:val="00CA139A"/>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50A3"/>
    <w:rsid w:val="00CD5E2B"/>
    <w:rsid w:val="00CD5F07"/>
    <w:rsid w:val="00CD713C"/>
    <w:rsid w:val="00CE00F2"/>
    <w:rsid w:val="00CF0D18"/>
    <w:rsid w:val="00CF21B9"/>
    <w:rsid w:val="00CF39E4"/>
    <w:rsid w:val="00CF6BF9"/>
    <w:rsid w:val="00D03800"/>
    <w:rsid w:val="00D065D3"/>
    <w:rsid w:val="00D14C94"/>
    <w:rsid w:val="00D22290"/>
    <w:rsid w:val="00D22776"/>
    <w:rsid w:val="00D23890"/>
    <w:rsid w:val="00D275D7"/>
    <w:rsid w:val="00D3164A"/>
    <w:rsid w:val="00D318DC"/>
    <w:rsid w:val="00D321BF"/>
    <w:rsid w:val="00D342A6"/>
    <w:rsid w:val="00D3463A"/>
    <w:rsid w:val="00D35E58"/>
    <w:rsid w:val="00D365E8"/>
    <w:rsid w:val="00D36D1A"/>
    <w:rsid w:val="00D40BEF"/>
    <w:rsid w:val="00D45CA6"/>
    <w:rsid w:val="00D45DF6"/>
    <w:rsid w:val="00D464BF"/>
    <w:rsid w:val="00D53201"/>
    <w:rsid w:val="00D53E26"/>
    <w:rsid w:val="00D56709"/>
    <w:rsid w:val="00D60BE4"/>
    <w:rsid w:val="00D66E45"/>
    <w:rsid w:val="00D73472"/>
    <w:rsid w:val="00D73BCE"/>
    <w:rsid w:val="00D80DDD"/>
    <w:rsid w:val="00D8712E"/>
    <w:rsid w:val="00D967A6"/>
    <w:rsid w:val="00DA3E0B"/>
    <w:rsid w:val="00DA3F77"/>
    <w:rsid w:val="00DB44E6"/>
    <w:rsid w:val="00DC2DC9"/>
    <w:rsid w:val="00DC4F83"/>
    <w:rsid w:val="00DC5BAA"/>
    <w:rsid w:val="00DD4F0E"/>
    <w:rsid w:val="00DE65E0"/>
    <w:rsid w:val="00DF0BF0"/>
    <w:rsid w:val="00DF3CA2"/>
    <w:rsid w:val="00DF3E56"/>
    <w:rsid w:val="00DF6D85"/>
    <w:rsid w:val="00E01463"/>
    <w:rsid w:val="00E0316A"/>
    <w:rsid w:val="00E05E0A"/>
    <w:rsid w:val="00E060BE"/>
    <w:rsid w:val="00E06AEF"/>
    <w:rsid w:val="00E10794"/>
    <w:rsid w:val="00E130FE"/>
    <w:rsid w:val="00E159AB"/>
    <w:rsid w:val="00E15B9C"/>
    <w:rsid w:val="00E23B97"/>
    <w:rsid w:val="00E449B9"/>
    <w:rsid w:val="00E46432"/>
    <w:rsid w:val="00E46BB3"/>
    <w:rsid w:val="00E52189"/>
    <w:rsid w:val="00E52279"/>
    <w:rsid w:val="00E534CF"/>
    <w:rsid w:val="00E53D0C"/>
    <w:rsid w:val="00E60C09"/>
    <w:rsid w:val="00E61367"/>
    <w:rsid w:val="00E61576"/>
    <w:rsid w:val="00E63388"/>
    <w:rsid w:val="00E76D75"/>
    <w:rsid w:val="00E81CB4"/>
    <w:rsid w:val="00E8585B"/>
    <w:rsid w:val="00E85F95"/>
    <w:rsid w:val="00E86F6A"/>
    <w:rsid w:val="00E920F7"/>
    <w:rsid w:val="00E93137"/>
    <w:rsid w:val="00E943AE"/>
    <w:rsid w:val="00E95942"/>
    <w:rsid w:val="00E971C6"/>
    <w:rsid w:val="00E97940"/>
    <w:rsid w:val="00EA142B"/>
    <w:rsid w:val="00EA24A6"/>
    <w:rsid w:val="00EA3F15"/>
    <w:rsid w:val="00EA472E"/>
    <w:rsid w:val="00EA67AE"/>
    <w:rsid w:val="00EA7847"/>
    <w:rsid w:val="00EB1590"/>
    <w:rsid w:val="00EB4C2F"/>
    <w:rsid w:val="00EB72BA"/>
    <w:rsid w:val="00EC0BC6"/>
    <w:rsid w:val="00EC5AAB"/>
    <w:rsid w:val="00ED0E88"/>
    <w:rsid w:val="00EE2E6E"/>
    <w:rsid w:val="00EE463E"/>
    <w:rsid w:val="00EE534C"/>
    <w:rsid w:val="00EF0AFF"/>
    <w:rsid w:val="00F0055F"/>
    <w:rsid w:val="00F026F9"/>
    <w:rsid w:val="00F03DF9"/>
    <w:rsid w:val="00F0759E"/>
    <w:rsid w:val="00F13E8E"/>
    <w:rsid w:val="00F16A43"/>
    <w:rsid w:val="00F16BFC"/>
    <w:rsid w:val="00F16EC7"/>
    <w:rsid w:val="00F176CB"/>
    <w:rsid w:val="00F22ACC"/>
    <w:rsid w:val="00F27297"/>
    <w:rsid w:val="00F31B8B"/>
    <w:rsid w:val="00F33387"/>
    <w:rsid w:val="00F34756"/>
    <w:rsid w:val="00F4236B"/>
    <w:rsid w:val="00F430A1"/>
    <w:rsid w:val="00F45114"/>
    <w:rsid w:val="00F46780"/>
    <w:rsid w:val="00F505A9"/>
    <w:rsid w:val="00F52DA3"/>
    <w:rsid w:val="00F608C3"/>
    <w:rsid w:val="00F616A3"/>
    <w:rsid w:val="00F6430F"/>
    <w:rsid w:val="00F67D3A"/>
    <w:rsid w:val="00F71CDA"/>
    <w:rsid w:val="00F76A7C"/>
    <w:rsid w:val="00F77FDF"/>
    <w:rsid w:val="00F80FD4"/>
    <w:rsid w:val="00F821A3"/>
    <w:rsid w:val="00F83667"/>
    <w:rsid w:val="00F8584D"/>
    <w:rsid w:val="00F90E62"/>
    <w:rsid w:val="00F9314A"/>
    <w:rsid w:val="00F93D24"/>
    <w:rsid w:val="00F940B2"/>
    <w:rsid w:val="00FA1BB9"/>
    <w:rsid w:val="00FA1C49"/>
    <w:rsid w:val="00FA28B4"/>
    <w:rsid w:val="00FA2B45"/>
    <w:rsid w:val="00FA4E1D"/>
    <w:rsid w:val="00FB4010"/>
    <w:rsid w:val="00FC4907"/>
    <w:rsid w:val="00FC58EF"/>
    <w:rsid w:val="00FC7584"/>
    <w:rsid w:val="00FD2694"/>
    <w:rsid w:val="00FD2EE5"/>
    <w:rsid w:val="00FD33DF"/>
    <w:rsid w:val="00FE39D7"/>
    <w:rsid w:val="00FF3D49"/>
    <w:rsid w:val="00FF5D55"/>
    <w:rsid w:val="00FF693E"/>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5D882-5788-4169-BCDE-38AC2A1F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1506</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2016-07-26T16:25:00Z</cp:lastPrinted>
  <dcterms:created xsi:type="dcterms:W3CDTF">2016-08-01T22:56:00Z</dcterms:created>
  <dcterms:modified xsi:type="dcterms:W3CDTF">2016-08-01T22:56:00Z</dcterms:modified>
</cp:coreProperties>
</file>