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76BE" w:rsidRPr="00F340A2" w:rsidRDefault="00EC20D9" w:rsidP="000776BE">
      <w:pPr>
        <w:pStyle w:val="Encabezado"/>
        <w:tabs>
          <w:tab w:val="clear" w:pos="8504"/>
        </w:tabs>
        <w:ind w:left="0"/>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202.4pt;margin-top:-53.35pt;width:52.5pt;height:48.75pt;z-index:251658240" fillcolor="#0c9">
            <v:imagedata r:id="rId9" o:title=""/>
          </v:shape>
          <o:OLEObject Type="Embed" ProgID="PBrush" ShapeID="_x0000_s1029" DrawAspect="Content" ObjectID="_1498303049" r:id="rId10"/>
        </w:pict>
      </w:r>
    </w:p>
    <w:p w:rsidR="000776BE" w:rsidRPr="00F340A2" w:rsidRDefault="000776BE" w:rsidP="000776BE">
      <w:pPr>
        <w:pStyle w:val="Ttulo4"/>
        <w:ind w:left="0"/>
        <w:rPr>
          <w:rFonts w:ascii="Bookman Old Style" w:hAnsi="Bookman Old Style"/>
          <w:b w:val="0"/>
          <w:sz w:val="24"/>
          <w:szCs w:val="24"/>
        </w:rPr>
      </w:pPr>
    </w:p>
    <w:p w:rsidR="000776BE" w:rsidRPr="00F340A2" w:rsidRDefault="000776BE" w:rsidP="000776BE">
      <w:pPr>
        <w:pStyle w:val="Ttulo4"/>
        <w:ind w:left="0"/>
        <w:rPr>
          <w:rFonts w:ascii="Bookman Old Style" w:hAnsi="Bookman Old Style"/>
          <w:b w:val="0"/>
          <w:noProof/>
          <w:sz w:val="24"/>
          <w:szCs w:val="24"/>
          <w:lang w:val="es-ES"/>
        </w:rPr>
      </w:pPr>
      <w:r w:rsidRPr="00F340A2">
        <w:rPr>
          <w:rFonts w:ascii="Bookman Old Style" w:hAnsi="Bookman Old Style"/>
          <w:b w:val="0"/>
          <w:sz w:val="24"/>
          <w:szCs w:val="24"/>
        </w:rPr>
        <w:t>Ministerio de Minas y Energía</w:t>
      </w:r>
    </w:p>
    <w:p w:rsidR="000776BE" w:rsidRPr="00F340A2" w:rsidRDefault="000776BE" w:rsidP="000776BE">
      <w:pPr>
        <w:pStyle w:val="Ttulo4"/>
        <w:ind w:left="0"/>
        <w:rPr>
          <w:rFonts w:ascii="Bookman Old Style" w:hAnsi="Bookman Old Style"/>
          <w:sz w:val="24"/>
          <w:szCs w:val="24"/>
          <w:lang w:val="es-ES"/>
        </w:rPr>
      </w:pPr>
    </w:p>
    <w:p w:rsidR="000776BE" w:rsidRPr="00F340A2" w:rsidRDefault="000776BE" w:rsidP="000776BE">
      <w:pPr>
        <w:pStyle w:val="Ttulo3"/>
        <w:ind w:left="0"/>
        <w:rPr>
          <w:rFonts w:ascii="Bookman Old Style" w:hAnsi="Bookman Old Style"/>
          <w:szCs w:val="24"/>
        </w:rPr>
      </w:pPr>
    </w:p>
    <w:p w:rsidR="000776BE" w:rsidRPr="00F340A2" w:rsidRDefault="000776BE" w:rsidP="000776BE">
      <w:pPr>
        <w:pStyle w:val="Ttulo3"/>
        <w:ind w:left="0"/>
        <w:rPr>
          <w:rFonts w:ascii="Bookman Old Style" w:hAnsi="Bookman Old Style"/>
          <w:szCs w:val="24"/>
        </w:rPr>
      </w:pPr>
      <w:r w:rsidRPr="00F340A2">
        <w:rPr>
          <w:rFonts w:ascii="Bookman Old Style" w:hAnsi="Bookman Old Style"/>
          <w:szCs w:val="24"/>
        </w:rPr>
        <w:t>COMISIÓN DE REGULACIÓN DE ENERGÍA Y GAS</w:t>
      </w:r>
    </w:p>
    <w:p w:rsidR="000776BE" w:rsidRPr="00F340A2" w:rsidRDefault="000776BE" w:rsidP="000776BE">
      <w:pPr>
        <w:pStyle w:val="Ttulo5"/>
        <w:ind w:left="0"/>
        <w:rPr>
          <w:rFonts w:ascii="Bookman Old Style" w:hAnsi="Bookman Old Style"/>
          <w:sz w:val="24"/>
          <w:szCs w:val="24"/>
        </w:rPr>
      </w:pPr>
    </w:p>
    <w:p w:rsidR="000776BE" w:rsidRPr="00F340A2" w:rsidRDefault="000776BE" w:rsidP="000776BE">
      <w:pPr>
        <w:pStyle w:val="Ttulo5"/>
        <w:ind w:left="0"/>
        <w:rPr>
          <w:rFonts w:ascii="Bookman Old Style" w:hAnsi="Bookman Old Style"/>
          <w:sz w:val="24"/>
          <w:szCs w:val="24"/>
        </w:rPr>
      </w:pPr>
    </w:p>
    <w:p w:rsidR="000776BE" w:rsidRPr="00F340A2" w:rsidRDefault="000776BE" w:rsidP="000776BE">
      <w:pPr>
        <w:pStyle w:val="Ttulo5"/>
        <w:ind w:left="0"/>
        <w:rPr>
          <w:rFonts w:ascii="Bookman Old Style" w:hAnsi="Bookman Old Style"/>
          <w:sz w:val="24"/>
          <w:szCs w:val="24"/>
        </w:rPr>
      </w:pPr>
      <w:r w:rsidRPr="00F340A2">
        <w:rPr>
          <w:rFonts w:ascii="Bookman Old Style" w:hAnsi="Bookman Old Style"/>
          <w:sz w:val="24"/>
          <w:szCs w:val="24"/>
        </w:rPr>
        <w:t>RESOLUCIÓN No.          DE 2015</w:t>
      </w:r>
    </w:p>
    <w:p w:rsidR="000776BE" w:rsidRPr="00F340A2" w:rsidRDefault="000776BE" w:rsidP="000776BE">
      <w:pPr>
        <w:ind w:left="0"/>
        <w:jc w:val="center"/>
        <w:rPr>
          <w:rFonts w:ascii="Bookman Old Style" w:hAnsi="Bookman Old Style" w:cs="Arial"/>
          <w:b/>
          <w:snapToGrid w:val="0"/>
          <w:color w:val="000000"/>
          <w:lang w:val="es-ES_tradnl"/>
        </w:rPr>
      </w:pPr>
    </w:p>
    <w:p w:rsidR="000776BE" w:rsidRPr="00F340A2" w:rsidRDefault="000776BE" w:rsidP="000776BE">
      <w:pPr>
        <w:pStyle w:val="Ttulo3"/>
        <w:ind w:left="0"/>
        <w:rPr>
          <w:rFonts w:ascii="Bookman Old Style" w:hAnsi="Bookman Old Style"/>
          <w:szCs w:val="24"/>
        </w:rPr>
      </w:pPr>
      <w:r w:rsidRPr="00F340A2">
        <w:rPr>
          <w:rFonts w:ascii="Bookman Old Style" w:hAnsi="Bookman Old Style"/>
          <w:szCs w:val="24"/>
        </w:rPr>
        <w:t>(                              )</w:t>
      </w:r>
    </w:p>
    <w:p w:rsidR="000776BE" w:rsidRPr="00F340A2" w:rsidRDefault="000776BE" w:rsidP="000776BE">
      <w:pPr>
        <w:ind w:left="0"/>
        <w:jc w:val="center"/>
        <w:rPr>
          <w:rFonts w:ascii="Bookman Old Style" w:hAnsi="Bookman Old Style"/>
          <w:lang w:val="es-ES_tradnl"/>
        </w:rPr>
      </w:pPr>
    </w:p>
    <w:p w:rsidR="000776BE" w:rsidRPr="00F340A2" w:rsidRDefault="000776BE" w:rsidP="000776BE">
      <w:pPr>
        <w:ind w:left="0"/>
        <w:jc w:val="center"/>
        <w:rPr>
          <w:rFonts w:ascii="Bookman Old Style" w:hAnsi="Bookman Old Style"/>
          <w:lang w:val="es-ES_tradnl"/>
        </w:rPr>
      </w:pPr>
    </w:p>
    <w:p w:rsidR="000776BE" w:rsidRPr="00F340A2" w:rsidRDefault="000776BE" w:rsidP="000776BE">
      <w:pPr>
        <w:ind w:left="0"/>
        <w:jc w:val="center"/>
        <w:rPr>
          <w:rFonts w:ascii="Bookman Old Style" w:hAnsi="Bookman Old Style"/>
          <w:lang w:val="es-ES_tradnl"/>
        </w:rPr>
      </w:pPr>
    </w:p>
    <w:p w:rsidR="000776BE" w:rsidRPr="00F340A2" w:rsidRDefault="000776BE" w:rsidP="000776BE">
      <w:pPr>
        <w:ind w:left="0" w:right="51"/>
        <w:jc w:val="both"/>
        <w:rPr>
          <w:rFonts w:ascii="Bookman Old Style" w:hAnsi="Bookman Old Style"/>
          <w:b/>
        </w:rPr>
      </w:pPr>
      <w:r w:rsidRPr="00F340A2">
        <w:rPr>
          <w:rFonts w:ascii="Bookman Old Style" w:hAnsi="Bookman Old Style" w:cs="Arial"/>
        </w:rPr>
        <w:t xml:space="preserve">Por la cual se define la metodología para el cálculo de la tasa de descuento que se </w:t>
      </w:r>
      <w:r w:rsidRPr="00F340A2">
        <w:rPr>
          <w:rFonts w:ascii="Bookman Old Style" w:hAnsi="Bookman Old Style"/>
          <w:szCs w:val="20"/>
        </w:rPr>
        <w:t xml:space="preserve">aplicará en </w:t>
      </w:r>
      <w:r w:rsidRPr="00F340A2">
        <w:rPr>
          <w:rFonts w:ascii="Bookman Old Style" w:hAnsi="Bookman Old Style" w:cs="Arial"/>
        </w:rPr>
        <w:t>las actividades de transporte de gas natural, distribución de gas combustible, transporte de GLP por ductos, transmisión y distribución de energía eléctrica en el sistema interconectado nacional, y generación y distribución de energía eléctrica</w:t>
      </w:r>
      <w:r w:rsidRPr="00F340A2">
        <w:rPr>
          <w:rFonts w:ascii="Bookman Old Style" w:hAnsi="Bookman Old Style" w:cs="Arial"/>
          <w:sz w:val="28"/>
        </w:rPr>
        <w:t xml:space="preserve"> </w:t>
      </w:r>
      <w:r w:rsidRPr="00F340A2">
        <w:rPr>
          <w:rFonts w:ascii="Bookman Old Style" w:hAnsi="Bookman Old Style" w:cs="Arial"/>
        </w:rPr>
        <w:t>en zonas no interconectadas.</w:t>
      </w:r>
    </w:p>
    <w:p w:rsidR="000776BE" w:rsidRPr="00F340A2" w:rsidRDefault="000776BE" w:rsidP="000776BE">
      <w:pPr>
        <w:ind w:left="0" w:right="51"/>
        <w:jc w:val="both"/>
        <w:rPr>
          <w:rFonts w:ascii="Bookman Old Style" w:hAnsi="Bookman Old Style" w:cs="Arial"/>
          <w:sz w:val="28"/>
        </w:rPr>
      </w:pPr>
    </w:p>
    <w:p w:rsidR="000776BE" w:rsidRPr="00F340A2" w:rsidRDefault="000776BE" w:rsidP="000776BE">
      <w:pPr>
        <w:ind w:left="0"/>
        <w:jc w:val="both"/>
        <w:rPr>
          <w:rFonts w:ascii="Bookman Old Style" w:hAnsi="Bookman Old Style"/>
        </w:rPr>
      </w:pPr>
    </w:p>
    <w:p w:rsidR="000776BE" w:rsidRPr="00F340A2" w:rsidRDefault="000776BE" w:rsidP="000776BE">
      <w:pPr>
        <w:ind w:left="0"/>
        <w:jc w:val="center"/>
        <w:rPr>
          <w:rFonts w:ascii="Bookman Old Style" w:hAnsi="Bookman Old Style"/>
          <w:b/>
        </w:rPr>
      </w:pPr>
      <w:r w:rsidRPr="00F340A2">
        <w:rPr>
          <w:rFonts w:ascii="Bookman Old Style" w:hAnsi="Bookman Old Style"/>
          <w:b/>
        </w:rPr>
        <w:t>LA COMISIÓN DE REGULACIÓN DE ENERGÍA Y GAS</w:t>
      </w:r>
    </w:p>
    <w:p w:rsidR="000776BE" w:rsidRPr="00F340A2" w:rsidRDefault="000776BE" w:rsidP="000776BE">
      <w:pPr>
        <w:ind w:left="0"/>
        <w:rPr>
          <w:rFonts w:ascii="Bookman Old Style" w:hAnsi="Bookman Old Style"/>
        </w:rPr>
      </w:pPr>
    </w:p>
    <w:p w:rsidR="000776BE" w:rsidRPr="00F340A2" w:rsidRDefault="000776BE" w:rsidP="000776BE">
      <w:pPr>
        <w:ind w:left="0"/>
        <w:rPr>
          <w:rFonts w:ascii="Bookman Old Style" w:hAnsi="Bookman Old Style"/>
        </w:rPr>
      </w:pPr>
    </w:p>
    <w:p w:rsidR="000776BE" w:rsidRPr="00F340A2" w:rsidRDefault="000776BE" w:rsidP="000776BE">
      <w:pPr>
        <w:pStyle w:val="Textoindependiente3"/>
        <w:ind w:left="0"/>
        <w:rPr>
          <w:rFonts w:ascii="Bookman Old Style" w:hAnsi="Bookman Old Style"/>
          <w:b w:val="0"/>
        </w:rPr>
      </w:pPr>
      <w:r w:rsidRPr="00F340A2">
        <w:rPr>
          <w:rFonts w:ascii="Bookman Old Style" w:hAnsi="Bookman Old Style"/>
          <w:b w:val="0"/>
        </w:rPr>
        <w:t>En ejercicio de sus atribuciones legales, en especial las conferidas por las leyes 142 y 143 de 1994, y en desarrollo de los Decretos 1524 y 2253 de 1994.</w:t>
      </w:r>
    </w:p>
    <w:p w:rsidR="000776BE" w:rsidRPr="00F340A2" w:rsidRDefault="000776BE" w:rsidP="000776BE">
      <w:pPr>
        <w:ind w:right="51"/>
        <w:jc w:val="center"/>
        <w:rPr>
          <w:rFonts w:ascii="Bookman Old Style" w:hAnsi="Bookman Old Style"/>
          <w:b/>
        </w:rPr>
      </w:pPr>
    </w:p>
    <w:p w:rsidR="000776BE" w:rsidRPr="00F340A2" w:rsidRDefault="000776BE" w:rsidP="000776BE">
      <w:pPr>
        <w:ind w:right="51"/>
        <w:rPr>
          <w:rFonts w:ascii="Bookman Old Style" w:hAnsi="Bookman Old Style"/>
        </w:rPr>
      </w:pPr>
    </w:p>
    <w:p w:rsidR="000776BE" w:rsidRPr="00F340A2" w:rsidRDefault="000776BE" w:rsidP="000776BE">
      <w:pPr>
        <w:ind w:right="51"/>
        <w:jc w:val="center"/>
        <w:rPr>
          <w:rFonts w:ascii="Bookman Old Style" w:hAnsi="Bookman Old Style"/>
          <w:b/>
        </w:rPr>
      </w:pPr>
      <w:r w:rsidRPr="00F340A2">
        <w:rPr>
          <w:rFonts w:ascii="Bookman Old Style" w:hAnsi="Bookman Old Style"/>
          <w:b/>
        </w:rPr>
        <w:t>C O N S I D E R A N D O  Q U E:</w:t>
      </w:r>
    </w:p>
    <w:p w:rsidR="000776BE" w:rsidRPr="00F340A2" w:rsidRDefault="000776BE" w:rsidP="000776BE">
      <w:pPr>
        <w:ind w:left="0"/>
        <w:jc w:val="both"/>
        <w:rPr>
          <w:rFonts w:ascii="Bookman Old Style" w:hAnsi="Bookman Old Style"/>
        </w:rPr>
      </w:pPr>
    </w:p>
    <w:p w:rsidR="000776BE" w:rsidRPr="00F340A2" w:rsidRDefault="000776BE" w:rsidP="000776BE">
      <w:pPr>
        <w:ind w:left="0"/>
        <w:jc w:val="both"/>
        <w:rPr>
          <w:rFonts w:ascii="Bookman Old Style" w:hAnsi="Bookman Old Style"/>
        </w:rPr>
      </w:pPr>
    </w:p>
    <w:p w:rsidR="000776BE" w:rsidRPr="00F340A2" w:rsidRDefault="000776BE" w:rsidP="000776BE">
      <w:pPr>
        <w:ind w:left="0"/>
        <w:jc w:val="both"/>
        <w:rPr>
          <w:rFonts w:ascii="Bookman Old Style" w:hAnsi="Bookman Old Style" w:cs="Arial"/>
          <w:spacing w:val="-3"/>
        </w:rPr>
      </w:pPr>
      <w:r w:rsidRPr="00F340A2">
        <w:rPr>
          <w:rFonts w:ascii="Bookman Old Style" w:hAnsi="Bookman Old Style" w:cs="Arial"/>
        </w:rPr>
        <w:t>Según el</w:t>
      </w:r>
      <w:r w:rsidRPr="00F340A2">
        <w:rPr>
          <w:rFonts w:ascii="Bookman Old Style" w:hAnsi="Bookman Old Style" w:cs="Arial"/>
          <w:lang w:val="pt-BR"/>
        </w:rPr>
        <w:t xml:space="preserve"> </w:t>
      </w:r>
      <w:r w:rsidRPr="00F340A2">
        <w:rPr>
          <w:rFonts w:ascii="Bookman Old Style" w:hAnsi="Bookman Old Style" w:cs="Arial"/>
        </w:rPr>
        <w:t xml:space="preserve">artículo 74.1 de la Ley 142 de 1994 la Comisión de Regulación de Energía y Gas es competente para </w:t>
      </w:r>
      <w:r w:rsidRPr="00F340A2">
        <w:rPr>
          <w:rFonts w:ascii="Bookman Old Style" w:hAnsi="Bookman Old Style" w:cs="Arial"/>
          <w:spacing w:val="-3"/>
        </w:rPr>
        <w:t>regular el ejercicio de las actividades de los sectores de energía eléctrica y gas combustible.</w:t>
      </w:r>
    </w:p>
    <w:p w:rsidR="000776BE" w:rsidRPr="00F340A2" w:rsidRDefault="000776BE" w:rsidP="000776BE">
      <w:pPr>
        <w:ind w:left="0"/>
        <w:jc w:val="both"/>
        <w:rPr>
          <w:rFonts w:ascii="Bookman Old Style" w:hAnsi="Bookman Old Style" w:cs="Arial"/>
        </w:rPr>
      </w:pPr>
    </w:p>
    <w:p w:rsidR="000776BE" w:rsidRPr="00F340A2" w:rsidRDefault="000776BE" w:rsidP="000776BE">
      <w:pPr>
        <w:ind w:left="0"/>
        <w:jc w:val="both"/>
        <w:rPr>
          <w:rFonts w:ascii="Bookman Old Style" w:hAnsi="Bookman Old Style" w:cs="Arial"/>
        </w:rPr>
      </w:pPr>
      <w:r w:rsidRPr="00F340A2">
        <w:rPr>
          <w:rFonts w:ascii="Bookman Old Style" w:hAnsi="Bookman Old Style" w:cs="Arial"/>
        </w:rPr>
        <w:t>La Comisión de Regulación de Energía y Gas tiene la función de regular los monopolios en la prestación del servicio público domiciliario de energía eléctrica y gas combustible, cuando la competencia no sea, de hecho, posible; y en los demás casos, la de promover la competencia entre quienes presten servicios públicos, para que las operaciones de los monopolistas o de los competidores sean económicamente eficientes, no impliquen abuso de la posición dominante y produzcan servicios de calidad</w:t>
      </w:r>
      <w:r w:rsidRPr="00F340A2">
        <w:rPr>
          <w:rFonts w:ascii="Bookman Old Style" w:hAnsi="Bookman Old Style" w:cs="Arial"/>
          <w:spacing w:val="-3"/>
        </w:rPr>
        <w:t>.</w:t>
      </w:r>
    </w:p>
    <w:p w:rsidR="000776BE" w:rsidRPr="00F340A2" w:rsidRDefault="000776BE" w:rsidP="000776BE">
      <w:pPr>
        <w:ind w:left="0"/>
        <w:rPr>
          <w:rFonts w:ascii="Bookman Old Style" w:hAnsi="Bookman Old Style"/>
        </w:rPr>
      </w:pPr>
    </w:p>
    <w:p w:rsidR="000776BE" w:rsidRPr="00F340A2" w:rsidRDefault="000776BE" w:rsidP="000776BE">
      <w:pPr>
        <w:ind w:left="0"/>
        <w:jc w:val="both"/>
        <w:rPr>
          <w:rFonts w:ascii="Bookman Old Style" w:hAnsi="Bookman Old Style" w:cs="Arial"/>
        </w:rPr>
      </w:pPr>
      <w:r w:rsidRPr="00F340A2">
        <w:rPr>
          <w:rFonts w:ascii="Bookman Old Style" w:hAnsi="Bookman Old Style" w:cs="Arial"/>
        </w:rPr>
        <w:t>Según el criterio de suficiencia financiera definido por el artículo 87.4 de la Ley 142 de 1994, las fórmulas tarifarias que establezca la CREG deben permitir remunerar el patrimonio de los accionistas en la misma forma en la que lo habría remunerado una empresa eficiente en un sector de riesgo comparable.</w:t>
      </w:r>
    </w:p>
    <w:p w:rsidR="000776BE" w:rsidRPr="00F340A2" w:rsidRDefault="000776BE" w:rsidP="000776BE">
      <w:pPr>
        <w:ind w:left="0"/>
        <w:rPr>
          <w:rFonts w:ascii="Bookman Old Style" w:hAnsi="Bookman Old Style" w:cs="Arial"/>
          <w:b/>
        </w:rPr>
      </w:pPr>
    </w:p>
    <w:p w:rsidR="000776BE" w:rsidRPr="00F340A2" w:rsidRDefault="000776BE" w:rsidP="000776BE">
      <w:pPr>
        <w:ind w:left="0"/>
        <w:jc w:val="both"/>
        <w:rPr>
          <w:bCs/>
          <w:spacing w:val="-3"/>
          <w:lang w:val="es-CO"/>
        </w:rPr>
      </w:pPr>
      <w:r w:rsidRPr="00F340A2">
        <w:rPr>
          <w:rFonts w:ascii="Bookman Old Style" w:hAnsi="Bookman Old Style" w:cs="Arial"/>
        </w:rPr>
        <w:t xml:space="preserve">Mediante las resoluciones CREG 083 y 093 de 2008 se definieron las metodologías para el cálculo de la tasas de retorno que se aplican en la </w:t>
      </w:r>
      <w:r w:rsidRPr="00F340A2">
        <w:rPr>
          <w:rFonts w:ascii="Bookman Old Style" w:hAnsi="Bookman Old Style" w:cs="Arial"/>
        </w:rPr>
        <w:lastRenderedPageBreak/>
        <w:t>remuneración de las actividades de transmisión y de distribución de energía eléctrica.</w:t>
      </w:r>
    </w:p>
    <w:p w:rsidR="000776BE" w:rsidRPr="00F340A2" w:rsidRDefault="000776BE" w:rsidP="000776BE">
      <w:pPr>
        <w:ind w:left="0"/>
        <w:jc w:val="both"/>
        <w:rPr>
          <w:rFonts w:ascii="Bookman Old Style" w:hAnsi="Bookman Old Style" w:cs="Arial"/>
        </w:rPr>
      </w:pPr>
    </w:p>
    <w:p w:rsidR="000776BE" w:rsidRPr="00F340A2" w:rsidRDefault="000776BE" w:rsidP="000776BE">
      <w:pPr>
        <w:ind w:left="0"/>
        <w:jc w:val="both"/>
        <w:rPr>
          <w:rFonts w:ascii="Bookman Old Style" w:hAnsi="Bookman Old Style"/>
        </w:rPr>
      </w:pPr>
      <w:r w:rsidRPr="00F340A2">
        <w:rPr>
          <w:rFonts w:ascii="Bookman Old Style" w:hAnsi="Bookman Old Style"/>
        </w:rPr>
        <w:t>Mediante la Resolución CREG 045 de 2002 la Comisión estableció la metodología de cálculo y ajuste para la determinación de la tasa de retorno que se utiliza en las fórmulas tarifarias de la actividad de distribución de gas combustible por redes.</w:t>
      </w:r>
    </w:p>
    <w:p w:rsidR="000776BE" w:rsidRPr="00F340A2" w:rsidRDefault="000776BE" w:rsidP="000776BE">
      <w:pPr>
        <w:ind w:left="0"/>
        <w:jc w:val="both"/>
        <w:rPr>
          <w:rFonts w:ascii="Bookman Old Style" w:hAnsi="Bookman Old Style"/>
        </w:rPr>
      </w:pPr>
    </w:p>
    <w:p w:rsidR="000776BE" w:rsidRPr="00F340A2" w:rsidRDefault="000776BE" w:rsidP="000776BE">
      <w:pPr>
        <w:ind w:left="0"/>
        <w:jc w:val="both"/>
        <w:rPr>
          <w:rFonts w:ascii="Bookman Old Style" w:hAnsi="Bookman Old Style"/>
        </w:rPr>
      </w:pPr>
      <w:r w:rsidRPr="00F340A2">
        <w:rPr>
          <w:rFonts w:ascii="Bookman Old Style" w:hAnsi="Bookman Old Style"/>
        </w:rPr>
        <w:t>Mediante la Resolución CREG 069 de 2006 se dio cumplimiento a lo dispuesto por el parágrafo primero del artículo primero de la Resolución CREG 045 de 2002 en donde se previó lo siguiente: “En el mes de junio del tercer año de vigencia del próximo período tarifario, se realizará un ajuste de la tasa de retorno con la información disponible de las fuentes establecidas en el numeral 2 del anexo de la presente resolución denominado “parámetros, valores de los parámetros, metodología de cálculo y ajuste de las tasas de retorno para la actividad de distribución de gas combustible por redes”, actualizando únicamente los valores del costo de deuda, la tasa libre de riesgo y los spreads de la deuda soberana”.</w:t>
      </w:r>
    </w:p>
    <w:p w:rsidR="000776BE" w:rsidRPr="00F340A2" w:rsidRDefault="000776BE" w:rsidP="000776BE">
      <w:pPr>
        <w:ind w:left="0"/>
        <w:jc w:val="both"/>
        <w:rPr>
          <w:rFonts w:ascii="Bookman Old Style" w:hAnsi="Bookman Old Style" w:cs="Arial"/>
        </w:rPr>
      </w:pPr>
    </w:p>
    <w:p w:rsidR="000776BE" w:rsidRPr="00F340A2" w:rsidRDefault="000776BE" w:rsidP="000776BE">
      <w:pPr>
        <w:ind w:left="0"/>
        <w:jc w:val="both"/>
        <w:rPr>
          <w:rFonts w:ascii="Bookman Old Style" w:hAnsi="Bookman Old Style" w:cs="Arial"/>
          <w:bCs/>
        </w:rPr>
      </w:pPr>
      <w:r w:rsidRPr="00F340A2">
        <w:rPr>
          <w:rFonts w:ascii="Bookman Old Style" w:hAnsi="Bookman Old Style" w:cs="Arial"/>
          <w:bCs/>
        </w:rPr>
        <w:t>Mediante la Resolución CREG 126 de 2010 la Comisión estableció la metodología de cálculo y los valores de las tasas de retorno que se utilizarían en la aprobación de los cargos regulados de transporte de gas natural.</w:t>
      </w:r>
    </w:p>
    <w:p w:rsidR="000776BE" w:rsidRPr="00F340A2" w:rsidRDefault="000776BE" w:rsidP="000776BE">
      <w:pPr>
        <w:ind w:left="0"/>
        <w:jc w:val="both"/>
        <w:rPr>
          <w:rFonts w:ascii="Bookman Old Style" w:hAnsi="Bookman Old Style" w:cs="Bookman Old Style"/>
          <w:color w:val="000000"/>
          <w:lang w:val="es-CO" w:eastAsia="es-CO"/>
        </w:rPr>
      </w:pPr>
    </w:p>
    <w:p w:rsidR="000776BE" w:rsidRPr="00F340A2" w:rsidRDefault="000776BE" w:rsidP="000776BE">
      <w:pPr>
        <w:ind w:left="0"/>
        <w:jc w:val="both"/>
        <w:rPr>
          <w:rFonts w:ascii="Bookman Old Style" w:hAnsi="Bookman Old Style" w:cs="Arial"/>
        </w:rPr>
      </w:pPr>
      <w:r w:rsidRPr="00F340A2">
        <w:rPr>
          <w:rFonts w:ascii="Bookman Old Style" w:hAnsi="Bookman Old Style" w:cs="Arial"/>
        </w:rPr>
        <w:t>Mediante la Resolución CREG 091 de 2007 se desarrolló el marco tarifario para las zonas no interconectadas, ZNI. En esa resolución se fijó el costo de capital invertido para remunerar los activos de la actividad de generación y de distribución de energía eléctrica en las ZNI.</w:t>
      </w:r>
    </w:p>
    <w:p w:rsidR="000776BE" w:rsidRPr="00F340A2" w:rsidRDefault="000776BE" w:rsidP="000776BE">
      <w:pPr>
        <w:ind w:left="0"/>
        <w:jc w:val="both"/>
        <w:rPr>
          <w:rFonts w:ascii="Bookman Old Style" w:hAnsi="Bookman Old Style" w:cs="Arial"/>
        </w:rPr>
      </w:pPr>
    </w:p>
    <w:p w:rsidR="000776BE" w:rsidRPr="00F340A2" w:rsidRDefault="000776BE" w:rsidP="000776BE">
      <w:pPr>
        <w:ind w:left="0"/>
        <w:jc w:val="both"/>
        <w:rPr>
          <w:rFonts w:ascii="Bookman Old Style" w:hAnsi="Bookman Old Style" w:cs="Arial"/>
          <w:iCs/>
        </w:rPr>
      </w:pPr>
      <w:r w:rsidRPr="00F340A2">
        <w:rPr>
          <w:rFonts w:ascii="Bookman Old Style" w:hAnsi="Bookman Old Style" w:cs="Arial"/>
        </w:rPr>
        <w:t xml:space="preserve">El inciso final del artículo 45 de la Resolución CREG 091 de 2007 dispuso que </w:t>
      </w:r>
      <w:r w:rsidRPr="00F340A2">
        <w:rPr>
          <w:rFonts w:ascii="Bookman Old Style" w:hAnsi="Bookman Old Style" w:cs="Arial"/>
          <w:iCs/>
        </w:rPr>
        <w:t>una vez la Comisión defina el costo de capital invertido para la actividad de distribución de energía eléctrica en el SIN para el próximo período tarifario, podrá ajustar la tasa establecida en este artículo.</w:t>
      </w:r>
    </w:p>
    <w:p w:rsidR="000776BE" w:rsidRPr="00F340A2" w:rsidRDefault="000776BE" w:rsidP="000776BE">
      <w:pPr>
        <w:ind w:left="0"/>
        <w:jc w:val="both"/>
        <w:rPr>
          <w:rFonts w:ascii="Bookman Old Style" w:hAnsi="Bookman Old Style" w:cs="Arial"/>
        </w:rPr>
      </w:pPr>
    </w:p>
    <w:p w:rsidR="000776BE" w:rsidRPr="00F340A2" w:rsidRDefault="000776BE" w:rsidP="000776BE">
      <w:pPr>
        <w:ind w:left="0"/>
        <w:jc w:val="both"/>
        <w:rPr>
          <w:rFonts w:ascii="Bookman Old Style" w:hAnsi="Bookman Old Style" w:cs="Arial"/>
          <w:i/>
          <w:iCs/>
        </w:rPr>
      </w:pPr>
      <w:r w:rsidRPr="00F340A2">
        <w:rPr>
          <w:rFonts w:ascii="Bookman Old Style" w:hAnsi="Bookman Old Style" w:cs="Arial"/>
        </w:rPr>
        <w:t xml:space="preserve">Mediante la Resolución CREG 056 de 2009, “por la cual se revisan los parámetros aplicables a la metodología utilizada para determinar el costo promedio ponderado de capital para remunerar las actividades de generación y distribución de energía eléctrica en las zonas no interconectadas”, se definió la tasa promedio de costo de capital para los proyectos de generación con fuentes fósiles. </w:t>
      </w:r>
    </w:p>
    <w:p w:rsidR="000776BE" w:rsidRPr="00F340A2" w:rsidRDefault="000776BE" w:rsidP="000776BE">
      <w:pPr>
        <w:ind w:left="0" w:right="51"/>
        <w:jc w:val="both"/>
        <w:rPr>
          <w:rFonts w:ascii="Bookman Old Style" w:hAnsi="Bookman Old Style" w:cs="Arial"/>
          <w:bCs/>
        </w:rPr>
      </w:pPr>
    </w:p>
    <w:p w:rsidR="000776BE" w:rsidRPr="00F340A2" w:rsidRDefault="000776BE" w:rsidP="000776BE">
      <w:pPr>
        <w:ind w:left="0"/>
        <w:jc w:val="both"/>
        <w:rPr>
          <w:rFonts w:ascii="Bookman Old Style" w:hAnsi="Bookman Old Style"/>
        </w:rPr>
      </w:pPr>
      <w:r w:rsidRPr="00F340A2">
        <w:rPr>
          <w:rFonts w:ascii="Bookman Old Style" w:hAnsi="Bookman Old Style" w:cs="Arial"/>
        </w:rPr>
        <w:t xml:space="preserve">Mediante la Resolución CREG 038 de 2008 se hizo público un proyecto de resolución mediante la cual se define la </w:t>
      </w:r>
      <w:r w:rsidRPr="00F340A2">
        <w:rPr>
          <w:rFonts w:ascii="Bookman Old Style" w:hAnsi="Bookman Old Style"/>
        </w:rPr>
        <w:t xml:space="preserve">metodología para determinar la tasa de retorno, del período de vida útil regulatoria de los activos de transporte de GLP y el factor de productividad para remunerar la actividad de transporte de los gases licuados del petróleo (GLP) por ductos. </w:t>
      </w:r>
    </w:p>
    <w:p w:rsidR="000776BE" w:rsidRPr="00F340A2" w:rsidRDefault="000776BE" w:rsidP="000776BE">
      <w:pPr>
        <w:ind w:left="0" w:right="51"/>
        <w:jc w:val="both"/>
        <w:rPr>
          <w:rFonts w:ascii="Bookman Old Style" w:hAnsi="Bookman Old Style" w:cs="Arial"/>
          <w:bCs/>
        </w:rPr>
      </w:pPr>
    </w:p>
    <w:p w:rsidR="000776BE" w:rsidRPr="00F340A2" w:rsidRDefault="000776BE" w:rsidP="000776BE">
      <w:pPr>
        <w:ind w:left="0" w:right="51"/>
        <w:jc w:val="both"/>
        <w:rPr>
          <w:rFonts w:ascii="Bookman Old Style" w:hAnsi="Bookman Old Style" w:cs="Arial"/>
        </w:rPr>
      </w:pPr>
      <w:r w:rsidRPr="00F340A2">
        <w:rPr>
          <w:rFonts w:ascii="Bookman Old Style" w:hAnsi="Bookman Old Style" w:cs="Arial"/>
          <w:bCs/>
        </w:rPr>
        <w:t xml:space="preserve">Mediante la Resolución CREG 122 de 2008, la comisión estableció </w:t>
      </w:r>
      <w:r w:rsidRPr="00F340A2">
        <w:rPr>
          <w:rFonts w:ascii="Bookman Old Style" w:hAnsi="Bookman Old Style"/>
        </w:rPr>
        <w:t>los criterios generales para determinar la remuneración de la actividad de transporte de gas licuado del petróleo (GLP) por ductos.</w:t>
      </w:r>
    </w:p>
    <w:p w:rsidR="000776BE" w:rsidRPr="00F340A2" w:rsidRDefault="000776BE" w:rsidP="000776BE">
      <w:pPr>
        <w:ind w:left="0"/>
        <w:jc w:val="both"/>
        <w:rPr>
          <w:rFonts w:ascii="Bookman Old Style" w:hAnsi="Bookman Old Style" w:cs="Arial"/>
          <w:bCs/>
        </w:rPr>
      </w:pPr>
    </w:p>
    <w:p w:rsidR="0018073E" w:rsidRDefault="0018073E" w:rsidP="000776BE">
      <w:pPr>
        <w:ind w:left="0"/>
        <w:jc w:val="both"/>
        <w:rPr>
          <w:rFonts w:ascii="Bookman Old Style" w:hAnsi="Bookman Old Style" w:cs="Arial"/>
          <w:bCs/>
        </w:rPr>
      </w:pPr>
    </w:p>
    <w:p w:rsidR="000776BE" w:rsidRPr="00F340A2" w:rsidRDefault="000776BE" w:rsidP="000776BE">
      <w:pPr>
        <w:ind w:left="0"/>
        <w:jc w:val="both"/>
        <w:rPr>
          <w:rFonts w:ascii="Bookman Old Style" w:hAnsi="Bookman Old Style" w:cs="Arial"/>
          <w:bCs/>
        </w:rPr>
      </w:pPr>
      <w:r w:rsidRPr="00F340A2">
        <w:rPr>
          <w:rFonts w:ascii="Bookman Old Style" w:hAnsi="Bookman Old Style" w:cs="Arial"/>
          <w:bCs/>
        </w:rPr>
        <w:t>Mediante la Resolución CREG 042 de 2013 la comisión publicó las bases sobre las cuales efectuará el estudio para determinar la metodología de remuneración de la actividad de transmisión de energía eléctrica, para el siguiente periodo tarifario, señalando que para la remuneración de las inversiones en transmisión se revisaría la aplicación de las variables utilizadas para calcular la tasa de descuento, comparándolas con las utilizadas internacionalmente.</w:t>
      </w:r>
    </w:p>
    <w:p w:rsidR="000776BE" w:rsidRPr="00F340A2" w:rsidRDefault="000776BE" w:rsidP="000776BE">
      <w:pPr>
        <w:ind w:left="0"/>
        <w:jc w:val="both"/>
        <w:rPr>
          <w:rFonts w:ascii="Bookman Old Style" w:hAnsi="Bookman Old Style" w:cs="Arial"/>
          <w:bCs/>
        </w:rPr>
      </w:pPr>
    </w:p>
    <w:p w:rsidR="000776BE" w:rsidRPr="00F340A2" w:rsidRDefault="000776BE" w:rsidP="000776BE">
      <w:pPr>
        <w:ind w:left="0"/>
        <w:jc w:val="both"/>
        <w:rPr>
          <w:rFonts w:ascii="Bookman Old Style" w:hAnsi="Bookman Old Style" w:cs="Arial"/>
          <w:bCs/>
        </w:rPr>
      </w:pPr>
      <w:r w:rsidRPr="00F340A2">
        <w:rPr>
          <w:rFonts w:ascii="Bookman Old Style" w:hAnsi="Bookman Old Style" w:cs="Arial"/>
          <w:bCs/>
        </w:rPr>
        <w:t xml:space="preserve">En la Resolución CREG 043 de 2013 la comisión publicó las bases sobre las cuales efectuará el estudio para determinar la metodología de remuneración de la actividad de distribución de energía eléctrica </w:t>
      </w:r>
      <w:r w:rsidRPr="00F340A2">
        <w:rPr>
          <w:rFonts w:ascii="Bookman Old Style" w:hAnsi="Bookman Old Style" w:cs="Arial"/>
        </w:rPr>
        <w:t xml:space="preserve">en el sistema interconectado nacional, SIN, para el siguiente período tarifario, señalando que se revisaría la aplicación de las variables utilizadas para calcular </w:t>
      </w:r>
      <w:r w:rsidRPr="00F340A2">
        <w:rPr>
          <w:rFonts w:ascii="Bookman Old Style" w:hAnsi="Bookman Old Style" w:cs="Arial"/>
          <w:bCs/>
        </w:rPr>
        <w:t>la tasa de descuento</w:t>
      </w:r>
      <w:r w:rsidRPr="00F340A2">
        <w:rPr>
          <w:rFonts w:ascii="Bookman Old Style" w:hAnsi="Bookman Old Style" w:cs="Arial"/>
        </w:rPr>
        <w:t>, comparándolas con las usadas internacionalmente.</w:t>
      </w:r>
    </w:p>
    <w:p w:rsidR="000776BE" w:rsidRPr="00F340A2" w:rsidRDefault="000776BE" w:rsidP="000776BE">
      <w:pPr>
        <w:ind w:left="0"/>
        <w:jc w:val="both"/>
        <w:rPr>
          <w:rFonts w:ascii="Bookman Old Style" w:hAnsi="Bookman Old Style" w:cs="Arial"/>
        </w:rPr>
      </w:pPr>
    </w:p>
    <w:p w:rsidR="000776BE" w:rsidRPr="00F340A2" w:rsidRDefault="000776BE" w:rsidP="000776BE">
      <w:pPr>
        <w:ind w:left="0"/>
        <w:jc w:val="both"/>
        <w:rPr>
          <w:rFonts w:ascii="Bookman Old Style" w:eastAsia="Malgun Gothic" w:hAnsi="Bookman Old Style" w:cs="Arial"/>
        </w:rPr>
      </w:pPr>
      <w:r w:rsidRPr="00F340A2">
        <w:rPr>
          <w:rFonts w:ascii="Bookman Old Style" w:eastAsia="Malgun Gothic" w:hAnsi="Bookman Old Style" w:cs="Arial"/>
        </w:rPr>
        <w:t>Mediante la Resolución CREG 202 de 2013, p</w:t>
      </w:r>
      <w:r w:rsidRPr="00F340A2">
        <w:rPr>
          <w:rFonts w:ascii="Bookman Old Style" w:hAnsi="Bookman Old Style"/>
        </w:rPr>
        <w:t xml:space="preserve">or la cual se establecen los criterios generales para remunerar la actividad de distribución de gas combustible por redes de tubería </w:t>
      </w:r>
      <w:r w:rsidRPr="00F340A2">
        <w:rPr>
          <w:rFonts w:ascii="Bookman Old Style" w:hAnsi="Bookman Old Style"/>
          <w:lang w:val="es-ES_tradnl"/>
        </w:rPr>
        <w:t>y se dictan otras disposiciones</w:t>
      </w:r>
      <w:r w:rsidRPr="00F340A2">
        <w:rPr>
          <w:rFonts w:ascii="Bookman Old Style" w:hAnsi="Bookman Old Style"/>
        </w:rPr>
        <w:t xml:space="preserve">, </w:t>
      </w:r>
      <w:r w:rsidRPr="00F340A2">
        <w:rPr>
          <w:rFonts w:ascii="Bookman Old Style" w:eastAsia="Malgun Gothic" w:hAnsi="Bookman Old Style" w:cs="Arial"/>
        </w:rPr>
        <w:t>se indicó en los considerandos que “las condiciones actuales y los análisis llevan a concluir que es posible migrar hacia una metodología de corte transversal, la cual, acompañada con una tasa de descuento que incluya el riesgo de demanda, así como una canasta de tarifas que capture las señales de los costos de oportunidad, brinda señales más apropiadas para los objetivos regulatorios y al mismo tiempo permite mantener la cobertura y el incentivo para una expansión eficiente del servicio”.</w:t>
      </w:r>
    </w:p>
    <w:p w:rsidR="000776BE" w:rsidRPr="00F340A2" w:rsidRDefault="000776BE" w:rsidP="000776BE">
      <w:pPr>
        <w:ind w:left="0"/>
        <w:jc w:val="both"/>
        <w:rPr>
          <w:rFonts w:ascii="Bookman Old Style" w:hAnsi="Bookman Old Style" w:cs="Arial"/>
        </w:rPr>
      </w:pPr>
    </w:p>
    <w:p w:rsidR="000776BE" w:rsidRPr="00F340A2" w:rsidRDefault="000776BE" w:rsidP="000776BE">
      <w:pPr>
        <w:ind w:left="0"/>
        <w:jc w:val="both"/>
        <w:rPr>
          <w:rFonts w:ascii="Bookman Old Style" w:hAnsi="Bookman Old Style"/>
          <w:spacing w:val="-3"/>
          <w:lang w:val="es-CO"/>
        </w:rPr>
      </w:pPr>
      <w:r w:rsidRPr="00F340A2">
        <w:rPr>
          <w:rFonts w:ascii="Bookman Old Style" w:hAnsi="Bookman Old Style" w:cs="Arial"/>
        </w:rPr>
        <w:t xml:space="preserve">En el artículo </w:t>
      </w:r>
      <w:r w:rsidRPr="00F340A2">
        <w:rPr>
          <w:rFonts w:ascii="Bookman Old Style" w:hAnsi="Bookman Old Style"/>
          <w:spacing w:val="-3"/>
          <w:lang w:val="es-ES_tradnl"/>
        </w:rPr>
        <w:t xml:space="preserve">9.9 de la mencionada resolución se dispuso que la tasa de retorno para remunerar la actividad de distribución de gas combustible para el nuevo periodo tarifario corresponderá al valor que se calcule con la metodología de </w:t>
      </w:r>
      <w:r w:rsidRPr="00F340A2">
        <w:rPr>
          <w:rFonts w:ascii="Bookman Old Style" w:hAnsi="Bookman Old Style" w:cs="Arial"/>
          <w:bCs/>
        </w:rPr>
        <w:t>la tasa de descuento,</w:t>
      </w:r>
      <w:r w:rsidRPr="00F340A2">
        <w:rPr>
          <w:rFonts w:ascii="Bookman Old Style" w:hAnsi="Bookman Old Style"/>
          <w:spacing w:val="-3"/>
          <w:lang w:val="es-ES_tradnl"/>
        </w:rPr>
        <w:t xml:space="preserve"> establecida en resolución aparte, antes de la aprobación de la primera solicitud tarifaria. </w:t>
      </w:r>
    </w:p>
    <w:p w:rsidR="000776BE" w:rsidRPr="00F340A2" w:rsidRDefault="000776BE" w:rsidP="000776BE">
      <w:pPr>
        <w:suppressAutoHyphens/>
        <w:ind w:left="0"/>
        <w:jc w:val="both"/>
        <w:rPr>
          <w:rFonts w:ascii="Bookman Old Style" w:hAnsi="Bookman Old Style"/>
          <w:spacing w:val="-3"/>
        </w:rPr>
      </w:pPr>
    </w:p>
    <w:p w:rsidR="000776BE" w:rsidRPr="00F340A2" w:rsidRDefault="000776BE" w:rsidP="000776BE">
      <w:pPr>
        <w:ind w:left="0"/>
        <w:jc w:val="both"/>
        <w:rPr>
          <w:rFonts w:ascii="Bookman Old Style" w:hAnsi="Bookman Old Style" w:cs="Arial"/>
        </w:rPr>
      </w:pPr>
      <w:r w:rsidRPr="00F340A2">
        <w:rPr>
          <w:rFonts w:ascii="Bookman Old Style" w:hAnsi="Bookman Old Style" w:cs="Arial"/>
        </w:rPr>
        <w:t>En la Resolución CREG 047 de 2014, la cual contiene las bases sobre las cuales se efectuarán los estudios para determinar la metodología y el esquema general de cargos para remunerar la actividad de transporte de gas natural, se plantea que "uno de los temas que será objeto de análisis por parte de la Comisión durante el año 2014 es precisamente la definición de la metodología para la estimación de las tasas de descuento que se aplicarán en las metodologías de remuneración de las actividades de los servicios de energía eléctrica y gas natural. Las tasas que resulten de la aplicación de la metodología mencionada serán las que se utilicen en el cálculo de los cargos regulados de transporte de gas natural.</w:t>
      </w:r>
    </w:p>
    <w:p w:rsidR="000776BE" w:rsidRPr="00F340A2" w:rsidRDefault="000776BE" w:rsidP="000776BE">
      <w:pPr>
        <w:ind w:left="0"/>
        <w:jc w:val="both"/>
        <w:rPr>
          <w:rFonts w:ascii="Bookman Old Style" w:hAnsi="Bookman Old Style" w:cs="Arial"/>
        </w:rPr>
      </w:pPr>
    </w:p>
    <w:p w:rsidR="000776BE" w:rsidRPr="00F340A2" w:rsidRDefault="000776BE" w:rsidP="000776BE">
      <w:pPr>
        <w:ind w:left="0"/>
        <w:jc w:val="both"/>
        <w:rPr>
          <w:rFonts w:ascii="Bookman Old Style" w:hAnsi="Bookman Old Style" w:cs="Arial"/>
        </w:rPr>
      </w:pPr>
      <w:r w:rsidRPr="00F340A2">
        <w:rPr>
          <w:rFonts w:ascii="Bookman Old Style" w:hAnsi="Bookman Old Style" w:cs="Arial"/>
        </w:rPr>
        <w:t>Mediante la Resolución CREG 083 de 2014 se sometió a consulta un proyecto de resolución “Por la cual se define la metodología para el cálculo de la tasa de descuento que se aplicará en las actividades de transporte de gas natural, distribución de gas combustible, transporte de GLP por ductos, transmisión y distribución de energía eléctrica en el sistema interconectado nacional, y generación y distribución de energía eléctrica en zonas no interconectadas”.</w:t>
      </w:r>
    </w:p>
    <w:p w:rsidR="000776BE" w:rsidRPr="00F340A2" w:rsidRDefault="000776BE" w:rsidP="000776BE">
      <w:pPr>
        <w:ind w:left="0"/>
        <w:jc w:val="both"/>
        <w:rPr>
          <w:rFonts w:ascii="Bookman Old Style" w:hAnsi="Bookman Old Style" w:cs="Arial"/>
        </w:rPr>
      </w:pPr>
    </w:p>
    <w:p w:rsidR="000776BE" w:rsidRDefault="000776BE" w:rsidP="000776BE">
      <w:pPr>
        <w:pStyle w:val="Textosinformato"/>
        <w:spacing w:line="240" w:lineRule="auto"/>
        <w:rPr>
          <w:rFonts w:ascii="Bookman Old Style" w:hAnsi="Bookman Old Style" w:cs="Tahoma"/>
          <w:color w:val="000000" w:themeColor="text1"/>
          <w:sz w:val="24"/>
          <w:szCs w:val="24"/>
        </w:rPr>
      </w:pPr>
      <w:r w:rsidRPr="00F340A2">
        <w:rPr>
          <w:rFonts w:ascii="Bookman Old Style" w:hAnsi="Bookman Old Style" w:cs="Tahoma"/>
          <w:color w:val="000000" w:themeColor="text1"/>
          <w:sz w:val="24"/>
          <w:szCs w:val="24"/>
        </w:rPr>
        <w:t>Durante el período de consulta se recibieron comentarios, los cuales se analizaron en el Documento CREG-D-</w:t>
      </w:r>
      <w:r w:rsidR="0018073E">
        <w:rPr>
          <w:rFonts w:ascii="Bookman Old Style" w:hAnsi="Bookman Old Style" w:cs="Tahoma"/>
          <w:color w:val="000000" w:themeColor="text1"/>
          <w:sz w:val="24"/>
          <w:szCs w:val="24"/>
        </w:rPr>
        <w:t>061</w:t>
      </w:r>
      <w:r w:rsidRPr="00F340A2">
        <w:rPr>
          <w:rFonts w:ascii="Bookman Old Style" w:hAnsi="Bookman Old Style" w:cs="Tahoma"/>
          <w:color w:val="000000" w:themeColor="text1"/>
          <w:sz w:val="24"/>
          <w:szCs w:val="24"/>
        </w:rPr>
        <w:t xml:space="preserve"> del 2015.</w:t>
      </w:r>
    </w:p>
    <w:p w:rsidR="00C63D49" w:rsidRDefault="00C63D49" w:rsidP="000776BE">
      <w:pPr>
        <w:pStyle w:val="Textosinformato"/>
        <w:spacing w:line="240" w:lineRule="auto"/>
        <w:rPr>
          <w:rFonts w:ascii="Bookman Old Style" w:hAnsi="Bookman Old Style" w:cs="Tahoma"/>
          <w:color w:val="000000" w:themeColor="text1"/>
          <w:sz w:val="24"/>
          <w:szCs w:val="24"/>
        </w:rPr>
      </w:pPr>
    </w:p>
    <w:p w:rsidR="00C63D49" w:rsidRPr="00C63D49" w:rsidRDefault="00C63D49" w:rsidP="00C63D49">
      <w:pPr>
        <w:ind w:left="0"/>
        <w:jc w:val="both"/>
        <w:rPr>
          <w:rFonts w:ascii="Bookman Old Style" w:hAnsi="Bookman Old Style" w:cs="Arial"/>
        </w:rPr>
      </w:pPr>
      <w:r w:rsidRPr="00C63D49">
        <w:rPr>
          <w:rFonts w:ascii="Bookman Old Style" w:hAnsi="Bookman Old Style" w:cs="Arial"/>
        </w:rPr>
        <w:t>En cumplimiento de lo establecido en la Ley 1340 de 2009, el artículo 8 del Decreto 2897 de 2010 y la Resolución SIC 44649 de 2010, la CREG procedió a dar respuesta al cuestionario expedido por la Superintendencia de Industria y Comercio SIC, encontrando que el presente acto no requiere ser remitido a la SIC por no tener incidencia en la libre competencia.</w:t>
      </w:r>
    </w:p>
    <w:p w:rsidR="00C63D49" w:rsidRPr="00C63D49" w:rsidRDefault="00C63D49" w:rsidP="000776BE">
      <w:pPr>
        <w:pStyle w:val="Textosinformato"/>
        <w:spacing w:line="240" w:lineRule="auto"/>
        <w:rPr>
          <w:rFonts w:ascii="Bookman Old Style" w:hAnsi="Bookman Old Style" w:cs="Tahoma"/>
          <w:color w:val="000000" w:themeColor="text1"/>
          <w:sz w:val="24"/>
          <w:szCs w:val="24"/>
        </w:rPr>
      </w:pPr>
    </w:p>
    <w:p w:rsidR="00C63D49" w:rsidRPr="007068B3" w:rsidRDefault="00C63D49" w:rsidP="00C63D49">
      <w:pPr>
        <w:widowControl w:val="0"/>
        <w:adjustRightInd w:val="0"/>
        <w:ind w:left="0"/>
        <w:jc w:val="both"/>
        <w:textAlignment w:val="baseline"/>
        <w:rPr>
          <w:rFonts w:ascii="Bookman Old Style" w:hAnsi="Bookman Old Style" w:cs="Arial"/>
        </w:rPr>
      </w:pPr>
      <w:r w:rsidRPr="00C63D49">
        <w:rPr>
          <w:rFonts w:ascii="Bookman Old Style" w:hAnsi="Bookman Old Style" w:cs="Arial"/>
        </w:rPr>
        <w:t>Según lo previsto en el artículo 9° del Decreto 2696 de 2004, concordante con el artículo 8 del Código de Procedimiento Administrativo y de lo Contencioso Administrativo, la regulación que mediante la presente resolución se adopta ha surtido el proceso de publicidad previo correspondiente según las normas vigentes, garantizándose de esta manera la participación de los agentes del sector y demás interesados.</w:t>
      </w:r>
    </w:p>
    <w:p w:rsidR="000776BE" w:rsidRPr="00F340A2" w:rsidRDefault="000776BE" w:rsidP="000776BE">
      <w:pPr>
        <w:pStyle w:val="Textosinformato"/>
        <w:spacing w:line="240" w:lineRule="auto"/>
        <w:rPr>
          <w:rFonts w:ascii="Bookman Old Style" w:hAnsi="Bookman Old Style" w:cs="Tahoma"/>
          <w:sz w:val="24"/>
          <w:szCs w:val="24"/>
        </w:rPr>
      </w:pPr>
    </w:p>
    <w:p w:rsidR="000776BE" w:rsidRPr="00F340A2" w:rsidRDefault="000776BE" w:rsidP="000776BE">
      <w:pPr>
        <w:pStyle w:val="Textosinformato"/>
        <w:spacing w:line="240" w:lineRule="auto"/>
        <w:rPr>
          <w:rFonts w:ascii="Bookman Old Style" w:hAnsi="Bookman Old Style" w:cs="Tahoma"/>
          <w:sz w:val="24"/>
          <w:szCs w:val="24"/>
        </w:rPr>
      </w:pPr>
      <w:r w:rsidRPr="00F340A2">
        <w:rPr>
          <w:rFonts w:ascii="Bookman Old Style" w:hAnsi="Bookman Old Style" w:cs="Arial"/>
          <w:sz w:val="24"/>
          <w:szCs w:val="24"/>
        </w:rPr>
        <w:t xml:space="preserve">La CREG, en Sesión No. </w:t>
      </w:r>
      <w:r w:rsidR="00C63D49">
        <w:rPr>
          <w:rFonts w:ascii="Bookman Old Style" w:hAnsi="Bookman Old Style" w:cs="Arial"/>
          <w:sz w:val="24"/>
          <w:szCs w:val="24"/>
        </w:rPr>
        <w:t>664 del 30 de junio</w:t>
      </w:r>
      <w:r w:rsidRPr="00F340A2">
        <w:rPr>
          <w:rFonts w:ascii="Bookman Old Style" w:hAnsi="Bookman Old Style" w:cs="Arial"/>
          <w:sz w:val="24"/>
          <w:szCs w:val="24"/>
        </w:rPr>
        <w:t xml:space="preserve"> de 2015, aprobó el contenido de la presente Resolución;</w:t>
      </w:r>
    </w:p>
    <w:p w:rsidR="000776BE" w:rsidRPr="00F340A2" w:rsidRDefault="000776BE" w:rsidP="000776BE">
      <w:pPr>
        <w:suppressAutoHyphens/>
        <w:ind w:left="0"/>
        <w:jc w:val="center"/>
        <w:rPr>
          <w:rFonts w:ascii="Bookman Old Style" w:hAnsi="Bookman Old Style"/>
          <w:spacing w:val="-3"/>
        </w:rPr>
      </w:pPr>
    </w:p>
    <w:p w:rsidR="000776BE" w:rsidRPr="00F340A2" w:rsidRDefault="000776BE" w:rsidP="000776BE">
      <w:pPr>
        <w:suppressAutoHyphens/>
        <w:ind w:left="0"/>
        <w:jc w:val="center"/>
        <w:rPr>
          <w:rFonts w:ascii="Bookman Old Style" w:hAnsi="Bookman Old Style"/>
          <w:spacing w:val="-3"/>
        </w:rPr>
      </w:pPr>
      <w:r w:rsidRPr="00F340A2">
        <w:rPr>
          <w:rFonts w:ascii="Bookman Old Style" w:hAnsi="Bookman Old Style"/>
          <w:b/>
          <w:spacing w:val="-3"/>
        </w:rPr>
        <w:t>R E S U E L V E:</w:t>
      </w:r>
    </w:p>
    <w:p w:rsidR="0018073E" w:rsidRPr="00F340A2" w:rsidRDefault="0018073E" w:rsidP="000776BE">
      <w:pPr>
        <w:pStyle w:val="Textodebloque"/>
        <w:widowControl w:val="0"/>
        <w:tabs>
          <w:tab w:val="left" w:pos="8789"/>
        </w:tabs>
        <w:suppressAutoHyphens w:val="0"/>
        <w:adjustRightInd w:val="0"/>
        <w:spacing w:after="0"/>
        <w:ind w:left="0" w:right="51"/>
        <w:textAlignment w:val="baseline"/>
        <w:rPr>
          <w:rFonts w:cs="Arial"/>
          <w:szCs w:val="24"/>
        </w:rPr>
      </w:pPr>
      <w:bookmarkStart w:id="1" w:name="_Ref164237694"/>
    </w:p>
    <w:p w:rsidR="000776BE" w:rsidRPr="00F340A2" w:rsidRDefault="000776BE" w:rsidP="000776BE">
      <w:pPr>
        <w:pStyle w:val="Textodebloque"/>
        <w:widowControl w:val="0"/>
        <w:tabs>
          <w:tab w:val="left" w:pos="8789"/>
        </w:tabs>
        <w:suppressAutoHyphens w:val="0"/>
        <w:adjustRightInd w:val="0"/>
        <w:spacing w:after="0"/>
        <w:ind w:left="0" w:right="51"/>
        <w:textAlignment w:val="baseline"/>
        <w:rPr>
          <w:rFonts w:cs="Arial"/>
          <w:szCs w:val="24"/>
        </w:rPr>
      </w:pPr>
      <w:r w:rsidRPr="00F340A2">
        <w:rPr>
          <w:rFonts w:ascii="Bookman Old Style" w:hAnsi="Bookman Old Style" w:cs="Arial"/>
          <w:b/>
          <w:szCs w:val="24"/>
        </w:rPr>
        <w:t>ARTÍCULO 1</w:t>
      </w:r>
      <w:r w:rsidRPr="00F340A2">
        <w:rPr>
          <w:rFonts w:ascii="Bookman Old Style" w:hAnsi="Bookman Old Style" w:cs="Arial"/>
          <w:szCs w:val="24"/>
        </w:rPr>
        <w:t xml:space="preserve">. La presente resolución tiene como objeto establecer </w:t>
      </w:r>
      <w:bookmarkEnd w:id="1"/>
      <w:r w:rsidRPr="00F340A2">
        <w:rPr>
          <w:rFonts w:ascii="Bookman Old Style" w:hAnsi="Bookman Old Style" w:cs="Arial"/>
          <w:szCs w:val="24"/>
        </w:rPr>
        <w:t xml:space="preserve">la metodología para el cálculo de la tasa de descuento que se </w:t>
      </w:r>
      <w:r w:rsidRPr="00F340A2">
        <w:rPr>
          <w:rFonts w:ascii="Bookman Old Style" w:hAnsi="Bookman Old Style"/>
          <w:szCs w:val="24"/>
        </w:rPr>
        <w:t xml:space="preserve">aplicará en </w:t>
      </w:r>
      <w:r w:rsidRPr="00F340A2">
        <w:rPr>
          <w:rFonts w:ascii="Bookman Old Style" w:hAnsi="Bookman Old Style" w:cs="Arial"/>
          <w:szCs w:val="24"/>
        </w:rPr>
        <w:t>las actividades de</w:t>
      </w:r>
      <w:r w:rsidRPr="00F340A2">
        <w:rPr>
          <w:rFonts w:ascii="Bookman Old Style" w:hAnsi="Bookman Old Style" w:cs="Arial"/>
          <w:i/>
          <w:szCs w:val="24"/>
        </w:rPr>
        <w:t xml:space="preserve"> </w:t>
      </w:r>
      <w:r w:rsidRPr="00F340A2">
        <w:rPr>
          <w:rFonts w:ascii="Bookman Old Style" w:hAnsi="Bookman Old Style" w:cs="Arial"/>
          <w:szCs w:val="24"/>
        </w:rPr>
        <w:t>transporte de gas natural, distribución de gas combustible, transporte de GLP por ductos, transmisión y distribución de energía eléctrica en el sistema interconectado nacional, y generación y distribución de energía eléctrica en zonas no interconectadas</w:t>
      </w:r>
      <w:r w:rsidRPr="00F340A2">
        <w:rPr>
          <w:rFonts w:ascii="Bookman Old Style" w:hAnsi="Bookman Old Style"/>
          <w:i/>
          <w:szCs w:val="24"/>
        </w:rPr>
        <w:t>.</w:t>
      </w:r>
    </w:p>
    <w:p w:rsidR="000776BE" w:rsidRPr="00F340A2" w:rsidRDefault="000776BE" w:rsidP="000776BE">
      <w:pPr>
        <w:ind w:left="0"/>
        <w:rPr>
          <w:rFonts w:ascii="Bookman Old Style" w:hAnsi="Bookman Old Style" w:cs="Arial"/>
          <w:b/>
          <w:bCs/>
          <w:lang w:val="es-ES_tradnl"/>
        </w:rPr>
      </w:pPr>
    </w:p>
    <w:p w:rsidR="000776BE" w:rsidRPr="00F340A2" w:rsidRDefault="000776BE" w:rsidP="000776BE">
      <w:pPr>
        <w:ind w:left="0"/>
        <w:jc w:val="both"/>
        <w:rPr>
          <w:rFonts w:ascii="Bookman Old Style" w:hAnsi="Bookman Old Style" w:cs="Arial"/>
        </w:rPr>
      </w:pPr>
      <w:r w:rsidRPr="00F340A2">
        <w:rPr>
          <w:rFonts w:ascii="Bookman Old Style" w:hAnsi="Bookman Old Style" w:cs="Arial"/>
          <w:b/>
          <w:bCs/>
        </w:rPr>
        <w:t>ARTÍCULO 2. Definiciones.</w:t>
      </w:r>
      <w:r w:rsidRPr="00F340A2">
        <w:rPr>
          <w:rFonts w:ascii="Bookman Old Style" w:hAnsi="Bookman Old Style" w:cs="Arial"/>
        </w:rPr>
        <w:t xml:space="preserve"> Para la interpretación y aplicación de esta resolución se tendrán en cuenta, además de las definiciones contenidas en las leyes 142 y 143 de 1994 y en las resoluciones vigentes de la CREG, las siguientes:</w:t>
      </w:r>
    </w:p>
    <w:p w:rsidR="000776BE" w:rsidRPr="00F340A2" w:rsidRDefault="000776BE" w:rsidP="000776BE">
      <w:pPr>
        <w:ind w:left="0"/>
        <w:jc w:val="both"/>
        <w:rPr>
          <w:rFonts w:ascii="Bookman Old Style" w:hAnsi="Bookman Old Style" w:cs="Arial"/>
          <w:color w:val="000000"/>
        </w:rPr>
      </w:pPr>
    </w:p>
    <w:p w:rsidR="000776BE" w:rsidRDefault="000776BE" w:rsidP="000776BE">
      <w:pPr>
        <w:ind w:left="0"/>
        <w:jc w:val="both"/>
        <w:rPr>
          <w:rFonts w:ascii="Bookman Old Style" w:hAnsi="Bookman Old Style" w:cs="Arial"/>
        </w:rPr>
      </w:pPr>
      <w:r w:rsidRPr="00F340A2">
        <w:rPr>
          <w:rFonts w:ascii="Bookman Old Style" w:hAnsi="Bookman Old Style" w:cs="Arial"/>
          <w:b/>
          <w:color w:val="000000"/>
        </w:rPr>
        <w:t>Actividades por redes:</w:t>
      </w:r>
      <w:r w:rsidRPr="00F340A2">
        <w:rPr>
          <w:rFonts w:ascii="Bookman Old Style" w:hAnsi="Bookman Old Style" w:cs="Arial"/>
          <w:color w:val="000000"/>
        </w:rPr>
        <w:t xml:space="preserve"> Corresponde a las actividades de </w:t>
      </w:r>
      <w:r w:rsidRPr="00F340A2">
        <w:rPr>
          <w:rFonts w:ascii="Bookman Old Style" w:hAnsi="Bookman Old Style" w:cs="Arial"/>
        </w:rPr>
        <w:t>transporte de gas natural, distribución de gas combustible, transporte por ductos de gas licuado de petróleo, transmisión de energía eléctrica y distribución de energía eléctrica.</w:t>
      </w:r>
    </w:p>
    <w:p w:rsidR="0021136B" w:rsidRDefault="0021136B" w:rsidP="000776BE">
      <w:pPr>
        <w:ind w:left="0"/>
        <w:jc w:val="both"/>
        <w:rPr>
          <w:rFonts w:ascii="Bookman Old Style" w:hAnsi="Bookman Old Style" w:cs="Arial"/>
        </w:rPr>
      </w:pPr>
    </w:p>
    <w:p w:rsidR="0021136B" w:rsidRPr="00F340A2" w:rsidRDefault="0021136B" w:rsidP="000776BE">
      <w:pPr>
        <w:ind w:left="0"/>
        <w:jc w:val="both"/>
        <w:rPr>
          <w:rFonts w:ascii="Bookman Old Style" w:hAnsi="Bookman Old Style" w:cs="Arial"/>
        </w:rPr>
      </w:pPr>
      <w:r w:rsidRPr="0021136B">
        <w:rPr>
          <w:rFonts w:ascii="Bookman Old Style" w:hAnsi="Bookman Old Style" w:cs="Arial"/>
          <w:b/>
        </w:rPr>
        <w:t>Momento t:</w:t>
      </w:r>
      <w:r>
        <w:rPr>
          <w:rFonts w:ascii="Bookman Old Style" w:hAnsi="Bookman Old Style" w:cs="Arial"/>
        </w:rPr>
        <w:t xml:space="preserve"> Corresponde a la fecha de cálculo que se defina para cada actividad, en resolución aparte.   </w:t>
      </w:r>
    </w:p>
    <w:p w:rsidR="000776BE" w:rsidRPr="00F340A2" w:rsidRDefault="000776BE" w:rsidP="000776BE">
      <w:pPr>
        <w:ind w:left="0"/>
        <w:jc w:val="both"/>
        <w:rPr>
          <w:rFonts w:ascii="Bookman Old Style" w:hAnsi="Bookman Old Style" w:cs="Arial"/>
          <w:color w:val="000000"/>
        </w:rPr>
      </w:pPr>
    </w:p>
    <w:p w:rsidR="000776BE" w:rsidRPr="00F340A2" w:rsidRDefault="000776BE" w:rsidP="000776BE">
      <w:pPr>
        <w:ind w:left="0"/>
        <w:jc w:val="both"/>
        <w:rPr>
          <w:rFonts w:ascii="Bookman Old Style" w:hAnsi="Bookman Old Style" w:cs="Arial"/>
          <w:lang w:val="es-CO"/>
        </w:rPr>
      </w:pPr>
      <w:r w:rsidRPr="00F340A2">
        <w:rPr>
          <w:rFonts w:ascii="Bookman Old Style" w:hAnsi="Bookman Old Style" w:cs="Arial"/>
          <w:b/>
          <w:color w:val="000000"/>
        </w:rPr>
        <w:t xml:space="preserve">Tasa de descuento: </w:t>
      </w:r>
      <w:r w:rsidRPr="00F340A2">
        <w:rPr>
          <w:rFonts w:ascii="Bookman Old Style" w:hAnsi="Bookman Old Style"/>
        </w:rPr>
        <w:t xml:space="preserve">Tasa calculada a partir de la estimación del costo promedio ponderado de capital (WACC por sus siglas en inglés) establecida para las actividades por redes </w:t>
      </w:r>
      <w:r w:rsidR="001845A8" w:rsidRPr="001845A8">
        <w:rPr>
          <w:rFonts w:ascii="Bookman Old Style" w:hAnsi="Bookman Old Style" w:cs="Arial"/>
        </w:rPr>
        <w:t>y la actividad de generación de energía eléctrica en ZNI</w:t>
      </w:r>
      <w:r w:rsidR="001845A8">
        <w:rPr>
          <w:rFonts w:ascii="Bookman Old Style" w:hAnsi="Bookman Old Style"/>
        </w:rPr>
        <w:t xml:space="preserve"> </w:t>
      </w:r>
      <w:r w:rsidRPr="00F340A2">
        <w:rPr>
          <w:rFonts w:ascii="Bookman Old Style" w:hAnsi="Bookman Old Style"/>
        </w:rPr>
        <w:t>en términos constantes y antes de impuestos.</w:t>
      </w:r>
    </w:p>
    <w:p w:rsidR="000776BE" w:rsidRPr="00F340A2" w:rsidRDefault="000776BE" w:rsidP="000776BE">
      <w:pPr>
        <w:ind w:left="0"/>
        <w:jc w:val="both"/>
        <w:rPr>
          <w:rFonts w:ascii="Bookman Old Style" w:hAnsi="Bookman Old Style" w:cs="Arial"/>
        </w:rPr>
      </w:pPr>
      <w:bookmarkStart w:id="2" w:name="_Ref30434909"/>
    </w:p>
    <w:p w:rsidR="000776BE" w:rsidRPr="00F340A2" w:rsidRDefault="000776BE" w:rsidP="000776BE">
      <w:pPr>
        <w:ind w:left="0"/>
        <w:jc w:val="both"/>
        <w:rPr>
          <w:rFonts w:ascii="Bookman Old Style" w:hAnsi="Bookman Old Style" w:cs="Arial"/>
        </w:rPr>
      </w:pPr>
      <w:r w:rsidRPr="00F340A2">
        <w:rPr>
          <w:rFonts w:ascii="Bookman Old Style" w:hAnsi="Bookman Old Style" w:cs="Arial"/>
          <w:b/>
        </w:rPr>
        <w:t xml:space="preserve">ARTÍCULO 3. Metodología de cálculo de la tasa de descuento en pesos. </w:t>
      </w:r>
      <w:r w:rsidRPr="00F340A2">
        <w:rPr>
          <w:rFonts w:ascii="Bookman Old Style" w:hAnsi="Bookman Old Style" w:cs="Arial"/>
        </w:rPr>
        <w:t>Para el cálculo de la tasa de descuento en pesos la Comisión aplicará la siguiente fórmula:</w:t>
      </w:r>
    </w:p>
    <w:p w:rsidR="000776BE" w:rsidRPr="00F340A2" w:rsidRDefault="000776BE" w:rsidP="000776BE">
      <w:pPr>
        <w:ind w:left="0"/>
        <w:jc w:val="both"/>
        <w:rPr>
          <w:rFonts w:ascii="Bookman Old Style" w:hAnsi="Bookman Old Style" w:cs="Arial"/>
        </w:rPr>
      </w:pPr>
    </w:p>
    <w:p w:rsidR="000776BE" w:rsidRPr="00F340A2" w:rsidRDefault="00EC20D9" w:rsidP="000776BE">
      <w:pPr>
        <w:ind w:left="0"/>
        <w:jc w:val="both"/>
        <w:rPr>
          <w:rFonts w:ascii="Bookman Old Style" w:hAnsi="Bookman Old Style" w:cs="Arial"/>
        </w:rPr>
      </w:pPr>
      <m:oMathPara>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TD</m:t>
              </m:r>
            </m:e>
            <m:sub>
              <m:r>
                <m:rPr>
                  <m:sty m:val="p"/>
                </m:rPr>
                <w:rPr>
                  <w:rFonts w:ascii="Cambria Math" w:hAnsi="Cambria Math" w:cs="Arial"/>
                  <w:color w:val="000000" w:themeColor="text1"/>
                  <w:kern w:val="24"/>
                </w:rPr>
                <m:t>cop,a,t</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WACC</m:t>
                  </m:r>
                </m:e>
                <m:sub>
                  <m:r>
                    <m:rPr>
                      <m:sty m:val="p"/>
                    </m:rPr>
                    <w:rPr>
                      <w:rFonts w:ascii="Cambria Math" w:hAnsi="Cambria Math" w:cs="Arial"/>
                      <w:color w:val="000000" w:themeColor="text1"/>
                      <w:kern w:val="24"/>
                    </w:rPr>
                    <m:t>cop,a,t</m:t>
                  </m:r>
                </m:sub>
              </m:sSub>
              <m:r>
                <m:rPr>
                  <m:sty m:val="p"/>
                </m:rPr>
                <w:rPr>
                  <w:rFonts w:ascii="Cambria Math" w:eastAsiaTheme="minorEastAsia"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m:t>
                  </m:r>
                </m:e>
                <m:sub>
                  <m:r>
                    <m:rPr>
                      <m:sty m:val="p"/>
                    </m:rPr>
                    <w:rPr>
                      <w:rFonts w:ascii="Cambria Math" w:eastAsia="Cambria Math" w:hAnsi="Cambria Math" w:cs="Arial"/>
                      <w:color w:val="000000" w:themeColor="text1"/>
                      <w:kern w:val="24"/>
                    </w:rPr>
                    <m:t>cop,t</m:t>
                  </m:r>
                </m:sub>
              </m:sSub>
            </m:num>
            <m:den>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m:t>
                  </m:r>
                </m:e>
                <m:sub>
                  <m:r>
                    <m:rPr>
                      <m:sty m:val="p"/>
                    </m:rPr>
                    <w:rPr>
                      <w:rFonts w:ascii="Cambria Math" w:eastAsia="Cambria Math" w:hAnsi="Cambria Math" w:cs="Arial"/>
                      <w:color w:val="000000" w:themeColor="text1"/>
                      <w:kern w:val="24"/>
                    </w:rPr>
                    <m:t>cop,t</m:t>
                  </m:r>
                </m:sub>
              </m:sSub>
            </m:den>
          </m:f>
        </m:oMath>
      </m:oMathPara>
    </w:p>
    <w:p w:rsidR="000776BE" w:rsidRPr="00F340A2" w:rsidRDefault="000776BE" w:rsidP="000776BE">
      <w:pPr>
        <w:ind w:left="0"/>
        <w:contextualSpacing/>
        <w:jc w:val="both"/>
        <w:rPr>
          <w:rFonts w:ascii="Bookman Old Style" w:hAnsi="Bookman Old Style" w:cs="Arial"/>
        </w:rPr>
      </w:pPr>
    </w:p>
    <w:p w:rsidR="000776BE" w:rsidRPr="00F340A2" w:rsidRDefault="000776BE" w:rsidP="000776BE">
      <w:pPr>
        <w:ind w:left="0"/>
        <w:contextualSpacing/>
        <w:jc w:val="both"/>
        <w:rPr>
          <w:rFonts w:ascii="Bookman Old Style" w:hAnsi="Bookman Old Style" w:cs="Arial"/>
        </w:rPr>
      </w:pPr>
      <w:r w:rsidRPr="00F340A2">
        <w:rPr>
          <w:rFonts w:ascii="Bookman Old Style" w:hAnsi="Bookman Old Style" w:cs="Arial"/>
        </w:rPr>
        <w:t xml:space="preserve">Donde, </w:t>
      </w:r>
    </w:p>
    <w:p w:rsidR="000776BE" w:rsidRPr="00F340A2" w:rsidRDefault="000776BE" w:rsidP="000776BE">
      <w:pPr>
        <w:ind w:left="0"/>
        <w:rPr>
          <w:rFonts w:ascii="Bookman Old Style" w:hAnsi="Bookman Old Style"/>
          <w:lang w:val="es-ES_tradn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284"/>
        <w:gridCol w:w="7796"/>
      </w:tblGrid>
      <w:tr w:rsidR="000776BE" w:rsidRPr="00F340A2" w:rsidTr="00F67EAC">
        <w:tc>
          <w:tcPr>
            <w:tcW w:w="1384"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Theme="minorEastAsia" w:hAnsi="Cambria Math" w:cs="Arial"/>
                        <w:b/>
                        <w:iCs/>
                        <w:color w:val="000000" w:themeColor="text1"/>
                        <w:kern w:val="24"/>
                      </w:rPr>
                    </m:ctrlPr>
                  </m:sSubPr>
                  <m:e>
                    <m:r>
                      <m:rPr>
                        <m:sty m:val="b"/>
                      </m:rPr>
                      <w:rPr>
                        <w:rFonts w:ascii="Cambria Math" w:hAnsi="Cambria Math" w:cs="Arial"/>
                        <w:color w:val="000000" w:themeColor="text1"/>
                        <w:kern w:val="24"/>
                      </w:rPr>
                      <m:t>TD</m:t>
                    </m:r>
                  </m:e>
                  <m:sub>
                    <m:r>
                      <m:rPr>
                        <m:sty m:val="b"/>
                      </m:rPr>
                      <w:rPr>
                        <w:rFonts w:ascii="Cambria Math" w:hAnsi="Cambria Math" w:cs="Arial"/>
                        <w:color w:val="000000" w:themeColor="text1"/>
                        <w:kern w:val="24"/>
                      </w:rPr>
                      <m:t>cop,a,t</m:t>
                    </m:r>
                  </m:sub>
                </m:sSub>
              </m:oMath>
            </m:oMathPara>
          </w:p>
        </w:tc>
        <w:tc>
          <w:tcPr>
            <w:tcW w:w="284" w:type="dxa"/>
          </w:tcPr>
          <w:p w:rsidR="000776BE" w:rsidRPr="00F340A2" w:rsidRDefault="000776BE" w:rsidP="00F67EAC">
            <w:pPr>
              <w:ind w:left="0"/>
              <w:jc w:val="both"/>
              <w:rPr>
                <w:rFonts w:ascii="Bookman Old Style" w:hAnsi="Bookman Old Style"/>
                <w:b/>
                <w:lang w:val="es-ES_tradnl"/>
              </w:rPr>
            </w:pPr>
            <w:r w:rsidRPr="00F340A2">
              <w:rPr>
                <w:rFonts w:ascii="Bookman Old Style" w:hAnsi="Bookman Old Style"/>
                <w:b/>
                <w:lang w:val="es-ES_tradnl"/>
              </w:rPr>
              <w:t>:</w:t>
            </w:r>
          </w:p>
        </w:tc>
        <w:tc>
          <w:tcPr>
            <w:tcW w:w="7796"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iCs/>
                <w:color w:val="000000" w:themeColor="text1"/>
                <w:kern w:val="24"/>
              </w:rPr>
              <w:t>T</w:t>
            </w:r>
            <w:r w:rsidRPr="00F340A2">
              <w:rPr>
                <w:rFonts w:ascii="Bookman Old Style" w:hAnsi="Bookman Old Style" w:cs="Arial"/>
              </w:rPr>
              <w:t xml:space="preserve">asa de descuento antes de impuestos y en pesos constantes para la </w:t>
            </w:r>
            <w:proofErr w:type="gramStart"/>
            <w:r w:rsidRPr="00F340A2">
              <w:rPr>
                <w:rFonts w:ascii="Bookman Old Style" w:hAnsi="Bookman Old Style" w:cs="Arial"/>
              </w:rPr>
              <w:t xml:space="preserve">actividad </w:t>
            </w:r>
            <w:proofErr w:type="gramEnd"/>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rPr>
                <m:t>t</m:t>
              </m:r>
            </m:oMath>
            <w:r w:rsidRPr="00F340A2">
              <w:rPr>
                <w:rFonts w:ascii="Bookman Old Style" w:hAnsi="Bookman Old Style" w:cs="Arial"/>
              </w:rPr>
              <w:t>.</w:t>
            </w:r>
            <w:r w:rsidRPr="00F340A2">
              <w:rPr>
                <w:rFonts w:ascii="Bookman Old Style" w:hAnsi="Bookman Old Style" w:cs="Arial"/>
                <w:iCs/>
              </w:rPr>
              <w:t xml:space="preserve"> Tasa utilizada en la determinación </w:t>
            </w:r>
            <w:r w:rsidRPr="00F340A2">
              <w:rPr>
                <w:rFonts w:ascii="Bookman Old Style" w:hAnsi="Bookman Old Style" w:cs="Arial"/>
              </w:rPr>
              <w:t>de cargos tarifarios de las actividades por redes y de la actividad de generación de energía eléctrica en ZNI.</w:t>
            </w:r>
            <w:r>
              <w:rPr>
                <w:rFonts w:ascii="Bookman Old Style" w:hAnsi="Bookman Old Style" w:cs="Arial"/>
              </w:rPr>
              <w:t xml:space="preserve"> </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384" w:type="dxa"/>
          </w:tcPr>
          <w:p w:rsidR="000776BE" w:rsidRPr="00F340A2" w:rsidRDefault="00EC20D9" w:rsidP="00F67EAC">
            <w:pPr>
              <w:ind w:left="0"/>
              <w:contextualSpacing/>
              <w:rPr>
                <w:rFonts w:ascii="Bookman Old Style" w:hAnsi="Bookman Old Style" w:cs="Arial"/>
              </w:rPr>
            </w:pPr>
            <m:oMathPara>
              <m:oMathParaPr>
                <m:jc m:val="left"/>
              </m:oMathParaPr>
              <m:oMath>
                <m:sSub>
                  <m:sSubPr>
                    <m:ctrlPr>
                      <w:rPr>
                        <w:rFonts w:ascii="Cambria Math" w:eastAsiaTheme="minorEastAsia" w:hAnsi="Cambria Math" w:cs="Arial"/>
                        <w:b/>
                        <w:iCs/>
                        <w:color w:val="000000" w:themeColor="text1"/>
                        <w:kern w:val="24"/>
                      </w:rPr>
                    </m:ctrlPr>
                  </m:sSubPr>
                  <m:e>
                    <m:r>
                      <m:rPr>
                        <m:sty m:val="b"/>
                      </m:rPr>
                      <w:rPr>
                        <w:rFonts w:ascii="Cambria Math" w:hAnsi="Cambria Math" w:cs="Arial"/>
                        <w:color w:val="000000" w:themeColor="text1"/>
                        <w:kern w:val="24"/>
                      </w:rPr>
                      <m:t>WACC</m:t>
                    </m:r>
                  </m:e>
                  <m:sub>
                    <m:r>
                      <m:rPr>
                        <m:sty m:val="b"/>
                      </m:rPr>
                      <w:rPr>
                        <w:rFonts w:ascii="Cambria Math" w:hAnsi="Cambria Math" w:cs="Arial"/>
                        <w:color w:val="000000" w:themeColor="text1"/>
                        <w:kern w:val="24"/>
                      </w:rPr>
                      <m:t>cop,a,t</m:t>
                    </m:r>
                  </m:sub>
                </m:sSub>
              </m:oMath>
            </m:oMathPara>
          </w:p>
        </w:tc>
        <w:tc>
          <w:tcPr>
            <w:tcW w:w="284" w:type="dxa"/>
          </w:tcPr>
          <w:p w:rsidR="000776BE" w:rsidRPr="00F340A2" w:rsidRDefault="000776BE" w:rsidP="00F67EAC">
            <w:pPr>
              <w:ind w:left="0"/>
              <w:contextualSpacing/>
              <w:rPr>
                <w:rFonts w:ascii="Bookman Old Style" w:hAnsi="Bookman Old Style" w:cs="Arial"/>
                <w:b/>
              </w:rPr>
            </w:pPr>
            <w:r w:rsidRPr="00F340A2">
              <w:rPr>
                <w:rFonts w:ascii="Bookman Old Style" w:hAnsi="Bookman Old Style" w:cs="Arial"/>
                <w:b/>
              </w:rPr>
              <w:t>:</w:t>
            </w:r>
          </w:p>
        </w:tc>
        <w:tc>
          <w:tcPr>
            <w:tcW w:w="7796" w:type="dxa"/>
          </w:tcPr>
          <w:p w:rsidR="000776BE" w:rsidRPr="00F340A2" w:rsidRDefault="000776BE" w:rsidP="00F67EAC">
            <w:pPr>
              <w:ind w:left="0"/>
              <w:contextualSpacing/>
              <w:jc w:val="both"/>
              <w:rPr>
                <w:rFonts w:ascii="Bookman Old Style" w:hAnsi="Bookman Old Style" w:cs="Arial"/>
              </w:rPr>
            </w:pPr>
            <w:r w:rsidRPr="00F340A2">
              <w:rPr>
                <w:rFonts w:ascii="Bookman Old Style" w:hAnsi="Bookman Old Style" w:cs="Arial"/>
              </w:rPr>
              <w:t xml:space="preserve">Costo promedio ponderado de capital en pesos corrientes y antes de impuestos para la </w:t>
            </w:r>
            <w:proofErr w:type="gramStart"/>
            <w:r w:rsidRPr="00F340A2">
              <w:rPr>
                <w:rFonts w:ascii="Bookman Old Style" w:hAnsi="Bookman Old Style" w:cs="Arial"/>
              </w:rPr>
              <w:t xml:space="preserve">actividad </w:t>
            </w:r>
            <w:proofErr w:type="gramEnd"/>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t</m:t>
              </m:r>
            </m:oMath>
            <w:r w:rsidRPr="00F340A2">
              <w:rPr>
                <w:rFonts w:ascii="Bookman Old Style" w:hAnsi="Bookman Old Style" w:cs="Arial"/>
              </w:rPr>
              <w:t>.</w:t>
            </w:r>
          </w:p>
          <w:p w:rsidR="000776BE" w:rsidRPr="00F340A2" w:rsidRDefault="000776BE" w:rsidP="00F67EAC">
            <w:pPr>
              <w:ind w:left="0"/>
              <w:contextualSpacing/>
              <w:jc w:val="both"/>
              <w:rPr>
                <w:rFonts w:ascii="Bookman Old Style" w:hAnsi="Bookman Old Style" w:cs="Arial"/>
                <w:iCs/>
                <w:color w:val="000000" w:themeColor="text1"/>
                <w:kern w:val="24"/>
              </w:rPr>
            </w:pPr>
          </w:p>
        </w:tc>
      </w:tr>
      <w:tr w:rsidR="000776BE" w:rsidRPr="00F340A2" w:rsidTr="00F67EAC">
        <w:tc>
          <w:tcPr>
            <w:tcW w:w="1384" w:type="dxa"/>
          </w:tcPr>
          <w:p w:rsidR="000776BE" w:rsidRPr="00F340A2" w:rsidRDefault="00EC20D9" w:rsidP="00F67EAC">
            <w:pPr>
              <w:ind w:left="0"/>
              <w:contextualSpacing/>
              <w:rPr>
                <w:rFonts w:ascii="Bookman Old Style" w:hAnsi="Bookman Old Style"/>
                <w:b/>
                <w:lang w:val="es-ES_tradnl"/>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π</m:t>
                    </m:r>
                  </m:e>
                  <m:sub>
                    <m:r>
                      <m:rPr>
                        <m:sty m:val="b"/>
                      </m:rPr>
                      <w:rPr>
                        <w:rFonts w:ascii="Cambria Math" w:eastAsia="Cambria Math" w:hAnsi="Cambria Math" w:cs="Arial"/>
                        <w:color w:val="000000" w:themeColor="text1"/>
                        <w:kern w:val="24"/>
                      </w:rPr>
                      <m:t>cop,t</m:t>
                    </m:r>
                  </m:sub>
                </m:sSub>
              </m:oMath>
            </m:oMathPara>
          </w:p>
        </w:tc>
        <w:tc>
          <w:tcPr>
            <w:tcW w:w="284" w:type="dxa"/>
          </w:tcPr>
          <w:p w:rsidR="000776BE" w:rsidRPr="00F340A2" w:rsidRDefault="000776BE" w:rsidP="00F67EAC">
            <w:pPr>
              <w:ind w:left="0"/>
              <w:contextualSpacing/>
              <w:rPr>
                <w:rFonts w:ascii="Bookman Old Style" w:hAnsi="Bookman Old Style" w:cs="Arial"/>
                <w:b/>
                <w:iCs/>
                <w:color w:val="000000" w:themeColor="text1"/>
                <w:kern w:val="24"/>
              </w:rPr>
            </w:pPr>
            <w:r w:rsidRPr="00F340A2">
              <w:rPr>
                <w:rFonts w:ascii="Bookman Old Style" w:hAnsi="Bookman Old Style" w:cs="Arial"/>
                <w:b/>
                <w:iCs/>
                <w:color w:val="000000" w:themeColor="text1"/>
                <w:kern w:val="24"/>
              </w:rPr>
              <w:t>:</w:t>
            </w:r>
          </w:p>
        </w:tc>
        <w:tc>
          <w:tcPr>
            <w:tcW w:w="7796" w:type="dxa"/>
          </w:tcPr>
          <w:p w:rsidR="000776BE" w:rsidRPr="00F340A2" w:rsidRDefault="000776BE" w:rsidP="00F67EAC">
            <w:pPr>
              <w:ind w:left="0"/>
              <w:contextualSpacing/>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Promedio de la </w:t>
            </w:r>
            <w:r>
              <w:rPr>
                <w:rFonts w:ascii="Bookman Old Style" w:hAnsi="Bookman Old Style" w:cs="Arial"/>
                <w:iCs/>
                <w:color w:val="000000" w:themeColor="text1"/>
                <w:kern w:val="24"/>
              </w:rPr>
              <w:t xml:space="preserve">expectativa de </w:t>
            </w:r>
            <w:r w:rsidRPr="00F340A2">
              <w:rPr>
                <w:rFonts w:ascii="Bookman Old Style" w:hAnsi="Bookman Old Style" w:cs="Arial"/>
                <w:iCs/>
                <w:color w:val="000000" w:themeColor="text1"/>
                <w:kern w:val="24"/>
              </w:rPr>
              <w:t xml:space="preserve">inflación en el </w:t>
            </w:r>
            <w:proofErr w:type="gramStart"/>
            <w:r w:rsidRPr="00F340A2">
              <w:rPr>
                <w:rFonts w:ascii="Bookman Old Style" w:hAnsi="Bookman Old Style" w:cs="Arial"/>
                <w:iCs/>
                <w:color w:val="000000" w:themeColor="text1"/>
                <w:kern w:val="24"/>
              </w:rPr>
              <w:t xml:space="preserve">momento </w:t>
            </w:r>
            <w:proofErr w:type="gramEnd"/>
            <m:oMath>
              <m:r>
                <m:rPr>
                  <m:sty m:val="p"/>
                </m:rPr>
                <w:rPr>
                  <w:rFonts w:ascii="Cambria Math" w:hAnsi="Cambria Math" w:cs="Arial"/>
                </w:rPr>
                <m:t>t</m:t>
              </m:r>
            </m:oMath>
            <w:r w:rsidRPr="00F340A2">
              <w:rPr>
                <w:rFonts w:ascii="Bookman Old Style" w:hAnsi="Bookman Old Style" w:cs="Arial"/>
                <w:iCs/>
                <w:color w:val="000000" w:themeColor="text1"/>
                <w:kern w:val="24"/>
              </w:rPr>
              <w:t xml:space="preserve">, calculada como el promedio aritmético de los diferenciales entre las tasas, del plazo de 3650 días, de las curvas cero cupón de los títulos de tesorería TES COP y TES UVR, que se obtienen a partir de la información que es publicada por </w:t>
            </w:r>
            <w:proofErr w:type="spellStart"/>
            <w:r w:rsidRPr="00F340A2">
              <w:rPr>
                <w:rFonts w:ascii="Bookman Old Style" w:hAnsi="Bookman Old Style" w:cs="Arial"/>
                <w:iCs/>
                <w:color w:val="000000" w:themeColor="text1"/>
                <w:kern w:val="24"/>
              </w:rPr>
              <w:t>Infovalmer</w:t>
            </w:r>
            <w:proofErr w:type="spellEnd"/>
            <w:r w:rsidRPr="00F340A2">
              <w:rPr>
                <w:rFonts w:ascii="Bookman Old Style" w:hAnsi="Bookman Old Style" w:cs="Arial"/>
                <w:iCs/>
                <w:color w:val="000000" w:themeColor="text1"/>
                <w:kern w:val="24"/>
              </w:rPr>
              <w:t>. Cada uno de los diferenciales se calcula de la siguiente manera:</w:t>
            </w:r>
          </w:p>
          <w:p w:rsidR="000776BE" w:rsidRPr="00F340A2" w:rsidRDefault="000776BE" w:rsidP="00F67EAC">
            <w:pPr>
              <w:ind w:left="0"/>
              <w:contextualSpacing/>
              <w:jc w:val="both"/>
              <w:rPr>
                <w:rFonts w:ascii="Bookman Old Style" w:hAnsi="Bookman Old Style" w:cs="Arial"/>
                <w:iCs/>
                <w:color w:val="000000" w:themeColor="text1"/>
                <w:kern w:val="24"/>
              </w:rPr>
            </w:pPr>
          </w:p>
          <w:p w:rsidR="000776BE" w:rsidRPr="00F340A2" w:rsidRDefault="00EC20D9" w:rsidP="00F67EAC">
            <w:pPr>
              <w:ind w:left="0"/>
              <w:contextualSpacing/>
              <w:jc w:val="both"/>
              <w:rPr>
                <w:rFonts w:ascii="Bookman Old Style" w:hAnsi="Bookman Old Style" w:cs="Arial"/>
                <w:iCs/>
                <w:color w:val="000000" w:themeColor="text1"/>
                <w:kern w:val="24"/>
              </w:rPr>
            </w:pPr>
            <m:oMathPara>
              <m:oMathParaPr>
                <m:jc m:val="center"/>
              </m:oMathParaPr>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π</m:t>
                    </m:r>
                  </m:e>
                  <m:sub>
                    <m:r>
                      <m:rPr>
                        <m:sty m:val="p"/>
                      </m:rPr>
                      <w:rPr>
                        <w:rFonts w:ascii="Cambria Math" w:hAnsi="Cambria Math" w:cs="Arial"/>
                        <w:color w:val="000000" w:themeColor="text1"/>
                        <w:kern w:val="24"/>
                      </w:rPr>
                      <m:t>cop,i</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Tasa TES COP</m:t>
                        </m:r>
                      </m:e>
                      <m:sub>
                        <m:r>
                          <m:rPr>
                            <m:sty m:val="p"/>
                          </m:rPr>
                          <w:rPr>
                            <w:rFonts w:ascii="Cambria Math" w:eastAsia="Cambria Math" w:hAnsi="Cambria Math" w:cs="Arial"/>
                            <w:color w:val="000000" w:themeColor="text1"/>
                            <w:kern w:val="24"/>
                          </w:rPr>
                          <m:t>i</m:t>
                        </m:r>
                      </m:sub>
                    </m:sSub>
                  </m:num>
                  <m:den>
                    <m:r>
                      <m:rPr>
                        <m:sty m:val="p"/>
                      </m:rPr>
                      <w:rPr>
                        <w:rFonts w:ascii="Cambria Math" w:eastAsia="Cambria Math" w:hAnsi="Cambria Math" w:cs="Arial"/>
                        <w:color w:val="000000" w:themeColor="text1"/>
                        <w:kern w:val="24"/>
                      </w:rPr>
                      <m:t>1+</m:t>
                    </m:r>
                    <m:sSub>
                      <m:sSubPr>
                        <m:ctrlPr>
                          <w:rPr>
                            <w:rFonts w:ascii="Cambria Math" w:eastAsiaTheme="minorEastAsia" w:hAnsi="Cambria Math" w:cs="Arial"/>
                            <w:iCs/>
                            <w:color w:val="000000" w:themeColor="text1"/>
                            <w:kern w:val="24"/>
                          </w:rPr>
                        </m:ctrlPr>
                      </m:sSubPr>
                      <m:e>
                        <m:r>
                          <m:rPr>
                            <m:sty m:val="p"/>
                          </m:rPr>
                          <w:rPr>
                            <w:rFonts w:ascii="Cambria Math" w:eastAsiaTheme="minorEastAsia" w:hAnsi="Cambria Math" w:cs="Arial"/>
                            <w:color w:val="000000" w:themeColor="text1"/>
                            <w:kern w:val="24"/>
                          </w:rPr>
                          <m:t>Tasa TES UVR</m:t>
                        </m:r>
                      </m:e>
                      <m:sub>
                        <m:r>
                          <m:rPr>
                            <m:sty m:val="p"/>
                          </m:rPr>
                          <w:rPr>
                            <w:rFonts w:ascii="Cambria Math" w:eastAsiaTheme="minorEastAsia" w:hAnsi="Cambria Math" w:cs="Arial"/>
                            <w:color w:val="000000" w:themeColor="text1"/>
                            <w:kern w:val="24"/>
                          </w:rPr>
                          <m:t>i</m:t>
                        </m:r>
                      </m:sub>
                    </m:sSub>
                  </m:den>
                </m:f>
                <m:r>
                  <m:rPr>
                    <m:sty m:val="p"/>
                  </m:rPr>
                  <w:rPr>
                    <w:rFonts w:ascii="Cambria Math" w:eastAsia="Cambria Math" w:hAnsi="Cambria Math" w:cs="Arial"/>
                    <w:color w:val="000000" w:themeColor="text1"/>
                    <w:kern w:val="24"/>
                  </w:rPr>
                  <m:t>-1</m:t>
                </m:r>
              </m:oMath>
            </m:oMathPara>
          </w:p>
          <w:p w:rsidR="000776BE" w:rsidRPr="00F340A2" w:rsidRDefault="000776BE" w:rsidP="00F67EAC">
            <w:pPr>
              <w:ind w:left="0"/>
              <w:contextualSpacing/>
              <w:jc w:val="both"/>
              <w:rPr>
                <w:rFonts w:ascii="Bookman Old Style" w:hAnsi="Bookman Old Style"/>
                <w:lang w:val="es-ES_tradnl"/>
              </w:rPr>
            </w:pPr>
          </w:p>
          <w:p w:rsidR="000776BE" w:rsidRPr="00F340A2" w:rsidRDefault="000776BE" w:rsidP="00F67EAC">
            <w:pPr>
              <w:ind w:left="0"/>
              <w:contextualSpacing/>
              <w:jc w:val="both"/>
              <w:rPr>
                <w:rFonts w:ascii="Bookman Old Style" w:hAnsi="Bookman Old Style"/>
                <w:lang w:val="es-ES_tradnl"/>
              </w:rPr>
            </w:pPr>
            <w:r w:rsidRPr="00F340A2">
              <w:rPr>
                <w:rFonts w:ascii="Bookman Old Style" w:hAnsi="Bookman Old Style"/>
                <w:lang w:val="es-ES_tradnl"/>
              </w:rPr>
              <w:t>En donde i es cada una de las fechas para las que existe información.</w:t>
            </w:r>
          </w:p>
          <w:p w:rsidR="000776BE" w:rsidRPr="00F340A2" w:rsidRDefault="000776BE" w:rsidP="00F67EAC">
            <w:pPr>
              <w:ind w:left="0"/>
              <w:contextualSpacing/>
              <w:jc w:val="both"/>
              <w:rPr>
                <w:rFonts w:ascii="Bookman Old Style" w:hAnsi="Bookman Old Style"/>
                <w:lang w:val="es-ES_tradnl"/>
              </w:rPr>
            </w:pPr>
          </w:p>
        </w:tc>
      </w:tr>
      <w:tr w:rsidR="000776BE" w:rsidRPr="00F340A2" w:rsidTr="00F67EAC">
        <w:tc>
          <w:tcPr>
            <w:tcW w:w="1384" w:type="dxa"/>
          </w:tcPr>
          <w:p w:rsidR="000776BE" w:rsidRPr="00F340A2" w:rsidRDefault="000776BE" w:rsidP="00F67EAC">
            <w:pPr>
              <w:ind w:left="0"/>
              <w:jc w:val="center"/>
              <w:rPr>
                <w:rFonts w:ascii="Bookman Old Style" w:hAnsi="Bookman Old Style"/>
                <w:b/>
                <w:iCs/>
                <w:color w:val="000000" w:themeColor="text1"/>
                <w:kern w:val="24"/>
              </w:rPr>
            </w:pPr>
            <m:oMathPara>
              <m:oMathParaPr>
                <m:jc m:val="left"/>
              </m:oMathParaPr>
              <m:oMath>
                <m:r>
                  <m:rPr>
                    <m:sty m:val="b"/>
                  </m:rPr>
                  <w:rPr>
                    <w:rFonts w:ascii="Cambria Math" w:hAnsi="Cambria Math"/>
                  </w:rPr>
                  <m:t>a</m:t>
                </m:r>
              </m:oMath>
            </m:oMathPara>
          </w:p>
        </w:tc>
        <w:tc>
          <w:tcPr>
            <w:tcW w:w="284" w:type="dxa"/>
          </w:tcPr>
          <w:p w:rsidR="000776BE" w:rsidRPr="00F340A2" w:rsidRDefault="000776BE" w:rsidP="00F67EAC">
            <w:pPr>
              <w:ind w:left="0"/>
              <w:jc w:val="both"/>
              <w:rPr>
                <w:rFonts w:ascii="Bookman Old Style" w:hAnsi="Bookman Old Style"/>
                <w:b/>
                <w:iCs/>
                <w:color w:val="000000" w:themeColor="text1"/>
                <w:kern w:val="24"/>
              </w:rPr>
            </w:pPr>
            <w:r w:rsidRPr="00F340A2">
              <w:rPr>
                <w:rFonts w:ascii="Bookman Old Style" w:hAnsi="Bookman Old Style"/>
                <w:b/>
                <w:iCs/>
                <w:color w:val="000000" w:themeColor="text1"/>
                <w:kern w:val="24"/>
              </w:rPr>
              <w:t>:</w:t>
            </w:r>
          </w:p>
        </w:tc>
        <w:tc>
          <w:tcPr>
            <w:tcW w:w="7796" w:type="dxa"/>
            <w:vAlign w:val="center"/>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Cada una de </w:t>
            </w:r>
            <w:r w:rsidRPr="00F340A2">
              <w:rPr>
                <w:rFonts w:ascii="Bookman Old Style" w:hAnsi="Bookman Old Style" w:cs="Arial"/>
              </w:rPr>
              <w:t>las actividades por redes y la actividad de generación de energía eléctrica en ZNI, que son reguladas por la CREG</w:t>
            </w:r>
            <w:r w:rsidRPr="00F340A2">
              <w:rPr>
                <w:rFonts w:ascii="Bookman Old Style" w:hAnsi="Bookman Old Style" w:cs="Arial"/>
                <w:iCs/>
                <w:color w:val="000000" w:themeColor="text1"/>
                <w:kern w:val="24"/>
              </w:rPr>
              <w:t>.</w:t>
            </w:r>
          </w:p>
          <w:p w:rsidR="000776BE" w:rsidRPr="00F340A2" w:rsidRDefault="000776BE" w:rsidP="00F67EAC">
            <w:pPr>
              <w:ind w:left="0"/>
              <w:jc w:val="both"/>
              <w:rPr>
                <w:rFonts w:ascii="Bookman Old Style" w:hAnsi="Bookman Old Style" w:cs="Arial"/>
                <w:iCs/>
                <w:color w:val="000000" w:themeColor="text1"/>
                <w:kern w:val="24"/>
              </w:rPr>
            </w:pPr>
          </w:p>
        </w:tc>
      </w:tr>
      <w:tr w:rsidR="000776BE" w:rsidRPr="00F340A2" w:rsidTr="00F67EAC">
        <w:tc>
          <w:tcPr>
            <w:tcW w:w="1384" w:type="dxa"/>
          </w:tcPr>
          <w:p w:rsidR="000776BE" w:rsidRPr="00F340A2" w:rsidRDefault="000776BE" w:rsidP="00F67EAC">
            <w:pPr>
              <w:ind w:left="0"/>
              <w:rPr>
                <w:rFonts w:ascii="Bookman Old Style" w:hAnsi="Bookman Old Style"/>
                <w:b/>
                <w:iCs/>
                <w:color w:val="000000" w:themeColor="text1"/>
                <w:kern w:val="24"/>
              </w:rPr>
            </w:pPr>
            <m:oMathPara>
              <m:oMathParaPr>
                <m:jc m:val="left"/>
              </m:oMathParaPr>
              <m:oMath>
                <m:r>
                  <m:rPr>
                    <m:sty m:val="b"/>
                  </m:rPr>
                  <w:rPr>
                    <w:rFonts w:ascii="Cambria Math" w:hAnsi="Cambria Math"/>
                  </w:rPr>
                  <m:t>t</m:t>
                </m:r>
              </m:oMath>
            </m:oMathPara>
          </w:p>
        </w:tc>
        <w:tc>
          <w:tcPr>
            <w:tcW w:w="284" w:type="dxa"/>
          </w:tcPr>
          <w:p w:rsidR="000776BE" w:rsidRPr="00F340A2" w:rsidRDefault="000776BE" w:rsidP="00F67EAC">
            <w:pPr>
              <w:ind w:left="0"/>
              <w:jc w:val="both"/>
              <w:rPr>
                <w:rFonts w:ascii="Bookman Old Style" w:hAnsi="Bookman Old Style"/>
                <w:b/>
                <w:iCs/>
                <w:color w:val="000000" w:themeColor="text1"/>
                <w:kern w:val="24"/>
              </w:rPr>
            </w:pPr>
            <w:r w:rsidRPr="00F340A2">
              <w:rPr>
                <w:rFonts w:ascii="Bookman Old Style" w:hAnsi="Bookman Old Style"/>
                <w:b/>
                <w:iCs/>
                <w:color w:val="000000" w:themeColor="text1"/>
                <w:kern w:val="24"/>
              </w:rPr>
              <w:t>:</w:t>
            </w:r>
          </w:p>
        </w:tc>
        <w:tc>
          <w:tcPr>
            <w:tcW w:w="7796" w:type="dxa"/>
            <w:vAlign w:val="center"/>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Último día del mes anterior a la fecha de cálculo.</w:t>
            </w:r>
          </w:p>
          <w:p w:rsidR="000776BE" w:rsidRPr="00F340A2" w:rsidRDefault="000776BE" w:rsidP="00F67EAC">
            <w:pPr>
              <w:ind w:left="0"/>
              <w:jc w:val="both"/>
              <w:rPr>
                <w:rFonts w:ascii="Bookman Old Style" w:hAnsi="Bookman Old Style" w:cs="Arial"/>
                <w:iCs/>
                <w:color w:val="000000" w:themeColor="text1"/>
                <w:kern w:val="24"/>
              </w:rPr>
            </w:pPr>
          </w:p>
        </w:tc>
      </w:tr>
    </w:tbl>
    <w:p w:rsidR="000776BE" w:rsidRPr="00F340A2" w:rsidRDefault="000776BE" w:rsidP="000776BE">
      <w:pPr>
        <w:ind w:left="0"/>
        <w:contextualSpacing/>
        <w:jc w:val="both"/>
        <w:rPr>
          <w:rFonts w:ascii="Bookman Old Style" w:hAnsi="Bookman Old Style" w:cs="Arial"/>
        </w:rPr>
      </w:pPr>
    </w:p>
    <w:p w:rsidR="000776BE" w:rsidRPr="00F340A2" w:rsidRDefault="000776BE" w:rsidP="000776BE">
      <w:pPr>
        <w:ind w:left="0"/>
        <w:contextualSpacing/>
        <w:jc w:val="both"/>
        <w:rPr>
          <w:rFonts w:ascii="Bookman Old Style" w:hAnsi="Bookman Old Style" w:cs="Arial"/>
        </w:rPr>
      </w:pPr>
      <w:r w:rsidRPr="00F340A2">
        <w:rPr>
          <w:rFonts w:ascii="Bookman Old Style" w:hAnsi="Bookman Old Style" w:cs="Arial"/>
          <w:b/>
        </w:rPr>
        <w:t>Parágrafo 1.</w:t>
      </w:r>
      <w:r w:rsidRPr="00F340A2">
        <w:rPr>
          <w:rFonts w:ascii="Bookman Old Style" w:hAnsi="Bookman Old Style" w:cs="Arial"/>
        </w:rPr>
        <w:t xml:space="preserve"> El costo promedio ponderado de capital en pesos corrientes y antes de impuestos para la actividad a, en el momento t, está dado por la siguiente expresión:</w:t>
      </w:r>
    </w:p>
    <w:p w:rsidR="000776BE" w:rsidRPr="00F340A2" w:rsidRDefault="000776BE" w:rsidP="000776BE">
      <w:pPr>
        <w:ind w:left="0"/>
        <w:contextualSpacing/>
        <w:jc w:val="both"/>
        <w:rPr>
          <w:rFonts w:ascii="Bookman Old Style" w:hAnsi="Bookman Old Style" w:cs="Arial"/>
        </w:rPr>
      </w:pPr>
    </w:p>
    <w:p w:rsidR="000776BE" w:rsidRPr="00F340A2" w:rsidRDefault="00EC20D9" w:rsidP="000776BE">
      <w:pPr>
        <w:ind w:left="0"/>
        <w:contextualSpacing/>
        <w:jc w:val="both"/>
        <w:rPr>
          <w:rFonts w:ascii="Bookman Old Style" w:hAnsi="Bookman Old Style" w:cs="Arial"/>
        </w:rPr>
      </w:pPr>
      <m:oMathPara>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WACC</m:t>
              </m:r>
            </m:e>
            <m:sub>
              <m:r>
                <m:rPr>
                  <m:sty m:val="p"/>
                </m:rPr>
                <w:rPr>
                  <w:rFonts w:ascii="Cambria Math" w:hAnsi="Cambria Math" w:cs="Arial"/>
                  <w:color w:val="000000" w:themeColor="text1"/>
                  <w:kern w:val="24"/>
                </w:rPr>
                <m:t>cop,a,t</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m:t>
              </m:r>
            </m:e>
            <m:sub>
              <m:r>
                <m:rPr>
                  <m:sty m:val="p"/>
                </m:rPr>
                <w:rPr>
                  <w:rFonts w:ascii="Cambria Math" w:eastAsia="Cambria Math" w:hAnsi="Cambria Math" w:cs="Arial"/>
                  <w:color w:val="000000" w:themeColor="text1"/>
                  <w:kern w:val="24"/>
                </w:rPr>
                <m:t>d</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m:t>
              </m:r>
            </m:e>
            <m:sub>
              <m:r>
                <m:rPr>
                  <m:sty m:val="p"/>
                </m:rPr>
                <w:rPr>
                  <w:rFonts w:ascii="Cambria Math" w:eastAsia="Cambria Math" w:hAnsi="Cambria Math" w:cs="Arial"/>
                  <w:color w:val="000000" w:themeColor="text1"/>
                  <w:kern w:val="24"/>
                </w:rPr>
                <m:t>cop,t</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m:t>
                  </m:r>
                </m:e>
                <m:sub>
                  <m:r>
                    <m:rPr>
                      <m:sty m:val="p"/>
                    </m:rPr>
                    <w:rPr>
                      <w:rFonts w:ascii="Cambria Math" w:eastAsia="Cambria Math" w:hAnsi="Cambria Math" w:cs="Arial"/>
                      <w:color w:val="000000" w:themeColor="text1"/>
                      <w:kern w:val="24"/>
                    </w:rPr>
                    <m:t>e</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m:t>
                  </m:r>
                </m:e>
                <m:sub>
                  <m:r>
                    <m:rPr>
                      <m:sty m:val="p"/>
                    </m:rPr>
                    <w:rPr>
                      <w:rFonts w:ascii="Cambria Math" w:eastAsia="Cambria Math" w:hAnsi="Cambria Math" w:cs="Arial"/>
                      <w:color w:val="000000" w:themeColor="text1"/>
                      <w:kern w:val="24"/>
                    </w:rPr>
                    <m:t>cop,a,t</m:t>
                  </m:r>
                </m:sub>
              </m:sSub>
            </m:num>
            <m:den>
              <m:d>
                <m:dPr>
                  <m:ctrlPr>
                    <w:rPr>
                      <w:rFonts w:ascii="Cambria Math" w:eastAsia="Cambria Math" w:hAnsi="Cambria Math" w:cs="Arial"/>
                      <w:iCs/>
                      <w:color w:val="000000" w:themeColor="text1"/>
                      <w:kern w:val="24"/>
                    </w:rPr>
                  </m:ctrlPr>
                </m:dPr>
                <m:e>
                  <m:r>
                    <m:rPr>
                      <m:sty m:val="p"/>
                    </m:rPr>
                    <w:rPr>
                      <w:rFonts w:ascii="Cambria Math" w:eastAsia="Cambria Math" w:hAnsi="Cambria Math" w:cs="Arial"/>
                      <w:color w:val="000000" w:themeColor="text1"/>
                      <w:kern w:val="24"/>
                    </w:rPr>
                    <m:t>1-Tx</m:t>
                  </m:r>
                </m:e>
              </m:d>
            </m:den>
          </m:f>
        </m:oMath>
      </m:oMathPara>
    </w:p>
    <w:p w:rsidR="004309BE" w:rsidRDefault="004309BE" w:rsidP="000776BE">
      <w:pPr>
        <w:ind w:left="0"/>
        <w:contextualSpacing/>
        <w:jc w:val="both"/>
        <w:rPr>
          <w:rFonts w:ascii="Bookman Old Style" w:hAnsi="Bookman Old Style" w:cs="Arial"/>
        </w:rPr>
      </w:pPr>
    </w:p>
    <w:p w:rsidR="000776BE" w:rsidRPr="00F340A2" w:rsidRDefault="000776BE" w:rsidP="000776BE">
      <w:pPr>
        <w:ind w:left="0"/>
        <w:contextualSpacing/>
        <w:jc w:val="both"/>
        <w:rPr>
          <w:rFonts w:ascii="Bookman Old Style" w:hAnsi="Bookman Old Style" w:cs="Arial"/>
        </w:rPr>
      </w:pPr>
      <w:r w:rsidRPr="00F340A2">
        <w:rPr>
          <w:rFonts w:ascii="Bookman Old Style" w:hAnsi="Bookman Old Style" w:cs="Arial"/>
        </w:rPr>
        <w:t xml:space="preserve">Donde, </w:t>
      </w:r>
    </w:p>
    <w:p w:rsidR="000776BE" w:rsidRPr="00F340A2" w:rsidRDefault="000776BE" w:rsidP="000776BE">
      <w:pPr>
        <w:ind w:left="0"/>
        <w:contextualSpacing/>
        <w:jc w:val="both"/>
        <w:rPr>
          <w:rFonts w:ascii="Bookman Old Style" w:hAnsi="Bookman Old Style" w:cs="Aria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298"/>
        <w:gridCol w:w="8065"/>
      </w:tblGrid>
      <w:tr w:rsidR="000776BE" w:rsidRPr="00F340A2" w:rsidTr="00F67EAC">
        <w:tc>
          <w:tcPr>
            <w:tcW w:w="1101"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W</m:t>
                    </m:r>
                  </m:e>
                  <m:sub>
                    <m:r>
                      <m:rPr>
                        <m:sty m:val="b"/>
                      </m:rPr>
                      <w:rPr>
                        <w:rFonts w:ascii="Cambria Math" w:eastAsia="Cambria Math" w:hAnsi="Cambria Math" w:cstheme="minorBidi"/>
                        <w:color w:val="000000" w:themeColor="text1"/>
                        <w:kern w:val="24"/>
                      </w:rPr>
                      <m:t>d</m:t>
                    </m:r>
                  </m:sub>
                </m:sSub>
              </m:oMath>
            </m:oMathPara>
          </w:p>
        </w:tc>
        <w:tc>
          <w:tcPr>
            <w:tcW w:w="298"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65"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Ponderador para el costo de la deuda. El valor a aplicar para efectos de cálculo es 40%.</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101"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W</m:t>
                    </m:r>
                  </m:e>
                  <m:sub>
                    <m:r>
                      <m:rPr>
                        <m:sty m:val="b"/>
                      </m:rPr>
                      <w:rPr>
                        <w:rFonts w:ascii="Cambria Math" w:eastAsia="Cambria Math" w:hAnsi="Cambria Math" w:cstheme="minorBidi"/>
                        <w:color w:val="000000" w:themeColor="text1"/>
                        <w:kern w:val="24"/>
                      </w:rPr>
                      <m:t>e</m:t>
                    </m:r>
                  </m:sub>
                </m:sSub>
              </m:oMath>
            </m:oMathPara>
          </w:p>
        </w:tc>
        <w:tc>
          <w:tcPr>
            <w:tcW w:w="298"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65" w:type="dxa"/>
            <w:vAlign w:val="center"/>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rPr>
              <w:t xml:space="preserve">Ponderador para el costo del capital propio. El valor a aplicar para efectos de cálculo es </w:t>
            </w:r>
            <m:oMath>
              <m:r>
                <m:rPr>
                  <m:sty m:val="p"/>
                </m:rPr>
                <w:rPr>
                  <w:rFonts w:ascii="Cambria Math" w:eastAsiaTheme="minorEastAsia" w:hAnsi="Cambria Math"/>
                  <w:color w:val="000000" w:themeColor="text1"/>
                  <w:kern w:val="24"/>
                </w:rPr>
                <m:t>1-</m:t>
              </m:r>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W</m:t>
                  </m:r>
                </m:e>
                <m:sub>
                  <m:r>
                    <m:rPr>
                      <m:sty m:val="p"/>
                    </m:rPr>
                    <w:rPr>
                      <w:rFonts w:ascii="Cambria Math" w:eastAsia="Cambria Math" w:hAnsi="Cambria Math" w:cstheme="minorBidi"/>
                      <w:color w:val="000000" w:themeColor="text1"/>
                      <w:kern w:val="24"/>
                    </w:rPr>
                    <m:t>d</m:t>
                  </m:r>
                </m:sub>
              </m:sSub>
              <m:r>
                <m:rPr>
                  <m:sty m:val="p"/>
                </m:rPr>
                <w:rPr>
                  <w:rFonts w:ascii="Cambria Math" w:eastAsia="Cambria Math" w:hAnsi="Cambria Math" w:cstheme="minorBidi"/>
                  <w:color w:val="000000" w:themeColor="text1"/>
                  <w:kern w:val="24"/>
                </w:rPr>
                <m:t>=60%</m:t>
              </m:r>
            </m:oMath>
            <w:r w:rsidRPr="00F340A2">
              <w:rPr>
                <w:rFonts w:ascii="Bookman Old Style" w:hAnsi="Bookman Old Style" w:cs="Arial"/>
                <w:iCs/>
                <w:color w:val="000000" w:themeColor="text1"/>
                <w:kern w:val="24"/>
              </w:rPr>
              <w:t>.</w:t>
            </w:r>
          </w:p>
          <w:p w:rsidR="0018073E" w:rsidRPr="00F340A2" w:rsidRDefault="0018073E" w:rsidP="00F67EAC">
            <w:pPr>
              <w:ind w:left="0"/>
              <w:jc w:val="both"/>
              <w:rPr>
                <w:rFonts w:ascii="Bookman Old Style" w:hAnsi="Bookman Old Style"/>
                <w:lang w:val="es-ES_tradnl"/>
              </w:rPr>
            </w:pPr>
          </w:p>
        </w:tc>
      </w:tr>
      <w:tr w:rsidR="000776BE" w:rsidRPr="00F340A2" w:rsidTr="00F67EAC">
        <w:tc>
          <w:tcPr>
            <w:tcW w:w="1101"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Kd</m:t>
                    </m:r>
                  </m:e>
                  <m:sub>
                    <m:r>
                      <m:rPr>
                        <m:sty m:val="b"/>
                      </m:rPr>
                      <w:rPr>
                        <w:rFonts w:ascii="Cambria Math" w:eastAsia="Cambria Math" w:hAnsi="Cambria Math" w:cs="Arial"/>
                        <w:color w:val="000000" w:themeColor="text1"/>
                        <w:kern w:val="24"/>
                      </w:rPr>
                      <m:t>cop,t</m:t>
                    </m:r>
                  </m:sub>
                </m:sSub>
              </m:oMath>
            </m:oMathPara>
          </w:p>
        </w:tc>
        <w:tc>
          <w:tcPr>
            <w:tcW w:w="298"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65"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Costo de la deuda en pesos en el </w:t>
            </w:r>
            <w:proofErr w:type="gramStart"/>
            <w:r w:rsidRPr="00F340A2">
              <w:rPr>
                <w:rFonts w:ascii="Bookman Old Style" w:hAnsi="Bookman Old Style" w:cs="Arial"/>
              </w:rPr>
              <w:t xml:space="preserve">momento </w:t>
            </w:r>
            <w:proofErr w:type="gramEnd"/>
            <m:oMath>
              <m:r>
                <m:rPr>
                  <m:sty m:val="p"/>
                </m:rPr>
                <w:rPr>
                  <w:rFonts w:ascii="Cambria Math" w:hAnsi="Cambria Math" w:cs="Arial"/>
                </w:rPr>
                <m:t>t</m:t>
              </m:r>
            </m:oMath>
            <w:r w:rsidRPr="00F340A2">
              <w:rPr>
                <w:rFonts w:ascii="Bookman Old Style" w:hAnsi="Bookman Old Style" w:cs="Arial"/>
              </w:rPr>
              <w:t xml:space="preserve">. Corresponde al promedio ponderado, por monto de </w:t>
            </w:r>
            <w:r>
              <w:rPr>
                <w:rFonts w:ascii="Bookman Old Style" w:hAnsi="Bookman Old Style" w:cs="Arial"/>
              </w:rPr>
              <w:t>colocación</w:t>
            </w:r>
            <w:r w:rsidRPr="00F340A2">
              <w:rPr>
                <w:rFonts w:ascii="Bookman Old Style" w:hAnsi="Bookman Old Style" w:cs="Arial"/>
              </w:rPr>
              <w:t>, de las tasas de colocación de créditos comerciales (preferencial o corporativo), a más de 1825 días, del total de establecimientos (no incluye las tasas de las entidades financieras especiales excepto el Fondo Nacional de Ahorro). La información para efectuar el cálculo es publicada por el Banco de la República con base en la información del formato 088 de la Superintendencia Financiera de Colombia.</w:t>
            </w:r>
          </w:p>
          <w:p w:rsidR="000776BE" w:rsidRPr="00C520CE" w:rsidRDefault="000776BE" w:rsidP="00F67EAC">
            <w:pPr>
              <w:ind w:left="0"/>
              <w:jc w:val="both"/>
              <w:rPr>
                <w:rFonts w:ascii="Bookman Old Style" w:hAnsi="Bookman Old Style"/>
                <w:sz w:val="22"/>
                <w:lang w:val="es-ES_tradnl"/>
              </w:rPr>
            </w:pPr>
          </w:p>
        </w:tc>
      </w:tr>
      <w:tr w:rsidR="000776BE" w:rsidRPr="00F340A2" w:rsidTr="00F67EAC">
        <w:tc>
          <w:tcPr>
            <w:tcW w:w="1101"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Ke</m:t>
                    </m:r>
                  </m:e>
                  <m:sub>
                    <m:r>
                      <m:rPr>
                        <m:sty m:val="b"/>
                      </m:rPr>
                      <w:rPr>
                        <w:rFonts w:ascii="Cambria Math" w:eastAsia="Cambria Math" w:hAnsi="Cambria Math" w:cs="Arial"/>
                        <w:color w:val="000000" w:themeColor="text1"/>
                        <w:kern w:val="24"/>
                      </w:rPr>
                      <m:t>cop,a,t</m:t>
                    </m:r>
                  </m:sub>
                </m:sSub>
              </m:oMath>
            </m:oMathPara>
          </w:p>
        </w:tc>
        <w:tc>
          <w:tcPr>
            <w:tcW w:w="298"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65"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Costo del capital propio en pesos, equivalente al costo del capital propio en dólares, para la </w:t>
            </w:r>
            <w:proofErr w:type="gramStart"/>
            <w:r w:rsidRPr="00F340A2">
              <w:rPr>
                <w:rFonts w:ascii="Bookman Old Style" w:hAnsi="Bookman Old Style" w:cs="Arial"/>
              </w:rPr>
              <w:t xml:space="preserve">actividad </w:t>
            </w:r>
            <w:proofErr w:type="gramEnd"/>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t</m:t>
              </m:r>
            </m:oMath>
            <w:r w:rsidRPr="00F340A2">
              <w:rPr>
                <w:rFonts w:ascii="Bookman Old Style" w:hAnsi="Bookman Old Style" w:cs="Arial"/>
              </w:rPr>
              <w:t>.</w:t>
            </w:r>
          </w:p>
          <w:p w:rsidR="000776BE" w:rsidRPr="00C520CE" w:rsidRDefault="000776BE" w:rsidP="00F67EAC">
            <w:pPr>
              <w:ind w:left="0"/>
              <w:jc w:val="both"/>
              <w:rPr>
                <w:rFonts w:ascii="Bookman Old Style" w:hAnsi="Bookman Old Style"/>
                <w:sz w:val="22"/>
                <w:lang w:val="es-ES_tradnl"/>
              </w:rPr>
            </w:pPr>
          </w:p>
        </w:tc>
      </w:tr>
      <w:tr w:rsidR="000776BE" w:rsidRPr="00F340A2" w:rsidTr="00F67EAC">
        <w:tc>
          <w:tcPr>
            <w:tcW w:w="1101" w:type="dxa"/>
          </w:tcPr>
          <w:p w:rsidR="000776BE" w:rsidRPr="00F340A2" w:rsidRDefault="000776BE" w:rsidP="00F67EAC">
            <w:pPr>
              <w:ind w:left="0"/>
              <w:rPr>
                <w:rFonts w:ascii="Bookman Old Style" w:hAnsi="Bookman Old Style"/>
                <w:b/>
                <w:lang w:val="es-ES_tradnl"/>
              </w:rPr>
            </w:pPr>
            <m:oMathPara>
              <m:oMathParaPr>
                <m:jc m:val="left"/>
              </m:oMathParaPr>
              <m:oMath>
                <m:r>
                  <m:rPr>
                    <m:sty m:val="b"/>
                  </m:rPr>
                  <w:rPr>
                    <w:rFonts w:ascii="Cambria Math" w:eastAsia="Cambria Math" w:hAnsi="Cambria Math" w:cs="Arial"/>
                    <w:color w:val="000000" w:themeColor="text1"/>
                    <w:kern w:val="24"/>
                  </w:rPr>
                  <m:t>Tx</m:t>
                </m:r>
              </m:oMath>
            </m:oMathPara>
          </w:p>
        </w:tc>
        <w:tc>
          <w:tcPr>
            <w:tcW w:w="298"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65" w:type="dxa"/>
            <w:vAlign w:val="center"/>
          </w:tcPr>
          <w:p w:rsidR="000776BE" w:rsidRDefault="000776BE" w:rsidP="00F67EAC">
            <w:pPr>
              <w:ind w:left="0"/>
              <w:jc w:val="both"/>
              <w:rPr>
                <w:rFonts w:ascii="Bookman Old Style" w:hAnsi="Bookman Old Style" w:cs="Arial"/>
              </w:rPr>
            </w:pPr>
            <w:r w:rsidRPr="00F340A2">
              <w:rPr>
                <w:rFonts w:ascii="Bookman Old Style" w:hAnsi="Bookman Old Style" w:cs="Arial"/>
              </w:rPr>
              <w:t xml:space="preserve">Corresponde a la suma </w:t>
            </w:r>
            <w:r w:rsidR="00065763" w:rsidRPr="00F340A2">
              <w:rPr>
                <w:rFonts w:ascii="Bookman Old Style" w:hAnsi="Bookman Old Style" w:cs="Arial"/>
              </w:rPr>
              <w:t>de:</w:t>
            </w:r>
            <w:r w:rsidR="00606DA8">
              <w:rPr>
                <w:rFonts w:ascii="Bookman Old Style" w:hAnsi="Bookman Old Style" w:cs="Arial"/>
              </w:rPr>
              <w:t xml:space="preserve"> </w:t>
            </w:r>
            <w:r w:rsidRPr="00F340A2">
              <w:rPr>
                <w:rFonts w:ascii="Bookman Old Style" w:hAnsi="Bookman Old Style" w:cs="Arial"/>
              </w:rPr>
              <w:t xml:space="preserve">i) </w:t>
            </w:r>
            <w:r w:rsidR="008E552F">
              <w:rPr>
                <w:rFonts w:ascii="Bookman Old Style" w:hAnsi="Bookman Old Style" w:cs="Arial"/>
              </w:rPr>
              <w:t>el valor correspondiente al</w:t>
            </w:r>
            <w:r w:rsidRPr="00F340A2">
              <w:rPr>
                <w:rFonts w:ascii="Bookman Old Style" w:hAnsi="Bookman Old Style" w:cs="Arial"/>
              </w:rPr>
              <w:t xml:space="preserve"> impuesto sobre la renta, ii) </w:t>
            </w:r>
            <w:r w:rsidR="008E552F">
              <w:rPr>
                <w:rFonts w:ascii="Bookman Old Style" w:hAnsi="Bookman Old Style" w:cs="Arial"/>
              </w:rPr>
              <w:t>el valor correspondiente a la</w:t>
            </w:r>
            <w:r w:rsidRPr="00F340A2">
              <w:rPr>
                <w:rFonts w:ascii="Bookman Old Style" w:hAnsi="Bookman Old Style" w:cs="Arial"/>
              </w:rPr>
              <w:t xml:space="preserve"> tasa del CREE y iii) </w:t>
            </w:r>
            <w:r w:rsidR="008E552F" w:rsidRPr="008E552F">
              <w:rPr>
                <w:rFonts w:ascii="Bookman Old Style" w:hAnsi="Bookman Old Style" w:cs="Arial"/>
              </w:rPr>
              <w:t>el valor correspondiente</w:t>
            </w:r>
            <w:r w:rsidR="00C30D70">
              <w:rPr>
                <w:rFonts w:ascii="Bookman Old Style" w:hAnsi="Bookman Old Style" w:cs="Arial"/>
              </w:rPr>
              <w:t xml:space="preserve"> a</w:t>
            </w:r>
            <w:r w:rsidR="008E552F" w:rsidRPr="008E552F">
              <w:rPr>
                <w:rFonts w:ascii="Bookman Old Style" w:hAnsi="Bookman Old Style" w:cs="Arial"/>
              </w:rPr>
              <w:t xml:space="preserve"> </w:t>
            </w:r>
            <w:r w:rsidR="000471D3">
              <w:rPr>
                <w:rFonts w:ascii="Bookman Old Style" w:hAnsi="Bookman Old Style" w:cs="Arial"/>
              </w:rPr>
              <w:t xml:space="preserve">la </w:t>
            </w:r>
            <w:r w:rsidRPr="00F340A2">
              <w:rPr>
                <w:rFonts w:ascii="Bookman Old Style" w:hAnsi="Bookman Old Style" w:cs="Arial"/>
              </w:rPr>
              <w:t xml:space="preserve">sobretasa </w:t>
            </w:r>
            <w:r w:rsidR="00C30D70">
              <w:rPr>
                <w:rFonts w:ascii="Bookman Old Style" w:hAnsi="Bookman Old Style" w:cs="Arial"/>
              </w:rPr>
              <w:t xml:space="preserve">del </w:t>
            </w:r>
            <w:r w:rsidR="000471D3">
              <w:rPr>
                <w:rFonts w:ascii="Bookman Old Style" w:hAnsi="Bookman Old Style" w:cs="Arial"/>
              </w:rPr>
              <w:t xml:space="preserve">CREE </w:t>
            </w:r>
            <w:r w:rsidR="00C30D70">
              <w:rPr>
                <w:rFonts w:ascii="Bookman Old Style" w:hAnsi="Bookman Old Style" w:cs="Arial"/>
              </w:rPr>
              <w:t xml:space="preserve">de acuerdo con los elementos </w:t>
            </w:r>
            <w:r w:rsidR="000471D3">
              <w:rPr>
                <w:rFonts w:ascii="Bookman Old Style" w:hAnsi="Bookman Old Style" w:cs="Arial"/>
              </w:rPr>
              <w:t>que</w:t>
            </w:r>
            <w:r w:rsidR="00C30D70">
              <w:rPr>
                <w:rFonts w:ascii="Bookman Old Style" w:hAnsi="Bookman Old Style" w:cs="Arial"/>
              </w:rPr>
              <w:t xml:space="preserve"> de dicho tributo establece la</w:t>
            </w:r>
            <w:r w:rsidR="000471D3">
              <w:rPr>
                <w:rFonts w:ascii="Bookman Old Style" w:hAnsi="Bookman Old Style" w:cs="Arial"/>
              </w:rPr>
              <w:t xml:space="preserve"> </w:t>
            </w:r>
            <w:r w:rsidR="00C30D70" w:rsidRPr="00C30D70">
              <w:rPr>
                <w:rFonts w:ascii="Bookman Old Style" w:hAnsi="Bookman Old Style" w:cs="Arial"/>
              </w:rPr>
              <w:t>Ley 1739 de 2014</w:t>
            </w:r>
            <w:r w:rsidR="00F873D4">
              <w:rPr>
                <w:rFonts w:ascii="Bookman Old Style" w:hAnsi="Bookman Old Style" w:cs="Arial"/>
              </w:rPr>
              <w:t xml:space="preserve"> y sus decretos reglamentarios</w:t>
            </w:r>
            <w:r w:rsidRPr="00F340A2">
              <w:rPr>
                <w:rFonts w:ascii="Bookman Old Style" w:hAnsi="Bookman Old Style" w:cs="Arial"/>
              </w:rPr>
              <w:t xml:space="preserve">, que se encuentren vigentes en Colombia </w:t>
            </w:r>
            <w:r w:rsidR="009A0310">
              <w:rPr>
                <w:rFonts w:ascii="Bookman Old Style" w:hAnsi="Bookman Old Style" w:cs="Arial"/>
              </w:rPr>
              <w:t xml:space="preserve">para </w:t>
            </w:r>
            <w:r w:rsidR="004E2397">
              <w:rPr>
                <w:rFonts w:ascii="Bookman Old Style" w:hAnsi="Bookman Old Style" w:cs="Arial"/>
                <w:color w:val="000000" w:themeColor="text1"/>
                <w:kern w:val="24"/>
              </w:rPr>
              <w:t>la fecha de cálculo</w:t>
            </w:r>
            <w:r w:rsidR="004B4069">
              <w:rPr>
                <w:rFonts w:ascii="Bookman Old Style" w:hAnsi="Bookman Old Style" w:cs="Arial"/>
                <w:color w:val="000000" w:themeColor="text1"/>
                <w:kern w:val="24"/>
              </w:rPr>
              <w:t>.</w:t>
            </w:r>
            <w:r w:rsidR="009A0310">
              <w:rPr>
                <w:rFonts w:ascii="Bookman Old Style" w:hAnsi="Bookman Old Style" w:cs="Arial"/>
                <w:color w:val="000000" w:themeColor="text1"/>
                <w:kern w:val="24"/>
              </w:rPr>
              <w:t xml:space="preserve"> </w:t>
            </w:r>
            <w:r w:rsidR="004B4069">
              <w:rPr>
                <w:rFonts w:ascii="Bookman Old Style" w:hAnsi="Bookman Old Style" w:cs="Arial"/>
                <w:color w:val="000000" w:themeColor="text1"/>
                <w:kern w:val="24"/>
              </w:rPr>
              <w:t xml:space="preserve">Para cada año del periodo tarifario </w:t>
            </w:r>
            <w:r w:rsidR="00772C28">
              <w:rPr>
                <w:rFonts w:ascii="Bookman Old Style" w:hAnsi="Bookman Old Style" w:cs="Arial"/>
              </w:rPr>
              <w:t>la tasa</w:t>
            </w:r>
            <w:r w:rsidR="00772C28" w:rsidRPr="00F340A2">
              <w:rPr>
                <w:rFonts w:ascii="Bookman Old Style" w:hAnsi="Bookman Old Style" w:cs="Arial"/>
              </w:rPr>
              <w:t xml:space="preserve"> </w:t>
            </w:r>
            <m:oMath>
              <m:r>
                <m:rPr>
                  <m:sty m:val="p"/>
                </m:rPr>
                <w:rPr>
                  <w:rFonts w:ascii="Cambria Math" w:eastAsia="Cambria Math" w:hAnsi="Cambria Math" w:cs="Arial"/>
                  <w:color w:val="000000" w:themeColor="text1"/>
                  <w:kern w:val="24"/>
                </w:rPr>
                <m:t>Tx</m:t>
              </m:r>
            </m:oMath>
            <w:r w:rsidR="00772C28">
              <w:rPr>
                <w:rFonts w:ascii="Bookman Old Style" w:hAnsi="Bookman Old Style" w:cs="Arial"/>
                <w:color w:val="000000" w:themeColor="text1"/>
                <w:kern w:val="24"/>
              </w:rPr>
              <w:t xml:space="preserve"> aplicable </w:t>
            </w:r>
            <w:r w:rsidR="004B4069">
              <w:rPr>
                <w:rFonts w:ascii="Bookman Old Style" w:hAnsi="Bookman Old Style" w:cs="Arial"/>
                <w:color w:val="000000" w:themeColor="text1"/>
                <w:kern w:val="24"/>
              </w:rPr>
              <w:t xml:space="preserve">corresponderá al valor </w:t>
            </w:r>
            <w:r>
              <w:rPr>
                <w:rFonts w:ascii="Bookman Old Style" w:hAnsi="Bookman Old Style" w:cs="Arial"/>
              </w:rPr>
              <w:t>defin</w:t>
            </w:r>
            <w:r w:rsidR="00772C28">
              <w:rPr>
                <w:rFonts w:ascii="Bookman Old Style" w:hAnsi="Bookman Old Style" w:cs="Arial"/>
              </w:rPr>
              <w:t>id</w:t>
            </w:r>
            <w:r w:rsidR="00606DA8">
              <w:rPr>
                <w:rFonts w:ascii="Bookman Old Style" w:hAnsi="Bookman Old Style" w:cs="Arial"/>
              </w:rPr>
              <w:t>o</w:t>
            </w:r>
            <w:r w:rsidR="00772C28">
              <w:rPr>
                <w:rFonts w:ascii="Bookman Old Style" w:hAnsi="Bookman Old Style" w:cs="Arial"/>
              </w:rPr>
              <w:t xml:space="preserve"> </w:t>
            </w:r>
            <w:r>
              <w:rPr>
                <w:rFonts w:ascii="Bookman Old Style" w:hAnsi="Bookman Old Style" w:cs="Arial"/>
              </w:rPr>
              <w:t xml:space="preserve">en la tabla </w:t>
            </w:r>
            <w:r w:rsidR="00606DA8">
              <w:rPr>
                <w:rFonts w:ascii="Bookman Old Style" w:hAnsi="Bookman Old Style" w:cs="Arial"/>
              </w:rPr>
              <w:t>que a continuación se presenta</w:t>
            </w:r>
            <w:r w:rsidR="00C32833">
              <w:rPr>
                <w:rFonts w:ascii="Bookman Old Style" w:hAnsi="Bookman Old Style" w:cs="Arial"/>
              </w:rPr>
              <w:t xml:space="preserve">, </w:t>
            </w:r>
            <w:r w:rsidR="00065763">
              <w:rPr>
                <w:rFonts w:ascii="Bookman Old Style" w:hAnsi="Bookman Old Style" w:cs="Arial"/>
              </w:rPr>
              <w:t xml:space="preserve">conforme </w:t>
            </w:r>
            <w:r w:rsidR="00F67EAC">
              <w:rPr>
                <w:rFonts w:ascii="Bookman Old Style" w:hAnsi="Bookman Old Style" w:cs="Arial"/>
              </w:rPr>
              <w:t xml:space="preserve">con lo previsto en </w:t>
            </w:r>
            <w:r w:rsidR="00065763">
              <w:rPr>
                <w:rFonts w:ascii="Bookman Old Style" w:hAnsi="Bookman Old Style" w:cs="Arial"/>
              </w:rPr>
              <w:t>la normatividad vigente</w:t>
            </w:r>
            <w:r w:rsidRPr="00F67EAC">
              <w:rPr>
                <w:rFonts w:ascii="Bookman Old Style" w:hAnsi="Bookman Old Style" w:cs="Arial"/>
              </w:rPr>
              <w:t xml:space="preserve">: </w:t>
            </w:r>
          </w:p>
          <w:p w:rsidR="00AF35EA" w:rsidRPr="00E3389B" w:rsidRDefault="00AF35EA" w:rsidP="00F67EAC">
            <w:pPr>
              <w:ind w:left="0"/>
              <w:jc w:val="both"/>
              <w:rPr>
                <w:rFonts w:ascii="Bookman Old Style" w:hAnsi="Bookman Old Style" w:cs="Arial"/>
              </w:rPr>
            </w:pPr>
          </w:p>
          <w:tbl>
            <w:tblPr>
              <w:tblStyle w:val="Tablaconcuadrcula"/>
              <w:tblW w:w="0" w:type="auto"/>
              <w:jc w:val="center"/>
              <w:tblLook w:val="04A0" w:firstRow="1" w:lastRow="0" w:firstColumn="1" w:lastColumn="0" w:noHBand="0" w:noVBand="1"/>
            </w:tblPr>
            <w:tblGrid>
              <w:gridCol w:w="2282"/>
              <w:gridCol w:w="1625"/>
            </w:tblGrid>
            <w:tr w:rsidR="000776BE" w:rsidTr="00F67EAC">
              <w:trPr>
                <w:jc w:val="center"/>
              </w:trPr>
              <w:tc>
                <w:tcPr>
                  <w:tcW w:w="2282" w:type="dxa"/>
                </w:tcPr>
                <w:p w:rsidR="000776BE" w:rsidRPr="00EE459C" w:rsidRDefault="000776BE" w:rsidP="00F67EAC">
                  <w:pPr>
                    <w:ind w:left="0"/>
                    <w:jc w:val="center"/>
                    <w:rPr>
                      <w:rFonts w:ascii="Bookman Old Style" w:hAnsi="Bookman Old Style" w:cs="Arial"/>
                      <w:b/>
                    </w:rPr>
                  </w:pPr>
                  <w:r w:rsidRPr="00EE459C">
                    <w:rPr>
                      <w:rFonts w:ascii="Bookman Old Style" w:hAnsi="Bookman Old Style" w:cs="Arial"/>
                      <w:b/>
                    </w:rPr>
                    <w:t>Año</w:t>
                  </w:r>
                </w:p>
              </w:tc>
              <w:tc>
                <w:tcPr>
                  <w:tcW w:w="1625" w:type="dxa"/>
                </w:tcPr>
                <w:p w:rsidR="000776BE" w:rsidRDefault="000776BE" w:rsidP="00F67EAC">
                  <w:pPr>
                    <w:ind w:left="0"/>
                    <w:jc w:val="center"/>
                    <w:rPr>
                      <w:rFonts w:ascii="Bookman Old Style" w:hAnsi="Bookman Old Style" w:cs="Arial"/>
                    </w:rPr>
                  </w:pPr>
                  <m:oMathPara>
                    <m:oMath>
                      <m:r>
                        <m:rPr>
                          <m:sty m:val="b"/>
                        </m:rPr>
                        <w:rPr>
                          <w:rFonts w:ascii="Cambria Math" w:eastAsia="Cambria Math" w:hAnsi="Cambria Math" w:cs="Arial"/>
                          <w:color w:val="000000" w:themeColor="text1"/>
                          <w:kern w:val="24"/>
                        </w:rPr>
                        <m:t>Tx</m:t>
                      </m:r>
                    </m:oMath>
                  </m:oMathPara>
                </w:p>
              </w:tc>
            </w:tr>
            <w:tr w:rsidR="000776BE" w:rsidTr="00F67EAC">
              <w:trPr>
                <w:jc w:val="center"/>
              </w:trPr>
              <w:tc>
                <w:tcPr>
                  <w:tcW w:w="2282" w:type="dxa"/>
                </w:tcPr>
                <w:p w:rsidR="000776BE" w:rsidRDefault="000776BE" w:rsidP="00F67EAC">
                  <w:pPr>
                    <w:ind w:left="0"/>
                    <w:jc w:val="both"/>
                    <w:rPr>
                      <w:rFonts w:ascii="Bookman Old Style" w:hAnsi="Bookman Old Style" w:cs="Arial"/>
                    </w:rPr>
                  </w:pPr>
                  <w:r>
                    <w:rPr>
                      <w:rFonts w:ascii="Bookman Old Style" w:hAnsi="Bookman Old Style" w:cs="Arial"/>
                    </w:rPr>
                    <w:t>2015</w:t>
                  </w:r>
                </w:p>
              </w:tc>
              <w:tc>
                <w:tcPr>
                  <w:tcW w:w="1625" w:type="dxa"/>
                </w:tcPr>
                <w:p w:rsidR="000776BE" w:rsidRDefault="000776BE" w:rsidP="00F67EAC">
                  <w:pPr>
                    <w:ind w:left="0"/>
                    <w:jc w:val="center"/>
                    <w:rPr>
                      <w:rFonts w:ascii="Bookman Old Style" w:hAnsi="Bookman Old Style" w:cs="Arial"/>
                    </w:rPr>
                  </w:pPr>
                  <w:r>
                    <w:rPr>
                      <w:rFonts w:ascii="Bookman Old Style" w:hAnsi="Bookman Old Style" w:cs="Arial"/>
                    </w:rPr>
                    <w:t>39%</w:t>
                  </w:r>
                </w:p>
              </w:tc>
            </w:tr>
            <w:tr w:rsidR="000776BE" w:rsidTr="00F67EAC">
              <w:trPr>
                <w:jc w:val="center"/>
              </w:trPr>
              <w:tc>
                <w:tcPr>
                  <w:tcW w:w="2282" w:type="dxa"/>
                </w:tcPr>
                <w:p w:rsidR="000776BE" w:rsidRDefault="000776BE" w:rsidP="00F67EAC">
                  <w:pPr>
                    <w:ind w:left="0"/>
                    <w:jc w:val="both"/>
                    <w:rPr>
                      <w:rFonts w:ascii="Bookman Old Style" w:hAnsi="Bookman Old Style" w:cs="Arial"/>
                    </w:rPr>
                  </w:pPr>
                  <w:r>
                    <w:rPr>
                      <w:rFonts w:ascii="Bookman Old Style" w:hAnsi="Bookman Old Style" w:cs="Arial"/>
                    </w:rPr>
                    <w:t>2016</w:t>
                  </w:r>
                </w:p>
              </w:tc>
              <w:tc>
                <w:tcPr>
                  <w:tcW w:w="1625" w:type="dxa"/>
                </w:tcPr>
                <w:p w:rsidR="000776BE" w:rsidRDefault="000776BE" w:rsidP="00F67EAC">
                  <w:pPr>
                    <w:ind w:left="0"/>
                    <w:jc w:val="center"/>
                    <w:rPr>
                      <w:rFonts w:ascii="Bookman Old Style" w:hAnsi="Bookman Old Style" w:cs="Arial"/>
                    </w:rPr>
                  </w:pPr>
                  <w:r>
                    <w:rPr>
                      <w:rFonts w:ascii="Bookman Old Style" w:hAnsi="Bookman Old Style" w:cs="Arial"/>
                    </w:rPr>
                    <w:t>40%</w:t>
                  </w:r>
                </w:p>
              </w:tc>
            </w:tr>
            <w:tr w:rsidR="000776BE" w:rsidTr="00F67EAC">
              <w:trPr>
                <w:jc w:val="center"/>
              </w:trPr>
              <w:tc>
                <w:tcPr>
                  <w:tcW w:w="2282" w:type="dxa"/>
                </w:tcPr>
                <w:p w:rsidR="000776BE" w:rsidRDefault="000776BE" w:rsidP="00F67EAC">
                  <w:pPr>
                    <w:ind w:left="0"/>
                    <w:jc w:val="both"/>
                    <w:rPr>
                      <w:rFonts w:ascii="Bookman Old Style" w:hAnsi="Bookman Old Style" w:cs="Arial"/>
                    </w:rPr>
                  </w:pPr>
                  <w:r>
                    <w:rPr>
                      <w:rFonts w:ascii="Bookman Old Style" w:hAnsi="Bookman Old Style" w:cs="Arial"/>
                    </w:rPr>
                    <w:t>2017</w:t>
                  </w:r>
                </w:p>
              </w:tc>
              <w:tc>
                <w:tcPr>
                  <w:tcW w:w="1625" w:type="dxa"/>
                </w:tcPr>
                <w:p w:rsidR="000776BE" w:rsidRDefault="000776BE" w:rsidP="00F67EAC">
                  <w:pPr>
                    <w:ind w:left="0"/>
                    <w:jc w:val="center"/>
                    <w:rPr>
                      <w:rFonts w:ascii="Bookman Old Style" w:hAnsi="Bookman Old Style" w:cs="Arial"/>
                    </w:rPr>
                  </w:pPr>
                  <w:r>
                    <w:rPr>
                      <w:rFonts w:ascii="Bookman Old Style" w:hAnsi="Bookman Old Style" w:cs="Arial"/>
                    </w:rPr>
                    <w:t>42%</w:t>
                  </w:r>
                </w:p>
              </w:tc>
            </w:tr>
            <w:tr w:rsidR="000776BE" w:rsidTr="00F67EAC">
              <w:trPr>
                <w:jc w:val="center"/>
              </w:trPr>
              <w:tc>
                <w:tcPr>
                  <w:tcW w:w="2282" w:type="dxa"/>
                </w:tcPr>
                <w:p w:rsidR="000776BE" w:rsidRDefault="000776BE" w:rsidP="00F67EAC">
                  <w:pPr>
                    <w:ind w:left="0"/>
                    <w:jc w:val="both"/>
                    <w:rPr>
                      <w:rFonts w:ascii="Bookman Old Style" w:hAnsi="Bookman Old Style" w:cs="Arial"/>
                    </w:rPr>
                  </w:pPr>
                  <w:r>
                    <w:rPr>
                      <w:rFonts w:ascii="Bookman Old Style" w:hAnsi="Bookman Old Style" w:cs="Arial"/>
                    </w:rPr>
                    <w:t>2018</w:t>
                  </w:r>
                </w:p>
              </w:tc>
              <w:tc>
                <w:tcPr>
                  <w:tcW w:w="1625" w:type="dxa"/>
                </w:tcPr>
                <w:p w:rsidR="000776BE" w:rsidRDefault="000776BE" w:rsidP="00F67EAC">
                  <w:pPr>
                    <w:ind w:left="0"/>
                    <w:jc w:val="center"/>
                    <w:rPr>
                      <w:rFonts w:ascii="Bookman Old Style" w:hAnsi="Bookman Old Style" w:cs="Arial"/>
                    </w:rPr>
                  </w:pPr>
                  <w:r>
                    <w:rPr>
                      <w:rFonts w:ascii="Bookman Old Style" w:hAnsi="Bookman Old Style" w:cs="Arial"/>
                    </w:rPr>
                    <w:t>43%</w:t>
                  </w:r>
                </w:p>
              </w:tc>
            </w:tr>
            <w:tr w:rsidR="000776BE" w:rsidTr="00F67EAC">
              <w:trPr>
                <w:jc w:val="center"/>
              </w:trPr>
              <w:tc>
                <w:tcPr>
                  <w:tcW w:w="2282" w:type="dxa"/>
                </w:tcPr>
                <w:p w:rsidR="000776BE" w:rsidRDefault="000776BE" w:rsidP="00F67EAC">
                  <w:pPr>
                    <w:ind w:left="0"/>
                    <w:jc w:val="both"/>
                    <w:rPr>
                      <w:rFonts w:ascii="Bookman Old Style" w:hAnsi="Bookman Old Style" w:cs="Arial"/>
                    </w:rPr>
                  </w:pPr>
                  <w:r>
                    <w:rPr>
                      <w:rFonts w:ascii="Bookman Old Style" w:hAnsi="Bookman Old Style" w:cs="Arial"/>
                    </w:rPr>
                    <w:t>2019 en adelante</w:t>
                  </w:r>
                </w:p>
              </w:tc>
              <w:tc>
                <w:tcPr>
                  <w:tcW w:w="1625" w:type="dxa"/>
                </w:tcPr>
                <w:p w:rsidR="000776BE" w:rsidRDefault="000776BE" w:rsidP="00F67EAC">
                  <w:pPr>
                    <w:ind w:left="0"/>
                    <w:jc w:val="center"/>
                    <w:rPr>
                      <w:rFonts w:ascii="Bookman Old Style" w:hAnsi="Bookman Old Style" w:cs="Arial"/>
                    </w:rPr>
                  </w:pPr>
                  <w:r>
                    <w:rPr>
                      <w:rFonts w:ascii="Bookman Old Style" w:hAnsi="Bookman Old Style" w:cs="Arial"/>
                    </w:rPr>
                    <w:t>34%</w:t>
                  </w:r>
                </w:p>
              </w:tc>
            </w:tr>
          </w:tbl>
          <w:p w:rsidR="000776BE" w:rsidRPr="00F340A2" w:rsidRDefault="000776BE" w:rsidP="00F67EAC">
            <w:pPr>
              <w:ind w:left="0"/>
              <w:jc w:val="both"/>
              <w:rPr>
                <w:rFonts w:ascii="Bookman Old Style" w:hAnsi="Bookman Old Style"/>
                <w:lang w:val="es-ES_tradnl"/>
              </w:rPr>
            </w:pPr>
          </w:p>
        </w:tc>
      </w:tr>
    </w:tbl>
    <w:p w:rsidR="004B4069" w:rsidRPr="00C520CE" w:rsidRDefault="004B4069" w:rsidP="004B4069">
      <w:pPr>
        <w:tabs>
          <w:tab w:val="left" w:pos="2550"/>
        </w:tabs>
        <w:ind w:left="1416"/>
        <w:contextualSpacing/>
        <w:jc w:val="both"/>
        <w:rPr>
          <w:rFonts w:ascii="Bookman Old Style" w:hAnsi="Bookman Old Style" w:cs="Arial"/>
          <w:sz w:val="18"/>
        </w:rPr>
      </w:pPr>
    </w:p>
    <w:p w:rsidR="000776BE" w:rsidRDefault="004B4069" w:rsidP="004B4069">
      <w:pPr>
        <w:tabs>
          <w:tab w:val="left" w:pos="2550"/>
        </w:tabs>
        <w:ind w:left="1416"/>
        <w:contextualSpacing/>
        <w:jc w:val="both"/>
        <w:rPr>
          <w:rFonts w:ascii="Bookman Old Style" w:hAnsi="Bookman Old Style" w:cs="Arial"/>
        </w:rPr>
      </w:pPr>
      <w:r>
        <w:rPr>
          <w:rFonts w:ascii="Bookman Old Style" w:hAnsi="Bookman Old Style" w:cs="Arial"/>
        </w:rPr>
        <w:t xml:space="preserve">Este valor será ajustado de presentarse modificaciones en la normatividad contemplada para el cálculo.  </w:t>
      </w:r>
      <w:r>
        <w:rPr>
          <w:rFonts w:ascii="Bookman Old Style" w:hAnsi="Bookman Old Style" w:cs="Arial"/>
        </w:rPr>
        <w:tab/>
      </w:r>
    </w:p>
    <w:p w:rsidR="004B4069" w:rsidRPr="00C520CE" w:rsidRDefault="004B4069" w:rsidP="004B4069">
      <w:pPr>
        <w:tabs>
          <w:tab w:val="left" w:pos="2550"/>
        </w:tabs>
        <w:ind w:left="0"/>
        <w:contextualSpacing/>
        <w:jc w:val="both"/>
        <w:rPr>
          <w:rFonts w:ascii="Bookman Old Style" w:hAnsi="Bookman Old Style" w:cs="Arial"/>
          <w:sz w:val="22"/>
        </w:rPr>
      </w:pPr>
    </w:p>
    <w:p w:rsidR="000776BE" w:rsidRDefault="000776BE" w:rsidP="000776BE">
      <w:pPr>
        <w:ind w:left="0"/>
        <w:contextualSpacing/>
        <w:jc w:val="both"/>
        <w:rPr>
          <w:rFonts w:ascii="Bookman Old Style" w:hAnsi="Bookman Old Style" w:cs="Arial"/>
        </w:rPr>
      </w:pPr>
      <w:r w:rsidRPr="00F340A2">
        <w:rPr>
          <w:rFonts w:ascii="Bookman Old Style" w:hAnsi="Bookman Old Style" w:cs="Arial"/>
          <w:b/>
        </w:rPr>
        <w:t>Parágrafo 2.</w:t>
      </w:r>
      <w:r w:rsidRPr="00F340A2">
        <w:rPr>
          <w:rFonts w:ascii="Bookman Old Style" w:hAnsi="Bookman Old Style" w:cs="Arial"/>
        </w:rPr>
        <w:t xml:space="preserve"> El costo del capital propio en pesos, equivalente al costo del capital propio en dólares, para la </w:t>
      </w:r>
      <w:proofErr w:type="gramStart"/>
      <w:r w:rsidRPr="00F340A2">
        <w:rPr>
          <w:rFonts w:ascii="Bookman Old Style" w:hAnsi="Bookman Old Style" w:cs="Arial"/>
        </w:rPr>
        <w:t xml:space="preserve">actividad </w:t>
      </w:r>
      <w:proofErr w:type="gramEnd"/>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t</m:t>
        </m:r>
      </m:oMath>
      <w:r w:rsidRPr="00F340A2">
        <w:rPr>
          <w:rFonts w:ascii="Bookman Old Style" w:hAnsi="Bookman Old Style" w:cs="Arial"/>
        </w:rPr>
        <w:t xml:space="preserve"> está dado por la siguiente expresión:</w:t>
      </w:r>
    </w:p>
    <w:p w:rsidR="000776BE" w:rsidRPr="00F340A2" w:rsidRDefault="00EC20D9" w:rsidP="000776BE">
      <w:pPr>
        <w:rPr>
          <w:rFonts w:cs="Arial"/>
        </w:rPr>
      </w:pPr>
      <m:oMathPara>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m:t>
              </m:r>
            </m:e>
            <m:sub>
              <m:r>
                <m:rPr>
                  <m:sty m:val="p"/>
                </m:rPr>
                <w:rPr>
                  <w:rFonts w:ascii="Cambria Math" w:eastAsia="Cambria Math" w:hAnsi="Cambria Math" w:cs="Arial"/>
                  <w:color w:val="000000" w:themeColor="text1"/>
                  <w:kern w:val="24"/>
                </w:rPr>
                <m:t>cop,a,t</m:t>
              </m:r>
            </m:sub>
          </m:sSub>
          <m:r>
            <m:rPr>
              <m:sty m:val="p"/>
            </m:rPr>
            <w:rPr>
              <w:rFonts w:ascii="Cambria Math" w:eastAsia="Cambria Math" w:hAnsi="Cambria Math" w:cs="Arial"/>
              <w:color w:val="000000" w:themeColor="text1"/>
              <w:kern w:val="24"/>
            </w:rPr>
            <m:t>=</m:t>
          </m:r>
          <m:sSup>
            <m:sSupPr>
              <m:ctrlPr>
                <w:rPr>
                  <w:rFonts w:ascii="Cambria Math" w:eastAsiaTheme="minorEastAsia" w:hAnsi="Cambria Math" w:cs="Arial"/>
                  <w:iCs/>
                  <w:color w:val="000000" w:themeColor="text1"/>
                  <w:kern w:val="24"/>
                </w:rPr>
              </m:ctrlPr>
            </m:sSupPr>
            <m:e>
              <m:d>
                <m:dPr>
                  <m:begChr m:val="["/>
                  <m:endChr m:val="]"/>
                  <m:ctrlPr>
                    <w:rPr>
                      <w:rFonts w:ascii="Cambria Math" w:eastAsiaTheme="minorEastAsia" w:hAnsi="Cambria Math" w:cs="Arial"/>
                      <w:iCs/>
                      <w:color w:val="000000" w:themeColor="text1"/>
                      <w:kern w:val="24"/>
                    </w:rPr>
                  </m:ctrlPr>
                </m:dPr>
                <m:e>
                  <m:f>
                    <m:fPr>
                      <m:ctrlPr>
                        <w:rPr>
                          <w:rFonts w:ascii="Cambria Math" w:eastAsiaTheme="minorEastAsia" w:hAnsi="Cambria Math" w:cs="Arial"/>
                          <w:iCs/>
                          <w:color w:val="000000" w:themeColor="text1"/>
                          <w:kern w:val="24"/>
                        </w:rPr>
                      </m:ctrlPr>
                    </m:fPr>
                    <m:num>
                      <m:sSup>
                        <m:sSupPr>
                          <m:ctrlPr>
                            <w:rPr>
                              <w:rFonts w:ascii="Cambria Math" w:eastAsia="Cambria Math" w:hAnsi="Cambria Math" w:cs="Arial"/>
                              <w:iCs/>
                              <w:color w:val="000000" w:themeColor="text1"/>
                              <w:kern w:val="24"/>
                            </w:rPr>
                          </m:ctrlPr>
                        </m:sSupPr>
                        <m:e>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m:t>
                              </m:r>
                            </m:e>
                            <m:sub>
                              <m:r>
                                <m:rPr>
                                  <m:sty m:val="p"/>
                                </m:rPr>
                                <w:rPr>
                                  <w:rFonts w:ascii="Cambria Math" w:eastAsia="Cambria Math" w:hAnsi="Cambria Math" w:cs="Arial"/>
                                  <w:color w:val="000000" w:themeColor="text1"/>
                                  <w:kern w:val="24"/>
                                </w:rPr>
                                <m:t>usd,a,t</m:t>
                              </m:r>
                            </m:sub>
                          </m:sSub>
                          <m:r>
                            <m:rPr>
                              <m:sty m:val="p"/>
                            </m:rPr>
                            <w:rPr>
                              <w:rFonts w:ascii="Cambria Math" w:eastAsia="Cambria Math" w:hAnsi="Cambria Math" w:cs="Arial"/>
                              <w:color w:val="000000" w:themeColor="text1"/>
                              <w:kern w:val="24"/>
                            </w:rPr>
                            <m:t>)</m:t>
                          </m:r>
                        </m:e>
                        <m:sup>
                          <m:r>
                            <m:rPr>
                              <m:sty m:val="p"/>
                            </m:rPr>
                            <w:rPr>
                              <w:rFonts w:ascii="Cambria Math" w:eastAsia="Cambria Math" w:hAnsi="Cambria Math" w:cs="Arial"/>
                              <w:color w:val="000000" w:themeColor="text1"/>
                              <w:kern w:val="24"/>
                            </w:rPr>
                            <m:t>n</m:t>
                          </m:r>
                        </m:sup>
                      </m:sSup>
                      <m:r>
                        <m:rPr>
                          <m:sty m:val="p"/>
                        </m:rPr>
                        <w:rPr>
                          <w:rFonts w:ascii="Cambria Math" w:eastAsia="Cambria Math" w:hAnsi="Cambria Math" w:cs="Arial"/>
                          <w:color w:val="000000" w:themeColor="text1"/>
                          <w:kern w:val="24"/>
                        </w:rPr>
                        <m:t>*</m:t>
                      </m:r>
                      <m:sSup>
                        <m:sSupPr>
                          <m:ctrlPr>
                            <w:rPr>
                              <w:rFonts w:ascii="Cambria Math" w:eastAsia="Cambria Math" w:hAnsi="Cambria Math" w:cs="Arial"/>
                              <w:iCs/>
                              <w:color w:val="000000" w:themeColor="text1"/>
                              <w:kern w:val="24"/>
                            </w:rPr>
                          </m:ctrlPr>
                        </m:sSupPr>
                        <m:e>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Swap</m:t>
                              </m:r>
                            </m:e>
                            <m:sub>
                              <m:r>
                                <m:rPr>
                                  <m:sty m:val="p"/>
                                </m:rPr>
                                <w:rPr>
                                  <w:rFonts w:ascii="Cambria Math" w:eastAsia="Cambria Math" w:hAnsi="Cambria Math" w:cs="Arial"/>
                                  <w:color w:val="000000" w:themeColor="text1"/>
                                  <w:kern w:val="24"/>
                                </w:rPr>
                                <m:t>cop, n,t</m:t>
                              </m:r>
                            </m:sub>
                          </m:sSub>
                          <m:r>
                            <m:rPr>
                              <m:sty m:val="p"/>
                            </m:rPr>
                            <w:rPr>
                              <w:rFonts w:ascii="Cambria Math" w:eastAsia="Cambria Math" w:hAnsi="Cambria Math" w:cs="Arial"/>
                              <w:color w:val="000000" w:themeColor="text1"/>
                              <w:kern w:val="24"/>
                            </w:rPr>
                            <m:t>)</m:t>
                          </m:r>
                        </m:e>
                        <m:sup>
                          <m:r>
                            <m:rPr>
                              <m:sty m:val="p"/>
                            </m:rPr>
                            <w:rPr>
                              <w:rFonts w:ascii="Cambria Math" w:eastAsia="Cambria Math" w:hAnsi="Cambria Math" w:cs="Arial"/>
                              <w:color w:val="000000" w:themeColor="text1"/>
                              <w:kern w:val="24"/>
                            </w:rPr>
                            <m:t>n</m:t>
                          </m:r>
                        </m:sup>
                      </m:sSup>
                    </m:num>
                    <m:den>
                      <m:sSup>
                        <m:sSupPr>
                          <m:ctrlPr>
                            <w:rPr>
                              <w:rFonts w:ascii="Cambria Math" w:eastAsia="Cambria Math" w:hAnsi="Cambria Math" w:cs="Arial"/>
                              <w:iCs/>
                              <w:color w:val="000000" w:themeColor="text1"/>
                              <w:kern w:val="24"/>
                            </w:rPr>
                          </m:ctrlPr>
                        </m:sSupPr>
                        <m:e>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Swap</m:t>
                              </m:r>
                            </m:e>
                            <m:sub>
                              <m:r>
                                <m:rPr>
                                  <m:sty m:val="p"/>
                                </m:rPr>
                                <w:rPr>
                                  <w:rFonts w:ascii="Cambria Math" w:eastAsia="Cambria Math" w:hAnsi="Cambria Math" w:cs="Arial"/>
                                  <w:color w:val="000000" w:themeColor="text1"/>
                                  <w:kern w:val="24"/>
                                </w:rPr>
                                <m:t>usd,n,t</m:t>
                              </m:r>
                            </m:sub>
                          </m:sSub>
                          <m:r>
                            <m:rPr>
                              <m:sty m:val="p"/>
                            </m:rPr>
                            <w:rPr>
                              <w:rFonts w:ascii="Cambria Math" w:eastAsia="Cambria Math" w:hAnsi="Cambria Math" w:cs="Arial"/>
                              <w:color w:val="000000" w:themeColor="text1"/>
                              <w:kern w:val="24"/>
                            </w:rPr>
                            <m:t>)</m:t>
                          </m:r>
                        </m:e>
                        <m:sup>
                          <m:r>
                            <m:rPr>
                              <m:sty m:val="p"/>
                            </m:rPr>
                            <w:rPr>
                              <w:rFonts w:ascii="Cambria Math" w:eastAsia="Cambria Math" w:hAnsi="Cambria Math" w:cs="Arial"/>
                              <w:color w:val="000000" w:themeColor="text1"/>
                              <w:kern w:val="24"/>
                            </w:rPr>
                            <m:t>n</m:t>
                          </m:r>
                        </m:sup>
                      </m:sSup>
                    </m:den>
                  </m:f>
                </m:e>
              </m:d>
            </m:e>
            <m:sup>
              <m:f>
                <m:fPr>
                  <m:ctrlPr>
                    <w:rPr>
                      <w:rFonts w:ascii="Cambria Math" w:eastAsiaTheme="minorEastAsia" w:hAnsi="Cambria Math" w:cs="Arial"/>
                      <w:iCs/>
                      <w:color w:val="000000" w:themeColor="text1"/>
                      <w:kern w:val="24"/>
                    </w:rPr>
                  </m:ctrlPr>
                </m:fPr>
                <m:num>
                  <m:r>
                    <m:rPr>
                      <m:sty m:val="p"/>
                    </m:rPr>
                    <w:rPr>
                      <w:rFonts w:ascii="Cambria Math" w:eastAsiaTheme="minorEastAsia" w:hAnsi="Cambria Math" w:cs="Arial"/>
                      <w:color w:val="000000" w:themeColor="text1"/>
                      <w:kern w:val="24"/>
                    </w:rPr>
                    <m:t>1</m:t>
                  </m:r>
                </m:num>
                <m:den>
                  <m:r>
                    <m:rPr>
                      <m:sty m:val="p"/>
                    </m:rPr>
                    <w:rPr>
                      <w:rFonts w:ascii="Cambria Math" w:eastAsiaTheme="minorEastAsia" w:hAnsi="Cambria Math" w:cs="Arial"/>
                      <w:color w:val="000000" w:themeColor="text1"/>
                      <w:kern w:val="24"/>
                    </w:rPr>
                    <m:t>n</m:t>
                  </m:r>
                </m:den>
              </m:f>
            </m:sup>
          </m:sSup>
          <m:r>
            <m:rPr>
              <m:sty m:val="p"/>
            </m:rPr>
            <w:rPr>
              <w:rFonts w:ascii="Cambria Math" w:eastAsiaTheme="minorEastAsia" w:hAnsi="Cambria Math" w:cs="Arial"/>
              <w:color w:val="000000" w:themeColor="text1"/>
              <w:kern w:val="24"/>
            </w:rPr>
            <m:t>-1</m:t>
          </m:r>
        </m:oMath>
      </m:oMathPara>
    </w:p>
    <w:p w:rsidR="000776BE" w:rsidRPr="00F340A2" w:rsidRDefault="000776BE" w:rsidP="000776BE">
      <w:pPr>
        <w:ind w:left="0"/>
        <w:contextualSpacing/>
        <w:jc w:val="both"/>
        <w:rPr>
          <w:rFonts w:ascii="Bookman Old Style" w:hAnsi="Bookman Old Style" w:cs="Arial"/>
        </w:rPr>
      </w:pPr>
      <w:r w:rsidRPr="00F340A2">
        <w:rPr>
          <w:rFonts w:ascii="Bookman Old Style" w:hAnsi="Bookman Old Style" w:cs="Arial"/>
        </w:rPr>
        <w:t>Donde,</w:t>
      </w:r>
      <w:r w:rsidR="00AF35EA">
        <w:rPr>
          <w:rFonts w:ascii="Bookman Old Style" w:hAnsi="Bookman Old Style" w:cs="Arial"/>
        </w:rPr>
        <w:t xml:space="preserve">                                                      </w:t>
      </w:r>
      <w:r w:rsidRPr="00F340A2">
        <w:rPr>
          <w:rFonts w:ascii="Bookman Old Style" w:hAnsi="Bookman Old Style" w:cs="Arial"/>
        </w:rPr>
        <w:t xml:space="preserve"> </w:t>
      </w:r>
    </w:p>
    <w:p w:rsidR="000776BE" w:rsidRPr="00C520CE" w:rsidRDefault="000776BE" w:rsidP="000776BE">
      <w:pPr>
        <w:ind w:left="0"/>
        <w:contextualSpacing/>
        <w:jc w:val="both"/>
        <w:rPr>
          <w:rFonts w:ascii="Bookman Old Style" w:hAnsi="Bookman Old Style" w:cs="Arial"/>
          <w:sz w:val="20"/>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284"/>
        <w:gridCol w:w="7796"/>
      </w:tblGrid>
      <w:tr w:rsidR="000776BE" w:rsidRPr="00F340A2" w:rsidTr="00F67EAC">
        <w:tc>
          <w:tcPr>
            <w:tcW w:w="1384"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Ke</m:t>
                    </m:r>
                  </m:e>
                  <m:sub>
                    <m:r>
                      <m:rPr>
                        <m:sty m:val="b"/>
                      </m:rPr>
                      <w:rPr>
                        <w:rFonts w:ascii="Cambria Math" w:eastAsia="Cambria Math" w:hAnsi="Cambria Math" w:cs="Arial"/>
                        <w:color w:val="000000" w:themeColor="text1"/>
                        <w:kern w:val="24"/>
                      </w:rPr>
                      <m:t>usd,a,t</m:t>
                    </m:r>
                  </m:sub>
                </m:sSub>
              </m:oMath>
            </m:oMathPara>
          </w:p>
        </w:tc>
        <w:tc>
          <w:tcPr>
            <w:tcW w:w="284"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796" w:type="dxa"/>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Costo del capital propio en dólares, equivalente al costo del capital propio en pesos, para la </w:t>
            </w:r>
            <w:proofErr w:type="gramStart"/>
            <w:r w:rsidRPr="00F340A2">
              <w:rPr>
                <w:rFonts w:ascii="Bookman Old Style" w:hAnsi="Bookman Old Style" w:cs="Arial"/>
              </w:rPr>
              <w:t xml:space="preserve">actividad </w:t>
            </w:r>
            <w:proofErr w:type="gramEnd"/>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t</m:t>
              </m:r>
            </m:oMath>
            <w:r w:rsidRPr="00F340A2">
              <w:rPr>
                <w:rFonts w:ascii="Bookman Old Style" w:hAnsi="Bookman Old Style" w:cs="Arial"/>
              </w:rPr>
              <w:t>.</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384" w:type="dxa"/>
          </w:tcPr>
          <w:p w:rsidR="000776BE" w:rsidRPr="00F340A2" w:rsidRDefault="00EC20D9" w:rsidP="00F67EAC">
            <w:pPr>
              <w:ind w:left="0"/>
              <w:rPr>
                <w:b/>
                <w:iCs/>
                <w:color w:val="000000" w:themeColor="text1"/>
                <w:kern w:val="24"/>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Swap</m:t>
                    </m:r>
                  </m:e>
                  <m:sub>
                    <m:r>
                      <m:rPr>
                        <m:sty m:val="b"/>
                      </m:rPr>
                      <w:rPr>
                        <w:rFonts w:ascii="Cambria Math" w:eastAsia="Cambria Math" w:hAnsi="Cambria Math" w:cs="Arial"/>
                        <w:color w:val="000000" w:themeColor="text1"/>
                        <w:kern w:val="24"/>
                      </w:rPr>
                      <m:t>cop,n,t</m:t>
                    </m:r>
                  </m:sub>
                </m:sSub>
              </m:oMath>
            </m:oMathPara>
          </w:p>
        </w:tc>
        <w:tc>
          <w:tcPr>
            <w:tcW w:w="284"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796" w:type="dxa"/>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Promedio de la tasa de la curva swap libor peso al </w:t>
            </w:r>
            <w:proofErr w:type="gramStart"/>
            <w:r w:rsidRPr="00F340A2">
              <w:rPr>
                <w:rFonts w:ascii="Bookman Old Style" w:hAnsi="Bookman Old Style" w:cs="Arial"/>
              </w:rPr>
              <w:t xml:space="preserve">plazo </w:t>
            </w:r>
            <w:proofErr w:type="gramEnd"/>
            <m:oMath>
              <m:r>
                <m:rPr>
                  <m:sty m:val="p"/>
                </m:rPr>
                <w:rPr>
                  <w:rFonts w:ascii="Cambria Math" w:hAnsi="Cambria Math" w:cs="Arial"/>
                </w:rPr>
                <m:t>n</m:t>
              </m:r>
            </m:oMath>
            <w:r w:rsidRPr="00F340A2">
              <w:rPr>
                <w:rFonts w:ascii="Bookman Old Style" w:hAnsi="Bookman Old Style" w:cs="Arial"/>
              </w:rPr>
              <w:t xml:space="preserve">, en el momento </w:t>
            </w:r>
            <m:oMath>
              <m:r>
                <m:rPr>
                  <m:sty m:val="p"/>
                </m:rPr>
                <w:rPr>
                  <w:rFonts w:ascii="Cambria Math" w:hAnsi="Cambria Math" w:cs="Arial"/>
                </w:rPr>
                <m:t>t</m:t>
              </m:r>
            </m:oMath>
            <w:r w:rsidRPr="00F340A2">
              <w:rPr>
                <w:rFonts w:ascii="Bookman Old Style" w:hAnsi="Bookman Old Style" w:cs="Arial"/>
              </w:rPr>
              <w:t>. Ticker Bloomberg: CLSWU10 Curncy.</w:t>
            </w:r>
          </w:p>
          <w:p w:rsidR="000776BE" w:rsidRPr="00C520CE" w:rsidRDefault="000776BE" w:rsidP="00F67EAC">
            <w:pPr>
              <w:ind w:left="0"/>
              <w:jc w:val="both"/>
              <w:rPr>
                <w:rFonts w:ascii="Bookman Old Style" w:hAnsi="Bookman Old Style" w:cs="Arial"/>
                <w:sz w:val="18"/>
              </w:rPr>
            </w:pPr>
          </w:p>
        </w:tc>
      </w:tr>
      <w:tr w:rsidR="000776BE" w:rsidRPr="00F340A2" w:rsidTr="00F67EAC">
        <w:tc>
          <w:tcPr>
            <w:tcW w:w="1384" w:type="dxa"/>
          </w:tcPr>
          <w:p w:rsidR="000776BE" w:rsidRPr="00F340A2" w:rsidRDefault="00EC20D9" w:rsidP="00F67EAC">
            <w:pPr>
              <w:ind w:left="0"/>
              <w:rPr>
                <w:b/>
                <w:iCs/>
                <w:color w:val="000000" w:themeColor="text1"/>
                <w:kern w:val="24"/>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Swap</m:t>
                    </m:r>
                  </m:e>
                  <m:sub>
                    <m:r>
                      <m:rPr>
                        <m:sty m:val="b"/>
                      </m:rPr>
                      <w:rPr>
                        <w:rFonts w:ascii="Cambria Math" w:eastAsia="Cambria Math" w:hAnsi="Cambria Math" w:cs="Arial"/>
                        <w:color w:val="000000" w:themeColor="text1"/>
                        <w:kern w:val="24"/>
                      </w:rPr>
                      <m:t>usd,n,t</m:t>
                    </m:r>
                  </m:sub>
                </m:sSub>
              </m:oMath>
            </m:oMathPara>
          </w:p>
        </w:tc>
        <w:tc>
          <w:tcPr>
            <w:tcW w:w="284"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796" w:type="dxa"/>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Promedio de la tasa de la curva swap libor al </w:t>
            </w:r>
            <w:proofErr w:type="gramStart"/>
            <w:r w:rsidRPr="00F340A2">
              <w:rPr>
                <w:rFonts w:ascii="Bookman Old Style" w:hAnsi="Bookman Old Style" w:cs="Arial"/>
              </w:rPr>
              <w:t xml:space="preserve">plazo </w:t>
            </w:r>
            <w:proofErr w:type="gramEnd"/>
            <m:oMath>
              <m:r>
                <m:rPr>
                  <m:sty m:val="p"/>
                </m:rPr>
                <w:rPr>
                  <w:rFonts w:ascii="Cambria Math" w:hAnsi="Cambria Math" w:cs="Arial"/>
                </w:rPr>
                <m:t>n</m:t>
              </m:r>
            </m:oMath>
            <w:r w:rsidRPr="00F340A2">
              <w:rPr>
                <w:rFonts w:ascii="Bookman Old Style" w:hAnsi="Bookman Old Style" w:cs="Arial"/>
              </w:rPr>
              <w:t xml:space="preserve">, en el momento </w:t>
            </w:r>
            <m:oMath>
              <m:r>
                <m:rPr>
                  <m:sty m:val="p"/>
                </m:rPr>
                <w:rPr>
                  <w:rFonts w:ascii="Cambria Math" w:hAnsi="Cambria Math" w:cs="Arial"/>
                </w:rPr>
                <m:t>t</m:t>
              </m:r>
            </m:oMath>
            <w:r w:rsidRPr="00F340A2">
              <w:rPr>
                <w:rFonts w:ascii="Bookman Old Style" w:hAnsi="Bookman Old Style" w:cs="Arial"/>
              </w:rPr>
              <w:t xml:space="preserve">. </w:t>
            </w:r>
            <w:proofErr w:type="spellStart"/>
            <w:r w:rsidRPr="00F340A2">
              <w:rPr>
                <w:rFonts w:ascii="Bookman Old Style" w:hAnsi="Bookman Old Style" w:cs="Arial"/>
              </w:rPr>
              <w:t>Ticker</w:t>
            </w:r>
            <w:proofErr w:type="spellEnd"/>
            <w:r w:rsidRPr="00F340A2">
              <w:rPr>
                <w:rFonts w:ascii="Bookman Old Style" w:hAnsi="Bookman Old Style" w:cs="Arial"/>
              </w:rPr>
              <w:t xml:space="preserve"> </w:t>
            </w:r>
            <w:proofErr w:type="spellStart"/>
            <w:r w:rsidRPr="00F340A2">
              <w:rPr>
                <w:rFonts w:ascii="Bookman Old Style" w:hAnsi="Bookman Old Style" w:cs="Arial"/>
              </w:rPr>
              <w:t>Bloomberg</w:t>
            </w:r>
            <w:proofErr w:type="spellEnd"/>
            <w:r w:rsidRPr="00F340A2">
              <w:rPr>
                <w:rFonts w:ascii="Bookman Old Style" w:hAnsi="Bookman Old Style" w:cs="Arial"/>
              </w:rPr>
              <w:t>:</w:t>
            </w:r>
            <w:r w:rsidRPr="00F340A2">
              <w:t xml:space="preserve"> </w:t>
            </w:r>
            <w:r w:rsidRPr="00F340A2">
              <w:rPr>
                <w:rFonts w:ascii="Bookman Old Style" w:hAnsi="Bookman Old Style" w:cs="Arial"/>
              </w:rPr>
              <w:t xml:space="preserve">USSWAP10 </w:t>
            </w:r>
            <w:proofErr w:type="spellStart"/>
            <w:r w:rsidRPr="00F340A2">
              <w:rPr>
                <w:rFonts w:ascii="Bookman Old Style" w:hAnsi="Bookman Old Style" w:cs="Arial"/>
              </w:rPr>
              <w:t>Curncy</w:t>
            </w:r>
            <w:proofErr w:type="spellEnd"/>
            <w:r w:rsidRPr="00F340A2">
              <w:rPr>
                <w:rFonts w:ascii="Bookman Old Style" w:hAnsi="Bookman Old Style" w:cs="Arial"/>
              </w:rPr>
              <w:t>.</w:t>
            </w:r>
          </w:p>
          <w:p w:rsidR="000776BE" w:rsidRPr="00C520CE" w:rsidRDefault="000776BE" w:rsidP="00F67EAC">
            <w:pPr>
              <w:ind w:left="0"/>
              <w:jc w:val="both"/>
              <w:rPr>
                <w:rFonts w:ascii="Bookman Old Style" w:hAnsi="Bookman Old Style" w:cs="Arial"/>
                <w:sz w:val="18"/>
              </w:rPr>
            </w:pPr>
          </w:p>
        </w:tc>
      </w:tr>
      <w:tr w:rsidR="000776BE" w:rsidRPr="00F340A2" w:rsidTr="00F67EAC">
        <w:tc>
          <w:tcPr>
            <w:tcW w:w="1384" w:type="dxa"/>
          </w:tcPr>
          <w:p w:rsidR="000776BE" w:rsidRPr="00F340A2" w:rsidRDefault="000776BE" w:rsidP="00F67EAC">
            <w:pPr>
              <w:ind w:left="0"/>
              <w:rPr>
                <w:rFonts w:ascii="Bookman Old Style" w:hAnsi="Bookman Old Style"/>
                <w:b/>
                <w:lang w:val="es-ES_tradnl"/>
              </w:rPr>
            </w:pPr>
            <m:oMathPara>
              <m:oMathParaPr>
                <m:jc m:val="left"/>
              </m:oMathParaPr>
              <m:oMath>
                <m:r>
                  <m:rPr>
                    <m:sty m:val="b"/>
                  </m:rPr>
                  <w:rPr>
                    <w:rFonts w:ascii="Cambria Math" w:hAnsi="Cambria Math" w:cs="Arial"/>
                  </w:rPr>
                  <m:t>n</m:t>
                </m:r>
              </m:oMath>
            </m:oMathPara>
          </w:p>
        </w:tc>
        <w:tc>
          <w:tcPr>
            <w:tcW w:w="284"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796" w:type="dxa"/>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Plazo en años. El valor a aplicar para efectos de cálculo es 10 años.</w:t>
            </w:r>
          </w:p>
          <w:p w:rsidR="000776BE" w:rsidRPr="00F340A2" w:rsidRDefault="000776BE" w:rsidP="00F67EAC">
            <w:pPr>
              <w:ind w:left="0"/>
              <w:jc w:val="both"/>
              <w:rPr>
                <w:rFonts w:ascii="Bookman Old Style" w:hAnsi="Bookman Old Style"/>
                <w:lang w:val="es-ES_tradnl"/>
              </w:rPr>
            </w:pPr>
          </w:p>
        </w:tc>
      </w:tr>
    </w:tbl>
    <w:p w:rsidR="000776BE" w:rsidRPr="00F340A2" w:rsidRDefault="000776BE" w:rsidP="000776BE">
      <w:pPr>
        <w:ind w:left="0"/>
        <w:contextualSpacing/>
        <w:jc w:val="both"/>
        <w:rPr>
          <w:rFonts w:ascii="Bookman Old Style" w:hAnsi="Bookman Old Style" w:cs="Arial"/>
        </w:rPr>
      </w:pPr>
      <w:r w:rsidRPr="00F340A2">
        <w:rPr>
          <w:rFonts w:ascii="Bookman Old Style" w:hAnsi="Bookman Old Style" w:cs="Arial"/>
          <w:b/>
        </w:rPr>
        <w:lastRenderedPageBreak/>
        <w:t>Parágrafo 3.</w:t>
      </w:r>
      <w:r w:rsidRPr="00F340A2">
        <w:rPr>
          <w:rFonts w:ascii="Bookman Old Style" w:hAnsi="Bookman Old Style" w:cs="Arial"/>
        </w:rPr>
        <w:t xml:space="preserve"> El costo del capital propio en dólares, equivalente al costo del capital propio en pesos, para la </w:t>
      </w:r>
      <w:proofErr w:type="gramStart"/>
      <w:r w:rsidRPr="00F340A2">
        <w:rPr>
          <w:rFonts w:ascii="Bookman Old Style" w:hAnsi="Bookman Old Style" w:cs="Arial"/>
        </w:rPr>
        <w:t xml:space="preserve">actividad </w:t>
      </w:r>
      <w:proofErr w:type="gramEnd"/>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t</m:t>
        </m:r>
      </m:oMath>
      <w:r w:rsidRPr="00F340A2">
        <w:rPr>
          <w:rFonts w:ascii="Bookman Old Style" w:hAnsi="Bookman Old Style" w:cs="Arial"/>
        </w:rPr>
        <w:t>, está dado por la siguiente expresión:</w:t>
      </w:r>
    </w:p>
    <w:p w:rsidR="000776BE" w:rsidRPr="00F340A2" w:rsidRDefault="000776BE" w:rsidP="000776BE">
      <w:pPr>
        <w:ind w:left="0"/>
        <w:contextualSpacing/>
        <w:jc w:val="both"/>
        <w:rPr>
          <w:rFonts w:ascii="Bookman Old Style" w:hAnsi="Bookman Old Style" w:cs="Arial"/>
          <w:lang w:val="es-ES_tradnl"/>
        </w:rPr>
      </w:pPr>
    </w:p>
    <w:p w:rsidR="000776BE" w:rsidRPr="00F340A2" w:rsidRDefault="00EC20D9" w:rsidP="000776BE">
      <w:pPr>
        <w:ind w:left="0"/>
        <w:contextualSpacing/>
        <w:jc w:val="both"/>
        <w:rPr>
          <w:rFonts w:ascii="Bookman Old Style" w:hAnsi="Bookman Old Style" w:cs="Arial"/>
          <w:lang w:val="es-ES_tradnl"/>
        </w:rPr>
      </w:pPr>
      <m:oMathPara>
        <m:oMath>
          <m:sSub>
            <m:sSubPr>
              <m:ctrlPr>
                <w:rPr>
                  <w:rFonts w:ascii="Cambria Math" w:eastAsiaTheme="minorEastAsia" w:hAnsi="Cambria Math" w:cstheme="minorBidi"/>
                  <w:iCs/>
                  <w:color w:val="000000" w:themeColor="text1"/>
                  <w:kern w:val="24"/>
                </w:rPr>
              </m:ctrlPr>
            </m:sSubPr>
            <m:e>
              <m:r>
                <m:rPr>
                  <m:sty m:val="p"/>
                </m:rPr>
                <w:rPr>
                  <w:rFonts w:ascii="Cambria Math" w:hAnsi="Cambria Math" w:cstheme="minorBidi"/>
                  <w:color w:val="000000" w:themeColor="text1"/>
                  <w:kern w:val="24"/>
                </w:rPr>
                <m:t>Ke</m:t>
              </m:r>
            </m:e>
            <m:sub>
              <m:r>
                <m:rPr>
                  <m:sty m:val="p"/>
                </m:rPr>
                <w:rPr>
                  <w:rFonts w:ascii="Cambria Math" w:hAnsi="Cambria Math" w:cstheme="minorBidi"/>
                  <w:color w:val="000000" w:themeColor="text1"/>
                  <w:kern w:val="24"/>
                </w:rPr>
                <m:t>usd,a,t</m:t>
              </m:r>
            </m:sub>
          </m:sSub>
          <m:r>
            <m:rPr>
              <m:sty m:val="p"/>
            </m:rPr>
            <w:rPr>
              <w:rFonts w:ascii="Cambria Math" w:eastAsia="Cambria Math" w:hAnsi="Cambria Math" w:cstheme="minorBidi"/>
              <w:color w:val="000000" w:themeColor="text1"/>
              <w:kern w:val="24"/>
            </w:rPr>
            <m:t>=</m:t>
          </m:r>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R</m:t>
              </m:r>
            </m:e>
            <m:sub>
              <m:r>
                <m:rPr>
                  <m:sty m:val="p"/>
                </m:rPr>
                <w:rPr>
                  <w:rFonts w:ascii="Cambria Math" w:eastAsia="Cambria Math" w:hAnsi="Cambria Math" w:cstheme="minorBidi"/>
                  <w:color w:val="000000" w:themeColor="text1"/>
                  <w:kern w:val="24"/>
                </w:rPr>
                <m:t>f,t</m:t>
              </m:r>
            </m:sub>
          </m:sSub>
          <m:r>
            <m:rPr>
              <m:sty m:val="p"/>
            </m:rPr>
            <w:rPr>
              <w:rFonts w:ascii="Cambria Math" w:eastAsia="Cambria Math" w:hAnsi="Cambria Math" w:cstheme="minorBidi"/>
              <w:color w:val="000000" w:themeColor="text1"/>
              <w:kern w:val="24"/>
            </w:rPr>
            <m:t>+</m:t>
          </m:r>
          <m:d>
            <m:dPr>
              <m:ctrlPr>
                <w:rPr>
                  <w:rFonts w:ascii="Cambria Math" w:eastAsia="Cambria Math" w:hAnsi="Cambria Math" w:cstheme="minorBidi"/>
                  <w:iCs/>
                  <w:color w:val="000000" w:themeColor="text1"/>
                  <w:kern w:val="24"/>
                </w:rPr>
              </m:ctrlPr>
            </m:dPr>
            <m:e>
              <m:sSub>
                <m:sSubPr>
                  <m:ctrlPr>
                    <w:rPr>
                      <w:rFonts w:ascii="Cambria Math" w:eastAsia="Cambria Math" w:hAnsi="Cambria Math" w:cstheme="minorBidi"/>
                      <w:iCs/>
                      <w:color w:val="000000" w:themeColor="text1"/>
                      <w:kern w:val="24"/>
                    </w:rPr>
                  </m:ctrlPr>
                </m:sSubPr>
                <m:e>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m:t>
                      </m:r>
                    </m:e>
                    <m:sub>
                      <m:r>
                        <m:rPr>
                          <m:sty m:val="p"/>
                        </m:rPr>
                        <w:rPr>
                          <w:rFonts w:ascii="Cambria Math" w:eastAsia="Cambria Math" w:hAnsi="Cambria Math" w:cstheme="minorBidi"/>
                          <w:color w:val="000000" w:themeColor="text1"/>
                          <w:kern w:val="24"/>
                        </w:rPr>
                        <m:t>L,t</m:t>
                      </m:r>
                    </m:sub>
                  </m:sSub>
                  <m:r>
                    <m:rPr>
                      <m:sty m:val="p"/>
                    </m:rPr>
                    <w:rPr>
                      <w:rFonts w:ascii="Cambria Math" w:eastAsia="Cambria Math" w:hAnsi="Cambria Math" w:cstheme="minorBidi"/>
                      <w:color w:val="000000" w:themeColor="text1"/>
                      <w:kern w:val="24"/>
                    </w:rPr>
                    <m:t>*R</m:t>
                  </m:r>
                </m:e>
                <m:sub>
                  <m:r>
                    <m:rPr>
                      <m:sty m:val="p"/>
                    </m:rPr>
                    <w:rPr>
                      <w:rFonts w:ascii="Cambria Math" w:eastAsia="Cambria Math" w:hAnsi="Cambria Math" w:cstheme="minorBidi"/>
                      <w:color w:val="000000" w:themeColor="text1"/>
                      <w:kern w:val="24"/>
                    </w:rPr>
                    <m:t>m,t</m:t>
                  </m:r>
                </m:sub>
              </m:sSub>
            </m:e>
          </m:d>
          <m:r>
            <m:rPr>
              <m:sty m:val="p"/>
            </m:rPr>
            <w:rPr>
              <w:rFonts w:ascii="Cambria Math" w:eastAsia="Cambria Math" w:hAnsi="Cambria Math" w:cstheme="minorBidi"/>
              <w:color w:val="000000" w:themeColor="text1"/>
              <w:kern w:val="24"/>
            </w:rPr>
            <m:t>+</m:t>
          </m:r>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R</m:t>
              </m:r>
            </m:e>
            <m:sub>
              <m:r>
                <m:rPr>
                  <m:sty m:val="p"/>
                </m:rPr>
                <w:rPr>
                  <w:rFonts w:ascii="Cambria Math" w:eastAsia="Cambria Math" w:hAnsi="Cambria Math" w:cstheme="minorBidi"/>
                  <w:color w:val="000000" w:themeColor="text1"/>
                  <w:kern w:val="24"/>
                </w:rPr>
                <m:t>p,t</m:t>
              </m:r>
            </m:sub>
          </m:sSub>
          <m:r>
            <w:rPr>
              <w:rFonts w:ascii="Cambria Math" w:eastAsia="Cambria Math" w:hAnsi="Cambria Math" w:cstheme="minorBidi"/>
              <w:color w:val="000000" w:themeColor="text1"/>
              <w:kern w:val="24"/>
            </w:rPr>
            <m:t>+</m:t>
          </m:r>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R</m:t>
              </m:r>
            </m:e>
            <m:sub>
              <m:r>
                <m:rPr>
                  <m:sty m:val="p"/>
                </m:rPr>
                <w:rPr>
                  <w:rFonts w:ascii="Cambria Math" w:eastAsia="Cambria Math" w:hAnsi="Cambria Math" w:cstheme="minorBidi"/>
                  <w:color w:val="000000" w:themeColor="text1"/>
                  <w:kern w:val="24"/>
                </w:rPr>
                <m:t>r,a</m:t>
              </m:r>
            </m:sub>
          </m:sSub>
        </m:oMath>
      </m:oMathPara>
    </w:p>
    <w:p w:rsidR="000776BE" w:rsidRPr="00F340A2" w:rsidRDefault="000776BE" w:rsidP="000776BE">
      <w:pPr>
        <w:ind w:left="0"/>
        <w:contextualSpacing/>
        <w:jc w:val="both"/>
        <w:rPr>
          <w:rFonts w:ascii="Bookman Old Style" w:hAnsi="Bookman Old Style" w:cs="Arial"/>
          <w:lang w:val="es-ES_tradnl"/>
        </w:rPr>
      </w:pPr>
    </w:p>
    <w:p w:rsidR="000776BE" w:rsidRPr="00F340A2" w:rsidRDefault="000776BE" w:rsidP="000776BE">
      <w:pPr>
        <w:ind w:left="0"/>
        <w:contextualSpacing/>
        <w:jc w:val="both"/>
        <w:rPr>
          <w:rFonts w:ascii="Bookman Old Style" w:hAnsi="Bookman Old Style" w:cs="Arial"/>
          <w:lang w:val="es-ES_tradnl"/>
        </w:rPr>
      </w:pPr>
      <w:r w:rsidRPr="00F340A2">
        <w:rPr>
          <w:rFonts w:ascii="Bookman Old Style" w:hAnsi="Bookman Old Style" w:cs="Arial"/>
          <w:lang w:val="es-ES_tradnl"/>
        </w:rPr>
        <w:t>Donde,</w:t>
      </w:r>
    </w:p>
    <w:p w:rsidR="000776BE" w:rsidRPr="00F340A2" w:rsidRDefault="000776BE" w:rsidP="000776BE">
      <w:pPr>
        <w:ind w:left="0"/>
        <w:contextualSpacing/>
        <w:jc w:val="both"/>
        <w:rPr>
          <w:rFonts w:ascii="Bookman Old Style" w:hAnsi="Bookman Old Style" w:cs="Arial"/>
          <w:lang w:val="es-ES_tradn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284"/>
        <w:gridCol w:w="7796"/>
      </w:tblGrid>
      <w:tr w:rsidR="000776BE" w:rsidRPr="00F340A2" w:rsidTr="00F67EAC">
        <w:tc>
          <w:tcPr>
            <w:tcW w:w="1384" w:type="dxa"/>
          </w:tcPr>
          <w:p w:rsidR="000776BE" w:rsidRPr="00F340A2" w:rsidRDefault="00EC20D9" w:rsidP="00F67EAC">
            <w:pPr>
              <w:ind w:left="0"/>
              <w:rPr>
                <w:rFonts w:ascii="Bookman Old Style" w:hAnsi="Bookman Old Style"/>
                <w:b/>
                <w:lang w:val="es-ES_tradnl"/>
              </w:rPr>
            </w:p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R</m:t>
                  </m:r>
                </m:e>
                <m:sub>
                  <m:r>
                    <m:rPr>
                      <m:sty m:val="b"/>
                    </m:rPr>
                    <w:rPr>
                      <w:rFonts w:ascii="Cambria Math" w:eastAsia="Cambria Math" w:hAnsi="Cambria Math" w:cstheme="minorBidi"/>
                      <w:color w:val="000000" w:themeColor="text1"/>
                      <w:kern w:val="24"/>
                    </w:rPr>
                    <m:t>f,t</m:t>
                  </m:r>
                </m:sub>
              </m:sSub>
            </m:oMath>
            <w:r w:rsidR="000776BE" w:rsidRPr="00F340A2">
              <w:rPr>
                <w:rFonts w:ascii="Bookman Old Style" w:hAnsi="Bookman Old Style"/>
                <w:b/>
                <w:iCs/>
                <w:color w:val="000000" w:themeColor="text1"/>
                <w:kern w:val="24"/>
              </w:rPr>
              <w:t xml:space="preserve"> </w:t>
            </w:r>
          </w:p>
        </w:tc>
        <w:tc>
          <w:tcPr>
            <w:tcW w:w="284" w:type="dxa"/>
          </w:tcPr>
          <w:p w:rsidR="000776BE" w:rsidRPr="00F340A2" w:rsidRDefault="000776BE" w:rsidP="00F67EAC">
            <w:pPr>
              <w:ind w:left="0"/>
              <w:rPr>
                <w:rFonts w:ascii="Bookman Old Style" w:hAnsi="Bookman Old Style" w:cs="Arial"/>
                <w:b/>
                <w:iCs/>
                <w:color w:val="000000" w:themeColor="text1"/>
                <w:kern w:val="24"/>
              </w:rPr>
            </w:pPr>
            <w:r w:rsidRPr="00F340A2">
              <w:rPr>
                <w:rFonts w:ascii="Bookman Old Style" w:hAnsi="Bookman Old Style" w:cs="Arial"/>
                <w:b/>
                <w:iCs/>
                <w:color w:val="000000" w:themeColor="text1"/>
                <w:kern w:val="24"/>
              </w:rPr>
              <w:t>:</w:t>
            </w:r>
          </w:p>
        </w:tc>
        <w:tc>
          <w:tcPr>
            <w:tcW w:w="7796"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iCs/>
                <w:color w:val="000000" w:themeColor="text1"/>
                <w:kern w:val="24"/>
              </w:rPr>
              <w:t xml:space="preserve">Promedio de la tasa </w:t>
            </w:r>
            <w:r w:rsidRPr="00F340A2">
              <w:rPr>
                <w:rFonts w:ascii="Bookman Old Style" w:hAnsi="Bookman Old Style" w:cs="Arial"/>
              </w:rPr>
              <w:t xml:space="preserve">libre de riesgo en el </w:t>
            </w:r>
            <w:proofErr w:type="gramStart"/>
            <w:r w:rsidRPr="00F340A2">
              <w:rPr>
                <w:rFonts w:ascii="Bookman Old Style" w:hAnsi="Bookman Old Style" w:cs="Arial"/>
              </w:rPr>
              <w:t xml:space="preserve">momento </w:t>
            </w:r>
            <w:proofErr w:type="gramEnd"/>
            <m:oMath>
              <m:r>
                <m:rPr>
                  <m:sty m:val="p"/>
                </m:rPr>
                <w:rPr>
                  <w:rFonts w:ascii="Cambria Math" w:hAnsi="Cambria Math" w:cs="Arial"/>
                </w:rPr>
                <m:t>t</m:t>
              </m:r>
            </m:oMath>
            <w:r w:rsidRPr="00F340A2">
              <w:rPr>
                <w:rFonts w:ascii="Bookman Old Style" w:hAnsi="Bookman Old Style" w:cs="Arial"/>
              </w:rPr>
              <w:t xml:space="preserve">. Mid yield del bono de los Estados Unidos de América a 10 años. </w:t>
            </w:r>
            <w:proofErr w:type="spellStart"/>
            <w:r w:rsidRPr="00F340A2">
              <w:rPr>
                <w:rFonts w:ascii="Bookman Old Style" w:hAnsi="Bookman Old Style" w:cs="Arial"/>
              </w:rPr>
              <w:t>Ticker</w:t>
            </w:r>
            <w:proofErr w:type="spellEnd"/>
            <w:r w:rsidRPr="00F340A2">
              <w:rPr>
                <w:rFonts w:ascii="Bookman Old Style" w:hAnsi="Bookman Old Style" w:cs="Arial"/>
              </w:rPr>
              <w:t xml:space="preserve"> </w:t>
            </w:r>
            <w:proofErr w:type="spellStart"/>
            <w:r w:rsidRPr="00F340A2">
              <w:rPr>
                <w:rFonts w:ascii="Bookman Old Style" w:hAnsi="Bookman Old Style" w:cs="Arial"/>
              </w:rPr>
              <w:t>Bloomberg</w:t>
            </w:r>
            <w:proofErr w:type="spellEnd"/>
            <w:r w:rsidRPr="00F340A2">
              <w:rPr>
                <w:rFonts w:ascii="Bookman Old Style" w:hAnsi="Bookman Old Style" w:cs="Arial"/>
              </w:rPr>
              <w:t xml:space="preserve">: USGG10YR </w:t>
            </w:r>
            <w:proofErr w:type="spellStart"/>
            <w:r w:rsidRPr="00F340A2">
              <w:rPr>
                <w:rFonts w:ascii="Bookman Old Style" w:hAnsi="Bookman Old Style" w:cs="Arial"/>
              </w:rPr>
              <w:t>Index</w:t>
            </w:r>
            <w:proofErr w:type="spellEnd"/>
            <w:r w:rsidRPr="00F340A2">
              <w:rPr>
                <w:rFonts w:ascii="Bookman Old Style" w:hAnsi="Bookman Old Style" w:cs="Arial"/>
              </w:rPr>
              <w:t>.</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384"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β</m:t>
                    </m:r>
                  </m:e>
                  <m:sub>
                    <m:r>
                      <m:rPr>
                        <m:sty m:val="b"/>
                      </m:rPr>
                      <w:rPr>
                        <w:rFonts w:ascii="Cambria Math" w:eastAsia="Cambria Math" w:hAnsi="Cambria Math" w:cstheme="minorBidi"/>
                        <w:color w:val="000000" w:themeColor="text1"/>
                        <w:kern w:val="24"/>
                      </w:rPr>
                      <m:t>L,t</m:t>
                    </m:r>
                  </m:sub>
                </m:sSub>
              </m:oMath>
            </m:oMathPara>
          </w:p>
        </w:tc>
        <w:tc>
          <w:tcPr>
            <w:tcW w:w="284"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796"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Beta apalancado en el momento </w:t>
            </w:r>
            <m:oMath>
              <m:r>
                <m:rPr>
                  <m:sty m:val="p"/>
                </m:rPr>
                <w:rPr>
                  <w:rFonts w:ascii="Cambria Math" w:hAnsi="Cambria Math" w:cs="Arial"/>
                </w:rPr>
                <m:t>t</m:t>
              </m:r>
            </m:oMath>
            <w:r w:rsidRPr="00F340A2">
              <w:rPr>
                <w:rFonts w:ascii="Bookman Old Style" w:hAnsi="Bookman Old Style" w:cs="Arial"/>
              </w:rPr>
              <w:t>, donde:</w:t>
            </w:r>
          </w:p>
          <w:p w:rsidR="000776BE" w:rsidRPr="00F340A2" w:rsidRDefault="000776BE" w:rsidP="00F67EAC">
            <w:pPr>
              <w:ind w:left="0"/>
              <w:jc w:val="both"/>
              <w:rPr>
                <w:rFonts w:ascii="Bookman Old Style" w:hAnsi="Bookman Old Style" w:cs="Arial"/>
              </w:rPr>
            </w:pPr>
          </w:p>
          <w:p w:rsidR="000776BE" w:rsidRPr="00F340A2" w:rsidRDefault="00EC20D9" w:rsidP="00F67EAC">
            <w:pPr>
              <w:ind w:left="0"/>
              <w:jc w:val="both"/>
              <w:rPr>
                <w:rFonts w:ascii="Bookman Old Style" w:hAnsi="Bookman Old Style" w:cs="Arial"/>
              </w:rPr>
            </w:pPr>
            <m:oMathPara>
              <m:oMath>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m:t>
                    </m:r>
                  </m:e>
                  <m:sub>
                    <m:r>
                      <m:rPr>
                        <m:sty m:val="p"/>
                      </m:rPr>
                      <w:rPr>
                        <w:rFonts w:ascii="Cambria Math" w:eastAsia="Cambria Math" w:hAnsi="Cambria Math" w:cstheme="minorBidi"/>
                        <w:color w:val="000000" w:themeColor="text1"/>
                        <w:kern w:val="24"/>
                      </w:rPr>
                      <m:t>L,t</m:t>
                    </m:r>
                  </m:sub>
                </m:sSub>
                <m:r>
                  <m:rPr>
                    <m:sty m:val="p"/>
                  </m:rPr>
                  <w:rPr>
                    <w:rFonts w:ascii="Cambria Math" w:eastAsia="Cambria Math" w:hAnsi="Cambria Math" w:cstheme="minorBidi"/>
                    <w:color w:val="000000" w:themeColor="text1"/>
                    <w:kern w:val="24"/>
                  </w:rPr>
                  <m:t>=</m:t>
                </m:r>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m:t>
                    </m:r>
                  </m:e>
                  <m:sub>
                    <m:r>
                      <m:rPr>
                        <m:sty m:val="p"/>
                      </m:rPr>
                      <w:rPr>
                        <w:rFonts w:ascii="Cambria Math" w:eastAsia="Cambria Math" w:hAnsi="Cambria Math" w:cstheme="minorBidi"/>
                        <w:color w:val="000000" w:themeColor="text1"/>
                        <w:kern w:val="24"/>
                      </w:rPr>
                      <m:t>U,t</m:t>
                    </m:r>
                  </m:sub>
                </m:sSub>
                <m:r>
                  <m:rPr>
                    <m:sty m:val="p"/>
                  </m:rPr>
                  <w:rPr>
                    <w:rFonts w:ascii="Cambria Math" w:eastAsia="Cambria Math" w:hAnsi="Cambria Math" w:cstheme="minorBidi"/>
                    <w:color w:val="000000" w:themeColor="text1"/>
                    <w:kern w:val="24"/>
                  </w:rPr>
                  <m:t>*</m:t>
                </m:r>
                <m:d>
                  <m:dPr>
                    <m:ctrlPr>
                      <w:rPr>
                        <w:rFonts w:ascii="Cambria Math" w:eastAsia="Cambria Math" w:hAnsi="Cambria Math" w:cstheme="minorBidi"/>
                        <w:color w:val="000000" w:themeColor="text1"/>
                        <w:kern w:val="24"/>
                      </w:rPr>
                    </m:ctrlPr>
                  </m:dPr>
                  <m:e>
                    <m:r>
                      <m:rPr>
                        <m:sty m:val="p"/>
                      </m:rPr>
                      <w:rPr>
                        <w:rFonts w:ascii="Cambria Math" w:eastAsia="Cambria Math" w:hAnsi="Cambria Math" w:cstheme="minorBidi"/>
                        <w:color w:val="000000" w:themeColor="text1"/>
                        <w:kern w:val="24"/>
                      </w:rPr>
                      <m:t>1+</m:t>
                    </m:r>
                    <m:d>
                      <m:dPr>
                        <m:ctrlPr>
                          <w:rPr>
                            <w:rFonts w:ascii="Cambria Math" w:eastAsia="Cambria Math" w:hAnsi="Cambria Math" w:cstheme="minorBidi"/>
                            <w:iCs/>
                            <w:color w:val="000000" w:themeColor="text1"/>
                            <w:kern w:val="24"/>
                          </w:rPr>
                        </m:ctrlPr>
                      </m:dPr>
                      <m:e>
                        <m:r>
                          <m:rPr>
                            <m:sty m:val="p"/>
                          </m:rPr>
                          <w:rPr>
                            <w:rFonts w:ascii="Cambria Math" w:eastAsia="Cambria Math" w:hAnsi="Cambria Math" w:cstheme="minorBidi"/>
                            <w:color w:val="000000" w:themeColor="text1"/>
                            <w:kern w:val="24"/>
                          </w:rPr>
                          <m:t>1-Tx</m:t>
                        </m:r>
                      </m:e>
                    </m:d>
                    <m:f>
                      <m:fPr>
                        <m:ctrlPr>
                          <w:rPr>
                            <w:rFonts w:ascii="Cambria Math" w:eastAsia="Cambria Math" w:hAnsi="Cambria Math" w:cstheme="minorBidi"/>
                            <w:iCs/>
                            <w:color w:val="000000" w:themeColor="text1"/>
                            <w:kern w:val="24"/>
                          </w:rPr>
                        </m:ctrlPr>
                      </m:fPr>
                      <m:num>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W</m:t>
                            </m:r>
                          </m:e>
                          <m:sub>
                            <m:r>
                              <m:rPr>
                                <m:sty m:val="p"/>
                              </m:rPr>
                              <w:rPr>
                                <w:rFonts w:ascii="Cambria Math" w:eastAsia="Cambria Math" w:hAnsi="Cambria Math" w:cstheme="minorBidi"/>
                                <w:color w:val="000000" w:themeColor="text1"/>
                                <w:kern w:val="24"/>
                              </w:rPr>
                              <m:t>d</m:t>
                            </m:r>
                          </m:sub>
                        </m:sSub>
                      </m:num>
                      <m:den>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W</m:t>
                            </m:r>
                          </m:e>
                          <m:sub>
                            <m:r>
                              <m:rPr>
                                <m:sty m:val="p"/>
                              </m:rPr>
                              <w:rPr>
                                <w:rFonts w:ascii="Cambria Math" w:eastAsia="Cambria Math" w:hAnsi="Cambria Math" w:cstheme="minorBidi"/>
                                <w:color w:val="000000" w:themeColor="text1"/>
                                <w:kern w:val="24"/>
                              </w:rPr>
                              <m:t>e</m:t>
                            </m:r>
                          </m:sub>
                        </m:sSub>
                      </m:den>
                    </m:f>
                  </m:e>
                </m:d>
              </m:oMath>
            </m:oMathPara>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384" w:type="dxa"/>
          </w:tcPr>
          <w:p w:rsidR="000776BE" w:rsidRPr="00F340A2" w:rsidRDefault="000776BE" w:rsidP="00F67EAC">
            <w:pPr>
              <w:ind w:left="0"/>
              <w:rPr>
                <w:rFonts w:ascii="Bookman Old Style" w:hAnsi="Bookman Old Style"/>
                <w:b/>
                <w:lang w:val="es-ES_tradnl"/>
              </w:rPr>
            </w:pPr>
            <m:oMathPara>
              <m:oMathParaPr>
                <m:jc m:val="left"/>
              </m:oMathParaPr>
              <m:oMath>
                <m:r>
                  <m:rPr>
                    <m:sty m:val="bi"/>
                  </m:rPr>
                  <w:rPr>
                    <w:rFonts w:ascii="Cambria Math" w:hAnsi="Cambria Math"/>
                    <w:lang w:val="es-ES_tradnl"/>
                  </w:rPr>
                  <m:t xml:space="preserve"> </m:t>
                </m:r>
                <m:sSub>
                  <m:sSubPr>
                    <m:ctrlPr>
                      <w:rPr>
                        <w:rFonts w:ascii="Cambria Math" w:hAnsi="Cambria Math"/>
                        <w:b/>
                        <w:iCs/>
                        <w:lang w:val="es-ES_tradnl"/>
                      </w:rPr>
                    </m:ctrlPr>
                  </m:sSubPr>
                  <m:e>
                    <m:r>
                      <m:rPr>
                        <m:sty m:val="b"/>
                      </m:rPr>
                      <w:rPr>
                        <w:rFonts w:ascii="Cambria Math" w:hAnsi="Cambria Math"/>
                      </w:rPr>
                      <m:t>R</m:t>
                    </m:r>
                  </m:e>
                  <m:sub>
                    <m:r>
                      <m:rPr>
                        <m:sty m:val="b"/>
                      </m:rPr>
                      <w:rPr>
                        <w:rFonts w:ascii="Cambria Math" w:hAnsi="Cambria Math"/>
                      </w:rPr>
                      <m:t>m,t</m:t>
                    </m:r>
                  </m:sub>
                </m:sSub>
              </m:oMath>
            </m:oMathPara>
          </w:p>
        </w:tc>
        <w:tc>
          <w:tcPr>
            <w:tcW w:w="284" w:type="dxa"/>
          </w:tcPr>
          <w:p w:rsidR="000776BE" w:rsidRPr="00F340A2" w:rsidRDefault="000776BE" w:rsidP="00F67EAC">
            <w:pPr>
              <w:ind w:left="0"/>
              <w:rPr>
                <w:rFonts w:ascii="Bookman Old Style" w:hAnsi="Bookman Old Style" w:cs="Arial"/>
                <w:b/>
                <w:iCs/>
              </w:rPr>
            </w:pPr>
            <w:r w:rsidRPr="00F340A2">
              <w:rPr>
                <w:rFonts w:ascii="Bookman Old Style" w:hAnsi="Bookman Old Style" w:cs="Arial"/>
                <w:b/>
                <w:iCs/>
              </w:rPr>
              <w:t>:</w:t>
            </w:r>
          </w:p>
        </w:tc>
        <w:tc>
          <w:tcPr>
            <w:tcW w:w="7796"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iCs/>
              </w:rPr>
              <w:t>Promedio de la p</w:t>
            </w:r>
            <w:r w:rsidRPr="00F340A2">
              <w:rPr>
                <w:rFonts w:ascii="Bookman Old Style" w:hAnsi="Bookman Old Style" w:cs="Arial"/>
                <w:iCs/>
                <w:lang w:val="es-ES_tradnl"/>
              </w:rPr>
              <w:t xml:space="preserve">rima de mercado en el </w:t>
            </w:r>
            <w:proofErr w:type="gramStart"/>
            <w:r w:rsidRPr="00F340A2">
              <w:rPr>
                <w:rFonts w:ascii="Bookman Old Style" w:hAnsi="Bookman Old Style" w:cs="Arial"/>
                <w:iCs/>
                <w:lang w:val="es-ES_tradnl"/>
              </w:rPr>
              <w:t xml:space="preserve">momento </w:t>
            </w:r>
            <w:proofErr w:type="gramEnd"/>
            <m:oMath>
              <m:r>
                <m:rPr>
                  <m:sty m:val="p"/>
                </m:rPr>
                <w:rPr>
                  <w:rFonts w:ascii="Cambria Math" w:hAnsi="Cambria Math"/>
                </w:rPr>
                <m:t>t</m:t>
              </m:r>
            </m:oMath>
            <w:r w:rsidRPr="00F340A2">
              <w:rPr>
                <w:rFonts w:ascii="Bookman Old Style" w:hAnsi="Bookman Old Style" w:cs="Arial"/>
              </w:rPr>
              <w:t xml:space="preserve">. Corresponde al promedio aritmético de las primas de mercado anuales, estimadas a partir del Standard &amp; </w:t>
            </w:r>
            <w:proofErr w:type="spellStart"/>
            <w:r w:rsidRPr="00F340A2">
              <w:rPr>
                <w:rFonts w:ascii="Bookman Old Style" w:hAnsi="Bookman Old Style" w:cs="Arial"/>
              </w:rPr>
              <w:t>Poor’s</w:t>
            </w:r>
            <w:proofErr w:type="spellEnd"/>
            <w:r w:rsidRPr="00F340A2">
              <w:rPr>
                <w:rFonts w:ascii="Bookman Old Style" w:hAnsi="Bookman Old Style" w:cs="Arial"/>
              </w:rPr>
              <w:t xml:space="preserve"> 500 y de los bonos de los Estados Unidos de América con plazo de emisión a 10 años, desde 1928 hasta el año anterior a la fecha de cálculo, según publicación en </w:t>
            </w:r>
            <w:r w:rsidRPr="00577AEB">
              <w:rPr>
                <w:rFonts w:ascii="Bookman Old Style" w:hAnsi="Bookman Old Style" w:cs="Arial"/>
                <w:sz w:val="16"/>
              </w:rPr>
              <w:t>http://www.stern.nyu.edu/~adamodar/pc/datasets/histretSP.xls.</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384"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R</m:t>
                    </m:r>
                  </m:e>
                  <m:sub>
                    <m:r>
                      <m:rPr>
                        <m:sty m:val="b"/>
                      </m:rPr>
                      <w:rPr>
                        <w:rFonts w:ascii="Cambria Math" w:eastAsia="Cambria Math" w:hAnsi="Cambria Math" w:cstheme="minorBidi"/>
                        <w:color w:val="000000" w:themeColor="text1"/>
                        <w:kern w:val="24"/>
                      </w:rPr>
                      <m:t>p,t</m:t>
                    </m:r>
                  </m:sub>
                </m:sSub>
              </m:oMath>
            </m:oMathPara>
          </w:p>
        </w:tc>
        <w:tc>
          <w:tcPr>
            <w:tcW w:w="284" w:type="dxa"/>
          </w:tcPr>
          <w:p w:rsidR="000776BE" w:rsidRPr="00F340A2" w:rsidRDefault="000776BE" w:rsidP="00F67EAC">
            <w:pPr>
              <w:ind w:left="0"/>
              <w:rPr>
                <w:rFonts w:ascii="Bookman Old Style" w:hAnsi="Bookman Old Style" w:cs="Arial"/>
                <w:b/>
                <w:iCs/>
                <w:color w:val="000000" w:themeColor="text1"/>
                <w:kern w:val="24"/>
              </w:rPr>
            </w:pPr>
            <w:r w:rsidRPr="00F340A2">
              <w:rPr>
                <w:rFonts w:ascii="Bookman Old Style" w:hAnsi="Bookman Old Style" w:cs="Arial"/>
                <w:b/>
                <w:iCs/>
                <w:color w:val="000000" w:themeColor="text1"/>
                <w:kern w:val="24"/>
              </w:rPr>
              <w:t>:</w:t>
            </w:r>
          </w:p>
        </w:tc>
        <w:tc>
          <w:tcPr>
            <w:tcW w:w="7796"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iCs/>
                <w:color w:val="000000" w:themeColor="text1"/>
                <w:kern w:val="24"/>
              </w:rPr>
              <w:t>Promedio de la p</w:t>
            </w:r>
            <w:r w:rsidRPr="00F340A2">
              <w:rPr>
                <w:rFonts w:ascii="Bookman Old Style" w:hAnsi="Bookman Old Style" w:cs="Arial"/>
              </w:rPr>
              <w:t xml:space="preserve">rima por riesgo país en el </w:t>
            </w:r>
            <w:proofErr w:type="gramStart"/>
            <w:r w:rsidRPr="00F340A2">
              <w:rPr>
                <w:rFonts w:ascii="Bookman Old Style" w:hAnsi="Bookman Old Style" w:cs="Arial"/>
              </w:rPr>
              <w:t xml:space="preserve">momento </w:t>
            </w:r>
            <w:proofErr w:type="gramEnd"/>
            <m:oMath>
              <m:r>
                <m:rPr>
                  <m:sty m:val="p"/>
                </m:rPr>
                <w:rPr>
                  <w:rFonts w:ascii="Cambria Math" w:hAnsi="Cambria Math" w:cs="Arial"/>
                </w:rPr>
                <m:t>t</m:t>
              </m:r>
            </m:oMath>
            <w:r w:rsidRPr="00F340A2">
              <w:rPr>
                <w:rFonts w:ascii="Bookman Old Style" w:hAnsi="Bookman Old Style" w:cs="Arial"/>
              </w:rPr>
              <w:t>. Se calcula como la diferencia entre el promedio del CDS de 10 años de Colombia (</w:t>
            </w:r>
            <w:proofErr w:type="spellStart"/>
            <w:r w:rsidRPr="00F340A2">
              <w:rPr>
                <w:rFonts w:ascii="Bookman Old Style" w:hAnsi="Bookman Old Style" w:cs="Arial"/>
              </w:rPr>
              <w:t>Ticker</w:t>
            </w:r>
            <w:proofErr w:type="spellEnd"/>
            <w:r w:rsidRPr="00F340A2">
              <w:rPr>
                <w:rFonts w:ascii="Bookman Old Style" w:hAnsi="Bookman Old Style" w:cs="Arial"/>
              </w:rPr>
              <w:t xml:space="preserve"> </w:t>
            </w:r>
            <w:proofErr w:type="spellStart"/>
            <w:r w:rsidRPr="00F340A2">
              <w:rPr>
                <w:rFonts w:ascii="Bookman Old Style" w:hAnsi="Bookman Old Style" w:cs="Arial"/>
              </w:rPr>
              <w:t>Bloomberg</w:t>
            </w:r>
            <w:proofErr w:type="spellEnd"/>
            <w:r w:rsidRPr="00F340A2">
              <w:rPr>
                <w:rFonts w:ascii="Bookman Old Style" w:hAnsi="Bookman Old Style" w:cs="Arial"/>
              </w:rPr>
              <w:t xml:space="preserve">: COLOM CDS USD SR 10Y CBIN </w:t>
            </w:r>
            <w:proofErr w:type="spellStart"/>
            <w:r w:rsidRPr="00F340A2">
              <w:rPr>
                <w:rFonts w:ascii="Bookman Old Style" w:hAnsi="Bookman Old Style" w:cs="Arial"/>
              </w:rPr>
              <w:t>Corp</w:t>
            </w:r>
            <w:proofErr w:type="spellEnd"/>
            <w:r w:rsidRPr="00F340A2">
              <w:rPr>
                <w:rFonts w:ascii="Bookman Old Style" w:hAnsi="Bookman Old Style" w:cs="Arial"/>
              </w:rPr>
              <w:t>) y el promedio del CDS de 10 años de Estados Unidos (</w:t>
            </w:r>
            <w:proofErr w:type="spellStart"/>
            <w:r w:rsidRPr="00F340A2">
              <w:rPr>
                <w:rFonts w:ascii="Bookman Old Style" w:hAnsi="Bookman Old Style" w:cs="Arial"/>
              </w:rPr>
              <w:t>Ticker</w:t>
            </w:r>
            <w:proofErr w:type="spellEnd"/>
            <w:r w:rsidRPr="00F340A2">
              <w:rPr>
                <w:rFonts w:ascii="Bookman Old Style" w:hAnsi="Bookman Old Style" w:cs="Arial"/>
              </w:rPr>
              <w:t xml:space="preserve"> </w:t>
            </w:r>
            <w:proofErr w:type="spellStart"/>
            <w:r w:rsidRPr="00F340A2">
              <w:rPr>
                <w:rFonts w:ascii="Bookman Old Style" w:hAnsi="Bookman Old Style" w:cs="Arial"/>
              </w:rPr>
              <w:t>Bloomberg</w:t>
            </w:r>
            <w:proofErr w:type="spellEnd"/>
            <w:r w:rsidRPr="00F340A2">
              <w:rPr>
                <w:rFonts w:ascii="Bookman Old Style" w:hAnsi="Bookman Old Style" w:cs="Arial"/>
              </w:rPr>
              <w:t xml:space="preserve">: US CDS EUR SR 10Y </w:t>
            </w:r>
            <w:proofErr w:type="spellStart"/>
            <w:r w:rsidRPr="00F340A2">
              <w:rPr>
                <w:rFonts w:ascii="Bookman Old Style" w:hAnsi="Bookman Old Style" w:cs="Arial"/>
              </w:rPr>
              <w:t>Corp</w:t>
            </w:r>
            <w:proofErr w:type="spellEnd"/>
            <w:r w:rsidRPr="00F340A2">
              <w:rPr>
                <w:rFonts w:ascii="Bookman Old Style" w:hAnsi="Bookman Old Style" w:cs="Arial"/>
              </w:rPr>
              <w:t>).</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384"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R</m:t>
                    </m:r>
                  </m:e>
                  <m:sub>
                    <m:r>
                      <m:rPr>
                        <m:sty m:val="b"/>
                      </m:rPr>
                      <w:rPr>
                        <w:rFonts w:ascii="Cambria Math" w:eastAsia="Cambria Math" w:hAnsi="Cambria Math" w:cstheme="minorBidi"/>
                        <w:color w:val="000000" w:themeColor="text1"/>
                        <w:kern w:val="24"/>
                      </w:rPr>
                      <m:t>r,a</m:t>
                    </m:r>
                  </m:sub>
                </m:sSub>
              </m:oMath>
            </m:oMathPara>
          </w:p>
        </w:tc>
        <w:tc>
          <w:tcPr>
            <w:tcW w:w="284" w:type="dxa"/>
          </w:tcPr>
          <w:p w:rsidR="000776BE" w:rsidRPr="00F340A2" w:rsidRDefault="000776BE" w:rsidP="00F67EAC">
            <w:pPr>
              <w:ind w:left="0"/>
              <w:rPr>
                <w:rFonts w:ascii="Bookman Old Style" w:hAnsi="Bookman Old Style" w:cs="Arial"/>
                <w:b/>
                <w:iCs/>
                <w:color w:val="000000" w:themeColor="text1"/>
                <w:kern w:val="24"/>
              </w:rPr>
            </w:pPr>
            <w:r w:rsidRPr="00F340A2">
              <w:rPr>
                <w:rFonts w:ascii="Bookman Old Style" w:hAnsi="Bookman Old Style" w:cs="Arial"/>
                <w:b/>
                <w:iCs/>
                <w:color w:val="000000" w:themeColor="text1"/>
                <w:kern w:val="24"/>
              </w:rPr>
              <w:t>:</w:t>
            </w:r>
          </w:p>
        </w:tc>
        <w:tc>
          <w:tcPr>
            <w:tcW w:w="7796" w:type="dxa"/>
            <w:vAlign w:val="center"/>
          </w:tcPr>
          <w:p w:rsidR="000776BE" w:rsidRPr="00F340A2" w:rsidRDefault="000776BE" w:rsidP="00F67EAC">
            <w:pPr>
              <w:ind w:left="0"/>
              <w:jc w:val="both"/>
              <w:rPr>
                <w:rFonts w:ascii="Bookman Old Style" w:hAnsi="Bookman Old Style"/>
                <w:lang w:val="es-ES_tradnl"/>
              </w:rPr>
            </w:pPr>
            <w:r w:rsidRPr="00F340A2">
              <w:rPr>
                <w:rFonts w:ascii="Bookman Old Style" w:hAnsi="Bookman Old Style" w:cs="Arial"/>
                <w:iCs/>
                <w:color w:val="000000" w:themeColor="text1"/>
                <w:kern w:val="24"/>
              </w:rPr>
              <w:t>P</w:t>
            </w:r>
            <w:r w:rsidRPr="00F340A2">
              <w:rPr>
                <w:rFonts w:ascii="Bookman Old Style" w:hAnsi="Bookman Old Style" w:cs="Arial"/>
              </w:rPr>
              <w:t xml:space="preserve">rima por </w:t>
            </w:r>
            <w:r w:rsidRPr="00F340A2">
              <w:rPr>
                <w:rFonts w:ascii="Bookman Old Style" w:hAnsi="Bookman Old Style" w:cs="Arial"/>
                <w:iCs/>
                <w:color w:val="000000" w:themeColor="text1"/>
                <w:kern w:val="24"/>
              </w:rPr>
              <w:t xml:space="preserve">diferencias entre el esquema de remuneración del mercado de referencia (Estados Unidos de América) y el esquema aplicado </w:t>
            </w:r>
            <w:r w:rsidRPr="00F340A2">
              <w:rPr>
                <w:rFonts w:ascii="Bookman Old Style" w:hAnsi="Bookman Old Style" w:cs="Arial"/>
              </w:rPr>
              <w:t xml:space="preserve">en Colombia para la </w:t>
            </w:r>
            <w:proofErr w:type="gramStart"/>
            <w:r w:rsidRPr="00F340A2">
              <w:rPr>
                <w:rFonts w:ascii="Bookman Old Style" w:hAnsi="Bookman Old Style" w:cs="Arial"/>
              </w:rPr>
              <w:t xml:space="preserve">actividad </w:t>
            </w:r>
            <w:proofErr w:type="gramEnd"/>
            <m:oMath>
              <m:r>
                <m:rPr>
                  <m:sty m:val="p"/>
                </m:rPr>
                <w:rPr>
                  <w:rFonts w:ascii="Cambria Math" w:hAnsi="Cambria Math" w:cs="Arial"/>
                </w:rPr>
                <m:t>a</m:t>
              </m:r>
            </m:oMath>
            <w:r w:rsidRPr="00F340A2">
              <w:rPr>
                <w:rFonts w:ascii="Bookman Old Style" w:hAnsi="Bookman Old Style" w:cs="Arial"/>
              </w:rPr>
              <w:t xml:space="preserve">. El valor para efectos de cálculo de cada actividad será publicado en resolución aparte y considerará, en cada caso, la </w:t>
            </w:r>
            <w:r w:rsidRPr="00F340A2">
              <w:rPr>
                <w:rFonts w:ascii="Bookman Old Style" w:hAnsi="Bookman Old Style" w:cs="Arial"/>
                <w:iCs/>
                <w:color w:val="000000" w:themeColor="text1"/>
                <w:kern w:val="24"/>
              </w:rPr>
              <w:t>nueva metodología de remuneración que se encuentre en proceso de ser adoptada por la CREG.</w:t>
            </w:r>
          </w:p>
          <w:p w:rsidR="000776BE" w:rsidRDefault="000776BE" w:rsidP="00F67EAC">
            <w:pPr>
              <w:ind w:left="0"/>
              <w:jc w:val="both"/>
              <w:rPr>
                <w:rFonts w:ascii="Bookman Old Style" w:hAnsi="Bookman Old Style"/>
                <w:lang w:val="es-ES_tradnl"/>
              </w:rPr>
            </w:pPr>
          </w:p>
          <w:p w:rsidR="00AD5090" w:rsidRPr="00F340A2" w:rsidRDefault="00AD5090" w:rsidP="00F67EAC">
            <w:pPr>
              <w:ind w:left="0"/>
              <w:jc w:val="both"/>
              <w:rPr>
                <w:rFonts w:ascii="Bookman Old Style" w:hAnsi="Bookman Old Style"/>
                <w:lang w:val="es-ES_tradnl"/>
              </w:rPr>
            </w:pPr>
          </w:p>
        </w:tc>
      </w:tr>
    </w:tbl>
    <w:p w:rsidR="000776BE" w:rsidRPr="00F340A2" w:rsidRDefault="000776BE" w:rsidP="000776BE">
      <w:pPr>
        <w:ind w:left="0"/>
        <w:jc w:val="both"/>
        <w:rPr>
          <w:rFonts w:ascii="Bookman Old Style" w:hAnsi="Bookman Old Style" w:cs="Arial"/>
        </w:rPr>
      </w:pPr>
      <w:r w:rsidRPr="00F340A2">
        <w:rPr>
          <w:rFonts w:ascii="Bookman Old Style" w:hAnsi="Bookman Old Style" w:cs="Arial"/>
          <w:b/>
          <w:iCs/>
          <w:color w:val="000000" w:themeColor="text1"/>
          <w:kern w:val="24"/>
        </w:rPr>
        <w:t xml:space="preserve">Parágrafo 4. </w:t>
      </w:r>
      <w:r w:rsidRPr="00F340A2">
        <w:rPr>
          <w:rFonts w:ascii="Bookman Old Style" w:hAnsi="Bookman Old Style" w:cs="Arial"/>
          <w:lang w:val="es-ES_tradnl"/>
        </w:rPr>
        <w:t xml:space="preserve">El beta </w:t>
      </w:r>
      <w:proofErr w:type="spellStart"/>
      <w:r w:rsidRPr="00F340A2">
        <w:rPr>
          <w:rFonts w:ascii="Bookman Old Style" w:hAnsi="Bookman Old Style" w:cs="Arial"/>
          <w:lang w:val="es-ES_tradnl"/>
        </w:rPr>
        <w:t>desapalancado</w:t>
      </w:r>
      <w:proofErr w:type="spellEnd"/>
      <w:r w:rsidRPr="00F340A2">
        <w:rPr>
          <w:rFonts w:ascii="Bookman Old Style" w:hAnsi="Bookman Old Style" w:cs="Arial"/>
          <w:lang w:val="es-ES_tradnl"/>
        </w:rPr>
        <w:t xml:space="preserve"> </w:t>
      </w:r>
      <w:r w:rsidRPr="00F340A2">
        <w:rPr>
          <w:rFonts w:ascii="Bookman Old Style" w:hAnsi="Bookman Old Style" w:cs="Arial"/>
          <w:iCs/>
          <w:lang w:val="es-ES_tradnl"/>
        </w:rPr>
        <w:t>está dado por la siguiente expresión:</w:t>
      </w:r>
    </w:p>
    <w:p w:rsidR="000776BE" w:rsidRPr="00F340A2" w:rsidRDefault="000776BE" w:rsidP="000776BE">
      <w:pPr>
        <w:ind w:left="0"/>
        <w:contextualSpacing/>
        <w:jc w:val="both"/>
        <w:rPr>
          <w:rFonts w:ascii="Bookman Old Style" w:hAnsi="Bookman Old Style" w:cs="Arial"/>
        </w:rPr>
      </w:pPr>
    </w:p>
    <w:p w:rsidR="000776BE" w:rsidRPr="00F340A2" w:rsidRDefault="00EC20D9" w:rsidP="000776BE">
      <w:pPr>
        <w:ind w:left="0"/>
        <w:contextualSpacing/>
        <w:jc w:val="both"/>
        <w:rPr>
          <w:rFonts w:ascii="Bookman Old Style" w:hAnsi="Bookman Old Style" w:cs="Arial"/>
        </w:rPr>
      </w:pPr>
      <m:oMathPara>
        <m:oMath>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m:t>
              </m:r>
            </m:e>
            <m:sub>
              <m:r>
                <m:rPr>
                  <m:sty m:val="p"/>
                </m:rPr>
                <w:rPr>
                  <w:rFonts w:ascii="Cambria Math" w:eastAsia="Cambria Math" w:hAnsi="Cambria Math" w:cstheme="minorBidi"/>
                  <w:color w:val="000000" w:themeColor="text1"/>
                  <w:kern w:val="24"/>
                </w:rPr>
                <m:t>U,t</m:t>
              </m:r>
            </m:sub>
          </m:sSub>
          <m:r>
            <m:rPr>
              <m:sty m:val="p"/>
            </m:rPr>
            <w:rPr>
              <w:rFonts w:ascii="Cambria Math" w:eastAsia="Cambria Math" w:hAnsi="Cambria Math" w:cstheme="minorBidi"/>
              <w:color w:val="000000" w:themeColor="text1"/>
              <w:kern w:val="24"/>
            </w:rPr>
            <m:t>=</m:t>
          </m:r>
          <m:f>
            <m:fPr>
              <m:ctrlPr>
                <w:rPr>
                  <w:rFonts w:ascii="Cambria Math" w:eastAsia="Cambria Math" w:hAnsi="Cambria Math" w:cstheme="minorBidi"/>
                  <w:iCs/>
                  <w:color w:val="000000" w:themeColor="text1"/>
                  <w:kern w:val="24"/>
                </w:rPr>
              </m:ctrlPr>
            </m:fPr>
            <m:num>
              <m:f>
                <m:fPr>
                  <m:ctrlPr>
                    <w:rPr>
                      <w:rFonts w:ascii="Cambria Math" w:eastAsia="Cambria Math" w:hAnsi="Cambria Math" w:cstheme="minorBidi"/>
                      <w:iCs/>
                      <w:color w:val="000000" w:themeColor="text1"/>
                      <w:kern w:val="24"/>
                    </w:rPr>
                  </m:ctrlPr>
                </m:fPr>
                <m:num>
                  <m:nary>
                    <m:naryPr>
                      <m:chr m:val="∑"/>
                      <m:limLoc m:val="undOvr"/>
                      <m:ctrlPr>
                        <w:rPr>
                          <w:rFonts w:ascii="Cambria Math" w:eastAsia="Cambria Math" w:hAnsi="Cambria Math" w:cstheme="minorBidi"/>
                          <w:iCs/>
                          <w:color w:val="000000" w:themeColor="text1"/>
                          <w:kern w:val="24"/>
                        </w:rPr>
                      </m:ctrlPr>
                    </m:naryPr>
                    <m:sub>
                      <m:r>
                        <m:rPr>
                          <m:sty m:val="p"/>
                        </m:rPr>
                        <w:rPr>
                          <w:rFonts w:ascii="Cambria Math" w:eastAsia="Cambria Math" w:hAnsi="Cambria Math" w:cstheme="minorBidi"/>
                          <w:color w:val="000000" w:themeColor="text1"/>
                          <w:kern w:val="24"/>
                        </w:rPr>
                        <m:t>i=1</m:t>
                      </m:r>
                    </m:sub>
                    <m:sup>
                      <m:r>
                        <m:rPr>
                          <m:sty m:val="p"/>
                        </m:rPr>
                        <w:rPr>
                          <w:rFonts w:ascii="Cambria Math" w:eastAsia="Cambria Math" w:hAnsi="Cambria Math" w:cstheme="minorBidi"/>
                          <w:color w:val="000000" w:themeColor="text1"/>
                          <w:kern w:val="24"/>
                        </w:rPr>
                        <m:t>NE</m:t>
                      </m:r>
                    </m:sup>
                    <m:e>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m:t>
                          </m:r>
                        </m:e>
                        <m:sub>
                          <m:r>
                            <m:rPr>
                              <m:sty m:val="p"/>
                            </m:rPr>
                            <w:rPr>
                              <w:rFonts w:ascii="Cambria Math" w:eastAsia="Cambria Math" w:hAnsi="Cambria Math" w:cstheme="minorBidi"/>
                              <w:color w:val="000000" w:themeColor="text1"/>
                              <w:kern w:val="24"/>
                            </w:rPr>
                            <m:t>i,t</m:t>
                          </m:r>
                        </m:sub>
                      </m:sSub>
                      <m:r>
                        <m:rPr>
                          <m:sty m:val="p"/>
                        </m:rPr>
                        <w:rPr>
                          <w:rFonts w:ascii="Cambria Math" w:eastAsia="Cambria Math" w:hAnsi="Cambria Math" w:cstheme="minorBidi"/>
                          <w:color w:val="000000" w:themeColor="text1"/>
                          <w:kern w:val="24"/>
                        </w:rPr>
                        <m:t>*</m:t>
                      </m:r>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Mkt_Cap</m:t>
                          </m:r>
                        </m:e>
                        <m:sub>
                          <m:r>
                            <m:rPr>
                              <m:sty m:val="p"/>
                            </m:rPr>
                            <w:rPr>
                              <w:rFonts w:ascii="Cambria Math" w:eastAsia="Cambria Math" w:hAnsi="Cambria Math" w:cstheme="minorBidi"/>
                              <w:color w:val="000000" w:themeColor="text1"/>
                              <w:kern w:val="24"/>
                            </w:rPr>
                            <m:t>i,t</m:t>
                          </m:r>
                        </m:sub>
                      </m:sSub>
                    </m:e>
                  </m:nary>
                </m:num>
                <m:den>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Mkt_Cap_Total</m:t>
                      </m:r>
                    </m:e>
                    <m:sub>
                      <m:r>
                        <m:rPr>
                          <m:sty m:val="p"/>
                        </m:rPr>
                        <w:rPr>
                          <w:rFonts w:ascii="Cambria Math" w:eastAsia="Cambria Math" w:hAnsi="Cambria Math" w:cstheme="minorBidi"/>
                          <w:color w:val="000000" w:themeColor="text1"/>
                          <w:kern w:val="24"/>
                        </w:rPr>
                        <m:t>t</m:t>
                      </m:r>
                    </m:sub>
                  </m:sSub>
                </m:den>
              </m:f>
            </m:num>
            <m:den>
              <m:d>
                <m:dPr>
                  <m:ctrlPr>
                    <w:rPr>
                      <w:rFonts w:ascii="Cambria Math" w:eastAsia="Cambria Math" w:hAnsi="Cambria Math" w:cstheme="minorBidi"/>
                      <w:color w:val="000000" w:themeColor="text1"/>
                      <w:kern w:val="24"/>
                    </w:rPr>
                  </m:ctrlPr>
                </m:dPr>
                <m:e>
                  <m:r>
                    <m:rPr>
                      <m:sty m:val="p"/>
                    </m:rPr>
                    <w:rPr>
                      <w:rFonts w:ascii="Cambria Math" w:eastAsia="Cambria Math" w:hAnsi="Cambria Math" w:cstheme="minorBidi"/>
                      <w:color w:val="000000" w:themeColor="text1"/>
                      <w:kern w:val="24"/>
                    </w:rPr>
                    <m:t>1+</m:t>
                  </m:r>
                  <m:d>
                    <m:dPr>
                      <m:ctrlPr>
                        <w:rPr>
                          <w:rFonts w:ascii="Cambria Math" w:eastAsia="Cambria Math" w:hAnsi="Cambria Math" w:cstheme="minorBidi"/>
                          <w:iCs/>
                          <w:color w:val="000000" w:themeColor="text1"/>
                          <w:kern w:val="24"/>
                        </w:rPr>
                      </m:ctrlPr>
                    </m:dPr>
                    <m:e>
                      <m:r>
                        <m:rPr>
                          <m:sty m:val="p"/>
                        </m:rPr>
                        <w:rPr>
                          <w:rFonts w:ascii="Cambria Math" w:eastAsia="Cambria Math" w:hAnsi="Cambria Math" w:cstheme="minorBidi"/>
                          <w:color w:val="000000" w:themeColor="text1"/>
                          <w:kern w:val="24"/>
                        </w:rPr>
                        <m:t>1-Corp_Tax</m:t>
                      </m:r>
                    </m:e>
                  </m:d>
                  <m:f>
                    <m:fPr>
                      <m:ctrlPr>
                        <w:rPr>
                          <w:rFonts w:ascii="Cambria Math" w:eastAsia="Cambria Math" w:hAnsi="Cambria Math" w:cstheme="minorBidi"/>
                          <w:iCs/>
                          <w:color w:val="000000" w:themeColor="text1"/>
                          <w:kern w:val="24"/>
                        </w:rPr>
                      </m:ctrlPr>
                    </m:fPr>
                    <m:num>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Debt_Total</m:t>
                          </m:r>
                        </m:e>
                        <m:sub>
                          <m:r>
                            <m:rPr>
                              <m:sty m:val="p"/>
                            </m:rPr>
                            <w:rPr>
                              <w:rFonts w:ascii="Cambria Math" w:eastAsia="Cambria Math" w:hAnsi="Cambria Math" w:cstheme="minorBidi"/>
                              <w:color w:val="000000" w:themeColor="text1"/>
                              <w:kern w:val="24"/>
                            </w:rPr>
                            <m:t>t</m:t>
                          </m:r>
                        </m:sub>
                      </m:sSub>
                    </m:num>
                    <m:den>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Mkt_Cap_Total</m:t>
                          </m:r>
                        </m:e>
                        <m:sub>
                          <m:r>
                            <m:rPr>
                              <m:sty m:val="p"/>
                            </m:rPr>
                            <w:rPr>
                              <w:rFonts w:ascii="Cambria Math" w:eastAsia="Cambria Math" w:hAnsi="Cambria Math" w:cstheme="minorBidi"/>
                              <w:color w:val="000000" w:themeColor="text1"/>
                              <w:kern w:val="24"/>
                            </w:rPr>
                            <m:t>t</m:t>
                          </m:r>
                        </m:sub>
                      </m:sSub>
                    </m:den>
                  </m:f>
                </m:e>
              </m:d>
            </m:den>
          </m:f>
        </m:oMath>
      </m:oMathPara>
    </w:p>
    <w:p w:rsidR="000776BE" w:rsidRPr="00F340A2" w:rsidRDefault="000776BE" w:rsidP="000776BE">
      <w:pPr>
        <w:ind w:left="0"/>
        <w:contextualSpacing/>
        <w:jc w:val="both"/>
        <w:rPr>
          <w:rFonts w:ascii="Bookman Old Style" w:hAnsi="Bookman Old Style" w:cs="Arial"/>
        </w:rPr>
      </w:pPr>
    </w:p>
    <w:p w:rsidR="000776BE" w:rsidRPr="00F340A2" w:rsidRDefault="000776BE" w:rsidP="000776BE">
      <w:pPr>
        <w:ind w:left="0"/>
        <w:contextualSpacing/>
        <w:jc w:val="both"/>
        <w:rPr>
          <w:rFonts w:ascii="Bookman Old Style" w:hAnsi="Bookman Old Style" w:cs="Arial"/>
        </w:rPr>
      </w:pPr>
      <w:r w:rsidRPr="00F340A2">
        <w:rPr>
          <w:rFonts w:ascii="Bookman Old Style" w:hAnsi="Bookman Old Style" w:cs="Arial"/>
        </w:rPr>
        <w:t xml:space="preserve">Donde, </w:t>
      </w:r>
    </w:p>
    <w:p w:rsidR="0018073E" w:rsidRDefault="0018073E" w:rsidP="000776BE">
      <w:pPr>
        <w:ind w:left="0"/>
        <w:contextualSpacing/>
        <w:jc w:val="both"/>
        <w:rPr>
          <w:rFonts w:ascii="Bookman Old Style" w:hAnsi="Bookman Old Style" w:cs="Arial"/>
        </w:rPr>
      </w:pPr>
    </w:p>
    <w:p w:rsidR="009F6DE5" w:rsidRPr="00F340A2" w:rsidRDefault="009F6DE5" w:rsidP="000776BE">
      <w:pPr>
        <w:ind w:left="0"/>
        <w:contextualSpacing/>
        <w:jc w:val="both"/>
        <w:rPr>
          <w:rFonts w:ascii="Bookman Old Style" w:hAnsi="Bookman Old Style" w:cs="Aria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93"/>
        <w:gridCol w:w="283"/>
        <w:gridCol w:w="7088"/>
      </w:tblGrid>
      <w:tr w:rsidR="000776BE" w:rsidRPr="00F340A2" w:rsidTr="00F67EAC">
        <w:tc>
          <w:tcPr>
            <w:tcW w:w="2093"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β</m:t>
                    </m:r>
                  </m:e>
                  <m:sub>
                    <m:r>
                      <m:rPr>
                        <m:sty m:val="b"/>
                      </m:rPr>
                      <w:rPr>
                        <w:rFonts w:ascii="Cambria Math" w:eastAsia="Cambria Math" w:hAnsi="Cambria Math" w:cstheme="minorBidi"/>
                        <w:color w:val="000000" w:themeColor="text1"/>
                        <w:kern w:val="24"/>
                      </w:rPr>
                      <m:t>U,t</m:t>
                    </m:r>
                  </m:sub>
                </m:sSub>
              </m:oMath>
            </m:oMathPara>
          </w:p>
        </w:tc>
        <w:tc>
          <w:tcPr>
            <w:tcW w:w="283" w:type="dxa"/>
          </w:tcPr>
          <w:p w:rsidR="000776BE" w:rsidRPr="00F340A2" w:rsidRDefault="000776BE" w:rsidP="00F67EAC">
            <w:pPr>
              <w:ind w:left="0"/>
              <w:rPr>
                <w:rFonts w:ascii="Bookman Old Style" w:hAnsi="Bookman Old Style" w:cs="Arial"/>
                <w:b/>
                <w:iCs/>
                <w:color w:val="000000" w:themeColor="text1"/>
                <w:kern w:val="24"/>
              </w:rPr>
            </w:pPr>
            <w:r w:rsidRPr="00F340A2">
              <w:rPr>
                <w:rFonts w:ascii="Bookman Old Style" w:hAnsi="Bookman Old Style" w:cs="Arial"/>
                <w:b/>
                <w:iCs/>
                <w:color w:val="000000" w:themeColor="text1"/>
                <w:kern w:val="24"/>
              </w:rPr>
              <w:t>:</w:t>
            </w:r>
          </w:p>
        </w:tc>
        <w:tc>
          <w:tcPr>
            <w:tcW w:w="7088" w:type="dxa"/>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iCs/>
                <w:color w:val="000000" w:themeColor="text1"/>
                <w:kern w:val="24"/>
              </w:rPr>
              <w:t>B</w:t>
            </w:r>
            <w:r w:rsidRPr="00F340A2">
              <w:rPr>
                <w:rFonts w:ascii="Bookman Old Style" w:hAnsi="Bookman Old Style" w:cs="Arial"/>
              </w:rPr>
              <w:t xml:space="preserve">eta </w:t>
            </w:r>
            <w:proofErr w:type="spellStart"/>
            <w:r w:rsidRPr="00F340A2">
              <w:rPr>
                <w:rFonts w:ascii="Bookman Old Style" w:hAnsi="Bookman Old Style" w:cs="Arial"/>
              </w:rPr>
              <w:t>desapalancado</w:t>
            </w:r>
            <w:proofErr w:type="spellEnd"/>
            <w:r w:rsidRPr="00F340A2">
              <w:rPr>
                <w:rFonts w:ascii="Bookman Old Style" w:hAnsi="Bookman Old Style" w:cs="Arial"/>
              </w:rPr>
              <w:t xml:space="preserve"> en el </w:t>
            </w:r>
            <w:proofErr w:type="gramStart"/>
            <w:r w:rsidRPr="00F340A2">
              <w:rPr>
                <w:rFonts w:ascii="Bookman Old Style" w:hAnsi="Bookman Old Style" w:cs="Arial"/>
              </w:rPr>
              <w:t xml:space="preserve">momento </w:t>
            </w:r>
            <w:proofErr w:type="gramEnd"/>
            <m:oMath>
              <m:r>
                <m:rPr>
                  <m:sty m:val="p"/>
                </m:rPr>
                <w:rPr>
                  <w:rFonts w:ascii="Cambria Math" w:hAnsi="Cambria Math" w:cs="Arial"/>
                </w:rPr>
                <m:t>t</m:t>
              </m:r>
            </m:oMath>
            <w:r w:rsidRPr="00F340A2">
              <w:rPr>
                <w:rFonts w:ascii="Bookman Old Style" w:hAnsi="Bookman Old Style" w:cs="Arial"/>
              </w:rPr>
              <w:t>.</w:t>
            </w:r>
          </w:p>
          <w:p w:rsidR="000776BE" w:rsidRPr="00F340A2" w:rsidRDefault="000776BE" w:rsidP="00F67EAC">
            <w:pPr>
              <w:ind w:left="0"/>
              <w:rPr>
                <w:rFonts w:ascii="Bookman Old Style" w:hAnsi="Bookman Old Style"/>
              </w:rPr>
            </w:pPr>
          </w:p>
        </w:tc>
      </w:tr>
      <w:tr w:rsidR="000776BE" w:rsidRPr="00F340A2" w:rsidTr="00F67EAC">
        <w:tc>
          <w:tcPr>
            <w:tcW w:w="2093" w:type="dxa"/>
          </w:tcPr>
          <w:p w:rsidR="000776BE" w:rsidRPr="00F340A2" w:rsidRDefault="00EC20D9" w:rsidP="00F67EAC">
            <w:pPr>
              <w:ind w:left="0"/>
              <w:rPr>
                <w:rFonts w:ascii="Bookman Old Style" w:hAnsi="Bookman Old Style" w:cs="Arial"/>
                <w:b/>
                <w:iCs/>
                <w:color w:val="000000" w:themeColor="text1"/>
                <w:kern w:val="24"/>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β</m:t>
                    </m:r>
                  </m:e>
                  <m:sub>
                    <m:r>
                      <m:rPr>
                        <m:sty m:val="b"/>
                      </m:rPr>
                      <w:rPr>
                        <w:rFonts w:ascii="Cambria Math" w:eastAsia="Cambria Math" w:hAnsi="Cambria Math" w:cstheme="minorBidi"/>
                        <w:color w:val="000000" w:themeColor="text1"/>
                        <w:kern w:val="24"/>
                      </w:rPr>
                      <m:t>i,t</m:t>
                    </m:r>
                  </m:sub>
                </m:sSub>
              </m:oMath>
            </m:oMathPara>
          </w:p>
        </w:tc>
        <w:tc>
          <w:tcPr>
            <w:tcW w:w="283" w:type="dxa"/>
          </w:tcPr>
          <w:p w:rsidR="000776BE" w:rsidRPr="00F340A2" w:rsidRDefault="000776BE" w:rsidP="00F67EAC">
            <w:pPr>
              <w:ind w:left="0"/>
              <w:rPr>
                <w:rFonts w:ascii="Bookman Old Style" w:hAnsi="Bookman Old Style" w:cs="Arial"/>
                <w:b/>
                <w:iCs/>
                <w:color w:val="000000" w:themeColor="text1"/>
                <w:kern w:val="24"/>
              </w:rPr>
            </w:pPr>
            <w:r w:rsidRPr="00F340A2">
              <w:rPr>
                <w:rFonts w:ascii="Bookman Old Style" w:hAnsi="Bookman Old Style" w:cs="Arial"/>
                <w:b/>
                <w:iCs/>
                <w:color w:val="000000" w:themeColor="text1"/>
                <w:kern w:val="24"/>
              </w:rPr>
              <w:t>:</w:t>
            </w:r>
          </w:p>
        </w:tc>
        <w:tc>
          <w:tcPr>
            <w:tcW w:w="7088" w:type="dxa"/>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rPr>
              <w:t>B</w:t>
            </w:r>
            <w:r w:rsidRPr="00F340A2">
              <w:rPr>
                <w:rFonts w:ascii="Bookman Old Style" w:hAnsi="Bookman Old Style"/>
                <w:lang w:val="es-ES_tradnl"/>
              </w:rPr>
              <w:t xml:space="preserve">eta apalancado de cada una de las empresas seleccionadas para efectuar el cálculo del </w:t>
            </w:r>
            <m:oMath>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m:t>
                  </m:r>
                </m:e>
                <m:sub>
                  <m:r>
                    <m:rPr>
                      <m:sty m:val="p"/>
                    </m:rPr>
                    <w:rPr>
                      <w:rFonts w:ascii="Cambria Math" w:eastAsia="Cambria Math" w:hAnsi="Cambria Math" w:cstheme="minorBidi"/>
                      <w:color w:val="000000" w:themeColor="text1"/>
                      <w:kern w:val="24"/>
                    </w:rPr>
                    <m:t>U,t</m:t>
                  </m:r>
                </m:sub>
              </m:sSub>
            </m:oMath>
            <w:r w:rsidRPr="00F340A2">
              <w:rPr>
                <w:rFonts w:ascii="Bookman Old Style" w:hAnsi="Bookman Old Style" w:cs="Arial"/>
              </w:rPr>
              <w:t xml:space="preserve">, en el momento </w:t>
            </w:r>
            <m:oMath>
              <m:r>
                <m:rPr>
                  <m:sty m:val="p"/>
                </m:rPr>
                <w:rPr>
                  <w:rFonts w:ascii="Cambria Math" w:hAnsi="Cambria Math" w:cs="Arial"/>
                </w:rPr>
                <m:t>t.</m:t>
              </m:r>
            </m:oMath>
            <w:r w:rsidRPr="00F340A2">
              <w:rPr>
                <w:rFonts w:ascii="Bookman Old Style" w:hAnsi="Bookman Old Style"/>
                <w:iCs/>
                <w:color w:val="000000" w:themeColor="text1"/>
                <w:kern w:val="24"/>
              </w:rPr>
              <w:t xml:space="preserve"> </w:t>
            </w:r>
            <w:r w:rsidRPr="00F340A2">
              <w:rPr>
                <w:rFonts w:ascii="Bookman Old Style" w:hAnsi="Bookman Old Style"/>
                <w:lang w:val="es-ES_tradnl"/>
              </w:rPr>
              <w:t xml:space="preserve">Se calcula a partir de los retornos diarios de los últimos 60 meses, contados a partir del último día del mes anterior a la fecha de cálculo. </w:t>
            </w:r>
            <w:r w:rsidRPr="00F340A2">
              <w:rPr>
                <w:rFonts w:ascii="Bookman Old Style" w:hAnsi="Bookman Old Style" w:cs="Arial"/>
                <w:iCs/>
                <w:color w:val="000000" w:themeColor="text1"/>
                <w:kern w:val="24"/>
              </w:rPr>
              <w:t>En donde i es cada una de las empresas consideradas para el cálculo.</w:t>
            </w:r>
          </w:p>
          <w:p w:rsidR="000776BE" w:rsidRPr="00F340A2" w:rsidRDefault="000776BE" w:rsidP="00F67EAC">
            <w:pPr>
              <w:ind w:left="0"/>
              <w:jc w:val="both"/>
              <w:rPr>
                <w:rFonts w:ascii="Bookman Old Style" w:hAnsi="Bookman Old Style" w:cs="Arial"/>
                <w:iCs/>
                <w:color w:val="000000" w:themeColor="text1"/>
                <w:kern w:val="24"/>
              </w:rPr>
            </w:pPr>
          </w:p>
        </w:tc>
      </w:tr>
      <w:tr w:rsidR="000776BE" w:rsidRPr="00F340A2" w:rsidTr="00F67EAC">
        <w:tc>
          <w:tcPr>
            <w:tcW w:w="2093" w:type="dxa"/>
          </w:tcPr>
          <w:p w:rsidR="000776BE" w:rsidRPr="00F340A2" w:rsidRDefault="00EC20D9" w:rsidP="00F67EAC">
            <w:pPr>
              <w:ind w:left="0"/>
              <w:rPr>
                <w:rFonts w:ascii="Bookman Old Style" w:hAnsi="Bookman Old Style" w:cs="Arial"/>
                <w:b/>
                <w:iCs/>
                <w:color w:val="000000" w:themeColor="text1"/>
                <w:kern w:val="24"/>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Mkt_Cap</m:t>
                    </m:r>
                  </m:e>
                  <m:sub>
                    <m:r>
                      <m:rPr>
                        <m:sty m:val="b"/>
                      </m:rPr>
                      <w:rPr>
                        <w:rFonts w:ascii="Cambria Math" w:eastAsia="Cambria Math" w:hAnsi="Cambria Math" w:cstheme="minorBidi"/>
                        <w:color w:val="000000" w:themeColor="text1"/>
                        <w:kern w:val="24"/>
                      </w:rPr>
                      <m:t>i,t</m:t>
                    </m:r>
                  </m:sub>
                </m:sSub>
              </m:oMath>
            </m:oMathPara>
          </w:p>
        </w:tc>
        <w:tc>
          <w:tcPr>
            <w:tcW w:w="283" w:type="dxa"/>
          </w:tcPr>
          <w:p w:rsidR="000776BE" w:rsidRPr="00F340A2" w:rsidRDefault="000776BE" w:rsidP="00F67EAC">
            <w:pPr>
              <w:ind w:left="0"/>
              <w:rPr>
                <w:rFonts w:ascii="Bookman Old Style" w:hAnsi="Bookman Old Style" w:cs="Arial"/>
                <w:b/>
                <w:iCs/>
                <w:color w:val="000000" w:themeColor="text1"/>
                <w:kern w:val="24"/>
              </w:rPr>
            </w:pPr>
            <w:r w:rsidRPr="00F340A2">
              <w:rPr>
                <w:rFonts w:ascii="Bookman Old Style" w:hAnsi="Bookman Old Style" w:cs="Arial"/>
                <w:b/>
                <w:iCs/>
                <w:color w:val="000000" w:themeColor="text1"/>
                <w:kern w:val="24"/>
              </w:rPr>
              <w:t>:</w:t>
            </w:r>
          </w:p>
        </w:tc>
        <w:tc>
          <w:tcPr>
            <w:tcW w:w="7088" w:type="dxa"/>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Corresponde a la suma del reporte mensual de capitalización bursátil (en </w:t>
            </w:r>
            <w:proofErr w:type="spellStart"/>
            <w:r w:rsidRPr="00F340A2">
              <w:rPr>
                <w:rFonts w:ascii="Bookman Old Style" w:hAnsi="Bookman Old Style" w:cs="Arial"/>
                <w:iCs/>
                <w:color w:val="000000" w:themeColor="text1"/>
                <w:kern w:val="24"/>
              </w:rPr>
              <w:t>Bloomberg</w:t>
            </w:r>
            <w:proofErr w:type="spellEnd"/>
            <w:r w:rsidRPr="00F340A2">
              <w:rPr>
                <w:rFonts w:ascii="Bookman Old Style" w:hAnsi="Bookman Old Style" w:cs="Arial"/>
                <w:iCs/>
                <w:color w:val="000000" w:themeColor="text1"/>
                <w:kern w:val="24"/>
              </w:rPr>
              <w:t xml:space="preserve"> identificada como CUR_MKT_CAP) de la </w:t>
            </w:r>
            <w:proofErr w:type="gramStart"/>
            <w:r w:rsidRPr="00F340A2">
              <w:rPr>
                <w:rFonts w:ascii="Bookman Old Style" w:hAnsi="Bookman Old Style" w:cs="Arial"/>
                <w:iCs/>
                <w:color w:val="000000" w:themeColor="text1"/>
                <w:kern w:val="24"/>
              </w:rPr>
              <w:t xml:space="preserve">empresa </w:t>
            </w:r>
            <w:proofErr w:type="gramEnd"/>
            <m:oMath>
              <m:r>
                <m:rPr>
                  <m:sty m:val="p"/>
                </m:rPr>
                <w:rPr>
                  <w:rFonts w:ascii="Cambria Math" w:hAnsi="Cambria Math" w:cs="Arial"/>
                </w:rPr>
                <m:t>i</m:t>
              </m:r>
            </m:oMath>
            <w:r w:rsidRPr="00F340A2">
              <w:rPr>
                <w:rFonts w:ascii="Bookman Old Style" w:hAnsi="Bookman Old Style" w:cs="Arial"/>
              </w:rPr>
              <w:t xml:space="preserve">, </w:t>
            </w:r>
            <w:r w:rsidRPr="00F340A2">
              <w:rPr>
                <w:rFonts w:ascii="Bookman Old Style" w:hAnsi="Bookman Old Style" w:cs="Arial"/>
                <w:iCs/>
                <w:color w:val="000000" w:themeColor="text1"/>
                <w:kern w:val="24"/>
              </w:rPr>
              <w:t xml:space="preserve">considerada para el cálculo del </w:t>
            </w:r>
            <m:oMath>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m:t>
                  </m:r>
                </m:e>
                <m:sub>
                  <m:r>
                    <m:rPr>
                      <m:sty m:val="p"/>
                    </m:rPr>
                    <w:rPr>
                      <w:rFonts w:ascii="Cambria Math" w:eastAsia="Cambria Math" w:hAnsi="Cambria Math" w:cstheme="minorBidi"/>
                      <w:color w:val="000000" w:themeColor="text1"/>
                      <w:kern w:val="24"/>
                    </w:rPr>
                    <m:t>U,t</m:t>
                  </m:r>
                </m:sub>
              </m:sSub>
            </m:oMath>
            <w:r w:rsidRPr="00F340A2">
              <w:rPr>
                <w:rFonts w:ascii="Bookman Old Style" w:hAnsi="Bookman Old Style" w:cs="Arial"/>
                <w:iCs/>
                <w:color w:val="000000" w:themeColor="text1"/>
                <w:kern w:val="24"/>
              </w:rPr>
              <w:t>, en el momento t. Se calcula con información mensual de los últimos 60 meses, contados a partir del último día del mes anterior a la fecha de cálculo.</w:t>
            </w:r>
          </w:p>
          <w:p w:rsidR="000776BE" w:rsidRPr="00F340A2" w:rsidRDefault="000776BE" w:rsidP="00F67EAC">
            <w:pPr>
              <w:ind w:left="0"/>
              <w:jc w:val="both"/>
              <w:rPr>
                <w:rFonts w:ascii="Bookman Old Style" w:hAnsi="Bookman Old Style" w:cs="Arial"/>
                <w:iCs/>
                <w:color w:val="000000" w:themeColor="text1"/>
                <w:kern w:val="24"/>
              </w:rPr>
            </w:pPr>
          </w:p>
        </w:tc>
      </w:tr>
      <w:tr w:rsidR="000776BE" w:rsidRPr="00F340A2" w:rsidTr="00F67EAC">
        <w:tc>
          <w:tcPr>
            <w:tcW w:w="2093" w:type="dxa"/>
          </w:tcPr>
          <w:p w:rsidR="000776BE" w:rsidRPr="00F340A2" w:rsidRDefault="00EC20D9" w:rsidP="00F67EAC">
            <w:pPr>
              <w:ind w:left="0"/>
              <w:rPr>
                <w:rFonts w:ascii="Bookman Old Style" w:hAnsi="Bookman Old Style" w:cs="Arial"/>
                <w:b/>
                <w:iCs/>
                <w:color w:val="000000" w:themeColor="text1"/>
                <w:kern w:val="24"/>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Mkt_Cap_Total</m:t>
                    </m:r>
                  </m:e>
                  <m:sub>
                    <m:r>
                      <m:rPr>
                        <m:sty m:val="b"/>
                      </m:rPr>
                      <w:rPr>
                        <w:rFonts w:ascii="Cambria Math" w:eastAsia="Cambria Math" w:hAnsi="Cambria Math" w:cstheme="minorBidi"/>
                        <w:color w:val="000000" w:themeColor="text1"/>
                        <w:kern w:val="24"/>
                      </w:rPr>
                      <m:t>t</m:t>
                    </m:r>
                  </m:sub>
                </m:sSub>
              </m:oMath>
            </m:oMathPara>
          </w:p>
        </w:tc>
        <w:tc>
          <w:tcPr>
            <w:tcW w:w="283" w:type="dxa"/>
          </w:tcPr>
          <w:p w:rsidR="000776BE" w:rsidRPr="00F340A2" w:rsidRDefault="000776BE" w:rsidP="00F67EAC">
            <w:pPr>
              <w:ind w:left="0"/>
              <w:rPr>
                <w:rFonts w:ascii="Bookman Old Style" w:hAnsi="Bookman Old Style" w:cs="Arial"/>
                <w:b/>
                <w:iCs/>
                <w:color w:val="000000" w:themeColor="text1"/>
                <w:kern w:val="24"/>
              </w:rPr>
            </w:pPr>
            <w:r w:rsidRPr="00F340A2">
              <w:rPr>
                <w:rFonts w:ascii="Bookman Old Style" w:hAnsi="Bookman Old Style" w:cs="Arial"/>
                <w:b/>
                <w:iCs/>
                <w:color w:val="000000" w:themeColor="text1"/>
                <w:kern w:val="24"/>
              </w:rPr>
              <w:t>:</w:t>
            </w:r>
          </w:p>
        </w:tc>
        <w:tc>
          <w:tcPr>
            <w:tcW w:w="7088" w:type="dxa"/>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Corresponde a la suma del reporte mensual de capitalización bursátil (en </w:t>
            </w:r>
            <w:proofErr w:type="spellStart"/>
            <w:r w:rsidRPr="00F340A2">
              <w:rPr>
                <w:rFonts w:ascii="Bookman Old Style" w:hAnsi="Bookman Old Style" w:cs="Arial"/>
                <w:iCs/>
                <w:color w:val="000000" w:themeColor="text1"/>
                <w:kern w:val="24"/>
              </w:rPr>
              <w:t>Bloomberg</w:t>
            </w:r>
            <w:proofErr w:type="spellEnd"/>
            <w:r w:rsidRPr="00F340A2">
              <w:rPr>
                <w:rFonts w:ascii="Bookman Old Style" w:hAnsi="Bookman Old Style" w:cs="Arial"/>
                <w:iCs/>
                <w:color w:val="000000" w:themeColor="text1"/>
                <w:kern w:val="24"/>
              </w:rPr>
              <w:t xml:space="preserve"> identificada como CUR_MKT_CAP) de todas las empresas consideradas para el cálculo del </w:t>
            </w:r>
            <m:oMath>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m:t>
                  </m:r>
                </m:e>
                <m:sub>
                  <m:r>
                    <m:rPr>
                      <m:sty m:val="p"/>
                    </m:rPr>
                    <w:rPr>
                      <w:rFonts w:ascii="Cambria Math" w:eastAsia="Cambria Math" w:hAnsi="Cambria Math" w:cstheme="minorBidi"/>
                      <w:color w:val="000000" w:themeColor="text1"/>
                      <w:kern w:val="24"/>
                    </w:rPr>
                    <m:t>U,t</m:t>
                  </m:r>
                </m:sub>
              </m:sSub>
            </m:oMath>
            <w:r w:rsidRPr="00F340A2">
              <w:rPr>
                <w:rFonts w:ascii="Bookman Old Style" w:hAnsi="Bookman Old Style" w:cs="Arial"/>
                <w:iCs/>
                <w:color w:val="000000" w:themeColor="text1"/>
                <w:kern w:val="24"/>
              </w:rPr>
              <w:t>, en el momento t. Se calcula con información mensual de los últimos 60 meses, contados a partir del último día del mes anterior a la fecha de cálculo.</w:t>
            </w:r>
          </w:p>
          <w:p w:rsidR="000776BE" w:rsidRPr="00F340A2" w:rsidRDefault="000776BE" w:rsidP="00F67EAC">
            <w:pPr>
              <w:ind w:left="0"/>
              <w:jc w:val="both"/>
              <w:rPr>
                <w:rFonts w:ascii="Bookman Old Style" w:hAnsi="Bookman Old Style" w:cs="Arial"/>
                <w:iCs/>
                <w:color w:val="000000" w:themeColor="text1"/>
                <w:kern w:val="24"/>
              </w:rPr>
            </w:pPr>
          </w:p>
        </w:tc>
      </w:tr>
      <w:tr w:rsidR="000776BE" w:rsidRPr="00F340A2" w:rsidTr="00F67EAC">
        <w:tc>
          <w:tcPr>
            <w:tcW w:w="2093" w:type="dxa"/>
          </w:tcPr>
          <w:p w:rsidR="000776BE" w:rsidRPr="00F340A2" w:rsidRDefault="00EC20D9" w:rsidP="00F67EAC">
            <w:pPr>
              <w:ind w:left="0"/>
              <w:rPr>
                <w:rFonts w:ascii="Bookman Old Style" w:hAnsi="Bookman Old Style" w:cs="Arial"/>
                <w:b/>
                <w:iCs/>
                <w:color w:val="000000" w:themeColor="text1"/>
                <w:kern w:val="24"/>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Debt_Total</m:t>
                    </m:r>
                  </m:e>
                  <m:sub>
                    <m:r>
                      <m:rPr>
                        <m:sty m:val="b"/>
                      </m:rPr>
                      <w:rPr>
                        <w:rFonts w:ascii="Cambria Math" w:eastAsia="Cambria Math" w:hAnsi="Cambria Math" w:cstheme="minorBidi"/>
                        <w:color w:val="000000" w:themeColor="text1"/>
                        <w:kern w:val="24"/>
                      </w:rPr>
                      <m:t>t</m:t>
                    </m:r>
                  </m:sub>
                </m:sSub>
              </m:oMath>
            </m:oMathPara>
          </w:p>
        </w:tc>
        <w:tc>
          <w:tcPr>
            <w:tcW w:w="283" w:type="dxa"/>
          </w:tcPr>
          <w:p w:rsidR="000776BE" w:rsidRPr="00F340A2" w:rsidRDefault="000776BE" w:rsidP="00F67EAC">
            <w:pPr>
              <w:ind w:left="0"/>
              <w:rPr>
                <w:rFonts w:ascii="Bookman Old Style" w:hAnsi="Bookman Old Style" w:cs="Arial"/>
                <w:b/>
                <w:iCs/>
                <w:color w:val="000000" w:themeColor="text1"/>
                <w:kern w:val="24"/>
              </w:rPr>
            </w:pPr>
            <w:r w:rsidRPr="00F340A2">
              <w:rPr>
                <w:rFonts w:ascii="Bookman Old Style" w:hAnsi="Bookman Old Style" w:cs="Arial"/>
                <w:b/>
                <w:iCs/>
                <w:color w:val="000000" w:themeColor="text1"/>
                <w:kern w:val="24"/>
              </w:rPr>
              <w:t>:</w:t>
            </w:r>
          </w:p>
        </w:tc>
        <w:tc>
          <w:tcPr>
            <w:tcW w:w="7088" w:type="dxa"/>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Corresponde a la suma del reporte mensual de deuda financiera de corto y largo plazo (en </w:t>
            </w:r>
            <w:proofErr w:type="spellStart"/>
            <w:r w:rsidRPr="00F340A2">
              <w:rPr>
                <w:rFonts w:ascii="Bookman Old Style" w:hAnsi="Bookman Old Style" w:cs="Arial"/>
                <w:iCs/>
                <w:color w:val="000000" w:themeColor="text1"/>
                <w:kern w:val="24"/>
              </w:rPr>
              <w:t>Bloomberg</w:t>
            </w:r>
            <w:proofErr w:type="spellEnd"/>
            <w:r w:rsidRPr="00F340A2">
              <w:rPr>
                <w:rFonts w:ascii="Bookman Old Style" w:hAnsi="Bookman Old Style" w:cs="Arial"/>
                <w:iCs/>
                <w:color w:val="000000" w:themeColor="text1"/>
                <w:kern w:val="24"/>
              </w:rPr>
              <w:t xml:space="preserve"> identificada como SHORT_AND_LONG_TERM_DEBT) de todas las empresas consideradas para el cálculo del </w:t>
            </w:r>
            <m:oMath>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m:t>
                  </m:r>
                </m:e>
                <m:sub>
                  <m:r>
                    <m:rPr>
                      <m:sty m:val="p"/>
                    </m:rPr>
                    <w:rPr>
                      <w:rFonts w:ascii="Cambria Math" w:eastAsia="Cambria Math" w:hAnsi="Cambria Math" w:cstheme="minorBidi"/>
                      <w:color w:val="000000" w:themeColor="text1"/>
                      <w:kern w:val="24"/>
                    </w:rPr>
                    <m:t>U,t</m:t>
                  </m:r>
                </m:sub>
              </m:sSub>
            </m:oMath>
            <w:r w:rsidRPr="00F340A2">
              <w:rPr>
                <w:rFonts w:ascii="Bookman Old Style" w:hAnsi="Bookman Old Style" w:cs="Arial"/>
                <w:iCs/>
                <w:color w:val="000000" w:themeColor="text1"/>
                <w:kern w:val="24"/>
              </w:rPr>
              <w:t>, en el momento t. Se calcula con información mensual de los últimos 60 meses, contados a partir del último día del mes anterior a la fecha de cálculo.</w:t>
            </w:r>
          </w:p>
          <w:p w:rsidR="000776BE" w:rsidRPr="00F340A2" w:rsidRDefault="000776BE" w:rsidP="00F67EAC">
            <w:pPr>
              <w:ind w:left="0"/>
              <w:jc w:val="both"/>
              <w:rPr>
                <w:rFonts w:ascii="Bookman Old Style" w:hAnsi="Bookman Old Style" w:cs="Arial"/>
                <w:iCs/>
                <w:color w:val="000000" w:themeColor="text1"/>
                <w:kern w:val="24"/>
              </w:rPr>
            </w:pPr>
          </w:p>
        </w:tc>
      </w:tr>
      <w:tr w:rsidR="000776BE" w:rsidRPr="00F340A2" w:rsidTr="00F67EAC">
        <w:tc>
          <w:tcPr>
            <w:tcW w:w="2093" w:type="dxa"/>
          </w:tcPr>
          <w:p w:rsidR="000776BE" w:rsidRPr="00F340A2" w:rsidRDefault="000776BE" w:rsidP="00F67EAC">
            <w:pPr>
              <w:ind w:left="0"/>
              <w:rPr>
                <w:rFonts w:ascii="Bookman Old Style" w:hAnsi="Bookman Old Style" w:cs="Arial"/>
                <w:b/>
                <w:iCs/>
                <w:color w:val="000000" w:themeColor="text1"/>
                <w:kern w:val="24"/>
              </w:rPr>
            </w:pPr>
            <m:oMathPara>
              <m:oMathParaPr>
                <m:jc m:val="left"/>
              </m:oMathParaPr>
              <m:oMath>
                <m:r>
                  <m:rPr>
                    <m:sty m:val="b"/>
                  </m:rPr>
                  <w:rPr>
                    <w:rFonts w:ascii="Cambria Math" w:eastAsia="Cambria Math" w:hAnsi="Cambria Math" w:cstheme="minorBidi"/>
                    <w:color w:val="000000" w:themeColor="text1"/>
                    <w:kern w:val="24"/>
                  </w:rPr>
                  <m:t>Corp_Tax</m:t>
                </m:r>
              </m:oMath>
            </m:oMathPara>
          </w:p>
        </w:tc>
        <w:tc>
          <w:tcPr>
            <w:tcW w:w="283" w:type="dxa"/>
          </w:tcPr>
          <w:p w:rsidR="000776BE" w:rsidRPr="00F340A2" w:rsidRDefault="000776BE" w:rsidP="00F67EAC">
            <w:pPr>
              <w:ind w:left="0"/>
              <w:rPr>
                <w:rFonts w:ascii="Bookman Old Style" w:hAnsi="Bookman Old Style" w:cs="Arial"/>
                <w:b/>
                <w:iCs/>
                <w:color w:val="000000" w:themeColor="text1"/>
                <w:kern w:val="24"/>
              </w:rPr>
            </w:pPr>
            <w:r w:rsidRPr="00F340A2">
              <w:rPr>
                <w:rFonts w:ascii="Bookman Old Style" w:hAnsi="Bookman Old Style" w:cs="Arial"/>
                <w:b/>
                <w:iCs/>
                <w:color w:val="000000" w:themeColor="text1"/>
                <w:kern w:val="24"/>
              </w:rPr>
              <w:t>:</w:t>
            </w:r>
          </w:p>
        </w:tc>
        <w:tc>
          <w:tcPr>
            <w:tcW w:w="7088" w:type="dxa"/>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Corresponde al impuesto corporativo a la renta, aplicable en los Estados Unidos de América. El valor considerado para efectos de cálculo es 35%.</w:t>
            </w:r>
          </w:p>
          <w:p w:rsidR="000776BE" w:rsidRPr="00F340A2" w:rsidRDefault="000776BE" w:rsidP="00F67EAC">
            <w:pPr>
              <w:ind w:left="0"/>
              <w:jc w:val="both"/>
              <w:rPr>
                <w:rFonts w:ascii="Bookman Old Style" w:hAnsi="Bookman Old Style" w:cs="Arial"/>
                <w:iCs/>
                <w:color w:val="000000" w:themeColor="text1"/>
                <w:kern w:val="24"/>
              </w:rPr>
            </w:pPr>
          </w:p>
        </w:tc>
      </w:tr>
      <w:tr w:rsidR="000776BE" w:rsidRPr="00F340A2" w:rsidTr="00F67EAC">
        <w:tc>
          <w:tcPr>
            <w:tcW w:w="2093" w:type="dxa"/>
          </w:tcPr>
          <w:p w:rsidR="000776BE" w:rsidRPr="00F340A2" w:rsidRDefault="000776BE" w:rsidP="00F67EAC">
            <w:pPr>
              <w:ind w:left="0"/>
              <w:rPr>
                <w:rFonts w:ascii="Bookman Old Style" w:hAnsi="Bookman Old Style"/>
                <w:b/>
                <w:lang w:val="es-ES_tradnl"/>
              </w:rPr>
            </w:pPr>
            <m:oMathPara>
              <m:oMathParaPr>
                <m:jc m:val="left"/>
              </m:oMathParaPr>
              <m:oMath>
                <m:r>
                  <m:rPr>
                    <m:sty m:val="b"/>
                  </m:rPr>
                  <w:rPr>
                    <w:rFonts w:ascii="Cambria Math" w:hAnsi="Cambria Math" w:cs="Arial"/>
                  </w:rPr>
                  <m:t>NE</m:t>
                </m:r>
              </m:oMath>
            </m:oMathPara>
          </w:p>
        </w:tc>
        <w:tc>
          <w:tcPr>
            <w:tcW w:w="283"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088" w:type="dxa"/>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Número de empresas consideradas en el cálculo </w:t>
            </w:r>
            <w:r w:rsidRPr="00F340A2">
              <w:rPr>
                <w:rFonts w:ascii="Bookman Old Style" w:hAnsi="Bookman Old Style" w:cs="Arial"/>
                <w:iCs/>
                <w:color w:val="000000" w:themeColor="text1"/>
                <w:kern w:val="24"/>
              </w:rPr>
              <w:t xml:space="preserve">del </w:t>
            </w:r>
            <m:oMath>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m:t>
                  </m:r>
                </m:e>
                <m:sub>
                  <m:r>
                    <m:rPr>
                      <m:sty m:val="p"/>
                    </m:rPr>
                    <w:rPr>
                      <w:rFonts w:ascii="Cambria Math" w:eastAsia="Cambria Math" w:hAnsi="Cambria Math" w:cstheme="minorBidi"/>
                      <w:color w:val="000000" w:themeColor="text1"/>
                      <w:kern w:val="24"/>
                    </w:rPr>
                    <m:t>U,t</m:t>
                  </m:r>
                </m:sub>
              </m:sSub>
            </m:oMath>
            <w:r w:rsidRPr="00F340A2">
              <w:rPr>
                <w:rFonts w:ascii="Bookman Old Style" w:hAnsi="Bookman Old Style" w:cs="Arial"/>
                <w:iCs/>
                <w:color w:val="000000" w:themeColor="text1"/>
                <w:kern w:val="24"/>
              </w:rPr>
              <w:t>, en el momento t.</w:t>
            </w:r>
          </w:p>
          <w:p w:rsidR="000776BE" w:rsidRPr="00F340A2" w:rsidRDefault="000776BE" w:rsidP="00F67EAC">
            <w:pPr>
              <w:ind w:left="0"/>
              <w:jc w:val="both"/>
              <w:rPr>
                <w:rFonts w:ascii="Bookman Old Style" w:hAnsi="Bookman Old Style"/>
              </w:rPr>
            </w:pPr>
          </w:p>
        </w:tc>
      </w:tr>
    </w:tbl>
    <w:p w:rsidR="000776BE" w:rsidRPr="00F340A2" w:rsidRDefault="000776BE" w:rsidP="000776BE">
      <w:pPr>
        <w:ind w:left="0"/>
        <w:contextualSpacing/>
        <w:jc w:val="both"/>
        <w:rPr>
          <w:rFonts w:ascii="Bookman Old Style" w:hAnsi="Bookman Old Style" w:cs="Arial"/>
        </w:rPr>
      </w:pPr>
    </w:p>
    <w:p w:rsidR="000776BE" w:rsidRPr="00F340A2" w:rsidRDefault="000776BE" w:rsidP="000776BE">
      <w:pPr>
        <w:ind w:left="0"/>
        <w:contextualSpacing/>
        <w:jc w:val="both"/>
        <w:rPr>
          <w:rFonts w:ascii="Bookman Old Style" w:hAnsi="Bookman Old Style" w:cs="Arial"/>
        </w:rPr>
      </w:pPr>
      <w:r w:rsidRPr="00F340A2">
        <w:rPr>
          <w:rFonts w:ascii="Bookman Old Style" w:hAnsi="Bookman Old Style" w:cs="Arial"/>
          <w:b/>
        </w:rPr>
        <w:t>Parágrafo 5.</w:t>
      </w:r>
      <w:r w:rsidRPr="00F340A2">
        <w:rPr>
          <w:rFonts w:ascii="Bookman Old Style" w:hAnsi="Bookman Old Style" w:cs="Arial"/>
        </w:rPr>
        <w:t xml:space="preserve"> Los parámetros que corresponden al promedio de sus observaciones se obtienen mediante el siguiente procedimiento:</w:t>
      </w:r>
    </w:p>
    <w:p w:rsidR="000776BE" w:rsidRPr="00F340A2" w:rsidRDefault="000776BE" w:rsidP="000776BE">
      <w:pPr>
        <w:ind w:left="0"/>
        <w:contextualSpacing/>
        <w:jc w:val="both"/>
        <w:rPr>
          <w:rFonts w:ascii="Bookman Old Style" w:hAnsi="Bookman Old Style" w:cs="Arial"/>
        </w:rPr>
      </w:pPr>
    </w:p>
    <w:p w:rsidR="000776BE" w:rsidRPr="00F340A2" w:rsidRDefault="00EC20D9" w:rsidP="000776BE">
      <w:pPr>
        <w:ind w:left="0"/>
        <w:contextualSpacing/>
        <w:jc w:val="both"/>
        <w:rPr>
          <w:rFonts w:ascii="Bookman Old Style" w:hAnsi="Bookman Old Style" w:cs="Arial"/>
        </w:rPr>
      </w:pPr>
      <m:oMathPara>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X</m:t>
              </m:r>
            </m:e>
            <m:sub>
              <m:r>
                <m:rPr>
                  <m:sty m:val="p"/>
                </m:rPr>
                <w:rPr>
                  <w:rFonts w:ascii="Cambria Math" w:hAnsi="Cambria Math" w:cs="Arial"/>
                  <w:color w:val="000000" w:themeColor="text1"/>
                  <w:kern w:val="24"/>
                </w:rPr>
                <m:t>t</m:t>
              </m:r>
            </m:sub>
          </m:sSub>
          <m:r>
            <m:rPr>
              <m:sty m:val="p"/>
            </m:rPr>
            <w:rPr>
              <w:rFonts w:ascii="Cambria Math" w:eastAsia="Cambria Math" w:hAnsi="Cambria Math" w:cs="Arial"/>
              <w:color w:val="000000" w:themeColor="text1"/>
              <w:kern w:val="24"/>
            </w:rPr>
            <m:t>=</m:t>
          </m:r>
          <m:f>
            <m:fPr>
              <m:ctrlPr>
                <w:rPr>
                  <w:rFonts w:ascii="Cambria Math" w:eastAsiaTheme="minorEastAsia" w:hAnsi="Cambria Math" w:cs="Arial"/>
                  <w:iCs/>
                  <w:color w:val="000000" w:themeColor="text1"/>
                  <w:kern w:val="24"/>
                </w:rPr>
              </m:ctrlPr>
            </m:fPr>
            <m:num>
              <m:nary>
                <m:naryPr>
                  <m:chr m:val="∑"/>
                  <m:limLoc m:val="undOvr"/>
                  <m:ctrlPr>
                    <w:rPr>
                      <w:rFonts w:ascii="Cambria Math" w:eastAsiaTheme="minorEastAsia" w:hAnsi="Cambria Math" w:cs="Arial"/>
                      <w:iCs/>
                      <w:color w:val="000000" w:themeColor="text1"/>
                      <w:kern w:val="24"/>
                    </w:rPr>
                  </m:ctrlPr>
                </m:naryPr>
                <m:sub>
                  <m:r>
                    <m:rPr>
                      <m:sty m:val="p"/>
                    </m:rPr>
                    <w:rPr>
                      <w:rFonts w:ascii="Cambria Math" w:eastAsiaTheme="minorEastAsia" w:hAnsi="Cambria Math" w:cs="Arial"/>
                      <w:color w:val="000000" w:themeColor="text1"/>
                      <w:kern w:val="24"/>
                    </w:rPr>
                    <m:t>i=j</m:t>
                  </m:r>
                </m:sub>
                <m:sup>
                  <m:r>
                    <m:rPr>
                      <m:sty m:val="p"/>
                    </m:rPr>
                    <w:rPr>
                      <w:rFonts w:ascii="Cambria Math" w:eastAsiaTheme="minorEastAsia" w:hAnsi="Cambria Math" w:cs="Arial"/>
                      <w:color w:val="000000" w:themeColor="text1"/>
                      <w:kern w:val="24"/>
                    </w:rPr>
                    <m:t>t</m:t>
                  </m:r>
                </m:sup>
                <m:e>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X</m:t>
                      </m:r>
                    </m:e>
                    <m:sub>
                      <m:r>
                        <m:rPr>
                          <m:sty m:val="p"/>
                        </m:rPr>
                        <w:rPr>
                          <w:rFonts w:ascii="Cambria Math" w:hAnsi="Cambria Math" w:cs="Arial"/>
                          <w:color w:val="000000" w:themeColor="text1"/>
                          <w:kern w:val="24"/>
                        </w:rPr>
                        <m:t>i</m:t>
                      </m:r>
                    </m:sub>
                  </m:sSub>
                </m:e>
              </m:nary>
            </m:num>
            <m:den>
              <m:r>
                <m:rPr>
                  <m:sty m:val="p"/>
                </m:rPr>
                <w:rPr>
                  <w:rFonts w:ascii="Cambria Math" w:eastAsiaTheme="minorEastAsia" w:hAnsi="Cambria Math" w:cs="Arial"/>
                  <w:color w:val="000000" w:themeColor="text1"/>
                  <w:kern w:val="24"/>
                </w:rPr>
                <m:t>k</m:t>
              </m:r>
            </m:den>
          </m:f>
        </m:oMath>
      </m:oMathPara>
    </w:p>
    <w:p w:rsidR="000776BE" w:rsidRPr="00F340A2" w:rsidRDefault="000776BE" w:rsidP="000776BE">
      <w:pPr>
        <w:ind w:left="0"/>
        <w:contextualSpacing/>
        <w:jc w:val="both"/>
        <w:rPr>
          <w:rFonts w:ascii="Bookman Old Style" w:hAnsi="Bookman Old Style" w:cs="Arial"/>
        </w:rPr>
      </w:pPr>
    </w:p>
    <w:tbl>
      <w:tblPr>
        <w:tblStyle w:val="Tablaconcuadrcula"/>
        <w:tblW w:w="957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7"/>
        <w:gridCol w:w="284"/>
        <w:gridCol w:w="8476"/>
      </w:tblGrid>
      <w:tr w:rsidR="000776BE" w:rsidRPr="00F340A2" w:rsidTr="00F67EAC">
        <w:tc>
          <w:tcPr>
            <w:tcW w:w="817" w:type="dxa"/>
          </w:tcPr>
          <w:p w:rsidR="000776BE" w:rsidRPr="00F340A2" w:rsidRDefault="00EC20D9" w:rsidP="00F67EAC">
            <w:pPr>
              <w:ind w:left="0"/>
              <w:rPr>
                <w:rFonts w:ascii="Bookman Old Style" w:hAnsi="Bookman Old Style"/>
                <w:b/>
                <w:iCs/>
                <w:color w:val="000000" w:themeColor="text1"/>
                <w:kern w:val="24"/>
              </w:rPr>
            </w:pPr>
            <m:oMathPara>
              <m:oMathParaPr>
                <m:jc m:val="left"/>
              </m:oMathParaPr>
              <m:oMath>
                <m:sSub>
                  <m:sSubPr>
                    <m:ctrlPr>
                      <w:rPr>
                        <w:rFonts w:ascii="Cambria Math" w:eastAsiaTheme="minorEastAsia" w:hAnsi="Cambria Math" w:cs="Arial"/>
                        <w:b/>
                        <w:iCs/>
                        <w:color w:val="000000" w:themeColor="text1"/>
                        <w:kern w:val="24"/>
                      </w:rPr>
                    </m:ctrlPr>
                  </m:sSubPr>
                  <m:e>
                    <m:r>
                      <m:rPr>
                        <m:sty m:val="b"/>
                      </m:rPr>
                      <w:rPr>
                        <w:rFonts w:ascii="Cambria Math" w:hAnsi="Cambria Math" w:cs="Arial"/>
                        <w:color w:val="000000" w:themeColor="text1"/>
                        <w:kern w:val="24"/>
                      </w:rPr>
                      <m:t>X</m:t>
                    </m:r>
                  </m:e>
                  <m:sub>
                    <m:r>
                      <m:rPr>
                        <m:sty m:val="b"/>
                      </m:rPr>
                      <w:rPr>
                        <w:rFonts w:ascii="Cambria Math" w:hAnsi="Cambria Math" w:cs="Arial"/>
                        <w:color w:val="000000" w:themeColor="text1"/>
                        <w:kern w:val="24"/>
                      </w:rPr>
                      <m:t>t</m:t>
                    </m:r>
                  </m:sub>
                </m:sSub>
              </m:oMath>
            </m:oMathPara>
          </w:p>
        </w:tc>
        <w:tc>
          <w:tcPr>
            <w:tcW w:w="284" w:type="dxa"/>
          </w:tcPr>
          <w:p w:rsidR="000776BE" w:rsidRPr="00F340A2" w:rsidRDefault="000776BE" w:rsidP="00F67EAC">
            <w:pPr>
              <w:ind w:left="0"/>
              <w:jc w:val="both"/>
              <w:rPr>
                <w:rFonts w:ascii="Bookman Old Style" w:hAnsi="Bookman Old Style"/>
                <w:b/>
                <w:iCs/>
                <w:color w:val="000000" w:themeColor="text1"/>
                <w:kern w:val="24"/>
              </w:rPr>
            </w:pPr>
            <w:r w:rsidRPr="00F340A2">
              <w:rPr>
                <w:rFonts w:ascii="Bookman Old Style" w:hAnsi="Bookman Old Style"/>
                <w:b/>
                <w:iCs/>
                <w:color w:val="000000" w:themeColor="text1"/>
                <w:kern w:val="24"/>
              </w:rPr>
              <w:t>:</w:t>
            </w:r>
          </w:p>
        </w:tc>
        <w:tc>
          <w:tcPr>
            <w:tcW w:w="8476" w:type="dxa"/>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Promedio del parámetro </w:t>
            </w:r>
            <m:oMath>
              <m:r>
                <m:rPr>
                  <m:sty m:val="p"/>
                </m:rPr>
                <w:rPr>
                  <w:rFonts w:ascii="Cambria Math" w:hAnsi="Cambria Math" w:cs="Arial"/>
                  <w:color w:val="000000" w:themeColor="text1"/>
                  <w:kern w:val="24"/>
                </w:rPr>
                <m:t>X</m:t>
              </m:r>
            </m:oMath>
            <w:r w:rsidRPr="00F340A2">
              <w:rPr>
                <w:rFonts w:ascii="Bookman Old Style" w:hAnsi="Bookman Old Style" w:cs="Arial"/>
                <w:iCs/>
                <w:color w:val="000000" w:themeColor="text1"/>
                <w:kern w:val="24"/>
              </w:rPr>
              <w:t xml:space="preserve"> en el </w:t>
            </w:r>
            <w:proofErr w:type="gramStart"/>
            <w:r w:rsidRPr="00F340A2">
              <w:rPr>
                <w:rFonts w:ascii="Bookman Old Style" w:hAnsi="Bookman Old Style" w:cs="Arial"/>
              </w:rPr>
              <w:t xml:space="preserve">momento </w:t>
            </w:r>
            <w:proofErr w:type="gramEnd"/>
            <m:oMath>
              <m:r>
                <m:rPr>
                  <m:sty m:val="p"/>
                </m:rPr>
                <w:rPr>
                  <w:rFonts w:ascii="Cambria Math" w:hAnsi="Cambria Math"/>
                </w:rPr>
                <m:t>t</m:t>
              </m:r>
            </m:oMath>
            <w:r w:rsidRPr="00F340A2">
              <w:rPr>
                <w:rFonts w:ascii="Bookman Old Style" w:hAnsi="Bookman Old Style" w:cs="Arial"/>
                <w:iCs/>
                <w:color w:val="000000" w:themeColor="text1"/>
                <w:kern w:val="24"/>
              </w:rPr>
              <w:t>.</w:t>
            </w:r>
          </w:p>
          <w:p w:rsidR="000776BE" w:rsidRPr="00F340A2" w:rsidRDefault="000776BE" w:rsidP="00F67EAC">
            <w:pPr>
              <w:ind w:left="0"/>
              <w:jc w:val="both"/>
              <w:rPr>
                <w:rFonts w:ascii="Bookman Old Style" w:hAnsi="Bookman Old Style" w:cs="Arial"/>
                <w:iCs/>
                <w:color w:val="000000" w:themeColor="text1"/>
                <w:kern w:val="24"/>
              </w:rPr>
            </w:pPr>
          </w:p>
        </w:tc>
      </w:tr>
      <w:tr w:rsidR="000776BE" w:rsidRPr="00F340A2" w:rsidTr="00F67EAC">
        <w:tc>
          <w:tcPr>
            <w:tcW w:w="817" w:type="dxa"/>
          </w:tcPr>
          <w:p w:rsidR="000776BE" w:rsidRPr="00F340A2" w:rsidRDefault="00EC20D9" w:rsidP="00F67EAC">
            <w:pPr>
              <w:ind w:left="0"/>
              <w:rPr>
                <w:rFonts w:ascii="Bookman Old Style" w:hAnsi="Bookman Old Style"/>
                <w:b/>
                <w:iCs/>
                <w:color w:val="000000" w:themeColor="text1"/>
                <w:kern w:val="24"/>
              </w:rPr>
            </w:pPr>
            <m:oMathPara>
              <m:oMathParaPr>
                <m:jc m:val="left"/>
              </m:oMathParaPr>
              <m:oMath>
                <m:sSub>
                  <m:sSubPr>
                    <m:ctrlPr>
                      <w:rPr>
                        <w:rFonts w:ascii="Cambria Math" w:eastAsiaTheme="minorEastAsia" w:hAnsi="Cambria Math" w:cs="Arial"/>
                        <w:b/>
                        <w:iCs/>
                        <w:color w:val="000000" w:themeColor="text1"/>
                        <w:kern w:val="24"/>
                      </w:rPr>
                    </m:ctrlPr>
                  </m:sSubPr>
                  <m:e>
                    <m:r>
                      <m:rPr>
                        <m:sty m:val="b"/>
                      </m:rPr>
                      <w:rPr>
                        <w:rFonts w:ascii="Cambria Math" w:hAnsi="Cambria Math" w:cs="Arial"/>
                        <w:color w:val="000000" w:themeColor="text1"/>
                        <w:kern w:val="24"/>
                      </w:rPr>
                      <m:t>X</m:t>
                    </m:r>
                  </m:e>
                  <m:sub>
                    <m:r>
                      <m:rPr>
                        <m:sty m:val="b"/>
                      </m:rPr>
                      <w:rPr>
                        <w:rFonts w:ascii="Cambria Math" w:hAnsi="Cambria Math" w:cs="Arial"/>
                        <w:color w:val="000000" w:themeColor="text1"/>
                        <w:kern w:val="24"/>
                      </w:rPr>
                      <m:t>i</m:t>
                    </m:r>
                  </m:sub>
                </m:sSub>
              </m:oMath>
            </m:oMathPara>
          </w:p>
        </w:tc>
        <w:tc>
          <w:tcPr>
            <w:tcW w:w="284" w:type="dxa"/>
          </w:tcPr>
          <w:p w:rsidR="000776BE" w:rsidRPr="00F340A2" w:rsidRDefault="000776BE" w:rsidP="00F67EAC">
            <w:pPr>
              <w:ind w:left="0"/>
              <w:jc w:val="both"/>
              <w:rPr>
                <w:rFonts w:ascii="Bookman Old Style" w:hAnsi="Bookman Old Style"/>
                <w:b/>
                <w:iCs/>
                <w:color w:val="000000" w:themeColor="text1"/>
                <w:kern w:val="24"/>
              </w:rPr>
            </w:pPr>
            <w:r w:rsidRPr="00F340A2">
              <w:rPr>
                <w:rFonts w:ascii="Bookman Old Style" w:hAnsi="Bookman Old Style"/>
                <w:b/>
                <w:iCs/>
                <w:color w:val="000000" w:themeColor="text1"/>
                <w:kern w:val="24"/>
              </w:rPr>
              <w:t>:</w:t>
            </w:r>
          </w:p>
        </w:tc>
        <w:tc>
          <w:tcPr>
            <w:tcW w:w="8476" w:type="dxa"/>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Valor del parámetro </w:t>
            </w:r>
            <m:oMath>
              <m:r>
                <m:rPr>
                  <m:sty m:val="p"/>
                </m:rPr>
                <w:rPr>
                  <w:rFonts w:ascii="Cambria Math" w:hAnsi="Cambria Math" w:cs="Arial"/>
                  <w:color w:val="000000" w:themeColor="text1"/>
                  <w:kern w:val="24"/>
                </w:rPr>
                <m:t>X</m:t>
              </m:r>
            </m:oMath>
            <w:r w:rsidRPr="00F340A2">
              <w:rPr>
                <w:rFonts w:ascii="Bookman Old Style" w:hAnsi="Bookman Old Style" w:cs="Arial"/>
                <w:iCs/>
                <w:color w:val="000000" w:themeColor="text1"/>
                <w:kern w:val="24"/>
              </w:rPr>
              <w:t xml:space="preserve"> en </w:t>
            </w:r>
            <w:r w:rsidRPr="00F340A2">
              <w:rPr>
                <w:rFonts w:ascii="Bookman Old Style" w:hAnsi="Bookman Old Style" w:cs="Arial"/>
              </w:rPr>
              <w:t xml:space="preserve">el </w:t>
            </w:r>
            <w:proofErr w:type="gramStart"/>
            <w:r w:rsidRPr="00F340A2">
              <w:rPr>
                <w:rFonts w:ascii="Bookman Old Style" w:hAnsi="Bookman Old Style" w:cs="Arial"/>
              </w:rPr>
              <w:t xml:space="preserve">momento </w:t>
            </w:r>
            <w:proofErr w:type="gramEnd"/>
            <m:oMath>
              <m:r>
                <m:rPr>
                  <m:sty m:val="p"/>
                </m:rPr>
                <w:rPr>
                  <w:rFonts w:ascii="Cambria Math" w:hAnsi="Cambria Math"/>
                </w:rPr>
                <m:t>i</m:t>
              </m:r>
            </m:oMath>
            <w:r w:rsidRPr="00F340A2">
              <w:rPr>
                <w:rFonts w:ascii="Bookman Old Style" w:hAnsi="Bookman Old Style" w:cs="Arial"/>
                <w:iCs/>
                <w:color w:val="000000" w:themeColor="text1"/>
                <w:kern w:val="24"/>
              </w:rPr>
              <w:t>.</w:t>
            </w:r>
          </w:p>
          <w:p w:rsidR="000776BE" w:rsidRPr="00F340A2" w:rsidRDefault="000776BE" w:rsidP="00F67EAC">
            <w:pPr>
              <w:ind w:left="0"/>
              <w:jc w:val="both"/>
              <w:rPr>
                <w:rFonts w:ascii="Bookman Old Style" w:hAnsi="Bookman Old Style" w:cs="Arial"/>
                <w:iCs/>
                <w:color w:val="000000" w:themeColor="text1"/>
                <w:kern w:val="24"/>
              </w:rPr>
            </w:pPr>
          </w:p>
        </w:tc>
      </w:tr>
      <w:tr w:rsidR="000776BE" w:rsidRPr="00F340A2" w:rsidTr="00F67EAC">
        <w:tc>
          <w:tcPr>
            <w:tcW w:w="817" w:type="dxa"/>
          </w:tcPr>
          <w:p w:rsidR="000776BE" w:rsidRPr="00F340A2" w:rsidRDefault="000776BE" w:rsidP="00F67EAC">
            <w:pPr>
              <w:ind w:left="0"/>
              <w:rPr>
                <w:rFonts w:ascii="Bookman Old Style" w:hAnsi="Bookman Old Style"/>
                <w:b/>
                <w:iCs/>
                <w:color w:val="000000" w:themeColor="text1"/>
                <w:kern w:val="24"/>
              </w:rPr>
            </w:pPr>
            <m:oMathPara>
              <m:oMathParaPr>
                <m:jc m:val="left"/>
              </m:oMathParaPr>
              <m:oMath>
                <m:r>
                  <m:rPr>
                    <m:sty m:val="b"/>
                  </m:rPr>
                  <w:rPr>
                    <w:rFonts w:ascii="Cambria Math" w:hAnsi="Cambria Math"/>
                  </w:rPr>
                  <m:t>t</m:t>
                </m:r>
              </m:oMath>
            </m:oMathPara>
          </w:p>
        </w:tc>
        <w:tc>
          <w:tcPr>
            <w:tcW w:w="284" w:type="dxa"/>
          </w:tcPr>
          <w:p w:rsidR="000776BE" w:rsidRPr="00F340A2" w:rsidRDefault="000776BE" w:rsidP="00F67EAC">
            <w:pPr>
              <w:ind w:left="0"/>
              <w:jc w:val="both"/>
              <w:rPr>
                <w:rFonts w:ascii="Bookman Old Style" w:hAnsi="Bookman Old Style"/>
                <w:b/>
                <w:iCs/>
                <w:color w:val="000000" w:themeColor="text1"/>
                <w:kern w:val="24"/>
              </w:rPr>
            </w:pPr>
            <w:r w:rsidRPr="00F340A2">
              <w:rPr>
                <w:rFonts w:ascii="Bookman Old Style" w:hAnsi="Bookman Old Style"/>
                <w:b/>
                <w:iCs/>
                <w:color w:val="000000" w:themeColor="text1"/>
                <w:kern w:val="24"/>
              </w:rPr>
              <w:t>:</w:t>
            </w:r>
          </w:p>
        </w:tc>
        <w:tc>
          <w:tcPr>
            <w:tcW w:w="8476" w:type="dxa"/>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Último día del mes anterior a la fecha de cálculo.</w:t>
            </w:r>
          </w:p>
          <w:p w:rsidR="000776BE" w:rsidRPr="00F340A2" w:rsidRDefault="000776BE" w:rsidP="00F67EAC">
            <w:pPr>
              <w:ind w:left="0"/>
              <w:jc w:val="both"/>
              <w:rPr>
                <w:rFonts w:ascii="Bookman Old Style" w:hAnsi="Bookman Old Style" w:cs="Arial"/>
                <w:iCs/>
                <w:color w:val="000000" w:themeColor="text1"/>
                <w:kern w:val="24"/>
              </w:rPr>
            </w:pPr>
          </w:p>
        </w:tc>
      </w:tr>
      <w:tr w:rsidR="000776BE" w:rsidRPr="00F340A2" w:rsidTr="00F67EAC">
        <w:tc>
          <w:tcPr>
            <w:tcW w:w="817" w:type="dxa"/>
          </w:tcPr>
          <w:p w:rsidR="000776BE" w:rsidRPr="00F340A2" w:rsidRDefault="000776BE" w:rsidP="00F67EAC">
            <w:pPr>
              <w:ind w:left="0"/>
              <w:rPr>
                <w:rFonts w:ascii="Bookman Old Style" w:hAnsi="Bookman Old Style"/>
                <w:b/>
                <w:lang w:val="es-ES_tradnl"/>
              </w:rPr>
            </w:pPr>
            <m:oMathPara>
              <m:oMathParaPr>
                <m:jc m:val="left"/>
              </m:oMathParaPr>
              <m:oMath>
                <m:r>
                  <m:rPr>
                    <m:sty m:val="b"/>
                  </m:rPr>
                  <w:rPr>
                    <w:rFonts w:ascii="Cambria Math" w:hAnsi="Cambria Math"/>
                  </w:rPr>
                  <m:t>j</m:t>
                </m:r>
              </m:oMath>
            </m:oMathPara>
          </w:p>
        </w:tc>
        <w:tc>
          <w:tcPr>
            <w:tcW w:w="284" w:type="dxa"/>
          </w:tcPr>
          <w:p w:rsidR="000776BE" w:rsidRPr="00F340A2" w:rsidRDefault="000776BE" w:rsidP="00F67EAC">
            <w:pPr>
              <w:ind w:left="0"/>
              <w:jc w:val="both"/>
              <w:rPr>
                <w:rFonts w:ascii="Bookman Old Style" w:hAnsi="Bookman Old Style"/>
                <w:b/>
                <w:lang w:val="es-ES_tradnl"/>
              </w:rPr>
            </w:pPr>
            <w:r w:rsidRPr="00F340A2">
              <w:rPr>
                <w:rFonts w:ascii="Bookman Old Style" w:hAnsi="Bookman Old Style"/>
                <w:b/>
                <w:lang w:val="es-ES_tradnl"/>
              </w:rPr>
              <w:t>:</w:t>
            </w:r>
          </w:p>
        </w:tc>
        <w:tc>
          <w:tcPr>
            <w:tcW w:w="8476"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Fecha que corresponde a </w:t>
            </w:r>
            <m:oMath>
              <m:r>
                <m:rPr>
                  <m:sty m:val="p"/>
                </m:rPr>
                <w:rPr>
                  <w:rFonts w:ascii="Cambria Math" w:hAnsi="Cambria Math"/>
                </w:rPr>
                <m:t>t</m:t>
              </m:r>
            </m:oMath>
            <w:r w:rsidRPr="00F340A2">
              <w:rPr>
                <w:rFonts w:ascii="Bookman Old Style" w:hAnsi="Bookman Old Style" w:cs="Arial"/>
              </w:rPr>
              <w:t xml:space="preserve"> menos 12 meses.</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817" w:type="dxa"/>
          </w:tcPr>
          <w:p w:rsidR="000776BE" w:rsidRPr="00F340A2" w:rsidRDefault="000776BE" w:rsidP="00F67EAC">
            <w:pPr>
              <w:ind w:left="0"/>
              <w:rPr>
                <w:rFonts w:ascii="Bookman Old Style" w:hAnsi="Bookman Old Style"/>
                <w:b/>
                <w:lang w:val="es-ES_tradnl"/>
              </w:rPr>
            </w:pPr>
            <m:oMathPara>
              <m:oMathParaPr>
                <m:jc m:val="left"/>
              </m:oMathParaPr>
              <m:oMath>
                <m:r>
                  <m:rPr>
                    <m:sty m:val="b"/>
                  </m:rPr>
                  <w:rPr>
                    <w:rFonts w:ascii="Cambria Math" w:hAnsi="Cambria Math"/>
                  </w:rPr>
                  <m:t>i</m:t>
                </m:r>
              </m:oMath>
            </m:oMathPara>
          </w:p>
        </w:tc>
        <w:tc>
          <w:tcPr>
            <w:tcW w:w="284" w:type="dxa"/>
          </w:tcPr>
          <w:p w:rsidR="000776BE" w:rsidRPr="00F340A2" w:rsidRDefault="000776BE" w:rsidP="00F67EAC">
            <w:pPr>
              <w:ind w:left="0"/>
              <w:jc w:val="both"/>
              <w:rPr>
                <w:rFonts w:ascii="Bookman Old Style" w:hAnsi="Bookman Old Style"/>
                <w:b/>
                <w:lang w:val="es-ES_tradnl"/>
              </w:rPr>
            </w:pPr>
            <w:r w:rsidRPr="00F340A2">
              <w:rPr>
                <w:rFonts w:ascii="Bookman Old Style" w:hAnsi="Bookman Old Style"/>
                <w:b/>
                <w:lang w:val="es-ES_tradnl"/>
              </w:rPr>
              <w:t>:</w:t>
            </w:r>
          </w:p>
        </w:tc>
        <w:tc>
          <w:tcPr>
            <w:tcW w:w="8476"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Cada una de las fechas para las que existe información, desde </w:t>
            </w:r>
            <m:oMath>
              <m:r>
                <m:rPr>
                  <m:sty m:val="p"/>
                </m:rPr>
                <w:rPr>
                  <w:rFonts w:ascii="Cambria Math" w:hAnsi="Cambria Math" w:cs="Arial"/>
                </w:rPr>
                <m:t>j</m:t>
              </m:r>
            </m:oMath>
            <w:r w:rsidRPr="00F340A2">
              <w:rPr>
                <w:rFonts w:ascii="Bookman Old Style" w:hAnsi="Bookman Old Style" w:cs="Arial"/>
              </w:rPr>
              <w:t xml:space="preserve"> </w:t>
            </w:r>
            <w:proofErr w:type="gramStart"/>
            <w:r w:rsidRPr="00F340A2">
              <w:rPr>
                <w:rFonts w:ascii="Bookman Old Style" w:hAnsi="Bookman Old Style" w:cs="Arial"/>
              </w:rPr>
              <w:t xml:space="preserve">hasta </w:t>
            </w:r>
            <w:proofErr w:type="gramEnd"/>
            <m:oMath>
              <m:r>
                <m:rPr>
                  <m:sty m:val="p"/>
                </m:rPr>
                <w:rPr>
                  <w:rFonts w:ascii="Cambria Math" w:hAnsi="Cambria Math" w:cs="Arial"/>
                </w:rPr>
                <m:t>t</m:t>
              </m:r>
            </m:oMath>
            <w:r w:rsidRPr="00F340A2">
              <w:rPr>
                <w:rFonts w:ascii="Bookman Old Style" w:hAnsi="Bookman Old Style" w:cs="Arial"/>
              </w:rPr>
              <w:t>. La periodicidad de la información deberá ser la de mayor frecuencia posible con la que esta sea publicada, en el evento en el que la frecuencia de publicación no sea diaria.</w:t>
            </w:r>
          </w:p>
          <w:p w:rsidR="000776BE" w:rsidRPr="00F340A2" w:rsidRDefault="000776BE" w:rsidP="00F67EAC">
            <w:pPr>
              <w:ind w:left="0"/>
              <w:jc w:val="both"/>
              <w:rPr>
                <w:rFonts w:ascii="Bookman Old Style" w:hAnsi="Bookman Old Style" w:cs="Arial"/>
              </w:rPr>
            </w:pPr>
          </w:p>
        </w:tc>
      </w:tr>
      <w:tr w:rsidR="000776BE" w:rsidRPr="00F340A2" w:rsidTr="00F67EAC">
        <w:tc>
          <w:tcPr>
            <w:tcW w:w="817" w:type="dxa"/>
          </w:tcPr>
          <w:p w:rsidR="000776BE" w:rsidRPr="00F340A2" w:rsidRDefault="000776BE" w:rsidP="00F67EAC">
            <w:pPr>
              <w:ind w:left="0"/>
              <w:rPr>
                <w:rFonts w:ascii="Bookman Old Style" w:hAnsi="Bookman Old Style"/>
                <w:b/>
                <w:lang w:val="es-ES_tradnl"/>
              </w:rPr>
            </w:pPr>
            <m:oMathPara>
              <m:oMathParaPr>
                <m:jc m:val="left"/>
              </m:oMathParaPr>
              <m:oMath>
                <m:r>
                  <m:rPr>
                    <m:sty m:val="b"/>
                  </m:rPr>
                  <w:rPr>
                    <w:rFonts w:ascii="Cambria Math" w:hAnsi="Cambria Math"/>
                  </w:rPr>
                  <m:t>k</m:t>
                </m:r>
              </m:oMath>
            </m:oMathPara>
          </w:p>
        </w:tc>
        <w:tc>
          <w:tcPr>
            <w:tcW w:w="284" w:type="dxa"/>
          </w:tcPr>
          <w:p w:rsidR="000776BE" w:rsidRPr="00F340A2" w:rsidRDefault="000776BE" w:rsidP="00F67EAC">
            <w:pPr>
              <w:ind w:left="0"/>
              <w:jc w:val="both"/>
              <w:rPr>
                <w:rFonts w:ascii="Bookman Old Style" w:hAnsi="Bookman Old Style"/>
                <w:b/>
                <w:lang w:val="es-ES_tradnl"/>
              </w:rPr>
            </w:pPr>
            <w:r w:rsidRPr="00F340A2">
              <w:rPr>
                <w:rFonts w:ascii="Bookman Old Style" w:hAnsi="Bookman Old Style"/>
                <w:b/>
                <w:lang w:val="es-ES_tradnl"/>
              </w:rPr>
              <w:t>:</w:t>
            </w:r>
          </w:p>
        </w:tc>
        <w:tc>
          <w:tcPr>
            <w:tcW w:w="8476"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Número de datos existentes desde </w:t>
            </w:r>
            <m:oMath>
              <m:r>
                <m:rPr>
                  <m:sty m:val="p"/>
                </m:rPr>
                <w:rPr>
                  <w:rFonts w:ascii="Cambria Math" w:hAnsi="Cambria Math" w:cs="Arial"/>
                </w:rPr>
                <m:t>j</m:t>
              </m:r>
            </m:oMath>
            <w:r w:rsidRPr="00F340A2">
              <w:rPr>
                <w:rFonts w:ascii="Bookman Old Style" w:hAnsi="Bookman Old Style" w:cs="Arial"/>
              </w:rPr>
              <w:t xml:space="preserve"> </w:t>
            </w:r>
            <w:proofErr w:type="gramStart"/>
            <w:r w:rsidRPr="00F340A2">
              <w:rPr>
                <w:rFonts w:ascii="Bookman Old Style" w:hAnsi="Bookman Old Style" w:cs="Arial"/>
              </w:rPr>
              <w:t xml:space="preserve">hasta </w:t>
            </w:r>
            <w:proofErr w:type="gramEnd"/>
            <m:oMath>
              <m:r>
                <m:rPr>
                  <m:sty m:val="p"/>
                </m:rPr>
                <w:rPr>
                  <w:rFonts w:ascii="Cambria Math" w:hAnsi="Cambria Math" w:cs="Arial"/>
                </w:rPr>
                <m:t>t</m:t>
              </m:r>
            </m:oMath>
            <w:r w:rsidRPr="00F340A2">
              <w:rPr>
                <w:rFonts w:ascii="Bookman Old Style" w:hAnsi="Bookman Old Style" w:cs="Arial"/>
              </w:rPr>
              <w:t xml:space="preserve">. El valor de </w:t>
            </w:r>
            <m:oMath>
              <m:r>
                <m:rPr>
                  <m:sty m:val="p"/>
                </m:rPr>
                <w:rPr>
                  <w:rFonts w:ascii="Cambria Math" w:hAnsi="Cambria Math"/>
                </w:rPr>
                <m:t>k</m:t>
              </m:r>
            </m:oMath>
            <w:r w:rsidRPr="00F340A2">
              <w:rPr>
                <w:rFonts w:ascii="Bookman Old Style" w:hAnsi="Bookman Old Style" w:cs="Arial"/>
              </w:rPr>
              <w:t xml:space="preserve"> dependerá de la información disponible para cada parámetro.</w:t>
            </w:r>
          </w:p>
          <w:p w:rsidR="000776BE" w:rsidRPr="00F340A2" w:rsidRDefault="000776BE" w:rsidP="00F67EAC">
            <w:pPr>
              <w:ind w:left="0"/>
              <w:jc w:val="both"/>
              <w:rPr>
                <w:rFonts w:ascii="Bookman Old Style" w:hAnsi="Bookman Old Style"/>
                <w:lang w:val="es-ES_tradnl"/>
              </w:rPr>
            </w:pPr>
          </w:p>
        </w:tc>
      </w:tr>
    </w:tbl>
    <w:p w:rsidR="000776BE" w:rsidRPr="00F340A2" w:rsidRDefault="000776BE" w:rsidP="000776BE">
      <w:pPr>
        <w:ind w:left="0"/>
        <w:contextualSpacing/>
        <w:jc w:val="both"/>
        <w:rPr>
          <w:rFonts w:ascii="Bookman Old Style" w:hAnsi="Bookman Old Style" w:cs="Arial"/>
        </w:rPr>
      </w:pPr>
      <w:r w:rsidRPr="00F340A2">
        <w:rPr>
          <w:rFonts w:ascii="Bookman Old Style" w:hAnsi="Bookman Old Style" w:cs="Arial"/>
          <w:b/>
        </w:rPr>
        <w:t xml:space="preserve">ARTÍCULO 4. Metodología de cálculo de la tasa de descuento en dólares. </w:t>
      </w:r>
      <w:r w:rsidRPr="00F340A2">
        <w:rPr>
          <w:rFonts w:ascii="Bookman Old Style" w:hAnsi="Bookman Old Style" w:cs="Arial"/>
        </w:rPr>
        <w:t>Para el cálculo de la tasa de descuento en dólares se utilizará la siguiente fórmula:</w:t>
      </w:r>
    </w:p>
    <w:p w:rsidR="000776BE" w:rsidRPr="00F340A2" w:rsidRDefault="000776BE" w:rsidP="000776BE">
      <w:pPr>
        <w:ind w:left="0"/>
        <w:contextualSpacing/>
        <w:jc w:val="both"/>
        <w:rPr>
          <w:rFonts w:ascii="Bookman Old Style" w:hAnsi="Bookman Old Style" w:cs="Arial"/>
        </w:rPr>
      </w:pPr>
    </w:p>
    <w:p w:rsidR="000776BE" w:rsidRPr="00F340A2" w:rsidRDefault="00EC20D9" w:rsidP="000776BE">
      <w:pPr>
        <w:ind w:left="0"/>
        <w:contextualSpacing/>
        <w:jc w:val="both"/>
        <w:rPr>
          <w:rFonts w:ascii="Bookman Old Style" w:hAnsi="Bookman Old Style" w:cs="Arial"/>
        </w:rPr>
      </w:pPr>
      <m:oMathPara>
        <m:oMathParaPr>
          <m:jc m:val="center"/>
        </m:oMathParaPr>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TD</m:t>
              </m:r>
            </m:e>
            <m:sub>
              <m:r>
                <m:rPr>
                  <m:sty m:val="p"/>
                </m:rPr>
                <w:rPr>
                  <w:rFonts w:ascii="Cambria Math" w:hAnsi="Cambria Math" w:cs="Arial"/>
                  <w:color w:val="000000" w:themeColor="text1"/>
                  <w:kern w:val="24"/>
                </w:rPr>
                <m:t>usd,a,t</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WACC</m:t>
                  </m:r>
                </m:e>
                <m:sub>
                  <m:r>
                    <m:rPr>
                      <m:sty m:val="p"/>
                    </m:rPr>
                    <w:rPr>
                      <w:rFonts w:ascii="Cambria Math" w:hAnsi="Cambria Math" w:cs="Arial"/>
                      <w:color w:val="000000" w:themeColor="text1"/>
                      <w:kern w:val="24"/>
                    </w:rPr>
                    <m:t>usd,a,t</m:t>
                  </m:r>
                </m:sub>
              </m:sSub>
              <m:r>
                <m:rPr>
                  <m:sty m:val="p"/>
                </m:rPr>
                <w:rPr>
                  <w:rFonts w:ascii="Cambria Math" w:eastAsiaTheme="minorEastAsia"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m:t>
                  </m:r>
                </m:e>
                <m:sub>
                  <m:r>
                    <m:rPr>
                      <m:sty m:val="p"/>
                    </m:rPr>
                    <w:rPr>
                      <w:rFonts w:ascii="Cambria Math" w:eastAsia="Cambria Math" w:hAnsi="Cambria Math" w:cs="Arial"/>
                      <w:color w:val="000000" w:themeColor="text1"/>
                      <w:kern w:val="24"/>
                    </w:rPr>
                    <m:t>usd,t</m:t>
                  </m:r>
                </m:sub>
              </m:sSub>
            </m:num>
            <m:den>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m:t>
                  </m:r>
                </m:e>
                <m:sub>
                  <m:r>
                    <m:rPr>
                      <m:sty m:val="p"/>
                    </m:rPr>
                    <w:rPr>
                      <w:rFonts w:ascii="Cambria Math" w:eastAsia="Cambria Math" w:hAnsi="Cambria Math" w:cs="Arial"/>
                      <w:color w:val="000000" w:themeColor="text1"/>
                      <w:kern w:val="24"/>
                    </w:rPr>
                    <m:t>usd,t</m:t>
                  </m:r>
                </m:sub>
              </m:sSub>
            </m:den>
          </m:f>
        </m:oMath>
      </m:oMathPara>
    </w:p>
    <w:p w:rsidR="000776BE" w:rsidRPr="00F340A2" w:rsidRDefault="000776BE" w:rsidP="000776BE">
      <w:pPr>
        <w:ind w:left="0"/>
        <w:contextualSpacing/>
        <w:jc w:val="both"/>
        <w:rPr>
          <w:rFonts w:ascii="Bookman Old Style" w:hAnsi="Bookman Old Style" w:cs="Arial"/>
        </w:rPr>
      </w:pPr>
    </w:p>
    <w:p w:rsidR="000776BE" w:rsidRPr="00F340A2" w:rsidRDefault="000776BE" w:rsidP="000776BE">
      <w:pPr>
        <w:ind w:left="0"/>
        <w:contextualSpacing/>
        <w:jc w:val="both"/>
        <w:rPr>
          <w:rFonts w:ascii="Bookman Old Style" w:hAnsi="Bookman Old Style" w:cs="Arial"/>
        </w:rPr>
      </w:pPr>
      <w:r w:rsidRPr="00F340A2">
        <w:rPr>
          <w:rFonts w:ascii="Bookman Old Style" w:hAnsi="Bookman Old Style" w:cs="Arial"/>
        </w:rPr>
        <w:t xml:space="preserve">Donde, </w:t>
      </w:r>
    </w:p>
    <w:p w:rsidR="000776BE" w:rsidRPr="00F340A2" w:rsidRDefault="000776BE" w:rsidP="000776BE">
      <w:pPr>
        <w:ind w:left="0"/>
        <w:contextualSpacing/>
        <w:jc w:val="both"/>
        <w:rPr>
          <w:rFonts w:ascii="Bookman Old Style" w:hAnsi="Bookman Old Style" w:cs="Aria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22"/>
        <w:gridCol w:w="298"/>
        <w:gridCol w:w="7744"/>
      </w:tblGrid>
      <w:tr w:rsidR="000776BE" w:rsidRPr="00F340A2" w:rsidTr="00F67EAC">
        <w:tc>
          <w:tcPr>
            <w:tcW w:w="1422"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Theme="minorEastAsia" w:hAnsi="Cambria Math" w:cs="Arial"/>
                        <w:b/>
                        <w:iCs/>
                        <w:color w:val="000000" w:themeColor="text1"/>
                        <w:kern w:val="24"/>
                      </w:rPr>
                    </m:ctrlPr>
                  </m:sSubPr>
                  <m:e>
                    <m:r>
                      <m:rPr>
                        <m:sty m:val="b"/>
                      </m:rPr>
                      <w:rPr>
                        <w:rFonts w:ascii="Cambria Math" w:hAnsi="Cambria Math" w:cs="Arial"/>
                        <w:color w:val="000000" w:themeColor="text1"/>
                        <w:kern w:val="24"/>
                      </w:rPr>
                      <m:t>TD</m:t>
                    </m:r>
                  </m:e>
                  <m:sub>
                    <m:r>
                      <m:rPr>
                        <m:sty m:val="b"/>
                      </m:rPr>
                      <w:rPr>
                        <w:rFonts w:ascii="Cambria Math" w:hAnsi="Cambria Math" w:cs="Arial"/>
                        <w:color w:val="000000" w:themeColor="text1"/>
                        <w:kern w:val="24"/>
                      </w:rPr>
                      <m:t>usd,a,t</m:t>
                    </m:r>
                  </m:sub>
                </m:sSub>
              </m:oMath>
            </m:oMathPara>
          </w:p>
        </w:tc>
        <w:tc>
          <w:tcPr>
            <w:tcW w:w="298" w:type="dxa"/>
          </w:tcPr>
          <w:p w:rsidR="000776BE" w:rsidRPr="00F340A2" w:rsidRDefault="000776BE" w:rsidP="00F67EAC">
            <w:pPr>
              <w:ind w:left="0"/>
              <w:rPr>
                <w:rFonts w:ascii="Bookman Old Style" w:hAnsi="Bookman Old Style"/>
                <w:b/>
                <w:lang w:val="es-ES_tradnl"/>
              </w:rPr>
            </w:pPr>
            <w:r w:rsidRPr="00F340A2">
              <w:rPr>
                <w:rFonts w:ascii="Bookman Old Style" w:hAnsi="Bookman Old Style"/>
                <w:b/>
                <w:lang w:val="es-ES_tradnl"/>
              </w:rPr>
              <w:t>:</w:t>
            </w:r>
          </w:p>
        </w:tc>
        <w:tc>
          <w:tcPr>
            <w:tcW w:w="7744" w:type="dxa"/>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iCs/>
                <w:color w:val="000000" w:themeColor="text1"/>
                <w:kern w:val="24"/>
              </w:rPr>
              <w:t>T</w:t>
            </w:r>
            <w:r w:rsidRPr="00F340A2">
              <w:rPr>
                <w:rFonts w:ascii="Bookman Old Style" w:hAnsi="Bookman Old Style" w:cs="Arial"/>
              </w:rPr>
              <w:t xml:space="preserve">asa de descuento antes de impuestos y en dólares constantes para la </w:t>
            </w:r>
            <w:proofErr w:type="gramStart"/>
            <w:r w:rsidRPr="00F340A2">
              <w:rPr>
                <w:rFonts w:ascii="Bookman Old Style" w:hAnsi="Bookman Old Style" w:cs="Arial"/>
              </w:rPr>
              <w:t xml:space="preserve">actividad </w:t>
            </w:r>
            <w:proofErr w:type="gramEnd"/>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t</m:t>
              </m:r>
            </m:oMath>
            <w:r w:rsidRPr="00F340A2">
              <w:rPr>
                <w:rFonts w:ascii="Bookman Old Style" w:hAnsi="Bookman Old Style" w:cs="Arial"/>
              </w:rPr>
              <w:t>.</w:t>
            </w:r>
            <w:r w:rsidRPr="00F340A2">
              <w:rPr>
                <w:rFonts w:ascii="Bookman Old Style" w:hAnsi="Bookman Old Style" w:cs="Arial"/>
                <w:iCs/>
              </w:rPr>
              <w:t xml:space="preserve"> Tasa utilizada en la determinación </w:t>
            </w:r>
            <w:r w:rsidRPr="00F340A2">
              <w:rPr>
                <w:rFonts w:ascii="Bookman Old Style" w:hAnsi="Bookman Old Style" w:cs="Arial"/>
              </w:rPr>
              <w:t>de cargos tarifarios de las actividades por redes y de la actividad de generación de energía eléctrica en ZNI.</w:t>
            </w:r>
          </w:p>
          <w:p w:rsidR="000776BE" w:rsidRPr="00F340A2" w:rsidRDefault="000776BE" w:rsidP="00F67EAC">
            <w:pPr>
              <w:ind w:left="0"/>
              <w:jc w:val="both"/>
              <w:rPr>
                <w:rFonts w:ascii="Bookman Old Style" w:hAnsi="Bookman Old Style"/>
              </w:rPr>
            </w:pPr>
          </w:p>
        </w:tc>
      </w:tr>
      <w:tr w:rsidR="000776BE" w:rsidRPr="00F340A2" w:rsidTr="00F67EAC">
        <w:tc>
          <w:tcPr>
            <w:tcW w:w="1422"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Theme="minorEastAsia" w:hAnsi="Cambria Math" w:cs="Arial"/>
                        <w:b/>
                        <w:iCs/>
                        <w:color w:val="000000" w:themeColor="text1"/>
                        <w:kern w:val="24"/>
                      </w:rPr>
                    </m:ctrlPr>
                  </m:sSubPr>
                  <m:e>
                    <m:r>
                      <m:rPr>
                        <m:sty m:val="b"/>
                      </m:rPr>
                      <w:rPr>
                        <w:rFonts w:ascii="Cambria Math" w:hAnsi="Cambria Math" w:cs="Arial"/>
                        <w:color w:val="000000" w:themeColor="text1"/>
                        <w:kern w:val="24"/>
                      </w:rPr>
                      <m:t>WACC</m:t>
                    </m:r>
                  </m:e>
                  <m:sub>
                    <m:r>
                      <m:rPr>
                        <m:sty m:val="b"/>
                      </m:rPr>
                      <w:rPr>
                        <w:rFonts w:ascii="Cambria Math" w:hAnsi="Cambria Math" w:cs="Arial"/>
                        <w:color w:val="000000" w:themeColor="text1"/>
                        <w:kern w:val="24"/>
                      </w:rPr>
                      <m:t>usd,a,t</m:t>
                    </m:r>
                  </m:sub>
                </m:sSub>
              </m:oMath>
            </m:oMathPara>
          </w:p>
        </w:tc>
        <w:tc>
          <w:tcPr>
            <w:tcW w:w="298" w:type="dxa"/>
          </w:tcPr>
          <w:p w:rsidR="000776BE" w:rsidRPr="00F340A2" w:rsidRDefault="000776BE" w:rsidP="00F67EAC">
            <w:pPr>
              <w:ind w:left="0"/>
              <w:rPr>
                <w:rFonts w:ascii="Bookman Old Style" w:hAnsi="Bookman Old Style"/>
                <w:b/>
                <w:lang w:val="es-ES_tradnl"/>
              </w:rPr>
            </w:pPr>
            <w:r w:rsidRPr="00F340A2">
              <w:rPr>
                <w:rFonts w:ascii="Bookman Old Style" w:hAnsi="Bookman Old Style"/>
                <w:b/>
                <w:lang w:val="es-ES_tradnl"/>
              </w:rPr>
              <w:t>:</w:t>
            </w:r>
          </w:p>
        </w:tc>
        <w:tc>
          <w:tcPr>
            <w:tcW w:w="7744" w:type="dxa"/>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iCs/>
                <w:color w:val="000000" w:themeColor="text1"/>
                <w:kern w:val="24"/>
              </w:rPr>
              <w:t>C</w:t>
            </w:r>
            <w:r w:rsidRPr="00F340A2">
              <w:rPr>
                <w:rFonts w:ascii="Bookman Old Style" w:hAnsi="Bookman Old Style" w:cs="Arial"/>
              </w:rPr>
              <w:t xml:space="preserve">osto promedio ponderado de capital en dólares corrientes y antes de impuestos para la </w:t>
            </w:r>
            <w:proofErr w:type="gramStart"/>
            <w:r w:rsidRPr="00F340A2">
              <w:rPr>
                <w:rFonts w:ascii="Bookman Old Style" w:hAnsi="Bookman Old Style" w:cs="Arial"/>
              </w:rPr>
              <w:t xml:space="preserve">actividad </w:t>
            </w:r>
            <w:proofErr w:type="gramEnd"/>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t</m:t>
              </m:r>
            </m:oMath>
            <w:r w:rsidRPr="00F340A2">
              <w:rPr>
                <w:rFonts w:ascii="Bookman Old Style" w:hAnsi="Bookman Old Style" w:cs="Arial"/>
              </w:rPr>
              <w:t>.</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422" w:type="dxa"/>
          </w:tcPr>
          <w:p w:rsidR="000776BE" w:rsidRPr="00F340A2" w:rsidRDefault="00EC20D9"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π</m:t>
                    </m:r>
                  </m:e>
                  <m:sub>
                    <m:r>
                      <m:rPr>
                        <m:sty m:val="b"/>
                      </m:rPr>
                      <w:rPr>
                        <w:rFonts w:ascii="Cambria Math" w:eastAsia="Cambria Math" w:hAnsi="Cambria Math" w:cs="Arial"/>
                        <w:color w:val="000000" w:themeColor="text1"/>
                        <w:kern w:val="24"/>
                      </w:rPr>
                      <m:t>usd,t</m:t>
                    </m:r>
                  </m:sub>
                </m:sSub>
              </m:oMath>
            </m:oMathPara>
          </w:p>
        </w:tc>
        <w:tc>
          <w:tcPr>
            <w:tcW w:w="298" w:type="dxa"/>
          </w:tcPr>
          <w:p w:rsidR="000776BE" w:rsidRPr="00F340A2" w:rsidRDefault="000776BE" w:rsidP="00F67EAC">
            <w:pPr>
              <w:ind w:left="0"/>
              <w:rPr>
                <w:rFonts w:ascii="Bookman Old Style" w:hAnsi="Bookman Old Style" w:cs="Arial"/>
                <w:b/>
                <w:iCs/>
                <w:color w:val="000000" w:themeColor="text1"/>
                <w:kern w:val="24"/>
              </w:rPr>
            </w:pPr>
            <w:r w:rsidRPr="00F340A2">
              <w:rPr>
                <w:rFonts w:ascii="Bookman Old Style" w:hAnsi="Bookman Old Style" w:cs="Arial"/>
                <w:b/>
                <w:iCs/>
                <w:color w:val="000000" w:themeColor="text1"/>
                <w:kern w:val="24"/>
              </w:rPr>
              <w:t>:</w:t>
            </w:r>
          </w:p>
        </w:tc>
        <w:tc>
          <w:tcPr>
            <w:tcW w:w="7744" w:type="dxa"/>
          </w:tcPr>
          <w:p w:rsidR="000776BE" w:rsidRPr="00F340A2" w:rsidRDefault="000776BE" w:rsidP="00F67EAC">
            <w:pPr>
              <w:ind w:left="0"/>
              <w:contextualSpacing/>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Promedio de la</w:t>
            </w:r>
            <w:r>
              <w:rPr>
                <w:rFonts w:ascii="Bookman Old Style" w:hAnsi="Bookman Old Style" w:cs="Arial"/>
                <w:iCs/>
                <w:color w:val="000000" w:themeColor="text1"/>
                <w:kern w:val="24"/>
              </w:rPr>
              <w:t xml:space="preserve"> expectativa de</w:t>
            </w:r>
            <w:r w:rsidRPr="00F340A2">
              <w:rPr>
                <w:rFonts w:ascii="Bookman Old Style" w:hAnsi="Bookman Old Style" w:cs="Arial"/>
                <w:iCs/>
                <w:color w:val="000000" w:themeColor="text1"/>
                <w:kern w:val="24"/>
              </w:rPr>
              <w:t xml:space="preserve"> inflación para el </w:t>
            </w:r>
            <w:proofErr w:type="gramStart"/>
            <w:r w:rsidRPr="00F340A2">
              <w:rPr>
                <w:rFonts w:ascii="Bookman Old Style" w:hAnsi="Bookman Old Style" w:cs="Arial"/>
                <w:iCs/>
                <w:color w:val="000000" w:themeColor="text1"/>
                <w:kern w:val="24"/>
              </w:rPr>
              <w:t xml:space="preserve">momento </w:t>
            </w:r>
            <w:proofErr w:type="gramEnd"/>
            <m:oMath>
              <m:r>
                <m:rPr>
                  <m:sty m:val="p"/>
                </m:rPr>
                <w:rPr>
                  <w:rFonts w:ascii="Cambria Math" w:hAnsi="Cambria Math" w:cs="Arial"/>
                </w:rPr>
                <m:t>t</m:t>
              </m:r>
            </m:oMath>
            <w:r w:rsidRPr="00F340A2">
              <w:rPr>
                <w:rFonts w:ascii="Bookman Old Style" w:hAnsi="Bookman Old Style" w:cs="Arial"/>
                <w:iCs/>
                <w:color w:val="000000" w:themeColor="text1"/>
                <w:kern w:val="24"/>
              </w:rPr>
              <w:t>, calculada como el promedio de los diferenciales entre el Mid yield del bono de los Estados Unidos de América a 10 años (Ticker Bloomberg: USGG10YR Index) y la tasa del Treasury Inflation Protected Securities con plazo de emisión de 10 años (</w:t>
            </w:r>
            <w:proofErr w:type="spellStart"/>
            <w:r w:rsidRPr="00F340A2">
              <w:rPr>
                <w:rFonts w:ascii="Bookman Old Style" w:hAnsi="Bookman Old Style" w:cs="Arial"/>
                <w:iCs/>
                <w:color w:val="000000" w:themeColor="text1"/>
                <w:kern w:val="24"/>
              </w:rPr>
              <w:t>Ticker</w:t>
            </w:r>
            <w:proofErr w:type="spellEnd"/>
            <w:r w:rsidRPr="00F340A2">
              <w:rPr>
                <w:rFonts w:ascii="Bookman Old Style" w:hAnsi="Bookman Old Style" w:cs="Arial"/>
                <w:iCs/>
                <w:color w:val="000000" w:themeColor="text1"/>
                <w:kern w:val="24"/>
              </w:rPr>
              <w:t xml:space="preserve"> </w:t>
            </w:r>
            <w:proofErr w:type="spellStart"/>
            <w:r w:rsidRPr="00F340A2">
              <w:rPr>
                <w:rFonts w:ascii="Bookman Old Style" w:hAnsi="Bookman Old Style" w:cs="Arial"/>
                <w:iCs/>
                <w:color w:val="000000" w:themeColor="text1"/>
                <w:kern w:val="24"/>
              </w:rPr>
              <w:t>Bloomber</w:t>
            </w:r>
            <w:proofErr w:type="spellEnd"/>
            <w:r w:rsidRPr="00F340A2">
              <w:rPr>
                <w:rFonts w:ascii="Bookman Old Style" w:hAnsi="Bookman Old Style" w:cs="Arial"/>
                <w:iCs/>
                <w:color w:val="000000" w:themeColor="text1"/>
                <w:kern w:val="24"/>
              </w:rPr>
              <w:t xml:space="preserve">: GTII10 </w:t>
            </w:r>
            <w:proofErr w:type="spellStart"/>
            <w:r w:rsidRPr="00F340A2">
              <w:rPr>
                <w:rFonts w:ascii="Bookman Old Style" w:hAnsi="Bookman Old Style" w:cs="Arial"/>
                <w:iCs/>
                <w:color w:val="000000" w:themeColor="text1"/>
                <w:kern w:val="24"/>
              </w:rPr>
              <w:t>Govt</w:t>
            </w:r>
            <w:proofErr w:type="spellEnd"/>
            <w:r w:rsidRPr="00F340A2">
              <w:rPr>
                <w:rFonts w:ascii="Bookman Old Style" w:hAnsi="Bookman Old Style" w:cs="Arial"/>
                <w:iCs/>
                <w:color w:val="000000" w:themeColor="text1"/>
                <w:kern w:val="24"/>
              </w:rPr>
              <w:t>). Cada uno de los diferenciales se calcula de la siguiente manera:</w:t>
            </w:r>
          </w:p>
          <w:p w:rsidR="000776BE" w:rsidRPr="00F340A2" w:rsidRDefault="000776BE" w:rsidP="00F67EAC">
            <w:pPr>
              <w:ind w:left="0"/>
              <w:contextualSpacing/>
              <w:jc w:val="both"/>
              <w:rPr>
                <w:rFonts w:ascii="Bookman Old Style" w:hAnsi="Bookman Old Style" w:cs="Arial"/>
                <w:iCs/>
                <w:color w:val="000000" w:themeColor="text1"/>
                <w:kern w:val="24"/>
              </w:rPr>
            </w:pPr>
          </w:p>
          <w:p w:rsidR="000776BE" w:rsidRPr="00F340A2" w:rsidRDefault="00EC20D9" w:rsidP="00F67EAC">
            <w:pPr>
              <w:ind w:left="0"/>
              <w:contextualSpacing/>
              <w:jc w:val="both"/>
              <w:rPr>
                <w:rFonts w:ascii="Bookman Old Style" w:hAnsi="Bookman Old Style" w:cs="Arial"/>
                <w:iCs/>
                <w:color w:val="000000" w:themeColor="text1"/>
                <w:kern w:val="24"/>
              </w:rPr>
            </w:pPr>
            <m:oMathPara>
              <m:oMathParaPr>
                <m:jc m:val="center"/>
              </m:oMathParaPr>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π</m:t>
                    </m:r>
                  </m:e>
                  <m:sub>
                    <m:r>
                      <m:rPr>
                        <m:sty m:val="p"/>
                      </m:rPr>
                      <w:rPr>
                        <w:rFonts w:ascii="Cambria Math" w:hAnsi="Cambria Math" w:cs="Arial"/>
                        <w:color w:val="000000" w:themeColor="text1"/>
                        <w:kern w:val="24"/>
                      </w:rPr>
                      <m:t>usd,i</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 xml:space="preserve">USGG10YR Index </m:t>
                        </m:r>
                      </m:e>
                      <m:sub>
                        <m:r>
                          <m:rPr>
                            <m:sty m:val="p"/>
                          </m:rPr>
                          <w:rPr>
                            <w:rFonts w:ascii="Cambria Math" w:eastAsia="Cambria Math" w:hAnsi="Cambria Math" w:cs="Arial"/>
                            <w:color w:val="000000" w:themeColor="text1"/>
                            <w:kern w:val="24"/>
                          </w:rPr>
                          <m:t>i</m:t>
                        </m:r>
                      </m:sub>
                    </m:sSub>
                  </m:num>
                  <m:den>
                    <m:r>
                      <m:rPr>
                        <m:sty m:val="p"/>
                      </m:rPr>
                      <w:rPr>
                        <w:rFonts w:ascii="Cambria Math" w:eastAsia="Cambria Math" w:hAnsi="Cambria Math" w:cs="Arial"/>
                        <w:color w:val="000000" w:themeColor="text1"/>
                        <w:kern w:val="24"/>
                      </w:rPr>
                      <m:t>1+</m:t>
                    </m:r>
                    <m:sSub>
                      <m:sSubPr>
                        <m:ctrlPr>
                          <w:rPr>
                            <w:rFonts w:ascii="Cambria Math" w:eastAsiaTheme="minorEastAsia" w:hAnsi="Cambria Math" w:cs="Arial"/>
                            <w:iCs/>
                            <w:color w:val="000000" w:themeColor="text1"/>
                            <w:kern w:val="24"/>
                          </w:rPr>
                        </m:ctrlPr>
                      </m:sSubPr>
                      <m:e>
                        <m:r>
                          <m:rPr>
                            <m:sty m:val="p"/>
                          </m:rPr>
                          <w:rPr>
                            <w:rFonts w:ascii="Cambria Math" w:eastAsiaTheme="minorEastAsia" w:hAnsi="Cambria Math" w:cs="Arial"/>
                            <w:color w:val="000000" w:themeColor="text1"/>
                            <w:kern w:val="24"/>
                          </w:rPr>
                          <m:t xml:space="preserve">GTII10 Govt </m:t>
                        </m:r>
                      </m:e>
                      <m:sub>
                        <m:r>
                          <m:rPr>
                            <m:sty m:val="p"/>
                          </m:rPr>
                          <w:rPr>
                            <w:rFonts w:ascii="Cambria Math" w:eastAsiaTheme="minorEastAsia" w:hAnsi="Cambria Math" w:cs="Arial"/>
                            <w:color w:val="000000" w:themeColor="text1"/>
                            <w:kern w:val="24"/>
                          </w:rPr>
                          <m:t>i</m:t>
                        </m:r>
                      </m:sub>
                    </m:sSub>
                  </m:den>
                </m:f>
                <m:r>
                  <m:rPr>
                    <m:sty m:val="p"/>
                  </m:rPr>
                  <w:rPr>
                    <w:rFonts w:ascii="Cambria Math" w:eastAsia="Cambria Math" w:hAnsi="Cambria Math" w:cs="Arial"/>
                    <w:color w:val="000000" w:themeColor="text1"/>
                    <w:kern w:val="24"/>
                  </w:rPr>
                  <m:t>-1</m:t>
                </m:r>
              </m:oMath>
            </m:oMathPara>
          </w:p>
          <w:p w:rsidR="000776BE" w:rsidRPr="00F340A2" w:rsidRDefault="000776BE" w:rsidP="00F67EAC">
            <w:pPr>
              <w:ind w:left="0"/>
              <w:jc w:val="both"/>
              <w:rPr>
                <w:rFonts w:ascii="Bookman Old Style" w:hAnsi="Bookman Old Style"/>
              </w:rPr>
            </w:pPr>
          </w:p>
          <w:p w:rsidR="000776BE" w:rsidRPr="00F340A2" w:rsidRDefault="000776BE" w:rsidP="00F67EAC">
            <w:pPr>
              <w:ind w:left="0"/>
              <w:jc w:val="both"/>
              <w:rPr>
                <w:rFonts w:ascii="Bookman Old Style" w:hAnsi="Bookman Old Style"/>
              </w:rPr>
            </w:pPr>
            <w:r w:rsidRPr="00F340A2">
              <w:rPr>
                <w:rFonts w:ascii="Bookman Old Style" w:hAnsi="Bookman Old Style"/>
                <w:lang w:val="es-ES_tradnl"/>
              </w:rPr>
              <w:t>En donde i es cada una de las fechas para las que existe información.</w:t>
            </w:r>
          </w:p>
          <w:p w:rsidR="000776BE" w:rsidRPr="00F340A2" w:rsidRDefault="000776BE" w:rsidP="00F67EAC">
            <w:pPr>
              <w:ind w:left="0"/>
              <w:jc w:val="both"/>
              <w:rPr>
                <w:rFonts w:ascii="Bookman Old Style" w:hAnsi="Bookman Old Style"/>
              </w:rPr>
            </w:pPr>
          </w:p>
        </w:tc>
      </w:tr>
      <w:tr w:rsidR="000776BE" w:rsidRPr="00F340A2" w:rsidTr="00F67EAC">
        <w:tc>
          <w:tcPr>
            <w:tcW w:w="1422" w:type="dxa"/>
          </w:tcPr>
          <w:p w:rsidR="000776BE" w:rsidRPr="00F340A2" w:rsidRDefault="000776BE" w:rsidP="00F67EAC">
            <w:pPr>
              <w:ind w:left="0"/>
              <w:rPr>
                <w:rFonts w:ascii="Bookman Old Style" w:hAnsi="Bookman Old Style"/>
                <w:b/>
                <w:iCs/>
                <w:color w:val="000000" w:themeColor="text1"/>
                <w:kern w:val="24"/>
              </w:rPr>
            </w:pPr>
            <m:oMathPara>
              <m:oMathParaPr>
                <m:jc m:val="left"/>
              </m:oMathParaPr>
              <m:oMath>
                <m:r>
                  <m:rPr>
                    <m:sty m:val="b"/>
                  </m:rPr>
                  <w:rPr>
                    <w:rFonts w:ascii="Cambria Math" w:hAnsi="Cambria Math"/>
                  </w:rPr>
                  <m:t>a</m:t>
                </m:r>
              </m:oMath>
            </m:oMathPara>
          </w:p>
        </w:tc>
        <w:tc>
          <w:tcPr>
            <w:tcW w:w="298" w:type="dxa"/>
          </w:tcPr>
          <w:p w:rsidR="000776BE" w:rsidRPr="00F340A2" w:rsidRDefault="000776BE" w:rsidP="00F67EAC">
            <w:pPr>
              <w:ind w:left="0"/>
              <w:rPr>
                <w:rFonts w:ascii="Bookman Old Style" w:hAnsi="Bookman Old Style"/>
                <w:b/>
                <w:iCs/>
                <w:color w:val="000000" w:themeColor="text1"/>
                <w:kern w:val="24"/>
              </w:rPr>
            </w:pPr>
            <w:r w:rsidRPr="00F340A2">
              <w:rPr>
                <w:rFonts w:ascii="Bookman Old Style" w:hAnsi="Bookman Old Style"/>
                <w:b/>
                <w:iCs/>
                <w:color w:val="000000" w:themeColor="text1"/>
                <w:kern w:val="24"/>
              </w:rPr>
              <w:t>:</w:t>
            </w:r>
          </w:p>
        </w:tc>
        <w:tc>
          <w:tcPr>
            <w:tcW w:w="7744" w:type="dxa"/>
          </w:tcPr>
          <w:p w:rsidR="00AF0CF0" w:rsidRPr="00F340A2" w:rsidRDefault="00AF0CF0" w:rsidP="00AF0CF0">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Cada una de </w:t>
            </w:r>
            <w:r w:rsidRPr="00F340A2">
              <w:rPr>
                <w:rFonts w:ascii="Bookman Old Style" w:hAnsi="Bookman Old Style" w:cs="Arial"/>
              </w:rPr>
              <w:t>las actividades por redes y la actividad de generación de energía eléctrica en ZNI,</w:t>
            </w:r>
            <w:r>
              <w:rPr>
                <w:rFonts w:ascii="Bookman Old Style" w:hAnsi="Bookman Old Style" w:cs="Arial"/>
              </w:rPr>
              <w:t xml:space="preserve"> que son </w:t>
            </w:r>
            <w:r w:rsidRPr="00F340A2">
              <w:rPr>
                <w:rFonts w:ascii="Bookman Old Style" w:hAnsi="Bookman Old Style" w:cs="Arial"/>
                <w:iCs/>
                <w:color w:val="000000" w:themeColor="text1"/>
                <w:kern w:val="24"/>
              </w:rPr>
              <w:t>reguladas por la CREG.</w:t>
            </w:r>
          </w:p>
          <w:p w:rsidR="0018073E" w:rsidRPr="00F340A2" w:rsidRDefault="0018073E" w:rsidP="00F67EAC">
            <w:pPr>
              <w:ind w:left="0"/>
              <w:rPr>
                <w:rFonts w:ascii="Bookman Old Style" w:hAnsi="Bookman Old Style" w:cs="Arial"/>
                <w:iCs/>
                <w:color w:val="000000" w:themeColor="text1"/>
                <w:kern w:val="24"/>
              </w:rPr>
            </w:pPr>
          </w:p>
        </w:tc>
      </w:tr>
      <w:tr w:rsidR="000776BE" w:rsidRPr="00F340A2" w:rsidTr="00F67EAC">
        <w:tc>
          <w:tcPr>
            <w:tcW w:w="1422" w:type="dxa"/>
          </w:tcPr>
          <w:p w:rsidR="000776BE" w:rsidRPr="00F340A2" w:rsidRDefault="000776BE" w:rsidP="00F67EAC">
            <w:pPr>
              <w:ind w:left="0"/>
              <w:rPr>
                <w:rFonts w:ascii="Bookman Old Style" w:hAnsi="Bookman Old Style"/>
                <w:b/>
                <w:lang w:val="es-ES_tradnl"/>
              </w:rPr>
            </w:pPr>
            <m:oMathPara>
              <m:oMathParaPr>
                <m:jc m:val="left"/>
              </m:oMathParaPr>
              <m:oMath>
                <m:r>
                  <m:rPr>
                    <m:sty m:val="b"/>
                  </m:rPr>
                  <w:rPr>
                    <w:rFonts w:ascii="Cambria Math" w:hAnsi="Cambria Math"/>
                  </w:rPr>
                  <w:lastRenderedPageBreak/>
                  <m:t>t</m:t>
                </m:r>
              </m:oMath>
            </m:oMathPara>
          </w:p>
        </w:tc>
        <w:tc>
          <w:tcPr>
            <w:tcW w:w="298" w:type="dxa"/>
          </w:tcPr>
          <w:p w:rsidR="000776BE" w:rsidRPr="00F340A2" w:rsidRDefault="000776BE" w:rsidP="00F67EAC">
            <w:pPr>
              <w:ind w:left="0"/>
              <w:rPr>
                <w:rFonts w:ascii="Bookman Old Style" w:hAnsi="Bookman Old Style"/>
                <w:b/>
                <w:lang w:val="es-ES_tradnl"/>
              </w:rPr>
            </w:pPr>
            <w:r w:rsidRPr="00F340A2">
              <w:rPr>
                <w:rFonts w:ascii="Bookman Old Style" w:hAnsi="Bookman Old Style"/>
                <w:b/>
                <w:lang w:val="es-ES_tradnl"/>
              </w:rPr>
              <w:t>:</w:t>
            </w:r>
          </w:p>
        </w:tc>
        <w:tc>
          <w:tcPr>
            <w:tcW w:w="7744" w:type="dxa"/>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Último día del mes anterior a la fecha de cálculo.</w:t>
            </w:r>
          </w:p>
          <w:p w:rsidR="000776BE" w:rsidRPr="00F340A2" w:rsidRDefault="000776BE" w:rsidP="00F67EAC">
            <w:pPr>
              <w:ind w:left="0"/>
              <w:jc w:val="both"/>
              <w:rPr>
                <w:rFonts w:ascii="Bookman Old Style" w:hAnsi="Bookman Old Style"/>
                <w:lang w:val="es-ES_tradnl"/>
              </w:rPr>
            </w:pPr>
          </w:p>
        </w:tc>
      </w:tr>
    </w:tbl>
    <w:p w:rsidR="000776BE" w:rsidRPr="00F340A2" w:rsidRDefault="000776BE" w:rsidP="000776BE">
      <w:pPr>
        <w:ind w:left="0"/>
        <w:contextualSpacing/>
        <w:jc w:val="both"/>
        <w:rPr>
          <w:rFonts w:ascii="Bookman Old Style" w:hAnsi="Bookman Old Style" w:cs="Arial"/>
        </w:rPr>
      </w:pPr>
      <w:r w:rsidRPr="00F340A2">
        <w:rPr>
          <w:rFonts w:ascii="Bookman Old Style" w:hAnsi="Bookman Old Style" w:cs="Arial"/>
          <w:b/>
        </w:rPr>
        <w:t>Parágrafo 1.</w:t>
      </w:r>
      <w:r w:rsidRPr="00F340A2">
        <w:rPr>
          <w:rFonts w:ascii="Bookman Old Style" w:hAnsi="Bookman Old Style" w:cs="Arial"/>
        </w:rPr>
        <w:t xml:space="preserve"> El costo promedio ponderado de capital en dólares corrientes y antes de impuestos para la actividad a, en el momento t, está dado por la siguiente expresión:</w:t>
      </w:r>
    </w:p>
    <w:p w:rsidR="000776BE" w:rsidRPr="00F340A2" w:rsidRDefault="000776BE" w:rsidP="000776BE">
      <w:pPr>
        <w:ind w:left="0"/>
        <w:contextualSpacing/>
        <w:jc w:val="both"/>
        <w:rPr>
          <w:rFonts w:ascii="Bookman Old Style" w:hAnsi="Bookman Old Style" w:cs="Arial"/>
          <w:lang w:val="es-ES_tradnl"/>
        </w:rPr>
      </w:pPr>
    </w:p>
    <w:p w:rsidR="000776BE" w:rsidRPr="00F340A2" w:rsidRDefault="00EC20D9" w:rsidP="000776BE">
      <w:pPr>
        <w:ind w:left="0"/>
        <w:contextualSpacing/>
        <w:jc w:val="both"/>
        <w:rPr>
          <w:rFonts w:ascii="Bookman Old Style" w:hAnsi="Bookman Old Style" w:cs="Arial"/>
          <w:lang w:val="es-ES_tradnl"/>
        </w:rPr>
      </w:pPr>
      <m:oMathPara>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WACC</m:t>
              </m:r>
            </m:e>
            <m:sub>
              <m:r>
                <m:rPr>
                  <m:sty m:val="p"/>
                </m:rPr>
                <w:rPr>
                  <w:rFonts w:ascii="Cambria Math" w:hAnsi="Cambria Math" w:cs="Arial"/>
                  <w:color w:val="000000" w:themeColor="text1"/>
                  <w:kern w:val="24"/>
                </w:rPr>
                <m:t>usd,a,t</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m:t>
              </m:r>
            </m:e>
            <m:sub>
              <m:r>
                <m:rPr>
                  <m:sty m:val="p"/>
                </m:rPr>
                <w:rPr>
                  <w:rFonts w:ascii="Cambria Math" w:eastAsia="Cambria Math" w:hAnsi="Cambria Math" w:cs="Arial"/>
                  <w:color w:val="000000" w:themeColor="text1"/>
                  <w:kern w:val="24"/>
                </w:rPr>
                <m:t>d</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m:t>
              </m:r>
            </m:e>
            <m:sub>
              <m:r>
                <m:rPr>
                  <m:sty m:val="p"/>
                </m:rPr>
                <w:rPr>
                  <w:rFonts w:ascii="Cambria Math" w:eastAsia="Cambria Math" w:hAnsi="Cambria Math" w:cs="Arial"/>
                  <w:color w:val="000000" w:themeColor="text1"/>
                  <w:kern w:val="24"/>
                </w:rPr>
                <m:t>usd,t</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m:t>
                  </m:r>
                </m:e>
                <m:sub>
                  <m:r>
                    <m:rPr>
                      <m:sty m:val="p"/>
                    </m:rPr>
                    <w:rPr>
                      <w:rFonts w:ascii="Cambria Math" w:eastAsia="Cambria Math" w:hAnsi="Cambria Math" w:cs="Arial"/>
                      <w:color w:val="000000" w:themeColor="text1"/>
                      <w:kern w:val="24"/>
                    </w:rPr>
                    <m:t>e</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m:t>
                  </m:r>
                </m:e>
                <m:sub>
                  <m:r>
                    <m:rPr>
                      <m:sty m:val="p"/>
                    </m:rPr>
                    <w:rPr>
                      <w:rFonts w:ascii="Cambria Math" w:eastAsia="Cambria Math" w:hAnsi="Cambria Math" w:cs="Arial"/>
                      <w:color w:val="000000" w:themeColor="text1"/>
                      <w:kern w:val="24"/>
                    </w:rPr>
                    <m:t>usd,a,t</m:t>
                  </m:r>
                </m:sub>
              </m:sSub>
            </m:num>
            <m:den>
              <m:d>
                <m:dPr>
                  <m:ctrlPr>
                    <w:rPr>
                      <w:rFonts w:ascii="Cambria Math" w:eastAsia="Cambria Math" w:hAnsi="Cambria Math" w:cs="Arial"/>
                      <w:iCs/>
                      <w:color w:val="000000" w:themeColor="text1"/>
                      <w:kern w:val="24"/>
                    </w:rPr>
                  </m:ctrlPr>
                </m:dPr>
                <m:e>
                  <m:r>
                    <m:rPr>
                      <m:sty m:val="p"/>
                    </m:rPr>
                    <w:rPr>
                      <w:rFonts w:ascii="Cambria Math" w:eastAsia="Cambria Math" w:hAnsi="Cambria Math" w:cs="Arial"/>
                      <w:color w:val="000000" w:themeColor="text1"/>
                      <w:kern w:val="24"/>
                    </w:rPr>
                    <m:t>1-Tx</m:t>
                  </m:r>
                </m:e>
              </m:d>
            </m:den>
          </m:f>
        </m:oMath>
      </m:oMathPara>
    </w:p>
    <w:p w:rsidR="000776BE" w:rsidRPr="00F340A2" w:rsidRDefault="000776BE" w:rsidP="000776BE">
      <w:pPr>
        <w:ind w:left="0"/>
        <w:contextualSpacing/>
        <w:jc w:val="both"/>
        <w:rPr>
          <w:rFonts w:ascii="Bookman Old Style" w:hAnsi="Bookman Old Style" w:cs="Arial"/>
        </w:rPr>
      </w:pPr>
      <w:r w:rsidRPr="00F340A2">
        <w:rPr>
          <w:rFonts w:ascii="Bookman Old Style" w:hAnsi="Bookman Old Style" w:cs="Arial"/>
        </w:rPr>
        <w:t>Donde,</w:t>
      </w:r>
    </w:p>
    <w:p w:rsidR="000776BE" w:rsidRPr="00F340A2" w:rsidRDefault="000776BE" w:rsidP="000776BE">
      <w:pPr>
        <w:ind w:left="0"/>
        <w:contextualSpacing/>
        <w:jc w:val="both"/>
        <w:rPr>
          <w:rFonts w:ascii="Bookman Old Style" w:hAnsi="Bookman Old Style" w:cs="Aria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298"/>
        <w:gridCol w:w="8031"/>
      </w:tblGrid>
      <w:tr w:rsidR="000776BE" w:rsidRPr="00F340A2" w:rsidTr="00F67EAC">
        <w:tc>
          <w:tcPr>
            <w:tcW w:w="1101" w:type="dxa"/>
          </w:tcPr>
          <w:p w:rsidR="000776BE" w:rsidRPr="00F340A2" w:rsidRDefault="00EC20D9" w:rsidP="00F67EAC">
            <w:pPr>
              <w:ind w:left="0"/>
              <w:rPr>
                <w:rFonts w:ascii="Bookman Old Style" w:hAnsi="Bookman Old Style"/>
                <w:b/>
                <w:lang w:val="es-ES_tradnl"/>
              </w:rPr>
            </w:p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W</m:t>
                  </m:r>
                </m:e>
                <m:sub>
                  <m:r>
                    <m:rPr>
                      <m:sty m:val="b"/>
                    </m:rPr>
                    <w:rPr>
                      <w:rFonts w:ascii="Cambria Math" w:eastAsia="Cambria Math" w:hAnsi="Cambria Math" w:cstheme="minorBidi"/>
                      <w:color w:val="000000" w:themeColor="text1"/>
                      <w:kern w:val="24"/>
                    </w:rPr>
                    <m:t>d</m:t>
                  </m:r>
                </m:sub>
              </m:sSub>
            </m:oMath>
            <w:r w:rsidR="000776BE" w:rsidRPr="00F340A2">
              <w:rPr>
                <w:rFonts w:ascii="Bookman Old Style" w:hAnsi="Bookman Old Style"/>
                <w:b/>
                <w:iCs/>
                <w:color w:val="000000" w:themeColor="text1"/>
                <w:kern w:val="24"/>
              </w:rPr>
              <w:t xml:space="preserve"> </w:t>
            </w:r>
          </w:p>
        </w:tc>
        <w:tc>
          <w:tcPr>
            <w:tcW w:w="298"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31"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Ponderador para el costo de la deuda. El valor a aplicar para efectos de cálculo es 40%.</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101" w:type="dxa"/>
          </w:tcPr>
          <w:p w:rsidR="000776BE" w:rsidRPr="00F340A2" w:rsidRDefault="00EC20D9" w:rsidP="00F67EAC">
            <w:pPr>
              <w:ind w:left="0"/>
              <w:rPr>
                <w:rFonts w:ascii="Bookman Old Style" w:hAnsi="Bookman Old Style"/>
                <w:b/>
                <w:lang w:val="es-ES_tradnl"/>
              </w:rPr>
            </w:p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W</m:t>
                  </m:r>
                </m:e>
                <m:sub>
                  <m:r>
                    <m:rPr>
                      <m:sty m:val="b"/>
                    </m:rPr>
                    <w:rPr>
                      <w:rFonts w:ascii="Cambria Math" w:eastAsia="Cambria Math" w:hAnsi="Cambria Math" w:cstheme="minorBidi"/>
                      <w:color w:val="000000" w:themeColor="text1"/>
                      <w:kern w:val="24"/>
                    </w:rPr>
                    <m:t>e</m:t>
                  </m:r>
                </m:sub>
              </m:sSub>
            </m:oMath>
            <w:r w:rsidR="000776BE" w:rsidRPr="00F340A2">
              <w:rPr>
                <w:rFonts w:ascii="Bookman Old Style" w:hAnsi="Bookman Old Style"/>
                <w:b/>
                <w:iCs/>
                <w:color w:val="000000" w:themeColor="text1"/>
                <w:kern w:val="24"/>
              </w:rPr>
              <w:t xml:space="preserve"> </w:t>
            </w:r>
          </w:p>
        </w:tc>
        <w:tc>
          <w:tcPr>
            <w:tcW w:w="298"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31" w:type="dxa"/>
            <w:vAlign w:val="center"/>
          </w:tcPr>
          <w:p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rPr>
              <w:t xml:space="preserve">Ponderador para el costo del capital propio. El valor a aplicar para efectos de cálculo es </w:t>
            </w:r>
            <m:oMath>
              <m:r>
                <m:rPr>
                  <m:sty m:val="p"/>
                </m:rPr>
                <w:rPr>
                  <w:rFonts w:ascii="Cambria Math" w:eastAsiaTheme="minorEastAsia" w:hAnsi="Cambria Math"/>
                  <w:color w:val="000000" w:themeColor="text1"/>
                  <w:kern w:val="24"/>
                </w:rPr>
                <m:t>1-</m:t>
              </m:r>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W</m:t>
                  </m:r>
                </m:e>
                <m:sub>
                  <m:r>
                    <m:rPr>
                      <m:sty m:val="p"/>
                    </m:rPr>
                    <w:rPr>
                      <w:rFonts w:ascii="Cambria Math" w:eastAsia="Cambria Math" w:hAnsi="Cambria Math" w:cstheme="minorBidi"/>
                      <w:color w:val="000000" w:themeColor="text1"/>
                      <w:kern w:val="24"/>
                    </w:rPr>
                    <m:t>d</m:t>
                  </m:r>
                </m:sub>
              </m:sSub>
              <m:r>
                <m:rPr>
                  <m:sty m:val="p"/>
                </m:rPr>
                <w:rPr>
                  <w:rFonts w:ascii="Cambria Math" w:eastAsia="Cambria Math" w:hAnsi="Cambria Math" w:cstheme="minorBidi"/>
                  <w:color w:val="000000" w:themeColor="text1"/>
                  <w:kern w:val="24"/>
                </w:rPr>
                <m:t>=60%</m:t>
              </m:r>
            </m:oMath>
            <w:r w:rsidRPr="00F340A2">
              <w:rPr>
                <w:rFonts w:ascii="Bookman Old Style" w:hAnsi="Bookman Old Style" w:cs="Arial"/>
                <w:iCs/>
                <w:color w:val="000000" w:themeColor="text1"/>
                <w:kern w:val="24"/>
              </w:rPr>
              <w:t>.</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101" w:type="dxa"/>
          </w:tcPr>
          <w:p w:rsidR="000776BE" w:rsidRPr="00F340A2" w:rsidRDefault="00EC20D9" w:rsidP="00F67EAC">
            <w:pPr>
              <w:ind w:left="0"/>
              <w:rPr>
                <w:rFonts w:ascii="Bookman Old Style" w:hAnsi="Bookman Old Style"/>
                <w:b/>
                <w:lang w:val="es-ES_tradnl"/>
              </w:rPr>
            </w:p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Kd</m:t>
                  </m:r>
                </m:e>
                <m:sub>
                  <m:r>
                    <m:rPr>
                      <m:sty m:val="b"/>
                    </m:rPr>
                    <w:rPr>
                      <w:rFonts w:ascii="Cambria Math" w:eastAsia="Cambria Math" w:hAnsi="Cambria Math" w:cs="Arial"/>
                      <w:color w:val="000000" w:themeColor="text1"/>
                      <w:kern w:val="24"/>
                    </w:rPr>
                    <m:t>usd,t</m:t>
                  </m:r>
                </m:sub>
              </m:sSub>
            </m:oMath>
            <w:r w:rsidR="000776BE" w:rsidRPr="00F340A2">
              <w:rPr>
                <w:rFonts w:ascii="Bookman Old Style" w:hAnsi="Bookman Old Style"/>
                <w:b/>
                <w:iCs/>
                <w:color w:val="000000" w:themeColor="text1"/>
                <w:kern w:val="24"/>
              </w:rPr>
              <w:t xml:space="preserve"> </w:t>
            </w:r>
          </w:p>
        </w:tc>
        <w:tc>
          <w:tcPr>
            <w:tcW w:w="298"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31"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Costo de la deuda en dólares, equivalente al costo de la deuda en pesos</w:t>
            </w:r>
            <w:r w:rsidRPr="00F340A2">
              <w:t xml:space="preserve"> </w:t>
            </w:r>
            <w:r w:rsidRPr="00F340A2">
              <w:rPr>
                <w:rFonts w:ascii="Bookman Old Style" w:hAnsi="Bookman Old Style" w:cs="Arial"/>
              </w:rPr>
              <w:t>en el momento i. Su valor está dado por la siguiente expresión:</w:t>
            </w:r>
          </w:p>
          <w:p w:rsidR="000776BE" w:rsidRPr="00F340A2" w:rsidRDefault="000776BE" w:rsidP="00F67EAC">
            <w:pPr>
              <w:ind w:left="0"/>
              <w:jc w:val="both"/>
              <w:rPr>
                <w:rFonts w:ascii="Bookman Old Style" w:hAnsi="Bookman Old Style" w:cs="Arial"/>
              </w:rPr>
            </w:pPr>
          </w:p>
          <w:p w:rsidR="000776BE" w:rsidRPr="00F340A2" w:rsidRDefault="00EC20D9" w:rsidP="00F67EAC">
            <w:pPr>
              <w:ind w:left="0"/>
              <w:jc w:val="both"/>
              <w:rPr>
                <w:rFonts w:ascii="Bookman Old Style" w:hAnsi="Bookman Old Style" w:cs="Arial"/>
              </w:rPr>
            </w:pPr>
            <m:oMathPara>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m:t>
                    </m:r>
                  </m:e>
                  <m:sub>
                    <m:r>
                      <m:rPr>
                        <m:sty m:val="p"/>
                      </m:rPr>
                      <w:rPr>
                        <w:rFonts w:ascii="Cambria Math" w:eastAsia="Cambria Math" w:hAnsi="Cambria Math" w:cs="Arial"/>
                        <w:color w:val="000000" w:themeColor="text1"/>
                        <w:kern w:val="24"/>
                      </w:rPr>
                      <m:t>usd,t</m:t>
                    </m:r>
                  </m:sub>
                </m:sSub>
                <m:r>
                  <m:rPr>
                    <m:sty m:val="p"/>
                  </m:rPr>
                  <w:rPr>
                    <w:rFonts w:ascii="Cambria Math" w:eastAsia="Cambria Math" w:hAnsi="Cambria Math" w:cs="Arial"/>
                    <w:color w:val="000000" w:themeColor="text1"/>
                    <w:kern w:val="24"/>
                  </w:rPr>
                  <m:t>=</m:t>
                </m:r>
                <m:sSup>
                  <m:sSupPr>
                    <m:ctrlPr>
                      <w:rPr>
                        <w:rFonts w:ascii="Cambria Math" w:eastAsiaTheme="minorEastAsia" w:hAnsi="Cambria Math" w:cs="Arial"/>
                        <w:iCs/>
                        <w:color w:val="000000" w:themeColor="text1"/>
                        <w:kern w:val="24"/>
                      </w:rPr>
                    </m:ctrlPr>
                  </m:sSupPr>
                  <m:e>
                    <m:d>
                      <m:dPr>
                        <m:begChr m:val="["/>
                        <m:endChr m:val="]"/>
                        <m:ctrlPr>
                          <w:rPr>
                            <w:rFonts w:ascii="Cambria Math" w:eastAsiaTheme="minorEastAsia" w:hAnsi="Cambria Math" w:cs="Arial"/>
                            <w:iCs/>
                            <w:color w:val="000000" w:themeColor="text1"/>
                            <w:kern w:val="24"/>
                          </w:rPr>
                        </m:ctrlPr>
                      </m:dPr>
                      <m:e>
                        <m:f>
                          <m:fPr>
                            <m:ctrlPr>
                              <w:rPr>
                                <w:rFonts w:ascii="Cambria Math" w:eastAsiaTheme="minorEastAsia" w:hAnsi="Cambria Math" w:cs="Arial"/>
                                <w:iCs/>
                                <w:color w:val="000000" w:themeColor="text1"/>
                                <w:kern w:val="24"/>
                              </w:rPr>
                            </m:ctrlPr>
                          </m:fPr>
                          <m:num>
                            <m:sSup>
                              <m:sSupPr>
                                <m:ctrlPr>
                                  <w:rPr>
                                    <w:rFonts w:ascii="Cambria Math" w:eastAsia="Cambria Math" w:hAnsi="Cambria Math" w:cs="Arial"/>
                                    <w:iCs/>
                                    <w:color w:val="000000" w:themeColor="text1"/>
                                    <w:kern w:val="24"/>
                                  </w:rPr>
                                </m:ctrlPr>
                              </m:sSupPr>
                              <m:e>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m:t>
                                    </m:r>
                                  </m:e>
                                  <m:sub>
                                    <m:r>
                                      <m:rPr>
                                        <m:sty m:val="p"/>
                                      </m:rPr>
                                      <w:rPr>
                                        <w:rFonts w:ascii="Cambria Math" w:eastAsia="Cambria Math" w:hAnsi="Cambria Math" w:cs="Arial"/>
                                        <w:color w:val="000000" w:themeColor="text1"/>
                                        <w:kern w:val="24"/>
                                      </w:rPr>
                                      <m:t>cop,t</m:t>
                                    </m:r>
                                  </m:sub>
                                </m:sSub>
                                <m:r>
                                  <m:rPr>
                                    <m:sty m:val="p"/>
                                  </m:rPr>
                                  <w:rPr>
                                    <w:rFonts w:ascii="Cambria Math" w:eastAsia="Cambria Math" w:hAnsi="Cambria Math" w:cs="Arial"/>
                                    <w:color w:val="000000" w:themeColor="text1"/>
                                    <w:kern w:val="24"/>
                                  </w:rPr>
                                  <m:t>)</m:t>
                                </m:r>
                              </m:e>
                              <m:sup>
                                <m:r>
                                  <m:rPr>
                                    <m:sty m:val="p"/>
                                  </m:rPr>
                                  <w:rPr>
                                    <w:rFonts w:ascii="Cambria Math" w:eastAsia="Cambria Math" w:hAnsi="Cambria Math" w:cs="Arial"/>
                                    <w:color w:val="000000" w:themeColor="text1"/>
                                    <w:kern w:val="24"/>
                                  </w:rPr>
                                  <m:t>n</m:t>
                                </m:r>
                              </m:sup>
                            </m:sSup>
                            <m:r>
                              <m:rPr>
                                <m:sty m:val="p"/>
                              </m:rPr>
                              <w:rPr>
                                <w:rFonts w:ascii="Cambria Math" w:eastAsia="Cambria Math" w:hAnsi="Cambria Math" w:cs="Arial"/>
                                <w:color w:val="000000" w:themeColor="text1"/>
                                <w:kern w:val="24"/>
                              </w:rPr>
                              <m:t>*</m:t>
                            </m:r>
                            <m:sSup>
                              <m:sSupPr>
                                <m:ctrlPr>
                                  <w:rPr>
                                    <w:rFonts w:ascii="Cambria Math" w:eastAsia="Cambria Math" w:hAnsi="Cambria Math" w:cs="Arial"/>
                                    <w:iCs/>
                                    <w:color w:val="000000" w:themeColor="text1"/>
                                    <w:kern w:val="24"/>
                                  </w:rPr>
                                </m:ctrlPr>
                              </m:sSupPr>
                              <m:e>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Swap</m:t>
                                    </m:r>
                                  </m:e>
                                  <m:sub>
                                    <m:r>
                                      <m:rPr>
                                        <m:sty m:val="p"/>
                                      </m:rPr>
                                      <w:rPr>
                                        <w:rFonts w:ascii="Cambria Math" w:eastAsia="Cambria Math" w:hAnsi="Cambria Math" w:cs="Arial"/>
                                        <w:color w:val="000000" w:themeColor="text1"/>
                                        <w:kern w:val="24"/>
                                      </w:rPr>
                                      <m:t>usd,n,t</m:t>
                                    </m:r>
                                  </m:sub>
                                </m:sSub>
                                <m:r>
                                  <m:rPr>
                                    <m:sty m:val="p"/>
                                  </m:rPr>
                                  <w:rPr>
                                    <w:rFonts w:ascii="Cambria Math" w:eastAsia="Cambria Math" w:hAnsi="Cambria Math" w:cs="Arial"/>
                                    <w:color w:val="000000" w:themeColor="text1"/>
                                    <w:kern w:val="24"/>
                                  </w:rPr>
                                  <m:t>)</m:t>
                                </m:r>
                              </m:e>
                              <m:sup>
                                <m:r>
                                  <m:rPr>
                                    <m:sty m:val="p"/>
                                  </m:rPr>
                                  <w:rPr>
                                    <w:rFonts w:ascii="Cambria Math" w:eastAsia="Cambria Math" w:hAnsi="Cambria Math" w:cs="Arial"/>
                                    <w:color w:val="000000" w:themeColor="text1"/>
                                    <w:kern w:val="24"/>
                                  </w:rPr>
                                  <m:t>n</m:t>
                                </m:r>
                              </m:sup>
                            </m:sSup>
                          </m:num>
                          <m:den>
                            <m:sSup>
                              <m:sSupPr>
                                <m:ctrlPr>
                                  <w:rPr>
                                    <w:rFonts w:ascii="Cambria Math" w:eastAsia="Cambria Math" w:hAnsi="Cambria Math" w:cs="Arial"/>
                                    <w:iCs/>
                                    <w:color w:val="000000" w:themeColor="text1"/>
                                    <w:kern w:val="24"/>
                                  </w:rPr>
                                </m:ctrlPr>
                              </m:sSupPr>
                              <m:e>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Swap</m:t>
                                    </m:r>
                                  </m:e>
                                  <m:sub>
                                    <m:r>
                                      <m:rPr>
                                        <m:sty m:val="p"/>
                                      </m:rPr>
                                      <w:rPr>
                                        <w:rFonts w:ascii="Cambria Math" w:eastAsia="Cambria Math" w:hAnsi="Cambria Math" w:cs="Arial"/>
                                        <w:color w:val="000000" w:themeColor="text1"/>
                                        <w:kern w:val="24"/>
                                      </w:rPr>
                                      <m:t>cop, n,t</m:t>
                                    </m:r>
                                  </m:sub>
                                </m:sSub>
                                <m:r>
                                  <m:rPr>
                                    <m:sty m:val="p"/>
                                  </m:rPr>
                                  <w:rPr>
                                    <w:rFonts w:ascii="Cambria Math" w:eastAsia="Cambria Math" w:hAnsi="Cambria Math" w:cs="Arial"/>
                                    <w:color w:val="000000" w:themeColor="text1"/>
                                    <w:kern w:val="24"/>
                                  </w:rPr>
                                  <m:t>)</m:t>
                                </m:r>
                              </m:e>
                              <m:sup>
                                <m:r>
                                  <m:rPr>
                                    <m:sty m:val="p"/>
                                  </m:rPr>
                                  <w:rPr>
                                    <w:rFonts w:ascii="Cambria Math" w:eastAsia="Cambria Math" w:hAnsi="Cambria Math" w:cs="Arial"/>
                                    <w:color w:val="000000" w:themeColor="text1"/>
                                    <w:kern w:val="24"/>
                                  </w:rPr>
                                  <m:t>n</m:t>
                                </m:r>
                              </m:sup>
                            </m:sSup>
                          </m:den>
                        </m:f>
                      </m:e>
                    </m:d>
                  </m:e>
                  <m:sup>
                    <m:f>
                      <m:fPr>
                        <m:ctrlPr>
                          <w:rPr>
                            <w:rFonts w:ascii="Cambria Math" w:eastAsiaTheme="minorEastAsia" w:hAnsi="Cambria Math" w:cs="Arial"/>
                            <w:iCs/>
                            <w:color w:val="000000" w:themeColor="text1"/>
                            <w:kern w:val="24"/>
                          </w:rPr>
                        </m:ctrlPr>
                      </m:fPr>
                      <m:num>
                        <m:r>
                          <m:rPr>
                            <m:sty m:val="p"/>
                          </m:rPr>
                          <w:rPr>
                            <w:rFonts w:ascii="Cambria Math" w:eastAsiaTheme="minorEastAsia" w:hAnsi="Cambria Math" w:cs="Arial"/>
                            <w:color w:val="000000" w:themeColor="text1"/>
                            <w:kern w:val="24"/>
                          </w:rPr>
                          <m:t>1</m:t>
                        </m:r>
                      </m:num>
                      <m:den>
                        <m:r>
                          <m:rPr>
                            <m:sty m:val="p"/>
                          </m:rPr>
                          <w:rPr>
                            <w:rFonts w:ascii="Cambria Math" w:eastAsiaTheme="minorEastAsia" w:hAnsi="Cambria Math" w:cs="Arial"/>
                            <w:color w:val="000000" w:themeColor="text1"/>
                            <w:kern w:val="24"/>
                          </w:rPr>
                          <m:t>n</m:t>
                        </m:r>
                      </m:den>
                    </m:f>
                  </m:sup>
                </m:sSup>
                <m:r>
                  <m:rPr>
                    <m:sty m:val="p"/>
                  </m:rPr>
                  <w:rPr>
                    <w:rFonts w:ascii="Cambria Math" w:eastAsiaTheme="minorEastAsia" w:hAnsi="Cambria Math" w:cs="Arial"/>
                    <w:color w:val="000000" w:themeColor="text1"/>
                    <w:kern w:val="24"/>
                  </w:rPr>
                  <m:t>-1</m:t>
                </m:r>
              </m:oMath>
            </m:oMathPara>
          </w:p>
          <w:p w:rsidR="000776BE" w:rsidRPr="00F340A2" w:rsidRDefault="000776BE" w:rsidP="00F67EAC">
            <w:pPr>
              <w:ind w:left="0"/>
              <w:jc w:val="both"/>
              <w:rPr>
                <w:rFonts w:ascii="Bookman Old Style" w:hAnsi="Bookman Old Style" w:cs="Arial"/>
              </w:rPr>
            </w:pPr>
          </w:p>
          <w:p w:rsidR="000776BE" w:rsidRPr="00F340A2" w:rsidRDefault="000776BE" w:rsidP="00F67EAC">
            <w:pPr>
              <w:ind w:left="0"/>
              <w:jc w:val="both"/>
              <w:rPr>
                <w:rFonts w:ascii="Bookman Old Style" w:hAnsi="Bookman Old Style" w:cs="Arial"/>
                <w:color w:val="000000" w:themeColor="text1"/>
                <w:kern w:val="24"/>
              </w:rPr>
            </w:pPr>
            <w:r w:rsidRPr="00F340A2">
              <w:rPr>
                <w:rFonts w:ascii="Bookman Old Style" w:hAnsi="Bookman Old Style" w:cs="Arial"/>
              </w:rPr>
              <w:t xml:space="preserve">Los valores de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m:t>
                  </m:r>
                </m:e>
                <m:sub>
                  <m:r>
                    <m:rPr>
                      <m:sty m:val="p"/>
                    </m:rPr>
                    <w:rPr>
                      <w:rFonts w:ascii="Cambria Math" w:eastAsia="Cambria Math" w:hAnsi="Cambria Math" w:cs="Arial"/>
                      <w:color w:val="000000" w:themeColor="text1"/>
                      <w:kern w:val="24"/>
                    </w:rPr>
                    <m:t>cop,t</m:t>
                  </m:r>
                </m:sub>
              </m:sSub>
            </m:oMath>
            <w:proofErr w:type="gramStart"/>
            <w:r w:rsidRPr="00F340A2">
              <w:rPr>
                <w:rFonts w:ascii="Bookman Old Style" w:hAnsi="Bookman Old Style" w:cs="Arial"/>
                <w:iCs/>
                <w:color w:val="000000" w:themeColor="text1"/>
                <w:kern w:val="24"/>
              </w:rPr>
              <w:t xml:space="preserve">,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Swap</m:t>
                  </m:r>
                </m:e>
                <m:sub>
                  <m:r>
                    <m:rPr>
                      <m:sty m:val="p"/>
                    </m:rPr>
                    <w:rPr>
                      <w:rFonts w:ascii="Cambria Math" w:eastAsia="Cambria Math" w:hAnsi="Cambria Math" w:cs="Arial"/>
                      <w:color w:val="000000" w:themeColor="text1"/>
                      <w:kern w:val="24"/>
                    </w:rPr>
                    <m:t>usd,n,t</m:t>
                  </m:r>
                </m:sub>
              </m:sSub>
            </m:oMath>
            <w:r w:rsidRPr="00F340A2">
              <w:rPr>
                <w:rFonts w:ascii="Bookman Old Style" w:hAnsi="Bookman Old Style" w:cs="Arial"/>
                <w:iCs/>
                <w:color w:val="000000" w:themeColor="text1"/>
                <w:kern w:val="24"/>
              </w:rPr>
              <w:t>,</w:t>
            </w:r>
            <w:proofErr w:type="gramEnd"/>
            <w:r w:rsidRPr="00F340A2">
              <w:rPr>
                <w:rFonts w:ascii="Bookman Old Style" w:hAnsi="Bookman Old Style" w:cs="Arial"/>
                <w:iCs/>
                <w:color w:val="000000" w:themeColor="text1"/>
                <w:kern w:val="24"/>
              </w:rPr>
              <w:t xml:space="preserve">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Swap</m:t>
                  </m:r>
                </m:e>
                <m:sub>
                  <m:r>
                    <m:rPr>
                      <m:sty m:val="p"/>
                    </m:rPr>
                    <w:rPr>
                      <w:rFonts w:ascii="Cambria Math" w:eastAsia="Cambria Math" w:hAnsi="Cambria Math" w:cs="Arial"/>
                      <w:color w:val="000000" w:themeColor="text1"/>
                      <w:kern w:val="24"/>
                    </w:rPr>
                    <m:t>cop, n,t</m:t>
                  </m:r>
                </m:sub>
              </m:sSub>
            </m:oMath>
            <w:r w:rsidRPr="00F340A2">
              <w:rPr>
                <w:rFonts w:ascii="Bookman Old Style" w:hAnsi="Bookman Old Style" w:cs="Arial"/>
                <w:iCs/>
                <w:color w:val="000000" w:themeColor="text1"/>
                <w:kern w:val="24"/>
              </w:rPr>
              <w:t xml:space="preserve"> </w:t>
            </w:r>
            <w:r w:rsidRPr="00F340A2">
              <w:rPr>
                <w:rFonts w:ascii="Bookman Old Style" w:hAnsi="Bookman Old Style" w:cs="Arial"/>
              </w:rPr>
              <w:t xml:space="preserve">y </w:t>
            </w:r>
            <m:oMath>
              <m:r>
                <m:rPr>
                  <m:sty m:val="p"/>
                </m:rPr>
                <w:rPr>
                  <w:rFonts w:ascii="Cambria Math" w:eastAsia="Cambria Math" w:hAnsi="Cambria Math" w:cs="Arial"/>
                  <w:color w:val="000000" w:themeColor="text1"/>
                  <w:kern w:val="24"/>
                </w:rPr>
                <m:t>n</m:t>
              </m:r>
            </m:oMath>
            <w:r w:rsidRPr="00F340A2">
              <w:rPr>
                <w:rFonts w:ascii="Bookman Old Style" w:hAnsi="Bookman Old Style" w:cs="Arial"/>
                <w:color w:val="000000" w:themeColor="text1"/>
                <w:kern w:val="24"/>
              </w:rPr>
              <w:t xml:space="preserve"> se obtienen bajo el método de cálculo descrito en el artículo 3 de esta resolución.</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101" w:type="dxa"/>
          </w:tcPr>
          <w:p w:rsidR="000776BE" w:rsidRPr="00F340A2" w:rsidRDefault="00EC20D9" w:rsidP="00F67EAC">
            <w:pPr>
              <w:ind w:left="0"/>
              <w:rPr>
                <w:rFonts w:ascii="Bookman Old Style" w:hAnsi="Bookman Old Style"/>
                <w:b/>
                <w:lang w:val="es-ES_tradnl"/>
              </w:rPr>
            </w:pPr>
            <m:oMathPara>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Ke</m:t>
                    </m:r>
                  </m:e>
                  <m:sub>
                    <m:r>
                      <m:rPr>
                        <m:sty m:val="b"/>
                      </m:rPr>
                      <w:rPr>
                        <w:rFonts w:ascii="Cambria Math" w:eastAsia="Cambria Math" w:hAnsi="Cambria Math" w:cs="Arial"/>
                        <w:color w:val="000000" w:themeColor="text1"/>
                        <w:kern w:val="24"/>
                      </w:rPr>
                      <m:t>usd,a,t</m:t>
                    </m:r>
                  </m:sub>
                </m:sSub>
              </m:oMath>
            </m:oMathPara>
          </w:p>
        </w:tc>
        <w:tc>
          <w:tcPr>
            <w:tcW w:w="298"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31" w:type="dxa"/>
            <w:vAlign w:val="center"/>
          </w:tcPr>
          <w:p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Costo del capital propio en dólares, equivalente al costo del capital propio en pesos, para la </w:t>
            </w:r>
            <w:proofErr w:type="gramStart"/>
            <w:r w:rsidRPr="00F340A2">
              <w:rPr>
                <w:rFonts w:ascii="Bookman Old Style" w:hAnsi="Bookman Old Style" w:cs="Arial"/>
              </w:rPr>
              <w:t xml:space="preserve">actividad </w:t>
            </w:r>
            <w:proofErr w:type="gramEnd"/>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t</m:t>
              </m:r>
            </m:oMath>
            <w:r w:rsidRPr="00F340A2">
              <w:rPr>
                <w:rFonts w:ascii="Bookman Old Style" w:hAnsi="Bookman Old Style" w:cs="Arial"/>
              </w:rPr>
              <w:t xml:space="preserve">. El valor de </w:t>
            </w:r>
            <m:oMath>
              <m:r>
                <m:rPr>
                  <m:sty m:val="p"/>
                </m:rPr>
                <w:rPr>
                  <w:rFonts w:ascii="Cambria Math" w:eastAsia="Cambria Math" w:hAnsi="Cambria Math" w:cs="Arial"/>
                  <w:color w:val="000000" w:themeColor="text1"/>
                  <w:kern w:val="24"/>
                </w:rPr>
                <w:br/>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m:t>
                  </m:r>
                </m:e>
                <m:sub>
                  <m:r>
                    <m:rPr>
                      <m:sty m:val="p"/>
                    </m:rPr>
                    <w:rPr>
                      <w:rFonts w:ascii="Cambria Math" w:eastAsia="Cambria Math" w:hAnsi="Cambria Math" w:cs="Arial"/>
                      <w:color w:val="000000" w:themeColor="text1"/>
                      <w:kern w:val="24"/>
                    </w:rPr>
                    <m:t>usd,a,t</m:t>
                  </m:r>
                </m:sub>
              </m:sSub>
            </m:oMath>
            <w:r w:rsidRPr="00F340A2">
              <w:rPr>
                <w:rFonts w:ascii="Bookman Old Style" w:hAnsi="Bookman Old Style" w:cs="Arial"/>
              </w:rPr>
              <w:t xml:space="preserve"> </w:t>
            </w:r>
            <w:r w:rsidRPr="00F340A2">
              <w:rPr>
                <w:rFonts w:ascii="Bookman Old Style" w:hAnsi="Bookman Old Style" w:cs="Arial"/>
                <w:color w:val="000000" w:themeColor="text1"/>
                <w:kern w:val="24"/>
              </w:rPr>
              <w:t>se obtiene bajo el método de cálculo descrito en el artículo 3 de esta resolución</w:t>
            </w:r>
            <w:r w:rsidRPr="00F340A2">
              <w:rPr>
                <w:rFonts w:ascii="Bookman Old Style" w:hAnsi="Bookman Old Style" w:cs="Arial"/>
              </w:rPr>
              <w:t>.</w:t>
            </w:r>
          </w:p>
          <w:p w:rsidR="000776BE" w:rsidRPr="00F340A2" w:rsidRDefault="000776BE" w:rsidP="00F67EAC">
            <w:pPr>
              <w:ind w:left="0"/>
              <w:jc w:val="both"/>
              <w:rPr>
                <w:rFonts w:ascii="Bookman Old Style" w:hAnsi="Bookman Old Style"/>
                <w:lang w:val="es-ES_tradnl"/>
              </w:rPr>
            </w:pPr>
          </w:p>
        </w:tc>
      </w:tr>
      <w:tr w:rsidR="000776BE" w:rsidRPr="00F340A2" w:rsidTr="00F67EAC">
        <w:tc>
          <w:tcPr>
            <w:tcW w:w="1101" w:type="dxa"/>
          </w:tcPr>
          <w:p w:rsidR="000776BE" w:rsidRPr="00F340A2" w:rsidRDefault="000776BE" w:rsidP="00F67EAC">
            <w:pPr>
              <w:ind w:left="0"/>
              <w:rPr>
                <w:rFonts w:ascii="Bookman Old Style" w:hAnsi="Bookman Old Style"/>
                <w:b/>
                <w:lang w:val="es-ES_tradnl"/>
              </w:rPr>
            </w:pPr>
            <m:oMath>
              <m:r>
                <m:rPr>
                  <m:sty m:val="b"/>
                </m:rPr>
                <w:rPr>
                  <w:rFonts w:ascii="Cambria Math" w:eastAsia="Cambria Math" w:hAnsi="Cambria Math" w:cs="Arial"/>
                  <w:color w:val="000000" w:themeColor="text1"/>
                  <w:kern w:val="24"/>
                </w:rPr>
                <m:t>Tx</m:t>
              </m:r>
            </m:oMath>
            <w:r w:rsidRPr="00F340A2">
              <w:rPr>
                <w:rFonts w:ascii="Bookman Old Style" w:hAnsi="Bookman Old Style"/>
                <w:b/>
                <w:color w:val="000000" w:themeColor="text1"/>
                <w:kern w:val="24"/>
              </w:rPr>
              <w:t xml:space="preserve"> </w:t>
            </w:r>
          </w:p>
        </w:tc>
        <w:tc>
          <w:tcPr>
            <w:tcW w:w="298" w:type="dxa"/>
          </w:tcPr>
          <w:p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31" w:type="dxa"/>
            <w:vAlign w:val="center"/>
          </w:tcPr>
          <w:p w:rsidR="00F873D4" w:rsidRDefault="00F873D4" w:rsidP="00F873D4">
            <w:pPr>
              <w:ind w:left="0"/>
              <w:jc w:val="both"/>
              <w:rPr>
                <w:rFonts w:ascii="Bookman Old Style" w:hAnsi="Bookman Old Style" w:cs="Arial"/>
              </w:rPr>
            </w:pPr>
            <w:r w:rsidRPr="00F340A2">
              <w:rPr>
                <w:rFonts w:ascii="Bookman Old Style" w:hAnsi="Bookman Old Style" w:cs="Arial"/>
              </w:rPr>
              <w:t>Corresponde a la suma de:</w:t>
            </w:r>
            <w:r>
              <w:rPr>
                <w:rFonts w:ascii="Bookman Old Style" w:hAnsi="Bookman Old Style" w:cs="Arial"/>
              </w:rPr>
              <w:t xml:space="preserve"> </w:t>
            </w:r>
            <w:r w:rsidRPr="00F340A2">
              <w:rPr>
                <w:rFonts w:ascii="Bookman Old Style" w:hAnsi="Bookman Old Style" w:cs="Arial"/>
              </w:rPr>
              <w:t xml:space="preserve">i) </w:t>
            </w:r>
            <w:r>
              <w:rPr>
                <w:rFonts w:ascii="Bookman Old Style" w:hAnsi="Bookman Old Style" w:cs="Arial"/>
              </w:rPr>
              <w:t>el valor correspondiente al</w:t>
            </w:r>
            <w:r w:rsidRPr="00F340A2">
              <w:rPr>
                <w:rFonts w:ascii="Bookman Old Style" w:hAnsi="Bookman Old Style" w:cs="Arial"/>
              </w:rPr>
              <w:t xml:space="preserve"> impuesto sobre la renta, ii) </w:t>
            </w:r>
            <w:r>
              <w:rPr>
                <w:rFonts w:ascii="Bookman Old Style" w:hAnsi="Bookman Old Style" w:cs="Arial"/>
              </w:rPr>
              <w:t>el valor correspondiente a la</w:t>
            </w:r>
            <w:r w:rsidRPr="00F340A2">
              <w:rPr>
                <w:rFonts w:ascii="Bookman Old Style" w:hAnsi="Bookman Old Style" w:cs="Arial"/>
              </w:rPr>
              <w:t xml:space="preserve"> tasa del CREE y iii) </w:t>
            </w:r>
            <w:r w:rsidRPr="008E552F">
              <w:rPr>
                <w:rFonts w:ascii="Bookman Old Style" w:hAnsi="Bookman Old Style" w:cs="Arial"/>
              </w:rPr>
              <w:t>el valor correspondiente</w:t>
            </w:r>
            <w:r>
              <w:rPr>
                <w:rFonts w:ascii="Bookman Old Style" w:hAnsi="Bookman Old Style" w:cs="Arial"/>
              </w:rPr>
              <w:t xml:space="preserve"> a</w:t>
            </w:r>
            <w:r w:rsidRPr="008E552F">
              <w:rPr>
                <w:rFonts w:ascii="Bookman Old Style" w:hAnsi="Bookman Old Style" w:cs="Arial"/>
              </w:rPr>
              <w:t xml:space="preserve"> </w:t>
            </w:r>
            <w:r>
              <w:rPr>
                <w:rFonts w:ascii="Bookman Old Style" w:hAnsi="Bookman Old Style" w:cs="Arial"/>
              </w:rPr>
              <w:t xml:space="preserve">la </w:t>
            </w:r>
            <w:r w:rsidRPr="00F340A2">
              <w:rPr>
                <w:rFonts w:ascii="Bookman Old Style" w:hAnsi="Bookman Old Style" w:cs="Arial"/>
              </w:rPr>
              <w:t xml:space="preserve">sobretasa </w:t>
            </w:r>
            <w:r>
              <w:rPr>
                <w:rFonts w:ascii="Bookman Old Style" w:hAnsi="Bookman Old Style" w:cs="Arial"/>
              </w:rPr>
              <w:t xml:space="preserve">del CREE de acuerdo con los elementos que de dicho tributo establece la </w:t>
            </w:r>
            <w:r w:rsidRPr="00C30D70">
              <w:rPr>
                <w:rFonts w:ascii="Bookman Old Style" w:hAnsi="Bookman Old Style" w:cs="Arial"/>
              </w:rPr>
              <w:t>Ley 1739 de 2014</w:t>
            </w:r>
            <w:r>
              <w:rPr>
                <w:rFonts w:ascii="Bookman Old Style" w:hAnsi="Bookman Old Style" w:cs="Arial"/>
              </w:rPr>
              <w:t xml:space="preserve"> y sus decretos reglamentarios</w:t>
            </w:r>
            <w:r w:rsidRPr="00F340A2">
              <w:rPr>
                <w:rFonts w:ascii="Bookman Old Style" w:hAnsi="Bookman Old Style" w:cs="Arial"/>
              </w:rPr>
              <w:t xml:space="preserve">, que se encuentren vigentes en Colombia </w:t>
            </w:r>
            <w:r>
              <w:rPr>
                <w:rFonts w:ascii="Bookman Old Style" w:hAnsi="Bookman Old Style" w:cs="Arial"/>
              </w:rPr>
              <w:t xml:space="preserve">para </w:t>
            </w:r>
            <w:r>
              <w:rPr>
                <w:rFonts w:ascii="Bookman Old Style" w:hAnsi="Bookman Old Style" w:cs="Arial"/>
                <w:color w:val="000000" w:themeColor="text1"/>
                <w:kern w:val="24"/>
              </w:rPr>
              <w:t xml:space="preserve">la fecha de cálculo. Para cada año del periodo tarifario </w:t>
            </w:r>
            <w:r>
              <w:rPr>
                <w:rFonts w:ascii="Bookman Old Style" w:hAnsi="Bookman Old Style" w:cs="Arial"/>
              </w:rPr>
              <w:t>la tasa</w:t>
            </w:r>
            <w:r w:rsidRPr="00F340A2">
              <w:rPr>
                <w:rFonts w:ascii="Bookman Old Style" w:hAnsi="Bookman Old Style" w:cs="Arial"/>
              </w:rPr>
              <w:t xml:space="preserve"> </w:t>
            </w:r>
            <m:oMath>
              <m:r>
                <m:rPr>
                  <m:sty m:val="p"/>
                </m:rPr>
                <w:rPr>
                  <w:rFonts w:ascii="Cambria Math" w:eastAsia="Cambria Math" w:hAnsi="Cambria Math" w:cs="Arial"/>
                  <w:color w:val="000000" w:themeColor="text1"/>
                  <w:kern w:val="24"/>
                </w:rPr>
                <m:t>Tx</m:t>
              </m:r>
            </m:oMath>
            <w:r>
              <w:rPr>
                <w:rFonts w:ascii="Bookman Old Style" w:hAnsi="Bookman Old Style" w:cs="Arial"/>
                <w:color w:val="000000" w:themeColor="text1"/>
                <w:kern w:val="24"/>
              </w:rPr>
              <w:t xml:space="preserve"> aplicable corresponderá al valor </w:t>
            </w:r>
            <w:r>
              <w:rPr>
                <w:rFonts w:ascii="Bookman Old Style" w:hAnsi="Bookman Old Style" w:cs="Arial"/>
              </w:rPr>
              <w:t>definido en la tabla que a continuación se presenta, conforme con lo previsto en la normatividad vigente</w:t>
            </w:r>
            <w:r w:rsidRPr="00F67EAC">
              <w:rPr>
                <w:rFonts w:ascii="Bookman Old Style" w:hAnsi="Bookman Old Style" w:cs="Arial"/>
              </w:rPr>
              <w:t xml:space="preserve">: </w:t>
            </w:r>
          </w:p>
          <w:p w:rsidR="00F873D4" w:rsidRDefault="00F873D4" w:rsidP="00F873D4">
            <w:pPr>
              <w:ind w:left="0"/>
              <w:jc w:val="both"/>
              <w:rPr>
                <w:rFonts w:ascii="Bookman Old Style" w:hAnsi="Bookman Old Style" w:cs="Arial"/>
              </w:rPr>
            </w:pPr>
          </w:p>
          <w:tbl>
            <w:tblPr>
              <w:tblStyle w:val="Tablaconcuadrcula"/>
              <w:tblW w:w="0" w:type="auto"/>
              <w:jc w:val="center"/>
              <w:tblLook w:val="04A0" w:firstRow="1" w:lastRow="0" w:firstColumn="1" w:lastColumn="0" w:noHBand="0" w:noVBand="1"/>
            </w:tblPr>
            <w:tblGrid>
              <w:gridCol w:w="2282"/>
              <w:gridCol w:w="1625"/>
            </w:tblGrid>
            <w:tr w:rsidR="00D45C87" w:rsidTr="00D45C87">
              <w:trPr>
                <w:jc w:val="center"/>
              </w:trPr>
              <w:tc>
                <w:tcPr>
                  <w:tcW w:w="2282" w:type="dxa"/>
                </w:tcPr>
                <w:p w:rsidR="00D45C87" w:rsidRPr="00EE459C" w:rsidRDefault="00D45C87" w:rsidP="00D45C87">
                  <w:pPr>
                    <w:ind w:left="0"/>
                    <w:jc w:val="center"/>
                    <w:rPr>
                      <w:rFonts w:ascii="Bookman Old Style" w:hAnsi="Bookman Old Style" w:cs="Arial"/>
                      <w:b/>
                    </w:rPr>
                  </w:pPr>
                  <w:r w:rsidRPr="00EE459C">
                    <w:rPr>
                      <w:rFonts w:ascii="Bookman Old Style" w:hAnsi="Bookman Old Style" w:cs="Arial"/>
                      <w:b/>
                    </w:rPr>
                    <w:t>Año</w:t>
                  </w:r>
                </w:p>
              </w:tc>
              <w:tc>
                <w:tcPr>
                  <w:tcW w:w="1625" w:type="dxa"/>
                </w:tcPr>
                <w:p w:rsidR="00D45C87" w:rsidRDefault="00D45C87" w:rsidP="00D45C87">
                  <w:pPr>
                    <w:ind w:left="0"/>
                    <w:jc w:val="center"/>
                    <w:rPr>
                      <w:rFonts w:ascii="Bookman Old Style" w:hAnsi="Bookman Old Style" w:cs="Arial"/>
                    </w:rPr>
                  </w:pPr>
                  <m:oMathPara>
                    <m:oMath>
                      <m:r>
                        <m:rPr>
                          <m:sty m:val="b"/>
                        </m:rPr>
                        <w:rPr>
                          <w:rFonts w:ascii="Cambria Math" w:eastAsia="Cambria Math" w:hAnsi="Cambria Math" w:cs="Arial"/>
                          <w:color w:val="000000" w:themeColor="text1"/>
                          <w:kern w:val="24"/>
                        </w:rPr>
                        <m:t>Tx</m:t>
                      </m:r>
                    </m:oMath>
                  </m:oMathPara>
                </w:p>
              </w:tc>
            </w:tr>
            <w:tr w:rsidR="00D45C87" w:rsidTr="00D45C87">
              <w:trPr>
                <w:jc w:val="center"/>
              </w:trPr>
              <w:tc>
                <w:tcPr>
                  <w:tcW w:w="2282" w:type="dxa"/>
                </w:tcPr>
                <w:p w:rsidR="00D45C87" w:rsidRDefault="00D45C87" w:rsidP="00D45C87">
                  <w:pPr>
                    <w:ind w:left="0"/>
                    <w:jc w:val="both"/>
                    <w:rPr>
                      <w:rFonts w:ascii="Bookman Old Style" w:hAnsi="Bookman Old Style" w:cs="Arial"/>
                    </w:rPr>
                  </w:pPr>
                  <w:r>
                    <w:rPr>
                      <w:rFonts w:ascii="Bookman Old Style" w:hAnsi="Bookman Old Style" w:cs="Arial"/>
                    </w:rPr>
                    <w:t>2015</w:t>
                  </w:r>
                </w:p>
              </w:tc>
              <w:tc>
                <w:tcPr>
                  <w:tcW w:w="1625" w:type="dxa"/>
                </w:tcPr>
                <w:p w:rsidR="00D45C87" w:rsidRDefault="00D45C87" w:rsidP="00D45C87">
                  <w:pPr>
                    <w:ind w:left="0"/>
                    <w:jc w:val="center"/>
                    <w:rPr>
                      <w:rFonts w:ascii="Bookman Old Style" w:hAnsi="Bookman Old Style" w:cs="Arial"/>
                    </w:rPr>
                  </w:pPr>
                  <w:r>
                    <w:rPr>
                      <w:rFonts w:ascii="Bookman Old Style" w:hAnsi="Bookman Old Style" w:cs="Arial"/>
                    </w:rPr>
                    <w:t>39%</w:t>
                  </w:r>
                </w:p>
              </w:tc>
            </w:tr>
            <w:tr w:rsidR="00D45C87" w:rsidTr="00D45C87">
              <w:trPr>
                <w:jc w:val="center"/>
              </w:trPr>
              <w:tc>
                <w:tcPr>
                  <w:tcW w:w="2282" w:type="dxa"/>
                </w:tcPr>
                <w:p w:rsidR="00D45C87" w:rsidRDefault="00D45C87" w:rsidP="00D45C87">
                  <w:pPr>
                    <w:ind w:left="0"/>
                    <w:jc w:val="both"/>
                    <w:rPr>
                      <w:rFonts w:ascii="Bookman Old Style" w:hAnsi="Bookman Old Style" w:cs="Arial"/>
                    </w:rPr>
                  </w:pPr>
                  <w:r>
                    <w:rPr>
                      <w:rFonts w:ascii="Bookman Old Style" w:hAnsi="Bookman Old Style" w:cs="Arial"/>
                    </w:rPr>
                    <w:t>2016</w:t>
                  </w:r>
                </w:p>
              </w:tc>
              <w:tc>
                <w:tcPr>
                  <w:tcW w:w="1625" w:type="dxa"/>
                </w:tcPr>
                <w:p w:rsidR="00D45C87" w:rsidRDefault="00D45C87" w:rsidP="00D45C87">
                  <w:pPr>
                    <w:ind w:left="0"/>
                    <w:jc w:val="center"/>
                    <w:rPr>
                      <w:rFonts w:ascii="Bookman Old Style" w:hAnsi="Bookman Old Style" w:cs="Arial"/>
                    </w:rPr>
                  </w:pPr>
                  <w:r>
                    <w:rPr>
                      <w:rFonts w:ascii="Bookman Old Style" w:hAnsi="Bookman Old Style" w:cs="Arial"/>
                    </w:rPr>
                    <w:t>40%</w:t>
                  </w:r>
                </w:p>
              </w:tc>
            </w:tr>
            <w:tr w:rsidR="00D45C87" w:rsidTr="00D45C87">
              <w:trPr>
                <w:jc w:val="center"/>
              </w:trPr>
              <w:tc>
                <w:tcPr>
                  <w:tcW w:w="2282" w:type="dxa"/>
                </w:tcPr>
                <w:p w:rsidR="00D45C87" w:rsidRDefault="00D45C87" w:rsidP="00D45C87">
                  <w:pPr>
                    <w:ind w:left="0"/>
                    <w:jc w:val="both"/>
                    <w:rPr>
                      <w:rFonts w:ascii="Bookman Old Style" w:hAnsi="Bookman Old Style" w:cs="Arial"/>
                    </w:rPr>
                  </w:pPr>
                  <w:r>
                    <w:rPr>
                      <w:rFonts w:ascii="Bookman Old Style" w:hAnsi="Bookman Old Style" w:cs="Arial"/>
                    </w:rPr>
                    <w:t>2017</w:t>
                  </w:r>
                </w:p>
              </w:tc>
              <w:tc>
                <w:tcPr>
                  <w:tcW w:w="1625" w:type="dxa"/>
                </w:tcPr>
                <w:p w:rsidR="00D45C87" w:rsidRDefault="00D45C87" w:rsidP="00D45C87">
                  <w:pPr>
                    <w:ind w:left="0"/>
                    <w:jc w:val="center"/>
                    <w:rPr>
                      <w:rFonts w:ascii="Bookman Old Style" w:hAnsi="Bookman Old Style" w:cs="Arial"/>
                    </w:rPr>
                  </w:pPr>
                  <w:r>
                    <w:rPr>
                      <w:rFonts w:ascii="Bookman Old Style" w:hAnsi="Bookman Old Style" w:cs="Arial"/>
                    </w:rPr>
                    <w:t>42%</w:t>
                  </w:r>
                </w:p>
              </w:tc>
            </w:tr>
            <w:tr w:rsidR="00D45C87" w:rsidTr="00D45C87">
              <w:trPr>
                <w:jc w:val="center"/>
              </w:trPr>
              <w:tc>
                <w:tcPr>
                  <w:tcW w:w="2282" w:type="dxa"/>
                </w:tcPr>
                <w:p w:rsidR="00D45C87" w:rsidRDefault="00D45C87" w:rsidP="00D45C87">
                  <w:pPr>
                    <w:ind w:left="0"/>
                    <w:jc w:val="both"/>
                    <w:rPr>
                      <w:rFonts w:ascii="Bookman Old Style" w:hAnsi="Bookman Old Style" w:cs="Arial"/>
                    </w:rPr>
                  </w:pPr>
                  <w:r>
                    <w:rPr>
                      <w:rFonts w:ascii="Bookman Old Style" w:hAnsi="Bookman Old Style" w:cs="Arial"/>
                    </w:rPr>
                    <w:t>2018</w:t>
                  </w:r>
                </w:p>
              </w:tc>
              <w:tc>
                <w:tcPr>
                  <w:tcW w:w="1625" w:type="dxa"/>
                </w:tcPr>
                <w:p w:rsidR="00D45C87" w:rsidRDefault="00D45C87" w:rsidP="00D45C87">
                  <w:pPr>
                    <w:ind w:left="0"/>
                    <w:jc w:val="center"/>
                    <w:rPr>
                      <w:rFonts w:ascii="Bookman Old Style" w:hAnsi="Bookman Old Style" w:cs="Arial"/>
                    </w:rPr>
                  </w:pPr>
                  <w:r>
                    <w:rPr>
                      <w:rFonts w:ascii="Bookman Old Style" w:hAnsi="Bookman Old Style" w:cs="Arial"/>
                    </w:rPr>
                    <w:t>43%</w:t>
                  </w:r>
                </w:p>
              </w:tc>
            </w:tr>
            <w:tr w:rsidR="00D45C87" w:rsidTr="00D45C87">
              <w:trPr>
                <w:jc w:val="center"/>
              </w:trPr>
              <w:tc>
                <w:tcPr>
                  <w:tcW w:w="2282" w:type="dxa"/>
                </w:tcPr>
                <w:p w:rsidR="00D45C87" w:rsidRDefault="00D45C87" w:rsidP="00D45C87">
                  <w:pPr>
                    <w:ind w:left="0"/>
                    <w:jc w:val="both"/>
                    <w:rPr>
                      <w:rFonts w:ascii="Bookman Old Style" w:hAnsi="Bookman Old Style" w:cs="Arial"/>
                    </w:rPr>
                  </w:pPr>
                  <w:r>
                    <w:rPr>
                      <w:rFonts w:ascii="Bookman Old Style" w:hAnsi="Bookman Old Style" w:cs="Arial"/>
                    </w:rPr>
                    <w:t>2019 en adelante</w:t>
                  </w:r>
                </w:p>
              </w:tc>
              <w:tc>
                <w:tcPr>
                  <w:tcW w:w="1625" w:type="dxa"/>
                </w:tcPr>
                <w:p w:rsidR="00D45C87" w:rsidRDefault="00D45C87" w:rsidP="00D45C87">
                  <w:pPr>
                    <w:ind w:left="0"/>
                    <w:jc w:val="center"/>
                    <w:rPr>
                      <w:rFonts w:ascii="Bookman Old Style" w:hAnsi="Bookman Old Style" w:cs="Arial"/>
                    </w:rPr>
                  </w:pPr>
                  <w:r>
                    <w:rPr>
                      <w:rFonts w:ascii="Bookman Old Style" w:hAnsi="Bookman Old Style" w:cs="Arial"/>
                    </w:rPr>
                    <w:t>34%</w:t>
                  </w:r>
                </w:p>
              </w:tc>
            </w:tr>
          </w:tbl>
          <w:p w:rsidR="000776BE" w:rsidRPr="00F340A2" w:rsidRDefault="000776BE" w:rsidP="00F67EAC">
            <w:pPr>
              <w:ind w:left="0"/>
              <w:jc w:val="both"/>
              <w:rPr>
                <w:rFonts w:ascii="Bookman Old Style" w:hAnsi="Bookman Old Style"/>
              </w:rPr>
            </w:pPr>
          </w:p>
        </w:tc>
      </w:tr>
    </w:tbl>
    <w:p w:rsidR="000776BE" w:rsidRDefault="000776BE" w:rsidP="000776BE">
      <w:pPr>
        <w:ind w:left="0"/>
        <w:jc w:val="both"/>
        <w:rPr>
          <w:rFonts w:ascii="Bookman Old Style" w:hAnsi="Bookman Old Style" w:cs="Arial"/>
        </w:rPr>
      </w:pPr>
    </w:p>
    <w:p w:rsidR="006A348D" w:rsidRDefault="006A348D" w:rsidP="006A348D">
      <w:pPr>
        <w:ind w:left="1416"/>
        <w:jc w:val="both"/>
        <w:rPr>
          <w:rFonts w:ascii="Bookman Old Style" w:hAnsi="Bookman Old Style" w:cs="Arial"/>
        </w:rPr>
      </w:pPr>
      <w:r>
        <w:rPr>
          <w:rFonts w:ascii="Bookman Old Style" w:hAnsi="Bookman Old Style" w:cs="Arial"/>
        </w:rPr>
        <w:t xml:space="preserve">Este valor será ajustado de presentarse modificaciones en la normatividad contemplada para el cálculo.  </w:t>
      </w:r>
    </w:p>
    <w:p w:rsidR="006A348D" w:rsidRDefault="006A348D" w:rsidP="000776BE">
      <w:pPr>
        <w:ind w:left="0"/>
        <w:jc w:val="both"/>
        <w:rPr>
          <w:rFonts w:ascii="Bookman Old Style" w:hAnsi="Bookman Old Style" w:cs="Arial"/>
        </w:rPr>
      </w:pPr>
    </w:p>
    <w:p w:rsidR="006A348D" w:rsidRPr="00F340A2" w:rsidRDefault="006A348D" w:rsidP="000776BE">
      <w:pPr>
        <w:ind w:left="0"/>
        <w:jc w:val="both"/>
        <w:rPr>
          <w:rFonts w:ascii="Bookman Old Style" w:hAnsi="Bookman Old Style" w:cs="Arial"/>
        </w:rPr>
      </w:pPr>
    </w:p>
    <w:p w:rsidR="000776BE" w:rsidRPr="00F340A2" w:rsidRDefault="000776BE" w:rsidP="000776BE">
      <w:pPr>
        <w:ind w:left="0"/>
        <w:jc w:val="both"/>
        <w:rPr>
          <w:rFonts w:ascii="Bookman Old Style" w:hAnsi="Bookman Old Style" w:cs="Arial"/>
        </w:rPr>
      </w:pPr>
      <w:r w:rsidRPr="00F340A2">
        <w:rPr>
          <w:rFonts w:ascii="Bookman Old Style" w:hAnsi="Bookman Old Style" w:cs="Arial"/>
          <w:b/>
        </w:rPr>
        <w:t xml:space="preserve">ARTÍCULO 5. Valor de la tasa de descuento. </w:t>
      </w:r>
      <w:r w:rsidRPr="00F340A2">
        <w:rPr>
          <w:rFonts w:ascii="Bookman Old Style" w:hAnsi="Bookman Old Style" w:cs="Arial"/>
        </w:rPr>
        <w:t>Los valores de las tasas de descuento para cada actividad serán definidos por la CREG en resoluciones posteriores. Los valores se calcularán y publicarán por una sola vez para cada metodología de cálcul</w:t>
      </w:r>
      <w:r w:rsidR="00A33915">
        <w:rPr>
          <w:rFonts w:ascii="Bookman Old Style" w:hAnsi="Bookman Old Style" w:cs="Arial"/>
        </w:rPr>
        <w:t xml:space="preserve">o de cargos que defina la CREG. </w:t>
      </w:r>
      <w:r w:rsidRPr="00F340A2">
        <w:rPr>
          <w:rFonts w:ascii="Bookman Old Style" w:hAnsi="Bookman Old Style" w:cs="Arial"/>
        </w:rPr>
        <w:t>Dichos valores permanecerán vigentes durante todo el periodo tarifario para calcular los cargos nuevos que sean solicitados, excepto en los casos en los que expresamente la CREG lo establezca.</w:t>
      </w:r>
    </w:p>
    <w:p w:rsidR="000776BE" w:rsidRDefault="000776BE" w:rsidP="000776BE">
      <w:pPr>
        <w:ind w:left="0"/>
        <w:jc w:val="both"/>
        <w:rPr>
          <w:rFonts w:ascii="Bookman Old Style" w:hAnsi="Bookman Old Style" w:cs="Arial"/>
        </w:rPr>
      </w:pPr>
    </w:p>
    <w:p w:rsidR="000776BE" w:rsidRPr="00F340A2" w:rsidRDefault="000776BE" w:rsidP="000776BE">
      <w:pPr>
        <w:ind w:left="0"/>
        <w:jc w:val="both"/>
        <w:rPr>
          <w:rFonts w:ascii="Bookman Old Style" w:hAnsi="Bookman Old Style" w:cs="Arial"/>
        </w:rPr>
      </w:pPr>
    </w:p>
    <w:p w:rsidR="000776BE" w:rsidRPr="00F340A2" w:rsidRDefault="000776BE" w:rsidP="000776BE">
      <w:pPr>
        <w:ind w:left="0"/>
        <w:jc w:val="both"/>
        <w:rPr>
          <w:rFonts w:ascii="Bookman Old Style" w:hAnsi="Bookman Old Style" w:cs="Arial"/>
          <w:b/>
        </w:rPr>
      </w:pPr>
      <w:r w:rsidRPr="00F340A2">
        <w:rPr>
          <w:rFonts w:ascii="Bookman Old Style" w:hAnsi="Bookman Old Style" w:cs="Arial"/>
          <w:b/>
        </w:rPr>
        <w:t xml:space="preserve">ARTÍCULO 6. Vigencia. </w:t>
      </w:r>
      <w:r w:rsidRPr="00F340A2">
        <w:rPr>
          <w:rFonts w:ascii="Bookman Old Style" w:hAnsi="Bookman Old Style" w:cs="Arial"/>
          <w:spacing w:val="-4"/>
        </w:rPr>
        <w:t xml:space="preserve">La presente resolución rige a partir de la fecha de su publicación en el </w:t>
      </w:r>
      <w:r w:rsidRPr="00F340A2">
        <w:rPr>
          <w:rFonts w:ascii="Bookman Old Style" w:hAnsi="Bookman Old Style" w:cs="Arial"/>
          <w:i/>
          <w:spacing w:val="-4"/>
        </w:rPr>
        <w:t>Diario Oficial</w:t>
      </w:r>
      <w:r w:rsidRPr="00F340A2">
        <w:rPr>
          <w:rFonts w:ascii="Bookman Old Style" w:hAnsi="Bookman Old Style" w:cs="Arial"/>
          <w:spacing w:val="-4"/>
        </w:rPr>
        <w:t xml:space="preserve"> y deroga todas las disposiciones que le sean contrarias.</w:t>
      </w:r>
    </w:p>
    <w:bookmarkEnd w:id="2"/>
    <w:p w:rsidR="000776BE" w:rsidRPr="00F340A2" w:rsidRDefault="000776BE" w:rsidP="000776BE">
      <w:pPr>
        <w:jc w:val="center"/>
        <w:rPr>
          <w:rFonts w:ascii="Bookman Old Style" w:hAnsi="Bookman Old Style"/>
          <w:b/>
        </w:rPr>
      </w:pPr>
    </w:p>
    <w:p w:rsidR="000776BE" w:rsidRPr="00F340A2" w:rsidRDefault="000776BE" w:rsidP="000776BE">
      <w:pPr>
        <w:jc w:val="center"/>
        <w:rPr>
          <w:rFonts w:ascii="Bookman Old Style" w:hAnsi="Bookman Old Style"/>
          <w:b/>
        </w:rPr>
      </w:pPr>
    </w:p>
    <w:p w:rsidR="000776BE" w:rsidRPr="00F340A2" w:rsidRDefault="000776BE" w:rsidP="000776BE">
      <w:pPr>
        <w:jc w:val="center"/>
        <w:rPr>
          <w:rFonts w:ascii="Bookman Old Style" w:hAnsi="Bookman Old Style"/>
          <w:b/>
        </w:rPr>
      </w:pPr>
      <w:r w:rsidRPr="00F340A2">
        <w:rPr>
          <w:rFonts w:ascii="Bookman Old Style" w:hAnsi="Bookman Old Style"/>
          <w:b/>
        </w:rPr>
        <w:t>PUBLÍQUESE Y CÚMPLASE</w:t>
      </w:r>
    </w:p>
    <w:p w:rsidR="000776BE" w:rsidRPr="00F340A2" w:rsidRDefault="000776BE" w:rsidP="000776BE">
      <w:pPr>
        <w:ind w:left="0"/>
        <w:rPr>
          <w:rFonts w:ascii="Bookman Old Style" w:hAnsi="Bookman Old Style"/>
        </w:rPr>
      </w:pPr>
    </w:p>
    <w:p w:rsidR="000776BE" w:rsidRDefault="002B43D7" w:rsidP="000776BE">
      <w:pPr>
        <w:ind w:left="0"/>
        <w:rPr>
          <w:rFonts w:ascii="Bookman Old Style" w:hAnsi="Bookman Old Style"/>
          <w:sz w:val="22"/>
        </w:rPr>
      </w:pPr>
      <w:r>
        <w:rPr>
          <w:rFonts w:ascii="Bookman Old Style" w:hAnsi="Bookman Old Style"/>
          <w:sz w:val="22"/>
        </w:rPr>
        <w:t xml:space="preserve">Dada en Bogotá, D.C. a </w:t>
      </w:r>
    </w:p>
    <w:p w:rsidR="002B43D7" w:rsidRDefault="002B43D7" w:rsidP="000776BE">
      <w:pPr>
        <w:ind w:left="0"/>
        <w:rPr>
          <w:rFonts w:ascii="Bookman Old Style" w:hAnsi="Bookman Old Style"/>
          <w:sz w:val="22"/>
        </w:rPr>
      </w:pPr>
    </w:p>
    <w:p w:rsidR="002B43D7" w:rsidRPr="00F340A2" w:rsidRDefault="002B43D7" w:rsidP="000776BE">
      <w:pPr>
        <w:ind w:left="0"/>
        <w:rPr>
          <w:rFonts w:ascii="Bookman Old Style" w:hAnsi="Bookman Old Style"/>
          <w:sz w:val="22"/>
        </w:rPr>
      </w:pPr>
    </w:p>
    <w:p w:rsidR="000776BE" w:rsidRPr="00F340A2" w:rsidRDefault="000776BE" w:rsidP="000776BE">
      <w:pPr>
        <w:ind w:left="0"/>
        <w:rPr>
          <w:rFonts w:ascii="Bookman Old Style" w:hAnsi="Bookman Old Style"/>
          <w:sz w:val="22"/>
        </w:rPr>
      </w:pPr>
    </w:p>
    <w:p w:rsidR="000776BE" w:rsidRPr="00F340A2" w:rsidRDefault="000776BE" w:rsidP="000776BE">
      <w:pPr>
        <w:ind w:left="0"/>
        <w:rPr>
          <w:rFonts w:ascii="Bookman Old Style" w:hAnsi="Bookman Old Style"/>
          <w:sz w:val="22"/>
        </w:rPr>
      </w:pPr>
    </w:p>
    <w:p w:rsidR="000776BE" w:rsidRPr="00F340A2" w:rsidRDefault="000776BE" w:rsidP="000776BE">
      <w:pPr>
        <w:ind w:left="0"/>
        <w:rPr>
          <w:rFonts w:ascii="Bookman Old Style" w:hAnsi="Bookman Old Style"/>
        </w:rPr>
      </w:pPr>
    </w:p>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0776BE" w:rsidRPr="00F340A2" w:rsidTr="00F67EAC">
        <w:trPr>
          <w:jc w:val="right"/>
        </w:trPr>
        <w:tc>
          <w:tcPr>
            <w:tcW w:w="4799" w:type="dxa"/>
            <w:hideMark/>
          </w:tcPr>
          <w:p w:rsidR="000776BE" w:rsidRPr="00F340A2" w:rsidRDefault="000776BE" w:rsidP="00F67EAC">
            <w:pPr>
              <w:ind w:left="0"/>
              <w:jc w:val="center"/>
              <w:rPr>
                <w:rFonts w:ascii="Bookman Old Style" w:hAnsi="Bookman Old Style" w:cs="Arial"/>
                <w:b/>
                <w:spacing w:val="-3"/>
                <w:lang w:val="es-ES_tradnl"/>
              </w:rPr>
            </w:pPr>
            <w:r w:rsidRPr="00F340A2">
              <w:rPr>
                <w:rFonts w:ascii="Bookman Old Style" w:hAnsi="Bookman Old Style" w:cs="Arial"/>
                <w:b/>
                <w:spacing w:val="-3"/>
              </w:rPr>
              <w:t>TOMÁS GONZÁLEZ ESTRADA</w:t>
            </w:r>
          </w:p>
        </w:tc>
        <w:tc>
          <w:tcPr>
            <w:tcW w:w="4911" w:type="dxa"/>
            <w:hideMark/>
          </w:tcPr>
          <w:p w:rsidR="000776BE" w:rsidRPr="00F340A2" w:rsidRDefault="000776BE" w:rsidP="00F67EAC">
            <w:pPr>
              <w:ind w:left="19" w:right="-142"/>
              <w:jc w:val="center"/>
              <w:rPr>
                <w:rFonts w:ascii="Bookman Old Style" w:hAnsi="Bookman Old Style" w:cs="Arial"/>
                <w:b/>
                <w:spacing w:val="-3"/>
                <w:lang w:val="es-ES_tradnl"/>
              </w:rPr>
            </w:pPr>
            <w:r w:rsidRPr="00F340A2">
              <w:rPr>
                <w:rFonts w:ascii="Bookman Old Style" w:hAnsi="Bookman Old Style" w:cs="Arial"/>
                <w:b/>
                <w:spacing w:val="-3"/>
                <w:lang w:val="es-ES_tradnl"/>
              </w:rPr>
              <w:t>JORGE PINTO NOLLA</w:t>
            </w:r>
          </w:p>
        </w:tc>
      </w:tr>
      <w:tr w:rsidR="000776BE" w:rsidTr="00F67EAC">
        <w:trPr>
          <w:jc w:val="right"/>
        </w:trPr>
        <w:tc>
          <w:tcPr>
            <w:tcW w:w="4799" w:type="dxa"/>
            <w:hideMark/>
          </w:tcPr>
          <w:p w:rsidR="000776BE" w:rsidRPr="00F340A2" w:rsidRDefault="000776BE" w:rsidP="00F67EAC">
            <w:pPr>
              <w:ind w:left="0"/>
              <w:jc w:val="center"/>
              <w:rPr>
                <w:rFonts w:ascii="Bookman Old Style" w:hAnsi="Bookman Old Style" w:cs="Arial"/>
                <w:spacing w:val="-3"/>
                <w:lang w:val="es-ES_tradnl"/>
              </w:rPr>
            </w:pPr>
            <w:r w:rsidRPr="00F340A2">
              <w:rPr>
                <w:rFonts w:ascii="Bookman Old Style" w:hAnsi="Bookman Old Style" w:cs="Arial"/>
                <w:spacing w:val="-3"/>
                <w:lang w:val="es-ES_tradnl"/>
              </w:rPr>
              <w:t xml:space="preserve">Ministro de Minas y Energía </w:t>
            </w:r>
          </w:p>
          <w:p w:rsidR="000776BE" w:rsidRPr="00F340A2" w:rsidRDefault="000776BE" w:rsidP="00F67EAC">
            <w:pPr>
              <w:ind w:left="0"/>
              <w:jc w:val="center"/>
              <w:rPr>
                <w:rFonts w:ascii="Bookman Old Style" w:hAnsi="Bookman Old Style" w:cs="Arial"/>
                <w:spacing w:val="-3"/>
                <w:lang w:val="es-ES_tradnl"/>
              </w:rPr>
            </w:pPr>
            <w:r w:rsidRPr="00F340A2">
              <w:rPr>
                <w:rFonts w:ascii="Bookman Old Style" w:hAnsi="Bookman Old Style" w:cs="Arial"/>
                <w:spacing w:val="-3"/>
              </w:rPr>
              <w:t>Presidente</w:t>
            </w:r>
            <w:r w:rsidRPr="00F340A2" w:rsidDel="00F9100C">
              <w:rPr>
                <w:rFonts w:ascii="Bookman Old Style" w:hAnsi="Bookman Old Style" w:cs="Arial"/>
                <w:spacing w:val="-3"/>
                <w:lang w:val="es-ES_tradnl"/>
              </w:rPr>
              <w:t xml:space="preserve"> </w:t>
            </w:r>
          </w:p>
        </w:tc>
        <w:tc>
          <w:tcPr>
            <w:tcW w:w="4911" w:type="dxa"/>
            <w:hideMark/>
          </w:tcPr>
          <w:p w:rsidR="000776BE" w:rsidRDefault="000776BE" w:rsidP="00F67EAC">
            <w:pPr>
              <w:jc w:val="center"/>
              <w:rPr>
                <w:rFonts w:ascii="Bookman Old Style" w:hAnsi="Bookman Old Style" w:cs="Arial"/>
                <w:spacing w:val="-3"/>
                <w:lang w:val="es-ES_tradnl"/>
              </w:rPr>
            </w:pPr>
            <w:r w:rsidRPr="00F340A2">
              <w:rPr>
                <w:rFonts w:ascii="Bookman Old Style" w:hAnsi="Bookman Old Style" w:cs="Arial"/>
                <w:spacing w:val="-3"/>
                <w:lang w:val="es-ES_tradnl"/>
              </w:rPr>
              <w:t>Director Ejecutivo</w:t>
            </w:r>
          </w:p>
        </w:tc>
      </w:tr>
    </w:tbl>
    <w:p w:rsidR="000776BE" w:rsidRPr="00511A77" w:rsidRDefault="000776BE" w:rsidP="000776BE">
      <w:pPr>
        <w:ind w:left="0"/>
      </w:pPr>
    </w:p>
    <w:p w:rsidR="00B103F1" w:rsidRPr="000776BE" w:rsidRDefault="00B103F1" w:rsidP="000776BE"/>
    <w:sectPr w:rsidR="00B103F1" w:rsidRPr="000776BE" w:rsidSect="002301BC">
      <w:headerReference w:type="default" r:id="rId11"/>
      <w:headerReference w:type="first" r:id="rId12"/>
      <w:type w:val="continuous"/>
      <w:pgSz w:w="12242" w:h="18722" w:code="123"/>
      <w:pgMar w:top="2341" w:right="1185" w:bottom="1758" w:left="1843"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4069" w:rsidRDefault="004B4069">
      <w:r>
        <w:separator/>
      </w:r>
    </w:p>
  </w:endnote>
  <w:endnote w:type="continuationSeparator" w:id="0">
    <w:p w:rsidR="004B4069" w:rsidRDefault="004B40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alatino">
    <w:altName w:val="Book Antiqua"/>
    <w:panose1 w:val="00000000000000000000"/>
    <w:charset w:val="4D"/>
    <w:family w:val="auto"/>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Malgun Gothic">
    <w:panose1 w:val="020B0503020000020004"/>
    <w:charset w:val="81"/>
    <w:family w:val="swiss"/>
    <w:pitch w:val="variable"/>
    <w:sig w:usb0="900002AF" w:usb1="09D77CFB" w:usb2="00000012" w:usb3="00000000" w:csb0="00080001"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4069" w:rsidRDefault="004B4069">
      <w:r>
        <w:separator/>
      </w:r>
    </w:p>
  </w:footnote>
  <w:footnote w:type="continuationSeparator" w:id="0">
    <w:p w:rsidR="004B4069" w:rsidRDefault="004B40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069" w:rsidRDefault="004B4069" w:rsidP="00951F79">
    <w:pPr>
      <w:pStyle w:val="Ttulo1"/>
      <w:ind w:right="6"/>
      <w:jc w:val="left"/>
      <w:rPr>
        <w:rFonts w:ascii="Bookman Old Style" w:hAnsi="Bookman Old Style" w:cs="Arial"/>
        <w:b w:val="0"/>
        <w:sz w:val="22"/>
        <w:szCs w:val="22"/>
      </w:rPr>
    </w:pPr>
  </w:p>
  <w:p w:rsidR="004B4069" w:rsidRPr="00951F79" w:rsidRDefault="004B4069"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EC20D9">
      <w:rPr>
        <w:rFonts w:ascii="Bookman Old Style" w:hAnsi="Bookman Old Style" w:cs="Arial"/>
        <w:b w:val="0"/>
        <w:noProof/>
        <w:sz w:val="22"/>
        <w:szCs w:val="22"/>
      </w:rPr>
      <w:t>11</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EC20D9" w:rsidRPr="00EC20D9">
        <w:rPr>
          <w:rFonts w:ascii="Bookman Old Style" w:hAnsi="Bookman Old Style" w:cs="Arial"/>
          <w:b w:val="0"/>
          <w:noProof/>
          <w:sz w:val="22"/>
          <w:szCs w:val="22"/>
        </w:rPr>
        <w:t>11</w:t>
      </w:r>
    </w:fldSimple>
  </w:p>
  <w:p w:rsidR="004B4069" w:rsidRDefault="004B4069"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8752" behindDoc="0" locked="0" layoutInCell="1" allowOverlap="1" wp14:anchorId="449952E9" wp14:editId="490E8830">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211D968F" id="Rectangle 1" o:spid="_x0000_s1026" style="position:absolute;margin-left:-13.8pt;margin-top:10.95pt;width:493.5pt;height:779.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4B4069" w:rsidRPr="00B65EF9" w:rsidRDefault="004B4069" w:rsidP="00D949ED">
    <w:pPr>
      <w:pBdr>
        <w:bottom w:val="single" w:sz="4" w:space="1" w:color="auto"/>
      </w:pBdr>
      <w:ind w:left="0" w:right="148"/>
      <w:jc w:val="both"/>
      <w:rPr>
        <w:b/>
        <w:sz w:val="22"/>
        <w:szCs w:val="22"/>
      </w:rPr>
    </w:pPr>
    <w:r w:rsidRPr="00B31C15">
      <w:rPr>
        <w:rFonts w:ascii="Bookman Old Style" w:hAnsi="Bookman Old Style" w:cs="Arial"/>
        <w:sz w:val="22"/>
        <w:szCs w:val="22"/>
      </w:rPr>
      <w:t>Por la cual se define la metodología para el cálculo de la tasa de descuento que se aplicará en las actividades de transporte de gas natural, distribución de gas combustible, transporte de GLP por ductos, transmisión y distribución de energía eléctrica en el sistema interconectado nacional, y generación y distribución de energía eléctrica en zonas no interconectadas.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069" w:rsidRDefault="004B4069"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4B4069" w:rsidRDefault="004B4069">
    <w:pPr>
      <w:pStyle w:val="Encabezado"/>
      <w:jc w:val="center"/>
      <w:rPr>
        <w:rFonts w:ascii="Arial" w:hAnsi="Arial" w:cs="Arial"/>
        <w:spacing w:val="20"/>
        <w:sz w:val="20"/>
      </w:rPr>
    </w:pPr>
  </w:p>
  <w:p w:rsidR="004B4069" w:rsidRDefault="004B4069"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3E9A43CD" wp14:editId="3F27ED6F">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5B333016"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2">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nsid w:val="08794D7A"/>
    <w:multiLevelType w:val="multilevel"/>
    <w:tmpl w:val="3F9A4DFE"/>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5">
    <w:nsid w:val="0DD8419B"/>
    <w:multiLevelType w:val="multilevel"/>
    <w:tmpl w:val="03E4A9A8"/>
    <w:lvl w:ilvl="0">
      <w:start w:val="1"/>
      <w:numFmt w:val="decimal"/>
      <w:lvlText w:val="Artículo %1."/>
      <w:lvlJc w:val="right"/>
      <w:pPr>
        <w:tabs>
          <w:tab w:val="num" w:pos="1524"/>
        </w:tabs>
        <w:ind w:left="-197" w:firstLine="1474"/>
      </w:pPr>
      <w:rPr>
        <w:rFonts w:ascii="Bookman Old Style" w:hAnsi="Bookman Old Style" w:hint="default"/>
        <w:b/>
        <w:i w:val="0"/>
        <w:color w:val="auto"/>
        <w:sz w:val="24"/>
      </w:rPr>
    </w:lvl>
    <w:lvl w:ilvl="1">
      <w:start w:val="1"/>
      <w:numFmt w:val="decimal"/>
      <w:lvlText w:val="%1.%2"/>
      <w:lvlJc w:val="left"/>
      <w:pPr>
        <w:tabs>
          <w:tab w:val="num" w:pos="437"/>
        </w:tabs>
        <w:ind w:left="-283" w:firstLine="0"/>
      </w:pPr>
      <w:rPr>
        <w:rFonts w:hint="default"/>
      </w:rPr>
    </w:lvl>
    <w:lvl w:ilvl="2">
      <w:start w:val="1"/>
      <w:numFmt w:val="decimal"/>
      <w:lvlText w:val="%3."/>
      <w:lvlJc w:val="left"/>
      <w:pPr>
        <w:tabs>
          <w:tab w:val="num" w:pos="437"/>
        </w:tabs>
        <w:ind w:left="-283" w:firstLine="0"/>
      </w:pPr>
      <w:rPr>
        <w:rFonts w:hint="default"/>
      </w:rPr>
    </w:lvl>
    <w:lvl w:ilvl="3">
      <w:start w:val="1"/>
      <w:numFmt w:val="decimal"/>
      <w:lvlText w:val="%1.%2.%3.%4"/>
      <w:lvlJc w:val="right"/>
      <w:pPr>
        <w:tabs>
          <w:tab w:val="num" w:pos="77"/>
        </w:tabs>
        <w:ind w:left="-283" w:firstLine="0"/>
      </w:pPr>
      <w:rPr>
        <w:rFonts w:hint="default"/>
      </w:rPr>
    </w:lvl>
    <w:lvl w:ilvl="4">
      <w:start w:val="1"/>
      <w:numFmt w:val="lowerLetter"/>
      <w:lvlText w:val="%5)"/>
      <w:lvlJc w:val="left"/>
      <w:pPr>
        <w:tabs>
          <w:tab w:val="num" w:pos="77"/>
        </w:tabs>
        <w:ind w:left="-283" w:firstLine="0"/>
      </w:pPr>
      <w:rPr>
        <w:rFonts w:hint="default"/>
        <w:b/>
      </w:rPr>
    </w:lvl>
    <w:lvl w:ilvl="5">
      <w:start w:val="1"/>
      <w:numFmt w:val="lowerRoman"/>
      <w:lvlText w:val="%6)"/>
      <w:lvlJc w:val="left"/>
      <w:pPr>
        <w:tabs>
          <w:tab w:val="num" w:pos="437"/>
        </w:tabs>
        <w:ind w:left="-283" w:firstLine="0"/>
      </w:pPr>
      <w:rPr>
        <w:rFonts w:hint="default"/>
      </w:rPr>
    </w:lvl>
    <w:lvl w:ilvl="6">
      <w:start w:val="1"/>
      <w:numFmt w:val="lowerRoman"/>
      <w:lvlText w:val="%7)"/>
      <w:lvlJc w:val="right"/>
      <w:pPr>
        <w:tabs>
          <w:tab w:val="num" w:pos="77"/>
        </w:tabs>
        <w:ind w:left="-283" w:firstLine="0"/>
      </w:pPr>
      <w:rPr>
        <w:rFonts w:hint="default"/>
      </w:rPr>
    </w:lvl>
    <w:lvl w:ilvl="7">
      <w:start w:val="1"/>
      <w:numFmt w:val="lowerLetter"/>
      <w:lvlText w:val="%7.%8."/>
      <w:lvlJc w:val="left"/>
      <w:pPr>
        <w:tabs>
          <w:tab w:val="num" w:pos="437"/>
        </w:tabs>
        <w:ind w:left="-283" w:firstLine="0"/>
      </w:pPr>
      <w:rPr>
        <w:rFonts w:hint="default"/>
      </w:rPr>
    </w:lvl>
    <w:lvl w:ilvl="8">
      <w:start w:val="1"/>
      <w:numFmt w:val="lowerRoman"/>
      <w:lvlText w:val="%9."/>
      <w:lvlJc w:val="right"/>
      <w:pPr>
        <w:tabs>
          <w:tab w:val="num" w:pos="77"/>
        </w:tabs>
        <w:ind w:left="-283" w:firstLine="0"/>
      </w:pPr>
      <w:rPr>
        <w:rFonts w:hint="default"/>
      </w:rPr>
    </w:lvl>
  </w:abstractNum>
  <w:abstractNum w:abstractNumId="6">
    <w:nsid w:val="0DF36714"/>
    <w:multiLevelType w:val="hybridMultilevel"/>
    <w:tmpl w:val="0F70A1FA"/>
    <w:lvl w:ilvl="0" w:tplc="0C0A000F">
      <w:start w:val="1"/>
      <w:numFmt w:val="decimal"/>
      <w:pStyle w:val="VietaLetra0"/>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0F9E48DC"/>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8">
    <w:nsid w:val="11DA002F"/>
    <w:multiLevelType w:val="singleLevel"/>
    <w:tmpl w:val="BA1E8352"/>
    <w:lvl w:ilvl="0">
      <w:start w:val="1"/>
      <w:numFmt w:val="lowerLetter"/>
      <w:lvlText w:val="%1)"/>
      <w:legacy w:legacy="1" w:legacySpace="0" w:legacyIndent="283"/>
      <w:lvlJc w:val="left"/>
      <w:pPr>
        <w:ind w:left="283" w:hanging="283"/>
      </w:pPr>
    </w:lvl>
  </w:abstractNum>
  <w:abstractNum w:abstractNumId="9">
    <w:nsid w:val="1D296148"/>
    <w:multiLevelType w:val="multilevel"/>
    <w:tmpl w:val="3F9A4DFE"/>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0">
    <w:nsid w:val="25FD1A9C"/>
    <w:multiLevelType w:val="hybridMultilevel"/>
    <w:tmpl w:val="1638A23C"/>
    <w:lvl w:ilvl="0" w:tplc="24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27162351"/>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2">
    <w:nsid w:val="2A0B158F"/>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3">
    <w:nsid w:val="2DE72191"/>
    <w:multiLevelType w:val="multilevel"/>
    <w:tmpl w:val="03E4A9A8"/>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4">
    <w:nsid w:val="3C071598"/>
    <w:multiLevelType w:val="multilevel"/>
    <w:tmpl w:val="84E26B96"/>
    <w:lvl w:ilvl="0">
      <w:start w:val="1"/>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5">
    <w:nsid w:val="3CB81FEB"/>
    <w:multiLevelType w:val="hybridMultilevel"/>
    <w:tmpl w:val="9EC0B1CE"/>
    <w:lvl w:ilvl="0" w:tplc="FFFFFFFF">
      <w:start w:val="1"/>
      <w:numFmt w:val="upperLetter"/>
      <w:pStyle w:val="Ttulo2"/>
      <w:lvlText w:val="%1."/>
      <w:lvlJc w:val="left"/>
      <w:pPr>
        <w:tabs>
          <w:tab w:val="num" w:pos="502"/>
        </w:tabs>
        <w:ind w:left="502" w:hanging="360"/>
      </w:pPr>
      <w:rPr>
        <w:rFonts w:hint="default"/>
        <w:b/>
      </w:rPr>
    </w:lvl>
    <w:lvl w:ilvl="1" w:tplc="FFFFFFFF" w:tentative="1">
      <w:start w:val="1"/>
      <w:numFmt w:val="lowerLetter"/>
      <w:lvlText w:val="%2."/>
      <w:lvlJc w:val="left"/>
      <w:pPr>
        <w:tabs>
          <w:tab w:val="num" w:pos="1222"/>
        </w:tabs>
        <w:ind w:left="1222" w:hanging="360"/>
      </w:pPr>
    </w:lvl>
    <w:lvl w:ilvl="2" w:tplc="FFFFFFFF" w:tentative="1">
      <w:start w:val="1"/>
      <w:numFmt w:val="lowerRoman"/>
      <w:lvlText w:val="%3."/>
      <w:lvlJc w:val="right"/>
      <w:pPr>
        <w:tabs>
          <w:tab w:val="num" w:pos="1942"/>
        </w:tabs>
        <w:ind w:left="1942" w:hanging="180"/>
      </w:pPr>
    </w:lvl>
    <w:lvl w:ilvl="3" w:tplc="FFFFFFFF" w:tentative="1">
      <w:start w:val="1"/>
      <w:numFmt w:val="decimal"/>
      <w:lvlText w:val="%4."/>
      <w:lvlJc w:val="left"/>
      <w:pPr>
        <w:tabs>
          <w:tab w:val="num" w:pos="2662"/>
        </w:tabs>
        <w:ind w:left="2662" w:hanging="360"/>
      </w:pPr>
    </w:lvl>
    <w:lvl w:ilvl="4" w:tplc="FFFFFFFF" w:tentative="1">
      <w:start w:val="1"/>
      <w:numFmt w:val="lowerLetter"/>
      <w:lvlText w:val="%5."/>
      <w:lvlJc w:val="left"/>
      <w:pPr>
        <w:tabs>
          <w:tab w:val="num" w:pos="3382"/>
        </w:tabs>
        <w:ind w:left="3382" w:hanging="360"/>
      </w:pPr>
    </w:lvl>
    <w:lvl w:ilvl="5" w:tplc="FFFFFFFF" w:tentative="1">
      <w:start w:val="1"/>
      <w:numFmt w:val="lowerRoman"/>
      <w:lvlText w:val="%6."/>
      <w:lvlJc w:val="right"/>
      <w:pPr>
        <w:tabs>
          <w:tab w:val="num" w:pos="4102"/>
        </w:tabs>
        <w:ind w:left="4102" w:hanging="180"/>
      </w:pPr>
    </w:lvl>
    <w:lvl w:ilvl="6" w:tplc="FFFFFFFF" w:tentative="1">
      <w:start w:val="1"/>
      <w:numFmt w:val="decimal"/>
      <w:lvlText w:val="%7."/>
      <w:lvlJc w:val="left"/>
      <w:pPr>
        <w:tabs>
          <w:tab w:val="num" w:pos="4822"/>
        </w:tabs>
        <w:ind w:left="4822" w:hanging="360"/>
      </w:pPr>
    </w:lvl>
    <w:lvl w:ilvl="7" w:tplc="FFFFFFFF" w:tentative="1">
      <w:start w:val="1"/>
      <w:numFmt w:val="lowerLetter"/>
      <w:lvlText w:val="%8."/>
      <w:lvlJc w:val="left"/>
      <w:pPr>
        <w:tabs>
          <w:tab w:val="num" w:pos="5542"/>
        </w:tabs>
        <w:ind w:left="5542" w:hanging="360"/>
      </w:pPr>
    </w:lvl>
    <w:lvl w:ilvl="8" w:tplc="FFFFFFFF" w:tentative="1">
      <w:start w:val="1"/>
      <w:numFmt w:val="lowerRoman"/>
      <w:lvlText w:val="%9."/>
      <w:lvlJc w:val="right"/>
      <w:pPr>
        <w:tabs>
          <w:tab w:val="num" w:pos="6262"/>
        </w:tabs>
        <w:ind w:left="6262" w:hanging="180"/>
      </w:pPr>
    </w:lvl>
  </w:abstractNum>
  <w:abstractNum w:abstractNumId="16">
    <w:nsid w:val="407A5C89"/>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7">
    <w:nsid w:val="40D44A35"/>
    <w:multiLevelType w:val="multilevel"/>
    <w:tmpl w:val="C36C83EA"/>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nsid w:val="45D53516"/>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9">
    <w:nsid w:val="47FD66D2"/>
    <w:multiLevelType w:val="hybridMultilevel"/>
    <w:tmpl w:val="BAE805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4B8A3246"/>
    <w:multiLevelType w:val="multilevel"/>
    <w:tmpl w:val="80AE207E"/>
    <w:name w:val="WW8Num6423"/>
    <w:lvl w:ilvl="0">
      <w:start w:val="20"/>
      <w:numFmt w:val="decimal"/>
      <w:lvlText w:val="Artículo %1."/>
      <w:lvlJc w:val="right"/>
      <w:pPr>
        <w:tabs>
          <w:tab w:val="num" w:pos="1834"/>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lowerLetter"/>
      <w:lvlText w:val="(%3)"/>
      <w:lvlJc w:val="left"/>
      <w:pPr>
        <w:tabs>
          <w:tab w:val="num" w:pos="360"/>
        </w:tabs>
        <w:ind w:left="0" w:firstLine="0"/>
      </w:pPr>
      <w:rPr>
        <w:rFonts w:hint="default"/>
      </w:rPr>
    </w:lvl>
    <w:lvl w:ilvl="3">
      <w:start w:val="1"/>
      <w:numFmt w:val="lowerRoman"/>
      <w:lvlText w:val="(%4)"/>
      <w:lvlJc w:val="right"/>
      <w:pPr>
        <w:tabs>
          <w:tab w:val="num" w:pos="360"/>
        </w:tabs>
        <w:ind w:left="0" w:firstLine="0"/>
      </w:pPr>
      <w:rPr>
        <w:rFonts w:hint="default"/>
      </w:rPr>
    </w:lvl>
    <w:lvl w:ilvl="4">
      <w:start w:val="1"/>
      <w:numFmt w:val="decimal"/>
      <w:lvlText w:val="%5)"/>
      <w:lvlJc w:val="left"/>
      <w:pPr>
        <w:tabs>
          <w:tab w:val="num" w:pos="360"/>
        </w:tabs>
        <w:ind w:left="0" w:firstLine="0"/>
      </w:pPr>
      <w:rPr>
        <w:rFonts w:hint="default"/>
      </w:rPr>
    </w:lvl>
    <w:lvl w:ilvl="5">
      <w:start w:val="1"/>
      <w:numFmt w:val="lowerLetter"/>
      <w:lvlText w:val="%6)"/>
      <w:lvlJc w:val="left"/>
      <w:pPr>
        <w:tabs>
          <w:tab w:val="num" w:pos="36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1">
    <w:nsid w:val="4E0D017C"/>
    <w:multiLevelType w:val="hybridMultilevel"/>
    <w:tmpl w:val="6226BC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0FC163B"/>
    <w:multiLevelType w:val="multilevel"/>
    <w:tmpl w:val="03E4A9A8"/>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3">
    <w:nsid w:val="543C3C22"/>
    <w:multiLevelType w:val="hybridMultilevel"/>
    <w:tmpl w:val="5026343E"/>
    <w:lvl w:ilvl="0" w:tplc="240A0017">
      <w:start w:val="1"/>
      <w:numFmt w:val="lowerLetter"/>
      <w:lvlText w:val="%1)"/>
      <w:lvlJc w:val="left"/>
      <w:pPr>
        <w:tabs>
          <w:tab w:val="num" w:pos="720"/>
        </w:tabs>
        <w:ind w:left="720" w:hanging="360"/>
      </w:pPr>
      <w:rPr>
        <w:rFont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nsid w:val="586D0904"/>
    <w:multiLevelType w:val="hybridMultilevel"/>
    <w:tmpl w:val="27822F88"/>
    <w:name w:val="SECCION22"/>
    <w:lvl w:ilvl="0" w:tplc="FFFFFFFF">
      <w:start w:val="1"/>
      <w:numFmt w:val="lowerLetter"/>
      <w:lvlText w:val="%1)"/>
      <w:lvlJc w:val="left"/>
      <w:pPr>
        <w:ind w:left="360" w:hanging="360"/>
      </w:pPr>
    </w:lvl>
    <w:lvl w:ilvl="1" w:tplc="FFFFFFFF" w:tentative="1">
      <w:start w:val="1"/>
      <w:numFmt w:val="lowerLetter"/>
      <w:lvlText w:val="%2."/>
      <w:lvlJc w:val="left"/>
      <w:pPr>
        <w:ind w:left="2924" w:hanging="360"/>
      </w:pPr>
    </w:lvl>
    <w:lvl w:ilvl="2" w:tplc="FFFFFFFF" w:tentative="1">
      <w:start w:val="1"/>
      <w:numFmt w:val="lowerRoman"/>
      <w:lvlText w:val="%3."/>
      <w:lvlJc w:val="right"/>
      <w:pPr>
        <w:ind w:left="3644" w:hanging="180"/>
      </w:pPr>
    </w:lvl>
    <w:lvl w:ilvl="3" w:tplc="FFFFFFFF" w:tentative="1">
      <w:start w:val="1"/>
      <w:numFmt w:val="decimal"/>
      <w:lvlText w:val="%4."/>
      <w:lvlJc w:val="left"/>
      <w:pPr>
        <w:ind w:left="4364" w:hanging="360"/>
      </w:pPr>
    </w:lvl>
    <w:lvl w:ilvl="4" w:tplc="FFFFFFFF" w:tentative="1">
      <w:start w:val="1"/>
      <w:numFmt w:val="lowerLetter"/>
      <w:lvlText w:val="%5."/>
      <w:lvlJc w:val="left"/>
      <w:pPr>
        <w:ind w:left="5084" w:hanging="360"/>
      </w:pPr>
    </w:lvl>
    <w:lvl w:ilvl="5" w:tplc="FFFFFFFF" w:tentative="1">
      <w:start w:val="1"/>
      <w:numFmt w:val="lowerRoman"/>
      <w:lvlText w:val="%6."/>
      <w:lvlJc w:val="right"/>
      <w:pPr>
        <w:ind w:left="5804" w:hanging="180"/>
      </w:pPr>
    </w:lvl>
    <w:lvl w:ilvl="6" w:tplc="FFFFFFFF" w:tentative="1">
      <w:start w:val="1"/>
      <w:numFmt w:val="decimal"/>
      <w:lvlText w:val="%7."/>
      <w:lvlJc w:val="left"/>
      <w:pPr>
        <w:ind w:left="6524" w:hanging="360"/>
      </w:pPr>
    </w:lvl>
    <w:lvl w:ilvl="7" w:tplc="FFFFFFFF" w:tentative="1">
      <w:start w:val="1"/>
      <w:numFmt w:val="lowerLetter"/>
      <w:lvlText w:val="%8."/>
      <w:lvlJc w:val="left"/>
      <w:pPr>
        <w:ind w:left="7244" w:hanging="360"/>
      </w:pPr>
    </w:lvl>
    <w:lvl w:ilvl="8" w:tplc="FFFFFFFF" w:tentative="1">
      <w:start w:val="1"/>
      <w:numFmt w:val="lowerRoman"/>
      <w:lvlText w:val="%9."/>
      <w:lvlJc w:val="right"/>
      <w:pPr>
        <w:ind w:left="7964" w:hanging="180"/>
      </w:pPr>
    </w:lvl>
  </w:abstractNum>
  <w:abstractNum w:abstractNumId="25">
    <w:nsid w:val="62760887"/>
    <w:multiLevelType w:val="hybridMultilevel"/>
    <w:tmpl w:val="A3AA2F7C"/>
    <w:name w:val="SECCION222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nsid w:val="652C2700"/>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7">
    <w:nsid w:val="680D101A"/>
    <w:multiLevelType w:val="hybridMultilevel"/>
    <w:tmpl w:val="A22C1F46"/>
    <w:name w:val="SECCION2"/>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nsid w:val="6C944330"/>
    <w:multiLevelType w:val="hybridMultilevel"/>
    <w:tmpl w:val="A3E0751C"/>
    <w:lvl w:ilvl="0" w:tplc="B04AB476">
      <w:start w:val="1"/>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nsid w:val="75440854"/>
    <w:multiLevelType w:val="hybridMultilevel"/>
    <w:tmpl w:val="543A8534"/>
    <w:name w:val="WW8Num6422"/>
    <w:lvl w:ilvl="0" w:tplc="FFFFFFFF">
      <w:start w:val="1"/>
      <w:numFmt w:val="lowerRoman"/>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nsid w:val="77B1045C"/>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num w:numId="1">
    <w:abstractNumId w:val="6"/>
  </w:num>
  <w:num w:numId="2">
    <w:abstractNumId w:val="2"/>
  </w:num>
  <w:num w:numId="3">
    <w:abstractNumId w:val="15"/>
  </w:num>
  <w:num w:numId="4">
    <w:abstractNumId w:val="17"/>
  </w:num>
  <w:num w:numId="5">
    <w:abstractNumId w:val="0"/>
  </w:num>
  <w:num w:numId="6">
    <w:abstractNumId w:val="5"/>
  </w:num>
  <w:num w:numId="7">
    <w:abstractNumId w:val="8"/>
    <w:lvlOverride w:ilvl="0">
      <w:startOverride w:val="1"/>
    </w:lvlOverride>
  </w:num>
  <w:num w:numId="8">
    <w:abstractNumId w:val="4"/>
  </w:num>
  <w:num w:numId="9">
    <w:abstractNumId w:val="14"/>
  </w:num>
  <w:num w:numId="10">
    <w:abstractNumId w:val="30"/>
  </w:num>
  <w:num w:numId="11">
    <w:abstractNumId w:val="7"/>
  </w:num>
  <w:num w:numId="12">
    <w:abstractNumId w:val="26"/>
  </w:num>
  <w:num w:numId="13">
    <w:abstractNumId w:val="16"/>
  </w:num>
  <w:num w:numId="14">
    <w:abstractNumId w:val="27"/>
  </w:num>
  <w:num w:numId="15">
    <w:abstractNumId w:val="11"/>
  </w:num>
  <w:num w:numId="16">
    <w:abstractNumId w:val="23"/>
  </w:num>
  <w:num w:numId="17">
    <w:abstractNumId w:val="12"/>
  </w:num>
  <w:num w:numId="18">
    <w:abstractNumId w:val="25"/>
  </w:num>
  <w:num w:numId="19">
    <w:abstractNumId w:val="19"/>
  </w:num>
  <w:num w:numId="20">
    <w:abstractNumId w:val="21"/>
  </w:num>
  <w:num w:numId="21">
    <w:abstractNumId w:val="10"/>
  </w:num>
  <w:num w:numId="22">
    <w:abstractNumId w:val="18"/>
  </w:num>
  <w:num w:numId="23">
    <w:abstractNumId w:val="9"/>
  </w:num>
  <w:num w:numId="24">
    <w:abstractNumId w:val="22"/>
  </w:num>
  <w:num w:numId="25">
    <w:abstractNumId w:val="13"/>
  </w:num>
  <w:num w:numId="26">
    <w:abstractNumId w:val="28"/>
  </w:num>
  <w:num w:numId="27">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42E"/>
    <w:rsid w:val="00002027"/>
    <w:rsid w:val="000035BA"/>
    <w:rsid w:val="00003C0B"/>
    <w:rsid w:val="000053E3"/>
    <w:rsid w:val="00006AE2"/>
    <w:rsid w:val="000076A1"/>
    <w:rsid w:val="00010596"/>
    <w:rsid w:val="00012259"/>
    <w:rsid w:val="000131A1"/>
    <w:rsid w:val="00016471"/>
    <w:rsid w:val="0002310D"/>
    <w:rsid w:val="00023D67"/>
    <w:rsid w:val="000248FE"/>
    <w:rsid w:val="00025383"/>
    <w:rsid w:val="00026E30"/>
    <w:rsid w:val="00032A5E"/>
    <w:rsid w:val="00032AE0"/>
    <w:rsid w:val="00036B2A"/>
    <w:rsid w:val="00037353"/>
    <w:rsid w:val="000451DE"/>
    <w:rsid w:val="00045D3D"/>
    <w:rsid w:val="000471D3"/>
    <w:rsid w:val="000532EB"/>
    <w:rsid w:val="00063657"/>
    <w:rsid w:val="00065763"/>
    <w:rsid w:val="0006733E"/>
    <w:rsid w:val="00074C13"/>
    <w:rsid w:val="00076680"/>
    <w:rsid w:val="00076A1D"/>
    <w:rsid w:val="000776BE"/>
    <w:rsid w:val="00077A7C"/>
    <w:rsid w:val="0008073E"/>
    <w:rsid w:val="00081C12"/>
    <w:rsid w:val="000840AB"/>
    <w:rsid w:val="0008464E"/>
    <w:rsid w:val="0008510B"/>
    <w:rsid w:val="0008532D"/>
    <w:rsid w:val="0008579D"/>
    <w:rsid w:val="00090CCD"/>
    <w:rsid w:val="000910C8"/>
    <w:rsid w:val="00091CDB"/>
    <w:rsid w:val="00092B2B"/>
    <w:rsid w:val="000931A3"/>
    <w:rsid w:val="000938B0"/>
    <w:rsid w:val="0009477F"/>
    <w:rsid w:val="00095053"/>
    <w:rsid w:val="000A106F"/>
    <w:rsid w:val="000A19AC"/>
    <w:rsid w:val="000A4B28"/>
    <w:rsid w:val="000B2646"/>
    <w:rsid w:val="000B2D6B"/>
    <w:rsid w:val="000B2EC9"/>
    <w:rsid w:val="000B3A44"/>
    <w:rsid w:val="000C1725"/>
    <w:rsid w:val="000C2F14"/>
    <w:rsid w:val="000C3105"/>
    <w:rsid w:val="000C3F2B"/>
    <w:rsid w:val="000C4C64"/>
    <w:rsid w:val="000C5381"/>
    <w:rsid w:val="000D26F8"/>
    <w:rsid w:val="000D3338"/>
    <w:rsid w:val="000D358B"/>
    <w:rsid w:val="000D4382"/>
    <w:rsid w:val="000D4681"/>
    <w:rsid w:val="000D5AF8"/>
    <w:rsid w:val="000D6688"/>
    <w:rsid w:val="000D7E69"/>
    <w:rsid w:val="000E0508"/>
    <w:rsid w:val="000E4BE9"/>
    <w:rsid w:val="000E7538"/>
    <w:rsid w:val="000E7550"/>
    <w:rsid w:val="000E7742"/>
    <w:rsid w:val="000E792F"/>
    <w:rsid w:val="000F02ED"/>
    <w:rsid w:val="000F0EDA"/>
    <w:rsid w:val="000F160C"/>
    <w:rsid w:val="000F3B75"/>
    <w:rsid w:val="000F43F0"/>
    <w:rsid w:val="0010227B"/>
    <w:rsid w:val="00111DBE"/>
    <w:rsid w:val="00116BE0"/>
    <w:rsid w:val="00117FFD"/>
    <w:rsid w:val="00122975"/>
    <w:rsid w:val="00123579"/>
    <w:rsid w:val="00124E88"/>
    <w:rsid w:val="0012515F"/>
    <w:rsid w:val="00126899"/>
    <w:rsid w:val="0013526C"/>
    <w:rsid w:val="00135432"/>
    <w:rsid w:val="001405C6"/>
    <w:rsid w:val="00141013"/>
    <w:rsid w:val="00143885"/>
    <w:rsid w:val="0015022D"/>
    <w:rsid w:val="00150B1C"/>
    <w:rsid w:val="00153E8D"/>
    <w:rsid w:val="001550F1"/>
    <w:rsid w:val="00155596"/>
    <w:rsid w:val="0015769B"/>
    <w:rsid w:val="0016290D"/>
    <w:rsid w:val="00164C71"/>
    <w:rsid w:val="00164FDA"/>
    <w:rsid w:val="00167807"/>
    <w:rsid w:val="00171691"/>
    <w:rsid w:val="0017476B"/>
    <w:rsid w:val="0018073E"/>
    <w:rsid w:val="00180ACD"/>
    <w:rsid w:val="00183625"/>
    <w:rsid w:val="001845A8"/>
    <w:rsid w:val="0018573D"/>
    <w:rsid w:val="00186449"/>
    <w:rsid w:val="001864E9"/>
    <w:rsid w:val="00186864"/>
    <w:rsid w:val="00192C6C"/>
    <w:rsid w:val="00192CBF"/>
    <w:rsid w:val="00192FF1"/>
    <w:rsid w:val="00197478"/>
    <w:rsid w:val="001A5F1B"/>
    <w:rsid w:val="001A73AB"/>
    <w:rsid w:val="001B1756"/>
    <w:rsid w:val="001B1C22"/>
    <w:rsid w:val="001B3455"/>
    <w:rsid w:val="001B34C6"/>
    <w:rsid w:val="001B6221"/>
    <w:rsid w:val="001B6B42"/>
    <w:rsid w:val="001C3F62"/>
    <w:rsid w:val="001C52D4"/>
    <w:rsid w:val="001C5B0A"/>
    <w:rsid w:val="001D1211"/>
    <w:rsid w:val="001D4287"/>
    <w:rsid w:val="001D51F0"/>
    <w:rsid w:val="001D5F3F"/>
    <w:rsid w:val="001D62D6"/>
    <w:rsid w:val="001D72E8"/>
    <w:rsid w:val="001D7832"/>
    <w:rsid w:val="001E0F40"/>
    <w:rsid w:val="001E200A"/>
    <w:rsid w:val="001E7F82"/>
    <w:rsid w:val="001F07B0"/>
    <w:rsid w:val="001F4A23"/>
    <w:rsid w:val="001F55D1"/>
    <w:rsid w:val="0020144A"/>
    <w:rsid w:val="00202960"/>
    <w:rsid w:val="0020432A"/>
    <w:rsid w:val="002046BF"/>
    <w:rsid w:val="00210DC1"/>
    <w:rsid w:val="0021136B"/>
    <w:rsid w:val="00211C80"/>
    <w:rsid w:val="00211D34"/>
    <w:rsid w:val="0021287A"/>
    <w:rsid w:val="00212CA8"/>
    <w:rsid w:val="002132F8"/>
    <w:rsid w:val="002147D8"/>
    <w:rsid w:val="00214F04"/>
    <w:rsid w:val="002171AE"/>
    <w:rsid w:val="0021723C"/>
    <w:rsid w:val="00217893"/>
    <w:rsid w:val="00220B81"/>
    <w:rsid w:val="00221D3F"/>
    <w:rsid w:val="00223C3A"/>
    <w:rsid w:val="00223E05"/>
    <w:rsid w:val="00225A29"/>
    <w:rsid w:val="00226540"/>
    <w:rsid w:val="0022753E"/>
    <w:rsid w:val="002275C4"/>
    <w:rsid w:val="002301BC"/>
    <w:rsid w:val="00231CC5"/>
    <w:rsid w:val="00233810"/>
    <w:rsid w:val="00235FB7"/>
    <w:rsid w:val="00237A03"/>
    <w:rsid w:val="002446D1"/>
    <w:rsid w:val="0024732F"/>
    <w:rsid w:val="00251EE7"/>
    <w:rsid w:val="00253361"/>
    <w:rsid w:val="00253CE1"/>
    <w:rsid w:val="00253EC7"/>
    <w:rsid w:val="0025530B"/>
    <w:rsid w:val="00261A8F"/>
    <w:rsid w:val="00266CD6"/>
    <w:rsid w:val="00270880"/>
    <w:rsid w:val="00275DAB"/>
    <w:rsid w:val="002768F8"/>
    <w:rsid w:val="00276F91"/>
    <w:rsid w:val="00277813"/>
    <w:rsid w:val="002804E8"/>
    <w:rsid w:val="00282522"/>
    <w:rsid w:val="00283300"/>
    <w:rsid w:val="00284CBA"/>
    <w:rsid w:val="00285702"/>
    <w:rsid w:val="002923B9"/>
    <w:rsid w:val="00297BDE"/>
    <w:rsid w:val="002A0283"/>
    <w:rsid w:val="002A2A03"/>
    <w:rsid w:val="002A782A"/>
    <w:rsid w:val="002B0EA7"/>
    <w:rsid w:val="002B11E2"/>
    <w:rsid w:val="002B1E70"/>
    <w:rsid w:val="002B24B8"/>
    <w:rsid w:val="002B43D7"/>
    <w:rsid w:val="002B46ED"/>
    <w:rsid w:val="002B5983"/>
    <w:rsid w:val="002C12E5"/>
    <w:rsid w:val="002C4F1B"/>
    <w:rsid w:val="002C5890"/>
    <w:rsid w:val="002D3156"/>
    <w:rsid w:val="002D356F"/>
    <w:rsid w:val="002D3AE9"/>
    <w:rsid w:val="002D3DC4"/>
    <w:rsid w:val="002D4510"/>
    <w:rsid w:val="002D5C44"/>
    <w:rsid w:val="002D6CB3"/>
    <w:rsid w:val="002D7CE0"/>
    <w:rsid w:val="002E14DC"/>
    <w:rsid w:val="002E2A06"/>
    <w:rsid w:val="002E40B9"/>
    <w:rsid w:val="002E74DC"/>
    <w:rsid w:val="002F0734"/>
    <w:rsid w:val="002F3DA9"/>
    <w:rsid w:val="002F41D0"/>
    <w:rsid w:val="002F46E7"/>
    <w:rsid w:val="002F4ACF"/>
    <w:rsid w:val="002F64A7"/>
    <w:rsid w:val="002F6E46"/>
    <w:rsid w:val="00300543"/>
    <w:rsid w:val="00306439"/>
    <w:rsid w:val="00306FAE"/>
    <w:rsid w:val="003101DA"/>
    <w:rsid w:val="00311832"/>
    <w:rsid w:val="00312A45"/>
    <w:rsid w:val="00314757"/>
    <w:rsid w:val="003163BC"/>
    <w:rsid w:val="00317FBA"/>
    <w:rsid w:val="0032044F"/>
    <w:rsid w:val="003211CE"/>
    <w:rsid w:val="00324B47"/>
    <w:rsid w:val="0032679A"/>
    <w:rsid w:val="0032698B"/>
    <w:rsid w:val="003301B7"/>
    <w:rsid w:val="00330B9B"/>
    <w:rsid w:val="0033223A"/>
    <w:rsid w:val="003426D3"/>
    <w:rsid w:val="0035403A"/>
    <w:rsid w:val="003541B6"/>
    <w:rsid w:val="003550A9"/>
    <w:rsid w:val="00355519"/>
    <w:rsid w:val="00355910"/>
    <w:rsid w:val="00361A4D"/>
    <w:rsid w:val="00362A66"/>
    <w:rsid w:val="0036394B"/>
    <w:rsid w:val="00364375"/>
    <w:rsid w:val="003645D5"/>
    <w:rsid w:val="0036677A"/>
    <w:rsid w:val="00366DB6"/>
    <w:rsid w:val="003709B5"/>
    <w:rsid w:val="00374F22"/>
    <w:rsid w:val="003759C2"/>
    <w:rsid w:val="00387095"/>
    <w:rsid w:val="00394052"/>
    <w:rsid w:val="00395D05"/>
    <w:rsid w:val="00397365"/>
    <w:rsid w:val="003A0E77"/>
    <w:rsid w:val="003A2D69"/>
    <w:rsid w:val="003A31F6"/>
    <w:rsid w:val="003A4743"/>
    <w:rsid w:val="003A4783"/>
    <w:rsid w:val="003A6AFC"/>
    <w:rsid w:val="003B24D5"/>
    <w:rsid w:val="003C16E1"/>
    <w:rsid w:val="003C3447"/>
    <w:rsid w:val="003C5A8F"/>
    <w:rsid w:val="003D076C"/>
    <w:rsid w:val="003D0CA7"/>
    <w:rsid w:val="003D0E62"/>
    <w:rsid w:val="003D43FA"/>
    <w:rsid w:val="003D68D4"/>
    <w:rsid w:val="003E3419"/>
    <w:rsid w:val="003E3CD6"/>
    <w:rsid w:val="003E6876"/>
    <w:rsid w:val="003E6924"/>
    <w:rsid w:val="003E6D5C"/>
    <w:rsid w:val="003E74DD"/>
    <w:rsid w:val="003E78B5"/>
    <w:rsid w:val="003F17B4"/>
    <w:rsid w:val="003F1F3D"/>
    <w:rsid w:val="003F232A"/>
    <w:rsid w:val="003F50D9"/>
    <w:rsid w:val="003F557E"/>
    <w:rsid w:val="004034E8"/>
    <w:rsid w:val="004109E9"/>
    <w:rsid w:val="004151D1"/>
    <w:rsid w:val="00415BAB"/>
    <w:rsid w:val="00415ED2"/>
    <w:rsid w:val="004161AE"/>
    <w:rsid w:val="00416BC7"/>
    <w:rsid w:val="0042068C"/>
    <w:rsid w:val="00421929"/>
    <w:rsid w:val="00422ADE"/>
    <w:rsid w:val="00427A91"/>
    <w:rsid w:val="004309BE"/>
    <w:rsid w:val="004315A6"/>
    <w:rsid w:val="00437F71"/>
    <w:rsid w:val="00442203"/>
    <w:rsid w:val="00442475"/>
    <w:rsid w:val="0044318E"/>
    <w:rsid w:val="00444034"/>
    <w:rsid w:val="004475F0"/>
    <w:rsid w:val="00450409"/>
    <w:rsid w:val="004514EA"/>
    <w:rsid w:val="00452003"/>
    <w:rsid w:val="004601B9"/>
    <w:rsid w:val="00460CB8"/>
    <w:rsid w:val="00467840"/>
    <w:rsid w:val="0047122B"/>
    <w:rsid w:val="0047352F"/>
    <w:rsid w:val="00473B7A"/>
    <w:rsid w:val="00474F0B"/>
    <w:rsid w:val="004757EE"/>
    <w:rsid w:val="0048144E"/>
    <w:rsid w:val="00482B54"/>
    <w:rsid w:val="00483996"/>
    <w:rsid w:val="00485027"/>
    <w:rsid w:val="00485647"/>
    <w:rsid w:val="00486E70"/>
    <w:rsid w:val="00493101"/>
    <w:rsid w:val="004960E9"/>
    <w:rsid w:val="004A054C"/>
    <w:rsid w:val="004A0C0D"/>
    <w:rsid w:val="004A24EC"/>
    <w:rsid w:val="004A2E88"/>
    <w:rsid w:val="004A36E2"/>
    <w:rsid w:val="004A405C"/>
    <w:rsid w:val="004A429E"/>
    <w:rsid w:val="004A4BBC"/>
    <w:rsid w:val="004A515E"/>
    <w:rsid w:val="004A5305"/>
    <w:rsid w:val="004A6A50"/>
    <w:rsid w:val="004B234D"/>
    <w:rsid w:val="004B25B5"/>
    <w:rsid w:val="004B4069"/>
    <w:rsid w:val="004B44F3"/>
    <w:rsid w:val="004B4EF4"/>
    <w:rsid w:val="004B6F1F"/>
    <w:rsid w:val="004B7B4C"/>
    <w:rsid w:val="004C25C9"/>
    <w:rsid w:val="004C5D17"/>
    <w:rsid w:val="004C5DF0"/>
    <w:rsid w:val="004D20DD"/>
    <w:rsid w:val="004D2855"/>
    <w:rsid w:val="004D44FC"/>
    <w:rsid w:val="004D7634"/>
    <w:rsid w:val="004E1595"/>
    <w:rsid w:val="004E1F1E"/>
    <w:rsid w:val="004E2397"/>
    <w:rsid w:val="004E298F"/>
    <w:rsid w:val="004E2A17"/>
    <w:rsid w:val="004E5324"/>
    <w:rsid w:val="004E611A"/>
    <w:rsid w:val="004F045B"/>
    <w:rsid w:val="004F2A6B"/>
    <w:rsid w:val="004F6EC9"/>
    <w:rsid w:val="00506E23"/>
    <w:rsid w:val="0050764A"/>
    <w:rsid w:val="005104A4"/>
    <w:rsid w:val="00511A77"/>
    <w:rsid w:val="00511B08"/>
    <w:rsid w:val="00522517"/>
    <w:rsid w:val="00524E81"/>
    <w:rsid w:val="00527AB8"/>
    <w:rsid w:val="005300D3"/>
    <w:rsid w:val="00535305"/>
    <w:rsid w:val="00535C07"/>
    <w:rsid w:val="00537B0A"/>
    <w:rsid w:val="00541403"/>
    <w:rsid w:val="00544C47"/>
    <w:rsid w:val="00544F82"/>
    <w:rsid w:val="00545704"/>
    <w:rsid w:val="0054740F"/>
    <w:rsid w:val="0055018E"/>
    <w:rsid w:val="005509D2"/>
    <w:rsid w:val="005515FC"/>
    <w:rsid w:val="005516CD"/>
    <w:rsid w:val="00554FC4"/>
    <w:rsid w:val="005563D3"/>
    <w:rsid w:val="00561929"/>
    <w:rsid w:val="00570794"/>
    <w:rsid w:val="00570DA8"/>
    <w:rsid w:val="005715A2"/>
    <w:rsid w:val="005726B8"/>
    <w:rsid w:val="0057392D"/>
    <w:rsid w:val="0057713D"/>
    <w:rsid w:val="00577E51"/>
    <w:rsid w:val="00584439"/>
    <w:rsid w:val="00584631"/>
    <w:rsid w:val="005858E8"/>
    <w:rsid w:val="0058683D"/>
    <w:rsid w:val="00591D8A"/>
    <w:rsid w:val="00593617"/>
    <w:rsid w:val="0059376D"/>
    <w:rsid w:val="00593C4F"/>
    <w:rsid w:val="005946A8"/>
    <w:rsid w:val="0059659F"/>
    <w:rsid w:val="00597A07"/>
    <w:rsid w:val="00597C25"/>
    <w:rsid w:val="005A4407"/>
    <w:rsid w:val="005A59EF"/>
    <w:rsid w:val="005A5E31"/>
    <w:rsid w:val="005A721A"/>
    <w:rsid w:val="005A74EA"/>
    <w:rsid w:val="005B1B0D"/>
    <w:rsid w:val="005B1C7E"/>
    <w:rsid w:val="005B7C37"/>
    <w:rsid w:val="005C1759"/>
    <w:rsid w:val="005C4EEC"/>
    <w:rsid w:val="005C6976"/>
    <w:rsid w:val="005D286E"/>
    <w:rsid w:val="005D37D8"/>
    <w:rsid w:val="005D56D7"/>
    <w:rsid w:val="005E1CDE"/>
    <w:rsid w:val="005E3BD9"/>
    <w:rsid w:val="005E44E2"/>
    <w:rsid w:val="005F1176"/>
    <w:rsid w:val="005F4788"/>
    <w:rsid w:val="005F5232"/>
    <w:rsid w:val="005F6F41"/>
    <w:rsid w:val="005F7C5C"/>
    <w:rsid w:val="00601B06"/>
    <w:rsid w:val="00603107"/>
    <w:rsid w:val="00603CE3"/>
    <w:rsid w:val="00606DA8"/>
    <w:rsid w:val="00610746"/>
    <w:rsid w:val="00610A50"/>
    <w:rsid w:val="00610FD5"/>
    <w:rsid w:val="00615E9D"/>
    <w:rsid w:val="006200F2"/>
    <w:rsid w:val="00624F5A"/>
    <w:rsid w:val="00625DC6"/>
    <w:rsid w:val="0063182C"/>
    <w:rsid w:val="00631C12"/>
    <w:rsid w:val="00632B03"/>
    <w:rsid w:val="00632C72"/>
    <w:rsid w:val="00632F0A"/>
    <w:rsid w:val="00633D58"/>
    <w:rsid w:val="00634722"/>
    <w:rsid w:val="00636261"/>
    <w:rsid w:val="00636C6D"/>
    <w:rsid w:val="006406C8"/>
    <w:rsid w:val="006411C9"/>
    <w:rsid w:val="006413AB"/>
    <w:rsid w:val="00642984"/>
    <w:rsid w:val="00642ADE"/>
    <w:rsid w:val="006434CA"/>
    <w:rsid w:val="0064391D"/>
    <w:rsid w:val="00643C62"/>
    <w:rsid w:val="00645CB0"/>
    <w:rsid w:val="00646032"/>
    <w:rsid w:val="00647193"/>
    <w:rsid w:val="0065057D"/>
    <w:rsid w:val="00651821"/>
    <w:rsid w:val="00654384"/>
    <w:rsid w:val="006565D2"/>
    <w:rsid w:val="00656BAB"/>
    <w:rsid w:val="00657398"/>
    <w:rsid w:val="006575D6"/>
    <w:rsid w:val="0066163F"/>
    <w:rsid w:val="00662E41"/>
    <w:rsid w:val="0066686B"/>
    <w:rsid w:val="006675CD"/>
    <w:rsid w:val="00670AA8"/>
    <w:rsid w:val="00670F3C"/>
    <w:rsid w:val="00682264"/>
    <w:rsid w:val="006837A5"/>
    <w:rsid w:val="00684D9B"/>
    <w:rsid w:val="00685C01"/>
    <w:rsid w:val="0068798E"/>
    <w:rsid w:val="00696F88"/>
    <w:rsid w:val="00697556"/>
    <w:rsid w:val="006A348D"/>
    <w:rsid w:val="006A3A02"/>
    <w:rsid w:val="006A5348"/>
    <w:rsid w:val="006A7356"/>
    <w:rsid w:val="006A7F47"/>
    <w:rsid w:val="006B1195"/>
    <w:rsid w:val="006B44FC"/>
    <w:rsid w:val="006B4647"/>
    <w:rsid w:val="006B4C2B"/>
    <w:rsid w:val="006B6194"/>
    <w:rsid w:val="006B6D47"/>
    <w:rsid w:val="006C3C2B"/>
    <w:rsid w:val="006C5AFE"/>
    <w:rsid w:val="006C61CF"/>
    <w:rsid w:val="006C7C3E"/>
    <w:rsid w:val="006D4430"/>
    <w:rsid w:val="006D7CC5"/>
    <w:rsid w:val="006E10A8"/>
    <w:rsid w:val="006E2894"/>
    <w:rsid w:val="006E613F"/>
    <w:rsid w:val="006E61BD"/>
    <w:rsid w:val="006E6D98"/>
    <w:rsid w:val="006E6DE5"/>
    <w:rsid w:val="006F18D5"/>
    <w:rsid w:val="006F1A9A"/>
    <w:rsid w:val="006F4880"/>
    <w:rsid w:val="006F6D95"/>
    <w:rsid w:val="00700660"/>
    <w:rsid w:val="00706F13"/>
    <w:rsid w:val="007072E8"/>
    <w:rsid w:val="0070759A"/>
    <w:rsid w:val="00711044"/>
    <w:rsid w:val="00712D59"/>
    <w:rsid w:val="00713D8A"/>
    <w:rsid w:val="0071618D"/>
    <w:rsid w:val="00717211"/>
    <w:rsid w:val="00723D0C"/>
    <w:rsid w:val="00725FA4"/>
    <w:rsid w:val="0072668F"/>
    <w:rsid w:val="00726CDB"/>
    <w:rsid w:val="00727F27"/>
    <w:rsid w:val="00734E7E"/>
    <w:rsid w:val="007350A7"/>
    <w:rsid w:val="0073671C"/>
    <w:rsid w:val="00740446"/>
    <w:rsid w:val="007438A9"/>
    <w:rsid w:val="0074491E"/>
    <w:rsid w:val="0074567B"/>
    <w:rsid w:val="00751556"/>
    <w:rsid w:val="007530CA"/>
    <w:rsid w:val="00755C52"/>
    <w:rsid w:val="00756902"/>
    <w:rsid w:val="00760F2F"/>
    <w:rsid w:val="0076247A"/>
    <w:rsid w:val="00764240"/>
    <w:rsid w:val="007645C9"/>
    <w:rsid w:val="007661FD"/>
    <w:rsid w:val="007662A5"/>
    <w:rsid w:val="0076687A"/>
    <w:rsid w:val="00766F8B"/>
    <w:rsid w:val="00771253"/>
    <w:rsid w:val="00772C28"/>
    <w:rsid w:val="00775964"/>
    <w:rsid w:val="007765FE"/>
    <w:rsid w:val="00780C18"/>
    <w:rsid w:val="00782882"/>
    <w:rsid w:val="00784113"/>
    <w:rsid w:val="0078418D"/>
    <w:rsid w:val="00792B0A"/>
    <w:rsid w:val="00794E2E"/>
    <w:rsid w:val="00795BFB"/>
    <w:rsid w:val="00797574"/>
    <w:rsid w:val="007A0905"/>
    <w:rsid w:val="007A4D7B"/>
    <w:rsid w:val="007B0FB8"/>
    <w:rsid w:val="007B1158"/>
    <w:rsid w:val="007B1E10"/>
    <w:rsid w:val="007B2760"/>
    <w:rsid w:val="007B5547"/>
    <w:rsid w:val="007B5F0B"/>
    <w:rsid w:val="007C371D"/>
    <w:rsid w:val="007C4475"/>
    <w:rsid w:val="007D1B98"/>
    <w:rsid w:val="007D31BB"/>
    <w:rsid w:val="007D38B8"/>
    <w:rsid w:val="007D3AD4"/>
    <w:rsid w:val="007D3CB1"/>
    <w:rsid w:val="007D4E16"/>
    <w:rsid w:val="007D6B8C"/>
    <w:rsid w:val="007E6FBA"/>
    <w:rsid w:val="007F028C"/>
    <w:rsid w:val="007F29E8"/>
    <w:rsid w:val="007F2BF8"/>
    <w:rsid w:val="007F3832"/>
    <w:rsid w:val="007F6594"/>
    <w:rsid w:val="00801561"/>
    <w:rsid w:val="00801D50"/>
    <w:rsid w:val="00802FC5"/>
    <w:rsid w:val="00804228"/>
    <w:rsid w:val="008063A6"/>
    <w:rsid w:val="00806C01"/>
    <w:rsid w:val="00812285"/>
    <w:rsid w:val="008148CC"/>
    <w:rsid w:val="008148DE"/>
    <w:rsid w:val="00814EC0"/>
    <w:rsid w:val="00814F4F"/>
    <w:rsid w:val="0081647B"/>
    <w:rsid w:val="008211A4"/>
    <w:rsid w:val="00830AB1"/>
    <w:rsid w:val="00831EE7"/>
    <w:rsid w:val="0083511D"/>
    <w:rsid w:val="00835A42"/>
    <w:rsid w:val="00836E6B"/>
    <w:rsid w:val="008405E9"/>
    <w:rsid w:val="00840A0D"/>
    <w:rsid w:val="008451A8"/>
    <w:rsid w:val="00847430"/>
    <w:rsid w:val="008500D3"/>
    <w:rsid w:val="008501B9"/>
    <w:rsid w:val="00850BB7"/>
    <w:rsid w:val="00850CEA"/>
    <w:rsid w:val="00851C61"/>
    <w:rsid w:val="00855117"/>
    <w:rsid w:val="00855C2F"/>
    <w:rsid w:val="00856F11"/>
    <w:rsid w:val="00860942"/>
    <w:rsid w:val="00862399"/>
    <w:rsid w:val="00863512"/>
    <w:rsid w:val="00863683"/>
    <w:rsid w:val="00864758"/>
    <w:rsid w:val="00864B3F"/>
    <w:rsid w:val="008662F3"/>
    <w:rsid w:val="00866FF7"/>
    <w:rsid w:val="0086770C"/>
    <w:rsid w:val="00870072"/>
    <w:rsid w:val="008726EB"/>
    <w:rsid w:val="00873150"/>
    <w:rsid w:val="0087392B"/>
    <w:rsid w:val="0087657D"/>
    <w:rsid w:val="00877600"/>
    <w:rsid w:val="008807D5"/>
    <w:rsid w:val="00880832"/>
    <w:rsid w:val="00884337"/>
    <w:rsid w:val="008857D8"/>
    <w:rsid w:val="00886EE1"/>
    <w:rsid w:val="0088727D"/>
    <w:rsid w:val="008877B4"/>
    <w:rsid w:val="00890E75"/>
    <w:rsid w:val="00893BD0"/>
    <w:rsid w:val="008956FC"/>
    <w:rsid w:val="00897060"/>
    <w:rsid w:val="00897487"/>
    <w:rsid w:val="008976A4"/>
    <w:rsid w:val="00897BEB"/>
    <w:rsid w:val="00897C75"/>
    <w:rsid w:val="008A0D29"/>
    <w:rsid w:val="008A3E72"/>
    <w:rsid w:val="008A7BFF"/>
    <w:rsid w:val="008B2476"/>
    <w:rsid w:val="008B3B11"/>
    <w:rsid w:val="008B4FC6"/>
    <w:rsid w:val="008C05E3"/>
    <w:rsid w:val="008C1130"/>
    <w:rsid w:val="008C1862"/>
    <w:rsid w:val="008C417A"/>
    <w:rsid w:val="008C5F73"/>
    <w:rsid w:val="008C6287"/>
    <w:rsid w:val="008D0DDB"/>
    <w:rsid w:val="008D18E6"/>
    <w:rsid w:val="008D1A98"/>
    <w:rsid w:val="008D1B8F"/>
    <w:rsid w:val="008D237F"/>
    <w:rsid w:val="008D2AEA"/>
    <w:rsid w:val="008D73BE"/>
    <w:rsid w:val="008D7A9B"/>
    <w:rsid w:val="008E0060"/>
    <w:rsid w:val="008E39AB"/>
    <w:rsid w:val="008E4C0B"/>
    <w:rsid w:val="008E552F"/>
    <w:rsid w:val="008E6128"/>
    <w:rsid w:val="008E76AC"/>
    <w:rsid w:val="008F115A"/>
    <w:rsid w:val="008F21F6"/>
    <w:rsid w:val="008F63FA"/>
    <w:rsid w:val="008F6745"/>
    <w:rsid w:val="008F7737"/>
    <w:rsid w:val="008F78DA"/>
    <w:rsid w:val="0090103A"/>
    <w:rsid w:val="00907609"/>
    <w:rsid w:val="00912B73"/>
    <w:rsid w:val="00913183"/>
    <w:rsid w:val="009153AF"/>
    <w:rsid w:val="009203C2"/>
    <w:rsid w:val="00922766"/>
    <w:rsid w:val="00926080"/>
    <w:rsid w:val="00930EAF"/>
    <w:rsid w:val="009319DF"/>
    <w:rsid w:val="00934449"/>
    <w:rsid w:val="00934B45"/>
    <w:rsid w:val="0093590C"/>
    <w:rsid w:val="009367C8"/>
    <w:rsid w:val="009377D3"/>
    <w:rsid w:val="00944BA5"/>
    <w:rsid w:val="00951F79"/>
    <w:rsid w:val="00952E63"/>
    <w:rsid w:val="00955A03"/>
    <w:rsid w:val="00960763"/>
    <w:rsid w:val="00960E74"/>
    <w:rsid w:val="00960EE4"/>
    <w:rsid w:val="0096223E"/>
    <w:rsid w:val="009623CE"/>
    <w:rsid w:val="009624DC"/>
    <w:rsid w:val="00962AB6"/>
    <w:rsid w:val="00962F72"/>
    <w:rsid w:val="0096542D"/>
    <w:rsid w:val="00966D58"/>
    <w:rsid w:val="009701B5"/>
    <w:rsid w:val="00971C5C"/>
    <w:rsid w:val="00973F3D"/>
    <w:rsid w:val="00974AB5"/>
    <w:rsid w:val="00975AC2"/>
    <w:rsid w:val="00977F7B"/>
    <w:rsid w:val="00985360"/>
    <w:rsid w:val="00985D72"/>
    <w:rsid w:val="0098706D"/>
    <w:rsid w:val="00987D53"/>
    <w:rsid w:val="009909DB"/>
    <w:rsid w:val="009919FD"/>
    <w:rsid w:val="009922C1"/>
    <w:rsid w:val="009935FB"/>
    <w:rsid w:val="00993C0E"/>
    <w:rsid w:val="00996E2F"/>
    <w:rsid w:val="00996F79"/>
    <w:rsid w:val="009A0310"/>
    <w:rsid w:val="009A5E17"/>
    <w:rsid w:val="009B4E9F"/>
    <w:rsid w:val="009B5058"/>
    <w:rsid w:val="009B51B5"/>
    <w:rsid w:val="009B6AA7"/>
    <w:rsid w:val="009B7EDA"/>
    <w:rsid w:val="009C1FA5"/>
    <w:rsid w:val="009D2772"/>
    <w:rsid w:val="009D2860"/>
    <w:rsid w:val="009D59DB"/>
    <w:rsid w:val="009E015A"/>
    <w:rsid w:val="009E0223"/>
    <w:rsid w:val="009E0513"/>
    <w:rsid w:val="009E07DA"/>
    <w:rsid w:val="009E0824"/>
    <w:rsid w:val="009E1962"/>
    <w:rsid w:val="009E1B02"/>
    <w:rsid w:val="009E3E0F"/>
    <w:rsid w:val="009E7626"/>
    <w:rsid w:val="009F197E"/>
    <w:rsid w:val="009F1AF5"/>
    <w:rsid w:val="009F3471"/>
    <w:rsid w:val="009F49C1"/>
    <w:rsid w:val="009F4A54"/>
    <w:rsid w:val="009F4BEC"/>
    <w:rsid w:val="009F5874"/>
    <w:rsid w:val="009F61BF"/>
    <w:rsid w:val="009F6DE5"/>
    <w:rsid w:val="009F7D26"/>
    <w:rsid w:val="00A01B5E"/>
    <w:rsid w:val="00A062F3"/>
    <w:rsid w:val="00A116A8"/>
    <w:rsid w:val="00A124FF"/>
    <w:rsid w:val="00A1252F"/>
    <w:rsid w:val="00A14E3D"/>
    <w:rsid w:val="00A157E7"/>
    <w:rsid w:val="00A245F0"/>
    <w:rsid w:val="00A24B96"/>
    <w:rsid w:val="00A25FD7"/>
    <w:rsid w:val="00A27146"/>
    <w:rsid w:val="00A33915"/>
    <w:rsid w:val="00A43AFF"/>
    <w:rsid w:val="00A4422F"/>
    <w:rsid w:val="00A442D4"/>
    <w:rsid w:val="00A51769"/>
    <w:rsid w:val="00A51F9D"/>
    <w:rsid w:val="00A54451"/>
    <w:rsid w:val="00A55A4A"/>
    <w:rsid w:val="00A57FB8"/>
    <w:rsid w:val="00A6407B"/>
    <w:rsid w:val="00A666BE"/>
    <w:rsid w:val="00A72370"/>
    <w:rsid w:val="00A73D00"/>
    <w:rsid w:val="00A75A61"/>
    <w:rsid w:val="00A76E84"/>
    <w:rsid w:val="00A7793A"/>
    <w:rsid w:val="00A779CF"/>
    <w:rsid w:val="00A77C04"/>
    <w:rsid w:val="00A81EA7"/>
    <w:rsid w:val="00A8453F"/>
    <w:rsid w:val="00A866AE"/>
    <w:rsid w:val="00A87322"/>
    <w:rsid w:val="00A87E1C"/>
    <w:rsid w:val="00A90443"/>
    <w:rsid w:val="00A935D5"/>
    <w:rsid w:val="00A93873"/>
    <w:rsid w:val="00A93E93"/>
    <w:rsid w:val="00A94001"/>
    <w:rsid w:val="00A954D7"/>
    <w:rsid w:val="00AA316D"/>
    <w:rsid w:val="00AA4CC7"/>
    <w:rsid w:val="00AA5E8E"/>
    <w:rsid w:val="00AB0506"/>
    <w:rsid w:val="00AB189A"/>
    <w:rsid w:val="00AB2287"/>
    <w:rsid w:val="00AB23BA"/>
    <w:rsid w:val="00AB4315"/>
    <w:rsid w:val="00AB5128"/>
    <w:rsid w:val="00AB5970"/>
    <w:rsid w:val="00AB6CA7"/>
    <w:rsid w:val="00AC0469"/>
    <w:rsid w:val="00AC09D5"/>
    <w:rsid w:val="00AC13CC"/>
    <w:rsid w:val="00AC50E7"/>
    <w:rsid w:val="00AD01E4"/>
    <w:rsid w:val="00AD0858"/>
    <w:rsid w:val="00AD0BAB"/>
    <w:rsid w:val="00AD1122"/>
    <w:rsid w:val="00AD1883"/>
    <w:rsid w:val="00AD2E14"/>
    <w:rsid w:val="00AD2FBD"/>
    <w:rsid w:val="00AD4B0E"/>
    <w:rsid w:val="00AD5090"/>
    <w:rsid w:val="00AD669C"/>
    <w:rsid w:val="00AD7999"/>
    <w:rsid w:val="00AE041A"/>
    <w:rsid w:val="00AE06D5"/>
    <w:rsid w:val="00AE0CC5"/>
    <w:rsid w:val="00AE0DF2"/>
    <w:rsid w:val="00AE3E43"/>
    <w:rsid w:val="00AE523F"/>
    <w:rsid w:val="00AE7340"/>
    <w:rsid w:val="00AF0CF0"/>
    <w:rsid w:val="00AF1BBD"/>
    <w:rsid w:val="00AF1CF4"/>
    <w:rsid w:val="00AF230B"/>
    <w:rsid w:val="00AF23C5"/>
    <w:rsid w:val="00AF35EA"/>
    <w:rsid w:val="00AF6348"/>
    <w:rsid w:val="00B00275"/>
    <w:rsid w:val="00B05F3E"/>
    <w:rsid w:val="00B10207"/>
    <w:rsid w:val="00B103F1"/>
    <w:rsid w:val="00B10A2E"/>
    <w:rsid w:val="00B10BD1"/>
    <w:rsid w:val="00B11E99"/>
    <w:rsid w:val="00B141E7"/>
    <w:rsid w:val="00B200CA"/>
    <w:rsid w:val="00B22DFB"/>
    <w:rsid w:val="00B24738"/>
    <w:rsid w:val="00B26D98"/>
    <w:rsid w:val="00B27DA4"/>
    <w:rsid w:val="00B31C15"/>
    <w:rsid w:val="00B31F3D"/>
    <w:rsid w:val="00B33BA8"/>
    <w:rsid w:val="00B351B4"/>
    <w:rsid w:val="00B409BB"/>
    <w:rsid w:val="00B42230"/>
    <w:rsid w:val="00B42F44"/>
    <w:rsid w:val="00B43A07"/>
    <w:rsid w:val="00B46BCA"/>
    <w:rsid w:val="00B476B7"/>
    <w:rsid w:val="00B478AA"/>
    <w:rsid w:val="00B50D4C"/>
    <w:rsid w:val="00B51350"/>
    <w:rsid w:val="00B51BF4"/>
    <w:rsid w:val="00B5513F"/>
    <w:rsid w:val="00B57894"/>
    <w:rsid w:val="00B57C5C"/>
    <w:rsid w:val="00B601C5"/>
    <w:rsid w:val="00B6210B"/>
    <w:rsid w:val="00B65EF9"/>
    <w:rsid w:val="00B6670F"/>
    <w:rsid w:val="00B66C52"/>
    <w:rsid w:val="00B72198"/>
    <w:rsid w:val="00B7537F"/>
    <w:rsid w:val="00B8231E"/>
    <w:rsid w:val="00B83202"/>
    <w:rsid w:val="00B83A54"/>
    <w:rsid w:val="00B84011"/>
    <w:rsid w:val="00B844E8"/>
    <w:rsid w:val="00B84C11"/>
    <w:rsid w:val="00B87806"/>
    <w:rsid w:val="00B87EC9"/>
    <w:rsid w:val="00B90FAB"/>
    <w:rsid w:val="00B92286"/>
    <w:rsid w:val="00B94A2E"/>
    <w:rsid w:val="00B97FCE"/>
    <w:rsid w:val="00B97FD3"/>
    <w:rsid w:val="00BA6EE6"/>
    <w:rsid w:val="00BB10FD"/>
    <w:rsid w:val="00BB599F"/>
    <w:rsid w:val="00BB6692"/>
    <w:rsid w:val="00BC0A99"/>
    <w:rsid w:val="00BC38FD"/>
    <w:rsid w:val="00BC4D77"/>
    <w:rsid w:val="00BC5B9B"/>
    <w:rsid w:val="00BC66C8"/>
    <w:rsid w:val="00BC70C4"/>
    <w:rsid w:val="00BD1460"/>
    <w:rsid w:val="00BD1A6D"/>
    <w:rsid w:val="00BD6AE6"/>
    <w:rsid w:val="00BE4B8B"/>
    <w:rsid w:val="00BF5043"/>
    <w:rsid w:val="00BF5CAD"/>
    <w:rsid w:val="00C034CB"/>
    <w:rsid w:val="00C04E1A"/>
    <w:rsid w:val="00C051A8"/>
    <w:rsid w:val="00C054BC"/>
    <w:rsid w:val="00C05D37"/>
    <w:rsid w:val="00C07237"/>
    <w:rsid w:val="00C121E1"/>
    <w:rsid w:val="00C14777"/>
    <w:rsid w:val="00C15CD6"/>
    <w:rsid w:val="00C17897"/>
    <w:rsid w:val="00C21639"/>
    <w:rsid w:val="00C261B1"/>
    <w:rsid w:val="00C2691E"/>
    <w:rsid w:val="00C30C05"/>
    <w:rsid w:val="00C30D70"/>
    <w:rsid w:val="00C31050"/>
    <w:rsid w:val="00C31FFA"/>
    <w:rsid w:val="00C32833"/>
    <w:rsid w:val="00C32C13"/>
    <w:rsid w:val="00C33251"/>
    <w:rsid w:val="00C33CD0"/>
    <w:rsid w:val="00C36DC9"/>
    <w:rsid w:val="00C36FF9"/>
    <w:rsid w:val="00C409D5"/>
    <w:rsid w:val="00C413BE"/>
    <w:rsid w:val="00C42753"/>
    <w:rsid w:val="00C435C3"/>
    <w:rsid w:val="00C447F8"/>
    <w:rsid w:val="00C45B31"/>
    <w:rsid w:val="00C465AF"/>
    <w:rsid w:val="00C51E97"/>
    <w:rsid w:val="00C520CE"/>
    <w:rsid w:val="00C526D8"/>
    <w:rsid w:val="00C5371A"/>
    <w:rsid w:val="00C5737E"/>
    <w:rsid w:val="00C61790"/>
    <w:rsid w:val="00C6234B"/>
    <w:rsid w:val="00C63D49"/>
    <w:rsid w:val="00C63EAE"/>
    <w:rsid w:val="00C64DB7"/>
    <w:rsid w:val="00C660AB"/>
    <w:rsid w:val="00C7087C"/>
    <w:rsid w:val="00C70E18"/>
    <w:rsid w:val="00C7126B"/>
    <w:rsid w:val="00C737B4"/>
    <w:rsid w:val="00C7629F"/>
    <w:rsid w:val="00C76609"/>
    <w:rsid w:val="00C80518"/>
    <w:rsid w:val="00C8350B"/>
    <w:rsid w:val="00C85095"/>
    <w:rsid w:val="00C8661B"/>
    <w:rsid w:val="00C946A2"/>
    <w:rsid w:val="00C94803"/>
    <w:rsid w:val="00C96085"/>
    <w:rsid w:val="00CA0148"/>
    <w:rsid w:val="00CA139A"/>
    <w:rsid w:val="00CA1D0F"/>
    <w:rsid w:val="00CA2899"/>
    <w:rsid w:val="00CA29FD"/>
    <w:rsid w:val="00CA33FB"/>
    <w:rsid w:val="00CA3A3D"/>
    <w:rsid w:val="00CA437E"/>
    <w:rsid w:val="00CA77FB"/>
    <w:rsid w:val="00CB1DB6"/>
    <w:rsid w:val="00CB1F26"/>
    <w:rsid w:val="00CB368B"/>
    <w:rsid w:val="00CB379B"/>
    <w:rsid w:val="00CB3F4D"/>
    <w:rsid w:val="00CB4338"/>
    <w:rsid w:val="00CB4C82"/>
    <w:rsid w:val="00CB53E6"/>
    <w:rsid w:val="00CB5440"/>
    <w:rsid w:val="00CB5B40"/>
    <w:rsid w:val="00CB5DD0"/>
    <w:rsid w:val="00CB6742"/>
    <w:rsid w:val="00CC2588"/>
    <w:rsid w:val="00CC392C"/>
    <w:rsid w:val="00CC51D4"/>
    <w:rsid w:val="00CC65DA"/>
    <w:rsid w:val="00CC6FA7"/>
    <w:rsid w:val="00CD116A"/>
    <w:rsid w:val="00CD3568"/>
    <w:rsid w:val="00CD49DA"/>
    <w:rsid w:val="00CD4C78"/>
    <w:rsid w:val="00CD5016"/>
    <w:rsid w:val="00CD63D6"/>
    <w:rsid w:val="00CD6780"/>
    <w:rsid w:val="00CD6CF1"/>
    <w:rsid w:val="00CD74CE"/>
    <w:rsid w:val="00CE61F1"/>
    <w:rsid w:val="00CF21B9"/>
    <w:rsid w:val="00CF6BF9"/>
    <w:rsid w:val="00D00065"/>
    <w:rsid w:val="00D03800"/>
    <w:rsid w:val="00D0501A"/>
    <w:rsid w:val="00D065D3"/>
    <w:rsid w:val="00D069F1"/>
    <w:rsid w:val="00D073E1"/>
    <w:rsid w:val="00D10701"/>
    <w:rsid w:val="00D14C94"/>
    <w:rsid w:val="00D21074"/>
    <w:rsid w:val="00D242F2"/>
    <w:rsid w:val="00D24994"/>
    <w:rsid w:val="00D260F2"/>
    <w:rsid w:val="00D26799"/>
    <w:rsid w:val="00D3157F"/>
    <w:rsid w:val="00D32881"/>
    <w:rsid w:val="00D32A0E"/>
    <w:rsid w:val="00D342A6"/>
    <w:rsid w:val="00D369CD"/>
    <w:rsid w:val="00D448A8"/>
    <w:rsid w:val="00D448C5"/>
    <w:rsid w:val="00D452E4"/>
    <w:rsid w:val="00D45C87"/>
    <w:rsid w:val="00D45CA6"/>
    <w:rsid w:val="00D464BF"/>
    <w:rsid w:val="00D50080"/>
    <w:rsid w:val="00D5103C"/>
    <w:rsid w:val="00D53E26"/>
    <w:rsid w:val="00D559D1"/>
    <w:rsid w:val="00D565A5"/>
    <w:rsid w:val="00D6164E"/>
    <w:rsid w:val="00D617E0"/>
    <w:rsid w:val="00D65C80"/>
    <w:rsid w:val="00D66545"/>
    <w:rsid w:val="00D66A51"/>
    <w:rsid w:val="00D7276A"/>
    <w:rsid w:val="00D729E7"/>
    <w:rsid w:val="00D73EA9"/>
    <w:rsid w:val="00D80193"/>
    <w:rsid w:val="00D83B7A"/>
    <w:rsid w:val="00D854A9"/>
    <w:rsid w:val="00D86079"/>
    <w:rsid w:val="00D86882"/>
    <w:rsid w:val="00D9039F"/>
    <w:rsid w:val="00D915F0"/>
    <w:rsid w:val="00D93180"/>
    <w:rsid w:val="00D9423D"/>
    <w:rsid w:val="00D949ED"/>
    <w:rsid w:val="00DA4094"/>
    <w:rsid w:val="00DA5306"/>
    <w:rsid w:val="00DB0DF4"/>
    <w:rsid w:val="00DB1970"/>
    <w:rsid w:val="00DB3DCF"/>
    <w:rsid w:val="00DB799F"/>
    <w:rsid w:val="00DB7A23"/>
    <w:rsid w:val="00DC00A6"/>
    <w:rsid w:val="00DC0F9B"/>
    <w:rsid w:val="00DC2ACF"/>
    <w:rsid w:val="00DC4B74"/>
    <w:rsid w:val="00DC74CB"/>
    <w:rsid w:val="00DD0533"/>
    <w:rsid w:val="00DD4F0E"/>
    <w:rsid w:val="00DE2686"/>
    <w:rsid w:val="00DE4A99"/>
    <w:rsid w:val="00DF0355"/>
    <w:rsid w:val="00DF0BF0"/>
    <w:rsid w:val="00DF1BDC"/>
    <w:rsid w:val="00DF2A63"/>
    <w:rsid w:val="00DF3CA2"/>
    <w:rsid w:val="00DF7A8C"/>
    <w:rsid w:val="00E00347"/>
    <w:rsid w:val="00E0038E"/>
    <w:rsid w:val="00E01463"/>
    <w:rsid w:val="00E014EF"/>
    <w:rsid w:val="00E05E0A"/>
    <w:rsid w:val="00E060BE"/>
    <w:rsid w:val="00E06B2B"/>
    <w:rsid w:val="00E22369"/>
    <w:rsid w:val="00E23AA3"/>
    <w:rsid w:val="00E319B2"/>
    <w:rsid w:val="00E3389B"/>
    <w:rsid w:val="00E33954"/>
    <w:rsid w:val="00E35446"/>
    <w:rsid w:val="00E365E9"/>
    <w:rsid w:val="00E374DB"/>
    <w:rsid w:val="00E401E6"/>
    <w:rsid w:val="00E417BB"/>
    <w:rsid w:val="00E4377E"/>
    <w:rsid w:val="00E46CA8"/>
    <w:rsid w:val="00E4738B"/>
    <w:rsid w:val="00E51FB3"/>
    <w:rsid w:val="00E534CF"/>
    <w:rsid w:val="00E53741"/>
    <w:rsid w:val="00E57F9F"/>
    <w:rsid w:val="00E6120D"/>
    <w:rsid w:val="00E628FA"/>
    <w:rsid w:val="00E744D6"/>
    <w:rsid w:val="00E7480B"/>
    <w:rsid w:val="00E76C14"/>
    <w:rsid w:val="00E77C59"/>
    <w:rsid w:val="00E81CB4"/>
    <w:rsid w:val="00E8585B"/>
    <w:rsid w:val="00E86C6D"/>
    <w:rsid w:val="00E87993"/>
    <w:rsid w:val="00E901F4"/>
    <w:rsid w:val="00E93A87"/>
    <w:rsid w:val="00EA0D88"/>
    <w:rsid w:val="00EA1E87"/>
    <w:rsid w:val="00EA3F15"/>
    <w:rsid w:val="00EA60AB"/>
    <w:rsid w:val="00EA6EAA"/>
    <w:rsid w:val="00EA7847"/>
    <w:rsid w:val="00EB4C2F"/>
    <w:rsid w:val="00EB7257"/>
    <w:rsid w:val="00EB753E"/>
    <w:rsid w:val="00EC20D9"/>
    <w:rsid w:val="00EC3BE8"/>
    <w:rsid w:val="00EC4128"/>
    <w:rsid w:val="00EC5D3C"/>
    <w:rsid w:val="00ED13CD"/>
    <w:rsid w:val="00ED1A04"/>
    <w:rsid w:val="00EE2A5E"/>
    <w:rsid w:val="00EE2E6E"/>
    <w:rsid w:val="00EE4697"/>
    <w:rsid w:val="00EE6E1E"/>
    <w:rsid w:val="00EE7209"/>
    <w:rsid w:val="00EF2802"/>
    <w:rsid w:val="00EF47B6"/>
    <w:rsid w:val="00EF49B7"/>
    <w:rsid w:val="00EF5899"/>
    <w:rsid w:val="00EF63A9"/>
    <w:rsid w:val="00EF69A5"/>
    <w:rsid w:val="00EF6AC7"/>
    <w:rsid w:val="00EF7236"/>
    <w:rsid w:val="00F02FC9"/>
    <w:rsid w:val="00F032E5"/>
    <w:rsid w:val="00F04EA6"/>
    <w:rsid w:val="00F0759E"/>
    <w:rsid w:val="00F11EFB"/>
    <w:rsid w:val="00F12593"/>
    <w:rsid w:val="00F13CD6"/>
    <w:rsid w:val="00F14C46"/>
    <w:rsid w:val="00F16A43"/>
    <w:rsid w:val="00F233A2"/>
    <w:rsid w:val="00F23A1F"/>
    <w:rsid w:val="00F2799E"/>
    <w:rsid w:val="00F27F10"/>
    <w:rsid w:val="00F340A2"/>
    <w:rsid w:val="00F3511A"/>
    <w:rsid w:val="00F37317"/>
    <w:rsid w:val="00F407A9"/>
    <w:rsid w:val="00F4269D"/>
    <w:rsid w:val="00F44218"/>
    <w:rsid w:val="00F45384"/>
    <w:rsid w:val="00F46780"/>
    <w:rsid w:val="00F47548"/>
    <w:rsid w:val="00F47A79"/>
    <w:rsid w:val="00F5162D"/>
    <w:rsid w:val="00F5339D"/>
    <w:rsid w:val="00F6142D"/>
    <w:rsid w:val="00F614C2"/>
    <w:rsid w:val="00F63916"/>
    <w:rsid w:val="00F6480D"/>
    <w:rsid w:val="00F65119"/>
    <w:rsid w:val="00F66361"/>
    <w:rsid w:val="00F67EAC"/>
    <w:rsid w:val="00F751BD"/>
    <w:rsid w:val="00F76EE0"/>
    <w:rsid w:val="00F7722E"/>
    <w:rsid w:val="00F821A3"/>
    <w:rsid w:val="00F855F9"/>
    <w:rsid w:val="00F873D4"/>
    <w:rsid w:val="00F87878"/>
    <w:rsid w:val="00F90559"/>
    <w:rsid w:val="00F9105A"/>
    <w:rsid w:val="00F92BD9"/>
    <w:rsid w:val="00F9314A"/>
    <w:rsid w:val="00F940B2"/>
    <w:rsid w:val="00F94BB8"/>
    <w:rsid w:val="00F953E1"/>
    <w:rsid w:val="00F9799D"/>
    <w:rsid w:val="00FA29BD"/>
    <w:rsid w:val="00FA2C71"/>
    <w:rsid w:val="00FA569A"/>
    <w:rsid w:val="00FA605C"/>
    <w:rsid w:val="00FA62A6"/>
    <w:rsid w:val="00FA6CC9"/>
    <w:rsid w:val="00FA774A"/>
    <w:rsid w:val="00FB0298"/>
    <w:rsid w:val="00FB0E50"/>
    <w:rsid w:val="00FB3A96"/>
    <w:rsid w:val="00FB4424"/>
    <w:rsid w:val="00FB631E"/>
    <w:rsid w:val="00FC4577"/>
    <w:rsid w:val="00FC531E"/>
    <w:rsid w:val="00FC58EF"/>
    <w:rsid w:val="00FC5BD8"/>
    <w:rsid w:val="00FC7E22"/>
    <w:rsid w:val="00FD0A4F"/>
    <w:rsid w:val="00FD33DF"/>
    <w:rsid w:val="00FD6D83"/>
    <w:rsid w:val="00FE0861"/>
    <w:rsid w:val="00FE39D7"/>
    <w:rsid w:val="00FE3B37"/>
    <w:rsid w:val="00FF12A2"/>
    <w:rsid w:val="00FF19BF"/>
    <w:rsid w:val="00FF4D1B"/>
    <w:rsid w:val="00FF4F85"/>
    <w:rsid w:val="00FF77B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List Bulle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HTML Bottom of Form"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aliases w:val="Neg"/>
    <w:basedOn w:val="Normal"/>
    <w:next w:val="Normal"/>
    <w:link w:val="Ttulo2Car"/>
    <w:qFormat/>
    <w:rsid w:val="00545704"/>
    <w:pPr>
      <w:keepNext/>
      <w:widowControl w:val="0"/>
      <w:numPr>
        <w:numId w:val="3"/>
      </w:numPr>
      <w:adjustRightInd w:val="0"/>
      <w:spacing w:line="360" w:lineRule="auto"/>
      <w:jc w:val="both"/>
      <w:textAlignment w:val="baseline"/>
      <w:outlineLvl w:val="1"/>
    </w:pPr>
    <w:rPr>
      <w:b/>
      <w:bCs/>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nhideWhenUsed/>
    <w:qFormat/>
    <w:rsid w:val="006B4647"/>
    <w:pPr>
      <w:spacing w:before="240" w:after="60"/>
      <w:outlineLvl w:val="6"/>
    </w:pPr>
    <w:rPr>
      <w:rFonts w:ascii="Calibri" w:hAnsi="Calibri"/>
    </w:rPr>
  </w:style>
  <w:style w:type="paragraph" w:styleId="Ttulo8">
    <w:name w:val="heading 8"/>
    <w:basedOn w:val="Normal"/>
    <w:next w:val="Normal"/>
    <w:link w:val="Ttulo8Car"/>
    <w:qFormat/>
    <w:rsid w:val="00545704"/>
    <w:pPr>
      <w:keepNext/>
      <w:widowControl w:val="0"/>
      <w:adjustRightInd w:val="0"/>
      <w:spacing w:line="360" w:lineRule="atLeast"/>
      <w:ind w:left="0"/>
      <w:jc w:val="both"/>
      <w:textAlignment w:val="baseline"/>
      <w:outlineLvl w:val="7"/>
    </w:pPr>
    <w:rPr>
      <w:rFonts w:ascii="Arial" w:hAnsi="Arial" w:cs="Arial"/>
      <w:b/>
      <w:sz w:val="44"/>
    </w:rPr>
  </w:style>
  <w:style w:type="paragraph" w:styleId="Ttulo9">
    <w:name w:val="heading 9"/>
    <w:basedOn w:val="Normal"/>
    <w:next w:val="Normal"/>
    <w:link w:val="Ttulo9Car"/>
    <w:qFormat/>
    <w:rsid w:val="00545704"/>
    <w:pPr>
      <w:widowControl w:val="0"/>
      <w:adjustRightInd w:val="0"/>
      <w:spacing w:before="120" w:after="120" w:line="360" w:lineRule="atLeast"/>
      <w:ind w:left="0"/>
      <w:jc w:val="center"/>
      <w:textAlignment w:val="baseline"/>
      <w:outlineLvl w:val="8"/>
    </w:pPr>
    <w:rPr>
      <w:rFonts w:ascii="Arial" w:hAnsi="Arial"/>
      <w:b/>
      <w:i/>
      <w:sz w:val="2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rsid w:val="003101DA"/>
    <w:pPr>
      <w:jc w:val="center"/>
      <w:outlineLvl w:val="0"/>
    </w:pPr>
    <w:rPr>
      <w:rFonts w:ascii="Arial" w:hAnsi="Arial" w:cs="Arial"/>
      <w:b/>
      <w:bCs/>
      <w:spacing w:val="-3"/>
    </w:rPr>
  </w:style>
  <w:style w:type="paragraph" w:styleId="Textodeglobo">
    <w:name w:val="Balloon Text"/>
    <w:basedOn w:val="Normal"/>
    <w:link w:val="TextodegloboCar"/>
    <w:unhideWhenUsed/>
    <w:rsid w:val="00725FA4"/>
    <w:rPr>
      <w:rFonts w:ascii="Tahoma" w:hAnsi="Tahoma" w:cs="Tahoma"/>
      <w:sz w:val="16"/>
      <w:szCs w:val="16"/>
    </w:rPr>
  </w:style>
  <w:style w:type="character" w:customStyle="1" w:styleId="TextodegloboCar">
    <w:name w:val="Texto de globo Car"/>
    <w:link w:val="Textodeglobo"/>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2"/>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customStyle="1" w:styleId="Ttulo2Car">
    <w:name w:val="Título 2 Car"/>
    <w:aliases w:val="Neg Car"/>
    <w:link w:val="Ttulo2"/>
    <w:rsid w:val="00545704"/>
    <w:rPr>
      <w:b/>
      <w:bCs/>
      <w:sz w:val="24"/>
      <w:szCs w:val="24"/>
      <w:lang w:val="es-ES" w:eastAsia="es-ES"/>
    </w:rPr>
  </w:style>
  <w:style w:type="character" w:customStyle="1" w:styleId="Ttulo8Car">
    <w:name w:val="Título 8 Car"/>
    <w:link w:val="Ttulo8"/>
    <w:rsid w:val="00545704"/>
    <w:rPr>
      <w:rFonts w:ascii="Arial" w:hAnsi="Arial" w:cs="Arial"/>
      <w:b/>
      <w:sz w:val="44"/>
      <w:szCs w:val="24"/>
      <w:lang w:val="es-ES" w:eastAsia="es-ES"/>
    </w:rPr>
  </w:style>
  <w:style w:type="character" w:customStyle="1" w:styleId="Ttulo9Car">
    <w:name w:val="Título 9 Car"/>
    <w:link w:val="Ttulo9"/>
    <w:rsid w:val="00545704"/>
    <w:rPr>
      <w:rFonts w:ascii="Arial" w:hAnsi="Arial"/>
      <w:b/>
      <w:i/>
      <w:sz w:val="28"/>
      <w:lang w:val="es-ES_tradnl" w:eastAsia="es-ES"/>
    </w:rPr>
  </w:style>
  <w:style w:type="paragraph" w:customStyle="1" w:styleId="PliegoTitulo1">
    <w:name w:val="Pliego_Titulo1"/>
    <w:basedOn w:val="Pliego-Normal"/>
    <w:next w:val="Pliego-Normal"/>
    <w:rsid w:val="00545704"/>
    <w:pPr>
      <w:numPr>
        <w:numId w:val="4"/>
      </w:numPr>
      <w:jc w:val="center"/>
    </w:pPr>
    <w:rPr>
      <w:b/>
    </w:rPr>
  </w:style>
  <w:style w:type="paragraph" w:customStyle="1" w:styleId="Pliego-Normal">
    <w:name w:val="Pliego-Normal"/>
    <w:basedOn w:val="Normal"/>
    <w:rsid w:val="00545704"/>
    <w:pPr>
      <w:widowControl w:val="0"/>
      <w:adjustRightInd w:val="0"/>
      <w:spacing w:line="360" w:lineRule="atLeast"/>
      <w:ind w:left="0"/>
      <w:jc w:val="both"/>
      <w:textAlignment w:val="baseline"/>
    </w:pPr>
    <w:rPr>
      <w:rFonts w:ascii="Garamond" w:hAnsi="Garamond"/>
      <w:bCs/>
      <w:sz w:val="22"/>
      <w:szCs w:val="20"/>
      <w:lang w:val="es-ES_tradnl"/>
    </w:rPr>
  </w:style>
  <w:style w:type="paragraph" w:customStyle="1" w:styleId="PliegoTitulo2">
    <w:name w:val="Pliego_Titulo2"/>
    <w:basedOn w:val="Pliego-Normal"/>
    <w:next w:val="Pliego-Normal"/>
    <w:rsid w:val="00545704"/>
    <w:pPr>
      <w:numPr>
        <w:ilvl w:val="2"/>
        <w:numId w:val="4"/>
      </w:numPr>
      <w:tabs>
        <w:tab w:val="clear" w:pos="720"/>
        <w:tab w:val="num" w:pos="576"/>
      </w:tabs>
      <w:ind w:left="576" w:hanging="576"/>
    </w:pPr>
    <w:rPr>
      <w:b/>
    </w:rPr>
  </w:style>
  <w:style w:type="paragraph" w:customStyle="1" w:styleId="PliegoTitulo3">
    <w:name w:val="Pliego_Titulo3"/>
    <w:basedOn w:val="Pliego-Normal"/>
    <w:next w:val="Pliego-Normal"/>
    <w:autoRedefine/>
    <w:rsid w:val="00545704"/>
    <w:pPr>
      <w:numPr>
        <w:ilvl w:val="3"/>
        <w:numId w:val="4"/>
      </w:numPr>
      <w:tabs>
        <w:tab w:val="clear" w:pos="864"/>
        <w:tab w:val="num" w:pos="720"/>
      </w:tabs>
      <w:ind w:left="720" w:hanging="720"/>
    </w:pPr>
    <w:rPr>
      <w:b/>
      <w:i/>
    </w:rPr>
  </w:style>
  <w:style w:type="paragraph" w:customStyle="1" w:styleId="PliegoTitulo4">
    <w:name w:val="Pliego_Titulo4"/>
    <w:basedOn w:val="Pliego-Normal"/>
    <w:next w:val="Pliego-Normal"/>
    <w:rsid w:val="00545704"/>
    <w:pPr>
      <w:numPr>
        <w:ilvl w:val="4"/>
        <w:numId w:val="4"/>
      </w:numPr>
      <w:tabs>
        <w:tab w:val="clear" w:pos="1440"/>
        <w:tab w:val="num" w:pos="864"/>
      </w:tabs>
      <w:ind w:left="864" w:hanging="864"/>
    </w:pPr>
    <w:rPr>
      <w:i/>
    </w:rPr>
  </w:style>
  <w:style w:type="paragraph" w:customStyle="1" w:styleId="p0">
    <w:name w:val="p0"/>
    <w:basedOn w:val="Normal"/>
    <w:rsid w:val="00545704"/>
    <w:pPr>
      <w:widowControl w:val="0"/>
      <w:tabs>
        <w:tab w:val="left" w:pos="720"/>
      </w:tabs>
      <w:adjustRightInd w:val="0"/>
      <w:spacing w:line="240" w:lineRule="atLeast"/>
      <w:ind w:left="0"/>
      <w:jc w:val="both"/>
      <w:textAlignment w:val="baseline"/>
    </w:pPr>
    <w:rPr>
      <w:rFonts w:ascii="Arial" w:hAnsi="Arial"/>
      <w:snapToGrid w:val="0"/>
      <w:szCs w:val="20"/>
    </w:rPr>
  </w:style>
  <w:style w:type="character" w:styleId="Hipervnculo">
    <w:name w:val="Hyperlink"/>
    <w:uiPriority w:val="99"/>
    <w:rsid w:val="00545704"/>
    <w:rPr>
      <w:color w:val="0000FF"/>
      <w:u w:val="single"/>
    </w:rPr>
  </w:style>
  <w:style w:type="paragraph" w:styleId="TDC2">
    <w:name w:val="toc 2"/>
    <w:basedOn w:val="Normal"/>
    <w:next w:val="Normal"/>
    <w:autoRedefine/>
    <w:rsid w:val="00545704"/>
    <w:pPr>
      <w:widowControl w:val="0"/>
      <w:adjustRightInd w:val="0"/>
      <w:spacing w:before="240" w:line="360" w:lineRule="atLeast"/>
      <w:ind w:left="0"/>
      <w:textAlignment w:val="baseline"/>
    </w:pPr>
    <w:rPr>
      <w:b/>
      <w:bCs/>
    </w:rPr>
  </w:style>
  <w:style w:type="character" w:styleId="Refdenotaalpie">
    <w:name w:val="footnote reference"/>
    <w:semiHidden/>
    <w:rsid w:val="00545704"/>
    <w:rPr>
      <w:vertAlign w:val="superscript"/>
    </w:rPr>
  </w:style>
  <w:style w:type="paragraph" w:customStyle="1" w:styleId="Textoindependiente31">
    <w:name w:val="Texto independiente 31"/>
    <w:basedOn w:val="Normal"/>
    <w:rsid w:val="00545704"/>
    <w:pPr>
      <w:widowControl w:val="0"/>
      <w:adjustRightInd w:val="0"/>
      <w:spacing w:before="120" w:after="120" w:line="360" w:lineRule="atLeast"/>
      <w:ind w:left="0"/>
      <w:jc w:val="both"/>
      <w:textAlignment w:val="baseline"/>
    </w:pPr>
    <w:rPr>
      <w:rFonts w:ascii="Arial" w:hAnsi="Arial"/>
      <w:sz w:val="22"/>
      <w:szCs w:val="20"/>
    </w:rPr>
  </w:style>
  <w:style w:type="paragraph" w:styleId="NormalWeb">
    <w:name w:val="Normal (Web)"/>
    <w:basedOn w:val="Normal"/>
    <w:uiPriority w:val="99"/>
    <w:rsid w:val="00545704"/>
    <w:pPr>
      <w:widowControl w:val="0"/>
      <w:adjustRightInd w:val="0"/>
      <w:spacing w:before="100" w:beforeAutospacing="1" w:after="100" w:afterAutospacing="1" w:line="360" w:lineRule="atLeast"/>
      <w:ind w:left="0"/>
      <w:jc w:val="both"/>
      <w:textAlignment w:val="baseline"/>
    </w:pPr>
  </w:style>
  <w:style w:type="paragraph" w:customStyle="1" w:styleId="xl30">
    <w:name w:val="xl30"/>
    <w:basedOn w:val="Normal"/>
    <w:rsid w:val="00545704"/>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ind w:left="0"/>
      <w:jc w:val="both"/>
      <w:textAlignment w:val="center"/>
    </w:pPr>
    <w:rPr>
      <w:rFonts w:ascii="Arial" w:eastAsia="Arial Unicode MS" w:hAnsi="Arial" w:cs="Arial"/>
      <w:sz w:val="22"/>
      <w:szCs w:val="22"/>
    </w:rPr>
  </w:style>
  <w:style w:type="paragraph" w:customStyle="1" w:styleId="xl29">
    <w:name w:val="xl29"/>
    <w:basedOn w:val="Normal"/>
    <w:rsid w:val="00545704"/>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ind w:left="0"/>
      <w:jc w:val="center"/>
      <w:textAlignment w:val="center"/>
    </w:pPr>
    <w:rPr>
      <w:rFonts w:ascii="Arial" w:eastAsia="Arial Unicode MS" w:hAnsi="Arial" w:cs="Arial"/>
      <w:sz w:val="22"/>
      <w:szCs w:val="22"/>
    </w:rPr>
  </w:style>
  <w:style w:type="paragraph" w:styleId="ndice1">
    <w:name w:val="index 1"/>
    <w:basedOn w:val="Normal"/>
    <w:next w:val="Normal"/>
    <w:autoRedefine/>
    <w:semiHidden/>
    <w:rsid w:val="00545704"/>
    <w:pPr>
      <w:widowControl w:val="0"/>
      <w:adjustRightInd w:val="0"/>
      <w:spacing w:line="360" w:lineRule="atLeast"/>
      <w:ind w:left="0"/>
      <w:jc w:val="both"/>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545704"/>
    <w:pPr>
      <w:widowControl w:val="0"/>
      <w:pBdr>
        <w:top w:val="single" w:sz="6" w:space="1" w:color="auto"/>
      </w:pBdr>
      <w:adjustRightInd w:val="0"/>
      <w:spacing w:line="360" w:lineRule="atLeast"/>
      <w:ind w:left="0"/>
      <w:jc w:val="center"/>
      <w:textAlignment w:val="baseline"/>
    </w:pPr>
    <w:rPr>
      <w:rFonts w:ascii="Arial" w:hAnsi="Arial" w:cs="Arial"/>
      <w:vanish/>
      <w:color w:val="000000"/>
      <w:sz w:val="16"/>
      <w:szCs w:val="16"/>
    </w:rPr>
  </w:style>
  <w:style w:type="character" w:customStyle="1" w:styleId="z-FinaldelformularioCar">
    <w:name w:val="z-Final del formulario Car"/>
    <w:link w:val="z-Finaldelformulario"/>
    <w:rsid w:val="00545704"/>
    <w:rPr>
      <w:rFonts w:ascii="Arial" w:hAnsi="Arial" w:cs="Arial"/>
      <w:vanish/>
      <w:color w:val="000000"/>
      <w:sz w:val="16"/>
      <w:szCs w:val="16"/>
      <w:lang w:val="es-ES" w:eastAsia="es-ES"/>
    </w:rPr>
  </w:style>
  <w:style w:type="paragraph" w:customStyle="1" w:styleId="tabelltekst">
    <w:name w:val="tabelltekst"/>
    <w:basedOn w:val="Normal"/>
    <w:rsid w:val="00545704"/>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ind w:left="0"/>
      <w:jc w:val="both"/>
      <w:textAlignment w:val="baseline"/>
    </w:pPr>
    <w:rPr>
      <w:sz w:val="22"/>
      <w:szCs w:val="20"/>
      <w:lang w:val="nb-NO" w:eastAsia="en-US"/>
    </w:rPr>
  </w:style>
  <w:style w:type="paragraph" w:styleId="Textonotapie">
    <w:name w:val="footnote text"/>
    <w:basedOn w:val="Normal"/>
    <w:link w:val="TextonotapieCar"/>
    <w:semiHidden/>
    <w:rsid w:val="00545704"/>
    <w:pPr>
      <w:widowControl w:val="0"/>
      <w:adjustRightInd w:val="0"/>
      <w:spacing w:line="360" w:lineRule="atLeast"/>
      <w:ind w:left="0"/>
      <w:jc w:val="both"/>
      <w:textAlignment w:val="baseline"/>
    </w:pPr>
    <w:rPr>
      <w:sz w:val="20"/>
      <w:szCs w:val="20"/>
    </w:rPr>
  </w:style>
  <w:style w:type="character" w:customStyle="1" w:styleId="TextonotapieCar">
    <w:name w:val="Texto nota pie Car"/>
    <w:link w:val="Textonotapie"/>
    <w:semiHidden/>
    <w:rsid w:val="00545704"/>
    <w:rPr>
      <w:lang w:val="es-ES" w:eastAsia="es-ES"/>
    </w:rPr>
  </w:style>
  <w:style w:type="paragraph" w:styleId="TDC3">
    <w:name w:val="toc 3"/>
    <w:basedOn w:val="Normal"/>
    <w:next w:val="Normal"/>
    <w:autoRedefine/>
    <w:rsid w:val="00545704"/>
    <w:pPr>
      <w:widowControl w:val="0"/>
      <w:adjustRightInd w:val="0"/>
      <w:spacing w:line="360" w:lineRule="atLeast"/>
      <w:ind w:left="240"/>
      <w:textAlignment w:val="baseline"/>
    </w:pPr>
  </w:style>
  <w:style w:type="paragraph" w:customStyle="1" w:styleId="NormalTesis">
    <w:name w:val="Normal Tesis"/>
    <w:basedOn w:val="Textoindependiente"/>
    <w:rsid w:val="00545704"/>
    <w:pPr>
      <w:widowControl w:val="0"/>
      <w:adjustRightInd w:val="0"/>
      <w:spacing w:line="360" w:lineRule="auto"/>
      <w:ind w:left="0"/>
      <w:jc w:val="both"/>
      <w:textAlignment w:val="baseline"/>
    </w:pPr>
    <w:rPr>
      <w:b w:val="0"/>
      <w:bCs w:val="0"/>
      <w:sz w:val="22"/>
    </w:rPr>
  </w:style>
  <w:style w:type="character" w:styleId="Refdecomentario">
    <w:name w:val="annotation reference"/>
    <w:semiHidden/>
    <w:rsid w:val="00545704"/>
    <w:rPr>
      <w:sz w:val="16"/>
      <w:szCs w:val="16"/>
    </w:rPr>
  </w:style>
  <w:style w:type="paragraph" w:styleId="Textocomentario">
    <w:name w:val="annotation text"/>
    <w:basedOn w:val="Normal"/>
    <w:link w:val="TextocomentarioCar"/>
    <w:semiHidden/>
    <w:rsid w:val="00545704"/>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semiHidden/>
    <w:rsid w:val="00545704"/>
    <w:rPr>
      <w:lang w:val="es-ES" w:eastAsia="es-ES"/>
    </w:rPr>
  </w:style>
  <w:style w:type="paragraph" w:styleId="TDC4">
    <w:name w:val="toc 4"/>
    <w:basedOn w:val="Normal"/>
    <w:next w:val="Normal"/>
    <w:autoRedefine/>
    <w:semiHidden/>
    <w:rsid w:val="00545704"/>
    <w:pPr>
      <w:widowControl w:val="0"/>
      <w:adjustRightInd w:val="0"/>
      <w:spacing w:line="360" w:lineRule="atLeast"/>
      <w:ind w:left="480"/>
      <w:textAlignment w:val="baseline"/>
    </w:pPr>
  </w:style>
  <w:style w:type="paragraph" w:styleId="TDC5">
    <w:name w:val="toc 5"/>
    <w:basedOn w:val="Normal"/>
    <w:next w:val="Normal"/>
    <w:autoRedefine/>
    <w:semiHidden/>
    <w:rsid w:val="00545704"/>
    <w:pPr>
      <w:widowControl w:val="0"/>
      <w:adjustRightInd w:val="0"/>
      <w:spacing w:line="360" w:lineRule="atLeast"/>
      <w:ind w:left="720"/>
      <w:textAlignment w:val="baseline"/>
    </w:pPr>
  </w:style>
  <w:style w:type="paragraph" w:styleId="TDC6">
    <w:name w:val="toc 6"/>
    <w:basedOn w:val="Normal"/>
    <w:next w:val="Normal"/>
    <w:autoRedefine/>
    <w:semiHidden/>
    <w:rsid w:val="00545704"/>
    <w:pPr>
      <w:widowControl w:val="0"/>
      <w:adjustRightInd w:val="0"/>
      <w:spacing w:line="360" w:lineRule="atLeast"/>
      <w:ind w:left="960"/>
      <w:textAlignment w:val="baseline"/>
    </w:pPr>
  </w:style>
  <w:style w:type="paragraph" w:styleId="TDC7">
    <w:name w:val="toc 7"/>
    <w:basedOn w:val="Normal"/>
    <w:next w:val="Normal"/>
    <w:autoRedefine/>
    <w:semiHidden/>
    <w:rsid w:val="00545704"/>
    <w:pPr>
      <w:widowControl w:val="0"/>
      <w:adjustRightInd w:val="0"/>
      <w:spacing w:line="360" w:lineRule="atLeast"/>
      <w:ind w:left="1200"/>
      <w:textAlignment w:val="baseline"/>
    </w:pPr>
  </w:style>
  <w:style w:type="paragraph" w:styleId="TDC8">
    <w:name w:val="toc 8"/>
    <w:basedOn w:val="Normal"/>
    <w:next w:val="Normal"/>
    <w:autoRedefine/>
    <w:semiHidden/>
    <w:rsid w:val="00545704"/>
    <w:pPr>
      <w:widowControl w:val="0"/>
      <w:adjustRightInd w:val="0"/>
      <w:spacing w:line="360" w:lineRule="atLeast"/>
      <w:ind w:left="1440"/>
      <w:textAlignment w:val="baseline"/>
    </w:pPr>
  </w:style>
  <w:style w:type="paragraph" w:styleId="TDC9">
    <w:name w:val="toc 9"/>
    <w:basedOn w:val="Normal"/>
    <w:next w:val="Normal"/>
    <w:autoRedefine/>
    <w:semiHidden/>
    <w:rsid w:val="00545704"/>
    <w:pPr>
      <w:widowControl w:val="0"/>
      <w:adjustRightInd w:val="0"/>
      <w:spacing w:line="360" w:lineRule="atLeast"/>
      <w:ind w:left="1680"/>
      <w:textAlignment w:val="baseline"/>
    </w:pPr>
  </w:style>
  <w:style w:type="character" w:styleId="Hipervnculovisitado">
    <w:name w:val="FollowedHyperlink"/>
    <w:rsid w:val="00545704"/>
    <w:rPr>
      <w:color w:val="800080"/>
      <w:u w:val="single"/>
    </w:rPr>
  </w:style>
  <w:style w:type="paragraph" w:styleId="Textosinformato">
    <w:name w:val="Plain Text"/>
    <w:basedOn w:val="Normal"/>
    <w:link w:val="TextosinformatoCar"/>
    <w:rsid w:val="00545704"/>
    <w:pPr>
      <w:widowControl w:val="0"/>
      <w:adjustRightInd w:val="0"/>
      <w:spacing w:line="360" w:lineRule="atLeast"/>
      <w:ind w:left="0"/>
      <w:jc w:val="both"/>
      <w:textAlignment w:val="baseline"/>
    </w:pPr>
    <w:rPr>
      <w:rFonts w:ascii="Courier New" w:hAnsi="Courier New" w:cs="Courier New"/>
      <w:sz w:val="20"/>
      <w:szCs w:val="20"/>
    </w:rPr>
  </w:style>
  <w:style w:type="character" w:customStyle="1" w:styleId="TextosinformatoCar">
    <w:name w:val="Texto sin formato Car"/>
    <w:link w:val="Textosinformato"/>
    <w:rsid w:val="00545704"/>
    <w:rPr>
      <w:rFonts w:ascii="Courier New" w:hAnsi="Courier New" w:cs="Courier New"/>
      <w:lang w:val="es-ES" w:eastAsia="es-ES"/>
    </w:rPr>
  </w:style>
  <w:style w:type="paragraph" w:styleId="Sangra3detindependiente">
    <w:name w:val="Body Text Indent 3"/>
    <w:basedOn w:val="Normal"/>
    <w:link w:val="Sangra3detindependienteCar"/>
    <w:rsid w:val="00545704"/>
    <w:pPr>
      <w:ind w:left="708" w:hanging="708"/>
      <w:jc w:val="both"/>
    </w:pPr>
    <w:rPr>
      <w:rFonts w:ascii="Arial" w:hAnsi="Arial"/>
      <w:sz w:val="22"/>
      <w:szCs w:val="20"/>
      <w:lang w:val="es-ES_tradnl"/>
    </w:rPr>
  </w:style>
  <w:style w:type="character" w:customStyle="1" w:styleId="Sangra3detindependienteCar">
    <w:name w:val="Sangría 3 de t. independiente Car"/>
    <w:link w:val="Sangra3detindependiente"/>
    <w:rsid w:val="00545704"/>
    <w:rPr>
      <w:rFonts w:ascii="Arial" w:hAnsi="Arial"/>
      <w:sz w:val="22"/>
      <w:lang w:val="es-ES_tradnl" w:eastAsia="es-ES"/>
    </w:rPr>
  </w:style>
  <w:style w:type="paragraph" w:customStyle="1" w:styleId="Citas">
    <w:name w:val="Citas"/>
    <w:basedOn w:val="Normal"/>
    <w:rsid w:val="00545704"/>
    <w:pPr>
      <w:ind w:left="708" w:right="618"/>
      <w:jc w:val="both"/>
    </w:pPr>
    <w:rPr>
      <w:rFonts w:ascii="Bookman Old Style" w:hAnsi="Bookman Old Style" w:cs="Arial"/>
      <w:i/>
      <w:iCs/>
      <w:szCs w:val="20"/>
    </w:rPr>
  </w:style>
  <w:style w:type="paragraph" w:customStyle="1" w:styleId="CUERPOTEXTO">
    <w:name w:val="CUERPO TEXTO"/>
    <w:rsid w:val="00545704"/>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rsid w:val="00545704"/>
  </w:style>
  <w:style w:type="paragraph" w:styleId="Asuntodelcomentario">
    <w:name w:val="annotation subject"/>
    <w:basedOn w:val="Textocomentario"/>
    <w:next w:val="Textocomentario"/>
    <w:link w:val="AsuntodelcomentarioCar"/>
    <w:semiHidden/>
    <w:rsid w:val="00545704"/>
    <w:rPr>
      <w:b/>
      <w:bCs/>
    </w:rPr>
  </w:style>
  <w:style w:type="character" w:customStyle="1" w:styleId="AsuntodelcomentarioCar">
    <w:name w:val="Asunto del comentario Car"/>
    <w:link w:val="Asuntodelcomentario"/>
    <w:semiHidden/>
    <w:rsid w:val="00545704"/>
    <w:rPr>
      <w:b/>
      <w:bCs/>
      <w:lang w:val="es-ES" w:eastAsia="es-ES"/>
    </w:rPr>
  </w:style>
  <w:style w:type="paragraph" w:styleId="Listaconvietas4">
    <w:name w:val="List Bullet 4"/>
    <w:basedOn w:val="Normal"/>
    <w:autoRedefine/>
    <w:rsid w:val="00545704"/>
    <w:pPr>
      <w:numPr>
        <w:numId w:val="5"/>
      </w:numPr>
    </w:pPr>
    <w:rPr>
      <w:rFonts w:ascii="CG Times" w:hAnsi="CG Times"/>
      <w:szCs w:val="20"/>
      <w:lang w:val="es-CO"/>
    </w:rPr>
  </w:style>
  <w:style w:type="character" w:customStyle="1" w:styleId="PiedepginaCar">
    <w:name w:val="Pie de página Car"/>
    <w:link w:val="Piedepgina"/>
    <w:rsid w:val="00545704"/>
    <w:rPr>
      <w:sz w:val="24"/>
      <w:szCs w:val="24"/>
      <w:lang w:val="es-ES" w:eastAsia="es-ES"/>
    </w:rPr>
  </w:style>
  <w:style w:type="paragraph" w:customStyle="1" w:styleId="xl27">
    <w:name w:val="xl27"/>
    <w:basedOn w:val="Normal"/>
    <w:rsid w:val="00545704"/>
    <w:pPr>
      <w:spacing w:before="100" w:beforeAutospacing="1" w:after="100" w:afterAutospacing="1"/>
      <w:ind w:left="0"/>
      <w:jc w:val="both"/>
    </w:pPr>
    <w:rPr>
      <w:rFonts w:ascii="Bookman Old Style" w:eastAsia="Arial Unicode MS" w:hAnsi="Bookman Old Style" w:cs="Arial"/>
    </w:rPr>
  </w:style>
  <w:style w:type="paragraph" w:customStyle="1" w:styleId="Textoindependiente21">
    <w:name w:val="Texto independiente 21"/>
    <w:basedOn w:val="Normal"/>
    <w:rsid w:val="00545704"/>
    <w:pPr>
      <w:suppressAutoHyphens/>
      <w:overflowPunct w:val="0"/>
      <w:autoSpaceDE w:val="0"/>
      <w:ind w:left="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545704"/>
    <w:pPr>
      <w:widowControl w:val="0"/>
      <w:ind w:left="0"/>
      <w:jc w:val="both"/>
    </w:pPr>
    <w:rPr>
      <w:rFonts w:ascii="Courier New" w:hAnsi="Courier New"/>
      <w:sz w:val="20"/>
      <w:szCs w:val="20"/>
      <w:lang w:val="es-ES_tradnl"/>
    </w:rPr>
  </w:style>
  <w:style w:type="paragraph" w:styleId="Lista">
    <w:name w:val="List"/>
    <w:basedOn w:val="Textoindependiente"/>
    <w:rsid w:val="00545704"/>
    <w:pPr>
      <w:suppressAutoHyphens/>
      <w:spacing w:after="120"/>
      <w:ind w:left="0"/>
      <w:jc w:val="both"/>
    </w:pPr>
    <w:rPr>
      <w:rFonts w:cs="Tahoma"/>
      <w:b w:val="0"/>
      <w:bCs w:val="0"/>
      <w:sz w:val="22"/>
      <w:lang w:eastAsia="ar-SA"/>
    </w:rPr>
  </w:style>
  <w:style w:type="paragraph" w:customStyle="1" w:styleId="Textoindependiente310">
    <w:name w:val="Texto independiente 31"/>
    <w:basedOn w:val="Normal"/>
    <w:rsid w:val="00545704"/>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Predeterminado">
    <w:name w:val="Predeterminado"/>
    <w:rsid w:val="00545704"/>
    <w:pPr>
      <w:widowControl w:val="0"/>
      <w:autoSpaceDE w:val="0"/>
      <w:autoSpaceDN w:val="0"/>
      <w:adjustRightInd w:val="0"/>
    </w:pPr>
    <w:rPr>
      <w:sz w:val="24"/>
      <w:szCs w:val="24"/>
      <w:lang w:val="es-ES" w:eastAsia="es-ES"/>
    </w:rPr>
  </w:style>
  <w:style w:type="paragraph" w:customStyle="1" w:styleId="Basico">
    <w:name w:val="Basico"/>
    <w:basedOn w:val="Normal"/>
    <w:rsid w:val="00545704"/>
    <w:pPr>
      <w:spacing w:before="240" w:line="360" w:lineRule="atLeast"/>
      <w:ind w:left="0"/>
      <w:jc w:val="both"/>
    </w:pPr>
    <w:rPr>
      <w:rFonts w:ascii="Palatino" w:hAnsi="Palatino"/>
      <w:lang w:val="es-ES_tradnl"/>
    </w:rPr>
  </w:style>
  <w:style w:type="character" w:customStyle="1" w:styleId="Ttulo1Car">
    <w:name w:val="Título 1 Car"/>
    <w:link w:val="Ttulo1"/>
    <w:rsid w:val="00545704"/>
    <w:rPr>
      <w:rFonts w:ascii="CG Times" w:hAnsi="CG Times"/>
      <w:b/>
      <w:sz w:val="24"/>
      <w:lang w:eastAsia="es-ES"/>
    </w:rPr>
  </w:style>
  <w:style w:type="paragraph" w:customStyle="1" w:styleId="VietaLetra0">
    <w:name w:val="ViñetaLetra"/>
    <w:basedOn w:val="Vietaletra"/>
    <w:rsid w:val="00545704"/>
    <w:pPr>
      <w:numPr>
        <w:numId w:val="1"/>
      </w:numPr>
    </w:pPr>
  </w:style>
  <w:style w:type="paragraph" w:customStyle="1" w:styleId="CENTRAR">
    <w:name w:val="CENTRAR"/>
    <w:basedOn w:val="CUERPOTEXTO"/>
    <w:rsid w:val="00545704"/>
    <w:pPr>
      <w:widowControl/>
      <w:ind w:firstLine="0"/>
      <w:jc w:val="center"/>
    </w:pPr>
    <w:rPr>
      <w:rFonts w:ascii="Times" w:hAnsi="Times"/>
    </w:rPr>
  </w:style>
  <w:style w:type="paragraph" w:styleId="Revisin">
    <w:name w:val="Revision"/>
    <w:hidden/>
    <w:semiHidden/>
    <w:rsid w:val="00545704"/>
    <w:rPr>
      <w:sz w:val="24"/>
      <w:szCs w:val="24"/>
      <w:lang w:val="es-ES" w:eastAsia="es-ES"/>
    </w:rPr>
  </w:style>
  <w:style w:type="character" w:styleId="Textodelmarcadordeposicin">
    <w:name w:val="Placeholder Text"/>
    <w:basedOn w:val="Fuentedeprrafopredeter"/>
    <w:uiPriority w:val="99"/>
    <w:semiHidden/>
    <w:rsid w:val="00C21639"/>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List Bulle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HTML Bottom of Form"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aliases w:val="Neg"/>
    <w:basedOn w:val="Normal"/>
    <w:next w:val="Normal"/>
    <w:link w:val="Ttulo2Car"/>
    <w:qFormat/>
    <w:rsid w:val="00545704"/>
    <w:pPr>
      <w:keepNext/>
      <w:widowControl w:val="0"/>
      <w:numPr>
        <w:numId w:val="3"/>
      </w:numPr>
      <w:adjustRightInd w:val="0"/>
      <w:spacing w:line="360" w:lineRule="auto"/>
      <w:jc w:val="both"/>
      <w:textAlignment w:val="baseline"/>
      <w:outlineLvl w:val="1"/>
    </w:pPr>
    <w:rPr>
      <w:b/>
      <w:bCs/>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nhideWhenUsed/>
    <w:qFormat/>
    <w:rsid w:val="006B4647"/>
    <w:pPr>
      <w:spacing w:before="240" w:after="60"/>
      <w:outlineLvl w:val="6"/>
    </w:pPr>
    <w:rPr>
      <w:rFonts w:ascii="Calibri" w:hAnsi="Calibri"/>
    </w:rPr>
  </w:style>
  <w:style w:type="paragraph" w:styleId="Ttulo8">
    <w:name w:val="heading 8"/>
    <w:basedOn w:val="Normal"/>
    <w:next w:val="Normal"/>
    <w:link w:val="Ttulo8Car"/>
    <w:qFormat/>
    <w:rsid w:val="00545704"/>
    <w:pPr>
      <w:keepNext/>
      <w:widowControl w:val="0"/>
      <w:adjustRightInd w:val="0"/>
      <w:spacing w:line="360" w:lineRule="atLeast"/>
      <w:ind w:left="0"/>
      <w:jc w:val="both"/>
      <w:textAlignment w:val="baseline"/>
      <w:outlineLvl w:val="7"/>
    </w:pPr>
    <w:rPr>
      <w:rFonts w:ascii="Arial" w:hAnsi="Arial" w:cs="Arial"/>
      <w:b/>
      <w:sz w:val="44"/>
    </w:rPr>
  </w:style>
  <w:style w:type="paragraph" w:styleId="Ttulo9">
    <w:name w:val="heading 9"/>
    <w:basedOn w:val="Normal"/>
    <w:next w:val="Normal"/>
    <w:link w:val="Ttulo9Car"/>
    <w:qFormat/>
    <w:rsid w:val="00545704"/>
    <w:pPr>
      <w:widowControl w:val="0"/>
      <w:adjustRightInd w:val="0"/>
      <w:spacing w:before="120" w:after="120" w:line="360" w:lineRule="atLeast"/>
      <w:ind w:left="0"/>
      <w:jc w:val="center"/>
      <w:textAlignment w:val="baseline"/>
      <w:outlineLvl w:val="8"/>
    </w:pPr>
    <w:rPr>
      <w:rFonts w:ascii="Arial" w:hAnsi="Arial"/>
      <w:b/>
      <w:i/>
      <w:sz w:val="2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rsid w:val="003101DA"/>
    <w:pPr>
      <w:jc w:val="center"/>
      <w:outlineLvl w:val="0"/>
    </w:pPr>
    <w:rPr>
      <w:rFonts w:ascii="Arial" w:hAnsi="Arial" w:cs="Arial"/>
      <w:b/>
      <w:bCs/>
      <w:spacing w:val="-3"/>
    </w:rPr>
  </w:style>
  <w:style w:type="paragraph" w:styleId="Textodeglobo">
    <w:name w:val="Balloon Text"/>
    <w:basedOn w:val="Normal"/>
    <w:link w:val="TextodegloboCar"/>
    <w:unhideWhenUsed/>
    <w:rsid w:val="00725FA4"/>
    <w:rPr>
      <w:rFonts w:ascii="Tahoma" w:hAnsi="Tahoma" w:cs="Tahoma"/>
      <w:sz w:val="16"/>
      <w:szCs w:val="16"/>
    </w:rPr>
  </w:style>
  <w:style w:type="character" w:customStyle="1" w:styleId="TextodegloboCar">
    <w:name w:val="Texto de globo Car"/>
    <w:link w:val="Textodeglobo"/>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2"/>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customStyle="1" w:styleId="Ttulo2Car">
    <w:name w:val="Título 2 Car"/>
    <w:aliases w:val="Neg Car"/>
    <w:link w:val="Ttulo2"/>
    <w:rsid w:val="00545704"/>
    <w:rPr>
      <w:b/>
      <w:bCs/>
      <w:sz w:val="24"/>
      <w:szCs w:val="24"/>
      <w:lang w:val="es-ES" w:eastAsia="es-ES"/>
    </w:rPr>
  </w:style>
  <w:style w:type="character" w:customStyle="1" w:styleId="Ttulo8Car">
    <w:name w:val="Título 8 Car"/>
    <w:link w:val="Ttulo8"/>
    <w:rsid w:val="00545704"/>
    <w:rPr>
      <w:rFonts w:ascii="Arial" w:hAnsi="Arial" w:cs="Arial"/>
      <w:b/>
      <w:sz w:val="44"/>
      <w:szCs w:val="24"/>
      <w:lang w:val="es-ES" w:eastAsia="es-ES"/>
    </w:rPr>
  </w:style>
  <w:style w:type="character" w:customStyle="1" w:styleId="Ttulo9Car">
    <w:name w:val="Título 9 Car"/>
    <w:link w:val="Ttulo9"/>
    <w:rsid w:val="00545704"/>
    <w:rPr>
      <w:rFonts w:ascii="Arial" w:hAnsi="Arial"/>
      <w:b/>
      <w:i/>
      <w:sz w:val="28"/>
      <w:lang w:val="es-ES_tradnl" w:eastAsia="es-ES"/>
    </w:rPr>
  </w:style>
  <w:style w:type="paragraph" w:customStyle="1" w:styleId="PliegoTitulo1">
    <w:name w:val="Pliego_Titulo1"/>
    <w:basedOn w:val="Pliego-Normal"/>
    <w:next w:val="Pliego-Normal"/>
    <w:rsid w:val="00545704"/>
    <w:pPr>
      <w:numPr>
        <w:numId w:val="4"/>
      </w:numPr>
      <w:jc w:val="center"/>
    </w:pPr>
    <w:rPr>
      <w:b/>
    </w:rPr>
  </w:style>
  <w:style w:type="paragraph" w:customStyle="1" w:styleId="Pliego-Normal">
    <w:name w:val="Pliego-Normal"/>
    <w:basedOn w:val="Normal"/>
    <w:rsid w:val="00545704"/>
    <w:pPr>
      <w:widowControl w:val="0"/>
      <w:adjustRightInd w:val="0"/>
      <w:spacing w:line="360" w:lineRule="atLeast"/>
      <w:ind w:left="0"/>
      <w:jc w:val="both"/>
      <w:textAlignment w:val="baseline"/>
    </w:pPr>
    <w:rPr>
      <w:rFonts w:ascii="Garamond" w:hAnsi="Garamond"/>
      <w:bCs/>
      <w:sz w:val="22"/>
      <w:szCs w:val="20"/>
      <w:lang w:val="es-ES_tradnl"/>
    </w:rPr>
  </w:style>
  <w:style w:type="paragraph" w:customStyle="1" w:styleId="PliegoTitulo2">
    <w:name w:val="Pliego_Titulo2"/>
    <w:basedOn w:val="Pliego-Normal"/>
    <w:next w:val="Pliego-Normal"/>
    <w:rsid w:val="00545704"/>
    <w:pPr>
      <w:numPr>
        <w:ilvl w:val="2"/>
        <w:numId w:val="4"/>
      </w:numPr>
      <w:tabs>
        <w:tab w:val="clear" w:pos="720"/>
        <w:tab w:val="num" w:pos="576"/>
      </w:tabs>
      <w:ind w:left="576" w:hanging="576"/>
    </w:pPr>
    <w:rPr>
      <w:b/>
    </w:rPr>
  </w:style>
  <w:style w:type="paragraph" w:customStyle="1" w:styleId="PliegoTitulo3">
    <w:name w:val="Pliego_Titulo3"/>
    <w:basedOn w:val="Pliego-Normal"/>
    <w:next w:val="Pliego-Normal"/>
    <w:autoRedefine/>
    <w:rsid w:val="00545704"/>
    <w:pPr>
      <w:numPr>
        <w:ilvl w:val="3"/>
        <w:numId w:val="4"/>
      </w:numPr>
      <w:tabs>
        <w:tab w:val="clear" w:pos="864"/>
        <w:tab w:val="num" w:pos="720"/>
      </w:tabs>
      <w:ind w:left="720" w:hanging="720"/>
    </w:pPr>
    <w:rPr>
      <w:b/>
      <w:i/>
    </w:rPr>
  </w:style>
  <w:style w:type="paragraph" w:customStyle="1" w:styleId="PliegoTitulo4">
    <w:name w:val="Pliego_Titulo4"/>
    <w:basedOn w:val="Pliego-Normal"/>
    <w:next w:val="Pliego-Normal"/>
    <w:rsid w:val="00545704"/>
    <w:pPr>
      <w:numPr>
        <w:ilvl w:val="4"/>
        <w:numId w:val="4"/>
      </w:numPr>
      <w:tabs>
        <w:tab w:val="clear" w:pos="1440"/>
        <w:tab w:val="num" w:pos="864"/>
      </w:tabs>
      <w:ind w:left="864" w:hanging="864"/>
    </w:pPr>
    <w:rPr>
      <w:i/>
    </w:rPr>
  </w:style>
  <w:style w:type="paragraph" w:customStyle="1" w:styleId="p0">
    <w:name w:val="p0"/>
    <w:basedOn w:val="Normal"/>
    <w:rsid w:val="00545704"/>
    <w:pPr>
      <w:widowControl w:val="0"/>
      <w:tabs>
        <w:tab w:val="left" w:pos="720"/>
      </w:tabs>
      <w:adjustRightInd w:val="0"/>
      <w:spacing w:line="240" w:lineRule="atLeast"/>
      <w:ind w:left="0"/>
      <w:jc w:val="both"/>
      <w:textAlignment w:val="baseline"/>
    </w:pPr>
    <w:rPr>
      <w:rFonts w:ascii="Arial" w:hAnsi="Arial"/>
      <w:snapToGrid w:val="0"/>
      <w:szCs w:val="20"/>
    </w:rPr>
  </w:style>
  <w:style w:type="character" w:styleId="Hipervnculo">
    <w:name w:val="Hyperlink"/>
    <w:uiPriority w:val="99"/>
    <w:rsid w:val="00545704"/>
    <w:rPr>
      <w:color w:val="0000FF"/>
      <w:u w:val="single"/>
    </w:rPr>
  </w:style>
  <w:style w:type="paragraph" w:styleId="TDC2">
    <w:name w:val="toc 2"/>
    <w:basedOn w:val="Normal"/>
    <w:next w:val="Normal"/>
    <w:autoRedefine/>
    <w:rsid w:val="00545704"/>
    <w:pPr>
      <w:widowControl w:val="0"/>
      <w:adjustRightInd w:val="0"/>
      <w:spacing w:before="240" w:line="360" w:lineRule="atLeast"/>
      <w:ind w:left="0"/>
      <w:textAlignment w:val="baseline"/>
    </w:pPr>
    <w:rPr>
      <w:b/>
      <w:bCs/>
    </w:rPr>
  </w:style>
  <w:style w:type="character" w:styleId="Refdenotaalpie">
    <w:name w:val="footnote reference"/>
    <w:semiHidden/>
    <w:rsid w:val="00545704"/>
    <w:rPr>
      <w:vertAlign w:val="superscript"/>
    </w:rPr>
  </w:style>
  <w:style w:type="paragraph" w:customStyle="1" w:styleId="Textoindependiente31">
    <w:name w:val="Texto independiente 31"/>
    <w:basedOn w:val="Normal"/>
    <w:rsid w:val="00545704"/>
    <w:pPr>
      <w:widowControl w:val="0"/>
      <w:adjustRightInd w:val="0"/>
      <w:spacing w:before="120" w:after="120" w:line="360" w:lineRule="atLeast"/>
      <w:ind w:left="0"/>
      <w:jc w:val="both"/>
      <w:textAlignment w:val="baseline"/>
    </w:pPr>
    <w:rPr>
      <w:rFonts w:ascii="Arial" w:hAnsi="Arial"/>
      <w:sz w:val="22"/>
      <w:szCs w:val="20"/>
    </w:rPr>
  </w:style>
  <w:style w:type="paragraph" w:styleId="NormalWeb">
    <w:name w:val="Normal (Web)"/>
    <w:basedOn w:val="Normal"/>
    <w:uiPriority w:val="99"/>
    <w:rsid w:val="00545704"/>
    <w:pPr>
      <w:widowControl w:val="0"/>
      <w:adjustRightInd w:val="0"/>
      <w:spacing w:before="100" w:beforeAutospacing="1" w:after="100" w:afterAutospacing="1" w:line="360" w:lineRule="atLeast"/>
      <w:ind w:left="0"/>
      <w:jc w:val="both"/>
      <w:textAlignment w:val="baseline"/>
    </w:pPr>
  </w:style>
  <w:style w:type="paragraph" w:customStyle="1" w:styleId="xl30">
    <w:name w:val="xl30"/>
    <w:basedOn w:val="Normal"/>
    <w:rsid w:val="00545704"/>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ind w:left="0"/>
      <w:jc w:val="both"/>
      <w:textAlignment w:val="center"/>
    </w:pPr>
    <w:rPr>
      <w:rFonts w:ascii="Arial" w:eastAsia="Arial Unicode MS" w:hAnsi="Arial" w:cs="Arial"/>
      <w:sz w:val="22"/>
      <w:szCs w:val="22"/>
    </w:rPr>
  </w:style>
  <w:style w:type="paragraph" w:customStyle="1" w:styleId="xl29">
    <w:name w:val="xl29"/>
    <w:basedOn w:val="Normal"/>
    <w:rsid w:val="00545704"/>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ind w:left="0"/>
      <w:jc w:val="center"/>
      <w:textAlignment w:val="center"/>
    </w:pPr>
    <w:rPr>
      <w:rFonts w:ascii="Arial" w:eastAsia="Arial Unicode MS" w:hAnsi="Arial" w:cs="Arial"/>
      <w:sz w:val="22"/>
      <w:szCs w:val="22"/>
    </w:rPr>
  </w:style>
  <w:style w:type="paragraph" w:styleId="ndice1">
    <w:name w:val="index 1"/>
    <w:basedOn w:val="Normal"/>
    <w:next w:val="Normal"/>
    <w:autoRedefine/>
    <w:semiHidden/>
    <w:rsid w:val="00545704"/>
    <w:pPr>
      <w:widowControl w:val="0"/>
      <w:adjustRightInd w:val="0"/>
      <w:spacing w:line="360" w:lineRule="atLeast"/>
      <w:ind w:left="0"/>
      <w:jc w:val="both"/>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545704"/>
    <w:pPr>
      <w:widowControl w:val="0"/>
      <w:pBdr>
        <w:top w:val="single" w:sz="6" w:space="1" w:color="auto"/>
      </w:pBdr>
      <w:adjustRightInd w:val="0"/>
      <w:spacing w:line="360" w:lineRule="atLeast"/>
      <w:ind w:left="0"/>
      <w:jc w:val="center"/>
      <w:textAlignment w:val="baseline"/>
    </w:pPr>
    <w:rPr>
      <w:rFonts w:ascii="Arial" w:hAnsi="Arial" w:cs="Arial"/>
      <w:vanish/>
      <w:color w:val="000000"/>
      <w:sz w:val="16"/>
      <w:szCs w:val="16"/>
    </w:rPr>
  </w:style>
  <w:style w:type="character" w:customStyle="1" w:styleId="z-FinaldelformularioCar">
    <w:name w:val="z-Final del formulario Car"/>
    <w:link w:val="z-Finaldelformulario"/>
    <w:rsid w:val="00545704"/>
    <w:rPr>
      <w:rFonts w:ascii="Arial" w:hAnsi="Arial" w:cs="Arial"/>
      <w:vanish/>
      <w:color w:val="000000"/>
      <w:sz w:val="16"/>
      <w:szCs w:val="16"/>
      <w:lang w:val="es-ES" w:eastAsia="es-ES"/>
    </w:rPr>
  </w:style>
  <w:style w:type="paragraph" w:customStyle="1" w:styleId="tabelltekst">
    <w:name w:val="tabelltekst"/>
    <w:basedOn w:val="Normal"/>
    <w:rsid w:val="00545704"/>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ind w:left="0"/>
      <w:jc w:val="both"/>
      <w:textAlignment w:val="baseline"/>
    </w:pPr>
    <w:rPr>
      <w:sz w:val="22"/>
      <w:szCs w:val="20"/>
      <w:lang w:val="nb-NO" w:eastAsia="en-US"/>
    </w:rPr>
  </w:style>
  <w:style w:type="paragraph" w:styleId="Textonotapie">
    <w:name w:val="footnote text"/>
    <w:basedOn w:val="Normal"/>
    <w:link w:val="TextonotapieCar"/>
    <w:semiHidden/>
    <w:rsid w:val="00545704"/>
    <w:pPr>
      <w:widowControl w:val="0"/>
      <w:adjustRightInd w:val="0"/>
      <w:spacing w:line="360" w:lineRule="atLeast"/>
      <w:ind w:left="0"/>
      <w:jc w:val="both"/>
      <w:textAlignment w:val="baseline"/>
    </w:pPr>
    <w:rPr>
      <w:sz w:val="20"/>
      <w:szCs w:val="20"/>
    </w:rPr>
  </w:style>
  <w:style w:type="character" w:customStyle="1" w:styleId="TextonotapieCar">
    <w:name w:val="Texto nota pie Car"/>
    <w:link w:val="Textonotapie"/>
    <w:semiHidden/>
    <w:rsid w:val="00545704"/>
    <w:rPr>
      <w:lang w:val="es-ES" w:eastAsia="es-ES"/>
    </w:rPr>
  </w:style>
  <w:style w:type="paragraph" w:styleId="TDC3">
    <w:name w:val="toc 3"/>
    <w:basedOn w:val="Normal"/>
    <w:next w:val="Normal"/>
    <w:autoRedefine/>
    <w:rsid w:val="00545704"/>
    <w:pPr>
      <w:widowControl w:val="0"/>
      <w:adjustRightInd w:val="0"/>
      <w:spacing w:line="360" w:lineRule="atLeast"/>
      <w:ind w:left="240"/>
      <w:textAlignment w:val="baseline"/>
    </w:pPr>
  </w:style>
  <w:style w:type="paragraph" w:customStyle="1" w:styleId="NormalTesis">
    <w:name w:val="Normal Tesis"/>
    <w:basedOn w:val="Textoindependiente"/>
    <w:rsid w:val="00545704"/>
    <w:pPr>
      <w:widowControl w:val="0"/>
      <w:adjustRightInd w:val="0"/>
      <w:spacing w:line="360" w:lineRule="auto"/>
      <w:ind w:left="0"/>
      <w:jc w:val="both"/>
      <w:textAlignment w:val="baseline"/>
    </w:pPr>
    <w:rPr>
      <w:b w:val="0"/>
      <w:bCs w:val="0"/>
      <w:sz w:val="22"/>
    </w:rPr>
  </w:style>
  <w:style w:type="character" w:styleId="Refdecomentario">
    <w:name w:val="annotation reference"/>
    <w:semiHidden/>
    <w:rsid w:val="00545704"/>
    <w:rPr>
      <w:sz w:val="16"/>
      <w:szCs w:val="16"/>
    </w:rPr>
  </w:style>
  <w:style w:type="paragraph" w:styleId="Textocomentario">
    <w:name w:val="annotation text"/>
    <w:basedOn w:val="Normal"/>
    <w:link w:val="TextocomentarioCar"/>
    <w:semiHidden/>
    <w:rsid w:val="00545704"/>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semiHidden/>
    <w:rsid w:val="00545704"/>
    <w:rPr>
      <w:lang w:val="es-ES" w:eastAsia="es-ES"/>
    </w:rPr>
  </w:style>
  <w:style w:type="paragraph" w:styleId="TDC4">
    <w:name w:val="toc 4"/>
    <w:basedOn w:val="Normal"/>
    <w:next w:val="Normal"/>
    <w:autoRedefine/>
    <w:semiHidden/>
    <w:rsid w:val="00545704"/>
    <w:pPr>
      <w:widowControl w:val="0"/>
      <w:adjustRightInd w:val="0"/>
      <w:spacing w:line="360" w:lineRule="atLeast"/>
      <w:ind w:left="480"/>
      <w:textAlignment w:val="baseline"/>
    </w:pPr>
  </w:style>
  <w:style w:type="paragraph" w:styleId="TDC5">
    <w:name w:val="toc 5"/>
    <w:basedOn w:val="Normal"/>
    <w:next w:val="Normal"/>
    <w:autoRedefine/>
    <w:semiHidden/>
    <w:rsid w:val="00545704"/>
    <w:pPr>
      <w:widowControl w:val="0"/>
      <w:adjustRightInd w:val="0"/>
      <w:spacing w:line="360" w:lineRule="atLeast"/>
      <w:ind w:left="720"/>
      <w:textAlignment w:val="baseline"/>
    </w:pPr>
  </w:style>
  <w:style w:type="paragraph" w:styleId="TDC6">
    <w:name w:val="toc 6"/>
    <w:basedOn w:val="Normal"/>
    <w:next w:val="Normal"/>
    <w:autoRedefine/>
    <w:semiHidden/>
    <w:rsid w:val="00545704"/>
    <w:pPr>
      <w:widowControl w:val="0"/>
      <w:adjustRightInd w:val="0"/>
      <w:spacing w:line="360" w:lineRule="atLeast"/>
      <w:ind w:left="960"/>
      <w:textAlignment w:val="baseline"/>
    </w:pPr>
  </w:style>
  <w:style w:type="paragraph" w:styleId="TDC7">
    <w:name w:val="toc 7"/>
    <w:basedOn w:val="Normal"/>
    <w:next w:val="Normal"/>
    <w:autoRedefine/>
    <w:semiHidden/>
    <w:rsid w:val="00545704"/>
    <w:pPr>
      <w:widowControl w:val="0"/>
      <w:adjustRightInd w:val="0"/>
      <w:spacing w:line="360" w:lineRule="atLeast"/>
      <w:ind w:left="1200"/>
      <w:textAlignment w:val="baseline"/>
    </w:pPr>
  </w:style>
  <w:style w:type="paragraph" w:styleId="TDC8">
    <w:name w:val="toc 8"/>
    <w:basedOn w:val="Normal"/>
    <w:next w:val="Normal"/>
    <w:autoRedefine/>
    <w:semiHidden/>
    <w:rsid w:val="00545704"/>
    <w:pPr>
      <w:widowControl w:val="0"/>
      <w:adjustRightInd w:val="0"/>
      <w:spacing w:line="360" w:lineRule="atLeast"/>
      <w:ind w:left="1440"/>
      <w:textAlignment w:val="baseline"/>
    </w:pPr>
  </w:style>
  <w:style w:type="paragraph" w:styleId="TDC9">
    <w:name w:val="toc 9"/>
    <w:basedOn w:val="Normal"/>
    <w:next w:val="Normal"/>
    <w:autoRedefine/>
    <w:semiHidden/>
    <w:rsid w:val="00545704"/>
    <w:pPr>
      <w:widowControl w:val="0"/>
      <w:adjustRightInd w:val="0"/>
      <w:spacing w:line="360" w:lineRule="atLeast"/>
      <w:ind w:left="1680"/>
      <w:textAlignment w:val="baseline"/>
    </w:pPr>
  </w:style>
  <w:style w:type="character" w:styleId="Hipervnculovisitado">
    <w:name w:val="FollowedHyperlink"/>
    <w:rsid w:val="00545704"/>
    <w:rPr>
      <w:color w:val="800080"/>
      <w:u w:val="single"/>
    </w:rPr>
  </w:style>
  <w:style w:type="paragraph" w:styleId="Textosinformato">
    <w:name w:val="Plain Text"/>
    <w:basedOn w:val="Normal"/>
    <w:link w:val="TextosinformatoCar"/>
    <w:rsid w:val="00545704"/>
    <w:pPr>
      <w:widowControl w:val="0"/>
      <w:adjustRightInd w:val="0"/>
      <w:spacing w:line="360" w:lineRule="atLeast"/>
      <w:ind w:left="0"/>
      <w:jc w:val="both"/>
      <w:textAlignment w:val="baseline"/>
    </w:pPr>
    <w:rPr>
      <w:rFonts w:ascii="Courier New" w:hAnsi="Courier New" w:cs="Courier New"/>
      <w:sz w:val="20"/>
      <w:szCs w:val="20"/>
    </w:rPr>
  </w:style>
  <w:style w:type="character" w:customStyle="1" w:styleId="TextosinformatoCar">
    <w:name w:val="Texto sin formato Car"/>
    <w:link w:val="Textosinformato"/>
    <w:rsid w:val="00545704"/>
    <w:rPr>
      <w:rFonts w:ascii="Courier New" w:hAnsi="Courier New" w:cs="Courier New"/>
      <w:lang w:val="es-ES" w:eastAsia="es-ES"/>
    </w:rPr>
  </w:style>
  <w:style w:type="paragraph" w:styleId="Sangra3detindependiente">
    <w:name w:val="Body Text Indent 3"/>
    <w:basedOn w:val="Normal"/>
    <w:link w:val="Sangra3detindependienteCar"/>
    <w:rsid w:val="00545704"/>
    <w:pPr>
      <w:ind w:left="708" w:hanging="708"/>
      <w:jc w:val="both"/>
    </w:pPr>
    <w:rPr>
      <w:rFonts w:ascii="Arial" w:hAnsi="Arial"/>
      <w:sz w:val="22"/>
      <w:szCs w:val="20"/>
      <w:lang w:val="es-ES_tradnl"/>
    </w:rPr>
  </w:style>
  <w:style w:type="character" w:customStyle="1" w:styleId="Sangra3detindependienteCar">
    <w:name w:val="Sangría 3 de t. independiente Car"/>
    <w:link w:val="Sangra3detindependiente"/>
    <w:rsid w:val="00545704"/>
    <w:rPr>
      <w:rFonts w:ascii="Arial" w:hAnsi="Arial"/>
      <w:sz w:val="22"/>
      <w:lang w:val="es-ES_tradnl" w:eastAsia="es-ES"/>
    </w:rPr>
  </w:style>
  <w:style w:type="paragraph" w:customStyle="1" w:styleId="Citas">
    <w:name w:val="Citas"/>
    <w:basedOn w:val="Normal"/>
    <w:rsid w:val="00545704"/>
    <w:pPr>
      <w:ind w:left="708" w:right="618"/>
      <w:jc w:val="both"/>
    </w:pPr>
    <w:rPr>
      <w:rFonts w:ascii="Bookman Old Style" w:hAnsi="Bookman Old Style" w:cs="Arial"/>
      <w:i/>
      <w:iCs/>
      <w:szCs w:val="20"/>
    </w:rPr>
  </w:style>
  <w:style w:type="paragraph" w:customStyle="1" w:styleId="CUERPOTEXTO">
    <w:name w:val="CUERPO TEXTO"/>
    <w:rsid w:val="00545704"/>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rsid w:val="00545704"/>
  </w:style>
  <w:style w:type="paragraph" w:styleId="Asuntodelcomentario">
    <w:name w:val="annotation subject"/>
    <w:basedOn w:val="Textocomentario"/>
    <w:next w:val="Textocomentario"/>
    <w:link w:val="AsuntodelcomentarioCar"/>
    <w:semiHidden/>
    <w:rsid w:val="00545704"/>
    <w:rPr>
      <w:b/>
      <w:bCs/>
    </w:rPr>
  </w:style>
  <w:style w:type="character" w:customStyle="1" w:styleId="AsuntodelcomentarioCar">
    <w:name w:val="Asunto del comentario Car"/>
    <w:link w:val="Asuntodelcomentario"/>
    <w:semiHidden/>
    <w:rsid w:val="00545704"/>
    <w:rPr>
      <w:b/>
      <w:bCs/>
      <w:lang w:val="es-ES" w:eastAsia="es-ES"/>
    </w:rPr>
  </w:style>
  <w:style w:type="paragraph" w:styleId="Listaconvietas4">
    <w:name w:val="List Bullet 4"/>
    <w:basedOn w:val="Normal"/>
    <w:autoRedefine/>
    <w:rsid w:val="00545704"/>
    <w:pPr>
      <w:numPr>
        <w:numId w:val="5"/>
      </w:numPr>
    </w:pPr>
    <w:rPr>
      <w:rFonts w:ascii="CG Times" w:hAnsi="CG Times"/>
      <w:szCs w:val="20"/>
      <w:lang w:val="es-CO"/>
    </w:rPr>
  </w:style>
  <w:style w:type="character" w:customStyle="1" w:styleId="PiedepginaCar">
    <w:name w:val="Pie de página Car"/>
    <w:link w:val="Piedepgina"/>
    <w:rsid w:val="00545704"/>
    <w:rPr>
      <w:sz w:val="24"/>
      <w:szCs w:val="24"/>
      <w:lang w:val="es-ES" w:eastAsia="es-ES"/>
    </w:rPr>
  </w:style>
  <w:style w:type="paragraph" w:customStyle="1" w:styleId="xl27">
    <w:name w:val="xl27"/>
    <w:basedOn w:val="Normal"/>
    <w:rsid w:val="00545704"/>
    <w:pPr>
      <w:spacing w:before="100" w:beforeAutospacing="1" w:after="100" w:afterAutospacing="1"/>
      <w:ind w:left="0"/>
      <w:jc w:val="both"/>
    </w:pPr>
    <w:rPr>
      <w:rFonts w:ascii="Bookman Old Style" w:eastAsia="Arial Unicode MS" w:hAnsi="Bookman Old Style" w:cs="Arial"/>
    </w:rPr>
  </w:style>
  <w:style w:type="paragraph" w:customStyle="1" w:styleId="Textoindependiente21">
    <w:name w:val="Texto independiente 21"/>
    <w:basedOn w:val="Normal"/>
    <w:rsid w:val="00545704"/>
    <w:pPr>
      <w:suppressAutoHyphens/>
      <w:overflowPunct w:val="0"/>
      <w:autoSpaceDE w:val="0"/>
      <w:ind w:left="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545704"/>
    <w:pPr>
      <w:widowControl w:val="0"/>
      <w:ind w:left="0"/>
      <w:jc w:val="both"/>
    </w:pPr>
    <w:rPr>
      <w:rFonts w:ascii="Courier New" w:hAnsi="Courier New"/>
      <w:sz w:val="20"/>
      <w:szCs w:val="20"/>
      <w:lang w:val="es-ES_tradnl"/>
    </w:rPr>
  </w:style>
  <w:style w:type="paragraph" w:styleId="Lista">
    <w:name w:val="List"/>
    <w:basedOn w:val="Textoindependiente"/>
    <w:rsid w:val="00545704"/>
    <w:pPr>
      <w:suppressAutoHyphens/>
      <w:spacing w:after="120"/>
      <w:ind w:left="0"/>
      <w:jc w:val="both"/>
    </w:pPr>
    <w:rPr>
      <w:rFonts w:cs="Tahoma"/>
      <w:b w:val="0"/>
      <w:bCs w:val="0"/>
      <w:sz w:val="22"/>
      <w:lang w:eastAsia="ar-SA"/>
    </w:rPr>
  </w:style>
  <w:style w:type="paragraph" w:customStyle="1" w:styleId="Textoindependiente310">
    <w:name w:val="Texto independiente 31"/>
    <w:basedOn w:val="Normal"/>
    <w:rsid w:val="00545704"/>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Predeterminado">
    <w:name w:val="Predeterminado"/>
    <w:rsid w:val="00545704"/>
    <w:pPr>
      <w:widowControl w:val="0"/>
      <w:autoSpaceDE w:val="0"/>
      <w:autoSpaceDN w:val="0"/>
      <w:adjustRightInd w:val="0"/>
    </w:pPr>
    <w:rPr>
      <w:sz w:val="24"/>
      <w:szCs w:val="24"/>
      <w:lang w:val="es-ES" w:eastAsia="es-ES"/>
    </w:rPr>
  </w:style>
  <w:style w:type="paragraph" w:customStyle="1" w:styleId="Basico">
    <w:name w:val="Basico"/>
    <w:basedOn w:val="Normal"/>
    <w:rsid w:val="00545704"/>
    <w:pPr>
      <w:spacing w:before="240" w:line="360" w:lineRule="atLeast"/>
      <w:ind w:left="0"/>
      <w:jc w:val="both"/>
    </w:pPr>
    <w:rPr>
      <w:rFonts w:ascii="Palatino" w:hAnsi="Palatino"/>
      <w:lang w:val="es-ES_tradnl"/>
    </w:rPr>
  </w:style>
  <w:style w:type="character" w:customStyle="1" w:styleId="Ttulo1Car">
    <w:name w:val="Título 1 Car"/>
    <w:link w:val="Ttulo1"/>
    <w:rsid w:val="00545704"/>
    <w:rPr>
      <w:rFonts w:ascii="CG Times" w:hAnsi="CG Times"/>
      <w:b/>
      <w:sz w:val="24"/>
      <w:lang w:eastAsia="es-ES"/>
    </w:rPr>
  </w:style>
  <w:style w:type="paragraph" w:customStyle="1" w:styleId="VietaLetra0">
    <w:name w:val="ViñetaLetra"/>
    <w:basedOn w:val="Vietaletra"/>
    <w:rsid w:val="00545704"/>
    <w:pPr>
      <w:numPr>
        <w:numId w:val="1"/>
      </w:numPr>
    </w:pPr>
  </w:style>
  <w:style w:type="paragraph" w:customStyle="1" w:styleId="CENTRAR">
    <w:name w:val="CENTRAR"/>
    <w:basedOn w:val="CUERPOTEXTO"/>
    <w:rsid w:val="00545704"/>
    <w:pPr>
      <w:widowControl/>
      <w:ind w:firstLine="0"/>
      <w:jc w:val="center"/>
    </w:pPr>
    <w:rPr>
      <w:rFonts w:ascii="Times" w:hAnsi="Times"/>
    </w:rPr>
  </w:style>
  <w:style w:type="paragraph" w:styleId="Revisin">
    <w:name w:val="Revision"/>
    <w:hidden/>
    <w:semiHidden/>
    <w:rsid w:val="00545704"/>
    <w:rPr>
      <w:sz w:val="24"/>
      <w:szCs w:val="24"/>
      <w:lang w:val="es-ES" w:eastAsia="es-ES"/>
    </w:rPr>
  </w:style>
  <w:style w:type="character" w:styleId="Textodelmarcadordeposicin">
    <w:name w:val="Placeholder Text"/>
    <w:basedOn w:val="Fuentedeprrafopredeter"/>
    <w:uiPriority w:val="99"/>
    <w:semiHidden/>
    <w:rsid w:val="00C2163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3698401">
      <w:bodyDiv w:val="1"/>
      <w:marLeft w:val="0"/>
      <w:marRight w:val="0"/>
      <w:marTop w:val="0"/>
      <w:marBottom w:val="0"/>
      <w:divBdr>
        <w:top w:val="none" w:sz="0" w:space="0" w:color="auto"/>
        <w:left w:val="none" w:sz="0" w:space="0" w:color="auto"/>
        <w:bottom w:val="none" w:sz="0" w:space="0" w:color="auto"/>
        <w:right w:val="none" w:sz="0" w:space="0" w:color="auto"/>
      </w:divBdr>
      <w:divsChild>
        <w:div w:id="352267732">
          <w:marLeft w:val="0"/>
          <w:marRight w:val="0"/>
          <w:marTop w:val="0"/>
          <w:marBottom w:val="0"/>
          <w:divBdr>
            <w:top w:val="none" w:sz="0" w:space="0" w:color="auto"/>
            <w:left w:val="none" w:sz="0" w:space="0" w:color="auto"/>
            <w:bottom w:val="none" w:sz="0" w:space="0" w:color="auto"/>
            <w:right w:val="none" w:sz="0" w:space="0" w:color="auto"/>
          </w:divBdr>
          <w:divsChild>
            <w:div w:id="44141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296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3C938E-3664-46B5-A450-D5DFE444C1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11</Pages>
  <Words>3450</Words>
  <Characters>18976</Characters>
  <Application>Microsoft Office Word</Application>
  <DocSecurity>0</DocSecurity>
  <Lines>158</Lines>
  <Paragraphs>44</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22382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Daniela Ramos</dc:creator>
  <cp:lastModifiedBy>Luz Stella Rojas Macias</cp:lastModifiedBy>
  <cp:revision>2</cp:revision>
  <cp:lastPrinted>2015-07-07T20:10:00Z</cp:lastPrinted>
  <dcterms:created xsi:type="dcterms:W3CDTF">2015-07-13T19:31:00Z</dcterms:created>
  <dcterms:modified xsi:type="dcterms:W3CDTF">2015-07-13T19:31:00Z</dcterms:modified>
</cp:coreProperties>
</file>