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F6673E" w:rsidRDefault="008646FD" w:rsidP="00F6673E">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7728" fillcolor="#0c9">
            <v:imagedata r:id="rId9" o:title=""/>
          </v:shape>
          <o:OLEObject Type="Embed" ProgID="PBrush" ShapeID="_x0000_s1026" DrawAspect="Content" ObjectID="_1510589049" r:id="rId10"/>
        </w:pict>
      </w:r>
    </w:p>
    <w:p w:rsidR="00625DC6" w:rsidRPr="00F6673E" w:rsidRDefault="00625DC6" w:rsidP="00F6673E">
      <w:pPr>
        <w:pStyle w:val="Encabezado"/>
        <w:tabs>
          <w:tab w:val="clear" w:pos="8504"/>
          <w:tab w:val="left" w:pos="0"/>
          <w:tab w:val="right" w:pos="9356"/>
        </w:tabs>
        <w:ind w:left="0"/>
        <w:jc w:val="both"/>
        <w:rPr>
          <w:rFonts w:ascii="Bookman Old Style" w:hAnsi="Bookman Old Style"/>
          <w:szCs w:val="24"/>
        </w:rPr>
      </w:pPr>
    </w:p>
    <w:p w:rsidR="00CA77FB" w:rsidRPr="00F6673E" w:rsidRDefault="00CA77FB" w:rsidP="00F6673E">
      <w:pPr>
        <w:pStyle w:val="Ttulo4"/>
        <w:tabs>
          <w:tab w:val="left" w:pos="0"/>
          <w:tab w:val="right" w:pos="9356"/>
        </w:tabs>
        <w:ind w:left="0"/>
        <w:rPr>
          <w:rFonts w:ascii="Bookman Old Style" w:hAnsi="Bookman Old Style"/>
          <w:b w:val="0"/>
          <w:bCs/>
          <w:noProof/>
          <w:sz w:val="24"/>
          <w:szCs w:val="24"/>
          <w:lang w:val="es-ES"/>
        </w:rPr>
      </w:pPr>
      <w:r w:rsidRPr="00F6673E">
        <w:rPr>
          <w:rFonts w:ascii="Bookman Old Style" w:hAnsi="Bookman Old Style"/>
          <w:b w:val="0"/>
          <w:bCs/>
          <w:sz w:val="24"/>
          <w:szCs w:val="24"/>
        </w:rPr>
        <w:t>Ministerio de Minas y Energía</w:t>
      </w:r>
    </w:p>
    <w:p w:rsidR="00CA77FB" w:rsidRPr="00F6673E" w:rsidRDefault="00CA77FB" w:rsidP="00F6673E">
      <w:pPr>
        <w:pStyle w:val="Ttulo4"/>
        <w:tabs>
          <w:tab w:val="left" w:pos="0"/>
          <w:tab w:val="right" w:pos="9356"/>
        </w:tabs>
        <w:ind w:left="0"/>
        <w:rPr>
          <w:rFonts w:ascii="Bookman Old Style" w:hAnsi="Bookman Old Style"/>
          <w:b w:val="0"/>
          <w:bCs/>
          <w:sz w:val="24"/>
          <w:szCs w:val="24"/>
        </w:rPr>
      </w:pPr>
    </w:p>
    <w:p w:rsidR="00CA77FB" w:rsidRPr="00F6673E" w:rsidRDefault="00CA77FB" w:rsidP="00F6673E">
      <w:pPr>
        <w:pStyle w:val="Ttulo3"/>
        <w:tabs>
          <w:tab w:val="left" w:pos="0"/>
          <w:tab w:val="right" w:pos="9356"/>
        </w:tabs>
        <w:ind w:left="0"/>
        <w:rPr>
          <w:rFonts w:ascii="Bookman Old Style" w:hAnsi="Bookman Old Style" w:cs="Arial"/>
          <w:spacing w:val="20"/>
          <w:szCs w:val="24"/>
        </w:rPr>
      </w:pPr>
      <w:r w:rsidRPr="00F6673E">
        <w:rPr>
          <w:rFonts w:ascii="Bookman Old Style" w:hAnsi="Bookman Old Style" w:cs="Arial"/>
          <w:spacing w:val="20"/>
          <w:szCs w:val="24"/>
        </w:rPr>
        <w:t>COMISIÓN DE REGULACIÓN DE ENERGÍA Y GAS</w:t>
      </w:r>
    </w:p>
    <w:p w:rsidR="00CA77FB" w:rsidRPr="00F6673E" w:rsidRDefault="00CA77FB" w:rsidP="00F6673E">
      <w:pPr>
        <w:pStyle w:val="Ttulo5"/>
        <w:tabs>
          <w:tab w:val="left" w:pos="0"/>
          <w:tab w:val="right" w:pos="9356"/>
        </w:tabs>
        <w:ind w:left="0"/>
        <w:rPr>
          <w:rFonts w:ascii="Bookman Old Style" w:hAnsi="Bookman Old Style"/>
          <w:sz w:val="24"/>
          <w:szCs w:val="24"/>
        </w:rPr>
      </w:pPr>
    </w:p>
    <w:p w:rsidR="00CA77FB" w:rsidRPr="00F6673E" w:rsidRDefault="00CA77FB" w:rsidP="00F6673E">
      <w:pPr>
        <w:pStyle w:val="Ttulo5"/>
        <w:tabs>
          <w:tab w:val="left" w:pos="0"/>
          <w:tab w:val="right" w:pos="9356"/>
        </w:tabs>
        <w:ind w:left="0"/>
        <w:rPr>
          <w:rFonts w:ascii="Bookman Old Style" w:hAnsi="Bookman Old Style"/>
          <w:sz w:val="24"/>
          <w:szCs w:val="24"/>
        </w:rPr>
      </w:pPr>
    </w:p>
    <w:p w:rsidR="00CA77FB" w:rsidRPr="00F6673E" w:rsidRDefault="00CA77FB" w:rsidP="00F6673E">
      <w:pPr>
        <w:pStyle w:val="Ttulo5"/>
        <w:tabs>
          <w:tab w:val="left" w:pos="0"/>
          <w:tab w:val="right" w:pos="9356"/>
        </w:tabs>
        <w:ind w:left="0"/>
        <w:rPr>
          <w:rFonts w:ascii="Bookman Old Style" w:hAnsi="Bookman Old Style"/>
          <w:sz w:val="24"/>
          <w:szCs w:val="24"/>
        </w:rPr>
      </w:pPr>
      <w:r w:rsidRPr="00F6673E">
        <w:rPr>
          <w:rFonts w:ascii="Bookman Old Style" w:hAnsi="Bookman Old Style"/>
          <w:sz w:val="24"/>
          <w:szCs w:val="24"/>
        </w:rPr>
        <w:t xml:space="preserve">RESOLUCIÓN No. </w:t>
      </w:r>
      <w:r w:rsidR="00795BFB" w:rsidRPr="00F6673E">
        <w:rPr>
          <w:rFonts w:ascii="Bookman Old Style" w:hAnsi="Bookman Old Style"/>
          <w:sz w:val="24"/>
          <w:szCs w:val="24"/>
        </w:rPr>
        <w:t xml:space="preserve">                  </w:t>
      </w:r>
      <w:r w:rsidRPr="00F6673E">
        <w:rPr>
          <w:rFonts w:ascii="Bookman Old Style" w:hAnsi="Bookman Old Style"/>
          <w:sz w:val="24"/>
          <w:szCs w:val="24"/>
        </w:rPr>
        <w:t>DE 20</w:t>
      </w:r>
      <w:r w:rsidR="00795BFB" w:rsidRPr="00F6673E">
        <w:rPr>
          <w:rFonts w:ascii="Bookman Old Style" w:hAnsi="Bookman Old Style"/>
          <w:sz w:val="24"/>
          <w:szCs w:val="24"/>
        </w:rPr>
        <w:t>1</w:t>
      </w:r>
      <w:r w:rsidR="00F6673E" w:rsidRPr="00F6673E">
        <w:rPr>
          <w:rFonts w:ascii="Bookman Old Style" w:hAnsi="Bookman Old Style"/>
          <w:sz w:val="24"/>
          <w:szCs w:val="24"/>
        </w:rPr>
        <w:t>5</w:t>
      </w:r>
    </w:p>
    <w:p w:rsidR="00CA77FB" w:rsidRPr="00F6673E" w:rsidRDefault="00CA77FB" w:rsidP="00F6673E">
      <w:pPr>
        <w:tabs>
          <w:tab w:val="left" w:pos="0"/>
          <w:tab w:val="right" w:pos="9356"/>
        </w:tabs>
        <w:ind w:left="0"/>
        <w:jc w:val="center"/>
        <w:rPr>
          <w:rFonts w:ascii="Bookman Old Style" w:hAnsi="Bookman Old Style" w:cs="Arial"/>
          <w:b/>
          <w:snapToGrid w:val="0"/>
          <w:color w:val="000000"/>
          <w:lang w:val="es-ES_tradnl"/>
        </w:rPr>
      </w:pPr>
    </w:p>
    <w:p w:rsidR="00CA77FB" w:rsidRPr="00F6673E" w:rsidRDefault="00CA77FB" w:rsidP="00F6673E">
      <w:pPr>
        <w:pStyle w:val="Ttulo3"/>
        <w:tabs>
          <w:tab w:val="left" w:pos="0"/>
          <w:tab w:val="right" w:pos="9356"/>
        </w:tabs>
        <w:ind w:left="0"/>
        <w:rPr>
          <w:rFonts w:ascii="Bookman Old Style" w:hAnsi="Bookman Old Style"/>
          <w:b w:val="0"/>
          <w:szCs w:val="24"/>
        </w:rPr>
      </w:pPr>
      <w:r w:rsidRPr="00F6673E">
        <w:rPr>
          <w:rFonts w:ascii="Bookman Old Style" w:hAnsi="Bookman Old Style"/>
          <w:b w:val="0"/>
          <w:szCs w:val="24"/>
        </w:rPr>
        <w:t>(                                  )</w:t>
      </w:r>
    </w:p>
    <w:p w:rsidR="00CA77FB" w:rsidRPr="00F6673E" w:rsidRDefault="00CA77FB" w:rsidP="00F6673E">
      <w:pPr>
        <w:tabs>
          <w:tab w:val="left" w:pos="0"/>
          <w:tab w:val="right" w:pos="9356"/>
        </w:tabs>
        <w:ind w:left="0"/>
        <w:jc w:val="center"/>
        <w:rPr>
          <w:rFonts w:ascii="Bookman Old Style" w:hAnsi="Bookman Old Style"/>
          <w:lang w:val="es-ES_tradnl"/>
        </w:rPr>
      </w:pPr>
    </w:p>
    <w:p w:rsidR="00F6673E" w:rsidRPr="00F6673E" w:rsidRDefault="00F6673E" w:rsidP="00F6673E">
      <w:pPr>
        <w:jc w:val="both"/>
        <w:rPr>
          <w:rFonts w:ascii="Bookman Old Style" w:hAnsi="Bookman Old Style"/>
        </w:rPr>
      </w:pPr>
    </w:p>
    <w:p w:rsidR="00F6673E" w:rsidRPr="00F6673E" w:rsidRDefault="00F6673E" w:rsidP="00F6673E">
      <w:pPr>
        <w:jc w:val="both"/>
        <w:rPr>
          <w:rFonts w:ascii="Bookman Old Style" w:hAnsi="Bookman Old Style"/>
        </w:rPr>
      </w:pPr>
    </w:p>
    <w:p w:rsidR="00F6673E" w:rsidRDefault="00200F39" w:rsidP="00077808">
      <w:pPr>
        <w:ind w:left="0"/>
        <w:jc w:val="both"/>
        <w:rPr>
          <w:rFonts w:ascii="Bookman Old Style" w:hAnsi="Bookman Old Style" w:cs="Arial"/>
        </w:rPr>
      </w:pPr>
      <w:r w:rsidRPr="00200F39">
        <w:rPr>
          <w:rFonts w:ascii="Bookman Old Style" w:hAnsi="Bookman Old Style" w:cs="Arial"/>
        </w:rPr>
        <w:t xml:space="preserve">Por la cual se ordena hacer público un proyecto de resolución de carácter general, “Por la cual </w:t>
      </w:r>
      <w:r w:rsidR="00A223EB">
        <w:rPr>
          <w:rFonts w:ascii="Bookman Old Style" w:hAnsi="Bookman Old Style" w:cs="Arial"/>
        </w:rPr>
        <w:t xml:space="preserve">se </w:t>
      </w:r>
      <w:r w:rsidRPr="00200F39">
        <w:rPr>
          <w:rFonts w:ascii="Bookman Old Style" w:hAnsi="Bookman Old Style" w:cs="Arial"/>
        </w:rPr>
        <w:t xml:space="preserve">dictan disposiciones </w:t>
      </w:r>
      <w:r w:rsidR="00873212">
        <w:rPr>
          <w:rFonts w:ascii="Bookman Old Style" w:hAnsi="Bookman Old Style" w:cs="Arial"/>
        </w:rPr>
        <w:t xml:space="preserve">sobre </w:t>
      </w:r>
      <w:r w:rsidRPr="00200F39">
        <w:rPr>
          <w:rFonts w:ascii="Bookman Old Style" w:hAnsi="Bookman Old Style" w:cs="Arial"/>
        </w:rPr>
        <w:t xml:space="preserve">compensaciones </w:t>
      </w:r>
      <w:r w:rsidR="00873212">
        <w:rPr>
          <w:rFonts w:ascii="Bookman Old Style" w:hAnsi="Bookman Old Style" w:cs="Arial"/>
        </w:rPr>
        <w:t xml:space="preserve">y </w:t>
      </w:r>
      <w:r w:rsidRPr="00200F39">
        <w:rPr>
          <w:rFonts w:ascii="Bookman Old Style" w:hAnsi="Bookman Old Style" w:cs="Arial"/>
        </w:rPr>
        <w:t xml:space="preserve">desbalances </w:t>
      </w:r>
      <w:r w:rsidR="008D64E7">
        <w:rPr>
          <w:rFonts w:ascii="Bookman Old Style" w:hAnsi="Bookman Old Style" w:cs="Arial"/>
        </w:rPr>
        <w:t>en estaciones de puerta de ciudad con medición común a varios remitentes</w:t>
      </w:r>
      <w:r w:rsidR="001A2D2F">
        <w:rPr>
          <w:rFonts w:ascii="Bookman Old Style" w:hAnsi="Bookman Old Style" w:cs="Arial"/>
        </w:rPr>
        <w:t xml:space="preserve"> dentro de un si</w:t>
      </w:r>
      <w:r w:rsidR="004A435C">
        <w:rPr>
          <w:rFonts w:ascii="Bookman Old Style" w:hAnsi="Bookman Old Style" w:cs="Arial"/>
        </w:rPr>
        <w:t>s</w:t>
      </w:r>
      <w:r w:rsidR="001A2D2F">
        <w:rPr>
          <w:rFonts w:ascii="Bookman Old Style" w:hAnsi="Bookman Old Style" w:cs="Arial"/>
        </w:rPr>
        <w:t>tema de distribución</w:t>
      </w:r>
      <w:r w:rsidR="004A435C">
        <w:rPr>
          <w:rFonts w:ascii="Bookman Old Style" w:hAnsi="Bookman Old Style" w:cs="Arial"/>
        </w:rPr>
        <w:t>,</w:t>
      </w:r>
      <w:r w:rsidR="008D64E7">
        <w:rPr>
          <w:rFonts w:ascii="Bookman Old Style" w:hAnsi="Bookman Old Style" w:cs="Arial"/>
        </w:rPr>
        <w:t xml:space="preserve"> y </w:t>
      </w:r>
      <w:r w:rsidR="008D64E7" w:rsidRPr="00200F39">
        <w:rPr>
          <w:rFonts w:ascii="Bookman Old Style" w:hAnsi="Bookman Old Style" w:cs="Arial"/>
        </w:rPr>
        <w:t xml:space="preserve">se modifica el parágrafo 5 del </w:t>
      </w:r>
      <w:r w:rsidR="00215FE1">
        <w:rPr>
          <w:rFonts w:ascii="Bookman Old Style" w:hAnsi="Bookman Old Style" w:cs="Arial"/>
        </w:rPr>
        <w:t>A</w:t>
      </w:r>
      <w:r w:rsidR="008D64E7" w:rsidRPr="00200F39">
        <w:rPr>
          <w:rFonts w:ascii="Bookman Old Style" w:hAnsi="Bookman Old Style" w:cs="Arial"/>
        </w:rPr>
        <w:t>rtículo 54 de la Resolución CREG 089 de 2013</w:t>
      </w:r>
      <w:r w:rsidR="008D64E7">
        <w:rPr>
          <w:rFonts w:ascii="Bookman Old Style" w:hAnsi="Bookman Old Style" w:cs="Arial"/>
        </w:rPr>
        <w:t>”</w:t>
      </w:r>
    </w:p>
    <w:p w:rsidR="008D64E7" w:rsidRDefault="008D64E7" w:rsidP="00077808">
      <w:pPr>
        <w:ind w:left="0"/>
        <w:jc w:val="both"/>
        <w:rPr>
          <w:rFonts w:ascii="Bookman Old Style" w:hAnsi="Bookman Old Style" w:cs="Arial"/>
        </w:rPr>
      </w:pPr>
    </w:p>
    <w:p w:rsidR="00F6673E" w:rsidRPr="00F6673E" w:rsidRDefault="00F6673E" w:rsidP="00F6673E">
      <w:pPr>
        <w:jc w:val="both"/>
        <w:rPr>
          <w:rFonts w:ascii="Bookman Old Style" w:hAnsi="Bookman Old Style"/>
        </w:rPr>
      </w:pPr>
    </w:p>
    <w:p w:rsidR="00F6673E" w:rsidRPr="00F6673E" w:rsidRDefault="00F6673E" w:rsidP="00F6673E">
      <w:pPr>
        <w:jc w:val="center"/>
        <w:rPr>
          <w:rFonts w:ascii="Bookman Old Style" w:hAnsi="Bookman Old Style"/>
          <w:b/>
        </w:rPr>
      </w:pPr>
      <w:r w:rsidRPr="00F6673E">
        <w:rPr>
          <w:rFonts w:ascii="Bookman Old Style" w:hAnsi="Bookman Old Style"/>
          <w:b/>
        </w:rPr>
        <w:t>LA COMISIÓN DE REGULACIÓN DE ENERGÍA Y GAS</w:t>
      </w:r>
    </w:p>
    <w:p w:rsidR="00F6673E" w:rsidRPr="00F6673E" w:rsidRDefault="00F6673E" w:rsidP="00F6673E">
      <w:pPr>
        <w:jc w:val="both"/>
        <w:rPr>
          <w:rFonts w:ascii="Bookman Old Style" w:hAnsi="Bookman Old Style"/>
        </w:rPr>
      </w:pPr>
    </w:p>
    <w:p w:rsidR="00F6673E" w:rsidRPr="00F6673E" w:rsidRDefault="00F6673E" w:rsidP="00F6673E">
      <w:pPr>
        <w:jc w:val="both"/>
        <w:rPr>
          <w:rFonts w:ascii="Bookman Old Style" w:hAnsi="Bookman Old Style"/>
        </w:rPr>
      </w:pPr>
    </w:p>
    <w:p w:rsidR="00F6673E" w:rsidRPr="00F6673E" w:rsidRDefault="00F6673E" w:rsidP="00F6673E">
      <w:pPr>
        <w:pStyle w:val="Textoindependiente3"/>
        <w:ind w:left="0"/>
        <w:jc w:val="both"/>
        <w:rPr>
          <w:rFonts w:ascii="Bookman Old Style" w:hAnsi="Bookman Old Style"/>
          <w:b w:val="0"/>
        </w:rPr>
      </w:pPr>
      <w:r w:rsidRPr="00F6673E">
        <w:rPr>
          <w:rFonts w:ascii="Bookman Old Style" w:hAnsi="Bookman Old Style"/>
          <w:b w:val="0"/>
        </w:rPr>
        <w:t>En ejercicio de sus atribuciones legales, en especial las conferidas por la Ley 142 de 1994, y en desarrollo de</w:t>
      </w:r>
      <w:r w:rsidR="00B06C61">
        <w:rPr>
          <w:rFonts w:ascii="Bookman Old Style" w:hAnsi="Bookman Old Style"/>
          <w:b w:val="0"/>
        </w:rPr>
        <w:t xml:space="preserve"> </w:t>
      </w:r>
      <w:r w:rsidRPr="00F6673E">
        <w:rPr>
          <w:rFonts w:ascii="Bookman Old Style" w:hAnsi="Bookman Old Style"/>
          <w:b w:val="0"/>
        </w:rPr>
        <w:t>l</w:t>
      </w:r>
      <w:r w:rsidR="00B06C61">
        <w:rPr>
          <w:rFonts w:ascii="Bookman Old Style" w:hAnsi="Bookman Old Style"/>
          <w:b w:val="0"/>
        </w:rPr>
        <w:t>os</w:t>
      </w:r>
      <w:r w:rsidRPr="00F6673E">
        <w:rPr>
          <w:rFonts w:ascii="Bookman Old Style" w:hAnsi="Bookman Old Style"/>
          <w:b w:val="0"/>
          <w:lang w:val="es-CO"/>
        </w:rPr>
        <w:t xml:space="preserve"> </w:t>
      </w:r>
      <w:r w:rsidR="00B06C61">
        <w:rPr>
          <w:rFonts w:ascii="Bookman Old Style" w:hAnsi="Bookman Old Style"/>
          <w:b w:val="0"/>
        </w:rPr>
        <w:t>d</w:t>
      </w:r>
      <w:r w:rsidRPr="00F6673E">
        <w:rPr>
          <w:rFonts w:ascii="Bookman Old Style" w:hAnsi="Bookman Old Style"/>
          <w:b w:val="0"/>
        </w:rPr>
        <w:t>ecreto</w:t>
      </w:r>
      <w:r w:rsidR="00B06C61">
        <w:rPr>
          <w:rFonts w:ascii="Bookman Old Style" w:hAnsi="Bookman Old Style"/>
          <w:b w:val="0"/>
        </w:rPr>
        <w:t>s</w:t>
      </w:r>
      <w:r w:rsidRPr="00F6673E">
        <w:rPr>
          <w:rFonts w:ascii="Bookman Old Style" w:hAnsi="Bookman Old Style"/>
          <w:b w:val="0"/>
        </w:rPr>
        <w:t xml:space="preserve"> 2253 de 1994</w:t>
      </w:r>
      <w:r w:rsidRPr="00F6673E">
        <w:rPr>
          <w:rFonts w:ascii="Bookman Old Style" w:hAnsi="Bookman Old Style"/>
          <w:b w:val="0"/>
          <w:lang w:val="es-CO"/>
        </w:rPr>
        <w:t xml:space="preserve"> y</w:t>
      </w:r>
      <w:r w:rsidR="00B06C61">
        <w:rPr>
          <w:rFonts w:ascii="Bookman Old Style" w:hAnsi="Bookman Old Style"/>
          <w:b w:val="0"/>
          <w:lang w:val="es-CO"/>
        </w:rPr>
        <w:t xml:space="preserve"> 1260 de 2013 y</w:t>
      </w:r>
    </w:p>
    <w:p w:rsidR="00F6673E" w:rsidRPr="00F6673E" w:rsidRDefault="00F6673E" w:rsidP="00F6673E">
      <w:pPr>
        <w:ind w:left="0"/>
        <w:jc w:val="both"/>
        <w:rPr>
          <w:rFonts w:ascii="Bookman Old Style" w:hAnsi="Bookman Old Style"/>
        </w:rPr>
      </w:pPr>
    </w:p>
    <w:p w:rsidR="00F6673E" w:rsidRPr="00F6673E" w:rsidRDefault="00F6673E" w:rsidP="00F6673E">
      <w:pPr>
        <w:ind w:left="0"/>
        <w:jc w:val="both"/>
        <w:rPr>
          <w:rFonts w:ascii="Bookman Old Style" w:hAnsi="Bookman Old Style"/>
        </w:rPr>
      </w:pPr>
    </w:p>
    <w:p w:rsidR="00F6673E" w:rsidRPr="00F6673E" w:rsidRDefault="00F6673E" w:rsidP="00F6673E">
      <w:pPr>
        <w:ind w:left="0"/>
        <w:jc w:val="center"/>
        <w:rPr>
          <w:rFonts w:ascii="Bookman Old Style" w:hAnsi="Bookman Old Style"/>
          <w:b/>
        </w:rPr>
      </w:pPr>
      <w:r w:rsidRPr="00F6673E">
        <w:rPr>
          <w:rFonts w:ascii="Bookman Old Style" w:hAnsi="Bookman Old Style"/>
          <w:b/>
        </w:rPr>
        <w:t>C O N S I D E R A N D O</w:t>
      </w:r>
      <w:r w:rsidR="00AE2F2C">
        <w:rPr>
          <w:rFonts w:ascii="Bookman Old Style" w:hAnsi="Bookman Old Style"/>
          <w:b/>
        </w:rPr>
        <w:t xml:space="preserve"> </w:t>
      </w:r>
      <w:r w:rsidRPr="00F6673E">
        <w:rPr>
          <w:rFonts w:ascii="Bookman Old Style" w:hAnsi="Bookman Old Style"/>
          <w:b/>
        </w:rPr>
        <w:t xml:space="preserve"> Q U E:</w:t>
      </w:r>
    </w:p>
    <w:p w:rsidR="00F6673E" w:rsidRPr="00F6673E" w:rsidRDefault="00F6673E" w:rsidP="00F6673E">
      <w:pPr>
        <w:ind w:left="0"/>
        <w:jc w:val="both"/>
        <w:rPr>
          <w:rFonts w:ascii="Bookman Old Style" w:hAnsi="Bookman Old Style"/>
          <w:b/>
        </w:rPr>
      </w:pPr>
    </w:p>
    <w:p w:rsidR="00F6673E" w:rsidRPr="00F6673E" w:rsidRDefault="00F6673E" w:rsidP="00F6673E">
      <w:pPr>
        <w:ind w:left="0"/>
        <w:jc w:val="both"/>
        <w:rPr>
          <w:rFonts w:ascii="Bookman Old Style" w:hAnsi="Bookman Old Style"/>
          <w:b/>
        </w:rPr>
      </w:pPr>
    </w:p>
    <w:p w:rsidR="00F6673E" w:rsidRPr="00F6673E" w:rsidRDefault="00F6673E" w:rsidP="00F6673E">
      <w:pPr>
        <w:ind w:left="0"/>
        <w:jc w:val="both"/>
        <w:rPr>
          <w:rFonts w:ascii="Bookman Old Style" w:hAnsi="Bookman Old Style" w:cs="Arial"/>
        </w:rPr>
      </w:pPr>
      <w:r w:rsidRPr="00F6673E">
        <w:rPr>
          <w:rFonts w:ascii="Bookman Old Style" w:hAnsi="Bookman Old Style" w:cs="Arial"/>
        </w:rPr>
        <w:t xml:space="preserve">Conforme a lo dispuesto por el </w:t>
      </w:r>
      <w:r w:rsidR="00215FE1">
        <w:rPr>
          <w:rFonts w:ascii="Bookman Old Style" w:hAnsi="Bookman Old Style" w:cs="Arial"/>
        </w:rPr>
        <w:t>A</w:t>
      </w:r>
      <w:r w:rsidRPr="00F6673E">
        <w:rPr>
          <w:rFonts w:ascii="Bookman Old Style" w:hAnsi="Bookman Old Style" w:cs="Arial"/>
        </w:rPr>
        <w:t xml:space="preserve">rtículo 8 del Código de Procedimiento Administrativo y de lo Contencioso Administrativo la Comisión debe hacer públicos en su página </w:t>
      </w:r>
      <w:r w:rsidR="00756749">
        <w:rPr>
          <w:rFonts w:ascii="Bookman Old Style" w:hAnsi="Bookman Old Style" w:cs="Arial"/>
        </w:rPr>
        <w:t>W</w:t>
      </w:r>
      <w:r w:rsidRPr="00F6673E">
        <w:rPr>
          <w:rFonts w:ascii="Bookman Old Style" w:hAnsi="Bookman Old Style" w:cs="Arial"/>
        </w:rPr>
        <w:t>eb todos los proyectos de resolución de carácter general que pretenda adoptar.</w:t>
      </w:r>
    </w:p>
    <w:p w:rsidR="00F6673E" w:rsidRPr="00F6673E" w:rsidRDefault="00F6673E" w:rsidP="00F6673E">
      <w:pPr>
        <w:ind w:left="0"/>
        <w:jc w:val="both"/>
        <w:rPr>
          <w:rFonts w:ascii="Bookman Old Style" w:hAnsi="Bookman Old Style" w:cs="Arial"/>
        </w:rPr>
      </w:pPr>
    </w:p>
    <w:p w:rsidR="00F6673E" w:rsidRPr="00F6673E" w:rsidRDefault="00F6673E" w:rsidP="00F6673E">
      <w:pPr>
        <w:tabs>
          <w:tab w:val="left" w:pos="0"/>
        </w:tabs>
        <w:ind w:left="0"/>
        <w:jc w:val="both"/>
        <w:rPr>
          <w:rFonts w:ascii="Bookman Old Style" w:hAnsi="Bookman Old Style"/>
        </w:rPr>
      </w:pPr>
      <w:r w:rsidRPr="00F6673E">
        <w:rPr>
          <w:rFonts w:ascii="Bookman Old Style" w:hAnsi="Bookman Old Style"/>
        </w:rPr>
        <w:t xml:space="preserve">La Comisión de Regulación de Energía y Gas, en su sesión No. </w:t>
      </w:r>
      <w:r w:rsidR="009142A4">
        <w:rPr>
          <w:rFonts w:ascii="Bookman Old Style" w:hAnsi="Bookman Old Style"/>
        </w:rPr>
        <w:t>674</w:t>
      </w:r>
      <w:r w:rsidRPr="00F6673E">
        <w:rPr>
          <w:rFonts w:ascii="Bookman Old Style" w:hAnsi="Bookman Old Style"/>
        </w:rPr>
        <w:t xml:space="preserve"> del </w:t>
      </w:r>
      <w:r w:rsidR="009142A4">
        <w:rPr>
          <w:rFonts w:ascii="Bookman Old Style" w:hAnsi="Bookman Old Style"/>
        </w:rPr>
        <w:t>18</w:t>
      </w:r>
      <w:r w:rsidRPr="00F6673E">
        <w:rPr>
          <w:rFonts w:ascii="Bookman Old Style" w:hAnsi="Bookman Old Style"/>
        </w:rPr>
        <w:t xml:space="preserve"> de </w:t>
      </w:r>
      <w:r w:rsidR="009142A4">
        <w:rPr>
          <w:rFonts w:ascii="Bookman Old Style" w:hAnsi="Bookman Old Style"/>
        </w:rPr>
        <w:t>septiembre</w:t>
      </w:r>
      <w:r w:rsidR="00921A4C">
        <w:rPr>
          <w:rFonts w:ascii="Bookman Old Style" w:hAnsi="Bookman Old Style"/>
        </w:rPr>
        <w:t xml:space="preserve"> </w:t>
      </w:r>
      <w:r w:rsidRPr="00F6673E">
        <w:rPr>
          <w:rFonts w:ascii="Bookman Old Style" w:hAnsi="Bookman Old Style"/>
        </w:rPr>
        <w:t>de 2015, aprobó hacer público el proyecto de</w:t>
      </w:r>
      <w:r w:rsidR="00362FF4">
        <w:rPr>
          <w:rFonts w:ascii="Bookman Old Style" w:hAnsi="Bookman Old Style"/>
        </w:rPr>
        <w:t xml:space="preserve"> resolución</w:t>
      </w:r>
      <w:r w:rsidR="000D1BDF">
        <w:rPr>
          <w:rFonts w:ascii="Bookman Old Style" w:hAnsi="Bookman Old Style"/>
        </w:rPr>
        <w:t xml:space="preserve"> </w:t>
      </w:r>
      <w:r w:rsidR="001012DC" w:rsidRPr="00F6673E">
        <w:rPr>
          <w:rFonts w:ascii="Bookman Old Style" w:hAnsi="Bookman Old Style"/>
        </w:rPr>
        <w:t>“</w:t>
      </w:r>
      <w:r w:rsidR="00AD2DFD" w:rsidRPr="00200F39">
        <w:rPr>
          <w:rFonts w:ascii="Bookman Old Style" w:hAnsi="Bookman Old Style" w:cs="Arial"/>
        </w:rPr>
        <w:t xml:space="preserve">Por la cual </w:t>
      </w:r>
      <w:r w:rsidR="001C4C1E">
        <w:rPr>
          <w:rFonts w:ascii="Bookman Old Style" w:hAnsi="Bookman Old Style" w:cs="Arial"/>
        </w:rPr>
        <w:t xml:space="preserve">se </w:t>
      </w:r>
      <w:r w:rsidR="00AD2DFD" w:rsidRPr="00200F39">
        <w:rPr>
          <w:rFonts w:ascii="Bookman Old Style" w:hAnsi="Bookman Old Style" w:cs="Arial"/>
        </w:rPr>
        <w:t xml:space="preserve">dictan disposiciones </w:t>
      </w:r>
      <w:r w:rsidR="00AD2DFD">
        <w:rPr>
          <w:rFonts w:ascii="Bookman Old Style" w:hAnsi="Bookman Old Style" w:cs="Arial"/>
        </w:rPr>
        <w:t xml:space="preserve">sobre </w:t>
      </w:r>
      <w:r w:rsidR="00AD2DFD" w:rsidRPr="00200F39">
        <w:rPr>
          <w:rFonts w:ascii="Bookman Old Style" w:hAnsi="Bookman Old Style" w:cs="Arial"/>
        </w:rPr>
        <w:t xml:space="preserve">compensaciones </w:t>
      </w:r>
      <w:r w:rsidR="00AD2DFD">
        <w:rPr>
          <w:rFonts w:ascii="Bookman Old Style" w:hAnsi="Bookman Old Style" w:cs="Arial"/>
        </w:rPr>
        <w:t xml:space="preserve">y </w:t>
      </w:r>
      <w:r w:rsidR="00AD2DFD" w:rsidRPr="00200F39">
        <w:rPr>
          <w:rFonts w:ascii="Bookman Old Style" w:hAnsi="Bookman Old Style" w:cs="Arial"/>
        </w:rPr>
        <w:t xml:space="preserve">desbalances </w:t>
      </w:r>
      <w:r w:rsidR="00AD2DFD">
        <w:rPr>
          <w:rFonts w:ascii="Bookman Old Style" w:hAnsi="Bookman Old Style" w:cs="Arial"/>
        </w:rPr>
        <w:t xml:space="preserve">en estaciones de puerta de ciudad con medición común a varios remitentes y </w:t>
      </w:r>
      <w:r w:rsidR="00AD2DFD" w:rsidRPr="00200F39">
        <w:rPr>
          <w:rFonts w:ascii="Bookman Old Style" w:hAnsi="Bookman Old Style" w:cs="Arial"/>
        </w:rPr>
        <w:t>se modifica el parágrafo 5 del artículo 54 de la Resolución CREG 089 de 2013</w:t>
      </w:r>
      <w:r w:rsidR="001012DC" w:rsidRPr="00F6673E">
        <w:rPr>
          <w:rFonts w:ascii="Bookman Old Style" w:hAnsi="Bookman Old Style"/>
        </w:rPr>
        <w:t>”</w:t>
      </w:r>
      <w:r w:rsidR="003C2232">
        <w:rPr>
          <w:rFonts w:ascii="Bookman Old Style" w:hAnsi="Bookman Old Style"/>
        </w:rPr>
        <w:t>.</w:t>
      </w:r>
    </w:p>
    <w:p w:rsidR="00F6673E" w:rsidRPr="00F6673E" w:rsidRDefault="00F6673E" w:rsidP="00F6673E">
      <w:pPr>
        <w:ind w:left="0"/>
        <w:jc w:val="both"/>
        <w:rPr>
          <w:rFonts w:ascii="Bookman Old Style" w:hAnsi="Bookman Old Style"/>
        </w:rPr>
      </w:pPr>
    </w:p>
    <w:p w:rsidR="00F6673E" w:rsidRPr="00F6673E" w:rsidRDefault="00F6673E" w:rsidP="00F6673E">
      <w:pPr>
        <w:suppressAutoHyphens/>
        <w:jc w:val="both"/>
        <w:rPr>
          <w:rFonts w:ascii="Bookman Old Style" w:hAnsi="Bookman Old Style"/>
          <w:b/>
          <w:spacing w:val="-3"/>
        </w:rPr>
      </w:pPr>
    </w:p>
    <w:p w:rsidR="00F6673E" w:rsidRPr="00F6673E" w:rsidRDefault="00F6673E" w:rsidP="00F6673E">
      <w:pPr>
        <w:suppressAutoHyphens/>
        <w:jc w:val="center"/>
        <w:rPr>
          <w:rFonts w:ascii="Bookman Old Style" w:hAnsi="Bookman Old Style"/>
          <w:spacing w:val="-3"/>
        </w:rPr>
      </w:pPr>
      <w:r w:rsidRPr="00F6673E">
        <w:rPr>
          <w:rFonts w:ascii="Bookman Old Style" w:hAnsi="Bookman Old Style"/>
          <w:b/>
          <w:spacing w:val="-3"/>
        </w:rPr>
        <w:t>R E S U E L V E:</w:t>
      </w:r>
    </w:p>
    <w:p w:rsidR="00F6673E" w:rsidRPr="00F6673E" w:rsidRDefault="00F6673E" w:rsidP="00F6673E">
      <w:pPr>
        <w:jc w:val="both"/>
        <w:rPr>
          <w:rFonts w:ascii="Bookman Old Style" w:hAnsi="Bookman Old Style"/>
        </w:rPr>
      </w:pPr>
    </w:p>
    <w:p w:rsidR="00F6673E" w:rsidRPr="00F6673E" w:rsidRDefault="00F6673E" w:rsidP="00F6673E">
      <w:pPr>
        <w:tabs>
          <w:tab w:val="left" w:pos="0"/>
        </w:tabs>
        <w:ind w:left="0"/>
        <w:jc w:val="both"/>
        <w:rPr>
          <w:rFonts w:ascii="Bookman Old Style" w:hAnsi="Bookman Old Style" w:cs="Arial"/>
        </w:rPr>
      </w:pPr>
      <w:r w:rsidRPr="00F6673E">
        <w:rPr>
          <w:rFonts w:ascii="Bookman Old Style" w:hAnsi="Bookman Old Style"/>
          <w:b/>
        </w:rPr>
        <w:t>Artículo 1.</w:t>
      </w:r>
      <w:r w:rsidRPr="00F6673E">
        <w:rPr>
          <w:rFonts w:ascii="Bookman Old Style" w:hAnsi="Bookman Old Style"/>
        </w:rPr>
        <w:t xml:space="preserve"> </w:t>
      </w:r>
      <w:r w:rsidRPr="00F6673E">
        <w:rPr>
          <w:rFonts w:ascii="Bookman Old Style" w:hAnsi="Bookman Old Style" w:cs="Arial"/>
        </w:rPr>
        <w:t xml:space="preserve">Hágase público el proyecto de resolución </w:t>
      </w:r>
      <w:r w:rsidR="00362FF4" w:rsidRPr="00F6673E">
        <w:rPr>
          <w:rFonts w:ascii="Bookman Old Style" w:hAnsi="Bookman Old Style"/>
        </w:rPr>
        <w:t>“</w:t>
      </w:r>
      <w:r w:rsidR="00AD2DFD" w:rsidRPr="00200F39">
        <w:rPr>
          <w:rFonts w:ascii="Bookman Old Style" w:hAnsi="Bookman Old Style" w:cs="Arial"/>
        </w:rPr>
        <w:t xml:space="preserve">Por la cual </w:t>
      </w:r>
      <w:r w:rsidR="00A223EB">
        <w:rPr>
          <w:rFonts w:ascii="Bookman Old Style" w:hAnsi="Bookman Old Style" w:cs="Arial"/>
        </w:rPr>
        <w:t xml:space="preserve">se </w:t>
      </w:r>
      <w:r w:rsidR="00AD2DFD" w:rsidRPr="00200F39">
        <w:rPr>
          <w:rFonts w:ascii="Bookman Old Style" w:hAnsi="Bookman Old Style" w:cs="Arial"/>
        </w:rPr>
        <w:t xml:space="preserve">dictan disposiciones </w:t>
      </w:r>
      <w:r w:rsidR="00AD2DFD">
        <w:rPr>
          <w:rFonts w:ascii="Bookman Old Style" w:hAnsi="Bookman Old Style" w:cs="Arial"/>
        </w:rPr>
        <w:t xml:space="preserve">sobre </w:t>
      </w:r>
      <w:r w:rsidR="00AD2DFD" w:rsidRPr="00200F39">
        <w:rPr>
          <w:rFonts w:ascii="Bookman Old Style" w:hAnsi="Bookman Old Style" w:cs="Arial"/>
        </w:rPr>
        <w:t xml:space="preserve">compensaciones </w:t>
      </w:r>
      <w:r w:rsidR="00AD2DFD">
        <w:rPr>
          <w:rFonts w:ascii="Bookman Old Style" w:hAnsi="Bookman Old Style" w:cs="Arial"/>
        </w:rPr>
        <w:t xml:space="preserve">y </w:t>
      </w:r>
      <w:r w:rsidR="00AD2DFD" w:rsidRPr="00200F39">
        <w:rPr>
          <w:rFonts w:ascii="Bookman Old Style" w:hAnsi="Bookman Old Style" w:cs="Arial"/>
        </w:rPr>
        <w:t xml:space="preserve">desbalances </w:t>
      </w:r>
      <w:r w:rsidR="00AD2DFD">
        <w:rPr>
          <w:rFonts w:ascii="Bookman Old Style" w:hAnsi="Bookman Old Style" w:cs="Arial"/>
        </w:rPr>
        <w:t>en estaciones de puerta de ciudad con medición común a varios remitentes</w:t>
      </w:r>
      <w:r w:rsidR="004A435C">
        <w:rPr>
          <w:rFonts w:ascii="Bookman Old Style" w:hAnsi="Bookman Old Style" w:cs="Arial"/>
        </w:rPr>
        <w:t>,</w:t>
      </w:r>
      <w:r w:rsidR="00AD2DFD">
        <w:rPr>
          <w:rFonts w:ascii="Bookman Old Style" w:hAnsi="Bookman Old Style" w:cs="Arial"/>
        </w:rPr>
        <w:t xml:space="preserve"> y </w:t>
      </w:r>
      <w:r w:rsidR="00AD2DFD" w:rsidRPr="00200F39">
        <w:rPr>
          <w:rFonts w:ascii="Bookman Old Style" w:hAnsi="Bookman Old Style" w:cs="Arial"/>
        </w:rPr>
        <w:t>se modifica el parágrafo 5 del artículo 54 de la Resolución CREG 089 de 2013</w:t>
      </w:r>
      <w:r w:rsidR="00D9000E" w:rsidRPr="00F6673E">
        <w:rPr>
          <w:rFonts w:ascii="Bookman Old Style" w:hAnsi="Bookman Old Style"/>
        </w:rPr>
        <w:t>”</w:t>
      </w:r>
      <w:r w:rsidRPr="00782515">
        <w:rPr>
          <w:rFonts w:ascii="Bookman Old Style" w:hAnsi="Bookman Old Style" w:cs="Arial"/>
        </w:rPr>
        <w:t>.</w:t>
      </w:r>
    </w:p>
    <w:p w:rsidR="00F6673E" w:rsidRPr="00782515" w:rsidRDefault="00F6673E" w:rsidP="00782515">
      <w:pPr>
        <w:tabs>
          <w:tab w:val="left" w:pos="0"/>
        </w:tabs>
        <w:ind w:left="0"/>
        <w:jc w:val="both"/>
        <w:rPr>
          <w:rFonts w:ascii="Bookman Old Style" w:hAnsi="Bookman Old Style" w:cs="Arial"/>
        </w:rPr>
      </w:pPr>
    </w:p>
    <w:p w:rsidR="00F6673E" w:rsidRPr="00F6673E" w:rsidRDefault="00F6673E" w:rsidP="00F6673E">
      <w:pPr>
        <w:ind w:left="0"/>
        <w:jc w:val="both"/>
        <w:rPr>
          <w:rFonts w:ascii="Bookman Old Style" w:hAnsi="Bookman Old Style"/>
        </w:rPr>
      </w:pPr>
      <w:r w:rsidRPr="00F6673E">
        <w:rPr>
          <w:rFonts w:ascii="Bookman Old Style" w:hAnsi="Bookman Old Style"/>
          <w:b/>
        </w:rPr>
        <w:t>Artículo 2.</w:t>
      </w:r>
      <w:r w:rsidRPr="00F6673E">
        <w:rPr>
          <w:rFonts w:ascii="Bookman Old Style" w:hAnsi="Bookman Old Style" w:cs="Arial"/>
          <w:lang w:val="es-CO" w:eastAsia="es-CO"/>
        </w:rPr>
        <w:t xml:space="preserve"> Se invita a los agentes, a los usuarios, a las autoridades locales municipales y departamentales competentes, a la Superintendencia de </w:t>
      </w:r>
      <w:r w:rsidRPr="00F6673E">
        <w:rPr>
          <w:rFonts w:ascii="Bookman Old Style" w:hAnsi="Bookman Old Style" w:cs="Arial"/>
          <w:lang w:val="es-CO" w:eastAsia="es-CO"/>
        </w:rPr>
        <w:lastRenderedPageBreak/>
        <w:t xml:space="preserve">Servicios Públicos Domiciliarios y a la Superintendencia de Industria y Comercio para que remitan sus observaciones o sugerencias sobre la propuesta </w:t>
      </w:r>
      <w:r w:rsidR="001012DC">
        <w:rPr>
          <w:rFonts w:ascii="Bookman Old Style" w:hAnsi="Bookman Old Style" w:cs="Arial"/>
          <w:lang w:val="es-CO" w:eastAsia="es-CO"/>
        </w:rPr>
        <w:t xml:space="preserve">dentro de los </w:t>
      </w:r>
      <w:r w:rsidR="00B71A17">
        <w:rPr>
          <w:rFonts w:ascii="Bookman Old Style" w:hAnsi="Bookman Old Style" w:cs="Arial"/>
          <w:lang w:val="es-CO" w:eastAsia="es-CO"/>
        </w:rPr>
        <w:t>diez</w:t>
      </w:r>
      <w:r w:rsidR="001012DC">
        <w:rPr>
          <w:rFonts w:ascii="Bookman Old Style" w:hAnsi="Bookman Old Style" w:cs="Arial"/>
          <w:lang w:val="es-CO" w:eastAsia="es-CO"/>
        </w:rPr>
        <w:t xml:space="preserve"> días hábiles siguientes a la publicación de la propuesta en la página web de la CREG.</w:t>
      </w:r>
    </w:p>
    <w:p w:rsidR="00F6673E" w:rsidRPr="00F6673E" w:rsidRDefault="00F6673E" w:rsidP="00F6673E">
      <w:pPr>
        <w:ind w:left="0"/>
        <w:jc w:val="both"/>
        <w:rPr>
          <w:rFonts w:ascii="Bookman Old Style" w:hAnsi="Bookman Old Style"/>
        </w:rPr>
      </w:pPr>
    </w:p>
    <w:p w:rsidR="00F6673E" w:rsidRPr="00F6673E" w:rsidRDefault="00F6673E" w:rsidP="00F6673E">
      <w:pPr>
        <w:tabs>
          <w:tab w:val="left" w:pos="0"/>
        </w:tabs>
        <w:ind w:left="0"/>
        <w:jc w:val="both"/>
        <w:rPr>
          <w:rFonts w:ascii="Bookman Old Style" w:hAnsi="Bookman Old Style" w:cs="Arial"/>
        </w:rPr>
      </w:pPr>
      <w:r w:rsidRPr="00F6673E">
        <w:rPr>
          <w:rFonts w:ascii="Bookman Old Style" w:hAnsi="Bookman Old Style" w:cs="Arial"/>
          <w:b/>
          <w:bCs/>
        </w:rPr>
        <w:t>Artículo 3</w:t>
      </w:r>
      <w:r w:rsidRPr="00F6673E">
        <w:rPr>
          <w:rFonts w:ascii="Bookman Old Style" w:hAnsi="Bookman Old Style" w:cs="Arial"/>
          <w:b/>
        </w:rPr>
        <w:t>.</w:t>
      </w:r>
      <w:r w:rsidRPr="00F6673E">
        <w:rPr>
          <w:rFonts w:ascii="Bookman Old Style" w:hAnsi="Bookman Old Style" w:cs="Arial"/>
        </w:rPr>
        <w:t xml:space="preserve"> Las observaciones y sugerencias sobre el proyecto deberán dirigirse a Jorge Pinto Nolla, Director Ejecutivo de la Comisión, a la siguiente dirección: Avenida Calle 116 No. 7-15, Edificio Torre Cusezar, Interior 2, Oficina 901 o al correo electrónico creg@creg.gov.co.</w:t>
      </w:r>
    </w:p>
    <w:p w:rsidR="00F6673E" w:rsidRPr="00F6673E" w:rsidRDefault="00F6673E" w:rsidP="00F6673E">
      <w:pPr>
        <w:ind w:left="0"/>
        <w:jc w:val="both"/>
        <w:rPr>
          <w:rFonts w:ascii="Bookman Old Style" w:hAnsi="Bookman Old Style"/>
        </w:rPr>
      </w:pPr>
    </w:p>
    <w:p w:rsidR="00F6673E" w:rsidRPr="00F6673E" w:rsidRDefault="00F6673E" w:rsidP="00F6673E">
      <w:pPr>
        <w:tabs>
          <w:tab w:val="left" w:pos="0"/>
        </w:tabs>
        <w:ind w:left="0"/>
        <w:jc w:val="both"/>
        <w:rPr>
          <w:rFonts w:ascii="Bookman Old Style" w:hAnsi="Bookman Old Style" w:cs="Arial"/>
        </w:rPr>
      </w:pPr>
      <w:r w:rsidRPr="00F6673E">
        <w:rPr>
          <w:rFonts w:ascii="Bookman Old Style" w:hAnsi="Bookman Old Style" w:cs="Arial"/>
          <w:b/>
          <w:bCs/>
        </w:rPr>
        <w:t>Artículo 4</w:t>
      </w:r>
      <w:r w:rsidRPr="00F6673E">
        <w:rPr>
          <w:rFonts w:ascii="Bookman Old Style" w:hAnsi="Bookman Old Style" w:cs="Arial"/>
        </w:rPr>
        <w:t xml:space="preserve">. </w:t>
      </w:r>
      <w:r w:rsidR="00756749" w:rsidRPr="00F6673E">
        <w:rPr>
          <w:rFonts w:ascii="Bookman Old Style" w:hAnsi="Bookman Old Style"/>
          <w:color w:val="000000"/>
        </w:rPr>
        <w:t xml:space="preserve">La presente Resolución rige a partir de su publicación en </w:t>
      </w:r>
      <w:r w:rsidR="00756749">
        <w:rPr>
          <w:rFonts w:ascii="Bookman Old Style" w:hAnsi="Bookman Old Style"/>
          <w:color w:val="000000"/>
        </w:rPr>
        <w:t>la página Web de la CREG y</w:t>
      </w:r>
      <w:r w:rsidR="00756749" w:rsidRPr="00F6673E">
        <w:rPr>
          <w:rFonts w:ascii="Bookman Old Style" w:hAnsi="Bookman Old Style"/>
          <w:color w:val="000000"/>
        </w:rPr>
        <w:t xml:space="preserve"> </w:t>
      </w:r>
      <w:r w:rsidRPr="00F6673E">
        <w:rPr>
          <w:rFonts w:ascii="Bookman Old Style" w:hAnsi="Bookman Old Style" w:cs="Arial"/>
        </w:rPr>
        <w:t>no deroga disposiciones vigentes por tratarse de un acto de trámite.</w:t>
      </w:r>
    </w:p>
    <w:p w:rsidR="00F6673E" w:rsidRPr="00F6673E" w:rsidRDefault="00F6673E" w:rsidP="00F6673E">
      <w:pPr>
        <w:jc w:val="both"/>
        <w:rPr>
          <w:rFonts w:ascii="Bookman Old Style" w:hAnsi="Bookman Old Style"/>
        </w:rPr>
      </w:pPr>
    </w:p>
    <w:p w:rsidR="00F6673E" w:rsidRPr="00F6673E" w:rsidRDefault="00F6673E" w:rsidP="00F6673E">
      <w:pPr>
        <w:jc w:val="both"/>
        <w:rPr>
          <w:rFonts w:ascii="Bookman Old Style" w:hAnsi="Bookman Old Style"/>
        </w:rPr>
      </w:pPr>
    </w:p>
    <w:p w:rsidR="00F6673E" w:rsidRPr="00F6673E" w:rsidRDefault="00F6673E" w:rsidP="00F6673E">
      <w:pPr>
        <w:jc w:val="center"/>
        <w:rPr>
          <w:rFonts w:ascii="Bookman Old Style" w:hAnsi="Bookman Old Style"/>
          <w:b/>
        </w:rPr>
      </w:pPr>
      <w:r w:rsidRPr="00F6673E">
        <w:rPr>
          <w:rFonts w:ascii="Bookman Old Style" w:hAnsi="Bookman Old Style"/>
          <w:b/>
        </w:rPr>
        <w:t>PUBLÍQUESE Y CÚMPLASE</w:t>
      </w:r>
    </w:p>
    <w:p w:rsidR="00F6673E" w:rsidRPr="00F6673E" w:rsidRDefault="00F6673E" w:rsidP="00F6673E">
      <w:pPr>
        <w:jc w:val="both"/>
        <w:rPr>
          <w:rFonts w:ascii="Bookman Old Style" w:hAnsi="Bookman Old Style"/>
        </w:rPr>
      </w:pPr>
    </w:p>
    <w:p w:rsidR="00F6673E" w:rsidRPr="00F6673E" w:rsidRDefault="00F6673E" w:rsidP="00F6673E">
      <w:pPr>
        <w:ind w:left="0"/>
        <w:jc w:val="both"/>
        <w:rPr>
          <w:rFonts w:ascii="Bookman Old Style" w:hAnsi="Bookman Old Style"/>
        </w:rPr>
      </w:pPr>
      <w:r w:rsidRPr="00F6673E">
        <w:rPr>
          <w:rFonts w:ascii="Bookman Old Style" w:hAnsi="Bookman Old Style"/>
        </w:rPr>
        <w:t>Dada en Bogotá, D.C.</w:t>
      </w:r>
    </w:p>
    <w:p w:rsidR="00F6673E" w:rsidRPr="00F6673E" w:rsidRDefault="00F6673E" w:rsidP="00F6673E">
      <w:pPr>
        <w:jc w:val="both"/>
        <w:rPr>
          <w:rFonts w:ascii="Bookman Old Style" w:hAnsi="Bookman Old Style"/>
        </w:rPr>
      </w:pPr>
    </w:p>
    <w:p w:rsidR="00F6673E" w:rsidRPr="00F6673E" w:rsidRDefault="00F6673E" w:rsidP="00F6673E">
      <w:pPr>
        <w:jc w:val="both"/>
        <w:rPr>
          <w:rFonts w:ascii="Bookman Old Style" w:hAnsi="Bookman Old Style"/>
        </w:rPr>
      </w:pPr>
    </w:p>
    <w:p w:rsidR="00F6673E" w:rsidRDefault="00F6673E" w:rsidP="00F6673E">
      <w:pPr>
        <w:jc w:val="both"/>
        <w:rPr>
          <w:rFonts w:ascii="Bookman Old Style" w:hAnsi="Bookman Old Style"/>
        </w:rPr>
      </w:pPr>
    </w:p>
    <w:p w:rsidR="00756749" w:rsidRDefault="00756749" w:rsidP="00F6673E">
      <w:pPr>
        <w:jc w:val="both"/>
        <w:rPr>
          <w:rFonts w:ascii="Bookman Old Style" w:hAnsi="Bookman Old Style"/>
        </w:rPr>
      </w:pPr>
    </w:p>
    <w:p w:rsidR="00756749" w:rsidRPr="00F6673E" w:rsidRDefault="00756749" w:rsidP="00F6673E">
      <w:pPr>
        <w:jc w:val="both"/>
        <w:rPr>
          <w:rFonts w:ascii="Bookman Old Style" w:hAnsi="Bookman Old Style"/>
        </w:rPr>
      </w:pPr>
    </w:p>
    <w:tbl>
      <w:tblPr>
        <w:tblW w:w="9676" w:type="dxa"/>
        <w:jc w:val="center"/>
        <w:tblLook w:val="04A0" w:firstRow="1" w:lastRow="0" w:firstColumn="1" w:lastColumn="0" w:noHBand="0" w:noVBand="1"/>
      </w:tblPr>
      <w:tblGrid>
        <w:gridCol w:w="4928"/>
        <w:gridCol w:w="4748"/>
      </w:tblGrid>
      <w:tr w:rsidR="00756749" w:rsidTr="00CE1498">
        <w:trPr>
          <w:jc w:val="center"/>
        </w:trPr>
        <w:tc>
          <w:tcPr>
            <w:tcW w:w="4928" w:type="dxa"/>
            <w:hideMark/>
          </w:tcPr>
          <w:p w:rsidR="00756749" w:rsidRDefault="00756749" w:rsidP="00CE1498">
            <w:pPr>
              <w:ind w:left="0" w:right="-288"/>
              <w:rPr>
                <w:rFonts w:ascii="Bookman Old Style" w:hAnsi="Bookman Old Style"/>
                <w:b/>
              </w:rPr>
            </w:pPr>
            <w:r>
              <w:rPr>
                <w:rFonts w:ascii="Bookman Old Style" w:hAnsi="Bookman Old Style"/>
                <w:b/>
              </w:rPr>
              <w:t>CARLOS FERNANDO ERASO CALERO</w:t>
            </w:r>
          </w:p>
          <w:p w:rsidR="00756749" w:rsidRDefault="00756749" w:rsidP="00CE1498">
            <w:pPr>
              <w:ind w:left="0"/>
              <w:jc w:val="center"/>
              <w:rPr>
                <w:rFonts w:ascii="Bookman Old Style" w:hAnsi="Bookman Old Style"/>
              </w:rPr>
            </w:pPr>
            <w:r>
              <w:rPr>
                <w:rFonts w:ascii="Bookman Old Style" w:hAnsi="Bookman Old Style"/>
              </w:rPr>
              <w:t>Viceministro de Energía</w:t>
            </w:r>
          </w:p>
          <w:p w:rsidR="00756749" w:rsidRDefault="00756749" w:rsidP="00CE1498">
            <w:pPr>
              <w:ind w:left="-90" w:right="-160"/>
              <w:jc w:val="center"/>
              <w:rPr>
                <w:rFonts w:ascii="Bookman Old Style" w:hAnsi="Bookman Old Style"/>
                <w:bCs/>
                <w:lang w:val="es-CO"/>
              </w:rPr>
            </w:pPr>
            <w:r>
              <w:rPr>
                <w:rFonts w:ascii="Bookman Old Style" w:hAnsi="Bookman Old Style"/>
                <w:bCs/>
                <w:lang w:val="es-CO"/>
              </w:rPr>
              <w:t>Delegado del Ministro de Minas y Energía</w:t>
            </w:r>
          </w:p>
          <w:p w:rsidR="00756749" w:rsidRDefault="00756749" w:rsidP="00CE1498">
            <w:pPr>
              <w:ind w:left="142"/>
              <w:jc w:val="center"/>
              <w:rPr>
                <w:rFonts w:ascii="Bookman Old Style" w:hAnsi="Bookman Old Style"/>
                <w:bCs/>
                <w:lang w:val="es-CO"/>
              </w:rPr>
            </w:pPr>
            <w:r>
              <w:rPr>
                <w:rFonts w:ascii="Bookman Old Style" w:hAnsi="Bookman Old Style"/>
                <w:bCs/>
                <w:lang w:val="es-CO"/>
              </w:rPr>
              <w:t>Presidente</w:t>
            </w:r>
          </w:p>
        </w:tc>
        <w:tc>
          <w:tcPr>
            <w:tcW w:w="4748" w:type="dxa"/>
            <w:hideMark/>
          </w:tcPr>
          <w:p w:rsidR="00756749" w:rsidRDefault="00756749" w:rsidP="00CE1498">
            <w:pPr>
              <w:ind w:left="0"/>
              <w:jc w:val="center"/>
              <w:rPr>
                <w:rFonts w:ascii="Bookman Old Style" w:hAnsi="Bookman Old Style"/>
                <w:b/>
              </w:rPr>
            </w:pPr>
            <w:r>
              <w:rPr>
                <w:rFonts w:ascii="Bookman Old Style" w:hAnsi="Bookman Old Style"/>
                <w:b/>
              </w:rPr>
              <w:t>JORGE PINTO NOLLA</w:t>
            </w:r>
          </w:p>
          <w:p w:rsidR="00756749" w:rsidRDefault="00756749" w:rsidP="00CE1498">
            <w:pPr>
              <w:ind w:left="0"/>
              <w:jc w:val="center"/>
              <w:rPr>
                <w:rFonts w:ascii="Bookman Old Style" w:hAnsi="Bookman Old Style"/>
              </w:rPr>
            </w:pPr>
            <w:r>
              <w:rPr>
                <w:rFonts w:ascii="Bookman Old Style" w:hAnsi="Bookman Old Style"/>
              </w:rPr>
              <w:t>Director Ejecutivo</w:t>
            </w:r>
          </w:p>
        </w:tc>
      </w:tr>
    </w:tbl>
    <w:p w:rsidR="00F6673E" w:rsidRPr="00F6673E" w:rsidRDefault="00F6673E" w:rsidP="00F6673E">
      <w:pPr>
        <w:jc w:val="both"/>
        <w:rPr>
          <w:rFonts w:ascii="Bookman Old Style" w:hAnsi="Bookman Old Style"/>
        </w:rPr>
      </w:pPr>
    </w:p>
    <w:p w:rsidR="00F6673E" w:rsidRPr="00F6673E" w:rsidRDefault="00F6673E" w:rsidP="00F6673E">
      <w:pPr>
        <w:pStyle w:val="Encabezado"/>
        <w:tabs>
          <w:tab w:val="clear" w:pos="8504"/>
          <w:tab w:val="left" w:pos="0"/>
          <w:tab w:val="right" w:pos="9356"/>
        </w:tabs>
        <w:jc w:val="both"/>
        <w:rPr>
          <w:rFonts w:ascii="Bookman Old Style" w:hAnsi="Bookman Old Style"/>
          <w:color w:val="000000"/>
          <w:szCs w:val="24"/>
          <w:lang w:val="es-ES"/>
        </w:rPr>
      </w:pPr>
    </w:p>
    <w:p w:rsidR="00F6673E" w:rsidRPr="00F6673E" w:rsidRDefault="00F6673E" w:rsidP="00F6673E">
      <w:pPr>
        <w:pStyle w:val="Ttulo4"/>
        <w:tabs>
          <w:tab w:val="right" w:pos="9356"/>
        </w:tabs>
        <w:jc w:val="both"/>
        <w:rPr>
          <w:rFonts w:ascii="Bookman Old Style" w:hAnsi="Bookman Old Style"/>
          <w:b w:val="0"/>
          <w:bCs/>
          <w:sz w:val="24"/>
          <w:szCs w:val="24"/>
          <w:lang w:val="es-ES"/>
        </w:rPr>
      </w:pPr>
    </w:p>
    <w:p w:rsidR="00F6673E" w:rsidRPr="00F6673E" w:rsidRDefault="00F6673E" w:rsidP="00F6673E">
      <w:pPr>
        <w:pStyle w:val="Ttulo4"/>
        <w:tabs>
          <w:tab w:val="right" w:pos="9356"/>
        </w:tabs>
        <w:jc w:val="both"/>
        <w:rPr>
          <w:rFonts w:ascii="Bookman Old Style" w:hAnsi="Bookman Old Style"/>
          <w:b w:val="0"/>
          <w:bCs/>
          <w:sz w:val="24"/>
          <w:szCs w:val="24"/>
          <w:lang w:val="es-ES"/>
        </w:rPr>
      </w:pPr>
    </w:p>
    <w:p w:rsidR="00F6673E" w:rsidRPr="00F6673E" w:rsidRDefault="00F6673E" w:rsidP="00F6673E">
      <w:pPr>
        <w:jc w:val="both"/>
        <w:rPr>
          <w:rFonts w:ascii="Bookman Old Style" w:hAnsi="Bookman Old Style"/>
          <w:bCs/>
          <w:snapToGrid w:val="0"/>
          <w:color w:val="000000"/>
          <w:spacing w:val="20"/>
        </w:rPr>
      </w:pPr>
      <w:r w:rsidRPr="00F6673E">
        <w:rPr>
          <w:rFonts w:ascii="Bookman Old Style" w:hAnsi="Bookman Old Style"/>
          <w:b/>
          <w:bCs/>
          <w:color w:val="000000"/>
        </w:rPr>
        <w:br w:type="page"/>
      </w:r>
    </w:p>
    <w:p w:rsidR="009142A4" w:rsidRDefault="009142A4" w:rsidP="00F6673E">
      <w:pPr>
        <w:pStyle w:val="Ttulo4"/>
        <w:tabs>
          <w:tab w:val="right" w:pos="9356"/>
        </w:tabs>
        <w:rPr>
          <w:rFonts w:ascii="Bookman Old Style" w:hAnsi="Bookman Old Style"/>
          <w:bCs/>
          <w:sz w:val="24"/>
          <w:szCs w:val="24"/>
          <w:lang w:val="es-ES"/>
        </w:rPr>
      </w:pPr>
    </w:p>
    <w:p w:rsidR="00F6673E" w:rsidRPr="00F6673E" w:rsidRDefault="00F6673E" w:rsidP="00F6673E">
      <w:pPr>
        <w:pStyle w:val="Ttulo4"/>
        <w:tabs>
          <w:tab w:val="right" w:pos="9356"/>
        </w:tabs>
        <w:rPr>
          <w:rFonts w:ascii="Bookman Old Style" w:hAnsi="Bookman Old Style"/>
          <w:bCs/>
          <w:sz w:val="24"/>
          <w:szCs w:val="24"/>
          <w:lang w:val="es-ES"/>
        </w:rPr>
      </w:pPr>
      <w:r w:rsidRPr="00F6673E">
        <w:rPr>
          <w:rFonts w:ascii="Bookman Old Style" w:hAnsi="Bookman Old Style"/>
          <w:bCs/>
          <w:sz w:val="24"/>
          <w:szCs w:val="24"/>
          <w:lang w:val="es-ES"/>
        </w:rPr>
        <w:t>PROYECTO DE RESOLUCIÓN</w:t>
      </w:r>
    </w:p>
    <w:p w:rsidR="00F6673E" w:rsidRPr="00F6673E" w:rsidRDefault="00F6673E" w:rsidP="00F6673E">
      <w:pPr>
        <w:jc w:val="both"/>
        <w:rPr>
          <w:rFonts w:ascii="Bookman Old Style" w:hAnsi="Bookman Old Style"/>
        </w:rPr>
      </w:pPr>
    </w:p>
    <w:p w:rsidR="00F6673E" w:rsidRPr="00F6673E" w:rsidRDefault="00F6673E" w:rsidP="00F6673E">
      <w:pPr>
        <w:jc w:val="both"/>
        <w:rPr>
          <w:rFonts w:ascii="Bookman Old Style" w:hAnsi="Bookman Old Style"/>
        </w:rPr>
      </w:pPr>
    </w:p>
    <w:p w:rsidR="00F6673E" w:rsidRDefault="00AD2DFD" w:rsidP="00F6673E">
      <w:pPr>
        <w:ind w:left="0"/>
        <w:jc w:val="both"/>
        <w:rPr>
          <w:rFonts w:ascii="Bookman Old Style" w:hAnsi="Bookman Old Style"/>
        </w:rPr>
      </w:pPr>
      <w:r w:rsidRPr="00200F39">
        <w:rPr>
          <w:rFonts w:ascii="Bookman Old Style" w:hAnsi="Bookman Old Style" w:cs="Arial"/>
        </w:rPr>
        <w:t xml:space="preserve">Por la cual </w:t>
      </w:r>
      <w:r w:rsidR="00A223EB">
        <w:rPr>
          <w:rFonts w:ascii="Bookman Old Style" w:hAnsi="Bookman Old Style" w:cs="Arial"/>
        </w:rPr>
        <w:t xml:space="preserve">se </w:t>
      </w:r>
      <w:r w:rsidRPr="00200F39">
        <w:rPr>
          <w:rFonts w:ascii="Bookman Old Style" w:hAnsi="Bookman Old Style" w:cs="Arial"/>
        </w:rPr>
        <w:t xml:space="preserve">dictan disposiciones </w:t>
      </w:r>
      <w:r>
        <w:rPr>
          <w:rFonts w:ascii="Bookman Old Style" w:hAnsi="Bookman Old Style" w:cs="Arial"/>
        </w:rPr>
        <w:t xml:space="preserve">sobre </w:t>
      </w:r>
      <w:r w:rsidRPr="00200F39">
        <w:rPr>
          <w:rFonts w:ascii="Bookman Old Style" w:hAnsi="Bookman Old Style" w:cs="Arial"/>
        </w:rPr>
        <w:t xml:space="preserve">compensaciones </w:t>
      </w:r>
      <w:r>
        <w:rPr>
          <w:rFonts w:ascii="Bookman Old Style" w:hAnsi="Bookman Old Style" w:cs="Arial"/>
        </w:rPr>
        <w:t xml:space="preserve">y </w:t>
      </w:r>
      <w:r w:rsidRPr="00200F39">
        <w:rPr>
          <w:rFonts w:ascii="Bookman Old Style" w:hAnsi="Bookman Old Style" w:cs="Arial"/>
        </w:rPr>
        <w:t xml:space="preserve">desbalances </w:t>
      </w:r>
      <w:r>
        <w:rPr>
          <w:rFonts w:ascii="Bookman Old Style" w:hAnsi="Bookman Old Style" w:cs="Arial"/>
        </w:rPr>
        <w:t>en estaciones de puerta de ciudad con medición común a varios remitentes</w:t>
      </w:r>
      <w:r w:rsidR="00B2582E">
        <w:rPr>
          <w:rFonts w:ascii="Bookman Old Style" w:hAnsi="Bookman Old Style" w:cs="Arial"/>
        </w:rPr>
        <w:t xml:space="preserve"> dentro de un sistema de distribución,</w:t>
      </w:r>
      <w:r>
        <w:rPr>
          <w:rFonts w:ascii="Bookman Old Style" w:hAnsi="Bookman Old Style" w:cs="Arial"/>
        </w:rPr>
        <w:t xml:space="preserve"> y </w:t>
      </w:r>
      <w:r w:rsidRPr="00200F39">
        <w:rPr>
          <w:rFonts w:ascii="Bookman Old Style" w:hAnsi="Bookman Old Style" w:cs="Arial"/>
        </w:rPr>
        <w:t xml:space="preserve">se modifica el parágrafo 5 del </w:t>
      </w:r>
      <w:r w:rsidR="00215FE1">
        <w:rPr>
          <w:rFonts w:ascii="Bookman Old Style" w:hAnsi="Bookman Old Style" w:cs="Arial"/>
        </w:rPr>
        <w:t>A</w:t>
      </w:r>
      <w:r w:rsidRPr="00200F39">
        <w:rPr>
          <w:rFonts w:ascii="Bookman Old Style" w:hAnsi="Bookman Old Style" w:cs="Arial"/>
        </w:rPr>
        <w:t>rtículo 54 de la Resolución CREG 089 de 2013</w:t>
      </w:r>
    </w:p>
    <w:p w:rsidR="001012DC" w:rsidRDefault="001012DC" w:rsidP="00F6673E">
      <w:pPr>
        <w:ind w:left="0"/>
        <w:jc w:val="both"/>
        <w:rPr>
          <w:rFonts w:ascii="Bookman Old Style" w:hAnsi="Bookman Old Style" w:cs="Arial"/>
          <w:b/>
          <w:bCs/>
          <w:color w:val="000000"/>
          <w:lang w:eastAsia="es-CO"/>
        </w:rPr>
      </w:pPr>
    </w:p>
    <w:p w:rsidR="001012DC" w:rsidRPr="00F6673E" w:rsidRDefault="001012DC" w:rsidP="00F6673E">
      <w:pPr>
        <w:ind w:left="0"/>
        <w:jc w:val="both"/>
        <w:rPr>
          <w:rFonts w:ascii="Bookman Old Style" w:hAnsi="Bookman Old Style" w:cs="Arial"/>
          <w:b/>
          <w:bCs/>
          <w:color w:val="000000"/>
          <w:lang w:eastAsia="es-CO"/>
        </w:rPr>
      </w:pPr>
    </w:p>
    <w:p w:rsidR="00F6673E" w:rsidRPr="00F6673E" w:rsidRDefault="00F6673E" w:rsidP="00F6673E">
      <w:pPr>
        <w:ind w:left="0"/>
        <w:jc w:val="center"/>
        <w:rPr>
          <w:rFonts w:ascii="Bookman Old Style" w:hAnsi="Bookman Old Style" w:cs="Arial"/>
          <w:color w:val="000000"/>
          <w:lang w:eastAsia="es-CO"/>
        </w:rPr>
      </w:pPr>
      <w:r w:rsidRPr="00F6673E">
        <w:rPr>
          <w:rFonts w:ascii="Bookman Old Style" w:hAnsi="Bookman Old Style" w:cs="Arial"/>
          <w:b/>
          <w:bCs/>
          <w:color w:val="000000"/>
          <w:lang w:eastAsia="es-CO"/>
        </w:rPr>
        <w:t>LA COMISIÓN DE REGULACIÓN DE ENERGÍA Y GAS</w:t>
      </w:r>
    </w:p>
    <w:p w:rsidR="00F6673E" w:rsidRPr="00F6673E" w:rsidRDefault="00F6673E" w:rsidP="00F6673E">
      <w:pPr>
        <w:ind w:left="0"/>
        <w:jc w:val="both"/>
        <w:rPr>
          <w:rFonts w:ascii="Bookman Old Style" w:hAnsi="Bookman Old Style" w:cs="Arial"/>
          <w:color w:val="000000"/>
          <w:lang w:eastAsia="es-CO"/>
        </w:rPr>
      </w:pPr>
    </w:p>
    <w:p w:rsidR="00F6673E" w:rsidRPr="00F6673E" w:rsidRDefault="00F6673E" w:rsidP="00F6673E">
      <w:pPr>
        <w:ind w:left="0"/>
        <w:jc w:val="both"/>
        <w:rPr>
          <w:rFonts w:ascii="Bookman Old Style" w:hAnsi="Bookman Old Style" w:cs="Arial"/>
          <w:color w:val="000000"/>
          <w:lang w:eastAsia="es-CO"/>
        </w:rPr>
      </w:pPr>
    </w:p>
    <w:p w:rsidR="00F6673E" w:rsidRPr="00F6673E" w:rsidRDefault="00F6673E" w:rsidP="00F6673E">
      <w:pPr>
        <w:ind w:left="0"/>
        <w:jc w:val="both"/>
        <w:rPr>
          <w:rFonts w:ascii="Bookman Old Style" w:hAnsi="Bookman Old Style" w:cs="Arial"/>
          <w:color w:val="000000"/>
          <w:lang w:eastAsia="es-CO"/>
        </w:rPr>
      </w:pPr>
      <w:r w:rsidRPr="00F6673E">
        <w:rPr>
          <w:rFonts w:ascii="Bookman Old Style" w:hAnsi="Bookman Old Style" w:cs="Arial"/>
          <w:color w:val="000000"/>
          <w:lang w:eastAsia="es-CO"/>
        </w:rPr>
        <w:t>En ejercicio de sus facultades legales, en especial de las conferidas por la Ley 142 de 1994, y en desarrollo de</w:t>
      </w:r>
      <w:r w:rsidR="00B06C61">
        <w:rPr>
          <w:rFonts w:ascii="Bookman Old Style" w:hAnsi="Bookman Old Style" w:cs="Arial"/>
          <w:color w:val="000000"/>
          <w:lang w:eastAsia="es-CO"/>
        </w:rPr>
        <w:t xml:space="preserve"> </w:t>
      </w:r>
      <w:r w:rsidRPr="00F6673E">
        <w:rPr>
          <w:rFonts w:ascii="Bookman Old Style" w:hAnsi="Bookman Old Style" w:cs="Arial"/>
          <w:color w:val="000000"/>
          <w:lang w:eastAsia="es-CO"/>
        </w:rPr>
        <w:t>l</w:t>
      </w:r>
      <w:r w:rsidR="00B06C61">
        <w:rPr>
          <w:rFonts w:ascii="Bookman Old Style" w:hAnsi="Bookman Old Style" w:cs="Arial"/>
          <w:color w:val="000000"/>
          <w:lang w:eastAsia="es-CO"/>
        </w:rPr>
        <w:t>os</w:t>
      </w:r>
      <w:r w:rsidRPr="00F6673E">
        <w:rPr>
          <w:rFonts w:ascii="Bookman Old Style" w:hAnsi="Bookman Old Style" w:cs="Arial"/>
          <w:color w:val="000000"/>
          <w:lang w:eastAsia="es-CO"/>
        </w:rPr>
        <w:t xml:space="preserve"> </w:t>
      </w:r>
      <w:r w:rsidR="00B06C61">
        <w:rPr>
          <w:rFonts w:ascii="Bookman Old Style" w:hAnsi="Bookman Old Style" w:cs="Arial"/>
          <w:color w:val="000000"/>
          <w:lang w:eastAsia="es-CO"/>
        </w:rPr>
        <w:t>d</w:t>
      </w:r>
      <w:r w:rsidRPr="00F6673E">
        <w:rPr>
          <w:rFonts w:ascii="Bookman Old Style" w:hAnsi="Bookman Old Style" w:cs="Arial"/>
          <w:color w:val="000000"/>
          <w:lang w:eastAsia="es-CO"/>
        </w:rPr>
        <w:t>ecreto 2253 de 1994 y</w:t>
      </w:r>
      <w:r w:rsidR="00B06C61">
        <w:rPr>
          <w:rFonts w:ascii="Bookman Old Style" w:hAnsi="Bookman Old Style" w:cs="Arial"/>
          <w:color w:val="000000"/>
          <w:lang w:eastAsia="es-CO"/>
        </w:rPr>
        <w:t xml:space="preserve"> 1260 de 2013 y</w:t>
      </w:r>
    </w:p>
    <w:p w:rsidR="00F6673E" w:rsidRPr="00F6673E" w:rsidRDefault="00F6673E" w:rsidP="00F6673E">
      <w:pPr>
        <w:ind w:left="0"/>
        <w:jc w:val="both"/>
        <w:rPr>
          <w:rFonts w:ascii="Bookman Old Style" w:hAnsi="Bookman Old Style" w:cs="Arial"/>
          <w:color w:val="000000"/>
          <w:lang w:eastAsia="es-CO"/>
        </w:rPr>
      </w:pPr>
    </w:p>
    <w:p w:rsidR="00F6673E" w:rsidRPr="00F6673E" w:rsidRDefault="00F6673E" w:rsidP="00F6673E">
      <w:pPr>
        <w:ind w:left="0"/>
        <w:jc w:val="both"/>
        <w:rPr>
          <w:rFonts w:ascii="Bookman Old Style" w:hAnsi="Bookman Old Style" w:cs="Arial"/>
          <w:color w:val="000000"/>
          <w:lang w:eastAsia="es-CO"/>
        </w:rPr>
      </w:pPr>
    </w:p>
    <w:p w:rsidR="00F6673E" w:rsidRPr="00F6673E" w:rsidRDefault="00F6673E" w:rsidP="00F6673E">
      <w:pPr>
        <w:ind w:left="0"/>
        <w:jc w:val="center"/>
        <w:rPr>
          <w:rFonts w:ascii="Bookman Old Style" w:hAnsi="Bookman Old Style" w:cs="Arial"/>
          <w:b/>
          <w:bCs/>
          <w:color w:val="000000"/>
          <w:lang w:val="pt-BR" w:eastAsia="es-CO"/>
        </w:rPr>
      </w:pPr>
      <w:r w:rsidRPr="00F6673E">
        <w:rPr>
          <w:rFonts w:ascii="Bookman Old Style" w:hAnsi="Bookman Old Style" w:cs="Arial"/>
          <w:b/>
          <w:bCs/>
          <w:color w:val="000000"/>
          <w:lang w:val="pt-BR" w:eastAsia="es-CO"/>
        </w:rPr>
        <w:t>C O N S I D E R A N D O  Q U E:</w:t>
      </w:r>
    </w:p>
    <w:p w:rsidR="00F6673E" w:rsidRPr="00F6673E" w:rsidRDefault="00F6673E" w:rsidP="00F6673E">
      <w:pPr>
        <w:ind w:left="0"/>
        <w:jc w:val="both"/>
        <w:rPr>
          <w:rFonts w:ascii="Bookman Old Style" w:hAnsi="Bookman Old Style" w:cs="Arial"/>
          <w:color w:val="000000"/>
          <w:lang w:val="pt-BR" w:eastAsia="es-CO"/>
        </w:rPr>
      </w:pPr>
    </w:p>
    <w:p w:rsidR="00F6673E" w:rsidRPr="00F6673E" w:rsidRDefault="00F6673E" w:rsidP="00F6673E">
      <w:pPr>
        <w:ind w:left="0"/>
        <w:jc w:val="both"/>
        <w:rPr>
          <w:rFonts w:ascii="Bookman Old Style" w:hAnsi="Bookman Old Style" w:cs="Arial"/>
          <w:color w:val="000000"/>
          <w:lang w:val="pt-BR"/>
        </w:rPr>
      </w:pPr>
    </w:p>
    <w:p w:rsidR="000147A6" w:rsidRDefault="000147A6" w:rsidP="00F6673E">
      <w:pPr>
        <w:ind w:left="0"/>
        <w:jc w:val="both"/>
        <w:rPr>
          <w:rFonts w:ascii="Bookman Old Style" w:hAnsi="Bookman Old Style" w:cs="Arial"/>
          <w:color w:val="000000"/>
        </w:rPr>
      </w:pPr>
      <w:r w:rsidRPr="007741CF">
        <w:rPr>
          <w:rFonts w:ascii="Bookman Old Style" w:hAnsi="Bookman Old Style" w:cs="Arial"/>
          <w:color w:val="000000"/>
        </w:rPr>
        <w:t xml:space="preserve">De acuerdo con lo establecido en el literal c) del </w:t>
      </w:r>
      <w:r>
        <w:rPr>
          <w:rFonts w:ascii="Bookman Old Style" w:hAnsi="Bookman Old Style" w:cs="Arial"/>
          <w:color w:val="000000"/>
        </w:rPr>
        <w:t xml:space="preserve">numeral 74.1 del </w:t>
      </w:r>
      <w:r w:rsidR="00215FE1">
        <w:rPr>
          <w:rFonts w:ascii="Bookman Old Style" w:hAnsi="Bookman Old Style" w:cs="Arial"/>
          <w:color w:val="000000"/>
        </w:rPr>
        <w:t>A</w:t>
      </w:r>
      <w:r w:rsidRPr="007741CF">
        <w:rPr>
          <w:rFonts w:ascii="Bookman Old Style" w:hAnsi="Bookman Old Style" w:cs="Arial"/>
          <w:color w:val="000000"/>
        </w:rPr>
        <w:t>rtículo 74 de la Ley 142 de 1994, es función de la CREG establecer el reglamento de operación para regular el funcionamiento del mercado mayorista de gas combustible.</w:t>
      </w:r>
    </w:p>
    <w:p w:rsidR="000147A6" w:rsidRDefault="000147A6" w:rsidP="00F6673E">
      <w:pPr>
        <w:ind w:left="0"/>
        <w:jc w:val="both"/>
        <w:rPr>
          <w:rFonts w:ascii="Bookman Old Style" w:hAnsi="Bookman Old Style" w:cs="Arial"/>
          <w:color w:val="000000"/>
        </w:rPr>
      </w:pPr>
    </w:p>
    <w:p w:rsidR="000147A6" w:rsidRPr="007741CF" w:rsidRDefault="000147A6" w:rsidP="000147A6">
      <w:pPr>
        <w:ind w:left="0"/>
        <w:jc w:val="both"/>
        <w:rPr>
          <w:rFonts w:ascii="Bookman Old Style" w:hAnsi="Bookman Old Style" w:cs="Arial"/>
          <w:color w:val="000000"/>
        </w:rPr>
      </w:pPr>
      <w:r w:rsidRPr="007741CF">
        <w:rPr>
          <w:rFonts w:ascii="Bookman Old Style" w:hAnsi="Bookman Old Style" w:cs="Arial"/>
          <w:color w:val="000000"/>
        </w:rPr>
        <w:t>Los Códigos Civil y de Comercio regulan los contratos de suministro, compraventa y transporte.</w:t>
      </w:r>
    </w:p>
    <w:p w:rsidR="000147A6" w:rsidRPr="007741CF" w:rsidRDefault="000147A6" w:rsidP="000147A6">
      <w:pPr>
        <w:ind w:left="0"/>
        <w:jc w:val="both"/>
        <w:rPr>
          <w:rFonts w:ascii="Bookman Old Style" w:hAnsi="Bookman Old Style" w:cs="Arial"/>
          <w:color w:val="000000"/>
        </w:rPr>
      </w:pPr>
    </w:p>
    <w:p w:rsidR="000147A6" w:rsidRDefault="000147A6" w:rsidP="000147A6">
      <w:pPr>
        <w:ind w:left="0"/>
        <w:jc w:val="both"/>
        <w:rPr>
          <w:rFonts w:ascii="Bookman Old Style" w:hAnsi="Bookman Old Style" w:cs="Arial"/>
          <w:color w:val="000000"/>
        </w:rPr>
      </w:pPr>
      <w:r w:rsidRPr="007741CF">
        <w:rPr>
          <w:rFonts w:ascii="Bookman Old Style" w:hAnsi="Bookman Old Style"/>
          <w:color w:val="000000"/>
        </w:rPr>
        <w:t xml:space="preserve">De acuerdo con lo establecido en el </w:t>
      </w:r>
      <w:r w:rsidR="00215FE1">
        <w:rPr>
          <w:rFonts w:ascii="Bookman Old Style" w:hAnsi="Bookman Old Style"/>
          <w:color w:val="000000"/>
        </w:rPr>
        <w:t>A</w:t>
      </w:r>
      <w:r w:rsidRPr="007741CF">
        <w:rPr>
          <w:rFonts w:ascii="Bookman Old Style" w:hAnsi="Bookman Old Style"/>
          <w:color w:val="000000"/>
        </w:rPr>
        <w:t>rtículo 978 del Código de Comercio, cuando la prestación de un servicio público est</w:t>
      </w:r>
      <w:r>
        <w:rPr>
          <w:rFonts w:ascii="Bookman Old Style" w:hAnsi="Bookman Old Style"/>
          <w:color w:val="000000"/>
        </w:rPr>
        <w:t>é</w:t>
      </w:r>
      <w:r w:rsidRPr="007741CF">
        <w:rPr>
          <w:rFonts w:ascii="Bookman Old Style" w:hAnsi="Bookman Old Style"/>
          <w:color w:val="000000"/>
        </w:rPr>
        <w:t xml:space="preserve"> regulada por el Gobierno, las condiciones de los contratos deberán sujetarse a los respectivos reglamentos.</w:t>
      </w:r>
    </w:p>
    <w:p w:rsidR="000147A6" w:rsidRDefault="000147A6" w:rsidP="00F6673E">
      <w:pPr>
        <w:ind w:left="0"/>
        <w:jc w:val="both"/>
        <w:rPr>
          <w:rFonts w:ascii="Bookman Old Style" w:hAnsi="Bookman Old Style" w:cs="Arial"/>
          <w:color w:val="000000"/>
        </w:rPr>
      </w:pPr>
    </w:p>
    <w:p w:rsidR="000147A6" w:rsidRPr="007741CF" w:rsidRDefault="000147A6" w:rsidP="000147A6">
      <w:pPr>
        <w:ind w:left="0"/>
        <w:jc w:val="both"/>
        <w:rPr>
          <w:rFonts w:ascii="Bookman Old Style" w:hAnsi="Bookman Old Style" w:cs="Arial"/>
          <w:color w:val="000000"/>
        </w:rPr>
      </w:pPr>
      <w:r w:rsidRPr="007741CF">
        <w:rPr>
          <w:rFonts w:ascii="Bookman Old Style" w:hAnsi="Bookman Old Style" w:cs="Arial"/>
          <w:color w:val="000000"/>
        </w:rPr>
        <w:t>Mediante la Resolución CREG 071 de 1999, y otras que la han modificado y complementado, la CREG adoptó el reglamento único de transporte de gas natural, RUT.</w:t>
      </w:r>
    </w:p>
    <w:p w:rsidR="000147A6" w:rsidRDefault="000147A6" w:rsidP="000147A6">
      <w:pPr>
        <w:ind w:left="0"/>
        <w:jc w:val="both"/>
        <w:rPr>
          <w:rFonts w:ascii="Bookman Old Style" w:hAnsi="Bookman Old Style" w:cs="Arial"/>
          <w:color w:val="000000"/>
        </w:rPr>
      </w:pPr>
    </w:p>
    <w:p w:rsidR="000147A6" w:rsidRDefault="000147A6" w:rsidP="000147A6">
      <w:pPr>
        <w:ind w:left="0"/>
        <w:jc w:val="both"/>
        <w:rPr>
          <w:rFonts w:ascii="Bookman Old Style" w:hAnsi="Bookman Old Style" w:cs="Arial"/>
          <w:color w:val="000000"/>
        </w:rPr>
      </w:pPr>
      <w:r w:rsidRPr="007741CF">
        <w:rPr>
          <w:rFonts w:ascii="Bookman Old Style" w:hAnsi="Bookman Old Style" w:cs="Arial"/>
          <w:color w:val="000000"/>
        </w:rPr>
        <w:t>En el numeral 1.3 del RUT se establece que “(l)a iniciativa para la reforma del Reglamento también será de la Comisión si ésta estima que debe adecuarse a la evolución de la industria, que contraría las regulaciones generales sobre el servicio, que va en detrimento de mayor concurrencia entre oferentes y demandantes del suministro o del libre acceso y uso del servicio de transporte y otros servicios asociados”.</w:t>
      </w:r>
    </w:p>
    <w:p w:rsidR="000147A6" w:rsidRDefault="000147A6" w:rsidP="00F6673E">
      <w:pPr>
        <w:ind w:left="0"/>
        <w:jc w:val="both"/>
        <w:rPr>
          <w:rFonts w:ascii="Bookman Old Style" w:hAnsi="Bookman Old Style" w:cs="Arial"/>
          <w:color w:val="000000"/>
        </w:rPr>
      </w:pPr>
    </w:p>
    <w:p w:rsidR="000147A6" w:rsidRPr="007741CF" w:rsidRDefault="000147A6" w:rsidP="000147A6">
      <w:pPr>
        <w:ind w:left="0"/>
        <w:jc w:val="both"/>
        <w:rPr>
          <w:rFonts w:ascii="Bookman Old Style" w:hAnsi="Bookman Old Style" w:cs="Arial"/>
          <w:color w:val="000000"/>
        </w:rPr>
      </w:pPr>
      <w:r w:rsidRPr="007741CF">
        <w:rPr>
          <w:rFonts w:ascii="Bookman Old Style" w:hAnsi="Bookman Old Style" w:cs="Arial"/>
          <w:color w:val="000000"/>
        </w:rPr>
        <w:t xml:space="preserve">En el RUT se </w:t>
      </w:r>
      <w:r>
        <w:rPr>
          <w:rFonts w:ascii="Bookman Old Style" w:hAnsi="Bookman Old Style" w:cs="Arial"/>
          <w:color w:val="000000"/>
        </w:rPr>
        <w:t xml:space="preserve">definió la </w:t>
      </w:r>
      <w:r w:rsidRPr="007741CF">
        <w:rPr>
          <w:rFonts w:ascii="Bookman Old Style" w:hAnsi="Bookman Old Style" w:cs="Arial"/>
          <w:color w:val="000000"/>
        </w:rPr>
        <w:t>variaci</w:t>
      </w:r>
      <w:r>
        <w:rPr>
          <w:rFonts w:ascii="Bookman Old Style" w:hAnsi="Bookman Old Style" w:cs="Arial"/>
          <w:color w:val="000000"/>
        </w:rPr>
        <w:t>ó</w:t>
      </w:r>
      <w:r w:rsidRPr="007741CF">
        <w:rPr>
          <w:rFonts w:ascii="Bookman Old Style" w:hAnsi="Bookman Old Style" w:cs="Arial"/>
          <w:color w:val="000000"/>
        </w:rPr>
        <w:t>n de salida</w:t>
      </w:r>
      <w:r>
        <w:rPr>
          <w:rFonts w:ascii="Bookman Old Style" w:hAnsi="Bookman Old Style" w:cs="Arial"/>
          <w:color w:val="000000"/>
        </w:rPr>
        <w:t xml:space="preserve"> y se previó que las variaciones </w:t>
      </w:r>
      <w:r w:rsidRPr="007741CF">
        <w:rPr>
          <w:rFonts w:ascii="Bookman Old Style" w:hAnsi="Bookman Old Style" w:cs="Arial"/>
          <w:color w:val="000000"/>
        </w:rPr>
        <w:t xml:space="preserve">causadas por los participantes del mercado serán objeto de compensaciones. </w:t>
      </w:r>
    </w:p>
    <w:p w:rsidR="000147A6" w:rsidRDefault="000147A6" w:rsidP="000147A6">
      <w:pPr>
        <w:ind w:left="0"/>
        <w:jc w:val="both"/>
        <w:rPr>
          <w:rFonts w:ascii="Bookman Old Style" w:hAnsi="Bookman Old Style" w:cs="Arial"/>
          <w:color w:val="000000"/>
        </w:rPr>
      </w:pPr>
    </w:p>
    <w:p w:rsidR="000147A6" w:rsidRDefault="000147A6" w:rsidP="000147A6">
      <w:pPr>
        <w:ind w:left="0"/>
        <w:jc w:val="both"/>
        <w:rPr>
          <w:rFonts w:ascii="Bookman Old Style" w:hAnsi="Bookman Old Style" w:cs="Arial"/>
          <w:color w:val="000000"/>
        </w:rPr>
      </w:pPr>
      <w:r>
        <w:rPr>
          <w:rFonts w:ascii="Bookman Old Style" w:hAnsi="Bookman Old Style" w:cs="Arial"/>
          <w:color w:val="000000"/>
        </w:rPr>
        <w:t>En el RUT se define el desbalance de energía como “la diferencia entre la Cantidad de Energía Entregada y la Cantidad de Energía Tomada por un Remitente en un Día de Gas”.</w:t>
      </w:r>
    </w:p>
    <w:p w:rsidR="000147A6" w:rsidRDefault="000147A6" w:rsidP="00F6673E">
      <w:pPr>
        <w:ind w:left="0"/>
        <w:jc w:val="both"/>
        <w:rPr>
          <w:rFonts w:ascii="Bookman Old Style" w:hAnsi="Bookman Old Style" w:cs="Arial"/>
          <w:color w:val="000000"/>
        </w:rPr>
      </w:pPr>
    </w:p>
    <w:p w:rsidR="00F6673E" w:rsidRPr="00F6673E" w:rsidRDefault="00F6673E" w:rsidP="00F6673E">
      <w:pPr>
        <w:ind w:left="0"/>
        <w:jc w:val="both"/>
        <w:rPr>
          <w:rFonts w:ascii="Bookman Old Style" w:hAnsi="Bookman Old Style" w:cs="Arial"/>
          <w:color w:val="000000"/>
        </w:rPr>
      </w:pPr>
      <w:r w:rsidRPr="00F6673E">
        <w:rPr>
          <w:rFonts w:ascii="Bookman Old Style" w:hAnsi="Bookman Old Style" w:cs="Arial"/>
          <w:color w:val="000000"/>
        </w:rPr>
        <w:t>Mediante la Resolución CREG 089 de 2013, la CREG expidió disposiciones relacionadas con los aspectos comerciales del mercado mayorista de gas natural, que hacen parte del reglamento de operación de gas natural. La resolución mencionada contiene el conjunto de disposiciones aplicables a las negociaciones del suministro y del transporte del gas natural utilizado efectivamente como combustible que se realicen en el mercado primario y en el mercado secundario.</w:t>
      </w:r>
    </w:p>
    <w:p w:rsidR="00F6673E" w:rsidRPr="00F6673E" w:rsidRDefault="00F6673E" w:rsidP="00F6673E">
      <w:pPr>
        <w:jc w:val="both"/>
        <w:rPr>
          <w:rFonts w:ascii="Bookman Old Style" w:hAnsi="Bookman Old Style" w:cs="Arial"/>
          <w:color w:val="000000"/>
        </w:rPr>
      </w:pPr>
    </w:p>
    <w:p w:rsidR="003D2472" w:rsidRPr="003D2472" w:rsidRDefault="003D2472" w:rsidP="003D2472">
      <w:pPr>
        <w:ind w:left="0"/>
        <w:jc w:val="both"/>
        <w:rPr>
          <w:rFonts w:ascii="Bookman Old Style" w:hAnsi="Bookman Old Style" w:cs="Arial"/>
          <w:color w:val="000000"/>
        </w:rPr>
      </w:pPr>
      <w:r w:rsidRPr="004910F8">
        <w:rPr>
          <w:rFonts w:ascii="Bookman Old Style" w:hAnsi="Bookman Old Style" w:cs="Arial"/>
          <w:color w:val="000000"/>
        </w:rPr>
        <w:t xml:space="preserve">En </w:t>
      </w:r>
      <w:r w:rsidR="00DD705C">
        <w:rPr>
          <w:rFonts w:ascii="Bookman Old Style" w:hAnsi="Bookman Old Style" w:cs="Arial"/>
          <w:color w:val="000000"/>
        </w:rPr>
        <w:t xml:space="preserve">el </w:t>
      </w:r>
      <w:r w:rsidR="00215FE1">
        <w:rPr>
          <w:rFonts w:ascii="Bookman Old Style" w:hAnsi="Bookman Old Style" w:cs="Arial"/>
          <w:color w:val="000000"/>
        </w:rPr>
        <w:t>A</w:t>
      </w:r>
      <w:r w:rsidR="00DD705C">
        <w:rPr>
          <w:rFonts w:ascii="Bookman Old Style" w:hAnsi="Bookman Old Style" w:cs="Arial"/>
          <w:color w:val="000000"/>
        </w:rPr>
        <w:t xml:space="preserve">rtículo </w:t>
      </w:r>
      <w:r w:rsidR="003E042A">
        <w:rPr>
          <w:rFonts w:ascii="Bookman Old Style" w:hAnsi="Bookman Old Style" w:cs="Arial"/>
          <w:color w:val="000000"/>
        </w:rPr>
        <w:t>3</w:t>
      </w:r>
      <w:r w:rsidR="00DD705C">
        <w:rPr>
          <w:rFonts w:ascii="Bookman Old Style" w:hAnsi="Bookman Old Style" w:cs="Arial"/>
          <w:color w:val="000000"/>
        </w:rPr>
        <w:t xml:space="preserve"> </w:t>
      </w:r>
      <w:r w:rsidRPr="004910F8">
        <w:rPr>
          <w:rFonts w:ascii="Bookman Old Style" w:hAnsi="Bookman Old Style" w:cs="Arial"/>
          <w:color w:val="000000"/>
        </w:rPr>
        <w:t>la Resolución CREG 089 de 2013</w:t>
      </w:r>
      <w:r w:rsidR="003E042A">
        <w:rPr>
          <w:rFonts w:ascii="Bookman Old Style" w:hAnsi="Bookman Old Style" w:cs="Arial"/>
          <w:color w:val="000000"/>
        </w:rPr>
        <w:t>, modificado mediante la Resolución CREG 088 de 2015,</w:t>
      </w:r>
      <w:r w:rsidR="00FA62DD">
        <w:rPr>
          <w:rFonts w:ascii="Bookman Old Style" w:hAnsi="Bookman Old Style" w:cs="Arial"/>
          <w:color w:val="000000"/>
        </w:rPr>
        <w:t xml:space="preserve"> </w:t>
      </w:r>
      <w:r w:rsidRPr="004910F8">
        <w:rPr>
          <w:rFonts w:ascii="Bookman Old Style" w:hAnsi="Bookman Old Style" w:cs="Arial"/>
          <w:color w:val="000000"/>
        </w:rPr>
        <w:t xml:space="preserve">se </w:t>
      </w:r>
      <w:r w:rsidR="00547A9F">
        <w:rPr>
          <w:rFonts w:ascii="Bookman Old Style" w:hAnsi="Bookman Old Style" w:cs="Arial"/>
          <w:color w:val="000000"/>
        </w:rPr>
        <w:t>estableció</w:t>
      </w:r>
      <w:r w:rsidR="000147A6">
        <w:rPr>
          <w:rFonts w:ascii="Bookman Old Style" w:hAnsi="Bookman Old Style" w:cs="Arial"/>
          <w:color w:val="000000"/>
        </w:rPr>
        <w:t xml:space="preserve"> la </w:t>
      </w:r>
      <w:r w:rsidRPr="004910F8">
        <w:rPr>
          <w:rFonts w:ascii="Bookman Old Style" w:hAnsi="Bookman Old Style" w:cs="Arial"/>
          <w:color w:val="000000"/>
        </w:rPr>
        <w:t>defin</w:t>
      </w:r>
      <w:r w:rsidR="000147A6">
        <w:rPr>
          <w:rFonts w:ascii="Bookman Old Style" w:hAnsi="Bookman Old Style" w:cs="Arial"/>
          <w:color w:val="000000"/>
        </w:rPr>
        <w:t xml:space="preserve">ición de </w:t>
      </w:r>
      <w:r w:rsidRPr="004910F8">
        <w:rPr>
          <w:rFonts w:ascii="Bookman Old Style" w:hAnsi="Bookman Old Style" w:cs="Arial"/>
          <w:color w:val="000000"/>
        </w:rPr>
        <w:t>variaci</w:t>
      </w:r>
      <w:r w:rsidR="000147A6">
        <w:rPr>
          <w:rFonts w:ascii="Bookman Old Style" w:hAnsi="Bookman Old Style" w:cs="Arial"/>
          <w:color w:val="000000"/>
        </w:rPr>
        <w:t xml:space="preserve">ón </w:t>
      </w:r>
      <w:r w:rsidRPr="004910F8">
        <w:rPr>
          <w:rFonts w:ascii="Bookman Old Style" w:hAnsi="Bookman Old Style" w:cs="Arial"/>
          <w:color w:val="000000"/>
        </w:rPr>
        <w:t>de salida en el sistema nacional de transporte de gas natural, SN</w:t>
      </w:r>
      <w:r w:rsidRPr="00FB138D">
        <w:rPr>
          <w:rFonts w:ascii="Bookman Old Style" w:hAnsi="Bookman Old Style" w:cs="Arial"/>
          <w:color w:val="000000"/>
        </w:rPr>
        <w:t>T</w:t>
      </w:r>
      <w:r w:rsidR="00630B67" w:rsidRPr="00FB138D">
        <w:rPr>
          <w:rFonts w:ascii="Bookman Old Style" w:hAnsi="Bookman Old Style" w:cs="Arial"/>
          <w:color w:val="000000"/>
        </w:rPr>
        <w:t>.</w:t>
      </w:r>
    </w:p>
    <w:p w:rsidR="003D2472" w:rsidRDefault="003D2472" w:rsidP="00F6673E">
      <w:pPr>
        <w:ind w:left="0"/>
        <w:jc w:val="both"/>
        <w:rPr>
          <w:rFonts w:ascii="Bookman Old Style" w:hAnsi="Bookman Old Style" w:cs="Arial"/>
          <w:color w:val="000000"/>
        </w:rPr>
      </w:pPr>
    </w:p>
    <w:p w:rsidR="003D2472" w:rsidRDefault="00D16D05" w:rsidP="00F6673E">
      <w:pPr>
        <w:ind w:left="0"/>
        <w:jc w:val="both"/>
        <w:rPr>
          <w:rFonts w:ascii="Bookman Old Style" w:hAnsi="Bookman Old Style" w:cs="Arial"/>
          <w:color w:val="000000"/>
        </w:rPr>
      </w:pPr>
      <w:r w:rsidRPr="00D16D05">
        <w:rPr>
          <w:rFonts w:ascii="Bookman Old Style" w:hAnsi="Bookman Old Style" w:cs="Arial"/>
          <w:color w:val="000000"/>
        </w:rPr>
        <w:t xml:space="preserve">En el </w:t>
      </w:r>
      <w:r w:rsidR="00215FE1">
        <w:rPr>
          <w:rFonts w:ascii="Bookman Old Style" w:hAnsi="Bookman Old Style" w:cs="Arial"/>
          <w:color w:val="000000"/>
        </w:rPr>
        <w:t>A</w:t>
      </w:r>
      <w:r w:rsidRPr="00D16D05">
        <w:rPr>
          <w:rFonts w:ascii="Bookman Old Style" w:hAnsi="Bookman Old Style" w:cs="Arial"/>
          <w:color w:val="000000"/>
        </w:rPr>
        <w:t>rtículo 54 de la Resolución CREG 089 de 2013</w:t>
      </w:r>
      <w:r w:rsidR="00FA62DD">
        <w:rPr>
          <w:rFonts w:ascii="Bookman Old Style" w:hAnsi="Bookman Old Style" w:cs="Arial"/>
          <w:color w:val="000000"/>
        </w:rPr>
        <w:t>, modificado mediante la Resolución CREG 088 de 2015,</w:t>
      </w:r>
      <w:r w:rsidRPr="00D16D05">
        <w:rPr>
          <w:rFonts w:ascii="Bookman Old Style" w:hAnsi="Bookman Old Style" w:cs="Arial"/>
          <w:color w:val="000000"/>
        </w:rPr>
        <w:t xml:space="preserve"> se </w:t>
      </w:r>
      <w:r w:rsidR="003079C4" w:rsidRPr="00D16D05">
        <w:rPr>
          <w:rFonts w:ascii="Bookman Old Style" w:hAnsi="Bookman Old Style" w:cs="Arial"/>
          <w:color w:val="000000"/>
        </w:rPr>
        <w:t>establec</w:t>
      </w:r>
      <w:r w:rsidR="003079C4">
        <w:rPr>
          <w:rFonts w:ascii="Bookman Old Style" w:hAnsi="Bookman Old Style" w:cs="Arial"/>
          <w:color w:val="000000"/>
        </w:rPr>
        <w:t xml:space="preserve">ió </w:t>
      </w:r>
      <w:r w:rsidR="00630B67">
        <w:rPr>
          <w:rFonts w:ascii="Bookman Old Style" w:hAnsi="Bookman Old Style" w:cs="Arial"/>
          <w:color w:val="000000"/>
        </w:rPr>
        <w:t>el esquema de compensaciones por</w:t>
      </w:r>
      <w:r w:rsidRPr="00D16D05">
        <w:rPr>
          <w:rFonts w:ascii="Bookman Old Style" w:hAnsi="Bookman Old Style" w:cs="Arial"/>
          <w:color w:val="000000"/>
        </w:rPr>
        <w:t xml:space="preserve"> variaciones de salida </w:t>
      </w:r>
      <w:r w:rsidR="00630B67">
        <w:rPr>
          <w:rFonts w:ascii="Bookman Old Style" w:hAnsi="Bookman Old Style" w:cs="Arial"/>
          <w:color w:val="000000"/>
        </w:rPr>
        <w:t>en el SNT</w:t>
      </w:r>
      <w:r w:rsidR="00742B07">
        <w:rPr>
          <w:rFonts w:ascii="Bookman Old Style" w:hAnsi="Bookman Old Style" w:cs="Arial"/>
          <w:color w:val="000000"/>
        </w:rPr>
        <w:t xml:space="preserve"> y se establec</w:t>
      </w:r>
      <w:r w:rsidR="003079C4">
        <w:rPr>
          <w:rFonts w:ascii="Bookman Old Style" w:hAnsi="Bookman Old Style" w:cs="Arial"/>
          <w:color w:val="000000"/>
        </w:rPr>
        <w:t>iero</w:t>
      </w:r>
      <w:r w:rsidR="00742B07">
        <w:rPr>
          <w:rFonts w:ascii="Bookman Old Style" w:hAnsi="Bookman Old Style" w:cs="Arial"/>
          <w:color w:val="000000"/>
        </w:rPr>
        <w:t xml:space="preserve">n disposiciones sobre ajuste de desbalances </w:t>
      </w:r>
      <w:r w:rsidR="0006375B">
        <w:rPr>
          <w:rFonts w:ascii="Bookman Old Style" w:hAnsi="Bookman Old Style" w:cs="Arial"/>
          <w:color w:val="000000"/>
        </w:rPr>
        <w:t xml:space="preserve">de energía </w:t>
      </w:r>
      <w:r w:rsidR="00742B07">
        <w:rPr>
          <w:rFonts w:ascii="Bookman Old Style" w:hAnsi="Bookman Old Style" w:cs="Arial"/>
          <w:color w:val="000000"/>
        </w:rPr>
        <w:t>en el SNT</w:t>
      </w:r>
      <w:r w:rsidRPr="00D16D05">
        <w:rPr>
          <w:rFonts w:ascii="Bookman Old Style" w:hAnsi="Bookman Old Style" w:cs="Arial"/>
          <w:color w:val="000000"/>
        </w:rPr>
        <w:t>.</w:t>
      </w:r>
    </w:p>
    <w:p w:rsidR="00742B07" w:rsidRDefault="00742B07" w:rsidP="00F6673E">
      <w:pPr>
        <w:ind w:left="0"/>
        <w:jc w:val="both"/>
        <w:rPr>
          <w:rFonts w:ascii="Bookman Old Style" w:hAnsi="Bookman Old Style" w:cs="Arial"/>
          <w:color w:val="000000"/>
        </w:rPr>
      </w:pPr>
    </w:p>
    <w:p w:rsidR="00D16D05" w:rsidRPr="00D16D05" w:rsidRDefault="00D16D05" w:rsidP="00D16D05">
      <w:pPr>
        <w:ind w:left="0"/>
        <w:jc w:val="both"/>
        <w:rPr>
          <w:rFonts w:ascii="Bookman Old Style" w:hAnsi="Bookman Old Style" w:cs="Arial"/>
          <w:color w:val="000000"/>
        </w:rPr>
      </w:pPr>
      <w:r w:rsidRPr="00D16D05">
        <w:rPr>
          <w:rFonts w:ascii="Bookman Old Style" w:hAnsi="Bookman Old Style" w:cs="Arial"/>
          <w:color w:val="000000"/>
        </w:rPr>
        <w:t xml:space="preserve">En el parágrafo 5 del </w:t>
      </w:r>
      <w:r w:rsidR="00215FE1">
        <w:rPr>
          <w:rFonts w:ascii="Bookman Old Style" w:hAnsi="Bookman Old Style" w:cs="Arial"/>
          <w:color w:val="000000"/>
        </w:rPr>
        <w:t>A</w:t>
      </w:r>
      <w:r w:rsidRPr="00D16D05">
        <w:rPr>
          <w:rFonts w:ascii="Bookman Old Style" w:hAnsi="Bookman Old Style" w:cs="Arial"/>
          <w:color w:val="000000"/>
        </w:rPr>
        <w:t>rtículo 54 de la Resolución CREG 089 de 2013</w:t>
      </w:r>
      <w:r w:rsidR="00FA62DD">
        <w:rPr>
          <w:rFonts w:ascii="Bookman Old Style" w:hAnsi="Bookman Old Style" w:cs="Arial"/>
          <w:color w:val="000000"/>
        </w:rPr>
        <w:t xml:space="preserve">, modificado mediante la Resolución CREG 088 de 2015, </w:t>
      </w:r>
      <w:r w:rsidRPr="00D16D05">
        <w:rPr>
          <w:rFonts w:ascii="Bookman Old Style" w:hAnsi="Bookman Old Style" w:cs="Arial"/>
          <w:color w:val="000000"/>
        </w:rPr>
        <w:t>se establec</w:t>
      </w:r>
      <w:r w:rsidR="004A057F">
        <w:rPr>
          <w:rFonts w:ascii="Bookman Old Style" w:hAnsi="Bookman Old Style" w:cs="Arial"/>
          <w:color w:val="000000"/>
        </w:rPr>
        <w:t>ió</w:t>
      </w:r>
      <w:r w:rsidRPr="00D16D05">
        <w:rPr>
          <w:rFonts w:ascii="Bookman Old Style" w:hAnsi="Bookman Old Style" w:cs="Arial"/>
          <w:color w:val="000000"/>
        </w:rPr>
        <w:t xml:space="preserve"> que</w:t>
      </w:r>
      <w:r>
        <w:rPr>
          <w:rFonts w:ascii="Bookman Old Style" w:hAnsi="Bookman Old Style" w:cs="Arial"/>
          <w:color w:val="000000"/>
        </w:rPr>
        <w:t xml:space="preserve"> “</w:t>
      </w:r>
      <w:r w:rsidR="00215FE1">
        <w:rPr>
          <w:rFonts w:ascii="Bookman Old Style" w:hAnsi="Bookman Old Style" w:cs="Arial"/>
          <w:color w:val="000000"/>
        </w:rPr>
        <w:t>(c)</w:t>
      </w:r>
      <w:r w:rsidR="00215FE1" w:rsidRPr="00D16D05">
        <w:rPr>
          <w:rFonts w:ascii="Bookman Old Style" w:hAnsi="Bookman Old Style" w:cs="Arial"/>
          <w:color w:val="000000"/>
        </w:rPr>
        <w:t xml:space="preserve">uando </w:t>
      </w:r>
      <w:r w:rsidRPr="00D16D05">
        <w:rPr>
          <w:rFonts w:ascii="Bookman Old Style" w:hAnsi="Bookman Old Style" w:cs="Arial"/>
          <w:color w:val="000000"/>
        </w:rPr>
        <w:t xml:space="preserve">en un punto de salida la medición de cantidades es común a varios remitentes dentro de un sistema de distribución, el distribuidor será el responsable ante el transportador por la variación de salida. En resolución </w:t>
      </w:r>
      <w:r w:rsidR="00616CD4" w:rsidRPr="00616CD4">
        <w:rPr>
          <w:rFonts w:ascii="Bookman Old Style" w:hAnsi="Bookman Old Style" w:cs="Arial"/>
          <w:color w:val="000000"/>
        </w:rPr>
        <w:t>aparte se determinará la forma como el distribuidor deberá asignar las compensaciones a que haya lugar a los remitentes causantes de pago de compensaciones por parte del transportador a causa de variaciones nega</w:t>
      </w:r>
      <w:r w:rsidR="00616CD4">
        <w:rPr>
          <w:rFonts w:ascii="Bookman Old Style" w:hAnsi="Bookman Old Style" w:cs="Arial"/>
          <w:color w:val="000000"/>
        </w:rPr>
        <w:t>tivas netas de otros remitentes</w:t>
      </w:r>
      <w:r w:rsidRPr="00D16D05">
        <w:rPr>
          <w:rFonts w:ascii="Bookman Old Style" w:hAnsi="Bookman Old Style" w:cs="Arial"/>
          <w:color w:val="000000"/>
        </w:rPr>
        <w:t>”.</w:t>
      </w:r>
    </w:p>
    <w:p w:rsidR="00D16D05" w:rsidRDefault="00D16D05" w:rsidP="00F6673E">
      <w:pPr>
        <w:ind w:left="0"/>
        <w:jc w:val="both"/>
        <w:rPr>
          <w:rFonts w:ascii="Bookman Old Style" w:hAnsi="Bookman Old Style" w:cs="Arial"/>
          <w:color w:val="000000"/>
        </w:rPr>
      </w:pPr>
    </w:p>
    <w:p w:rsidR="009C5C71" w:rsidRPr="009C5C71" w:rsidRDefault="009C5C71" w:rsidP="009C5C71">
      <w:pPr>
        <w:ind w:left="0"/>
        <w:jc w:val="both"/>
        <w:rPr>
          <w:rFonts w:ascii="Bookman Old Style" w:hAnsi="Bookman Old Style" w:cs="Arial"/>
          <w:color w:val="000000"/>
        </w:rPr>
      </w:pPr>
      <w:r>
        <w:rPr>
          <w:rFonts w:ascii="Bookman Old Style" w:hAnsi="Bookman Old Style" w:cs="Arial"/>
          <w:color w:val="000000"/>
        </w:rPr>
        <w:t>M</w:t>
      </w:r>
      <w:r w:rsidRPr="009C5C71">
        <w:rPr>
          <w:rFonts w:ascii="Bookman Old Style" w:hAnsi="Bookman Old Style" w:cs="Arial"/>
          <w:color w:val="000000"/>
        </w:rPr>
        <w:t xml:space="preserve">ediante la comunicación con radicado CREG E-2014-0005829 el Consejo Nacional de Operación de Gas Natural, CNOG, presentó a consideración de la Comisión una “propuesta para reglamentar la forma como el distribuidor cobrará las compensaciones a que haya lugar a los remitentes causantes de las variaciones”. </w:t>
      </w:r>
    </w:p>
    <w:p w:rsidR="00D16D05" w:rsidRDefault="00D16D05" w:rsidP="00F6673E">
      <w:pPr>
        <w:ind w:left="0"/>
        <w:jc w:val="both"/>
        <w:rPr>
          <w:rFonts w:ascii="Bookman Old Style" w:hAnsi="Bookman Old Style" w:cs="Arial"/>
          <w:color w:val="000000"/>
        </w:rPr>
      </w:pPr>
    </w:p>
    <w:p w:rsidR="00986900" w:rsidRDefault="00986900" w:rsidP="00986900">
      <w:pPr>
        <w:ind w:left="0"/>
        <w:jc w:val="both"/>
        <w:rPr>
          <w:rFonts w:ascii="Bookman Old Style" w:hAnsi="Bookman Old Style" w:cs="Arial"/>
          <w:color w:val="000000"/>
        </w:rPr>
      </w:pPr>
      <w:r>
        <w:rPr>
          <w:rFonts w:ascii="Bookman Old Style" w:hAnsi="Bookman Old Style" w:cs="Arial"/>
          <w:color w:val="000000"/>
        </w:rPr>
        <w:t>P</w:t>
      </w:r>
      <w:r w:rsidRPr="009363E2">
        <w:rPr>
          <w:rFonts w:ascii="Bookman Old Style" w:hAnsi="Bookman Old Style" w:cs="Arial"/>
          <w:color w:val="000000"/>
        </w:rPr>
        <w:t>ara efectos prácticos el sistema de distribución no almacena gas de manera significativa durante el día de gas como sí sucede en el SNT</w:t>
      </w:r>
      <w:r>
        <w:rPr>
          <w:rFonts w:ascii="Bookman Old Style" w:hAnsi="Bookman Old Style" w:cs="Arial"/>
          <w:color w:val="000000"/>
        </w:rPr>
        <w:t xml:space="preserve">, de tal manera que </w:t>
      </w:r>
      <w:r w:rsidRPr="009363E2">
        <w:rPr>
          <w:rFonts w:ascii="Bookman Old Style" w:hAnsi="Bookman Old Style" w:cs="Arial"/>
          <w:color w:val="000000"/>
        </w:rPr>
        <w:t xml:space="preserve">durante el día de gas este sistema entrega lo que recibe y los mayores o menores consumos de los remitentes embebidos en la red de distribución, frente a </w:t>
      </w:r>
      <w:r w:rsidR="00215FE1" w:rsidRPr="009363E2">
        <w:rPr>
          <w:rFonts w:ascii="Bookman Old Style" w:hAnsi="Bookman Old Style" w:cs="Arial"/>
          <w:color w:val="000000"/>
        </w:rPr>
        <w:t>l</w:t>
      </w:r>
      <w:r w:rsidR="00215FE1">
        <w:rPr>
          <w:rFonts w:ascii="Bookman Old Style" w:hAnsi="Bookman Old Style" w:cs="Arial"/>
          <w:color w:val="000000"/>
        </w:rPr>
        <w:t>a</w:t>
      </w:r>
      <w:r w:rsidR="00215FE1" w:rsidRPr="009363E2">
        <w:rPr>
          <w:rFonts w:ascii="Bookman Old Style" w:hAnsi="Bookman Old Style" w:cs="Arial"/>
          <w:color w:val="000000"/>
        </w:rPr>
        <w:t xml:space="preserve"> </w:t>
      </w:r>
      <w:r w:rsidR="00215FE1">
        <w:rPr>
          <w:rFonts w:ascii="Bookman Old Style" w:hAnsi="Bookman Old Style" w:cs="Arial"/>
          <w:color w:val="000000"/>
        </w:rPr>
        <w:t xml:space="preserve">cantidad </w:t>
      </w:r>
      <w:r w:rsidR="00215FE1" w:rsidRPr="009363E2">
        <w:rPr>
          <w:rFonts w:ascii="Bookman Old Style" w:hAnsi="Bookman Old Style" w:cs="Arial"/>
          <w:color w:val="000000"/>
        </w:rPr>
        <w:t>autorizad</w:t>
      </w:r>
      <w:r w:rsidR="00215FE1">
        <w:rPr>
          <w:rFonts w:ascii="Bookman Old Style" w:hAnsi="Bookman Old Style" w:cs="Arial"/>
          <w:color w:val="000000"/>
        </w:rPr>
        <w:t>a</w:t>
      </w:r>
      <w:r w:rsidR="00215FE1" w:rsidRPr="009363E2">
        <w:rPr>
          <w:rFonts w:ascii="Bookman Old Style" w:hAnsi="Bookman Old Style" w:cs="Arial"/>
          <w:color w:val="000000"/>
        </w:rPr>
        <w:t xml:space="preserve"> </w:t>
      </w:r>
      <w:r w:rsidRPr="009363E2">
        <w:rPr>
          <w:rFonts w:ascii="Bookman Old Style" w:hAnsi="Bookman Old Style" w:cs="Arial"/>
          <w:color w:val="000000"/>
        </w:rPr>
        <w:t>en la estación de puerta de ciudad, se reflejan en su totalidad en el SNT</w:t>
      </w:r>
      <w:r>
        <w:rPr>
          <w:rFonts w:ascii="Bookman Old Style" w:hAnsi="Bookman Old Style" w:cs="Arial"/>
          <w:color w:val="000000"/>
        </w:rPr>
        <w:t>.</w:t>
      </w:r>
    </w:p>
    <w:p w:rsidR="00986900" w:rsidRDefault="00986900" w:rsidP="00F6673E">
      <w:pPr>
        <w:ind w:left="0"/>
        <w:jc w:val="both"/>
        <w:rPr>
          <w:rFonts w:ascii="Bookman Old Style" w:hAnsi="Bookman Old Style" w:cs="Arial"/>
          <w:color w:val="000000"/>
        </w:rPr>
      </w:pPr>
    </w:p>
    <w:p w:rsidR="00F7290A" w:rsidRDefault="00FA62DD" w:rsidP="00F6673E">
      <w:pPr>
        <w:ind w:left="0"/>
        <w:jc w:val="both"/>
        <w:rPr>
          <w:rFonts w:ascii="Bookman Old Style" w:hAnsi="Bookman Old Style" w:cs="Arial"/>
          <w:color w:val="000000"/>
        </w:rPr>
      </w:pPr>
      <w:r>
        <w:rPr>
          <w:rFonts w:ascii="Bookman Old Style" w:hAnsi="Bookman Old Style" w:cs="Arial"/>
          <w:color w:val="000000"/>
        </w:rPr>
        <w:t xml:space="preserve">Los distribuidores-comercializadores disponen de la información operativa de su red de distribución y, a partir de esta, se considera viable que cada uno de los remitentes embebidos en esta red realice su correspondiente pago por concepto de compensaciones al transportador y el ajuste de desbalances </w:t>
      </w:r>
      <w:r w:rsidR="00744991">
        <w:rPr>
          <w:rFonts w:ascii="Bookman Old Style" w:hAnsi="Bookman Old Style" w:cs="Arial"/>
          <w:color w:val="000000"/>
        </w:rPr>
        <w:t xml:space="preserve">de energía </w:t>
      </w:r>
      <w:r>
        <w:rPr>
          <w:rFonts w:ascii="Bookman Old Style" w:hAnsi="Bookman Old Style" w:cs="Arial"/>
          <w:color w:val="000000"/>
        </w:rPr>
        <w:t>en el SNT.</w:t>
      </w:r>
    </w:p>
    <w:p w:rsidR="00FA62DD" w:rsidRDefault="00FA62DD" w:rsidP="00F6673E">
      <w:pPr>
        <w:ind w:left="0"/>
        <w:jc w:val="both"/>
        <w:rPr>
          <w:rFonts w:ascii="Bookman Old Style" w:hAnsi="Bookman Old Style" w:cs="Arial"/>
          <w:color w:val="000000"/>
        </w:rPr>
      </w:pPr>
    </w:p>
    <w:p w:rsidR="00551734" w:rsidRDefault="00551734" w:rsidP="00F6673E">
      <w:pPr>
        <w:ind w:left="0"/>
        <w:jc w:val="both"/>
        <w:rPr>
          <w:rFonts w:ascii="Bookman Old Style" w:hAnsi="Bookman Old Style" w:cs="Arial"/>
          <w:color w:val="000000"/>
        </w:rPr>
      </w:pPr>
      <w:r>
        <w:rPr>
          <w:rFonts w:ascii="Bookman Old Style" w:hAnsi="Bookman Old Style" w:cs="Arial"/>
          <w:color w:val="000000"/>
        </w:rPr>
        <w:t xml:space="preserve">En el </w:t>
      </w:r>
      <w:r w:rsidR="00215FE1">
        <w:rPr>
          <w:rFonts w:ascii="Bookman Old Style" w:hAnsi="Bookman Old Style" w:cs="Arial"/>
          <w:color w:val="000000"/>
        </w:rPr>
        <w:t xml:space="preserve">Artículo </w:t>
      </w:r>
      <w:r>
        <w:rPr>
          <w:rFonts w:ascii="Bookman Old Style" w:hAnsi="Bookman Old Style" w:cs="Arial"/>
          <w:color w:val="000000"/>
        </w:rPr>
        <w:t xml:space="preserve">2 de la Resolución CREG 202 de 2013 se define la </w:t>
      </w:r>
      <w:r w:rsidRPr="00551734">
        <w:rPr>
          <w:rFonts w:ascii="Bookman Old Style" w:hAnsi="Bookman Old Style" w:cs="Arial"/>
          <w:color w:val="000000"/>
        </w:rPr>
        <w:t>estación de transferencia de custodia de distribución</w:t>
      </w:r>
      <w:r>
        <w:rPr>
          <w:rFonts w:ascii="Bookman Old Style" w:hAnsi="Bookman Old Style" w:cs="Arial"/>
          <w:color w:val="000000"/>
        </w:rPr>
        <w:t xml:space="preserve"> como “</w:t>
      </w:r>
      <w:r w:rsidR="009F3A6A">
        <w:rPr>
          <w:rFonts w:ascii="Bookman Old Style" w:hAnsi="Bookman Old Style" w:cs="Arial"/>
          <w:color w:val="000000"/>
        </w:rPr>
        <w:t>E</w:t>
      </w:r>
      <w:r w:rsidRPr="00551734">
        <w:rPr>
          <w:rFonts w:ascii="Bookman Old Style" w:hAnsi="Bookman Old Style" w:cs="Arial"/>
          <w:color w:val="000000"/>
        </w:rPr>
        <w:t xml:space="preserve">stación de transferencia de </w:t>
      </w:r>
      <w:r w:rsidRPr="00551734">
        <w:rPr>
          <w:rFonts w:ascii="Bookman Old Style" w:hAnsi="Bookman Old Style" w:cs="Arial"/>
          <w:color w:val="000000"/>
        </w:rPr>
        <w:lastRenderedPageBreak/>
        <w:t xml:space="preserve">custodia, en la cual se efectúan labores de  medición del gas y en algunos casos de regulación de presión del gas. A partir de este punto inician las redes que conforman total o parcialmente un </w:t>
      </w:r>
      <w:r w:rsidR="00215FE1">
        <w:rPr>
          <w:rFonts w:ascii="Bookman Old Style" w:hAnsi="Bookman Old Style" w:cs="Arial"/>
          <w:color w:val="000000"/>
        </w:rPr>
        <w:t>s</w:t>
      </w:r>
      <w:r w:rsidR="00215FE1" w:rsidRPr="00551734">
        <w:rPr>
          <w:rFonts w:ascii="Bookman Old Style" w:hAnsi="Bookman Old Style" w:cs="Arial"/>
          <w:color w:val="000000"/>
        </w:rPr>
        <w:t xml:space="preserve">istema </w:t>
      </w:r>
      <w:r w:rsidRPr="00551734">
        <w:rPr>
          <w:rFonts w:ascii="Bookman Old Style" w:hAnsi="Bookman Old Style" w:cs="Arial"/>
          <w:color w:val="000000"/>
        </w:rPr>
        <w:t xml:space="preserve">de </w:t>
      </w:r>
      <w:r w:rsidR="00215FE1">
        <w:rPr>
          <w:rFonts w:ascii="Bookman Old Style" w:hAnsi="Bookman Old Style" w:cs="Arial"/>
          <w:color w:val="000000"/>
        </w:rPr>
        <w:t>d</w:t>
      </w:r>
      <w:r w:rsidR="00215FE1" w:rsidRPr="00551734">
        <w:rPr>
          <w:rFonts w:ascii="Bookman Old Style" w:hAnsi="Bookman Old Style" w:cs="Arial"/>
          <w:color w:val="000000"/>
        </w:rPr>
        <w:t xml:space="preserve">istribución </w:t>
      </w:r>
      <w:r w:rsidRPr="00551734">
        <w:rPr>
          <w:rFonts w:ascii="Bookman Old Style" w:hAnsi="Bookman Old Style" w:cs="Arial"/>
          <w:color w:val="000000"/>
        </w:rPr>
        <w:t xml:space="preserve">conectado a otro </w:t>
      </w:r>
      <w:r w:rsidR="00215FE1">
        <w:rPr>
          <w:rFonts w:ascii="Bookman Old Style" w:hAnsi="Bookman Old Style" w:cs="Arial"/>
          <w:color w:val="000000"/>
        </w:rPr>
        <w:t>s</w:t>
      </w:r>
      <w:r w:rsidR="00215FE1" w:rsidRPr="00551734">
        <w:rPr>
          <w:rFonts w:ascii="Bookman Old Style" w:hAnsi="Bookman Old Style" w:cs="Arial"/>
          <w:color w:val="000000"/>
        </w:rPr>
        <w:t xml:space="preserve">istema </w:t>
      </w:r>
      <w:r w:rsidRPr="00551734">
        <w:rPr>
          <w:rFonts w:ascii="Bookman Old Style" w:hAnsi="Bookman Old Style" w:cs="Arial"/>
          <w:color w:val="000000"/>
        </w:rPr>
        <w:t xml:space="preserve">de </w:t>
      </w:r>
      <w:r w:rsidR="00215FE1">
        <w:rPr>
          <w:rFonts w:ascii="Bookman Old Style" w:hAnsi="Bookman Old Style" w:cs="Arial"/>
          <w:color w:val="000000"/>
        </w:rPr>
        <w:t>d</w:t>
      </w:r>
      <w:r w:rsidR="00215FE1" w:rsidRPr="00551734">
        <w:rPr>
          <w:rFonts w:ascii="Bookman Old Style" w:hAnsi="Bookman Old Style" w:cs="Arial"/>
          <w:color w:val="000000"/>
        </w:rPr>
        <w:t xml:space="preserve">istribución </w:t>
      </w:r>
      <w:r w:rsidRPr="00551734">
        <w:rPr>
          <w:rFonts w:ascii="Bookman Old Style" w:hAnsi="Bookman Old Style" w:cs="Arial"/>
          <w:color w:val="000000"/>
        </w:rPr>
        <w:t>y se da la transferencia de la custodia del gas combustible entre Distribuidores</w:t>
      </w:r>
      <w:r>
        <w:rPr>
          <w:rFonts w:ascii="Bookman Old Style" w:hAnsi="Bookman Old Style" w:cs="Arial"/>
          <w:color w:val="000000"/>
        </w:rPr>
        <w:t>”</w:t>
      </w:r>
      <w:r w:rsidRPr="00551734">
        <w:rPr>
          <w:rFonts w:ascii="Bookman Old Style" w:hAnsi="Bookman Old Style" w:cs="Arial"/>
          <w:color w:val="000000"/>
        </w:rPr>
        <w:t>.</w:t>
      </w:r>
    </w:p>
    <w:p w:rsidR="00551734" w:rsidRDefault="00551734" w:rsidP="00F6673E">
      <w:pPr>
        <w:ind w:left="0"/>
        <w:jc w:val="both"/>
        <w:rPr>
          <w:rFonts w:ascii="Bookman Old Style" w:hAnsi="Bookman Old Style" w:cs="Arial"/>
          <w:color w:val="000000"/>
        </w:rPr>
      </w:pPr>
    </w:p>
    <w:p w:rsidR="009C5C71" w:rsidRDefault="00F6673E" w:rsidP="00F6673E">
      <w:pPr>
        <w:ind w:left="0"/>
        <w:jc w:val="both"/>
        <w:rPr>
          <w:rFonts w:ascii="Bookman Old Style" w:hAnsi="Bookman Old Style" w:cs="Arial"/>
          <w:color w:val="000000"/>
        </w:rPr>
      </w:pPr>
      <w:r w:rsidRPr="00F6673E">
        <w:rPr>
          <w:rFonts w:ascii="Bookman Old Style" w:hAnsi="Bookman Old Style" w:cs="Arial"/>
          <w:color w:val="000000"/>
        </w:rPr>
        <w:t xml:space="preserve">La Comisión </w:t>
      </w:r>
      <w:r w:rsidR="009C5C71">
        <w:rPr>
          <w:rFonts w:ascii="Bookman Old Style" w:hAnsi="Bookman Old Style" w:cs="Arial"/>
          <w:color w:val="000000"/>
        </w:rPr>
        <w:t xml:space="preserve">analizó la propuesta del CNOG y otras alternativas para determinar la forma como </w:t>
      </w:r>
      <w:r w:rsidR="00FA62DD">
        <w:rPr>
          <w:rFonts w:ascii="Bookman Old Style" w:hAnsi="Bookman Old Style" w:cs="Arial"/>
          <w:color w:val="000000"/>
        </w:rPr>
        <w:t xml:space="preserve">se </w:t>
      </w:r>
      <w:r w:rsidR="009229ED">
        <w:rPr>
          <w:rFonts w:ascii="Bookman Old Style" w:hAnsi="Bookman Old Style" w:cs="Arial"/>
          <w:color w:val="000000"/>
        </w:rPr>
        <w:t>asignar</w:t>
      </w:r>
      <w:r w:rsidR="00B06602">
        <w:rPr>
          <w:rFonts w:ascii="Bookman Old Style" w:hAnsi="Bookman Old Style" w:cs="Arial"/>
          <w:color w:val="000000"/>
        </w:rPr>
        <w:t>á</w:t>
      </w:r>
      <w:r w:rsidR="00FA62DD">
        <w:rPr>
          <w:rFonts w:ascii="Bookman Old Style" w:hAnsi="Bookman Old Style" w:cs="Arial"/>
          <w:color w:val="000000"/>
        </w:rPr>
        <w:t xml:space="preserve">n las </w:t>
      </w:r>
      <w:r w:rsidR="00B06602">
        <w:rPr>
          <w:rFonts w:ascii="Bookman Old Style" w:hAnsi="Bookman Old Style" w:cs="Arial"/>
          <w:color w:val="000000"/>
        </w:rPr>
        <w:t>compensaciones por variaciones de salida</w:t>
      </w:r>
      <w:r w:rsidR="009C5C71">
        <w:rPr>
          <w:rFonts w:ascii="Bookman Old Style" w:hAnsi="Bookman Old Style" w:cs="Arial"/>
          <w:color w:val="000000"/>
        </w:rPr>
        <w:t xml:space="preserve"> </w:t>
      </w:r>
      <w:r w:rsidR="009229ED">
        <w:rPr>
          <w:rFonts w:ascii="Bookman Old Style" w:hAnsi="Bookman Old Style" w:cs="Arial"/>
          <w:color w:val="000000"/>
        </w:rPr>
        <w:t xml:space="preserve">en estaciones </w:t>
      </w:r>
      <w:r w:rsidR="00FA62DD">
        <w:rPr>
          <w:rFonts w:ascii="Bookman Old Style" w:hAnsi="Bookman Old Style" w:cs="Arial"/>
          <w:color w:val="000000"/>
        </w:rPr>
        <w:t xml:space="preserve">de </w:t>
      </w:r>
      <w:r w:rsidR="009229ED">
        <w:rPr>
          <w:rFonts w:ascii="Bookman Old Style" w:hAnsi="Bookman Old Style" w:cs="Arial"/>
          <w:color w:val="000000"/>
        </w:rPr>
        <w:t>puerta de ciudad</w:t>
      </w:r>
      <w:r w:rsidR="00365454">
        <w:rPr>
          <w:rFonts w:ascii="Bookman Old Style" w:hAnsi="Bookman Old Style" w:cs="Arial"/>
          <w:color w:val="000000"/>
        </w:rPr>
        <w:t xml:space="preserve"> </w:t>
      </w:r>
      <w:r w:rsidR="00FA62DD">
        <w:rPr>
          <w:rFonts w:ascii="Bookman Old Style" w:hAnsi="Bookman Old Style" w:cs="Arial"/>
          <w:color w:val="000000"/>
        </w:rPr>
        <w:t>con medición común a varios remitentes.</w:t>
      </w:r>
      <w:r w:rsidR="009C5C71">
        <w:rPr>
          <w:rFonts w:ascii="Bookman Old Style" w:hAnsi="Bookman Old Style" w:cs="Arial"/>
          <w:color w:val="000000"/>
        </w:rPr>
        <w:t xml:space="preserve"> </w:t>
      </w:r>
    </w:p>
    <w:p w:rsidR="00F6673E" w:rsidRPr="00F6673E" w:rsidRDefault="00F6673E" w:rsidP="00F6673E">
      <w:pPr>
        <w:pStyle w:val="Textosinformato"/>
        <w:jc w:val="both"/>
        <w:rPr>
          <w:rFonts w:ascii="Bookman Old Style" w:hAnsi="Bookman Old Style" w:cs="Tahoma"/>
          <w:color w:val="000000"/>
          <w:sz w:val="24"/>
          <w:szCs w:val="24"/>
        </w:rPr>
      </w:pPr>
    </w:p>
    <w:p w:rsidR="00F6673E" w:rsidRPr="00F6673E" w:rsidRDefault="00F6673E" w:rsidP="00F6673E">
      <w:pPr>
        <w:jc w:val="both"/>
        <w:rPr>
          <w:rFonts w:ascii="Bookman Old Style" w:hAnsi="Bookman Old Style" w:cs="Arial"/>
          <w:color w:val="000000"/>
        </w:rPr>
      </w:pPr>
    </w:p>
    <w:p w:rsidR="00F6673E" w:rsidRPr="00F6673E" w:rsidRDefault="00F6673E" w:rsidP="00F6673E">
      <w:pPr>
        <w:jc w:val="center"/>
        <w:rPr>
          <w:rFonts w:ascii="Bookman Old Style" w:hAnsi="Bookman Old Style" w:cs="Arial"/>
          <w:b/>
          <w:bCs/>
          <w:color w:val="000000"/>
          <w:lang w:val="pt-BR"/>
        </w:rPr>
      </w:pPr>
      <w:r w:rsidRPr="00F6673E">
        <w:rPr>
          <w:rFonts w:ascii="Bookman Old Style" w:hAnsi="Bookman Old Style" w:cs="Arial"/>
          <w:b/>
          <w:bCs/>
          <w:color w:val="000000"/>
          <w:lang w:val="pt-BR"/>
        </w:rPr>
        <w:t>R E S U E L V E:</w:t>
      </w:r>
    </w:p>
    <w:p w:rsidR="00F6673E" w:rsidRPr="00F6673E" w:rsidRDefault="00F6673E" w:rsidP="00F6673E">
      <w:pPr>
        <w:jc w:val="both"/>
        <w:rPr>
          <w:rFonts w:ascii="Bookman Old Style" w:hAnsi="Bookman Old Style" w:cs="Arial"/>
          <w:color w:val="000000"/>
          <w:lang w:val="pt-BR"/>
        </w:rPr>
      </w:pPr>
    </w:p>
    <w:p w:rsidR="00F6673E" w:rsidRDefault="00F6673E" w:rsidP="00F6673E">
      <w:pPr>
        <w:jc w:val="both"/>
        <w:rPr>
          <w:rFonts w:ascii="Bookman Old Style" w:hAnsi="Bookman Old Style" w:cs="Arial"/>
          <w:color w:val="000000"/>
          <w:lang w:val="pt-BR"/>
        </w:rPr>
      </w:pPr>
    </w:p>
    <w:p w:rsidR="006D2839" w:rsidRDefault="00F6673E" w:rsidP="00F6673E">
      <w:pPr>
        <w:ind w:left="0"/>
        <w:jc w:val="both"/>
        <w:rPr>
          <w:rFonts w:ascii="Bookman Old Style" w:hAnsi="Bookman Old Style"/>
          <w:bCs/>
          <w:color w:val="000000"/>
        </w:rPr>
      </w:pPr>
      <w:r w:rsidRPr="00F6673E">
        <w:rPr>
          <w:rFonts w:ascii="Bookman Old Style" w:hAnsi="Bookman Old Style"/>
          <w:b/>
          <w:bCs/>
          <w:color w:val="000000"/>
        </w:rPr>
        <w:t xml:space="preserve">Artículo </w:t>
      </w:r>
      <w:r w:rsidR="009011B9">
        <w:rPr>
          <w:rFonts w:ascii="Bookman Old Style" w:hAnsi="Bookman Old Style"/>
          <w:b/>
          <w:bCs/>
          <w:color w:val="000000"/>
        </w:rPr>
        <w:t>1</w:t>
      </w:r>
      <w:r w:rsidRPr="00F6673E">
        <w:rPr>
          <w:rFonts w:ascii="Bookman Old Style" w:hAnsi="Bookman Old Style"/>
          <w:b/>
          <w:bCs/>
          <w:color w:val="000000"/>
        </w:rPr>
        <w:t xml:space="preserve">. </w:t>
      </w:r>
      <w:r w:rsidR="006D2839">
        <w:rPr>
          <w:rFonts w:ascii="Bookman Old Style" w:hAnsi="Bookman Old Style"/>
          <w:b/>
          <w:bCs/>
          <w:color w:val="000000"/>
        </w:rPr>
        <w:t>Defin</w:t>
      </w:r>
      <w:r w:rsidR="00D11356">
        <w:rPr>
          <w:rFonts w:ascii="Bookman Old Style" w:hAnsi="Bookman Old Style"/>
          <w:b/>
          <w:bCs/>
          <w:color w:val="000000"/>
        </w:rPr>
        <w:t>i</w:t>
      </w:r>
      <w:r w:rsidR="006D2839">
        <w:rPr>
          <w:rFonts w:ascii="Bookman Old Style" w:hAnsi="Bookman Old Style"/>
          <w:b/>
          <w:bCs/>
          <w:color w:val="000000"/>
        </w:rPr>
        <w:t>c</w:t>
      </w:r>
      <w:r w:rsidR="008D4E3A">
        <w:rPr>
          <w:rFonts w:ascii="Bookman Old Style" w:hAnsi="Bookman Old Style"/>
          <w:b/>
          <w:bCs/>
          <w:color w:val="000000"/>
        </w:rPr>
        <w:t>iones</w:t>
      </w:r>
      <w:r w:rsidR="006D2839">
        <w:rPr>
          <w:rFonts w:ascii="Bookman Old Style" w:hAnsi="Bookman Old Style"/>
          <w:b/>
          <w:bCs/>
          <w:color w:val="000000"/>
        </w:rPr>
        <w:t xml:space="preserve">. </w:t>
      </w:r>
      <w:r w:rsidR="006D2839">
        <w:rPr>
          <w:rFonts w:ascii="Bookman Old Style" w:hAnsi="Bookman Old Style"/>
          <w:bCs/>
          <w:color w:val="000000"/>
        </w:rPr>
        <w:t xml:space="preserve">Para los propósitos de esta </w:t>
      </w:r>
      <w:r w:rsidR="003136C9">
        <w:rPr>
          <w:rFonts w:ascii="Bookman Old Style" w:hAnsi="Bookman Old Style"/>
          <w:bCs/>
          <w:color w:val="000000"/>
        </w:rPr>
        <w:t>R</w:t>
      </w:r>
      <w:r w:rsidR="006D2839">
        <w:rPr>
          <w:rFonts w:ascii="Bookman Old Style" w:hAnsi="Bookman Old Style"/>
          <w:bCs/>
          <w:color w:val="000000"/>
        </w:rPr>
        <w:t>esolución se tendrá</w:t>
      </w:r>
      <w:r w:rsidR="00670D64">
        <w:rPr>
          <w:rFonts w:ascii="Bookman Old Style" w:hAnsi="Bookman Old Style"/>
          <w:bCs/>
          <w:color w:val="000000"/>
        </w:rPr>
        <w:t>n</w:t>
      </w:r>
      <w:r w:rsidR="006D2839">
        <w:rPr>
          <w:rFonts w:ascii="Bookman Old Style" w:hAnsi="Bookman Old Style"/>
          <w:bCs/>
          <w:color w:val="000000"/>
        </w:rPr>
        <w:t xml:space="preserve"> en cuenta la</w:t>
      </w:r>
      <w:r w:rsidR="00670D64">
        <w:rPr>
          <w:rFonts w:ascii="Bookman Old Style" w:hAnsi="Bookman Old Style"/>
          <w:bCs/>
          <w:color w:val="000000"/>
        </w:rPr>
        <w:t>s</w:t>
      </w:r>
      <w:r w:rsidR="006D2839">
        <w:rPr>
          <w:rFonts w:ascii="Bookman Old Style" w:hAnsi="Bookman Old Style"/>
          <w:bCs/>
          <w:color w:val="000000"/>
        </w:rPr>
        <w:t xml:space="preserve"> siguiente</w:t>
      </w:r>
      <w:r w:rsidR="00670D64">
        <w:rPr>
          <w:rFonts w:ascii="Bookman Old Style" w:hAnsi="Bookman Old Style"/>
          <w:bCs/>
          <w:color w:val="000000"/>
        </w:rPr>
        <w:t>s</w:t>
      </w:r>
      <w:r w:rsidR="006D2839">
        <w:rPr>
          <w:rFonts w:ascii="Bookman Old Style" w:hAnsi="Bookman Old Style"/>
          <w:bCs/>
          <w:color w:val="000000"/>
        </w:rPr>
        <w:t xml:space="preserve"> definici</w:t>
      </w:r>
      <w:r w:rsidR="00670D64">
        <w:rPr>
          <w:rFonts w:ascii="Bookman Old Style" w:hAnsi="Bookman Old Style"/>
          <w:bCs/>
          <w:color w:val="000000"/>
        </w:rPr>
        <w:t>o</w:t>
      </w:r>
      <w:r w:rsidR="006D2839">
        <w:rPr>
          <w:rFonts w:ascii="Bookman Old Style" w:hAnsi="Bookman Old Style"/>
          <w:bCs/>
          <w:color w:val="000000"/>
        </w:rPr>
        <w:t>n</w:t>
      </w:r>
      <w:r w:rsidR="00670D64">
        <w:rPr>
          <w:rFonts w:ascii="Bookman Old Style" w:hAnsi="Bookman Old Style"/>
          <w:bCs/>
          <w:color w:val="000000"/>
        </w:rPr>
        <w:t>es</w:t>
      </w:r>
      <w:r w:rsidR="006D2839">
        <w:rPr>
          <w:rFonts w:ascii="Bookman Old Style" w:hAnsi="Bookman Old Style"/>
          <w:bCs/>
          <w:color w:val="000000"/>
        </w:rPr>
        <w:t>, además de aquellas establecidas en la regulación vigente.</w:t>
      </w:r>
    </w:p>
    <w:p w:rsidR="006D2839" w:rsidRDefault="006D2839" w:rsidP="00F6673E">
      <w:pPr>
        <w:ind w:left="0"/>
        <w:jc w:val="both"/>
        <w:rPr>
          <w:rFonts w:ascii="Bookman Old Style" w:hAnsi="Bookman Old Style"/>
          <w:bCs/>
          <w:color w:val="000000"/>
        </w:rPr>
      </w:pPr>
    </w:p>
    <w:p w:rsidR="006D2839" w:rsidRDefault="006D2839" w:rsidP="00F6673E">
      <w:pPr>
        <w:ind w:left="0"/>
        <w:jc w:val="both"/>
        <w:rPr>
          <w:rFonts w:ascii="Bookman Old Style" w:hAnsi="Bookman Old Style"/>
          <w:bCs/>
          <w:color w:val="000000"/>
        </w:rPr>
      </w:pPr>
      <w:r>
        <w:rPr>
          <w:rFonts w:ascii="Bookman Old Style" w:hAnsi="Bookman Old Style"/>
          <w:b/>
          <w:bCs/>
          <w:color w:val="000000"/>
        </w:rPr>
        <w:t>Distribuidor principal</w:t>
      </w:r>
      <w:r w:rsidR="00224C13">
        <w:rPr>
          <w:rFonts w:ascii="Bookman Old Style" w:hAnsi="Bookman Old Style"/>
          <w:b/>
          <w:bCs/>
          <w:color w:val="000000"/>
        </w:rPr>
        <w:t>:</w:t>
      </w:r>
      <w:r>
        <w:rPr>
          <w:rFonts w:ascii="Bookman Old Style" w:hAnsi="Bookman Old Style"/>
          <w:bCs/>
          <w:color w:val="000000"/>
        </w:rPr>
        <w:t xml:space="preserve"> </w:t>
      </w:r>
      <w:r w:rsidR="00215FE1">
        <w:rPr>
          <w:rFonts w:ascii="Bookman Old Style" w:hAnsi="Bookman Old Style"/>
          <w:bCs/>
          <w:color w:val="000000"/>
        </w:rPr>
        <w:t xml:space="preserve">corresponde </w:t>
      </w:r>
      <w:r>
        <w:rPr>
          <w:rFonts w:ascii="Bookman Old Style" w:hAnsi="Bookman Old Style"/>
          <w:bCs/>
          <w:color w:val="000000"/>
        </w:rPr>
        <w:t xml:space="preserve">al distribuidor conectado directamente a la estación </w:t>
      </w:r>
      <w:r w:rsidR="00A15C47">
        <w:rPr>
          <w:rFonts w:ascii="Bookman Old Style" w:hAnsi="Bookman Old Style"/>
          <w:bCs/>
          <w:color w:val="000000"/>
        </w:rPr>
        <w:t xml:space="preserve">reguladora </w:t>
      </w:r>
      <w:r>
        <w:rPr>
          <w:rFonts w:ascii="Bookman Old Style" w:hAnsi="Bookman Old Style"/>
          <w:bCs/>
          <w:color w:val="000000"/>
        </w:rPr>
        <w:t>de puerta de ciudad o pu</w:t>
      </w:r>
      <w:r w:rsidR="00A15C47">
        <w:rPr>
          <w:rFonts w:ascii="Bookman Old Style" w:hAnsi="Bookman Old Style"/>
          <w:bCs/>
          <w:color w:val="000000"/>
        </w:rPr>
        <w:t>erta de ciudad</w:t>
      </w:r>
      <w:r>
        <w:rPr>
          <w:rFonts w:ascii="Bookman Old Style" w:hAnsi="Bookman Old Style"/>
          <w:bCs/>
          <w:color w:val="000000"/>
        </w:rPr>
        <w:t xml:space="preserve">. </w:t>
      </w:r>
    </w:p>
    <w:p w:rsidR="00CA5202" w:rsidRDefault="00CA5202" w:rsidP="00F6673E">
      <w:pPr>
        <w:ind w:left="0"/>
        <w:jc w:val="both"/>
        <w:rPr>
          <w:rFonts w:ascii="Bookman Old Style" w:hAnsi="Bookman Old Style"/>
          <w:bCs/>
          <w:color w:val="000000"/>
        </w:rPr>
      </w:pPr>
    </w:p>
    <w:p w:rsidR="00CA5202" w:rsidRPr="00AA4EDB" w:rsidRDefault="00CA5202" w:rsidP="00F6673E">
      <w:pPr>
        <w:ind w:left="0"/>
        <w:jc w:val="both"/>
        <w:rPr>
          <w:rFonts w:ascii="Bookman Old Style" w:hAnsi="Bookman Old Style"/>
          <w:bCs/>
          <w:color w:val="000000"/>
        </w:rPr>
      </w:pPr>
      <w:r>
        <w:rPr>
          <w:rFonts w:ascii="Bookman Old Style" w:hAnsi="Bookman Old Style"/>
          <w:b/>
          <w:bCs/>
          <w:color w:val="000000"/>
        </w:rPr>
        <w:t>Distribuidor secundario</w:t>
      </w:r>
      <w:r w:rsidR="00224C13">
        <w:rPr>
          <w:rFonts w:ascii="Bookman Old Style" w:hAnsi="Bookman Old Style"/>
          <w:b/>
          <w:bCs/>
          <w:color w:val="000000"/>
        </w:rPr>
        <w:t>:</w:t>
      </w:r>
      <w:r>
        <w:rPr>
          <w:rFonts w:ascii="Bookman Old Style" w:hAnsi="Bookman Old Style"/>
          <w:bCs/>
          <w:color w:val="000000"/>
        </w:rPr>
        <w:t xml:space="preserve"> </w:t>
      </w:r>
      <w:r w:rsidR="00215FE1">
        <w:rPr>
          <w:rFonts w:ascii="Bookman Old Style" w:hAnsi="Bookman Old Style"/>
          <w:bCs/>
          <w:color w:val="000000"/>
        </w:rPr>
        <w:t xml:space="preserve">corresponde </w:t>
      </w:r>
      <w:r>
        <w:rPr>
          <w:rFonts w:ascii="Bookman Old Style" w:hAnsi="Bookman Old Style"/>
          <w:bCs/>
          <w:color w:val="000000"/>
        </w:rPr>
        <w:t>al distribuidor conectado a la red de distribución del distribuidor principal.</w:t>
      </w:r>
    </w:p>
    <w:p w:rsidR="00A339EF" w:rsidRDefault="00A339EF" w:rsidP="00F6673E">
      <w:pPr>
        <w:ind w:left="0"/>
        <w:jc w:val="both"/>
        <w:rPr>
          <w:rFonts w:ascii="Bookman Old Style" w:hAnsi="Bookman Old Style"/>
          <w:b/>
          <w:bCs/>
          <w:color w:val="000000"/>
        </w:rPr>
      </w:pPr>
    </w:p>
    <w:p w:rsidR="00A43FBA" w:rsidRDefault="006D2839" w:rsidP="006315BE">
      <w:pPr>
        <w:ind w:left="0"/>
        <w:jc w:val="both"/>
        <w:rPr>
          <w:rFonts w:ascii="Bookman Old Style" w:hAnsi="Bookman Old Style"/>
          <w:color w:val="000000"/>
        </w:rPr>
      </w:pPr>
      <w:r>
        <w:rPr>
          <w:rFonts w:ascii="Bookman Old Style" w:hAnsi="Bookman Old Style"/>
          <w:b/>
          <w:bCs/>
          <w:color w:val="000000"/>
        </w:rPr>
        <w:t xml:space="preserve">Artículo </w:t>
      </w:r>
      <w:r w:rsidR="009011B9">
        <w:rPr>
          <w:rFonts w:ascii="Bookman Old Style" w:hAnsi="Bookman Old Style"/>
          <w:b/>
          <w:bCs/>
          <w:color w:val="000000"/>
        </w:rPr>
        <w:t>2</w:t>
      </w:r>
      <w:r>
        <w:rPr>
          <w:rFonts w:ascii="Bookman Old Style" w:hAnsi="Bookman Old Style"/>
          <w:b/>
          <w:bCs/>
          <w:color w:val="000000"/>
        </w:rPr>
        <w:t xml:space="preserve">. </w:t>
      </w:r>
      <w:r w:rsidR="00927F22">
        <w:rPr>
          <w:rFonts w:ascii="Bookman Old Style" w:hAnsi="Bookman Old Style"/>
          <w:b/>
          <w:bCs/>
          <w:color w:val="000000"/>
        </w:rPr>
        <w:t xml:space="preserve">Asignación de compensaciones por variaciones de salida en </w:t>
      </w:r>
      <w:r w:rsidR="00401B8C" w:rsidRPr="000B65DE">
        <w:rPr>
          <w:rFonts w:ascii="Bookman Old Style" w:hAnsi="Bookman Old Style"/>
          <w:b/>
          <w:lang w:val="es-ES_tradnl"/>
        </w:rPr>
        <w:t>estación reguladora de puerta de ciudad o puerta de ciudad</w:t>
      </w:r>
      <w:r w:rsidR="00C93908">
        <w:rPr>
          <w:rFonts w:ascii="Bookman Old Style" w:hAnsi="Bookman Old Style"/>
          <w:b/>
          <w:lang w:val="es-ES_tradnl"/>
        </w:rPr>
        <w:t xml:space="preserve"> con medición común a varios remitentes</w:t>
      </w:r>
      <w:r w:rsidR="00E51B2A">
        <w:rPr>
          <w:rFonts w:ascii="Bookman Old Style" w:hAnsi="Bookman Old Style"/>
          <w:b/>
          <w:lang w:val="es-ES_tradnl"/>
        </w:rPr>
        <w:t>.</w:t>
      </w:r>
      <w:r w:rsidR="00401B8C" w:rsidRPr="000B65DE">
        <w:rPr>
          <w:rFonts w:ascii="Bookman Old Style" w:hAnsi="Bookman Old Style"/>
          <w:lang w:val="es-ES_tradnl"/>
        </w:rPr>
        <w:t xml:space="preserve"> </w:t>
      </w:r>
      <w:r w:rsidR="00927F22">
        <w:rPr>
          <w:rFonts w:ascii="Bookman Old Style" w:hAnsi="Bookman Old Style"/>
          <w:color w:val="000000"/>
        </w:rPr>
        <w:t xml:space="preserve">Cuando una estación de puerta de ciudad </w:t>
      </w:r>
      <w:r w:rsidR="00A43FBA">
        <w:rPr>
          <w:rFonts w:ascii="Bookman Old Style" w:hAnsi="Bookman Old Style"/>
          <w:color w:val="000000"/>
        </w:rPr>
        <w:t xml:space="preserve">sirva a </w:t>
      </w:r>
      <w:r w:rsidR="009D1493">
        <w:rPr>
          <w:rFonts w:ascii="Bookman Old Style" w:hAnsi="Bookman Old Style"/>
          <w:color w:val="000000"/>
        </w:rPr>
        <w:t xml:space="preserve">un distribuidor principal y/o </w:t>
      </w:r>
      <w:r w:rsidR="00A43FBA">
        <w:rPr>
          <w:rFonts w:ascii="Bookman Old Style" w:hAnsi="Bookman Old Style"/>
          <w:color w:val="000000"/>
        </w:rPr>
        <w:t>varios comercializadores</w:t>
      </w:r>
      <w:r w:rsidR="00BA6E20">
        <w:rPr>
          <w:rFonts w:ascii="Bookman Old Style" w:hAnsi="Bookman Old Style"/>
          <w:color w:val="000000"/>
        </w:rPr>
        <w:t xml:space="preserve"> y/o a distribuidores secundarios</w:t>
      </w:r>
      <w:r w:rsidR="00A43FBA">
        <w:rPr>
          <w:rFonts w:ascii="Bookman Old Style" w:hAnsi="Bookman Old Style"/>
          <w:color w:val="000000"/>
        </w:rPr>
        <w:t xml:space="preserve"> </w:t>
      </w:r>
      <w:r w:rsidR="00BA6E20">
        <w:rPr>
          <w:rFonts w:ascii="Bookman Old Style" w:hAnsi="Bookman Old Style"/>
          <w:color w:val="000000"/>
        </w:rPr>
        <w:t>y/</w:t>
      </w:r>
      <w:r w:rsidR="003007AA">
        <w:rPr>
          <w:rFonts w:ascii="Bookman Old Style" w:hAnsi="Bookman Old Style"/>
          <w:color w:val="000000"/>
        </w:rPr>
        <w:t xml:space="preserve">o </w:t>
      </w:r>
      <w:r w:rsidR="00950BCC">
        <w:rPr>
          <w:rFonts w:ascii="Bookman Old Style" w:hAnsi="Bookman Old Style"/>
          <w:color w:val="000000"/>
        </w:rPr>
        <w:t xml:space="preserve">a </w:t>
      </w:r>
      <w:r w:rsidR="00A43FBA">
        <w:rPr>
          <w:rFonts w:ascii="Bookman Old Style" w:hAnsi="Bookman Old Style"/>
          <w:color w:val="000000"/>
        </w:rPr>
        <w:t xml:space="preserve">usuarios no regulados embebidos en la red </w:t>
      </w:r>
      <w:r w:rsidR="006564E5">
        <w:rPr>
          <w:rFonts w:ascii="Bookman Old Style" w:hAnsi="Bookman Old Style"/>
          <w:color w:val="000000"/>
        </w:rPr>
        <w:t>del distribuidor principal</w:t>
      </w:r>
      <w:r w:rsidR="00BA6E20">
        <w:rPr>
          <w:rFonts w:ascii="Bookman Old Style" w:hAnsi="Bookman Old Style"/>
          <w:color w:val="000000"/>
        </w:rPr>
        <w:t xml:space="preserve"> o en la red de un distribuidor secundario</w:t>
      </w:r>
      <w:r w:rsidR="006564E5">
        <w:rPr>
          <w:rFonts w:ascii="Bookman Old Style" w:hAnsi="Bookman Old Style"/>
          <w:color w:val="000000"/>
        </w:rPr>
        <w:t>,</w:t>
      </w:r>
      <w:r w:rsidR="009D1493">
        <w:rPr>
          <w:rFonts w:ascii="Bookman Old Style" w:hAnsi="Bookman Old Style"/>
          <w:color w:val="000000"/>
        </w:rPr>
        <w:t xml:space="preserve"> </w:t>
      </w:r>
      <w:r w:rsidR="009F3A6A" w:rsidRPr="0067696C">
        <w:rPr>
          <w:rFonts w:ascii="Bookman Old Style" w:hAnsi="Bookman Old Style" w:cs="Arial"/>
          <w:lang w:val="es-ES_tradnl"/>
        </w:rPr>
        <w:t>que transan directamente en el mercado mayorista de gas</w:t>
      </w:r>
      <w:r w:rsidR="009F3A6A">
        <w:rPr>
          <w:rFonts w:ascii="Bookman Old Style" w:hAnsi="Bookman Old Style" w:cs="Arial"/>
          <w:lang w:val="es-ES_tradnl"/>
        </w:rPr>
        <w:t xml:space="preserve"> </w:t>
      </w:r>
      <w:r w:rsidR="00A43FBA">
        <w:rPr>
          <w:rFonts w:ascii="Bookman Old Style" w:hAnsi="Bookman Old Style"/>
          <w:color w:val="000000"/>
        </w:rPr>
        <w:t xml:space="preserve">y se presenten variaciones de salida </w:t>
      </w:r>
      <w:r w:rsidR="00BA6E20">
        <w:rPr>
          <w:rFonts w:ascii="Bookman Old Style" w:hAnsi="Bookman Old Style"/>
          <w:color w:val="000000"/>
        </w:rPr>
        <w:t xml:space="preserve">negativas en la puerta de ciudad </w:t>
      </w:r>
      <w:r w:rsidR="00A43FBA">
        <w:rPr>
          <w:rFonts w:ascii="Bookman Old Style" w:hAnsi="Bookman Old Style"/>
          <w:color w:val="000000"/>
        </w:rPr>
        <w:t>que causen el pago de compensaci</w:t>
      </w:r>
      <w:r w:rsidR="006315BE">
        <w:rPr>
          <w:rFonts w:ascii="Bookman Old Style" w:hAnsi="Bookman Old Style"/>
          <w:color w:val="000000"/>
        </w:rPr>
        <w:t>ones</w:t>
      </w:r>
      <w:r w:rsidR="009E4357">
        <w:rPr>
          <w:rFonts w:ascii="Bookman Old Style" w:hAnsi="Bookman Old Style"/>
          <w:color w:val="000000"/>
        </w:rPr>
        <w:t xml:space="preserve"> </w:t>
      </w:r>
      <w:r w:rsidR="00AE1163">
        <w:rPr>
          <w:rFonts w:ascii="Bookman Old Style" w:hAnsi="Bookman Old Style"/>
          <w:color w:val="000000"/>
        </w:rPr>
        <w:t xml:space="preserve">de acuerdo con lo establecido en el </w:t>
      </w:r>
      <w:r w:rsidR="00215FE1">
        <w:rPr>
          <w:rFonts w:ascii="Bookman Old Style" w:hAnsi="Bookman Old Style"/>
          <w:color w:val="000000"/>
        </w:rPr>
        <w:t xml:space="preserve">Artículo </w:t>
      </w:r>
      <w:r w:rsidR="00AE1163">
        <w:rPr>
          <w:rFonts w:ascii="Bookman Old Style" w:hAnsi="Bookman Old Style"/>
          <w:color w:val="000000"/>
        </w:rPr>
        <w:t>54 de la Resolución CREG 089 de 2013 o aquellas que l</w:t>
      </w:r>
      <w:r w:rsidR="004A057F">
        <w:rPr>
          <w:rFonts w:ascii="Bookman Old Style" w:hAnsi="Bookman Old Style"/>
          <w:color w:val="000000"/>
        </w:rPr>
        <w:t>o</w:t>
      </w:r>
      <w:r w:rsidR="00AE1163">
        <w:rPr>
          <w:rFonts w:ascii="Bookman Old Style" w:hAnsi="Bookman Old Style"/>
          <w:color w:val="000000"/>
        </w:rPr>
        <w:t xml:space="preserve"> modifiquen</w:t>
      </w:r>
      <w:r w:rsidR="0014702B">
        <w:rPr>
          <w:rFonts w:ascii="Bookman Old Style" w:hAnsi="Bookman Old Style"/>
          <w:color w:val="000000"/>
        </w:rPr>
        <w:t xml:space="preserve"> </w:t>
      </w:r>
      <w:r w:rsidR="00AE1163">
        <w:rPr>
          <w:rFonts w:ascii="Bookman Old Style" w:hAnsi="Bookman Old Style"/>
          <w:color w:val="000000"/>
        </w:rPr>
        <w:t>o sustituyan</w:t>
      </w:r>
      <w:r w:rsidR="00A43FBA">
        <w:rPr>
          <w:rFonts w:ascii="Bookman Old Style" w:hAnsi="Bookman Old Style"/>
          <w:color w:val="000000"/>
        </w:rPr>
        <w:t xml:space="preserve">, </w:t>
      </w:r>
      <w:r w:rsidR="00AE1163">
        <w:rPr>
          <w:rFonts w:ascii="Bookman Old Style" w:hAnsi="Bookman Old Style"/>
          <w:color w:val="000000"/>
        </w:rPr>
        <w:t>el transportador</w:t>
      </w:r>
      <w:r w:rsidR="00CA5202">
        <w:rPr>
          <w:rFonts w:ascii="Bookman Old Style" w:hAnsi="Bookman Old Style"/>
          <w:color w:val="000000"/>
        </w:rPr>
        <w:t xml:space="preserve"> </w:t>
      </w:r>
      <w:r w:rsidR="009E4357">
        <w:rPr>
          <w:rFonts w:ascii="Bookman Old Style" w:hAnsi="Bookman Old Style"/>
          <w:color w:val="000000"/>
        </w:rPr>
        <w:t xml:space="preserve">realizará la </w:t>
      </w:r>
      <w:r w:rsidR="009E4357" w:rsidRPr="009E4357">
        <w:rPr>
          <w:rFonts w:ascii="Bookman Old Style" w:hAnsi="Bookman Old Style"/>
          <w:color w:val="000000"/>
        </w:rPr>
        <w:t>asignación de</w:t>
      </w:r>
      <w:r w:rsidR="009E4357">
        <w:rPr>
          <w:rFonts w:ascii="Bookman Old Style" w:hAnsi="Bookman Old Style"/>
          <w:color w:val="000000"/>
        </w:rPr>
        <w:t xml:space="preserve">l valor </w:t>
      </w:r>
      <w:r w:rsidR="001E38AA">
        <w:rPr>
          <w:rFonts w:ascii="Bookman Old Style" w:hAnsi="Bookman Old Style"/>
          <w:color w:val="000000"/>
        </w:rPr>
        <w:t xml:space="preserve">de </w:t>
      </w:r>
      <w:r w:rsidR="009E4357">
        <w:rPr>
          <w:rFonts w:ascii="Bookman Old Style" w:hAnsi="Bookman Old Style"/>
          <w:color w:val="000000"/>
        </w:rPr>
        <w:t xml:space="preserve">la </w:t>
      </w:r>
      <w:r w:rsidR="009E4357" w:rsidRPr="009E4357">
        <w:rPr>
          <w:rFonts w:ascii="Bookman Old Style" w:hAnsi="Bookman Old Style"/>
          <w:color w:val="000000"/>
        </w:rPr>
        <w:t>compensaci</w:t>
      </w:r>
      <w:r w:rsidR="009E4357">
        <w:rPr>
          <w:rFonts w:ascii="Bookman Old Style" w:hAnsi="Bookman Old Style"/>
          <w:color w:val="000000"/>
        </w:rPr>
        <w:t>ón</w:t>
      </w:r>
      <w:r w:rsidR="006315BE">
        <w:rPr>
          <w:rFonts w:ascii="Bookman Old Style" w:hAnsi="Bookman Old Style"/>
          <w:color w:val="000000"/>
        </w:rPr>
        <w:t xml:space="preserve"> a los remitentes </w:t>
      </w:r>
      <w:r w:rsidR="00BA6E20">
        <w:rPr>
          <w:rFonts w:ascii="Bookman Old Style" w:hAnsi="Bookman Old Style"/>
          <w:color w:val="000000"/>
        </w:rPr>
        <w:t xml:space="preserve">responsables </w:t>
      </w:r>
      <w:r w:rsidR="006315BE">
        <w:rPr>
          <w:rFonts w:ascii="Bookman Old Style" w:hAnsi="Bookman Old Style"/>
          <w:color w:val="000000"/>
        </w:rPr>
        <w:t>de las variaciones</w:t>
      </w:r>
      <w:r w:rsidR="009E4357">
        <w:rPr>
          <w:rFonts w:ascii="Bookman Old Style" w:hAnsi="Bookman Old Style"/>
          <w:color w:val="000000"/>
        </w:rPr>
        <w:t xml:space="preserve"> </w:t>
      </w:r>
      <w:r w:rsidR="008F52B0">
        <w:rPr>
          <w:rFonts w:ascii="Bookman Old Style" w:hAnsi="Bookman Old Style"/>
          <w:color w:val="000000"/>
        </w:rPr>
        <w:t>con base en</w:t>
      </w:r>
      <w:r w:rsidR="00224C13">
        <w:rPr>
          <w:rFonts w:ascii="Bookman Old Style" w:hAnsi="Bookman Old Style"/>
          <w:color w:val="000000"/>
        </w:rPr>
        <w:t xml:space="preserve"> la información del </w:t>
      </w:r>
      <w:r w:rsidR="00053360">
        <w:rPr>
          <w:rFonts w:ascii="Bookman Old Style" w:hAnsi="Bookman Old Style"/>
          <w:color w:val="000000"/>
        </w:rPr>
        <w:t xml:space="preserve">Anexo </w:t>
      </w:r>
      <w:r w:rsidR="00224C13">
        <w:rPr>
          <w:rFonts w:ascii="Bookman Old Style" w:hAnsi="Bookman Old Style"/>
          <w:color w:val="000000"/>
        </w:rPr>
        <w:t xml:space="preserve">1 y </w:t>
      </w:r>
      <w:r w:rsidR="008F52B0">
        <w:rPr>
          <w:rFonts w:ascii="Bookman Old Style" w:hAnsi="Bookman Old Style"/>
          <w:color w:val="000000"/>
        </w:rPr>
        <w:t>l</w:t>
      </w:r>
      <w:r w:rsidR="00224C13">
        <w:rPr>
          <w:rFonts w:ascii="Bookman Old Style" w:hAnsi="Bookman Old Style"/>
          <w:color w:val="000000"/>
        </w:rPr>
        <w:t>a metodología</w:t>
      </w:r>
      <w:r w:rsidR="008F52B0">
        <w:rPr>
          <w:rFonts w:ascii="Bookman Old Style" w:hAnsi="Bookman Old Style"/>
          <w:color w:val="000000"/>
        </w:rPr>
        <w:t xml:space="preserve"> establecid</w:t>
      </w:r>
      <w:r w:rsidR="00224C13">
        <w:rPr>
          <w:rFonts w:ascii="Bookman Old Style" w:hAnsi="Bookman Old Style"/>
          <w:color w:val="000000"/>
        </w:rPr>
        <w:t>a</w:t>
      </w:r>
      <w:r w:rsidR="009E4357">
        <w:rPr>
          <w:rFonts w:ascii="Bookman Old Style" w:hAnsi="Bookman Old Style"/>
          <w:color w:val="000000"/>
        </w:rPr>
        <w:t xml:space="preserve"> en el </w:t>
      </w:r>
      <w:r w:rsidR="00053360">
        <w:rPr>
          <w:rFonts w:ascii="Bookman Old Style" w:hAnsi="Bookman Old Style"/>
          <w:color w:val="000000"/>
        </w:rPr>
        <w:t xml:space="preserve">Anexo </w:t>
      </w:r>
      <w:r w:rsidR="00224C13">
        <w:rPr>
          <w:rFonts w:ascii="Bookman Old Style" w:hAnsi="Bookman Old Style"/>
          <w:color w:val="000000"/>
        </w:rPr>
        <w:t>2</w:t>
      </w:r>
      <w:r w:rsidR="009E4357">
        <w:rPr>
          <w:rFonts w:ascii="Bookman Old Style" w:hAnsi="Bookman Old Style"/>
          <w:color w:val="000000"/>
        </w:rPr>
        <w:t xml:space="preserve"> de</w:t>
      </w:r>
      <w:r w:rsidR="00F235A4">
        <w:rPr>
          <w:rFonts w:ascii="Bookman Old Style" w:hAnsi="Bookman Old Style"/>
          <w:color w:val="000000"/>
        </w:rPr>
        <w:t xml:space="preserve"> </w:t>
      </w:r>
      <w:r w:rsidR="009E4357">
        <w:rPr>
          <w:rFonts w:ascii="Bookman Old Style" w:hAnsi="Bookman Old Style"/>
          <w:color w:val="000000"/>
        </w:rPr>
        <w:t>la presente Resolución.</w:t>
      </w:r>
    </w:p>
    <w:p w:rsidR="00BA6E20" w:rsidRDefault="00BA6E20" w:rsidP="006315BE">
      <w:pPr>
        <w:ind w:left="0"/>
        <w:jc w:val="both"/>
        <w:rPr>
          <w:rFonts w:ascii="Bookman Old Style" w:hAnsi="Bookman Old Style"/>
          <w:color w:val="000000"/>
        </w:rPr>
      </w:pPr>
    </w:p>
    <w:p w:rsidR="00EE2645" w:rsidRDefault="00EE2645" w:rsidP="006315BE">
      <w:pPr>
        <w:ind w:left="0"/>
        <w:jc w:val="both"/>
        <w:rPr>
          <w:rFonts w:ascii="Bookman Old Style" w:hAnsi="Bookman Old Style"/>
          <w:color w:val="000000"/>
        </w:rPr>
      </w:pPr>
      <w:r w:rsidRPr="009B18CE">
        <w:rPr>
          <w:rFonts w:ascii="Bookman Old Style" w:hAnsi="Bookman Old Style"/>
          <w:b/>
          <w:color w:val="000000"/>
        </w:rPr>
        <w:t xml:space="preserve">Parágrafo. </w:t>
      </w:r>
      <w:r>
        <w:rPr>
          <w:rFonts w:ascii="Bookman Old Style" w:hAnsi="Bookman Old Style"/>
          <w:color w:val="000000"/>
        </w:rPr>
        <w:t xml:space="preserve">En caso de que no exista una relación contractual entre el transportador y el distribuidor principal, </w:t>
      </w:r>
      <w:r w:rsidR="004D569B">
        <w:rPr>
          <w:rFonts w:ascii="Bookman Old Style" w:hAnsi="Bookman Old Style"/>
          <w:color w:val="000000"/>
        </w:rPr>
        <w:t>sino entre el transportador y un comercializador</w:t>
      </w:r>
      <w:r w:rsidR="00DD52C1">
        <w:rPr>
          <w:rFonts w:ascii="Bookman Old Style" w:hAnsi="Bookman Old Style"/>
          <w:color w:val="000000"/>
        </w:rPr>
        <w:t xml:space="preserve"> que lo representa</w:t>
      </w:r>
      <w:r w:rsidR="004D569B">
        <w:rPr>
          <w:rFonts w:ascii="Bookman Old Style" w:hAnsi="Bookman Old Style"/>
          <w:color w:val="000000"/>
        </w:rPr>
        <w:t xml:space="preserve">, el distribuidor </w:t>
      </w:r>
      <w:r w:rsidR="004A057F">
        <w:rPr>
          <w:rFonts w:ascii="Bookman Old Style" w:hAnsi="Bookman Old Style"/>
          <w:color w:val="000000"/>
        </w:rPr>
        <w:t xml:space="preserve">principal </w:t>
      </w:r>
      <w:r w:rsidR="004D569B">
        <w:rPr>
          <w:rFonts w:ascii="Bookman Old Style" w:hAnsi="Bookman Old Style"/>
          <w:color w:val="000000"/>
        </w:rPr>
        <w:t>recolec</w:t>
      </w:r>
      <w:r w:rsidR="004A435C">
        <w:rPr>
          <w:rFonts w:ascii="Bookman Old Style" w:hAnsi="Bookman Old Style"/>
          <w:color w:val="000000"/>
        </w:rPr>
        <w:t>tará</w:t>
      </w:r>
      <w:r w:rsidR="004D569B">
        <w:rPr>
          <w:rFonts w:ascii="Bookman Old Style" w:hAnsi="Bookman Old Style"/>
          <w:color w:val="000000"/>
        </w:rPr>
        <w:t xml:space="preserve"> la información y la reportará al transportador</w:t>
      </w:r>
      <w:r w:rsidR="004A435C">
        <w:rPr>
          <w:rFonts w:ascii="Bookman Old Style" w:hAnsi="Bookman Old Style"/>
          <w:color w:val="000000"/>
        </w:rPr>
        <w:t>, con copia al comercializador que lo representa,</w:t>
      </w:r>
      <w:r w:rsidR="004D569B">
        <w:rPr>
          <w:rFonts w:ascii="Bookman Old Style" w:hAnsi="Bookman Old Style"/>
          <w:color w:val="000000"/>
        </w:rPr>
        <w:t xml:space="preserve"> para efectos de aplicar lo dispuesto en este artículo.</w:t>
      </w:r>
    </w:p>
    <w:p w:rsidR="00EE2645" w:rsidRDefault="00EE2645" w:rsidP="006315BE">
      <w:pPr>
        <w:ind w:left="0"/>
        <w:jc w:val="both"/>
        <w:rPr>
          <w:rFonts w:ascii="Bookman Old Style" w:hAnsi="Bookman Old Style"/>
          <w:color w:val="000000"/>
        </w:rPr>
      </w:pPr>
    </w:p>
    <w:p w:rsidR="009E4357" w:rsidRDefault="00F6673E" w:rsidP="00F6673E">
      <w:pPr>
        <w:ind w:left="0"/>
        <w:jc w:val="both"/>
        <w:rPr>
          <w:rFonts w:ascii="Bookman Old Style" w:hAnsi="Bookman Old Style"/>
          <w:color w:val="000000"/>
        </w:rPr>
      </w:pPr>
      <w:r w:rsidRPr="00F6673E">
        <w:rPr>
          <w:rFonts w:ascii="Bookman Old Style" w:hAnsi="Bookman Old Style"/>
          <w:b/>
          <w:bCs/>
          <w:color w:val="000000"/>
        </w:rPr>
        <w:t xml:space="preserve">Artículo </w:t>
      </w:r>
      <w:r w:rsidR="009011B9">
        <w:rPr>
          <w:rFonts w:ascii="Bookman Old Style" w:hAnsi="Bookman Old Style"/>
          <w:b/>
          <w:bCs/>
          <w:color w:val="000000"/>
        </w:rPr>
        <w:t>3</w:t>
      </w:r>
      <w:r w:rsidRPr="00F6673E">
        <w:rPr>
          <w:rFonts w:ascii="Bookman Old Style" w:hAnsi="Bookman Old Style"/>
          <w:b/>
          <w:bCs/>
          <w:color w:val="000000"/>
        </w:rPr>
        <w:t xml:space="preserve">. </w:t>
      </w:r>
      <w:r w:rsidR="009E4357">
        <w:rPr>
          <w:rFonts w:ascii="Bookman Old Style" w:hAnsi="Bookman Old Style"/>
          <w:b/>
          <w:bCs/>
          <w:color w:val="000000"/>
        </w:rPr>
        <w:t xml:space="preserve">Asignación de desbalances </w:t>
      </w:r>
      <w:r w:rsidR="00515CC1">
        <w:rPr>
          <w:rFonts w:ascii="Bookman Old Style" w:hAnsi="Bookman Old Style"/>
          <w:b/>
          <w:bCs/>
          <w:color w:val="000000"/>
        </w:rPr>
        <w:t xml:space="preserve">de energía </w:t>
      </w:r>
      <w:r w:rsidR="009E4357">
        <w:rPr>
          <w:rFonts w:ascii="Bookman Old Style" w:hAnsi="Bookman Old Style"/>
          <w:b/>
          <w:bCs/>
          <w:color w:val="000000"/>
        </w:rPr>
        <w:t xml:space="preserve">en </w:t>
      </w:r>
      <w:r w:rsidR="009E4357" w:rsidRPr="000B65DE">
        <w:rPr>
          <w:rFonts w:ascii="Bookman Old Style" w:hAnsi="Bookman Old Style"/>
          <w:b/>
          <w:lang w:val="es-ES_tradnl"/>
        </w:rPr>
        <w:t>estación reguladora de puerta de ciudad o puerta de ciudad</w:t>
      </w:r>
      <w:r w:rsidR="00D744D9">
        <w:rPr>
          <w:rFonts w:ascii="Bookman Old Style" w:hAnsi="Bookman Old Style"/>
          <w:b/>
          <w:lang w:val="es-ES_tradnl"/>
        </w:rPr>
        <w:t xml:space="preserve"> con medición común a varios remitentes</w:t>
      </w:r>
      <w:r w:rsidR="00B2582E">
        <w:rPr>
          <w:rFonts w:ascii="Bookman Old Style" w:hAnsi="Bookman Old Style"/>
          <w:b/>
          <w:lang w:val="es-ES_tradnl"/>
        </w:rPr>
        <w:t xml:space="preserve"> dentro de un sistema de </w:t>
      </w:r>
      <w:r w:rsidR="009F3A6A">
        <w:rPr>
          <w:rFonts w:ascii="Bookman Old Style" w:hAnsi="Bookman Old Style"/>
          <w:b/>
          <w:lang w:val="es-ES_tradnl"/>
        </w:rPr>
        <w:t>d</w:t>
      </w:r>
      <w:r w:rsidR="00B2582E">
        <w:rPr>
          <w:rFonts w:ascii="Bookman Old Style" w:hAnsi="Bookman Old Style"/>
          <w:b/>
          <w:lang w:val="es-ES_tradnl"/>
        </w:rPr>
        <w:t>i</w:t>
      </w:r>
      <w:r w:rsidR="009F3A6A">
        <w:rPr>
          <w:rFonts w:ascii="Bookman Old Style" w:hAnsi="Bookman Old Style"/>
          <w:b/>
          <w:lang w:val="es-ES_tradnl"/>
        </w:rPr>
        <w:t>s</w:t>
      </w:r>
      <w:r w:rsidR="00B2582E">
        <w:rPr>
          <w:rFonts w:ascii="Bookman Old Style" w:hAnsi="Bookman Old Style"/>
          <w:b/>
          <w:lang w:val="es-ES_tradnl"/>
        </w:rPr>
        <w:t>tribución</w:t>
      </w:r>
      <w:r w:rsidRPr="009E4357">
        <w:rPr>
          <w:rFonts w:ascii="Bookman Old Style" w:hAnsi="Bookman Old Style"/>
          <w:color w:val="000000"/>
        </w:rPr>
        <w:t>.</w:t>
      </w:r>
      <w:r w:rsidRPr="00F6673E">
        <w:rPr>
          <w:rFonts w:ascii="Bookman Old Style" w:hAnsi="Bookman Old Style"/>
          <w:color w:val="000000"/>
        </w:rPr>
        <w:t xml:space="preserve"> </w:t>
      </w:r>
      <w:r w:rsidR="003007AA">
        <w:rPr>
          <w:rFonts w:ascii="Bookman Old Style" w:hAnsi="Bookman Old Style"/>
          <w:color w:val="000000"/>
        </w:rPr>
        <w:t>Cada</w:t>
      </w:r>
      <w:r w:rsidR="003007AA" w:rsidRPr="003007AA">
        <w:rPr>
          <w:rFonts w:ascii="Bookman Old Style" w:hAnsi="Bookman Old Style"/>
          <w:color w:val="000000"/>
        </w:rPr>
        <w:t xml:space="preserve"> </w:t>
      </w:r>
      <w:r w:rsidR="003007AA">
        <w:rPr>
          <w:rFonts w:ascii="Bookman Old Style" w:hAnsi="Bookman Old Style"/>
          <w:color w:val="000000"/>
        </w:rPr>
        <w:t>comercializador y</w:t>
      </w:r>
      <w:r w:rsidR="00DD52C1">
        <w:rPr>
          <w:rFonts w:ascii="Bookman Old Style" w:hAnsi="Bookman Old Style"/>
          <w:color w:val="000000"/>
        </w:rPr>
        <w:t>/o</w:t>
      </w:r>
      <w:r w:rsidR="003007AA">
        <w:rPr>
          <w:rFonts w:ascii="Bookman Old Style" w:hAnsi="Bookman Old Style"/>
          <w:color w:val="000000"/>
        </w:rPr>
        <w:t xml:space="preserve"> usuario no regulado embebido en la red del distribuidor principal </w:t>
      </w:r>
      <w:r w:rsidR="00FA7C71">
        <w:rPr>
          <w:rFonts w:ascii="Bookman Old Style" w:hAnsi="Bookman Old Style"/>
          <w:color w:val="000000"/>
        </w:rPr>
        <w:t xml:space="preserve">o en la red </w:t>
      </w:r>
      <w:r w:rsidR="00FA7C71">
        <w:rPr>
          <w:rFonts w:ascii="Bookman Old Style" w:hAnsi="Bookman Old Style"/>
          <w:color w:val="000000"/>
        </w:rPr>
        <w:lastRenderedPageBreak/>
        <w:t>del distribuidor secundario, y</w:t>
      </w:r>
      <w:r w:rsidR="003007AA">
        <w:rPr>
          <w:rFonts w:ascii="Bookman Old Style" w:hAnsi="Bookman Old Style"/>
          <w:color w:val="000000"/>
        </w:rPr>
        <w:t xml:space="preserve"> que </w:t>
      </w:r>
      <w:r w:rsidR="00FA7C71">
        <w:rPr>
          <w:rFonts w:ascii="Bookman Old Style" w:hAnsi="Bookman Old Style"/>
          <w:color w:val="000000"/>
        </w:rPr>
        <w:t xml:space="preserve">nomine </w:t>
      </w:r>
      <w:r w:rsidR="003007AA">
        <w:rPr>
          <w:rFonts w:ascii="Bookman Old Style" w:hAnsi="Bookman Old Style"/>
          <w:color w:val="000000"/>
        </w:rPr>
        <w:t>directamente al transportador</w:t>
      </w:r>
      <w:r w:rsidR="00FA7C71">
        <w:rPr>
          <w:rFonts w:ascii="Bookman Old Style" w:hAnsi="Bookman Old Style"/>
          <w:color w:val="000000"/>
        </w:rPr>
        <w:t>,</w:t>
      </w:r>
      <w:r w:rsidR="006641F9">
        <w:rPr>
          <w:rFonts w:ascii="Bookman Old Style" w:hAnsi="Bookman Old Style"/>
          <w:color w:val="000000"/>
        </w:rPr>
        <w:t xml:space="preserve"> </w:t>
      </w:r>
      <w:r w:rsidR="009E4357">
        <w:rPr>
          <w:rFonts w:ascii="Bookman Old Style" w:hAnsi="Bookman Old Style"/>
          <w:color w:val="000000"/>
        </w:rPr>
        <w:t>será</w:t>
      </w:r>
      <w:r w:rsidR="00DD52C1">
        <w:rPr>
          <w:rFonts w:ascii="Bookman Old Style" w:hAnsi="Bookman Old Style"/>
          <w:color w:val="000000"/>
        </w:rPr>
        <w:t>n</w:t>
      </w:r>
      <w:r w:rsidR="009E4357">
        <w:rPr>
          <w:rFonts w:ascii="Bookman Old Style" w:hAnsi="Bookman Old Style"/>
          <w:color w:val="000000"/>
        </w:rPr>
        <w:t xml:space="preserve"> </w:t>
      </w:r>
      <w:r w:rsidR="00DD52C1">
        <w:rPr>
          <w:rFonts w:ascii="Bookman Old Style" w:hAnsi="Bookman Old Style"/>
          <w:color w:val="000000"/>
        </w:rPr>
        <w:t>los</w:t>
      </w:r>
      <w:r w:rsidR="009E4357">
        <w:rPr>
          <w:rFonts w:ascii="Bookman Old Style" w:hAnsi="Bookman Old Style"/>
          <w:color w:val="000000"/>
        </w:rPr>
        <w:t xml:space="preserve"> responsable</w:t>
      </w:r>
      <w:r w:rsidR="00DD52C1">
        <w:rPr>
          <w:rFonts w:ascii="Bookman Old Style" w:hAnsi="Bookman Old Style"/>
          <w:color w:val="000000"/>
        </w:rPr>
        <w:t>s</w:t>
      </w:r>
      <w:r w:rsidR="009E4357">
        <w:rPr>
          <w:rFonts w:ascii="Bookman Old Style" w:hAnsi="Bookman Old Style"/>
          <w:color w:val="000000"/>
        </w:rPr>
        <w:t xml:space="preserve"> de </w:t>
      </w:r>
      <w:r w:rsidR="009E4357" w:rsidRPr="009E4357">
        <w:rPr>
          <w:rFonts w:ascii="Bookman Old Style" w:hAnsi="Bookman Old Style"/>
          <w:color w:val="000000"/>
        </w:rPr>
        <w:t>ajust</w:t>
      </w:r>
      <w:r w:rsidR="009E4357">
        <w:rPr>
          <w:rFonts w:ascii="Bookman Old Style" w:hAnsi="Bookman Old Style"/>
          <w:color w:val="000000"/>
        </w:rPr>
        <w:t>ar</w:t>
      </w:r>
      <w:r w:rsidR="009E4357" w:rsidRPr="009E4357">
        <w:rPr>
          <w:rFonts w:ascii="Bookman Old Style" w:hAnsi="Bookman Old Style"/>
          <w:color w:val="000000"/>
        </w:rPr>
        <w:t xml:space="preserve"> </w:t>
      </w:r>
      <w:r w:rsidR="003007AA">
        <w:rPr>
          <w:rFonts w:ascii="Bookman Old Style" w:hAnsi="Bookman Old Style"/>
          <w:color w:val="000000"/>
        </w:rPr>
        <w:t>su</w:t>
      </w:r>
      <w:r w:rsidR="00DD52C1">
        <w:rPr>
          <w:rFonts w:ascii="Bookman Old Style" w:hAnsi="Bookman Old Style"/>
          <w:color w:val="000000"/>
        </w:rPr>
        <w:t>s</w:t>
      </w:r>
      <w:r w:rsidR="003007AA" w:rsidRPr="009E4357">
        <w:rPr>
          <w:rFonts w:ascii="Bookman Old Style" w:hAnsi="Bookman Old Style"/>
          <w:color w:val="000000"/>
        </w:rPr>
        <w:t xml:space="preserve"> </w:t>
      </w:r>
      <w:r w:rsidR="009E4357" w:rsidRPr="009E4357">
        <w:rPr>
          <w:rFonts w:ascii="Bookman Old Style" w:hAnsi="Bookman Old Style"/>
          <w:color w:val="000000"/>
        </w:rPr>
        <w:t>desbalance</w:t>
      </w:r>
      <w:r w:rsidR="00DD52C1">
        <w:rPr>
          <w:rFonts w:ascii="Bookman Old Style" w:hAnsi="Bookman Old Style"/>
          <w:color w:val="000000"/>
        </w:rPr>
        <w:t>s</w:t>
      </w:r>
      <w:r w:rsidR="009E4357" w:rsidRPr="009E4357">
        <w:rPr>
          <w:rFonts w:ascii="Bookman Old Style" w:hAnsi="Bookman Old Style"/>
          <w:color w:val="000000"/>
        </w:rPr>
        <w:t xml:space="preserve"> </w:t>
      </w:r>
      <w:r w:rsidR="003007AA">
        <w:rPr>
          <w:rFonts w:ascii="Bookman Old Style" w:hAnsi="Bookman Old Style"/>
          <w:color w:val="000000"/>
        </w:rPr>
        <w:t xml:space="preserve">en </w:t>
      </w:r>
      <w:r w:rsidR="009E4357">
        <w:rPr>
          <w:rFonts w:ascii="Bookman Old Style" w:hAnsi="Bookman Old Style"/>
          <w:color w:val="000000"/>
        </w:rPr>
        <w:t>el sistema de transporte</w:t>
      </w:r>
      <w:r w:rsidR="00EA4A25">
        <w:rPr>
          <w:rFonts w:ascii="Bookman Old Style" w:hAnsi="Bookman Old Style"/>
          <w:color w:val="000000"/>
        </w:rPr>
        <w:t xml:space="preserve">, de acuerdo con lo establecido en el </w:t>
      </w:r>
      <w:r w:rsidR="00954B28">
        <w:rPr>
          <w:rFonts w:ascii="Bookman Old Style" w:hAnsi="Bookman Old Style"/>
          <w:color w:val="000000"/>
        </w:rPr>
        <w:t xml:space="preserve">Artículo 3 de la Resolución CREG 088 de 2015 </w:t>
      </w:r>
      <w:r w:rsidR="00EA4A25">
        <w:rPr>
          <w:rFonts w:ascii="Bookman Old Style" w:hAnsi="Bookman Old Style"/>
          <w:color w:val="000000"/>
        </w:rPr>
        <w:t>o aquellas que l</w:t>
      </w:r>
      <w:r w:rsidR="001628B8">
        <w:rPr>
          <w:rFonts w:ascii="Bookman Old Style" w:hAnsi="Bookman Old Style"/>
          <w:color w:val="000000"/>
        </w:rPr>
        <w:t>o</w:t>
      </w:r>
      <w:r w:rsidR="00EA4A25">
        <w:rPr>
          <w:rFonts w:ascii="Bookman Old Style" w:hAnsi="Bookman Old Style"/>
          <w:color w:val="000000"/>
        </w:rPr>
        <w:t xml:space="preserve"> modifiquen</w:t>
      </w:r>
      <w:r w:rsidR="0014702B">
        <w:rPr>
          <w:rFonts w:ascii="Bookman Old Style" w:hAnsi="Bookman Old Style"/>
          <w:color w:val="000000"/>
        </w:rPr>
        <w:t xml:space="preserve"> </w:t>
      </w:r>
      <w:r w:rsidR="00EA4A25">
        <w:rPr>
          <w:rFonts w:ascii="Bookman Old Style" w:hAnsi="Bookman Old Style"/>
          <w:color w:val="000000"/>
        </w:rPr>
        <w:t>o sustituyan</w:t>
      </w:r>
      <w:r w:rsidR="00D91047">
        <w:rPr>
          <w:rFonts w:ascii="Bookman Old Style" w:hAnsi="Bookman Old Style"/>
          <w:color w:val="000000"/>
        </w:rPr>
        <w:t xml:space="preserve">. El desbalance de cada remitente en la estación </w:t>
      </w:r>
      <w:r w:rsidR="00FA7C71">
        <w:rPr>
          <w:rFonts w:ascii="Bookman Old Style" w:hAnsi="Bookman Old Style"/>
          <w:color w:val="000000"/>
        </w:rPr>
        <w:t xml:space="preserve">reguladora de </w:t>
      </w:r>
      <w:r w:rsidR="00D91047">
        <w:rPr>
          <w:rFonts w:ascii="Bookman Old Style" w:hAnsi="Bookman Old Style"/>
          <w:color w:val="000000"/>
        </w:rPr>
        <w:t xml:space="preserve">puerta de ciudad </w:t>
      </w:r>
      <w:r w:rsidR="00FA7C71">
        <w:rPr>
          <w:rFonts w:ascii="Bookman Old Style" w:hAnsi="Bookman Old Style"/>
          <w:color w:val="000000"/>
        </w:rPr>
        <w:t xml:space="preserve">o puerta de ciudad </w:t>
      </w:r>
      <w:r w:rsidR="00D91047">
        <w:rPr>
          <w:rFonts w:ascii="Bookman Old Style" w:hAnsi="Bookman Old Style"/>
          <w:color w:val="000000"/>
        </w:rPr>
        <w:t xml:space="preserve">se </w:t>
      </w:r>
      <w:r w:rsidR="001F1383">
        <w:rPr>
          <w:rFonts w:ascii="Bookman Old Style" w:hAnsi="Bookman Old Style"/>
          <w:color w:val="000000"/>
        </w:rPr>
        <w:t xml:space="preserve">calcula </w:t>
      </w:r>
      <w:r w:rsidR="00D91047">
        <w:rPr>
          <w:rFonts w:ascii="Bookman Old Style" w:hAnsi="Bookman Old Style"/>
          <w:color w:val="000000"/>
        </w:rPr>
        <w:t xml:space="preserve">a partir de la información del </w:t>
      </w:r>
      <w:r w:rsidR="00FA7C71">
        <w:rPr>
          <w:rFonts w:ascii="Bookman Old Style" w:hAnsi="Bookman Old Style"/>
          <w:color w:val="000000"/>
        </w:rPr>
        <w:t xml:space="preserve">Anexo </w:t>
      </w:r>
      <w:r w:rsidR="00D91047">
        <w:rPr>
          <w:rFonts w:ascii="Bookman Old Style" w:hAnsi="Bookman Old Style"/>
          <w:color w:val="000000"/>
        </w:rPr>
        <w:t xml:space="preserve">1 </w:t>
      </w:r>
      <w:r w:rsidR="001F1383">
        <w:rPr>
          <w:rFonts w:ascii="Bookman Old Style" w:hAnsi="Bookman Old Style"/>
          <w:color w:val="000000"/>
        </w:rPr>
        <w:t xml:space="preserve">y del procedimiento del </w:t>
      </w:r>
      <w:r w:rsidR="00053360">
        <w:rPr>
          <w:rFonts w:ascii="Bookman Old Style" w:hAnsi="Bookman Old Style"/>
          <w:color w:val="000000"/>
        </w:rPr>
        <w:t>A</w:t>
      </w:r>
      <w:r w:rsidR="001F1383">
        <w:rPr>
          <w:rFonts w:ascii="Bookman Old Style" w:hAnsi="Bookman Old Style"/>
          <w:color w:val="000000"/>
        </w:rPr>
        <w:t xml:space="preserve">nexo </w:t>
      </w:r>
      <w:r w:rsidR="00026267">
        <w:rPr>
          <w:rFonts w:ascii="Bookman Old Style" w:hAnsi="Bookman Old Style"/>
          <w:color w:val="000000"/>
        </w:rPr>
        <w:t>3</w:t>
      </w:r>
      <w:r w:rsidR="001F1383">
        <w:rPr>
          <w:rFonts w:ascii="Bookman Old Style" w:hAnsi="Bookman Old Style"/>
          <w:color w:val="000000"/>
        </w:rPr>
        <w:t xml:space="preserve"> </w:t>
      </w:r>
      <w:r w:rsidR="00D91047">
        <w:rPr>
          <w:rFonts w:ascii="Bookman Old Style" w:hAnsi="Bookman Old Style"/>
          <w:color w:val="000000"/>
        </w:rPr>
        <w:t>de la presente Resolución.</w:t>
      </w:r>
    </w:p>
    <w:p w:rsidR="009E4357" w:rsidRDefault="009E4357" w:rsidP="00F6673E">
      <w:pPr>
        <w:ind w:left="0"/>
        <w:jc w:val="both"/>
        <w:rPr>
          <w:rFonts w:ascii="Bookman Old Style" w:hAnsi="Bookman Old Style"/>
          <w:color w:val="000000"/>
        </w:rPr>
      </w:pPr>
    </w:p>
    <w:p w:rsidR="00151892" w:rsidRPr="00394EED" w:rsidRDefault="00151892" w:rsidP="00151892">
      <w:pPr>
        <w:ind w:left="0"/>
        <w:jc w:val="both"/>
        <w:rPr>
          <w:rFonts w:ascii="Bookman Old Style" w:hAnsi="Bookman Old Style"/>
          <w:bCs/>
          <w:color w:val="000000"/>
        </w:rPr>
      </w:pPr>
      <w:r>
        <w:rPr>
          <w:rFonts w:ascii="Bookman Old Style" w:hAnsi="Bookman Old Style"/>
          <w:b/>
          <w:bCs/>
          <w:color w:val="000000"/>
        </w:rPr>
        <w:t xml:space="preserve">Artículo </w:t>
      </w:r>
      <w:r w:rsidR="009011B9">
        <w:rPr>
          <w:rFonts w:ascii="Bookman Old Style" w:hAnsi="Bookman Old Style"/>
          <w:b/>
          <w:bCs/>
          <w:color w:val="000000"/>
        </w:rPr>
        <w:t>4</w:t>
      </w:r>
      <w:r>
        <w:rPr>
          <w:rFonts w:ascii="Bookman Old Style" w:hAnsi="Bookman Old Style"/>
          <w:b/>
          <w:bCs/>
          <w:color w:val="000000"/>
        </w:rPr>
        <w:t xml:space="preserve">. Modificación del parágrafo 5 del </w:t>
      </w:r>
      <w:r w:rsidR="00E254D0">
        <w:rPr>
          <w:rFonts w:ascii="Bookman Old Style" w:hAnsi="Bookman Old Style"/>
          <w:b/>
          <w:bCs/>
          <w:color w:val="000000"/>
        </w:rPr>
        <w:t xml:space="preserve">Artículo </w:t>
      </w:r>
      <w:r>
        <w:rPr>
          <w:rFonts w:ascii="Bookman Old Style" w:hAnsi="Bookman Old Style"/>
          <w:b/>
          <w:bCs/>
          <w:color w:val="000000"/>
        </w:rPr>
        <w:t xml:space="preserve">54 de la Resolución CREG 089 de 2013. </w:t>
      </w:r>
      <w:r w:rsidRPr="00394EED">
        <w:rPr>
          <w:rFonts w:ascii="Bookman Old Style" w:hAnsi="Bookman Old Style"/>
          <w:bCs/>
          <w:color w:val="000000"/>
        </w:rPr>
        <w:t xml:space="preserve">El parágrafo 5 del </w:t>
      </w:r>
      <w:r w:rsidR="00215FE1">
        <w:rPr>
          <w:rFonts w:ascii="Bookman Old Style" w:hAnsi="Bookman Old Style"/>
          <w:bCs/>
          <w:color w:val="000000"/>
        </w:rPr>
        <w:t>A</w:t>
      </w:r>
      <w:r w:rsidR="00215FE1" w:rsidRPr="00394EED">
        <w:rPr>
          <w:rFonts w:ascii="Bookman Old Style" w:hAnsi="Bookman Old Style"/>
          <w:bCs/>
          <w:color w:val="000000"/>
        </w:rPr>
        <w:t xml:space="preserve">rtículo </w:t>
      </w:r>
      <w:r w:rsidRPr="00394EED">
        <w:rPr>
          <w:rFonts w:ascii="Bookman Old Style" w:hAnsi="Bookman Old Style"/>
          <w:bCs/>
          <w:color w:val="000000"/>
        </w:rPr>
        <w:t>54 de la Resolución CREG 089 de 2013 quedará así</w:t>
      </w:r>
      <w:r w:rsidR="00547A9F">
        <w:rPr>
          <w:rFonts w:ascii="Bookman Old Style" w:hAnsi="Bookman Old Style"/>
          <w:bCs/>
          <w:color w:val="000000"/>
        </w:rPr>
        <w:t>:</w:t>
      </w:r>
    </w:p>
    <w:p w:rsidR="00151892" w:rsidRPr="00151892" w:rsidRDefault="00151892" w:rsidP="00151892">
      <w:pPr>
        <w:ind w:left="284" w:right="284"/>
        <w:jc w:val="both"/>
        <w:rPr>
          <w:rFonts w:ascii="Bookman Old Style" w:hAnsi="Bookman Old Style"/>
          <w:color w:val="000000"/>
        </w:rPr>
      </w:pPr>
    </w:p>
    <w:p w:rsidR="00151892" w:rsidRDefault="00151892" w:rsidP="00151892">
      <w:pPr>
        <w:ind w:left="284" w:right="284"/>
        <w:jc w:val="both"/>
        <w:rPr>
          <w:rFonts w:ascii="Bookman Old Style" w:hAnsi="Bookman Old Style"/>
          <w:color w:val="000000"/>
        </w:rPr>
      </w:pPr>
      <w:r w:rsidRPr="00151892">
        <w:rPr>
          <w:rFonts w:ascii="Bookman Old Style" w:hAnsi="Bookman Old Style"/>
          <w:b/>
          <w:color w:val="000000"/>
        </w:rPr>
        <w:t>Parágrafo</w:t>
      </w:r>
      <w:r>
        <w:rPr>
          <w:rFonts w:ascii="Bookman Old Style" w:hAnsi="Bookman Old Style"/>
          <w:b/>
          <w:color w:val="000000"/>
        </w:rPr>
        <w:t xml:space="preserve"> 5</w:t>
      </w:r>
      <w:r w:rsidRPr="00151892">
        <w:rPr>
          <w:rFonts w:ascii="Bookman Old Style" w:hAnsi="Bookman Old Style"/>
          <w:color w:val="000000"/>
        </w:rPr>
        <w:t>. Cuando en una estación reguladora de puerta de ciudad o puerta de ciudad la medición de cantidades es común a varios remitentes,</w:t>
      </w:r>
      <w:r w:rsidR="002C6E3B">
        <w:rPr>
          <w:rFonts w:ascii="Bookman Old Style" w:hAnsi="Bookman Old Style"/>
          <w:color w:val="000000"/>
        </w:rPr>
        <w:t xml:space="preserve"> dentro de un sistema de distribución</w:t>
      </w:r>
      <w:r w:rsidRPr="00151892">
        <w:rPr>
          <w:rFonts w:ascii="Bookman Old Style" w:hAnsi="Bookman Old Style"/>
          <w:color w:val="000000"/>
        </w:rPr>
        <w:t xml:space="preserve"> y ocurre un incumplimiento del transportador por causa de variaciones de salida, estos remitentes sólo pagarán compensación si la suma de las variaciones netas de todos los remitentes en la estación reguladora de puerta de ciudad o puerta de ciudad, determinadas desde las 00:00 horas del día D-2 hasta las 24:00 horas del día de gas en que se presenta el incumplimiento, es negativa. En resolución aparte se establecerán los mecanismos para la asignación de</w:t>
      </w:r>
      <w:r w:rsidR="000D071D">
        <w:rPr>
          <w:rFonts w:ascii="Bookman Old Style" w:hAnsi="Bookman Old Style"/>
          <w:color w:val="000000"/>
        </w:rPr>
        <w:t xml:space="preserve"> compensaciones por</w:t>
      </w:r>
      <w:r w:rsidR="009142A4">
        <w:rPr>
          <w:rFonts w:ascii="Bookman Old Style" w:hAnsi="Bookman Old Style"/>
          <w:color w:val="000000"/>
        </w:rPr>
        <w:t xml:space="preserve"> variaciones de salida.</w:t>
      </w:r>
    </w:p>
    <w:p w:rsidR="00A339EF" w:rsidRDefault="00A339EF" w:rsidP="00EB10A9">
      <w:pPr>
        <w:ind w:left="0" w:right="284"/>
        <w:jc w:val="both"/>
        <w:rPr>
          <w:rFonts w:ascii="Bookman Old Style" w:hAnsi="Bookman Old Style"/>
          <w:color w:val="000000"/>
        </w:rPr>
      </w:pPr>
    </w:p>
    <w:p w:rsidR="0067447A" w:rsidRDefault="0067447A" w:rsidP="00EB10A9">
      <w:pPr>
        <w:ind w:left="0" w:right="284"/>
        <w:jc w:val="both"/>
        <w:rPr>
          <w:rFonts w:ascii="Bookman Old Style" w:hAnsi="Bookman Old Style"/>
          <w:color w:val="000000"/>
        </w:rPr>
      </w:pPr>
      <w:r w:rsidRPr="00F6673E">
        <w:rPr>
          <w:rFonts w:ascii="Bookman Old Style" w:hAnsi="Bookman Old Style"/>
          <w:b/>
          <w:bCs/>
          <w:color w:val="000000"/>
        </w:rPr>
        <w:t>Artículo</w:t>
      </w:r>
      <w:r>
        <w:rPr>
          <w:rFonts w:ascii="Bookman Old Style" w:hAnsi="Bookman Old Style"/>
          <w:b/>
          <w:bCs/>
          <w:color w:val="000000"/>
        </w:rPr>
        <w:t xml:space="preserve"> 5</w:t>
      </w:r>
      <w:r w:rsidRPr="00F6673E">
        <w:rPr>
          <w:rFonts w:ascii="Bookman Old Style" w:hAnsi="Bookman Old Style"/>
          <w:b/>
          <w:bCs/>
          <w:color w:val="000000"/>
        </w:rPr>
        <w:t xml:space="preserve">. </w:t>
      </w:r>
      <w:r>
        <w:rPr>
          <w:rFonts w:ascii="Bookman Old Style" w:hAnsi="Bookman Old Style"/>
          <w:b/>
          <w:bCs/>
          <w:color w:val="000000"/>
        </w:rPr>
        <w:t>Nominaciones en estación de puerta de ciudad</w:t>
      </w:r>
      <w:r w:rsidRPr="00F6673E">
        <w:rPr>
          <w:rFonts w:ascii="Bookman Old Style" w:hAnsi="Bookman Old Style"/>
          <w:color w:val="000000"/>
        </w:rPr>
        <w:t xml:space="preserve">. </w:t>
      </w:r>
      <w:r>
        <w:rPr>
          <w:rFonts w:ascii="Bookman Old Style" w:hAnsi="Bookman Old Style"/>
          <w:color w:val="000000"/>
        </w:rPr>
        <w:t xml:space="preserve">Las nominaciones y renominaciones asociadas a puntos de salida que correspondan a estaciones de puerta de ciudad se deberán presentar al transportador desagregadas entre demanda regulada y no regulada. </w:t>
      </w:r>
    </w:p>
    <w:p w:rsidR="0067447A" w:rsidRDefault="0067447A" w:rsidP="00EB10A9">
      <w:pPr>
        <w:ind w:left="0" w:right="284"/>
        <w:jc w:val="both"/>
        <w:rPr>
          <w:rFonts w:ascii="Bookman Old Style" w:hAnsi="Bookman Old Style"/>
          <w:color w:val="000000"/>
        </w:rPr>
      </w:pPr>
    </w:p>
    <w:p w:rsidR="00F6673E" w:rsidRPr="00F6673E" w:rsidRDefault="00F6673E" w:rsidP="00F6673E">
      <w:pPr>
        <w:ind w:left="0"/>
        <w:jc w:val="both"/>
        <w:rPr>
          <w:rFonts w:ascii="Bookman Old Style" w:hAnsi="Bookman Old Style"/>
          <w:color w:val="000000"/>
        </w:rPr>
      </w:pPr>
      <w:r w:rsidRPr="00F6673E">
        <w:rPr>
          <w:rFonts w:ascii="Bookman Old Style" w:hAnsi="Bookman Old Style"/>
          <w:b/>
          <w:bCs/>
          <w:color w:val="000000"/>
        </w:rPr>
        <w:t>Artículo</w:t>
      </w:r>
      <w:r w:rsidR="00B06602">
        <w:rPr>
          <w:rFonts w:ascii="Bookman Old Style" w:hAnsi="Bookman Old Style"/>
          <w:b/>
          <w:bCs/>
          <w:color w:val="000000"/>
        </w:rPr>
        <w:t xml:space="preserve"> </w:t>
      </w:r>
      <w:r w:rsidR="0067447A">
        <w:rPr>
          <w:rFonts w:ascii="Bookman Old Style" w:hAnsi="Bookman Old Style"/>
          <w:b/>
          <w:bCs/>
          <w:color w:val="000000"/>
        </w:rPr>
        <w:t>6</w:t>
      </w:r>
      <w:r w:rsidRPr="00F6673E">
        <w:rPr>
          <w:rFonts w:ascii="Bookman Old Style" w:hAnsi="Bookman Old Style"/>
          <w:b/>
          <w:bCs/>
          <w:color w:val="000000"/>
        </w:rPr>
        <w:t>. Derogatorias y Vigencia</w:t>
      </w:r>
      <w:r w:rsidRPr="00F6673E">
        <w:rPr>
          <w:rFonts w:ascii="Bookman Old Style" w:hAnsi="Bookman Old Style"/>
          <w:color w:val="000000"/>
        </w:rPr>
        <w:t xml:space="preserve">. La presente Resolución rige a partir de su publicación en el </w:t>
      </w:r>
      <w:r w:rsidRPr="00F6673E">
        <w:rPr>
          <w:rFonts w:ascii="Bookman Old Style" w:hAnsi="Bookman Old Style"/>
          <w:i/>
          <w:iCs/>
          <w:color w:val="000000"/>
        </w:rPr>
        <w:t>Diario Oficial</w:t>
      </w:r>
      <w:r w:rsidRPr="00F6673E">
        <w:rPr>
          <w:rFonts w:ascii="Bookman Old Style" w:hAnsi="Bookman Old Style"/>
          <w:color w:val="000000"/>
        </w:rPr>
        <w:t xml:space="preserve"> y deroga todas las disposiciones que le sean contrarias.</w:t>
      </w:r>
    </w:p>
    <w:p w:rsidR="00F6673E" w:rsidRDefault="00F6673E" w:rsidP="00F6673E">
      <w:pPr>
        <w:pStyle w:val="ARTICULOS"/>
        <w:numPr>
          <w:ilvl w:val="0"/>
          <w:numId w:val="0"/>
        </w:numPr>
        <w:rPr>
          <w:color w:val="000000"/>
          <w:lang w:val="es-ES"/>
        </w:rPr>
      </w:pPr>
    </w:p>
    <w:p w:rsidR="00756749" w:rsidRDefault="00756749" w:rsidP="00F6673E">
      <w:pPr>
        <w:ind w:left="0"/>
        <w:jc w:val="center"/>
        <w:rPr>
          <w:rFonts w:ascii="Bookman Old Style" w:hAnsi="Bookman Old Style"/>
          <w:b/>
        </w:rPr>
      </w:pPr>
    </w:p>
    <w:p w:rsidR="00F6673E" w:rsidRPr="00F6673E" w:rsidRDefault="00F6673E" w:rsidP="00F6673E">
      <w:pPr>
        <w:ind w:left="0"/>
        <w:jc w:val="center"/>
        <w:rPr>
          <w:rFonts w:ascii="Bookman Old Style" w:hAnsi="Bookman Old Style"/>
          <w:b/>
        </w:rPr>
      </w:pPr>
      <w:r w:rsidRPr="00F6673E">
        <w:rPr>
          <w:rFonts w:ascii="Bookman Old Style" w:hAnsi="Bookman Old Style"/>
          <w:b/>
        </w:rPr>
        <w:t>PUBLÍQUESE Y CÚMPLASE</w:t>
      </w:r>
    </w:p>
    <w:p w:rsidR="00F6673E" w:rsidRPr="00F6673E" w:rsidRDefault="00F6673E" w:rsidP="00F6673E">
      <w:pPr>
        <w:ind w:left="0"/>
        <w:jc w:val="both"/>
        <w:rPr>
          <w:rFonts w:ascii="Bookman Old Style" w:hAnsi="Bookman Old Style"/>
          <w:color w:val="000000"/>
        </w:rPr>
      </w:pPr>
    </w:p>
    <w:p w:rsidR="00F6673E" w:rsidRPr="00F6673E" w:rsidRDefault="00F6673E" w:rsidP="00F6673E">
      <w:pPr>
        <w:ind w:left="0"/>
        <w:jc w:val="both"/>
        <w:rPr>
          <w:rFonts w:ascii="Bookman Old Style" w:hAnsi="Bookman Old Style"/>
          <w:color w:val="000000"/>
        </w:rPr>
      </w:pPr>
      <w:r w:rsidRPr="00F6673E">
        <w:rPr>
          <w:rFonts w:ascii="Bookman Old Style" w:hAnsi="Bookman Old Style"/>
          <w:color w:val="000000"/>
        </w:rPr>
        <w:t>Firma del proyecto,</w:t>
      </w:r>
    </w:p>
    <w:p w:rsidR="00F6673E" w:rsidRPr="00F6673E" w:rsidRDefault="00F6673E" w:rsidP="00F6673E">
      <w:pPr>
        <w:jc w:val="both"/>
        <w:rPr>
          <w:rFonts w:ascii="Bookman Old Style" w:hAnsi="Bookman Old Style"/>
          <w:color w:val="000000"/>
        </w:rPr>
      </w:pPr>
    </w:p>
    <w:p w:rsidR="00F6673E" w:rsidRDefault="00F6673E" w:rsidP="00F6673E">
      <w:pPr>
        <w:jc w:val="both"/>
        <w:rPr>
          <w:rFonts w:ascii="Bookman Old Style" w:hAnsi="Bookman Old Style"/>
          <w:color w:val="000000"/>
        </w:rPr>
      </w:pPr>
    </w:p>
    <w:p w:rsidR="007356CA" w:rsidRDefault="007356CA" w:rsidP="00F6673E">
      <w:pPr>
        <w:jc w:val="both"/>
        <w:rPr>
          <w:rFonts w:ascii="Bookman Old Style" w:hAnsi="Bookman Old Style"/>
          <w:color w:val="000000"/>
        </w:rPr>
      </w:pPr>
    </w:p>
    <w:p w:rsidR="009E4357" w:rsidRDefault="009E4357" w:rsidP="00F6673E">
      <w:pPr>
        <w:jc w:val="both"/>
        <w:rPr>
          <w:rFonts w:ascii="Bookman Old Style" w:hAnsi="Bookman Old Style"/>
          <w:color w:val="000000"/>
        </w:rPr>
      </w:pPr>
    </w:p>
    <w:p w:rsidR="00756749" w:rsidRDefault="00756749" w:rsidP="00F6673E">
      <w:pPr>
        <w:jc w:val="both"/>
        <w:rPr>
          <w:rFonts w:ascii="Bookman Old Style" w:hAnsi="Bookman Old Style"/>
          <w:color w:val="000000"/>
        </w:rPr>
      </w:pPr>
    </w:p>
    <w:tbl>
      <w:tblPr>
        <w:tblW w:w="9870" w:type="dxa"/>
        <w:jc w:val="center"/>
        <w:tblLook w:val="04A0" w:firstRow="1" w:lastRow="0" w:firstColumn="1" w:lastColumn="0" w:noHBand="0" w:noVBand="1"/>
      </w:tblPr>
      <w:tblGrid>
        <w:gridCol w:w="5122"/>
        <w:gridCol w:w="4748"/>
      </w:tblGrid>
      <w:tr w:rsidR="00756749" w:rsidTr="008E7A5A">
        <w:trPr>
          <w:jc w:val="center"/>
        </w:trPr>
        <w:tc>
          <w:tcPr>
            <w:tcW w:w="5122" w:type="dxa"/>
            <w:hideMark/>
          </w:tcPr>
          <w:p w:rsidR="00756749" w:rsidRDefault="00756749" w:rsidP="00CE1498">
            <w:pPr>
              <w:ind w:left="0" w:right="-288"/>
              <w:rPr>
                <w:rFonts w:ascii="Bookman Old Style" w:hAnsi="Bookman Old Style"/>
                <w:b/>
              </w:rPr>
            </w:pPr>
            <w:r>
              <w:rPr>
                <w:rFonts w:ascii="Bookman Old Style" w:hAnsi="Bookman Old Style"/>
                <w:b/>
              </w:rPr>
              <w:t>CARLOS FERNANDO ERASO CALERO</w:t>
            </w:r>
          </w:p>
          <w:p w:rsidR="00756749" w:rsidRDefault="00756749" w:rsidP="00CE1498">
            <w:pPr>
              <w:ind w:left="0"/>
              <w:jc w:val="center"/>
              <w:rPr>
                <w:rFonts w:ascii="Bookman Old Style" w:hAnsi="Bookman Old Style"/>
              </w:rPr>
            </w:pPr>
            <w:r>
              <w:rPr>
                <w:rFonts w:ascii="Bookman Old Style" w:hAnsi="Bookman Old Style"/>
              </w:rPr>
              <w:t>Viceministro de Energía</w:t>
            </w:r>
          </w:p>
          <w:p w:rsidR="00756749" w:rsidRDefault="00756749" w:rsidP="00CE1498">
            <w:pPr>
              <w:ind w:left="-90" w:right="-160"/>
              <w:jc w:val="center"/>
              <w:rPr>
                <w:rFonts w:ascii="Bookman Old Style" w:hAnsi="Bookman Old Style"/>
                <w:bCs/>
                <w:lang w:val="es-CO"/>
              </w:rPr>
            </w:pPr>
            <w:r>
              <w:rPr>
                <w:rFonts w:ascii="Bookman Old Style" w:hAnsi="Bookman Old Style"/>
                <w:bCs/>
                <w:lang w:val="es-CO"/>
              </w:rPr>
              <w:t>Delegado del Ministro de Minas y Energía</w:t>
            </w:r>
          </w:p>
          <w:p w:rsidR="00756749" w:rsidRDefault="00756749" w:rsidP="00CE1498">
            <w:pPr>
              <w:ind w:left="142"/>
              <w:jc w:val="center"/>
              <w:rPr>
                <w:rFonts w:ascii="Bookman Old Style" w:hAnsi="Bookman Old Style"/>
                <w:bCs/>
                <w:lang w:val="es-CO"/>
              </w:rPr>
            </w:pPr>
            <w:r>
              <w:rPr>
                <w:rFonts w:ascii="Bookman Old Style" w:hAnsi="Bookman Old Style"/>
                <w:bCs/>
                <w:lang w:val="es-CO"/>
              </w:rPr>
              <w:t>Presidente</w:t>
            </w:r>
          </w:p>
        </w:tc>
        <w:tc>
          <w:tcPr>
            <w:tcW w:w="4748" w:type="dxa"/>
            <w:hideMark/>
          </w:tcPr>
          <w:p w:rsidR="00756749" w:rsidRDefault="00756749" w:rsidP="00CE1498">
            <w:pPr>
              <w:ind w:left="0"/>
              <w:jc w:val="center"/>
              <w:rPr>
                <w:rFonts w:ascii="Bookman Old Style" w:hAnsi="Bookman Old Style"/>
                <w:b/>
              </w:rPr>
            </w:pPr>
            <w:r>
              <w:rPr>
                <w:rFonts w:ascii="Bookman Old Style" w:hAnsi="Bookman Old Style"/>
                <w:b/>
              </w:rPr>
              <w:t>JORGE PINTO NOLLA</w:t>
            </w:r>
          </w:p>
          <w:p w:rsidR="00756749" w:rsidRDefault="00756749" w:rsidP="00CE1498">
            <w:pPr>
              <w:ind w:left="0"/>
              <w:jc w:val="center"/>
              <w:rPr>
                <w:rFonts w:ascii="Bookman Old Style" w:hAnsi="Bookman Old Style"/>
              </w:rPr>
            </w:pPr>
            <w:r>
              <w:rPr>
                <w:rFonts w:ascii="Bookman Old Style" w:hAnsi="Bookman Old Style"/>
              </w:rPr>
              <w:t>Director Ejecutivo</w:t>
            </w:r>
          </w:p>
        </w:tc>
      </w:tr>
    </w:tbl>
    <w:p w:rsidR="00756749" w:rsidRPr="00F6673E" w:rsidRDefault="00756749" w:rsidP="00AA4EDB">
      <w:pPr>
        <w:ind w:left="0"/>
        <w:jc w:val="both"/>
        <w:rPr>
          <w:rFonts w:ascii="Bookman Old Style" w:hAnsi="Bookman Old Style"/>
        </w:rPr>
      </w:pPr>
    </w:p>
    <w:p w:rsidR="00C47D07" w:rsidRDefault="00C47D07">
      <w:pPr>
        <w:ind w:left="0"/>
        <w:rPr>
          <w:rFonts w:ascii="Bookman Old Style" w:hAnsi="Bookman Old Style"/>
          <w:b/>
          <w:szCs w:val="20"/>
          <w:lang w:val="es-CO"/>
        </w:rPr>
      </w:pPr>
      <w:r>
        <w:rPr>
          <w:rFonts w:ascii="Bookman Old Style" w:hAnsi="Bookman Old Style"/>
        </w:rPr>
        <w:br w:type="page"/>
      </w:r>
    </w:p>
    <w:p w:rsidR="002E6C87" w:rsidRDefault="002E6C87" w:rsidP="00224C13">
      <w:pPr>
        <w:ind w:left="0"/>
        <w:jc w:val="center"/>
        <w:rPr>
          <w:rFonts w:ascii="Bookman Old Style" w:hAnsi="Bookman Old Style"/>
          <w:b/>
          <w:bCs/>
          <w:color w:val="000000"/>
        </w:rPr>
      </w:pPr>
    </w:p>
    <w:p w:rsidR="00224C13" w:rsidRDefault="00224C13" w:rsidP="00224C13">
      <w:pPr>
        <w:ind w:left="0"/>
        <w:jc w:val="center"/>
        <w:rPr>
          <w:rFonts w:ascii="Bookman Old Style" w:hAnsi="Bookman Old Style"/>
          <w:b/>
          <w:bCs/>
          <w:color w:val="000000"/>
        </w:rPr>
      </w:pPr>
      <w:r w:rsidRPr="009E4357">
        <w:rPr>
          <w:rFonts w:ascii="Bookman Old Style" w:hAnsi="Bookman Old Style"/>
          <w:b/>
          <w:bCs/>
          <w:color w:val="000000"/>
        </w:rPr>
        <w:t xml:space="preserve">Anexo </w:t>
      </w:r>
      <w:r>
        <w:rPr>
          <w:rFonts w:ascii="Bookman Old Style" w:hAnsi="Bookman Old Style"/>
          <w:b/>
          <w:bCs/>
          <w:color w:val="000000"/>
        </w:rPr>
        <w:t>1</w:t>
      </w:r>
    </w:p>
    <w:p w:rsidR="00224C13" w:rsidRDefault="00224C13" w:rsidP="00224C13">
      <w:pPr>
        <w:jc w:val="center"/>
        <w:rPr>
          <w:rFonts w:ascii="Bookman Old Style" w:hAnsi="Bookman Old Style"/>
          <w:b/>
          <w:bCs/>
          <w:color w:val="000000"/>
        </w:rPr>
      </w:pPr>
    </w:p>
    <w:p w:rsidR="00224C13" w:rsidRDefault="00224C13" w:rsidP="009B18CE">
      <w:pPr>
        <w:ind w:left="0"/>
        <w:jc w:val="center"/>
        <w:rPr>
          <w:rFonts w:ascii="Bookman Old Style" w:hAnsi="Bookman Old Style"/>
        </w:rPr>
      </w:pPr>
      <w:r>
        <w:rPr>
          <w:rFonts w:ascii="Bookman Old Style" w:hAnsi="Bookman Old Style"/>
          <w:b/>
          <w:bCs/>
          <w:color w:val="000000"/>
        </w:rPr>
        <w:t xml:space="preserve">Información </w:t>
      </w:r>
      <w:r w:rsidR="00DA5131">
        <w:rPr>
          <w:rFonts w:ascii="Bookman Old Style" w:hAnsi="Bookman Old Style"/>
          <w:b/>
          <w:bCs/>
          <w:color w:val="000000"/>
        </w:rPr>
        <w:t xml:space="preserve">en puerta de ciudad con medición común a varios remitentes necesaria </w:t>
      </w:r>
      <w:r>
        <w:rPr>
          <w:rFonts w:ascii="Bookman Old Style" w:hAnsi="Bookman Old Style"/>
          <w:b/>
          <w:bCs/>
          <w:color w:val="000000"/>
        </w:rPr>
        <w:t>para asigna</w:t>
      </w:r>
      <w:r w:rsidR="00DA5131">
        <w:rPr>
          <w:rFonts w:ascii="Bookman Old Style" w:hAnsi="Bookman Old Style"/>
          <w:b/>
          <w:bCs/>
          <w:color w:val="000000"/>
        </w:rPr>
        <w:t xml:space="preserve">r </w:t>
      </w:r>
      <w:r>
        <w:rPr>
          <w:rFonts w:ascii="Bookman Old Style" w:hAnsi="Bookman Old Style"/>
          <w:b/>
          <w:bCs/>
          <w:color w:val="000000"/>
        </w:rPr>
        <w:t xml:space="preserve">compensaciones por variaciones de salida </w:t>
      </w:r>
      <w:r w:rsidR="00D91047">
        <w:rPr>
          <w:rFonts w:ascii="Bookman Old Style" w:hAnsi="Bookman Old Style"/>
          <w:b/>
          <w:bCs/>
          <w:color w:val="000000"/>
        </w:rPr>
        <w:t xml:space="preserve">y para </w:t>
      </w:r>
      <w:r w:rsidR="00356271">
        <w:rPr>
          <w:rFonts w:ascii="Bookman Old Style" w:hAnsi="Bookman Old Style"/>
          <w:b/>
          <w:bCs/>
          <w:color w:val="000000"/>
        </w:rPr>
        <w:t xml:space="preserve">determinar </w:t>
      </w:r>
      <w:r w:rsidR="00D91047">
        <w:rPr>
          <w:rFonts w:ascii="Bookman Old Style" w:hAnsi="Bookman Old Style"/>
          <w:b/>
          <w:bCs/>
          <w:color w:val="000000"/>
        </w:rPr>
        <w:t>desbalances</w:t>
      </w:r>
      <w:r w:rsidR="002779DE">
        <w:rPr>
          <w:rFonts w:ascii="Bookman Old Style" w:hAnsi="Bookman Old Style"/>
          <w:b/>
          <w:bCs/>
          <w:color w:val="000000"/>
        </w:rPr>
        <w:t xml:space="preserve"> </w:t>
      </w:r>
      <w:r w:rsidR="00B602B0">
        <w:rPr>
          <w:rFonts w:ascii="Bookman Old Style" w:hAnsi="Bookman Old Style"/>
          <w:b/>
          <w:bCs/>
          <w:color w:val="000000"/>
        </w:rPr>
        <w:t>de energía en la puerta de ciudad</w:t>
      </w:r>
    </w:p>
    <w:p w:rsidR="00224C13" w:rsidRPr="00FB138D" w:rsidRDefault="00224C13" w:rsidP="00224C13">
      <w:pPr>
        <w:jc w:val="both"/>
        <w:rPr>
          <w:rFonts w:ascii="Arial" w:hAnsi="Arial" w:cs="Arial"/>
        </w:rPr>
      </w:pPr>
    </w:p>
    <w:p w:rsidR="0010688E" w:rsidRPr="003A1467" w:rsidRDefault="00B61EC5" w:rsidP="009F3A6A">
      <w:pPr>
        <w:pStyle w:val="Prrafodelista"/>
        <w:numPr>
          <w:ilvl w:val="0"/>
          <w:numId w:val="8"/>
        </w:numPr>
        <w:ind w:left="284" w:hanging="284"/>
        <w:contextualSpacing/>
        <w:jc w:val="both"/>
        <w:rPr>
          <w:rFonts w:ascii="Bookman Old Style" w:hAnsi="Bookman Old Style" w:cs="Arial"/>
          <w:sz w:val="24"/>
          <w:szCs w:val="24"/>
          <w:lang w:val="es-ES_tradnl"/>
        </w:rPr>
      </w:pPr>
      <w:r w:rsidRPr="00DA3367">
        <w:rPr>
          <w:rFonts w:ascii="Bookman Old Style" w:hAnsi="Bookman Old Style" w:cs="Arial"/>
          <w:sz w:val="24"/>
          <w:szCs w:val="24"/>
          <w:lang w:val="es-ES"/>
        </w:rPr>
        <w:t>El</w:t>
      </w:r>
      <w:r w:rsidR="00224C13" w:rsidRPr="00DA3367">
        <w:rPr>
          <w:rFonts w:ascii="Bookman Old Style" w:hAnsi="Bookman Old Style" w:cs="Arial"/>
          <w:sz w:val="24"/>
          <w:szCs w:val="24"/>
          <w:lang w:val="es-ES_tradnl"/>
        </w:rPr>
        <w:t xml:space="preserve"> distribuidor principal</w:t>
      </w:r>
      <w:r w:rsidRPr="00DA3367">
        <w:rPr>
          <w:rFonts w:ascii="Bookman Old Style" w:hAnsi="Bookman Old Style" w:cs="Arial"/>
          <w:sz w:val="24"/>
          <w:szCs w:val="24"/>
          <w:lang w:val="es-ES_tradnl"/>
        </w:rPr>
        <w:t xml:space="preserve"> y los distribuidores secundarios</w:t>
      </w:r>
      <w:r w:rsidR="00224C13" w:rsidRPr="00DA3367">
        <w:rPr>
          <w:rFonts w:ascii="Bookman Old Style" w:hAnsi="Bookman Old Style" w:cs="Arial"/>
          <w:sz w:val="24"/>
          <w:szCs w:val="24"/>
          <w:lang w:val="es-ES_tradnl"/>
        </w:rPr>
        <w:t xml:space="preserve"> identificará</w:t>
      </w:r>
      <w:r w:rsidRPr="00DA3367">
        <w:rPr>
          <w:rFonts w:ascii="Bookman Old Style" w:hAnsi="Bookman Old Style" w:cs="Arial"/>
          <w:sz w:val="24"/>
          <w:szCs w:val="24"/>
          <w:lang w:val="es-ES_tradnl"/>
        </w:rPr>
        <w:t>n</w:t>
      </w:r>
      <w:r w:rsidR="00224C13" w:rsidRPr="00DA3367">
        <w:rPr>
          <w:rFonts w:ascii="Bookman Old Style" w:hAnsi="Bookman Old Style" w:cs="Arial"/>
          <w:sz w:val="24"/>
          <w:szCs w:val="24"/>
          <w:lang w:val="es-ES_tradnl"/>
        </w:rPr>
        <w:t xml:space="preserve"> a todos los usuarios </w:t>
      </w:r>
      <w:r w:rsidR="004303CF">
        <w:rPr>
          <w:rFonts w:ascii="Bookman Old Style" w:hAnsi="Bookman Old Style" w:cs="Arial"/>
          <w:sz w:val="24"/>
          <w:szCs w:val="24"/>
          <w:lang w:val="es-ES_tradnl"/>
        </w:rPr>
        <w:t>que se encuentran conectados a su</w:t>
      </w:r>
      <w:r w:rsidR="00E116F3">
        <w:rPr>
          <w:rFonts w:ascii="Bookman Old Style" w:hAnsi="Bookman Old Style" w:cs="Arial"/>
          <w:sz w:val="24"/>
          <w:szCs w:val="24"/>
          <w:lang w:val="es-ES_tradnl"/>
        </w:rPr>
        <w:t>s</w:t>
      </w:r>
      <w:r w:rsidR="004303CF">
        <w:rPr>
          <w:rFonts w:ascii="Bookman Old Style" w:hAnsi="Bookman Old Style" w:cs="Arial"/>
          <w:sz w:val="24"/>
          <w:szCs w:val="24"/>
          <w:lang w:val="es-ES_tradnl"/>
        </w:rPr>
        <w:t xml:space="preserve"> red</w:t>
      </w:r>
      <w:r w:rsidR="00E116F3">
        <w:rPr>
          <w:rFonts w:ascii="Bookman Old Style" w:hAnsi="Bookman Old Style" w:cs="Arial"/>
          <w:sz w:val="24"/>
          <w:szCs w:val="24"/>
          <w:lang w:val="es-ES_tradnl"/>
        </w:rPr>
        <w:t>es</w:t>
      </w:r>
      <w:r w:rsidR="004303CF">
        <w:rPr>
          <w:rFonts w:ascii="Bookman Old Style" w:hAnsi="Bookman Old Style" w:cs="Arial"/>
          <w:sz w:val="24"/>
          <w:szCs w:val="24"/>
          <w:lang w:val="es-ES_tradnl"/>
        </w:rPr>
        <w:t xml:space="preserve"> de distribución. </w:t>
      </w:r>
      <w:r w:rsidR="00965E39" w:rsidRPr="00DA3367">
        <w:rPr>
          <w:rFonts w:ascii="Bookman Old Style" w:hAnsi="Bookman Old Style" w:cs="Arial"/>
          <w:sz w:val="24"/>
          <w:szCs w:val="24"/>
          <w:lang w:val="es-ES_tradnl"/>
        </w:rPr>
        <w:t xml:space="preserve">Para ello, los </w:t>
      </w:r>
      <w:r w:rsidR="00ED0765">
        <w:rPr>
          <w:rFonts w:ascii="Bookman Old Style" w:hAnsi="Bookman Old Style" w:cs="Arial"/>
          <w:sz w:val="24"/>
          <w:szCs w:val="24"/>
          <w:lang w:val="es-ES_tradnl"/>
        </w:rPr>
        <w:t>comercializadores</w:t>
      </w:r>
      <w:r w:rsidR="0029644D">
        <w:rPr>
          <w:rFonts w:ascii="Bookman Old Style" w:hAnsi="Bookman Old Style" w:cs="Arial"/>
          <w:sz w:val="24"/>
          <w:szCs w:val="24"/>
          <w:lang w:val="es-ES_tradnl"/>
        </w:rPr>
        <w:t xml:space="preserve"> embebidos en la red de</w:t>
      </w:r>
      <w:r w:rsidR="00E116F3">
        <w:rPr>
          <w:rFonts w:ascii="Bookman Old Style" w:hAnsi="Bookman Old Style" w:cs="Arial"/>
          <w:sz w:val="24"/>
          <w:szCs w:val="24"/>
          <w:lang w:val="es-ES_tradnl"/>
        </w:rPr>
        <w:t>l</w:t>
      </w:r>
      <w:r w:rsidR="0029644D">
        <w:rPr>
          <w:rFonts w:ascii="Bookman Old Style" w:hAnsi="Bookman Old Style" w:cs="Arial"/>
          <w:sz w:val="24"/>
          <w:szCs w:val="24"/>
          <w:lang w:val="es-ES_tradnl"/>
        </w:rPr>
        <w:t xml:space="preserve"> distribuidor deberán suministrar</w:t>
      </w:r>
      <w:r w:rsidR="00E116F3">
        <w:rPr>
          <w:rFonts w:ascii="Bookman Old Style" w:hAnsi="Bookman Old Style" w:cs="Arial"/>
          <w:sz w:val="24"/>
          <w:szCs w:val="24"/>
          <w:lang w:val="es-ES_tradnl"/>
        </w:rPr>
        <w:t>le</w:t>
      </w:r>
      <w:r w:rsidR="0029644D">
        <w:rPr>
          <w:rFonts w:ascii="Bookman Old Style" w:hAnsi="Bookman Old Style" w:cs="Arial"/>
          <w:sz w:val="24"/>
          <w:szCs w:val="24"/>
          <w:lang w:val="es-ES_tradnl"/>
        </w:rPr>
        <w:t xml:space="preserve"> </w:t>
      </w:r>
      <w:r w:rsidR="0029644D" w:rsidRPr="001A0B14">
        <w:rPr>
          <w:rFonts w:ascii="Bookman Old Style" w:hAnsi="Bookman Old Style" w:cs="Arial"/>
          <w:sz w:val="24"/>
          <w:szCs w:val="24"/>
          <w:lang w:val="es-ES_tradnl"/>
        </w:rPr>
        <w:t>toda la información necesaria para la identificación de sus usuarios</w:t>
      </w:r>
      <w:r w:rsidR="0029644D" w:rsidRPr="0029644D">
        <w:rPr>
          <w:rFonts w:ascii="Bookman Old Style" w:hAnsi="Bookman Old Style" w:cs="Arial"/>
          <w:sz w:val="24"/>
          <w:szCs w:val="24"/>
          <w:lang w:val="es-ES_tradnl"/>
        </w:rPr>
        <w:t xml:space="preserve"> </w:t>
      </w:r>
      <w:r w:rsidR="0029644D">
        <w:rPr>
          <w:rFonts w:ascii="Bookman Old Style" w:hAnsi="Bookman Old Style" w:cs="Arial"/>
          <w:sz w:val="24"/>
          <w:szCs w:val="24"/>
          <w:lang w:val="es-ES_tradnl"/>
        </w:rPr>
        <w:t>(</w:t>
      </w:r>
      <w:r w:rsidR="005A6101">
        <w:rPr>
          <w:rFonts w:ascii="Bookman Old Style" w:hAnsi="Bookman Old Style" w:cs="Arial"/>
          <w:sz w:val="24"/>
          <w:szCs w:val="24"/>
          <w:lang w:val="es-ES_tradnl"/>
        </w:rPr>
        <w:t>i.</w:t>
      </w:r>
      <w:r w:rsidR="00006A1B">
        <w:rPr>
          <w:rFonts w:ascii="Bookman Old Style" w:hAnsi="Bookman Old Style" w:cs="Arial"/>
          <w:sz w:val="24"/>
          <w:szCs w:val="24"/>
          <w:lang w:val="es-ES_tradnl"/>
        </w:rPr>
        <w:t>e., nombre, ubicación</w:t>
      </w:r>
      <w:r w:rsidR="0029644D" w:rsidRPr="001A0B14">
        <w:rPr>
          <w:rFonts w:ascii="Bookman Old Style" w:hAnsi="Bookman Old Style" w:cs="Arial"/>
          <w:sz w:val="24"/>
          <w:szCs w:val="24"/>
          <w:lang w:val="es-ES_tradnl"/>
        </w:rPr>
        <w:t xml:space="preserve">, </w:t>
      </w:r>
      <w:r w:rsidR="00610024">
        <w:rPr>
          <w:rFonts w:ascii="Bookman Old Style" w:hAnsi="Bookman Old Style" w:cs="Arial"/>
          <w:sz w:val="24"/>
          <w:szCs w:val="24"/>
          <w:lang w:val="es-ES_tradnl"/>
        </w:rPr>
        <w:t>el(los)</w:t>
      </w:r>
      <w:r w:rsidR="00610024" w:rsidRPr="001A0B14">
        <w:rPr>
          <w:rFonts w:ascii="Bookman Old Style" w:hAnsi="Bookman Old Style" w:cs="Arial"/>
          <w:sz w:val="24"/>
          <w:szCs w:val="24"/>
          <w:lang w:val="es-ES_tradnl"/>
        </w:rPr>
        <w:t xml:space="preserve"> punto</w:t>
      </w:r>
      <w:r w:rsidR="00610024">
        <w:rPr>
          <w:rFonts w:ascii="Bookman Old Style" w:hAnsi="Bookman Old Style" w:cs="Arial"/>
          <w:sz w:val="24"/>
          <w:szCs w:val="24"/>
          <w:lang w:val="es-ES_tradnl"/>
        </w:rPr>
        <w:t>(s)</w:t>
      </w:r>
      <w:r w:rsidR="00610024" w:rsidRPr="001A0B14">
        <w:rPr>
          <w:rFonts w:ascii="Bookman Old Style" w:hAnsi="Bookman Old Style" w:cs="Arial"/>
          <w:sz w:val="24"/>
          <w:szCs w:val="24"/>
          <w:lang w:val="es-ES_tradnl"/>
        </w:rPr>
        <w:t xml:space="preserve"> de salida</w:t>
      </w:r>
      <w:r w:rsidR="00610024">
        <w:rPr>
          <w:rFonts w:ascii="Bookman Old Style" w:hAnsi="Bookman Old Style" w:cs="Arial"/>
          <w:sz w:val="24"/>
          <w:szCs w:val="24"/>
          <w:lang w:val="es-ES_tradnl"/>
        </w:rPr>
        <w:t xml:space="preserve"> contratado(s) asociado</w:t>
      </w:r>
      <w:r w:rsidR="004007E0">
        <w:rPr>
          <w:rFonts w:ascii="Bookman Old Style" w:hAnsi="Bookman Old Style" w:cs="Arial"/>
          <w:sz w:val="24"/>
          <w:szCs w:val="24"/>
          <w:lang w:val="es-ES_tradnl"/>
        </w:rPr>
        <w:t>(</w:t>
      </w:r>
      <w:r w:rsidR="00610024">
        <w:rPr>
          <w:rFonts w:ascii="Bookman Old Style" w:hAnsi="Bookman Old Style" w:cs="Arial"/>
          <w:sz w:val="24"/>
          <w:szCs w:val="24"/>
          <w:lang w:val="es-ES_tradnl"/>
        </w:rPr>
        <w:t>s</w:t>
      </w:r>
      <w:r w:rsidR="004007E0">
        <w:rPr>
          <w:rFonts w:ascii="Bookman Old Style" w:hAnsi="Bookman Old Style" w:cs="Arial"/>
          <w:sz w:val="24"/>
          <w:szCs w:val="24"/>
          <w:lang w:val="es-ES_tradnl"/>
        </w:rPr>
        <w:t>)</w:t>
      </w:r>
      <w:r w:rsidR="00610024">
        <w:rPr>
          <w:rFonts w:ascii="Bookman Old Style" w:hAnsi="Bookman Old Style" w:cs="Arial"/>
          <w:sz w:val="24"/>
          <w:szCs w:val="24"/>
          <w:lang w:val="es-ES_tradnl"/>
        </w:rPr>
        <w:t xml:space="preserve"> a la respectiva red de distribución</w:t>
      </w:r>
      <w:r w:rsidR="0029644D" w:rsidRPr="001A0B14">
        <w:rPr>
          <w:rFonts w:ascii="Bookman Old Style" w:hAnsi="Bookman Old Style" w:cs="Arial"/>
          <w:sz w:val="24"/>
          <w:szCs w:val="24"/>
          <w:lang w:val="es-ES_tradnl"/>
        </w:rPr>
        <w:t>)</w:t>
      </w:r>
      <w:r w:rsidR="0029644D">
        <w:rPr>
          <w:rFonts w:ascii="Bookman Old Style" w:hAnsi="Bookman Old Style" w:cs="Arial"/>
          <w:sz w:val="24"/>
          <w:szCs w:val="24"/>
          <w:lang w:val="es-ES_tradnl"/>
        </w:rPr>
        <w:t>. Así mismo, los</w:t>
      </w:r>
      <w:r w:rsidR="00673942" w:rsidRPr="003C13E1">
        <w:rPr>
          <w:rFonts w:ascii="Bookman Old Style" w:hAnsi="Bookman Old Style" w:cs="Arial"/>
          <w:sz w:val="24"/>
          <w:szCs w:val="24"/>
          <w:lang w:val="es-ES_tradnl"/>
        </w:rPr>
        <w:t xml:space="preserve"> usuarios no regulados </w:t>
      </w:r>
      <w:r w:rsidR="004303CF" w:rsidRPr="003C13E1">
        <w:rPr>
          <w:rFonts w:ascii="Bookman Old Style" w:hAnsi="Bookman Old Style" w:cs="Arial"/>
          <w:sz w:val="24"/>
          <w:szCs w:val="24"/>
          <w:lang w:val="es-ES_tradnl"/>
        </w:rPr>
        <w:t>embebidos en la red de</w:t>
      </w:r>
      <w:r w:rsidR="004007E0">
        <w:rPr>
          <w:rFonts w:ascii="Bookman Old Style" w:hAnsi="Bookman Old Style" w:cs="Arial"/>
          <w:sz w:val="24"/>
          <w:szCs w:val="24"/>
          <w:lang w:val="es-ES_tradnl"/>
        </w:rPr>
        <w:t>l</w:t>
      </w:r>
      <w:r w:rsidR="004303CF" w:rsidRPr="003C13E1">
        <w:rPr>
          <w:rFonts w:ascii="Bookman Old Style" w:hAnsi="Bookman Old Style" w:cs="Arial"/>
          <w:sz w:val="24"/>
          <w:szCs w:val="24"/>
          <w:lang w:val="es-ES_tradnl"/>
        </w:rPr>
        <w:t xml:space="preserve"> distribuidor y </w:t>
      </w:r>
      <w:r w:rsidR="00673942" w:rsidRPr="003C13E1">
        <w:rPr>
          <w:rFonts w:ascii="Bookman Old Style" w:hAnsi="Bookman Old Style" w:cs="Arial"/>
          <w:sz w:val="24"/>
          <w:szCs w:val="24"/>
          <w:lang w:val="es-ES_tradnl"/>
        </w:rPr>
        <w:t>que transan directamente en e</w:t>
      </w:r>
      <w:r w:rsidR="00AB7068" w:rsidRPr="003C13E1">
        <w:rPr>
          <w:rFonts w:ascii="Bookman Old Style" w:hAnsi="Bookman Old Style" w:cs="Arial"/>
          <w:sz w:val="24"/>
          <w:szCs w:val="24"/>
          <w:lang w:val="es-ES_tradnl"/>
        </w:rPr>
        <w:t>l</w:t>
      </w:r>
      <w:r w:rsidR="00673942" w:rsidRPr="003C13E1">
        <w:rPr>
          <w:rFonts w:ascii="Bookman Old Style" w:hAnsi="Bookman Old Style" w:cs="Arial"/>
          <w:sz w:val="24"/>
          <w:szCs w:val="24"/>
          <w:lang w:val="es-ES_tradnl"/>
        </w:rPr>
        <w:t xml:space="preserve"> mercado mayorista de gas </w:t>
      </w:r>
      <w:r w:rsidR="004B480B" w:rsidRPr="003C13E1">
        <w:rPr>
          <w:rFonts w:ascii="Bookman Old Style" w:hAnsi="Bookman Old Style" w:cs="Arial"/>
          <w:sz w:val="24"/>
          <w:szCs w:val="24"/>
          <w:lang w:val="es-ES_tradnl"/>
        </w:rPr>
        <w:t>deberán suministrar</w:t>
      </w:r>
      <w:r w:rsidR="00224C13" w:rsidRPr="003C13E1">
        <w:rPr>
          <w:rFonts w:ascii="Bookman Old Style" w:hAnsi="Bookman Old Style" w:cs="Arial"/>
          <w:sz w:val="24"/>
          <w:szCs w:val="24"/>
          <w:lang w:val="es-ES_tradnl"/>
        </w:rPr>
        <w:t xml:space="preserve"> a</w:t>
      </w:r>
      <w:r w:rsidR="00965E39" w:rsidRPr="003C13E1">
        <w:rPr>
          <w:rFonts w:ascii="Bookman Old Style" w:hAnsi="Bookman Old Style" w:cs="Arial"/>
          <w:sz w:val="24"/>
          <w:szCs w:val="24"/>
          <w:lang w:val="es-ES_tradnl"/>
        </w:rPr>
        <w:t xml:space="preserve"> </w:t>
      </w:r>
      <w:r w:rsidR="00224C13" w:rsidRPr="003C13E1">
        <w:rPr>
          <w:rFonts w:ascii="Bookman Old Style" w:hAnsi="Bookman Old Style" w:cs="Arial"/>
          <w:sz w:val="24"/>
          <w:szCs w:val="24"/>
          <w:lang w:val="es-ES_tradnl"/>
        </w:rPr>
        <w:t>l</w:t>
      </w:r>
      <w:r w:rsidR="00965E39" w:rsidRPr="003C13E1">
        <w:rPr>
          <w:rFonts w:ascii="Bookman Old Style" w:hAnsi="Bookman Old Style" w:cs="Arial"/>
          <w:sz w:val="24"/>
          <w:szCs w:val="24"/>
          <w:lang w:val="es-ES_tradnl"/>
        </w:rPr>
        <w:t>os</w:t>
      </w:r>
      <w:r w:rsidR="00224C13" w:rsidRPr="003C13E1">
        <w:rPr>
          <w:rFonts w:ascii="Bookman Old Style" w:hAnsi="Bookman Old Style" w:cs="Arial"/>
          <w:sz w:val="24"/>
          <w:szCs w:val="24"/>
          <w:lang w:val="es-ES_tradnl"/>
        </w:rPr>
        <w:t xml:space="preserve"> distribuidor</w:t>
      </w:r>
      <w:r w:rsidR="00965E39" w:rsidRPr="003C13E1">
        <w:rPr>
          <w:rFonts w:ascii="Bookman Old Style" w:hAnsi="Bookman Old Style" w:cs="Arial"/>
          <w:sz w:val="24"/>
          <w:szCs w:val="24"/>
          <w:lang w:val="es-ES_tradnl"/>
        </w:rPr>
        <w:t>es</w:t>
      </w:r>
      <w:r w:rsidR="00224C13" w:rsidRPr="003C13E1">
        <w:rPr>
          <w:rFonts w:ascii="Bookman Old Style" w:hAnsi="Bookman Old Style" w:cs="Arial"/>
          <w:sz w:val="24"/>
          <w:szCs w:val="24"/>
          <w:lang w:val="es-ES_tradnl"/>
        </w:rPr>
        <w:t xml:space="preserve"> toda la información necesaria para </w:t>
      </w:r>
      <w:r w:rsidR="0029644D">
        <w:rPr>
          <w:rFonts w:ascii="Bookman Old Style" w:hAnsi="Bookman Old Style" w:cs="Arial"/>
          <w:sz w:val="24"/>
          <w:szCs w:val="24"/>
          <w:lang w:val="es-ES_tradnl"/>
        </w:rPr>
        <w:t>su</w:t>
      </w:r>
      <w:r w:rsidR="00DA3367" w:rsidRPr="003C13E1">
        <w:rPr>
          <w:rFonts w:ascii="Bookman Old Style" w:hAnsi="Bookman Old Style" w:cs="Arial"/>
          <w:sz w:val="24"/>
          <w:szCs w:val="24"/>
          <w:lang w:val="es-ES_tradnl"/>
        </w:rPr>
        <w:t xml:space="preserve"> identificación</w:t>
      </w:r>
      <w:r w:rsidR="00673942" w:rsidRPr="003C13E1">
        <w:rPr>
          <w:rFonts w:ascii="Bookman Old Style" w:hAnsi="Bookman Old Style" w:cs="Arial"/>
          <w:sz w:val="24"/>
          <w:szCs w:val="24"/>
          <w:lang w:val="es-ES_tradnl"/>
        </w:rPr>
        <w:t xml:space="preserve"> </w:t>
      </w:r>
      <w:r w:rsidR="00FA7C71" w:rsidRPr="003C13E1">
        <w:rPr>
          <w:rFonts w:ascii="Bookman Old Style" w:hAnsi="Bookman Old Style" w:cs="Arial"/>
          <w:sz w:val="24"/>
          <w:szCs w:val="24"/>
          <w:lang w:val="es-ES_tradnl"/>
        </w:rPr>
        <w:t>(</w:t>
      </w:r>
      <w:r w:rsidR="005A6101">
        <w:rPr>
          <w:rFonts w:ascii="Bookman Old Style" w:hAnsi="Bookman Old Style" w:cs="Arial"/>
          <w:sz w:val="24"/>
          <w:szCs w:val="24"/>
          <w:lang w:val="es-ES_tradnl"/>
        </w:rPr>
        <w:t>i.</w:t>
      </w:r>
      <w:r w:rsidR="00FA7C71" w:rsidRPr="003C13E1">
        <w:rPr>
          <w:rFonts w:ascii="Bookman Old Style" w:hAnsi="Bookman Old Style" w:cs="Arial"/>
          <w:sz w:val="24"/>
          <w:szCs w:val="24"/>
          <w:lang w:val="es-ES_tradnl"/>
        </w:rPr>
        <w:t xml:space="preserve">e., nombre, ubicación, </w:t>
      </w:r>
      <w:r w:rsidR="005A6101">
        <w:rPr>
          <w:rFonts w:ascii="Bookman Old Style" w:hAnsi="Bookman Old Style" w:cs="Arial"/>
          <w:sz w:val="24"/>
          <w:szCs w:val="24"/>
          <w:lang w:val="es-ES_tradnl"/>
        </w:rPr>
        <w:t>el(los)</w:t>
      </w:r>
      <w:r w:rsidR="00673942" w:rsidRPr="009B18CE">
        <w:rPr>
          <w:rFonts w:ascii="Bookman Old Style" w:hAnsi="Bookman Old Style" w:cs="Arial"/>
          <w:sz w:val="24"/>
          <w:szCs w:val="24"/>
          <w:lang w:val="es-ES_tradnl"/>
        </w:rPr>
        <w:t xml:space="preserve"> punto</w:t>
      </w:r>
      <w:r w:rsidR="005A6101">
        <w:rPr>
          <w:rFonts w:ascii="Bookman Old Style" w:hAnsi="Bookman Old Style" w:cs="Arial"/>
          <w:sz w:val="24"/>
          <w:szCs w:val="24"/>
          <w:lang w:val="es-ES_tradnl"/>
        </w:rPr>
        <w:t>(s)</w:t>
      </w:r>
      <w:r w:rsidR="00673942" w:rsidRPr="009B18CE">
        <w:rPr>
          <w:rFonts w:ascii="Bookman Old Style" w:hAnsi="Bookman Old Style" w:cs="Arial"/>
          <w:sz w:val="24"/>
          <w:szCs w:val="24"/>
          <w:lang w:val="es-ES_tradnl"/>
        </w:rPr>
        <w:t xml:space="preserve"> de salida</w:t>
      </w:r>
      <w:r w:rsidR="00610024">
        <w:rPr>
          <w:rFonts w:ascii="Bookman Old Style" w:hAnsi="Bookman Old Style" w:cs="Arial"/>
          <w:sz w:val="24"/>
          <w:szCs w:val="24"/>
          <w:lang w:val="es-ES_tradnl"/>
        </w:rPr>
        <w:t xml:space="preserve"> contratado(s) asociado</w:t>
      </w:r>
      <w:r w:rsidR="005E098F">
        <w:rPr>
          <w:rFonts w:ascii="Bookman Old Style" w:hAnsi="Bookman Old Style" w:cs="Arial"/>
          <w:sz w:val="24"/>
          <w:szCs w:val="24"/>
          <w:lang w:val="es-ES_tradnl"/>
        </w:rPr>
        <w:t>(</w:t>
      </w:r>
      <w:r w:rsidR="00610024">
        <w:rPr>
          <w:rFonts w:ascii="Bookman Old Style" w:hAnsi="Bookman Old Style" w:cs="Arial"/>
          <w:sz w:val="24"/>
          <w:szCs w:val="24"/>
          <w:lang w:val="es-ES_tradnl"/>
        </w:rPr>
        <w:t>s</w:t>
      </w:r>
      <w:r w:rsidR="005E098F">
        <w:rPr>
          <w:rFonts w:ascii="Bookman Old Style" w:hAnsi="Bookman Old Style" w:cs="Arial"/>
          <w:sz w:val="24"/>
          <w:szCs w:val="24"/>
          <w:lang w:val="es-ES_tradnl"/>
        </w:rPr>
        <w:t>)</w:t>
      </w:r>
      <w:r w:rsidR="00610024">
        <w:rPr>
          <w:rFonts w:ascii="Bookman Old Style" w:hAnsi="Bookman Old Style" w:cs="Arial"/>
          <w:sz w:val="24"/>
          <w:szCs w:val="24"/>
          <w:lang w:val="es-ES_tradnl"/>
        </w:rPr>
        <w:t xml:space="preserve"> a la respectiva red de distribución</w:t>
      </w:r>
      <w:r w:rsidR="00FA7C71" w:rsidRPr="003C13E1">
        <w:rPr>
          <w:rFonts w:ascii="Bookman Old Style" w:hAnsi="Bookman Old Style" w:cs="Arial"/>
          <w:sz w:val="24"/>
          <w:szCs w:val="24"/>
          <w:lang w:val="es-ES_tradnl"/>
        </w:rPr>
        <w:t>)</w:t>
      </w:r>
      <w:r w:rsidR="00224C13" w:rsidRPr="003C13E1">
        <w:rPr>
          <w:rFonts w:ascii="Bookman Old Style" w:hAnsi="Bookman Old Style" w:cs="Arial"/>
          <w:sz w:val="24"/>
          <w:szCs w:val="24"/>
          <w:lang w:val="es-ES_tradnl"/>
        </w:rPr>
        <w:t xml:space="preserve">. </w:t>
      </w:r>
      <w:r w:rsidR="00DA3367" w:rsidRPr="003C13E1">
        <w:rPr>
          <w:rFonts w:ascii="Bookman Old Style" w:hAnsi="Bookman Old Style" w:cs="Arial"/>
          <w:sz w:val="24"/>
          <w:szCs w:val="24"/>
          <w:lang w:val="es-ES_tradnl"/>
        </w:rPr>
        <w:t>Los</w:t>
      </w:r>
      <w:r w:rsidR="00224C13" w:rsidRPr="003C13E1">
        <w:rPr>
          <w:rFonts w:ascii="Bookman Old Style" w:hAnsi="Bookman Old Style" w:cs="Arial"/>
          <w:sz w:val="24"/>
          <w:szCs w:val="24"/>
          <w:lang w:val="es-ES_tradnl"/>
        </w:rPr>
        <w:t xml:space="preserve"> distribuidor</w:t>
      </w:r>
      <w:r w:rsidR="00DA3367" w:rsidRPr="003C13E1">
        <w:rPr>
          <w:rFonts w:ascii="Bookman Old Style" w:hAnsi="Bookman Old Style" w:cs="Arial"/>
          <w:sz w:val="24"/>
          <w:szCs w:val="24"/>
          <w:lang w:val="es-ES_tradnl"/>
        </w:rPr>
        <w:t>es</w:t>
      </w:r>
      <w:r w:rsidR="00224C13" w:rsidRPr="003C13E1">
        <w:rPr>
          <w:rFonts w:ascii="Bookman Old Style" w:hAnsi="Bookman Old Style" w:cs="Arial"/>
          <w:sz w:val="24"/>
          <w:szCs w:val="24"/>
          <w:lang w:val="es-ES_tradnl"/>
        </w:rPr>
        <w:t xml:space="preserve"> no estará</w:t>
      </w:r>
      <w:r w:rsidR="00DA3367" w:rsidRPr="003C13E1">
        <w:rPr>
          <w:rFonts w:ascii="Bookman Old Style" w:hAnsi="Bookman Old Style" w:cs="Arial"/>
          <w:sz w:val="24"/>
          <w:szCs w:val="24"/>
          <w:lang w:val="es-ES_tradnl"/>
        </w:rPr>
        <w:t>n</w:t>
      </w:r>
      <w:r w:rsidR="00224C13" w:rsidRPr="003C13E1">
        <w:rPr>
          <w:rFonts w:ascii="Bookman Old Style" w:hAnsi="Bookman Old Style" w:cs="Arial"/>
          <w:sz w:val="24"/>
          <w:szCs w:val="24"/>
          <w:lang w:val="es-ES_tradnl"/>
        </w:rPr>
        <w:t xml:space="preserve"> obligado</w:t>
      </w:r>
      <w:r w:rsidR="00DA3367" w:rsidRPr="003C13E1">
        <w:rPr>
          <w:rFonts w:ascii="Bookman Old Style" w:hAnsi="Bookman Old Style" w:cs="Arial"/>
          <w:sz w:val="24"/>
          <w:szCs w:val="24"/>
          <w:lang w:val="es-ES_tradnl"/>
        </w:rPr>
        <w:t>s</w:t>
      </w:r>
      <w:r w:rsidR="00224C13" w:rsidRPr="003C13E1">
        <w:rPr>
          <w:rFonts w:ascii="Bookman Old Style" w:hAnsi="Bookman Old Style" w:cs="Arial"/>
          <w:sz w:val="24"/>
          <w:szCs w:val="24"/>
          <w:lang w:val="es-ES_tradnl"/>
        </w:rPr>
        <w:t xml:space="preserve"> a prestar el servicio de distribución a aquellos usuarios que no hayan sido previamente identificados por el comercializador que los representa</w:t>
      </w:r>
      <w:r w:rsidR="00C96DC1" w:rsidRPr="003C13E1">
        <w:rPr>
          <w:rFonts w:ascii="Bookman Old Style" w:hAnsi="Bookman Old Style" w:cs="Arial"/>
          <w:sz w:val="24"/>
          <w:szCs w:val="24"/>
          <w:lang w:val="es-ES_tradnl"/>
        </w:rPr>
        <w:t xml:space="preserve"> y</w:t>
      </w:r>
      <w:r w:rsidR="00B95ACD">
        <w:rPr>
          <w:rFonts w:ascii="Bookman Old Style" w:hAnsi="Bookman Old Style" w:cs="Arial"/>
          <w:sz w:val="24"/>
          <w:szCs w:val="24"/>
          <w:lang w:val="es-ES_tradnl"/>
        </w:rPr>
        <w:t>/o</w:t>
      </w:r>
      <w:r w:rsidR="00C96DC1" w:rsidRPr="003C13E1">
        <w:rPr>
          <w:rFonts w:ascii="Bookman Old Style" w:hAnsi="Bookman Old Style" w:cs="Arial"/>
          <w:sz w:val="24"/>
          <w:szCs w:val="24"/>
          <w:lang w:val="es-ES_tradnl"/>
        </w:rPr>
        <w:t xml:space="preserve"> a aquellos que no estén respaldados con contratos de transporte</w:t>
      </w:r>
      <w:r w:rsidR="00B82AD9" w:rsidRPr="003C13E1">
        <w:rPr>
          <w:rFonts w:ascii="Bookman Old Style" w:hAnsi="Bookman Old Style" w:cs="Arial"/>
          <w:sz w:val="24"/>
          <w:szCs w:val="24"/>
          <w:lang w:val="es-ES_tradnl"/>
        </w:rPr>
        <w:t xml:space="preserve"> transado en el mercado primario o en el </w:t>
      </w:r>
      <w:r w:rsidR="00FA7C71" w:rsidRPr="003C13E1">
        <w:rPr>
          <w:rFonts w:ascii="Bookman Old Style" w:hAnsi="Bookman Old Style" w:cs="Arial"/>
          <w:sz w:val="24"/>
          <w:szCs w:val="24"/>
          <w:lang w:val="es-ES_tradnl"/>
        </w:rPr>
        <w:t xml:space="preserve">mercado </w:t>
      </w:r>
      <w:r w:rsidR="00B82AD9" w:rsidRPr="003C13E1">
        <w:rPr>
          <w:rFonts w:ascii="Bookman Old Style" w:hAnsi="Bookman Old Style" w:cs="Arial"/>
          <w:sz w:val="24"/>
          <w:szCs w:val="24"/>
          <w:lang w:val="es-ES_tradnl"/>
        </w:rPr>
        <w:t>secundario.</w:t>
      </w:r>
    </w:p>
    <w:p w:rsidR="008B1341" w:rsidRPr="003A1467" w:rsidRDefault="008B1341" w:rsidP="00FB138D">
      <w:pPr>
        <w:contextualSpacing/>
        <w:jc w:val="both"/>
        <w:rPr>
          <w:rFonts w:ascii="Bookman Old Style" w:hAnsi="Bookman Old Style" w:cs="Arial"/>
          <w:lang w:val="es-ES_tradnl"/>
        </w:rPr>
      </w:pPr>
    </w:p>
    <w:p w:rsidR="00224C13" w:rsidRPr="00A5525B" w:rsidRDefault="00DA3367" w:rsidP="00A5525B">
      <w:pPr>
        <w:pStyle w:val="Prrafodelista"/>
        <w:numPr>
          <w:ilvl w:val="0"/>
          <w:numId w:val="8"/>
        </w:numPr>
        <w:ind w:left="270" w:hanging="270"/>
        <w:contextualSpacing/>
        <w:jc w:val="both"/>
        <w:rPr>
          <w:rFonts w:ascii="Bookman Old Style" w:hAnsi="Bookman Old Style" w:cs="Arial"/>
          <w:sz w:val="24"/>
          <w:szCs w:val="24"/>
          <w:lang w:val="es-ES_tradnl"/>
        </w:rPr>
      </w:pPr>
      <w:r w:rsidRPr="009142A4">
        <w:rPr>
          <w:rFonts w:ascii="Bookman Old Style" w:hAnsi="Bookman Old Style" w:cs="Arial"/>
          <w:sz w:val="24"/>
          <w:szCs w:val="24"/>
          <w:lang w:val="es-ES_tradnl"/>
        </w:rPr>
        <w:t>El d</w:t>
      </w:r>
      <w:r>
        <w:rPr>
          <w:rFonts w:ascii="Bookman Old Style" w:hAnsi="Bookman Old Style" w:cs="Arial"/>
          <w:sz w:val="24"/>
          <w:szCs w:val="24"/>
          <w:lang w:val="es-ES_tradnl"/>
        </w:rPr>
        <w:t>istribuidor principal y los</w:t>
      </w:r>
      <w:r w:rsidR="00224C13">
        <w:rPr>
          <w:rFonts w:ascii="Bookman Old Style" w:hAnsi="Bookman Old Style" w:cs="Arial"/>
          <w:sz w:val="24"/>
          <w:szCs w:val="24"/>
          <w:lang w:val="es-ES_tradnl"/>
        </w:rPr>
        <w:t xml:space="preserve"> distribuidor</w:t>
      </w:r>
      <w:r>
        <w:rPr>
          <w:rFonts w:ascii="Bookman Old Style" w:hAnsi="Bookman Old Style" w:cs="Arial"/>
          <w:sz w:val="24"/>
          <w:szCs w:val="24"/>
          <w:lang w:val="es-ES_tradnl"/>
        </w:rPr>
        <w:t>es secundarios</w:t>
      </w:r>
      <w:r w:rsidR="00224C13">
        <w:rPr>
          <w:rFonts w:ascii="Bookman Old Style" w:hAnsi="Bookman Old Style" w:cs="Arial"/>
          <w:sz w:val="24"/>
          <w:szCs w:val="24"/>
          <w:lang w:val="es-ES_tradnl"/>
        </w:rPr>
        <w:t xml:space="preserve"> </w:t>
      </w:r>
      <w:r w:rsidR="00ED0765">
        <w:rPr>
          <w:rFonts w:ascii="Bookman Old Style" w:hAnsi="Bookman Old Style" w:cs="Arial"/>
          <w:sz w:val="24"/>
          <w:szCs w:val="24"/>
          <w:lang w:val="es-ES_tradnl"/>
        </w:rPr>
        <w:t>dispondrán</w:t>
      </w:r>
      <w:r w:rsidR="00224C13" w:rsidRPr="00377B25">
        <w:rPr>
          <w:rFonts w:ascii="Bookman Old Style" w:hAnsi="Bookman Old Style" w:cs="Arial"/>
          <w:sz w:val="24"/>
          <w:szCs w:val="24"/>
          <w:lang w:val="es-ES_tradnl"/>
        </w:rPr>
        <w:t xml:space="preserve"> </w:t>
      </w:r>
      <w:r w:rsidR="00ED0765">
        <w:rPr>
          <w:rFonts w:ascii="Bookman Old Style" w:hAnsi="Bookman Old Style" w:cs="Arial"/>
          <w:sz w:val="24"/>
          <w:szCs w:val="24"/>
          <w:lang w:val="es-ES_tradnl"/>
        </w:rPr>
        <w:t>de las</w:t>
      </w:r>
      <w:r w:rsidR="00224C13" w:rsidRPr="00377B25">
        <w:rPr>
          <w:rFonts w:ascii="Bookman Old Style" w:hAnsi="Bookman Old Style" w:cs="Arial"/>
          <w:sz w:val="24"/>
          <w:szCs w:val="24"/>
          <w:lang w:val="es-ES_tradnl"/>
        </w:rPr>
        <w:t xml:space="preserve"> </w:t>
      </w:r>
      <w:r w:rsidR="00ED0765">
        <w:rPr>
          <w:rFonts w:ascii="Bookman Old Style" w:hAnsi="Bookman Old Style" w:cs="Arial"/>
          <w:sz w:val="24"/>
          <w:szCs w:val="24"/>
          <w:lang w:val="es-ES_tradnl"/>
        </w:rPr>
        <w:t>me</w:t>
      </w:r>
      <w:r w:rsidR="00224C13" w:rsidRPr="00377B25">
        <w:rPr>
          <w:rFonts w:ascii="Bookman Old Style" w:hAnsi="Bookman Old Style" w:cs="Arial"/>
          <w:sz w:val="24"/>
          <w:szCs w:val="24"/>
          <w:lang w:val="es-ES_tradnl"/>
        </w:rPr>
        <w:t>diciones</w:t>
      </w:r>
      <w:r w:rsidR="00224C13">
        <w:rPr>
          <w:rFonts w:ascii="Bookman Old Style" w:hAnsi="Bookman Old Style" w:cs="Arial"/>
          <w:sz w:val="24"/>
          <w:szCs w:val="24"/>
          <w:lang w:val="es-ES_tradnl"/>
        </w:rPr>
        <w:t xml:space="preserve"> </w:t>
      </w:r>
      <w:r>
        <w:rPr>
          <w:rFonts w:ascii="Bookman Old Style" w:hAnsi="Bookman Old Style" w:cs="Arial"/>
          <w:sz w:val="24"/>
          <w:szCs w:val="24"/>
          <w:lang w:val="es-ES_tradnl"/>
        </w:rPr>
        <w:t xml:space="preserve">diarias </w:t>
      </w:r>
      <w:r w:rsidR="00224C13">
        <w:rPr>
          <w:rFonts w:ascii="Bookman Old Style" w:hAnsi="Bookman Old Style" w:cs="Arial"/>
          <w:sz w:val="24"/>
          <w:szCs w:val="24"/>
          <w:lang w:val="es-ES_tradnl"/>
        </w:rPr>
        <w:t>de consumo</w:t>
      </w:r>
      <w:r w:rsidR="00AF66CE">
        <w:rPr>
          <w:rFonts w:ascii="Bookman Old Style" w:hAnsi="Bookman Old Style" w:cs="Arial"/>
          <w:sz w:val="24"/>
          <w:szCs w:val="24"/>
          <w:lang w:val="es-ES_tradnl"/>
        </w:rPr>
        <w:t>s</w:t>
      </w:r>
      <w:r w:rsidR="00ED0765">
        <w:rPr>
          <w:rFonts w:ascii="Bookman Old Style" w:hAnsi="Bookman Old Style" w:cs="Arial"/>
          <w:sz w:val="24"/>
          <w:szCs w:val="24"/>
          <w:lang w:val="es-ES_tradnl"/>
        </w:rPr>
        <w:t>,</w:t>
      </w:r>
      <w:r w:rsidR="00224C13">
        <w:rPr>
          <w:rFonts w:ascii="Bookman Old Style" w:hAnsi="Bookman Old Style" w:cs="Arial"/>
          <w:sz w:val="24"/>
          <w:szCs w:val="24"/>
          <w:lang w:val="es-ES_tradnl"/>
        </w:rPr>
        <w:t xml:space="preserve"> de acuerdo con los parámetros de medición establecidos en la </w:t>
      </w:r>
      <w:r w:rsidR="00224C13" w:rsidRPr="001012DC">
        <w:rPr>
          <w:rFonts w:ascii="Bookman Old Style" w:hAnsi="Bookman Old Style" w:cs="Arial"/>
          <w:sz w:val="24"/>
          <w:szCs w:val="24"/>
          <w:lang w:val="es-ES_tradnl"/>
        </w:rPr>
        <w:t>Resolución CREG 127 de 2013</w:t>
      </w:r>
      <w:r w:rsidR="00224C13" w:rsidRPr="00377B25">
        <w:rPr>
          <w:rFonts w:ascii="Bookman Old Style" w:hAnsi="Bookman Old Style" w:cs="Arial"/>
          <w:sz w:val="24"/>
          <w:szCs w:val="24"/>
          <w:lang w:val="es-ES_tradnl"/>
        </w:rPr>
        <w:t xml:space="preserve"> </w:t>
      </w:r>
      <w:r w:rsidR="00FA7C71">
        <w:rPr>
          <w:rFonts w:ascii="Bookman Old Style" w:hAnsi="Bookman Old Style" w:cs="Arial"/>
          <w:sz w:val="24"/>
          <w:szCs w:val="24"/>
          <w:lang w:val="es-ES_tradnl"/>
        </w:rPr>
        <w:t xml:space="preserve">o </w:t>
      </w:r>
      <w:r w:rsidR="001D0DE4">
        <w:rPr>
          <w:rFonts w:ascii="Bookman Old Style" w:hAnsi="Bookman Old Style" w:cs="Arial"/>
          <w:sz w:val="24"/>
          <w:szCs w:val="24"/>
          <w:lang w:val="es-ES_tradnl"/>
        </w:rPr>
        <w:t>aquellas que la modifiquen</w:t>
      </w:r>
      <w:r w:rsidR="00CA5757">
        <w:rPr>
          <w:rFonts w:ascii="Bookman Old Style" w:hAnsi="Bookman Old Style" w:cs="Arial"/>
          <w:sz w:val="24"/>
          <w:szCs w:val="24"/>
          <w:lang w:val="es-ES_tradnl"/>
        </w:rPr>
        <w:t xml:space="preserve"> </w:t>
      </w:r>
      <w:r w:rsidR="001D0DE4">
        <w:rPr>
          <w:rFonts w:ascii="Bookman Old Style" w:hAnsi="Bookman Old Style" w:cs="Arial"/>
          <w:sz w:val="24"/>
          <w:szCs w:val="24"/>
          <w:lang w:val="es-ES_tradnl"/>
        </w:rPr>
        <w:t xml:space="preserve">o sustituyan, </w:t>
      </w:r>
      <w:r w:rsidR="00224C13" w:rsidRPr="00377B25">
        <w:rPr>
          <w:rFonts w:ascii="Bookman Old Style" w:hAnsi="Bookman Old Style" w:cs="Arial"/>
          <w:sz w:val="24"/>
          <w:szCs w:val="24"/>
          <w:lang w:val="es-ES_tradnl"/>
        </w:rPr>
        <w:t xml:space="preserve">de todos los usuarios </w:t>
      </w:r>
      <w:r w:rsidR="00673942">
        <w:rPr>
          <w:rFonts w:ascii="Bookman Old Style" w:hAnsi="Bookman Old Style" w:cs="Arial"/>
          <w:sz w:val="24"/>
          <w:szCs w:val="24"/>
          <w:lang w:val="es-ES_tradnl"/>
        </w:rPr>
        <w:t xml:space="preserve">no regulados </w:t>
      </w:r>
      <w:r w:rsidR="00224C13" w:rsidRPr="00377B25">
        <w:rPr>
          <w:rFonts w:ascii="Bookman Old Style" w:hAnsi="Bookman Old Style" w:cs="Arial"/>
          <w:sz w:val="24"/>
          <w:szCs w:val="24"/>
          <w:lang w:val="es-ES_tradnl"/>
        </w:rPr>
        <w:t xml:space="preserve">que son atendidos por </w:t>
      </w:r>
      <w:r w:rsidR="00673942">
        <w:rPr>
          <w:rFonts w:ascii="Bookman Old Style" w:hAnsi="Bookman Old Style" w:cs="Arial"/>
          <w:sz w:val="24"/>
          <w:szCs w:val="24"/>
          <w:lang w:val="es-ES_tradnl"/>
        </w:rPr>
        <w:t xml:space="preserve">todos </w:t>
      </w:r>
      <w:r w:rsidR="00224C13" w:rsidRPr="00377B25">
        <w:rPr>
          <w:rFonts w:ascii="Bookman Old Style" w:hAnsi="Bookman Old Style" w:cs="Arial"/>
          <w:sz w:val="24"/>
          <w:szCs w:val="24"/>
          <w:lang w:val="es-ES_tradnl"/>
        </w:rPr>
        <w:t>los comercializadores</w:t>
      </w:r>
      <w:r w:rsidR="00224C13">
        <w:rPr>
          <w:rFonts w:ascii="Bookman Old Style" w:hAnsi="Bookman Old Style" w:cs="Arial"/>
          <w:sz w:val="24"/>
          <w:szCs w:val="24"/>
          <w:lang w:val="es-ES_tradnl"/>
        </w:rPr>
        <w:t xml:space="preserve"> embebidos </w:t>
      </w:r>
      <w:r w:rsidR="002D77BC">
        <w:rPr>
          <w:rFonts w:ascii="Bookman Old Style" w:hAnsi="Bookman Old Style" w:cs="Arial"/>
          <w:sz w:val="24"/>
          <w:szCs w:val="24"/>
          <w:lang w:val="es-ES_tradnl"/>
        </w:rPr>
        <w:t xml:space="preserve">en la red de distribución </w:t>
      </w:r>
      <w:r w:rsidR="00224C13">
        <w:rPr>
          <w:rFonts w:ascii="Bookman Old Style" w:hAnsi="Bookman Old Style" w:cs="Arial"/>
          <w:sz w:val="24"/>
          <w:szCs w:val="24"/>
          <w:lang w:val="es-ES_tradnl"/>
        </w:rPr>
        <w:t xml:space="preserve">y de todos los usuarios no regulados que nominan directamente al transportador en </w:t>
      </w:r>
      <w:r>
        <w:rPr>
          <w:rFonts w:ascii="Bookman Old Style" w:hAnsi="Bookman Old Style" w:cs="Arial"/>
          <w:sz w:val="24"/>
          <w:szCs w:val="24"/>
          <w:lang w:val="es-ES_tradnl"/>
        </w:rPr>
        <w:t>l</w:t>
      </w:r>
      <w:r w:rsidR="00224C13">
        <w:rPr>
          <w:rFonts w:ascii="Bookman Old Style" w:hAnsi="Bookman Old Style" w:cs="Arial"/>
          <w:sz w:val="24"/>
          <w:szCs w:val="24"/>
          <w:lang w:val="es-ES_tradnl"/>
        </w:rPr>
        <w:t>a puerta de ciudad</w:t>
      </w:r>
      <w:r>
        <w:rPr>
          <w:rFonts w:ascii="Bookman Old Style" w:hAnsi="Bookman Old Style" w:cs="Arial"/>
          <w:sz w:val="24"/>
          <w:szCs w:val="24"/>
          <w:lang w:val="es-ES_tradnl"/>
        </w:rPr>
        <w:t xml:space="preserve"> del distribuidor principal</w:t>
      </w:r>
      <w:r w:rsidR="00224C13">
        <w:rPr>
          <w:rFonts w:ascii="Bookman Old Style" w:hAnsi="Bookman Old Style" w:cs="Arial"/>
          <w:sz w:val="24"/>
          <w:szCs w:val="24"/>
          <w:lang w:val="es-ES_tradnl"/>
        </w:rPr>
        <w:t xml:space="preserve">. </w:t>
      </w:r>
      <w:r w:rsidR="00224C13" w:rsidRPr="004007E0">
        <w:rPr>
          <w:rFonts w:ascii="Bookman Old Style" w:hAnsi="Bookman Old Style" w:cs="Arial"/>
          <w:sz w:val="24"/>
          <w:szCs w:val="24"/>
          <w:lang w:val="es-ES_tradnl"/>
        </w:rPr>
        <w:t>También dispondrá</w:t>
      </w:r>
      <w:r w:rsidRPr="004007E0">
        <w:rPr>
          <w:rFonts w:ascii="Bookman Old Style" w:hAnsi="Bookman Old Style" w:cs="Arial"/>
          <w:sz w:val="24"/>
          <w:szCs w:val="24"/>
          <w:lang w:val="es-ES_tradnl"/>
        </w:rPr>
        <w:t>n</w:t>
      </w:r>
      <w:r w:rsidR="00224C13" w:rsidRPr="004007E0">
        <w:rPr>
          <w:rFonts w:ascii="Bookman Old Style" w:hAnsi="Bookman Old Style" w:cs="Arial"/>
          <w:sz w:val="24"/>
          <w:szCs w:val="24"/>
          <w:lang w:val="es-ES_tradnl"/>
        </w:rPr>
        <w:t xml:space="preserve"> de las mediciones </w:t>
      </w:r>
      <w:r w:rsidRPr="004007E0">
        <w:rPr>
          <w:rFonts w:ascii="Bookman Old Style" w:hAnsi="Bookman Old Style" w:cs="Arial"/>
          <w:sz w:val="24"/>
          <w:szCs w:val="24"/>
          <w:lang w:val="es-ES_tradnl"/>
        </w:rPr>
        <w:t xml:space="preserve">diarias </w:t>
      </w:r>
      <w:r w:rsidR="00224C13" w:rsidRPr="004007E0">
        <w:rPr>
          <w:rFonts w:ascii="Bookman Old Style" w:hAnsi="Bookman Old Style" w:cs="Arial"/>
          <w:sz w:val="24"/>
          <w:szCs w:val="24"/>
          <w:lang w:val="es-ES_tradnl"/>
        </w:rPr>
        <w:t xml:space="preserve">en las estaciones de transferencia de </w:t>
      </w:r>
      <w:r w:rsidR="00AE73DD" w:rsidRPr="004007E0">
        <w:rPr>
          <w:rFonts w:ascii="Bookman Old Style" w:hAnsi="Bookman Old Style" w:cs="Arial"/>
          <w:sz w:val="24"/>
          <w:szCs w:val="24"/>
          <w:lang w:val="es-ES_tradnl"/>
        </w:rPr>
        <w:t xml:space="preserve">custodia de </w:t>
      </w:r>
      <w:r w:rsidR="00224C13" w:rsidRPr="004007E0">
        <w:rPr>
          <w:rFonts w:ascii="Bookman Old Style" w:hAnsi="Bookman Old Style" w:cs="Arial"/>
          <w:sz w:val="24"/>
          <w:szCs w:val="24"/>
          <w:lang w:val="es-ES_tradnl"/>
        </w:rPr>
        <w:t>distribu</w:t>
      </w:r>
      <w:r w:rsidR="00AE73DD" w:rsidRPr="004007E0">
        <w:rPr>
          <w:rFonts w:ascii="Bookman Old Style" w:hAnsi="Bookman Old Style" w:cs="Arial"/>
          <w:sz w:val="24"/>
          <w:szCs w:val="24"/>
          <w:lang w:val="es-ES_tradnl"/>
        </w:rPr>
        <w:t>ción</w:t>
      </w:r>
      <w:r w:rsidR="00224C13" w:rsidRPr="004007E0">
        <w:rPr>
          <w:rFonts w:ascii="Bookman Old Style" w:hAnsi="Bookman Old Style" w:cs="Arial"/>
          <w:sz w:val="24"/>
          <w:szCs w:val="24"/>
          <w:lang w:val="es-ES_tradnl"/>
        </w:rPr>
        <w:t>.</w:t>
      </w:r>
    </w:p>
    <w:p w:rsidR="00224C13" w:rsidRPr="003B1483" w:rsidRDefault="00224C13" w:rsidP="00224C13">
      <w:pPr>
        <w:ind w:left="0"/>
        <w:contextualSpacing/>
        <w:jc w:val="both"/>
        <w:rPr>
          <w:rFonts w:ascii="Bookman Old Style" w:hAnsi="Bookman Old Style" w:cs="Arial"/>
          <w:lang w:val="es-ES_tradnl"/>
        </w:rPr>
      </w:pPr>
      <w:r w:rsidRPr="003B1483">
        <w:rPr>
          <w:rFonts w:ascii="Bookman Old Style" w:hAnsi="Bookman Old Style" w:cs="Arial"/>
          <w:lang w:val="es-ES_tradnl"/>
        </w:rPr>
        <w:t xml:space="preserve"> </w:t>
      </w:r>
    </w:p>
    <w:p w:rsidR="00455A3F" w:rsidRDefault="00F02BEB" w:rsidP="0067070C">
      <w:pPr>
        <w:pStyle w:val="Prrafodelista"/>
        <w:numPr>
          <w:ilvl w:val="0"/>
          <w:numId w:val="8"/>
        </w:numPr>
        <w:ind w:left="270" w:hanging="270"/>
        <w:contextualSpacing/>
        <w:jc w:val="both"/>
        <w:rPr>
          <w:rFonts w:ascii="Bookman Old Style" w:hAnsi="Bookman Old Style" w:cs="Arial"/>
          <w:lang w:val="es-ES_tradnl"/>
        </w:rPr>
      </w:pPr>
      <w:r>
        <w:rPr>
          <w:rFonts w:ascii="Bookman Old Style" w:hAnsi="Bookman Old Style" w:cs="Arial"/>
          <w:sz w:val="24"/>
          <w:szCs w:val="24"/>
          <w:lang w:val="es-ES_tradnl"/>
        </w:rPr>
        <w:t>L</w:t>
      </w:r>
      <w:r w:rsidR="002415B2">
        <w:rPr>
          <w:rFonts w:ascii="Bookman Old Style" w:hAnsi="Bookman Old Style" w:cs="Arial"/>
          <w:sz w:val="24"/>
          <w:szCs w:val="24"/>
          <w:lang w:val="es-ES_tradnl"/>
        </w:rPr>
        <w:t xml:space="preserve">os comercializadores embebidos en las redes de distribución </w:t>
      </w:r>
      <w:r>
        <w:rPr>
          <w:rFonts w:ascii="Bookman Old Style" w:hAnsi="Bookman Old Style" w:cs="Arial"/>
          <w:sz w:val="24"/>
          <w:szCs w:val="24"/>
          <w:lang w:val="es-ES_tradnl"/>
        </w:rPr>
        <w:t xml:space="preserve">y los </w:t>
      </w:r>
      <w:r w:rsidRPr="0067696C">
        <w:rPr>
          <w:rFonts w:ascii="Bookman Old Style" w:hAnsi="Bookman Old Style" w:cs="Arial"/>
          <w:sz w:val="24"/>
          <w:szCs w:val="24"/>
          <w:lang w:val="es-ES_tradnl"/>
        </w:rPr>
        <w:t>usuarios no regulados</w:t>
      </w:r>
      <w:r>
        <w:rPr>
          <w:rFonts w:ascii="Bookman Old Style" w:hAnsi="Bookman Old Style" w:cs="Arial"/>
          <w:sz w:val="24"/>
          <w:szCs w:val="24"/>
          <w:lang w:val="es-ES_tradnl"/>
        </w:rPr>
        <w:t>,</w:t>
      </w:r>
      <w:r w:rsidRPr="0067696C">
        <w:rPr>
          <w:rFonts w:ascii="Bookman Old Style" w:hAnsi="Bookman Old Style" w:cs="Arial"/>
          <w:sz w:val="24"/>
          <w:szCs w:val="24"/>
          <w:lang w:val="es-ES_tradnl"/>
        </w:rPr>
        <w:t xml:space="preserve"> embebidos en la red de</w:t>
      </w:r>
      <w:r>
        <w:rPr>
          <w:rFonts w:ascii="Bookman Old Style" w:hAnsi="Bookman Old Style" w:cs="Arial"/>
          <w:sz w:val="24"/>
          <w:szCs w:val="24"/>
          <w:lang w:val="es-ES_tradnl"/>
        </w:rPr>
        <w:t>l</w:t>
      </w:r>
      <w:r w:rsidRPr="0067696C">
        <w:rPr>
          <w:rFonts w:ascii="Bookman Old Style" w:hAnsi="Bookman Old Style" w:cs="Arial"/>
          <w:sz w:val="24"/>
          <w:szCs w:val="24"/>
          <w:lang w:val="es-ES_tradnl"/>
        </w:rPr>
        <w:t xml:space="preserve"> distribuidor y que transan directamente en el mercado mayorista de gas</w:t>
      </w:r>
      <w:r>
        <w:rPr>
          <w:rFonts w:ascii="Bookman Old Style" w:hAnsi="Bookman Old Style" w:cs="Arial"/>
          <w:sz w:val="24"/>
          <w:szCs w:val="24"/>
          <w:lang w:val="es-ES_tradnl"/>
        </w:rPr>
        <w:t xml:space="preserve">, </w:t>
      </w:r>
      <w:r w:rsidR="002415B2">
        <w:rPr>
          <w:rFonts w:ascii="Bookman Old Style" w:hAnsi="Bookman Old Style" w:cs="Arial"/>
          <w:sz w:val="24"/>
          <w:szCs w:val="24"/>
          <w:lang w:val="es-ES_tradnl"/>
        </w:rPr>
        <w:t>deberán informar al transportador, al momento de la nominación y renominación</w:t>
      </w:r>
      <w:r>
        <w:rPr>
          <w:rFonts w:ascii="Bookman Old Style" w:hAnsi="Bookman Old Style" w:cs="Arial"/>
          <w:sz w:val="24"/>
          <w:szCs w:val="24"/>
          <w:lang w:val="es-ES_tradnl"/>
        </w:rPr>
        <w:t xml:space="preserve"> intradiaria</w:t>
      </w:r>
      <w:r w:rsidR="002415B2">
        <w:rPr>
          <w:rFonts w:ascii="Bookman Old Style" w:hAnsi="Bookman Old Style" w:cs="Arial"/>
          <w:sz w:val="24"/>
          <w:szCs w:val="24"/>
          <w:lang w:val="es-ES_tradnl"/>
        </w:rPr>
        <w:t xml:space="preserve">, las cantidades de </w:t>
      </w:r>
      <w:r w:rsidR="0010688E">
        <w:rPr>
          <w:rFonts w:ascii="Bookman Old Style" w:hAnsi="Bookman Old Style" w:cs="Arial"/>
          <w:sz w:val="24"/>
          <w:szCs w:val="24"/>
          <w:lang w:val="es-ES_tradnl"/>
        </w:rPr>
        <w:t xml:space="preserve">gas </w:t>
      </w:r>
      <w:r w:rsidR="002415B2">
        <w:rPr>
          <w:rFonts w:ascii="Bookman Old Style" w:hAnsi="Bookman Old Style" w:cs="Arial"/>
          <w:sz w:val="24"/>
          <w:szCs w:val="24"/>
          <w:lang w:val="es-ES_tradnl"/>
        </w:rPr>
        <w:t xml:space="preserve">destinadas a atender </w:t>
      </w:r>
      <w:r>
        <w:rPr>
          <w:rFonts w:ascii="Bookman Old Style" w:hAnsi="Bookman Old Style" w:cs="Arial"/>
          <w:sz w:val="24"/>
          <w:szCs w:val="24"/>
          <w:lang w:val="es-ES_tradnl"/>
        </w:rPr>
        <w:t>su</w:t>
      </w:r>
      <w:r w:rsidR="002415B2">
        <w:rPr>
          <w:rFonts w:ascii="Bookman Old Style" w:hAnsi="Bookman Old Style" w:cs="Arial"/>
          <w:sz w:val="24"/>
          <w:szCs w:val="24"/>
          <w:lang w:val="es-ES_tradnl"/>
        </w:rPr>
        <w:t xml:space="preserve"> demanda</w:t>
      </w:r>
      <w:r>
        <w:rPr>
          <w:rFonts w:ascii="Bookman Old Style" w:hAnsi="Bookman Old Style" w:cs="Arial"/>
          <w:sz w:val="24"/>
          <w:szCs w:val="24"/>
          <w:lang w:val="es-ES_tradnl"/>
        </w:rPr>
        <w:t>, discriminándola en</w:t>
      </w:r>
      <w:r w:rsidR="002415B2">
        <w:rPr>
          <w:rFonts w:ascii="Bookman Old Style" w:hAnsi="Bookman Old Style" w:cs="Arial"/>
          <w:sz w:val="24"/>
          <w:szCs w:val="24"/>
          <w:lang w:val="es-ES_tradnl"/>
        </w:rPr>
        <w:t xml:space="preserve"> regulada y  no regulada.</w:t>
      </w:r>
    </w:p>
    <w:p w:rsidR="00455A3F" w:rsidRDefault="00455A3F" w:rsidP="0067070C">
      <w:pPr>
        <w:pStyle w:val="Prrafodelista"/>
        <w:ind w:left="284"/>
        <w:contextualSpacing/>
        <w:jc w:val="both"/>
        <w:rPr>
          <w:rFonts w:ascii="Bookman Old Style" w:hAnsi="Bookman Old Style" w:cs="Arial"/>
          <w:sz w:val="24"/>
          <w:szCs w:val="24"/>
          <w:lang w:val="es-ES_tradnl"/>
        </w:rPr>
      </w:pPr>
    </w:p>
    <w:p w:rsidR="002415B2" w:rsidRPr="0067070C" w:rsidRDefault="00677B7C" w:rsidP="0067070C">
      <w:pPr>
        <w:pStyle w:val="Prrafodelista"/>
        <w:numPr>
          <w:ilvl w:val="0"/>
          <w:numId w:val="8"/>
        </w:numPr>
        <w:ind w:left="284" w:hanging="284"/>
        <w:contextualSpacing/>
        <w:jc w:val="both"/>
        <w:rPr>
          <w:rFonts w:ascii="Bookman Old Style" w:hAnsi="Bookman Old Style" w:cs="Arial"/>
          <w:lang w:val="es-ES_tradnl"/>
        </w:rPr>
      </w:pPr>
      <w:r w:rsidRPr="0067070C">
        <w:rPr>
          <w:rFonts w:ascii="Bookman Old Style" w:hAnsi="Bookman Old Style" w:cs="Arial"/>
          <w:sz w:val="24"/>
          <w:szCs w:val="24"/>
          <w:lang w:val="es-ES_tradnl"/>
        </w:rPr>
        <w:t>El distribuidor secundario reportará a más tardar a las 0</w:t>
      </w:r>
      <w:r w:rsidR="007F7DE0" w:rsidRPr="0067070C">
        <w:rPr>
          <w:rFonts w:ascii="Bookman Old Style" w:hAnsi="Bookman Old Style" w:cs="Arial"/>
          <w:sz w:val="24"/>
          <w:szCs w:val="24"/>
          <w:lang w:val="es-ES_tradnl"/>
        </w:rPr>
        <w:t>8</w:t>
      </w:r>
      <w:r w:rsidRPr="0067070C">
        <w:rPr>
          <w:rFonts w:ascii="Bookman Old Style" w:hAnsi="Bookman Old Style" w:cs="Arial"/>
          <w:sz w:val="24"/>
          <w:szCs w:val="24"/>
          <w:lang w:val="es-ES_tradnl"/>
        </w:rPr>
        <w:t>:00 horas del día siguiente al día de gas al distribuidor principal: i) los volúmenes de gas consumidos por los usuarios no regulados embebidos en su red de distribución</w:t>
      </w:r>
      <w:r w:rsidR="007B6FA3">
        <w:rPr>
          <w:rFonts w:ascii="Bookman Old Style" w:hAnsi="Bookman Old Style" w:cs="Arial"/>
          <w:sz w:val="24"/>
          <w:szCs w:val="24"/>
          <w:lang w:val="es-ES_tradnl"/>
        </w:rPr>
        <w:t xml:space="preserve">, </w:t>
      </w:r>
      <w:r w:rsidRPr="0067070C">
        <w:rPr>
          <w:rFonts w:ascii="Bookman Old Style" w:hAnsi="Bookman Old Style" w:cs="Arial"/>
          <w:sz w:val="24"/>
          <w:szCs w:val="24"/>
          <w:lang w:val="es-ES_tradnl"/>
        </w:rPr>
        <w:t>que transan directamente en el mercado mayorista de gas</w:t>
      </w:r>
      <w:r w:rsidR="00455A3F">
        <w:rPr>
          <w:rFonts w:ascii="Bookman Old Style" w:hAnsi="Bookman Old Style" w:cs="Arial"/>
          <w:sz w:val="24"/>
          <w:szCs w:val="24"/>
          <w:lang w:val="es-ES_tradnl"/>
        </w:rPr>
        <w:t>;</w:t>
      </w:r>
      <w:r w:rsidRPr="0067070C">
        <w:rPr>
          <w:rFonts w:ascii="Bookman Old Style" w:hAnsi="Bookman Old Style" w:cs="Arial"/>
          <w:sz w:val="24"/>
          <w:szCs w:val="24"/>
          <w:lang w:val="es-ES_tradnl"/>
        </w:rPr>
        <w:t xml:space="preserve"> ii) el volumen de gas consumido por cada comercializador embebido en su red,</w:t>
      </w:r>
      <w:r w:rsidR="000E74B3">
        <w:rPr>
          <w:rFonts w:ascii="Bookman Old Style" w:hAnsi="Bookman Old Style" w:cs="Arial"/>
          <w:sz w:val="24"/>
          <w:szCs w:val="24"/>
          <w:lang w:val="es-ES_tradnl"/>
        </w:rPr>
        <w:t xml:space="preserve"> </w:t>
      </w:r>
      <w:r w:rsidR="000E74B3" w:rsidRPr="00AD0A36">
        <w:rPr>
          <w:rFonts w:ascii="Bookman Old Style" w:hAnsi="Bookman Old Style" w:cs="Arial"/>
          <w:sz w:val="24"/>
          <w:szCs w:val="24"/>
          <w:lang w:val="es-ES_tradnl"/>
        </w:rPr>
        <w:t>que transan directamente en el mercado mayorista de gas</w:t>
      </w:r>
      <w:r w:rsidR="000E74B3">
        <w:rPr>
          <w:rFonts w:ascii="Bookman Old Style" w:hAnsi="Bookman Old Style" w:cs="Arial"/>
          <w:sz w:val="24"/>
          <w:szCs w:val="24"/>
          <w:lang w:val="es-ES_tradnl"/>
        </w:rPr>
        <w:t>,</w:t>
      </w:r>
      <w:r w:rsidRPr="0067070C">
        <w:rPr>
          <w:rFonts w:ascii="Bookman Old Style" w:hAnsi="Bookman Old Style" w:cs="Arial"/>
          <w:sz w:val="24"/>
          <w:szCs w:val="24"/>
          <w:lang w:val="es-ES_tradnl"/>
        </w:rPr>
        <w:t xml:space="preserve"> desagregado en demanda regulada y demanda no regulada</w:t>
      </w:r>
      <w:r w:rsidR="00455A3F">
        <w:rPr>
          <w:rFonts w:ascii="Bookman Old Style" w:hAnsi="Bookman Old Style" w:cs="Arial"/>
          <w:sz w:val="24"/>
          <w:szCs w:val="24"/>
          <w:lang w:val="es-ES_tradnl"/>
        </w:rPr>
        <w:t>;</w:t>
      </w:r>
      <w:r w:rsidR="00F05F1B" w:rsidRPr="0067070C">
        <w:rPr>
          <w:rFonts w:ascii="Bookman Old Style" w:hAnsi="Bookman Old Style" w:cs="Arial"/>
          <w:sz w:val="24"/>
          <w:szCs w:val="24"/>
          <w:lang w:val="es-ES_tradnl"/>
        </w:rPr>
        <w:t xml:space="preserve"> iii) </w:t>
      </w:r>
      <w:r w:rsidR="006D0AAC">
        <w:rPr>
          <w:rFonts w:ascii="Bookman Old Style" w:hAnsi="Bookman Old Style" w:cs="Arial"/>
          <w:sz w:val="24"/>
          <w:szCs w:val="24"/>
          <w:lang w:val="es-ES_tradnl"/>
        </w:rPr>
        <w:t xml:space="preserve">los volúmenes de gas consumidos por los usuarios regulados y no regulados atendidos por el </w:t>
      </w:r>
      <w:r w:rsidR="006D0AAC">
        <w:rPr>
          <w:rFonts w:ascii="Bookman Old Style" w:hAnsi="Bookman Old Style" w:cs="Arial"/>
          <w:sz w:val="24"/>
          <w:szCs w:val="24"/>
          <w:lang w:val="es-ES_tradnl"/>
        </w:rPr>
        <w:lastRenderedPageBreak/>
        <w:t xml:space="preserve">distribuidor secundario; y (iv) </w:t>
      </w:r>
      <w:r w:rsidR="007F7DE0" w:rsidRPr="0067070C">
        <w:rPr>
          <w:rFonts w:ascii="Bookman Old Style" w:hAnsi="Bookman Old Style" w:cs="Arial"/>
          <w:sz w:val="24"/>
          <w:szCs w:val="24"/>
          <w:lang w:val="es-ES_tradnl"/>
        </w:rPr>
        <w:t xml:space="preserve">el punto de salida </w:t>
      </w:r>
      <w:r w:rsidR="00AC18C9">
        <w:rPr>
          <w:rFonts w:ascii="Bookman Old Style" w:hAnsi="Bookman Old Style" w:cs="Arial"/>
          <w:sz w:val="24"/>
          <w:szCs w:val="24"/>
          <w:lang w:val="es-ES_tradnl"/>
        </w:rPr>
        <w:t xml:space="preserve">correspondiente a puerta de ciudad </w:t>
      </w:r>
      <w:r w:rsidR="007F7DE0" w:rsidRPr="0067070C">
        <w:rPr>
          <w:rFonts w:ascii="Bookman Old Style" w:hAnsi="Bookman Old Style" w:cs="Arial"/>
          <w:sz w:val="24"/>
          <w:szCs w:val="24"/>
          <w:lang w:val="es-ES_tradnl"/>
        </w:rPr>
        <w:t xml:space="preserve">donde </w:t>
      </w:r>
      <w:r w:rsidR="00AC18C9">
        <w:rPr>
          <w:rFonts w:ascii="Bookman Old Style" w:hAnsi="Bookman Old Style" w:cs="Arial"/>
          <w:sz w:val="24"/>
          <w:szCs w:val="24"/>
          <w:lang w:val="es-ES_tradnl"/>
        </w:rPr>
        <w:t xml:space="preserve">cada uno de los remitentes </w:t>
      </w:r>
      <w:r w:rsidR="007F7DE0" w:rsidRPr="0067070C">
        <w:rPr>
          <w:rFonts w:ascii="Bookman Old Style" w:hAnsi="Bookman Old Style" w:cs="Arial"/>
          <w:sz w:val="24"/>
          <w:szCs w:val="24"/>
          <w:lang w:val="es-ES_tradnl"/>
        </w:rPr>
        <w:t>nomina el gas</w:t>
      </w:r>
      <w:r w:rsidR="00F05F1B" w:rsidRPr="0067070C">
        <w:rPr>
          <w:rFonts w:ascii="Bookman Old Style" w:hAnsi="Bookman Old Style" w:cs="Arial"/>
          <w:sz w:val="24"/>
          <w:szCs w:val="24"/>
          <w:lang w:val="es-ES_tradnl"/>
        </w:rPr>
        <w:t>.</w:t>
      </w:r>
    </w:p>
    <w:p w:rsidR="00AC18C9" w:rsidRDefault="00AC18C9" w:rsidP="003D1922">
      <w:pPr>
        <w:pStyle w:val="Prrafodelista"/>
        <w:ind w:left="284"/>
        <w:contextualSpacing/>
        <w:jc w:val="both"/>
        <w:rPr>
          <w:rFonts w:ascii="Bookman Old Style" w:hAnsi="Bookman Old Style" w:cs="Arial"/>
          <w:sz w:val="24"/>
          <w:szCs w:val="24"/>
          <w:lang w:val="es-ES_tradnl"/>
        </w:rPr>
      </w:pPr>
    </w:p>
    <w:p w:rsidR="003D1922" w:rsidRDefault="003D1922" w:rsidP="003D1922">
      <w:pPr>
        <w:pStyle w:val="Prrafodelista"/>
        <w:ind w:left="284"/>
        <w:contextualSpacing/>
        <w:jc w:val="both"/>
        <w:rPr>
          <w:rFonts w:ascii="Bookman Old Style" w:hAnsi="Bookman Old Style"/>
          <w:sz w:val="24"/>
          <w:szCs w:val="24"/>
        </w:rPr>
      </w:pPr>
      <w:r>
        <w:rPr>
          <w:rFonts w:ascii="Bookman Old Style" w:hAnsi="Bookman Old Style" w:cs="Arial"/>
          <w:sz w:val="24"/>
          <w:szCs w:val="24"/>
          <w:lang w:val="es-ES_tradnl"/>
        </w:rPr>
        <w:t xml:space="preserve">Los volúmenes reportados </w:t>
      </w:r>
      <w:r w:rsidR="00D76BB0">
        <w:rPr>
          <w:rFonts w:ascii="Bookman Old Style" w:hAnsi="Bookman Old Style" w:cs="Arial"/>
          <w:sz w:val="24"/>
          <w:szCs w:val="24"/>
          <w:lang w:val="es-ES_tradnl"/>
        </w:rPr>
        <w:t xml:space="preserve">por el distribuidor </w:t>
      </w:r>
      <w:r w:rsidR="000609DD">
        <w:rPr>
          <w:rFonts w:ascii="Bookman Old Style" w:hAnsi="Bookman Old Style" w:cs="Arial"/>
          <w:sz w:val="24"/>
          <w:szCs w:val="24"/>
          <w:lang w:val="es-ES_tradnl"/>
        </w:rPr>
        <w:t>secundario</w:t>
      </w:r>
      <w:r w:rsidR="00D76BB0">
        <w:rPr>
          <w:rFonts w:ascii="Bookman Old Style" w:hAnsi="Bookman Old Style" w:cs="Arial"/>
          <w:sz w:val="24"/>
          <w:szCs w:val="24"/>
          <w:lang w:val="es-ES_tradnl"/>
        </w:rPr>
        <w:t xml:space="preserve"> al </w:t>
      </w:r>
      <w:r w:rsidR="000609DD">
        <w:rPr>
          <w:rFonts w:ascii="Bookman Old Style" w:hAnsi="Bookman Old Style" w:cs="Arial"/>
          <w:sz w:val="24"/>
          <w:szCs w:val="24"/>
          <w:lang w:val="es-ES_tradnl"/>
        </w:rPr>
        <w:t xml:space="preserve">distribuidor principal </w:t>
      </w:r>
      <w:r>
        <w:rPr>
          <w:rFonts w:ascii="Bookman Old Style" w:hAnsi="Bookman Old Style" w:cs="Arial"/>
          <w:sz w:val="24"/>
          <w:szCs w:val="24"/>
          <w:lang w:val="es-ES_tradnl"/>
        </w:rPr>
        <w:t>deberán estar expresados en KPC</w:t>
      </w:r>
      <w:r w:rsidR="000609DD">
        <w:rPr>
          <w:rFonts w:ascii="Bookman Old Style" w:hAnsi="Bookman Old Style" w:cs="Arial"/>
          <w:sz w:val="24"/>
          <w:szCs w:val="24"/>
          <w:lang w:val="es-ES_tradnl"/>
        </w:rPr>
        <w:t>,</w:t>
      </w:r>
      <w:r>
        <w:rPr>
          <w:rFonts w:ascii="Bookman Old Style" w:hAnsi="Bookman Old Style" w:cs="Arial"/>
          <w:sz w:val="24"/>
          <w:szCs w:val="24"/>
          <w:lang w:val="es-ES_tradnl"/>
        </w:rPr>
        <w:t xml:space="preserve"> referidos a la estación de transferencia de custodia con base en </w:t>
      </w:r>
      <w:r w:rsidRPr="00FB138D">
        <w:rPr>
          <w:rFonts w:ascii="Bookman Old Style" w:hAnsi="Bookman Old Style"/>
          <w:sz w:val="24"/>
          <w:szCs w:val="24"/>
        </w:rPr>
        <w:t xml:space="preserve">el porcentaje de pérdidas en el sistema de distribución </w:t>
      </w:r>
      <w:r w:rsidR="000609DD">
        <w:rPr>
          <w:rFonts w:ascii="Bookman Old Style" w:hAnsi="Bookman Old Style"/>
          <w:sz w:val="24"/>
          <w:szCs w:val="24"/>
        </w:rPr>
        <w:t xml:space="preserve">secundario </w:t>
      </w:r>
      <w:r w:rsidRPr="00FB138D">
        <w:rPr>
          <w:rFonts w:ascii="Bookman Old Style" w:hAnsi="Bookman Old Style"/>
          <w:sz w:val="24"/>
          <w:szCs w:val="24"/>
        </w:rPr>
        <w:t xml:space="preserve">aplicable en el mes </w:t>
      </w:r>
      <w:r w:rsidRPr="00ED5AF2">
        <w:rPr>
          <w:rFonts w:ascii="Bookman Old Style" w:hAnsi="Bookman Old Style"/>
          <w:sz w:val="24"/>
          <w:szCs w:val="24"/>
        </w:rPr>
        <w:t>m</w:t>
      </w:r>
      <w:r w:rsidRPr="00FB138D">
        <w:rPr>
          <w:rFonts w:ascii="Bookman Old Style" w:hAnsi="Bookman Old Style"/>
          <w:sz w:val="24"/>
          <w:szCs w:val="24"/>
        </w:rPr>
        <w:t xml:space="preserve"> de facturación según lo establecido en la Resolución CREG </w:t>
      </w:r>
      <w:r>
        <w:rPr>
          <w:rFonts w:ascii="Bookman Old Style" w:hAnsi="Bookman Old Style"/>
          <w:sz w:val="24"/>
          <w:szCs w:val="24"/>
        </w:rPr>
        <w:t>033</w:t>
      </w:r>
      <w:r w:rsidRPr="00FB138D">
        <w:rPr>
          <w:rFonts w:ascii="Bookman Old Style" w:hAnsi="Bookman Old Style"/>
          <w:sz w:val="24"/>
          <w:szCs w:val="24"/>
        </w:rPr>
        <w:t xml:space="preserve"> de 201</w:t>
      </w:r>
      <w:r>
        <w:rPr>
          <w:rFonts w:ascii="Bookman Old Style" w:hAnsi="Bookman Old Style"/>
          <w:sz w:val="24"/>
          <w:szCs w:val="24"/>
        </w:rPr>
        <w:t>5</w:t>
      </w:r>
      <w:r w:rsidRPr="00FB138D">
        <w:rPr>
          <w:rFonts w:ascii="Bookman Old Style" w:hAnsi="Bookman Old Style"/>
          <w:sz w:val="24"/>
          <w:szCs w:val="24"/>
        </w:rPr>
        <w:t xml:space="preserve"> o aquellas que la modifiquen</w:t>
      </w:r>
      <w:r>
        <w:rPr>
          <w:rFonts w:ascii="Bookman Old Style" w:hAnsi="Bookman Old Style"/>
          <w:sz w:val="24"/>
          <w:szCs w:val="24"/>
        </w:rPr>
        <w:t xml:space="preserve"> </w:t>
      </w:r>
      <w:r w:rsidRPr="00FB138D">
        <w:rPr>
          <w:rFonts w:ascii="Bookman Old Style" w:hAnsi="Bookman Old Style"/>
          <w:sz w:val="24"/>
          <w:szCs w:val="24"/>
        </w:rPr>
        <w:t>o sustituyan.</w:t>
      </w:r>
    </w:p>
    <w:p w:rsidR="00D76BB0" w:rsidRDefault="00D76BB0" w:rsidP="003D1922">
      <w:pPr>
        <w:pStyle w:val="Prrafodelista"/>
        <w:ind w:left="284"/>
        <w:contextualSpacing/>
        <w:jc w:val="both"/>
        <w:rPr>
          <w:rFonts w:ascii="Bookman Old Style" w:hAnsi="Bookman Old Style"/>
          <w:sz w:val="24"/>
          <w:szCs w:val="24"/>
        </w:rPr>
      </w:pPr>
    </w:p>
    <w:p w:rsidR="00470962" w:rsidRPr="006D0AAC" w:rsidRDefault="006D0AAC" w:rsidP="0067070C">
      <w:pPr>
        <w:pStyle w:val="Prrafodelista"/>
        <w:ind w:left="270"/>
        <w:contextualSpacing/>
        <w:jc w:val="both"/>
        <w:rPr>
          <w:rFonts w:ascii="Bookman Old Style" w:hAnsi="Bookman Old Style"/>
          <w:sz w:val="24"/>
          <w:szCs w:val="24"/>
        </w:rPr>
      </w:pPr>
      <w:r>
        <w:rPr>
          <w:rFonts w:ascii="Bookman Old Style" w:hAnsi="Bookman Old Style"/>
          <w:sz w:val="24"/>
          <w:szCs w:val="24"/>
        </w:rPr>
        <w:t xml:space="preserve">Para obtener los volúmenes </w:t>
      </w:r>
      <w:r w:rsidR="00A55749">
        <w:rPr>
          <w:rFonts w:ascii="Bookman Old Style" w:hAnsi="Bookman Old Style"/>
          <w:sz w:val="24"/>
          <w:szCs w:val="24"/>
        </w:rPr>
        <w:t>consumidos por</w:t>
      </w:r>
      <w:r>
        <w:rPr>
          <w:rFonts w:ascii="Bookman Old Style" w:hAnsi="Bookman Old Style"/>
          <w:sz w:val="24"/>
          <w:szCs w:val="24"/>
        </w:rPr>
        <w:t xml:space="preserve"> la demanda regulada atendida por el distribuidor secundario, éste procederá así</w:t>
      </w:r>
      <w:r w:rsidR="00470962" w:rsidRPr="006D0AAC">
        <w:rPr>
          <w:rFonts w:ascii="Bookman Old Style" w:hAnsi="Bookman Old Style"/>
          <w:sz w:val="24"/>
          <w:szCs w:val="24"/>
        </w:rPr>
        <w:t>:</w:t>
      </w:r>
    </w:p>
    <w:p w:rsidR="00470962" w:rsidRPr="00A20F3F" w:rsidRDefault="00470962" w:rsidP="00470962">
      <w:pPr>
        <w:pStyle w:val="Prrafodelista"/>
        <w:ind w:left="851"/>
        <w:jc w:val="both"/>
        <w:rPr>
          <w:rFonts w:ascii="Bookman Old Style" w:hAnsi="Bookman Old Style"/>
          <w:sz w:val="24"/>
          <w:szCs w:val="24"/>
        </w:rPr>
      </w:pPr>
    </w:p>
    <w:p w:rsidR="00A10C1A" w:rsidRPr="006D0AAC" w:rsidRDefault="00470962" w:rsidP="00470962">
      <w:pPr>
        <w:pStyle w:val="Prrafodelista"/>
        <w:numPr>
          <w:ilvl w:val="0"/>
          <w:numId w:val="13"/>
        </w:numPr>
        <w:ind w:left="993" w:hanging="426"/>
        <w:jc w:val="both"/>
        <w:rPr>
          <w:rFonts w:ascii="Bookman Old Style" w:hAnsi="Bookman Old Style"/>
          <w:sz w:val="24"/>
          <w:szCs w:val="24"/>
        </w:rPr>
      </w:pPr>
      <w:r w:rsidRPr="00A20F3F">
        <w:rPr>
          <w:rFonts w:ascii="Bookman Old Style" w:hAnsi="Bookman Old Style"/>
          <w:sz w:val="24"/>
          <w:szCs w:val="24"/>
        </w:rPr>
        <w:t xml:space="preserve">Determinar </w:t>
      </w:r>
      <w:r w:rsidR="006D0AAC">
        <w:rPr>
          <w:rFonts w:ascii="Bookman Old Style" w:hAnsi="Bookman Old Style"/>
          <w:sz w:val="24"/>
          <w:szCs w:val="24"/>
        </w:rPr>
        <w:t>los</w:t>
      </w:r>
      <w:r w:rsidRPr="006D0AAC">
        <w:rPr>
          <w:rFonts w:ascii="Bookman Old Style" w:hAnsi="Bookman Old Style"/>
          <w:sz w:val="24"/>
          <w:szCs w:val="24"/>
        </w:rPr>
        <w:t xml:space="preserve"> vol</w:t>
      </w:r>
      <w:r w:rsidR="006D0AAC">
        <w:rPr>
          <w:rFonts w:ascii="Bookman Old Style" w:hAnsi="Bookman Old Style"/>
          <w:sz w:val="24"/>
          <w:szCs w:val="24"/>
        </w:rPr>
        <w:t>ú</w:t>
      </w:r>
      <w:r w:rsidRPr="006D0AAC">
        <w:rPr>
          <w:rFonts w:ascii="Bookman Old Style" w:hAnsi="Bookman Old Style"/>
          <w:sz w:val="24"/>
          <w:szCs w:val="24"/>
        </w:rPr>
        <w:t>men</w:t>
      </w:r>
      <w:r w:rsidR="006D0AAC">
        <w:rPr>
          <w:rFonts w:ascii="Bookman Old Style" w:hAnsi="Bookman Old Style"/>
          <w:sz w:val="24"/>
          <w:szCs w:val="24"/>
        </w:rPr>
        <w:t xml:space="preserve">es de gas consumidos por todos los </w:t>
      </w:r>
      <w:r w:rsidRPr="006D0AAC">
        <w:rPr>
          <w:rFonts w:ascii="Bookman Old Style" w:hAnsi="Bookman Old Style"/>
          <w:sz w:val="24"/>
          <w:szCs w:val="24"/>
        </w:rPr>
        <w:t xml:space="preserve"> comercializador</w:t>
      </w:r>
      <w:r w:rsidR="006D0AAC">
        <w:rPr>
          <w:rFonts w:ascii="Bookman Old Style" w:hAnsi="Bookman Old Style"/>
          <w:sz w:val="24"/>
          <w:szCs w:val="24"/>
        </w:rPr>
        <w:t>es</w:t>
      </w:r>
      <w:r w:rsidRPr="006D0AAC">
        <w:rPr>
          <w:rFonts w:ascii="Bookman Old Style" w:hAnsi="Bookman Old Style"/>
          <w:sz w:val="24"/>
          <w:szCs w:val="24"/>
        </w:rPr>
        <w:t xml:space="preserve"> </w:t>
      </w:r>
      <w:r w:rsidR="00262077" w:rsidRPr="006D0AAC">
        <w:rPr>
          <w:rFonts w:ascii="Bookman Old Style" w:hAnsi="Bookman Old Style"/>
          <w:sz w:val="24"/>
          <w:szCs w:val="24"/>
        </w:rPr>
        <w:t>y</w:t>
      </w:r>
      <w:r w:rsidR="006D0AAC">
        <w:rPr>
          <w:rFonts w:ascii="Bookman Old Style" w:hAnsi="Bookman Old Style"/>
          <w:sz w:val="24"/>
          <w:szCs w:val="24"/>
        </w:rPr>
        <w:t xml:space="preserve"> todos los</w:t>
      </w:r>
      <w:r w:rsidR="00262077" w:rsidRPr="006D0AAC">
        <w:rPr>
          <w:rFonts w:ascii="Bookman Old Style" w:hAnsi="Bookman Old Style"/>
          <w:sz w:val="24"/>
          <w:szCs w:val="24"/>
        </w:rPr>
        <w:t xml:space="preserve"> usuario</w:t>
      </w:r>
      <w:r w:rsidR="006D0AAC">
        <w:rPr>
          <w:rFonts w:ascii="Bookman Old Style" w:hAnsi="Bookman Old Style"/>
          <w:sz w:val="24"/>
          <w:szCs w:val="24"/>
        </w:rPr>
        <w:t>s</w:t>
      </w:r>
      <w:r w:rsidR="00262077" w:rsidRPr="006D0AAC">
        <w:rPr>
          <w:rFonts w:ascii="Bookman Old Style" w:hAnsi="Bookman Old Style"/>
          <w:sz w:val="24"/>
          <w:szCs w:val="24"/>
        </w:rPr>
        <w:t xml:space="preserve"> no regulado</w:t>
      </w:r>
      <w:r w:rsidR="006D0AAC">
        <w:rPr>
          <w:rFonts w:ascii="Bookman Old Style" w:hAnsi="Bookman Old Style"/>
          <w:sz w:val="24"/>
          <w:szCs w:val="24"/>
        </w:rPr>
        <w:t>s</w:t>
      </w:r>
      <w:r w:rsidR="0064454C">
        <w:rPr>
          <w:rFonts w:ascii="Bookman Old Style" w:hAnsi="Bookman Old Style"/>
          <w:sz w:val="24"/>
          <w:szCs w:val="24"/>
        </w:rPr>
        <w:t>,</w:t>
      </w:r>
      <w:r w:rsidR="0064454C" w:rsidRPr="0064454C">
        <w:rPr>
          <w:rFonts w:ascii="Bookman Old Style" w:hAnsi="Bookman Old Style" w:cs="Arial"/>
          <w:sz w:val="24"/>
          <w:szCs w:val="24"/>
          <w:lang w:val="es-ES_tradnl"/>
        </w:rPr>
        <w:t xml:space="preserve"> </w:t>
      </w:r>
      <w:r w:rsidR="0064454C">
        <w:rPr>
          <w:rFonts w:ascii="Bookman Old Style" w:hAnsi="Bookman Old Style" w:cs="Arial"/>
          <w:sz w:val="24"/>
          <w:szCs w:val="24"/>
          <w:lang w:val="es-ES_tradnl"/>
        </w:rPr>
        <w:t>que nominan directamente al transportador en la puerta de ciudad del distribuidor principal,</w:t>
      </w:r>
      <w:r w:rsidR="00262077" w:rsidRPr="006D0AAC">
        <w:rPr>
          <w:rFonts w:ascii="Bookman Old Style" w:hAnsi="Bookman Old Style"/>
          <w:sz w:val="24"/>
          <w:szCs w:val="24"/>
        </w:rPr>
        <w:t xml:space="preserve"> </w:t>
      </w:r>
      <w:r w:rsidRPr="006D0AAC">
        <w:rPr>
          <w:rFonts w:ascii="Bookman Old Style" w:hAnsi="Bookman Old Style"/>
          <w:sz w:val="24"/>
          <w:szCs w:val="24"/>
        </w:rPr>
        <w:t>embebido</w:t>
      </w:r>
      <w:r w:rsidR="006D0AAC">
        <w:rPr>
          <w:rFonts w:ascii="Bookman Old Style" w:hAnsi="Bookman Old Style"/>
          <w:sz w:val="24"/>
          <w:szCs w:val="24"/>
        </w:rPr>
        <w:t>s</w:t>
      </w:r>
      <w:r w:rsidRPr="006D0AAC">
        <w:rPr>
          <w:rFonts w:ascii="Bookman Old Style" w:hAnsi="Bookman Old Style"/>
          <w:sz w:val="24"/>
          <w:szCs w:val="24"/>
        </w:rPr>
        <w:t xml:space="preserve"> en su red.</w:t>
      </w:r>
      <w:r w:rsidR="00262077" w:rsidRPr="006D0AAC">
        <w:rPr>
          <w:rFonts w:ascii="Bookman Old Style" w:hAnsi="Bookman Old Style"/>
          <w:sz w:val="24"/>
          <w:szCs w:val="24"/>
        </w:rPr>
        <w:t xml:space="preserve"> </w:t>
      </w:r>
    </w:p>
    <w:p w:rsidR="00470962" w:rsidRPr="00A20F3F" w:rsidRDefault="00470962" w:rsidP="00470962">
      <w:pPr>
        <w:pStyle w:val="Prrafodelista"/>
        <w:rPr>
          <w:rFonts w:ascii="Bookman Old Style" w:hAnsi="Bookman Old Style"/>
          <w:sz w:val="24"/>
          <w:szCs w:val="24"/>
        </w:rPr>
      </w:pPr>
    </w:p>
    <w:p w:rsidR="00470962" w:rsidRPr="0067070C" w:rsidRDefault="00470962" w:rsidP="0067070C">
      <w:pPr>
        <w:pStyle w:val="Prrafodelista"/>
        <w:numPr>
          <w:ilvl w:val="0"/>
          <w:numId w:val="13"/>
        </w:numPr>
        <w:ind w:left="993" w:hanging="426"/>
        <w:jc w:val="both"/>
        <w:rPr>
          <w:rFonts w:ascii="Bookman Old Style" w:hAnsi="Bookman Old Style"/>
          <w:sz w:val="24"/>
          <w:szCs w:val="24"/>
        </w:rPr>
      </w:pPr>
      <w:r w:rsidRPr="00A20F3F">
        <w:rPr>
          <w:rFonts w:ascii="Bookman Old Style" w:hAnsi="Bookman Old Style"/>
          <w:sz w:val="24"/>
          <w:szCs w:val="24"/>
        </w:rPr>
        <w:t xml:space="preserve">Calcular </w:t>
      </w:r>
      <w:r w:rsidR="00E55CD6" w:rsidRPr="00A20F3F">
        <w:rPr>
          <w:rFonts w:ascii="Bookman Old Style" w:hAnsi="Bookman Old Style"/>
          <w:sz w:val="24"/>
          <w:szCs w:val="24"/>
        </w:rPr>
        <w:t xml:space="preserve">los </w:t>
      </w:r>
      <w:r w:rsidRPr="00A20F3F">
        <w:rPr>
          <w:rFonts w:ascii="Bookman Old Style" w:hAnsi="Bookman Old Style"/>
          <w:sz w:val="24"/>
          <w:szCs w:val="24"/>
        </w:rPr>
        <w:t>vol</w:t>
      </w:r>
      <w:r w:rsidR="00E55CD6" w:rsidRPr="00A20F3F">
        <w:rPr>
          <w:rFonts w:ascii="Bookman Old Style" w:hAnsi="Bookman Old Style"/>
          <w:sz w:val="24"/>
          <w:szCs w:val="24"/>
        </w:rPr>
        <w:t>ú</w:t>
      </w:r>
      <w:r w:rsidRPr="00A20F3F">
        <w:rPr>
          <w:rFonts w:ascii="Bookman Old Style" w:hAnsi="Bookman Old Style"/>
          <w:sz w:val="24"/>
          <w:szCs w:val="24"/>
        </w:rPr>
        <w:t>men</w:t>
      </w:r>
      <w:r w:rsidR="00E55CD6" w:rsidRPr="00A20F3F">
        <w:rPr>
          <w:rFonts w:ascii="Bookman Old Style" w:hAnsi="Bookman Old Style"/>
          <w:sz w:val="24"/>
          <w:szCs w:val="24"/>
        </w:rPr>
        <w:t>es de gas</w:t>
      </w:r>
      <w:r w:rsidRPr="00A20F3F">
        <w:rPr>
          <w:rFonts w:ascii="Bookman Old Style" w:hAnsi="Bookman Old Style"/>
          <w:sz w:val="24"/>
          <w:szCs w:val="24"/>
        </w:rPr>
        <w:t xml:space="preserve"> tomado</w:t>
      </w:r>
      <w:r w:rsidR="00E55CD6" w:rsidRPr="00A20F3F">
        <w:rPr>
          <w:rFonts w:ascii="Bookman Old Style" w:hAnsi="Bookman Old Style"/>
          <w:sz w:val="24"/>
          <w:szCs w:val="24"/>
        </w:rPr>
        <w:t>s</w:t>
      </w:r>
      <w:r w:rsidRPr="00A20F3F">
        <w:rPr>
          <w:rFonts w:ascii="Bookman Old Style" w:hAnsi="Bookman Old Style"/>
          <w:sz w:val="24"/>
          <w:szCs w:val="24"/>
        </w:rPr>
        <w:t xml:space="preserve"> por el</w:t>
      </w:r>
      <w:r w:rsidR="00B95ACD">
        <w:rPr>
          <w:rFonts w:ascii="Bookman Old Style" w:hAnsi="Bookman Old Style"/>
          <w:sz w:val="24"/>
          <w:szCs w:val="24"/>
        </w:rPr>
        <w:t xml:space="preserve"> </w:t>
      </w:r>
      <w:r w:rsidRPr="00A20F3F">
        <w:rPr>
          <w:rFonts w:ascii="Bookman Old Style" w:hAnsi="Bookman Old Style"/>
          <w:sz w:val="24"/>
          <w:szCs w:val="24"/>
        </w:rPr>
        <w:t xml:space="preserve">distribuidor secundario </w:t>
      </w:r>
      <w:r w:rsidR="006D0AAC">
        <w:rPr>
          <w:rFonts w:ascii="Bookman Old Style" w:hAnsi="Bookman Old Style"/>
          <w:sz w:val="24"/>
          <w:szCs w:val="24"/>
        </w:rPr>
        <w:t xml:space="preserve">para su demanda regulada </w:t>
      </w:r>
      <w:r w:rsidRPr="006D0AAC">
        <w:rPr>
          <w:rFonts w:ascii="Bookman Old Style" w:hAnsi="Bookman Old Style"/>
          <w:sz w:val="24"/>
          <w:szCs w:val="24"/>
        </w:rPr>
        <w:t xml:space="preserve">como la diferencia entre </w:t>
      </w:r>
      <w:r w:rsidR="003821D8" w:rsidRPr="006D0AAC">
        <w:rPr>
          <w:rFonts w:ascii="Bookman Old Style" w:hAnsi="Bookman Old Style"/>
          <w:sz w:val="24"/>
          <w:szCs w:val="24"/>
        </w:rPr>
        <w:t>el volumen de gas</w:t>
      </w:r>
      <w:r w:rsidRPr="006D0AAC">
        <w:rPr>
          <w:rFonts w:ascii="Bookman Old Style" w:hAnsi="Bookman Old Style"/>
          <w:sz w:val="24"/>
          <w:szCs w:val="24"/>
        </w:rPr>
        <w:t xml:space="preserve"> medid</w:t>
      </w:r>
      <w:r w:rsidR="003821D8" w:rsidRPr="006D0AAC">
        <w:rPr>
          <w:rFonts w:ascii="Bookman Old Style" w:hAnsi="Bookman Old Style"/>
          <w:sz w:val="24"/>
          <w:szCs w:val="24"/>
        </w:rPr>
        <w:t>o</w:t>
      </w:r>
      <w:r w:rsidRPr="006D0AAC">
        <w:rPr>
          <w:rFonts w:ascii="Bookman Old Style" w:hAnsi="Bookman Old Style"/>
          <w:sz w:val="24"/>
          <w:szCs w:val="24"/>
        </w:rPr>
        <w:t xml:space="preserve"> en la estación de transferencia de custodia de distribución y l</w:t>
      </w:r>
      <w:r w:rsidR="00262077" w:rsidRPr="006D0AAC">
        <w:rPr>
          <w:rFonts w:ascii="Bookman Old Style" w:hAnsi="Bookman Old Style"/>
          <w:sz w:val="24"/>
          <w:szCs w:val="24"/>
        </w:rPr>
        <w:t>o</w:t>
      </w:r>
      <w:r w:rsidRPr="006D0AAC">
        <w:rPr>
          <w:rFonts w:ascii="Bookman Old Style" w:hAnsi="Bookman Old Style"/>
          <w:sz w:val="24"/>
          <w:szCs w:val="24"/>
        </w:rPr>
        <w:t>s vol</w:t>
      </w:r>
      <w:r w:rsidR="00262077" w:rsidRPr="006D0AAC">
        <w:rPr>
          <w:rFonts w:ascii="Bookman Old Style" w:hAnsi="Bookman Old Style"/>
          <w:sz w:val="24"/>
          <w:szCs w:val="24"/>
        </w:rPr>
        <w:t>ú</w:t>
      </w:r>
      <w:r w:rsidRPr="006D0AAC">
        <w:rPr>
          <w:rFonts w:ascii="Bookman Old Style" w:hAnsi="Bookman Old Style"/>
          <w:sz w:val="24"/>
          <w:szCs w:val="24"/>
        </w:rPr>
        <w:t>men</w:t>
      </w:r>
      <w:r w:rsidR="00262077" w:rsidRPr="006D0AAC">
        <w:rPr>
          <w:rFonts w:ascii="Bookman Old Style" w:hAnsi="Bookman Old Style"/>
          <w:sz w:val="24"/>
          <w:szCs w:val="24"/>
        </w:rPr>
        <w:t>es</w:t>
      </w:r>
      <w:r w:rsidRPr="006D0AAC">
        <w:rPr>
          <w:rFonts w:ascii="Bookman Old Style" w:hAnsi="Bookman Old Style"/>
          <w:sz w:val="24"/>
          <w:szCs w:val="24"/>
        </w:rPr>
        <w:t xml:space="preserve"> </w:t>
      </w:r>
      <w:r w:rsidR="008673EE">
        <w:rPr>
          <w:rFonts w:ascii="Bookman Old Style" w:hAnsi="Bookman Old Style"/>
          <w:sz w:val="24"/>
          <w:szCs w:val="24"/>
        </w:rPr>
        <w:t>de gas determinados en el literal anterior</w:t>
      </w:r>
      <w:r w:rsidR="00B95ACD">
        <w:rPr>
          <w:rFonts w:ascii="Bookman Old Style" w:hAnsi="Bookman Old Style"/>
          <w:sz w:val="24"/>
          <w:szCs w:val="24"/>
        </w:rPr>
        <w:t xml:space="preserve"> y los volúmenes de gas de la demanda no regulada atendida por el distribuidor secundario</w:t>
      </w:r>
      <w:r w:rsidR="00E55CD6" w:rsidRPr="008673EE">
        <w:rPr>
          <w:rFonts w:ascii="Bookman Old Style" w:hAnsi="Bookman Old Style"/>
          <w:sz w:val="24"/>
          <w:szCs w:val="24"/>
        </w:rPr>
        <w:t>.</w:t>
      </w:r>
    </w:p>
    <w:p w:rsidR="00470962" w:rsidRDefault="00470962" w:rsidP="003D1922">
      <w:pPr>
        <w:pStyle w:val="Prrafodelista"/>
        <w:ind w:left="284"/>
        <w:contextualSpacing/>
        <w:jc w:val="both"/>
        <w:rPr>
          <w:rFonts w:ascii="Bookman Old Style" w:hAnsi="Bookman Old Style"/>
          <w:sz w:val="24"/>
          <w:szCs w:val="24"/>
        </w:rPr>
      </w:pPr>
    </w:p>
    <w:p w:rsidR="00A20F3F" w:rsidRDefault="00A20F3F" w:rsidP="003D1922">
      <w:pPr>
        <w:pStyle w:val="Prrafodelista"/>
        <w:ind w:left="284"/>
        <w:contextualSpacing/>
        <w:jc w:val="both"/>
        <w:rPr>
          <w:rFonts w:ascii="Bookman Old Style" w:hAnsi="Bookman Old Style"/>
          <w:sz w:val="24"/>
          <w:szCs w:val="24"/>
        </w:rPr>
      </w:pPr>
      <w:r>
        <w:rPr>
          <w:rFonts w:ascii="Bookman Old Style" w:hAnsi="Bookman Old Style"/>
          <w:sz w:val="24"/>
          <w:szCs w:val="24"/>
        </w:rPr>
        <w:t>El distribuidor secundario deberá publicar la información co</w:t>
      </w:r>
      <w:r w:rsidR="00544348">
        <w:rPr>
          <w:rFonts w:ascii="Bookman Old Style" w:hAnsi="Bookman Old Style"/>
          <w:sz w:val="24"/>
          <w:szCs w:val="24"/>
        </w:rPr>
        <w:t xml:space="preserve">ncerniente a los volúmenes totales de la demanda regulada y no regulada de su red de distribución en su página web. </w:t>
      </w:r>
    </w:p>
    <w:p w:rsidR="00A20F3F" w:rsidRPr="003D1922" w:rsidRDefault="00A20F3F" w:rsidP="003D1922">
      <w:pPr>
        <w:pStyle w:val="Prrafodelista"/>
        <w:ind w:left="284"/>
        <w:contextualSpacing/>
        <w:jc w:val="both"/>
        <w:rPr>
          <w:rFonts w:ascii="Bookman Old Style" w:hAnsi="Bookman Old Style"/>
          <w:sz w:val="24"/>
          <w:szCs w:val="24"/>
        </w:rPr>
      </w:pPr>
    </w:p>
    <w:p w:rsidR="00951000" w:rsidRDefault="00224C13" w:rsidP="0067070C">
      <w:pPr>
        <w:pStyle w:val="Prrafodelista"/>
        <w:numPr>
          <w:ilvl w:val="0"/>
          <w:numId w:val="8"/>
        </w:numPr>
        <w:ind w:left="270" w:hanging="270"/>
        <w:contextualSpacing/>
        <w:jc w:val="both"/>
        <w:rPr>
          <w:rFonts w:ascii="Bookman Old Style" w:hAnsi="Bookman Old Style"/>
          <w:sz w:val="24"/>
          <w:szCs w:val="24"/>
        </w:rPr>
      </w:pPr>
      <w:r w:rsidRPr="0067070C">
        <w:rPr>
          <w:rFonts w:ascii="Bookman Old Style" w:hAnsi="Bookman Old Style"/>
          <w:sz w:val="24"/>
          <w:szCs w:val="24"/>
        </w:rPr>
        <w:t xml:space="preserve">El distribuidor principal </w:t>
      </w:r>
      <w:r w:rsidR="00DA3367" w:rsidRPr="0067070C">
        <w:rPr>
          <w:rFonts w:ascii="Bookman Old Style" w:hAnsi="Bookman Old Style"/>
          <w:sz w:val="24"/>
          <w:szCs w:val="24"/>
        </w:rPr>
        <w:t xml:space="preserve">a más tardar a las </w:t>
      </w:r>
      <w:r w:rsidR="005973B4" w:rsidRPr="0067070C">
        <w:rPr>
          <w:rFonts w:ascii="Bookman Old Style" w:hAnsi="Bookman Old Style"/>
          <w:sz w:val="24"/>
          <w:szCs w:val="24"/>
        </w:rPr>
        <w:t>0</w:t>
      </w:r>
      <w:r w:rsidR="007F7DE0" w:rsidRPr="0067070C">
        <w:rPr>
          <w:rFonts w:ascii="Bookman Old Style" w:hAnsi="Bookman Old Style"/>
          <w:sz w:val="24"/>
          <w:szCs w:val="24"/>
        </w:rPr>
        <w:t>9</w:t>
      </w:r>
      <w:r w:rsidR="00DA3367" w:rsidRPr="0067070C">
        <w:rPr>
          <w:rFonts w:ascii="Bookman Old Style" w:hAnsi="Bookman Old Style"/>
          <w:sz w:val="24"/>
          <w:szCs w:val="24"/>
        </w:rPr>
        <w:t>:00 horas del día siguiente al día de gas</w:t>
      </w:r>
      <w:r w:rsidR="00951000">
        <w:rPr>
          <w:rFonts w:ascii="Bookman Old Style" w:hAnsi="Bookman Old Style"/>
          <w:sz w:val="24"/>
          <w:szCs w:val="24"/>
        </w:rPr>
        <w:t xml:space="preserve"> le</w:t>
      </w:r>
      <w:r w:rsidR="00C86D02" w:rsidRPr="0067070C">
        <w:rPr>
          <w:rFonts w:ascii="Bookman Old Style" w:hAnsi="Bookman Old Style"/>
          <w:sz w:val="24"/>
          <w:szCs w:val="24"/>
        </w:rPr>
        <w:t xml:space="preserve"> reportará al transportador la siguiente información</w:t>
      </w:r>
      <w:r w:rsidR="00074E36" w:rsidRPr="0067070C">
        <w:rPr>
          <w:rFonts w:ascii="Bookman Old Style" w:hAnsi="Bookman Old Style"/>
          <w:sz w:val="24"/>
          <w:szCs w:val="24"/>
        </w:rPr>
        <w:t xml:space="preserve"> del día de gas</w:t>
      </w:r>
      <w:r w:rsidR="0010688E" w:rsidRPr="0067070C">
        <w:rPr>
          <w:rFonts w:ascii="Bookman Old Style" w:hAnsi="Bookman Old Style"/>
          <w:sz w:val="24"/>
          <w:szCs w:val="24"/>
        </w:rPr>
        <w:t>:</w:t>
      </w:r>
      <w:r w:rsidR="00F05F1B" w:rsidRPr="0067070C">
        <w:rPr>
          <w:rFonts w:ascii="Bookman Old Style" w:hAnsi="Bookman Old Style"/>
          <w:sz w:val="24"/>
          <w:szCs w:val="24"/>
        </w:rPr>
        <w:t xml:space="preserve"> </w:t>
      </w:r>
      <w:r w:rsidR="006D4D53" w:rsidRPr="0067070C">
        <w:rPr>
          <w:rFonts w:ascii="Bookman Old Style" w:hAnsi="Bookman Old Style"/>
          <w:sz w:val="24"/>
          <w:szCs w:val="24"/>
        </w:rPr>
        <w:t xml:space="preserve">i) los volúmenes de gas consumidos por los usuarios no regulados embebidos en </w:t>
      </w:r>
      <w:r w:rsidR="004007E0" w:rsidRPr="0067070C">
        <w:rPr>
          <w:rFonts w:ascii="Bookman Old Style" w:hAnsi="Bookman Old Style"/>
          <w:sz w:val="24"/>
          <w:szCs w:val="24"/>
        </w:rPr>
        <w:t>su red de distribución</w:t>
      </w:r>
      <w:r w:rsidR="007F7DE0" w:rsidRPr="0067070C">
        <w:rPr>
          <w:rFonts w:ascii="Bookman Old Style" w:hAnsi="Bookman Old Style"/>
          <w:sz w:val="24"/>
          <w:szCs w:val="24"/>
        </w:rPr>
        <w:t xml:space="preserve"> y </w:t>
      </w:r>
      <w:r w:rsidR="00951000">
        <w:rPr>
          <w:rFonts w:ascii="Bookman Old Style" w:hAnsi="Bookman Old Style"/>
          <w:sz w:val="24"/>
          <w:szCs w:val="24"/>
        </w:rPr>
        <w:t xml:space="preserve">en las redes </w:t>
      </w:r>
      <w:r w:rsidR="007F7DE0" w:rsidRPr="0067070C">
        <w:rPr>
          <w:rFonts w:ascii="Bookman Old Style" w:hAnsi="Bookman Old Style"/>
          <w:sz w:val="24"/>
          <w:szCs w:val="24"/>
        </w:rPr>
        <w:t>de distribuidor</w:t>
      </w:r>
      <w:r w:rsidR="00951000">
        <w:rPr>
          <w:rFonts w:ascii="Bookman Old Style" w:hAnsi="Bookman Old Style"/>
          <w:sz w:val="24"/>
          <w:szCs w:val="24"/>
        </w:rPr>
        <w:t>es</w:t>
      </w:r>
      <w:r w:rsidR="007F7DE0" w:rsidRPr="0067070C">
        <w:rPr>
          <w:rFonts w:ascii="Bookman Old Style" w:hAnsi="Bookman Old Style"/>
          <w:sz w:val="24"/>
          <w:szCs w:val="24"/>
        </w:rPr>
        <w:t xml:space="preserve"> secundario</w:t>
      </w:r>
      <w:r w:rsidR="00951000">
        <w:rPr>
          <w:rFonts w:ascii="Bookman Old Style" w:hAnsi="Bookman Old Style"/>
          <w:sz w:val="24"/>
          <w:szCs w:val="24"/>
        </w:rPr>
        <w:t>s</w:t>
      </w:r>
      <w:r w:rsidR="00FA013B">
        <w:rPr>
          <w:rFonts w:ascii="Bookman Old Style" w:hAnsi="Bookman Old Style"/>
          <w:sz w:val="24"/>
          <w:szCs w:val="24"/>
        </w:rPr>
        <w:t xml:space="preserve"> y</w:t>
      </w:r>
      <w:r w:rsidR="006D4D53" w:rsidRPr="0067070C">
        <w:rPr>
          <w:rFonts w:ascii="Bookman Old Style" w:hAnsi="Bookman Old Style"/>
          <w:sz w:val="24"/>
          <w:szCs w:val="24"/>
        </w:rPr>
        <w:t xml:space="preserve"> que transan directamente en el mercado mayorista de gas</w:t>
      </w:r>
      <w:r w:rsidR="00951000">
        <w:rPr>
          <w:rFonts w:ascii="Bookman Old Style" w:hAnsi="Bookman Old Style"/>
          <w:sz w:val="24"/>
          <w:szCs w:val="24"/>
        </w:rPr>
        <w:t>;</w:t>
      </w:r>
      <w:r w:rsidR="006D4D53" w:rsidRPr="0067070C">
        <w:rPr>
          <w:rFonts w:ascii="Bookman Old Style" w:hAnsi="Bookman Old Style"/>
          <w:sz w:val="24"/>
          <w:szCs w:val="24"/>
        </w:rPr>
        <w:t xml:space="preserve"> ii) </w:t>
      </w:r>
      <w:r w:rsidR="00951000">
        <w:rPr>
          <w:rFonts w:ascii="Bookman Old Style" w:hAnsi="Bookman Old Style"/>
          <w:sz w:val="24"/>
          <w:szCs w:val="24"/>
        </w:rPr>
        <w:t xml:space="preserve">los </w:t>
      </w:r>
      <w:r w:rsidR="006D4D53" w:rsidRPr="0067070C">
        <w:rPr>
          <w:rFonts w:ascii="Bookman Old Style" w:hAnsi="Bookman Old Style"/>
          <w:sz w:val="24"/>
          <w:szCs w:val="24"/>
        </w:rPr>
        <w:t>vol</w:t>
      </w:r>
      <w:r w:rsidR="00951000">
        <w:rPr>
          <w:rFonts w:ascii="Bookman Old Style" w:hAnsi="Bookman Old Style"/>
          <w:sz w:val="24"/>
          <w:szCs w:val="24"/>
        </w:rPr>
        <w:t>ú</w:t>
      </w:r>
      <w:r w:rsidR="006D4D53" w:rsidRPr="0067070C">
        <w:rPr>
          <w:rFonts w:ascii="Bookman Old Style" w:hAnsi="Bookman Old Style"/>
          <w:sz w:val="24"/>
          <w:szCs w:val="24"/>
        </w:rPr>
        <w:t>men</w:t>
      </w:r>
      <w:r w:rsidR="00951000">
        <w:rPr>
          <w:rFonts w:ascii="Bookman Old Style" w:hAnsi="Bookman Old Style"/>
          <w:sz w:val="24"/>
          <w:szCs w:val="24"/>
        </w:rPr>
        <w:t>es</w:t>
      </w:r>
      <w:r w:rsidR="009F6678" w:rsidRPr="0067070C">
        <w:rPr>
          <w:rFonts w:ascii="Bookman Old Style" w:hAnsi="Bookman Old Style"/>
          <w:sz w:val="24"/>
          <w:szCs w:val="24"/>
        </w:rPr>
        <w:t xml:space="preserve"> de gas consumido</w:t>
      </w:r>
      <w:r w:rsidR="00951000">
        <w:rPr>
          <w:rFonts w:ascii="Bookman Old Style" w:hAnsi="Bookman Old Style"/>
          <w:sz w:val="24"/>
          <w:szCs w:val="24"/>
        </w:rPr>
        <w:t>s</w:t>
      </w:r>
      <w:r w:rsidR="006D4D53" w:rsidRPr="0067070C">
        <w:rPr>
          <w:rFonts w:ascii="Bookman Old Style" w:hAnsi="Bookman Old Style"/>
          <w:sz w:val="24"/>
          <w:szCs w:val="24"/>
        </w:rPr>
        <w:t xml:space="preserve"> por cada comercializador embebido</w:t>
      </w:r>
      <w:r w:rsidR="009F6678" w:rsidRPr="0067070C">
        <w:rPr>
          <w:rFonts w:ascii="Bookman Old Style" w:hAnsi="Bookman Old Style"/>
          <w:sz w:val="24"/>
          <w:szCs w:val="24"/>
        </w:rPr>
        <w:t xml:space="preserve"> en</w:t>
      </w:r>
      <w:r w:rsidR="006D4D53" w:rsidRPr="0067070C">
        <w:rPr>
          <w:rFonts w:ascii="Bookman Old Style" w:hAnsi="Bookman Old Style"/>
          <w:sz w:val="24"/>
          <w:szCs w:val="24"/>
        </w:rPr>
        <w:t xml:space="preserve"> su red</w:t>
      </w:r>
      <w:r w:rsidR="007F7DE0" w:rsidRPr="0067070C">
        <w:rPr>
          <w:rFonts w:ascii="Bookman Old Style" w:hAnsi="Bookman Old Style"/>
          <w:sz w:val="24"/>
          <w:szCs w:val="24"/>
        </w:rPr>
        <w:t xml:space="preserve"> y </w:t>
      </w:r>
      <w:r w:rsidR="00951000">
        <w:rPr>
          <w:rFonts w:ascii="Bookman Old Style" w:hAnsi="Bookman Old Style"/>
          <w:sz w:val="24"/>
          <w:szCs w:val="24"/>
        </w:rPr>
        <w:t>en las redes de</w:t>
      </w:r>
      <w:r w:rsidR="007F7DE0" w:rsidRPr="0067070C">
        <w:rPr>
          <w:rFonts w:ascii="Bookman Old Style" w:hAnsi="Bookman Old Style"/>
          <w:sz w:val="24"/>
          <w:szCs w:val="24"/>
        </w:rPr>
        <w:t xml:space="preserve"> distribuidor</w:t>
      </w:r>
      <w:r w:rsidR="00951000">
        <w:rPr>
          <w:rFonts w:ascii="Bookman Old Style" w:hAnsi="Bookman Old Style"/>
          <w:sz w:val="24"/>
          <w:szCs w:val="24"/>
        </w:rPr>
        <w:t xml:space="preserve">es </w:t>
      </w:r>
      <w:r w:rsidR="007F7DE0" w:rsidRPr="0067070C">
        <w:rPr>
          <w:rFonts w:ascii="Bookman Old Style" w:hAnsi="Bookman Old Style"/>
          <w:sz w:val="24"/>
          <w:szCs w:val="24"/>
        </w:rPr>
        <w:t>secundario</w:t>
      </w:r>
      <w:r w:rsidR="00951000">
        <w:rPr>
          <w:rFonts w:ascii="Bookman Old Style" w:hAnsi="Bookman Old Style"/>
          <w:sz w:val="24"/>
          <w:szCs w:val="24"/>
        </w:rPr>
        <w:t>s</w:t>
      </w:r>
      <w:r w:rsidR="00A55749">
        <w:rPr>
          <w:rFonts w:ascii="Bookman Old Style" w:hAnsi="Bookman Old Style"/>
          <w:sz w:val="24"/>
          <w:szCs w:val="24"/>
        </w:rPr>
        <w:t>,</w:t>
      </w:r>
      <w:r w:rsidR="00A55749" w:rsidRPr="00AD0A36">
        <w:rPr>
          <w:rFonts w:ascii="Bookman Old Style" w:hAnsi="Bookman Old Style"/>
          <w:sz w:val="24"/>
          <w:szCs w:val="24"/>
        </w:rPr>
        <w:t xml:space="preserve"> que transan directamente en el mercado mayorista de gas</w:t>
      </w:r>
      <w:r w:rsidR="006D4D53" w:rsidRPr="0067070C">
        <w:rPr>
          <w:rFonts w:ascii="Bookman Old Style" w:hAnsi="Bookman Old Style"/>
          <w:sz w:val="24"/>
          <w:szCs w:val="24"/>
        </w:rPr>
        <w:t>, desagregado</w:t>
      </w:r>
      <w:r w:rsidR="00951000">
        <w:rPr>
          <w:rFonts w:ascii="Bookman Old Style" w:hAnsi="Bookman Old Style"/>
          <w:sz w:val="24"/>
          <w:szCs w:val="24"/>
        </w:rPr>
        <w:t>s</w:t>
      </w:r>
      <w:r w:rsidR="006D4D53" w:rsidRPr="0067070C">
        <w:rPr>
          <w:rFonts w:ascii="Bookman Old Style" w:hAnsi="Bookman Old Style"/>
          <w:sz w:val="24"/>
          <w:szCs w:val="24"/>
        </w:rPr>
        <w:t xml:space="preserve"> en demanda regulada y demanda no regulada</w:t>
      </w:r>
      <w:r w:rsidR="00951000">
        <w:rPr>
          <w:rFonts w:ascii="Bookman Old Style" w:hAnsi="Bookman Old Style"/>
          <w:sz w:val="24"/>
          <w:szCs w:val="24"/>
        </w:rPr>
        <w:t xml:space="preserve">; </w:t>
      </w:r>
      <w:r w:rsidR="00A4248D">
        <w:rPr>
          <w:rFonts w:ascii="Bookman Old Style" w:hAnsi="Bookman Old Style"/>
          <w:sz w:val="24"/>
          <w:szCs w:val="24"/>
        </w:rPr>
        <w:t xml:space="preserve">iii) </w:t>
      </w:r>
      <w:r w:rsidR="00961C90">
        <w:rPr>
          <w:rFonts w:ascii="Bookman Old Style" w:hAnsi="Bookman Old Style"/>
          <w:sz w:val="24"/>
          <w:szCs w:val="24"/>
        </w:rPr>
        <w:t xml:space="preserve">el volumen total registrado en la estación de transferencia de custodia de distribución; iv) </w:t>
      </w:r>
      <w:r w:rsidR="008673EE">
        <w:rPr>
          <w:rFonts w:ascii="Bookman Old Style" w:hAnsi="Bookman Old Style" w:cs="Arial"/>
          <w:sz w:val="24"/>
          <w:szCs w:val="24"/>
          <w:lang w:val="es-ES_tradnl"/>
        </w:rPr>
        <w:t>los volúmenes de gas consumidos por los usuarios regulados y no regulados atendidos po</w:t>
      </w:r>
      <w:r w:rsidR="00961C90">
        <w:rPr>
          <w:rFonts w:ascii="Bookman Old Style" w:hAnsi="Bookman Old Style" w:cs="Arial"/>
          <w:sz w:val="24"/>
          <w:szCs w:val="24"/>
          <w:lang w:val="es-ES_tradnl"/>
        </w:rPr>
        <w:t xml:space="preserve">r el distribuidor principal; y </w:t>
      </w:r>
      <w:r w:rsidR="008673EE">
        <w:rPr>
          <w:rFonts w:ascii="Bookman Old Style" w:hAnsi="Bookman Old Style" w:cs="Arial"/>
          <w:sz w:val="24"/>
          <w:szCs w:val="24"/>
          <w:lang w:val="es-ES_tradnl"/>
        </w:rPr>
        <w:t>v)</w:t>
      </w:r>
      <w:r w:rsidR="008673EE" w:rsidRPr="008673EE" w:rsidDel="00A4248D">
        <w:rPr>
          <w:rFonts w:ascii="Bookman Old Style" w:hAnsi="Bookman Old Style"/>
          <w:sz w:val="24"/>
          <w:szCs w:val="24"/>
        </w:rPr>
        <w:t xml:space="preserve"> </w:t>
      </w:r>
      <w:r w:rsidR="009B18CE" w:rsidRPr="0067070C">
        <w:rPr>
          <w:rFonts w:ascii="Bookman Old Style" w:hAnsi="Bookman Old Style"/>
          <w:sz w:val="24"/>
          <w:szCs w:val="24"/>
        </w:rPr>
        <w:t>el punto de salida donde nomina el gas</w:t>
      </w:r>
      <w:r w:rsidR="00951000">
        <w:rPr>
          <w:rFonts w:ascii="Bookman Old Style" w:hAnsi="Bookman Old Style"/>
          <w:sz w:val="24"/>
          <w:szCs w:val="24"/>
        </w:rPr>
        <w:t xml:space="preserve"> cada remitente</w:t>
      </w:r>
      <w:r w:rsidR="009B18CE" w:rsidRPr="0067070C">
        <w:rPr>
          <w:rFonts w:ascii="Bookman Old Style" w:hAnsi="Bookman Old Style"/>
          <w:sz w:val="24"/>
          <w:szCs w:val="24"/>
        </w:rPr>
        <w:t>.</w:t>
      </w:r>
      <w:r w:rsidR="00951000">
        <w:rPr>
          <w:rFonts w:ascii="Bookman Old Style" w:hAnsi="Bookman Old Style"/>
          <w:sz w:val="24"/>
          <w:szCs w:val="24"/>
        </w:rPr>
        <w:t xml:space="preserve"> </w:t>
      </w:r>
    </w:p>
    <w:p w:rsidR="00951000" w:rsidRPr="0067070C" w:rsidRDefault="00951000" w:rsidP="0067070C">
      <w:pPr>
        <w:ind w:left="0"/>
        <w:rPr>
          <w:rFonts w:ascii="Bookman Old Style" w:hAnsi="Bookman Old Style"/>
          <w:lang w:val="es-CO"/>
        </w:rPr>
      </w:pPr>
    </w:p>
    <w:p w:rsidR="00A4248D" w:rsidRDefault="00A4248D" w:rsidP="00A4248D">
      <w:pPr>
        <w:pStyle w:val="Prrafodelista"/>
        <w:ind w:left="284"/>
        <w:contextualSpacing/>
        <w:jc w:val="both"/>
        <w:rPr>
          <w:rFonts w:ascii="Bookman Old Style" w:hAnsi="Bookman Old Style"/>
          <w:sz w:val="24"/>
          <w:szCs w:val="24"/>
        </w:rPr>
      </w:pPr>
      <w:r>
        <w:rPr>
          <w:rFonts w:ascii="Bookman Old Style" w:hAnsi="Bookman Old Style" w:cs="Arial"/>
          <w:sz w:val="24"/>
          <w:szCs w:val="24"/>
          <w:lang w:val="es-ES_tradnl"/>
        </w:rPr>
        <w:t xml:space="preserve">Los volúmenes reportados por el distribuidor principal al transportador deberán estar expresados en KPC, referidos a la estación de puerta de ciudad con base en </w:t>
      </w:r>
      <w:r w:rsidRPr="00FB138D">
        <w:rPr>
          <w:rFonts w:ascii="Bookman Old Style" w:hAnsi="Bookman Old Style"/>
          <w:sz w:val="24"/>
          <w:szCs w:val="24"/>
        </w:rPr>
        <w:t xml:space="preserve">el porcentaje de pérdidas en el sistema de distribución </w:t>
      </w:r>
      <w:r>
        <w:rPr>
          <w:rFonts w:ascii="Bookman Old Style" w:hAnsi="Bookman Old Style"/>
          <w:sz w:val="24"/>
          <w:szCs w:val="24"/>
        </w:rPr>
        <w:t xml:space="preserve">principal </w:t>
      </w:r>
      <w:r w:rsidRPr="00FB138D">
        <w:rPr>
          <w:rFonts w:ascii="Bookman Old Style" w:hAnsi="Bookman Old Style"/>
          <w:sz w:val="24"/>
          <w:szCs w:val="24"/>
        </w:rPr>
        <w:t xml:space="preserve">aplicable en el mes </w:t>
      </w:r>
      <w:r w:rsidRPr="00ED5AF2">
        <w:rPr>
          <w:rFonts w:ascii="Bookman Old Style" w:hAnsi="Bookman Old Style"/>
          <w:sz w:val="24"/>
          <w:szCs w:val="24"/>
        </w:rPr>
        <w:t>m</w:t>
      </w:r>
      <w:r w:rsidRPr="00FB138D">
        <w:rPr>
          <w:rFonts w:ascii="Bookman Old Style" w:hAnsi="Bookman Old Style"/>
          <w:sz w:val="24"/>
          <w:szCs w:val="24"/>
        </w:rPr>
        <w:t xml:space="preserve"> de facturación según lo establecido en la Resolución CREG </w:t>
      </w:r>
      <w:r>
        <w:rPr>
          <w:rFonts w:ascii="Bookman Old Style" w:hAnsi="Bookman Old Style"/>
          <w:sz w:val="24"/>
          <w:szCs w:val="24"/>
        </w:rPr>
        <w:t>033</w:t>
      </w:r>
      <w:r w:rsidRPr="00FB138D">
        <w:rPr>
          <w:rFonts w:ascii="Bookman Old Style" w:hAnsi="Bookman Old Style"/>
          <w:sz w:val="24"/>
          <w:szCs w:val="24"/>
        </w:rPr>
        <w:t xml:space="preserve"> de 201</w:t>
      </w:r>
      <w:r>
        <w:rPr>
          <w:rFonts w:ascii="Bookman Old Style" w:hAnsi="Bookman Old Style"/>
          <w:sz w:val="24"/>
          <w:szCs w:val="24"/>
        </w:rPr>
        <w:t>5</w:t>
      </w:r>
      <w:r w:rsidRPr="00FB138D">
        <w:rPr>
          <w:rFonts w:ascii="Bookman Old Style" w:hAnsi="Bookman Old Style"/>
          <w:sz w:val="24"/>
          <w:szCs w:val="24"/>
        </w:rPr>
        <w:t xml:space="preserve"> o aquellas que la modifiquen</w:t>
      </w:r>
      <w:r>
        <w:rPr>
          <w:rFonts w:ascii="Bookman Old Style" w:hAnsi="Bookman Old Style"/>
          <w:sz w:val="24"/>
          <w:szCs w:val="24"/>
        </w:rPr>
        <w:t xml:space="preserve"> </w:t>
      </w:r>
      <w:r w:rsidRPr="00FB138D">
        <w:rPr>
          <w:rFonts w:ascii="Bookman Old Style" w:hAnsi="Bookman Old Style"/>
          <w:sz w:val="24"/>
          <w:szCs w:val="24"/>
        </w:rPr>
        <w:t>o sustituyan.</w:t>
      </w:r>
    </w:p>
    <w:p w:rsidR="00A4248D" w:rsidRDefault="00A4248D" w:rsidP="0067070C">
      <w:pPr>
        <w:ind w:left="0"/>
        <w:rPr>
          <w:rFonts w:ascii="Bookman Old Style" w:hAnsi="Bookman Old Style"/>
        </w:rPr>
      </w:pPr>
    </w:p>
    <w:p w:rsidR="009142A4" w:rsidRDefault="009142A4" w:rsidP="008673EE">
      <w:pPr>
        <w:pStyle w:val="Prrafodelista"/>
        <w:ind w:left="270"/>
        <w:contextualSpacing/>
        <w:jc w:val="both"/>
        <w:rPr>
          <w:rFonts w:ascii="Bookman Old Style" w:hAnsi="Bookman Old Style"/>
          <w:sz w:val="24"/>
          <w:szCs w:val="24"/>
        </w:rPr>
      </w:pPr>
    </w:p>
    <w:p w:rsidR="008673EE" w:rsidRPr="006D0AAC" w:rsidRDefault="008673EE" w:rsidP="008673EE">
      <w:pPr>
        <w:pStyle w:val="Prrafodelista"/>
        <w:ind w:left="270"/>
        <w:contextualSpacing/>
        <w:jc w:val="both"/>
        <w:rPr>
          <w:rFonts w:ascii="Bookman Old Style" w:hAnsi="Bookman Old Style"/>
          <w:sz w:val="24"/>
          <w:szCs w:val="24"/>
        </w:rPr>
      </w:pPr>
      <w:r>
        <w:rPr>
          <w:rFonts w:ascii="Bookman Old Style" w:hAnsi="Bookman Old Style"/>
          <w:sz w:val="24"/>
          <w:szCs w:val="24"/>
        </w:rPr>
        <w:t xml:space="preserve">Para obtener los volúmenes </w:t>
      </w:r>
      <w:r w:rsidR="00A55749">
        <w:rPr>
          <w:rFonts w:ascii="Bookman Old Style" w:hAnsi="Bookman Old Style"/>
          <w:sz w:val="24"/>
          <w:szCs w:val="24"/>
        </w:rPr>
        <w:t xml:space="preserve">consumidos por </w:t>
      </w:r>
      <w:r>
        <w:rPr>
          <w:rFonts w:ascii="Bookman Old Style" w:hAnsi="Bookman Old Style"/>
          <w:sz w:val="24"/>
          <w:szCs w:val="24"/>
        </w:rPr>
        <w:t>la demanda regulada atendida por el distribuidor principal, éste procederá así</w:t>
      </w:r>
      <w:r w:rsidRPr="006D0AAC">
        <w:rPr>
          <w:rFonts w:ascii="Bookman Old Style" w:hAnsi="Bookman Old Style"/>
          <w:sz w:val="24"/>
          <w:szCs w:val="24"/>
        </w:rPr>
        <w:t>:</w:t>
      </w:r>
    </w:p>
    <w:p w:rsidR="008673EE" w:rsidRPr="00AD0A36" w:rsidRDefault="008673EE" w:rsidP="008673EE">
      <w:pPr>
        <w:pStyle w:val="Prrafodelista"/>
        <w:ind w:left="851"/>
        <w:jc w:val="both"/>
        <w:rPr>
          <w:rFonts w:ascii="Bookman Old Style" w:hAnsi="Bookman Old Style"/>
          <w:sz w:val="24"/>
          <w:szCs w:val="24"/>
        </w:rPr>
      </w:pPr>
    </w:p>
    <w:p w:rsidR="008673EE" w:rsidRPr="006D0AAC" w:rsidRDefault="008673EE" w:rsidP="008673EE">
      <w:pPr>
        <w:pStyle w:val="Prrafodelista"/>
        <w:numPr>
          <w:ilvl w:val="0"/>
          <w:numId w:val="19"/>
        </w:numPr>
        <w:jc w:val="both"/>
        <w:rPr>
          <w:rFonts w:ascii="Bookman Old Style" w:hAnsi="Bookman Old Style"/>
          <w:sz w:val="24"/>
          <w:szCs w:val="24"/>
        </w:rPr>
      </w:pPr>
      <w:r w:rsidRPr="00AD0A36">
        <w:rPr>
          <w:rFonts w:ascii="Bookman Old Style" w:hAnsi="Bookman Old Style"/>
          <w:sz w:val="24"/>
          <w:szCs w:val="24"/>
        </w:rPr>
        <w:t xml:space="preserve">Determinar </w:t>
      </w:r>
      <w:r>
        <w:rPr>
          <w:rFonts w:ascii="Bookman Old Style" w:hAnsi="Bookman Old Style"/>
          <w:sz w:val="24"/>
          <w:szCs w:val="24"/>
        </w:rPr>
        <w:t>los</w:t>
      </w:r>
      <w:r w:rsidRPr="006D0AAC">
        <w:rPr>
          <w:rFonts w:ascii="Bookman Old Style" w:hAnsi="Bookman Old Style"/>
          <w:sz w:val="24"/>
          <w:szCs w:val="24"/>
        </w:rPr>
        <w:t xml:space="preserve"> vol</w:t>
      </w:r>
      <w:r>
        <w:rPr>
          <w:rFonts w:ascii="Bookman Old Style" w:hAnsi="Bookman Old Style"/>
          <w:sz w:val="24"/>
          <w:szCs w:val="24"/>
        </w:rPr>
        <w:t>ú</w:t>
      </w:r>
      <w:r w:rsidRPr="006D0AAC">
        <w:rPr>
          <w:rFonts w:ascii="Bookman Old Style" w:hAnsi="Bookman Old Style"/>
          <w:sz w:val="24"/>
          <w:szCs w:val="24"/>
        </w:rPr>
        <w:t>men</w:t>
      </w:r>
      <w:r>
        <w:rPr>
          <w:rFonts w:ascii="Bookman Old Style" w:hAnsi="Bookman Old Style"/>
          <w:sz w:val="24"/>
          <w:szCs w:val="24"/>
        </w:rPr>
        <w:t xml:space="preserve">es de gas consumidos por todos los </w:t>
      </w:r>
      <w:r w:rsidRPr="006D0AAC">
        <w:rPr>
          <w:rFonts w:ascii="Bookman Old Style" w:hAnsi="Bookman Old Style"/>
          <w:sz w:val="24"/>
          <w:szCs w:val="24"/>
        </w:rPr>
        <w:t xml:space="preserve"> comercializador</w:t>
      </w:r>
      <w:r>
        <w:rPr>
          <w:rFonts w:ascii="Bookman Old Style" w:hAnsi="Bookman Old Style"/>
          <w:sz w:val="24"/>
          <w:szCs w:val="24"/>
        </w:rPr>
        <w:t>es, todos los</w:t>
      </w:r>
      <w:r w:rsidRPr="006D0AAC">
        <w:rPr>
          <w:rFonts w:ascii="Bookman Old Style" w:hAnsi="Bookman Old Style"/>
          <w:sz w:val="24"/>
          <w:szCs w:val="24"/>
        </w:rPr>
        <w:t xml:space="preserve"> usuario</w:t>
      </w:r>
      <w:r>
        <w:rPr>
          <w:rFonts w:ascii="Bookman Old Style" w:hAnsi="Bookman Old Style"/>
          <w:sz w:val="24"/>
          <w:szCs w:val="24"/>
        </w:rPr>
        <w:t>s</w:t>
      </w:r>
      <w:r w:rsidRPr="006D0AAC">
        <w:rPr>
          <w:rFonts w:ascii="Bookman Old Style" w:hAnsi="Bookman Old Style"/>
          <w:sz w:val="24"/>
          <w:szCs w:val="24"/>
        </w:rPr>
        <w:t xml:space="preserve"> no regulado</w:t>
      </w:r>
      <w:r>
        <w:rPr>
          <w:rFonts w:ascii="Bookman Old Style" w:hAnsi="Bookman Old Style"/>
          <w:sz w:val="24"/>
          <w:szCs w:val="24"/>
        </w:rPr>
        <w:t>s</w:t>
      </w:r>
      <w:r w:rsidRPr="006D0AAC">
        <w:rPr>
          <w:rFonts w:ascii="Bookman Old Style" w:hAnsi="Bookman Old Style"/>
          <w:sz w:val="24"/>
          <w:szCs w:val="24"/>
        </w:rPr>
        <w:t xml:space="preserve"> embebido</w:t>
      </w:r>
      <w:r>
        <w:rPr>
          <w:rFonts w:ascii="Bookman Old Style" w:hAnsi="Bookman Old Style"/>
          <w:sz w:val="24"/>
          <w:szCs w:val="24"/>
        </w:rPr>
        <w:t>s</w:t>
      </w:r>
      <w:r w:rsidRPr="006D0AAC">
        <w:rPr>
          <w:rFonts w:ascii="Bookman Old Style" w:hAnsi="Bookman Old Style"/>
          <w:sz w:val="24"/>
          <w:szCs w:val="24"/>
        </w:rPr>
        <w:t xml:space="preserve"> en su red</w:t>
      </w:r>
      <w:r w:rsidR="0064454C">
        <w:rPr>
          <w:rFonts w:ascii="Bookman Old Style" w:hAnsi="Bookman Old Style"/>
          <w:sz w:val="24"/>
          <w:szCs w:val="24"/>
        </w:rPr>
        <w:t>,</w:t>
      </w:r>
      <w:r w:rsidR="0064454C" w:rsidRPr="0064454C">
        <w:rPr>
          <w:rFonts w:ascii="Bookman Old Style" w:hAnsi="Bookman Old Style" w:cs="Arial"/>
          <w:sz w:val="24"/>
          <w:szCs w:val="24"/>
          <w:lang w:val="es-ES_tradnl"/>
        </w:rPr>
        <w:t xml:space="preserve"> </w:t>
      </w:r>
      <w:r w:rsidR="0064454C">
        <w:rPr>
          <w:rFonts w:ascii="Bookman Old Style" w:hAnsi="Bookman Old Style" w:cs="Arial"/>
          <w:sz w:val="24"/>
          <w:szCs w:val="24"/>
          <w:lang w:val="es-ES_tradnl"/>
        </w:rPr>
        <w:t>que nominan directamente al transportador en los respectivos puntos de salida,</w:t>
      </w:r>
      <w:r>
        <w:rPr>
          <w:rFonts w:ascii="Bookman Old Style" w:hAnsi="Bookman Old Style"/>
          <w:sz w:val="24"/>
          <w:szCs w:val="24"/>
        </w:rPr>
        <w:t xml:space="preserve"> y los volúmenes registrados en la estación de transferencia de custodia de distribución</w:t>
      </w:r>
      <w:r w:rsidRPr="006D0AAC">
        <w:rPr>
          <w:rFonts w:ascii="Bookman Old Style" w:hAnsi="Bookman Old Style"/>
          <w:sz w:val="24"/>
          <w:szCs w:val="24"/>
        </w:rPr>
        <w:t xml:space="preserve">. </w:t>
      </w:r>
    </w:p>
    <w:p w:rsidR="008673EE" w:rsidRPr="00AD0A36" w:rsidRDefault="008673EE" w:rsidP="008673EE">
      <w:pPr>
        <w:pStyle w:val="Prrafodelista"/>
        <w:rPr>
          <w:rFonts w:ascii="Bookman Old Style" w:hAnsi="Bookman Old Style"/>
          <w:sz w:val="24"/>
          <w:szCs w:val="24"/>
        </w:rPr>
      </w:pPr>
    </w:p>
    <w:p w:rsidR="008673EE" w:rsidRPr="00AD0A36" w:rsidRDefault="008673EE" w:rsidP="008673EE">
      <w:pPr>
        <w:pStyle w:val="Prrafodelista"/>
        <w:numPr>
          <w:ilvl w:val="0"/>
          <w:numId w:val="19"/>
        </w:numPr>
        <w:ind w:left="993" w:hanging="426"/>
        <w:jc w:val="both"/>
        <w:rPr>
          <w:rFonts w:ascii="Bookman Old Style" w:hAnsi="Bookman Old Style"/>
          <w:sz w:val="24"/>
          <w:szCs w:val="24"/>
        </w:rPr>
      </w:pPr>
      <w:r w:rsidRPr="00AD0A36">
        <w:rPr>
          <w:rFonts w:ascii="Bookman Old Style" w:hAnsi="Bookman Old Style"/>
          <w:sz w:val="24"/>
          <w:szCs w:val="24"/>
        </w:rPr>
        <w:t xml:space="preserve">Calcular los volúmenes de gas tomados por el distribuidor </w:t>
      </w:r>
      <w:r>
        <w:rPr>
          <w:rFonts w:ascii="Bookman Old Style" w:hAnsi="Bookman Old Style"/>
          <w:sz w:val="24"/>
          <w:szCs w:val="24"/>
        </w:rPr>
        <w:t>principal</w:t>
      </w:r>
      <w:r w:rsidRPr="00AD0A36">
        <w:rPr>
          <w:rFonts w:ascii="Bookman Old Style" w:hAnsi="Bookman Old Style"/>
          <w:sz w:val="24"/>
          <w:szCs w:val="24"/>
        </w:rPr>
        <w:t xml:space="preserve"> </w:t>
      </w:r>
      <w:r>
        <w:rPr>
          <w:rFonts w:ascii="Bookman Old Style" w:hAnsi="Bookman Old Style"/>
          <w:sz w:val="24"/>
          <w:szCs w:val="24"/>
        </w:rPr>
        <w:t xml:space="preserve">para su demanda regulada </w:t>
      </w:r>
      <w:r w:rsidRPr="006D0AAC">
        <w:rPr>
          <w:rFonts w:ascii="Bookman Old Style" w:hAnsi="Bookman Old Style"/>
          <w:sz w:val="24"/>
          <w:szCs w:val="24"/>
        </w:rPr>
        <w:t xml:space="preserve">como la diferencia entre el volumen de gas medido en la estación </w:t>
      </w:r>
      <w:r>
        <w:rPr>
          <w:rFonts w:ascii="Bookman Old Style" w:hAnsi="Bookman Old Style"/>
          <w:sz w:val="24"/>
          <w:szCs w:val="24"/>
        </w:rPr>
        <w:t xml:space="preserve">de puerta de ciudad </w:t>
      </w:r>
      <w:r w:rsidRPr="006D0AAC">
        <w:rPr>
          <w:rFonts w:ascii="Bookman Old Style" w:hAnsi="Bookman Old Style"/>
          <w:sz w:val="24"/>
          <w:szCs w:val="24"/>
        </w:rPr>
        <w:t xml:space="preserve">y los volúmenes </w:t>
      </w:r>
      <w:r>
        <w:rPr>
          <w:rFonts w:ascii="Bookman Old Style" w:hAnsi="Bookman Old Style"/>
          <w:sz w:val="24"/>
          <w:szCs w:val="24"/>
        </w:rPr>
        <w:t>de gas determinados en el literal anterior</w:t>
      </w:r>
      <w:r w:rsidR="00790E57" w:rsidRPr="00790E57">
        <w:rPr>
          <w:rFonts w:ascii="Bookman Old Style" w:hAnsi="Bookman Old Style"/>
          <w:sz w:val="24"/>
          <w:szCs w:val="24"/>
        </w:rPr>
        <w:t xml:space="preserve"> </w:t>
      </w:r>
      <w:r w:rsidR="00790E57">
        <w:rPr>
          <w:rFonts w:ascii="Bookman Old Style" w:hAnsi="Bookman Old Style"/>
          <w:sz w:val="24"/>
          <w:szCs w:val="24"/>
        </w:rPr>
        <w:t>y los volúmenes de gas de la demanda no regulada atendida por el distribuidor principal</w:t>
      </w:r>
      <w:r w:rsidRPr="008673EE">
        <w:rPr>
          <w:rFonts w:ascii="Bookman Old Style" w:hAnsi="Bookman Old Style"/>
          <w:sz w:val="24"/>
          <w:szCs w:val="24"/>
        </w:rPr>
        <w:t>.</w:t>
      </w:r>
    </w:p>
    <w:p w:rsidR="00A20F3F" w:rsidRDefault="00A20F3F" w:rsidP="0067070C">
      <w:pPr>
        <w:ind w:left="0"/>
        <w:rPr>
          <w:rFonts w:ascii="Bookman Old Style" w:hAnsi="Bookman Old Style"/>
          <w:lang w:val="es-CO"/>
        </w:rPr>
      </w:pPr>
    </w:p>
    <w:p w:rsidR="00544348" w:rsidRDefault="00544348" w:rsidP="00224C13">
      <w:pPr>
        <w:pStyle w:val="Prrafodelista"/>
        <w:ind w:left="284"/>
        <w:jc w:val="both"/>
        <w:rPr>
          <w:rFonts w:ascii="Bookman Old Style" w:hAnsi="Bookman Old Style"/>
          <w:sz w:val="24"/>
          <w:szCs w:val="24"/>
        </w:rPr>
      </w:pPr>
      <w:r>
        <w:rPr>
          <w:rFonts w:ascii="Bookman Old Style" w:hAnsi="Bookman Old Style"/>
          <w:sz w:val="24"/>
          <w:szCs w:val="24"/>
        </w:rPr>
        <w:t>El distribuidor principal deberá publicar la información concerniente a los volúmenes totales de la demanda regulada y no regulada de su red de distribución en su página web.</w:t>
      </w:r>
    </w:p>
    <w:p w:rsidR="00544348" w:rsidRDefault="00544348" w:rsidP="00224C13">
      <w:pPr>
        <w:pStyle w:val="Prrafodelista"/>
        <w:ind w:left="284"/>
        <w:jc w:val="both"/>
        <w:rPr>
          <w:rFonts w:ascii="Bookman Old Style" w:hAnsi="Bookman Old Style"/>
          <w:sz w:val="24"/>
          <w:szCs w:val="24"/>
        </w:rPr>
      </w:pPr>
    </w:p>
    <w:p w:rsidR="00224C13" w:rsidRDefault="00224C13" w:rsidP="00224C13">
      <w:pPr>
        <w:pStyle w:val="Prrafodelista"/>
        <w:ind w:left="284"/>
        <w:jc w:val="both"/>
        <w:rPr>
          <w:rFonts w:ascii="Bookman Old Style" w:hAnsi="Bookman Old Style" w:cs="Arial"/>
          <w:sz w:val="24"/>
          <w:szCs w:val="24"/>
          <w:lang w:val="es-ES_tradnl"/>
        </w:rPr>
      </w:pPr>
      <w:r w:rsidRPr="00377B25">
        <w:rPr>
          <w:rFonts w:ascii="Bookman Old Style" w:hAnsi="Bookman Old Style" w:cs="Arial"/>
          <w:sz w:val="24"/>
          <w:szCs w:val="24"/>
          <w:lang w:val="es-ES_tradnl"/>
        </w:rPr>
        <w:t xml:space="preserve">En caso de que </w:t>
      </w:r>
      <w:r>
        <w:rPr>
          <w:rFonts w:ascii="Bookman Old Style" w:hAnsi="Bookman Old Style" w:cs="Arial"/>
          <w:sz w:val="24"/>
          <w:szCs w:val="24"/>
          <w:lang w:val="es-ES_tradnl"/>
        </w:rPr>
        <w:t>un</w:t>
      </w:r>
      <w:r w:rsidR="007225B1">
        <w:rPr>
          <w:rFonts w:ascii="Bookman Old Style" w:hAnsi="Bookman Old Style" w:cs="Arial"/>
          <w:sz w:val="24"/>
          <w:szCs w:val="24"/>
          <w:lang w:val="es-ES_tradnl"/>
        </w:rPr>
        <w:t xml:space="preserve"> usuario </w:t>
      </w:r>
      <w:r w:rsidR="005973B4">
        <w:rPr>
          <w:rFonts w:ascii="Bookman Old Style" w:hAnsi="Bookman Old Style" w:cs="Arial"/>
          <w:sz w:val="24"/>
          <w:szCs w:val="24"/>
          <w:lang w:val="es-ES_tradnl"/>
        </w:rPr>
        <w:t xml:space="preserve">no regulado </w:t>
      </w:r>
      <w:r w:rsidR="007225B1">
        <w:rPr>
          <w:rFonts w:ascii="Bookman Old Style" w:hAnsi="Bookman Old Style" w:cs="Arial"/>
          <w:sz w:val="24"/>
          <w:szCs w:val="24"/>
          <w:lang w:val="es-ES_tradnl"/>
        </w:rPr>
        <w:t>y/o un comercializador</w:t>
      </w:r>
      <w:r w:rsidRPr="00377B25">
        <w:rPr>
          <w:rFonts w:ascii="Bookman Old Style" w:hAnsi="Bookman Old Style" w:cs="Arial"/>
          <w:sz w:val="24"/>
          <w:szCs w:val="24"/>
          <w:lang w:val="es-ES_tradnl"/>
        </w:rPr>
        <w:t xml:space="preserve"> no sea el responsable de la nominación ante el transportador, est</w:t>
      </w:r>
      <w:r w:rsidR="007225B1">
        <w:rPr>
          <w:rFonts w:ascii="Bookman Old Style" w:hAnsi="Bookman Old Style" w:cs="Arial"/>
          <w:sz w:val="24"/>
          <w:szCs w:val="24"/>
          <w:lang w:val="es-ES_tradnl"/>
        </w:rPr>
        <w:t>os</w:t>
      </w:r>
      <w:r w:rsidRPr="00377B25">
        <w:rPr>
          <w:rFonts w:ascii="Bookman Old Style" w:hAnsi="Bookman Old Style" w:cs="Arial"/>
          <w:sz w:val="24"/>
          <w:szCs w:val="24"/>
          <w:lang w:val="es-ES_tradnl"/>
        </w:rPr>
        <w:t xml:space="preserve"> </w:t>
      </w:r>
      <w:r w:rsidR="00035F77">
        <w:rPr>
          <w:rFonts w:ascii="Bookman Old Style" w:hAnsi="Bookman Old Style" w:cs="Arial"/>
          <w:sz w:val="24"/>
          <w:szCs w:val="24"/>
          <w:lang w:val="es-ES_tradnl"/>
        </w:rPr>
        <w:t xml:space="preserve">participantes del mercado </w:t>
      </w:r>
      <w:r w:rsidRPr="00377B25">
        <w:rPr>
          <w:rFonts w:ascii="Bookman Old Style" w:hAnsi="Bookman Old Style" w:cs="Arial"/>
          <w:sz w:val="24"/>
          <w:szCs w:val="24"/>
          <w:lang w:val="es-ES_tradnl"/>
        </w:rPr>
        <w:t>deberá</w:t>
      </w:r>
      <w:r w:rsidR="007225B1">
        <w:rPr>
          <w:rFonts w:ascii="Bookman Old Style" w:hAnsi="Bookman Old Style" w:cs="Arial"/>
          <w:sz w:val="24"/>
          <w:szCs w:val="24"/>
          <w:lang w:val="es-ES_tradnl"/>
        </w:rPr>
        <w:t>n</w:t>
      </w:r>
      <w:r>
        <w:rPr>
          <w:rFonts w:ascii="Bookman Old Style" w:hAnsi="Bookman Old Style" w:cs="Arial"/>
          <w:sz w:val="24"/>
          <w:szCs w:val="24"/>
          <w:lang w:val="es-ES_tradnl"/>
        </w:rPr>
        <w:t>:</w:t>
      </w:r>
    </w:p>
    <w:p w:rsidR="00224C13" w:rsidRDefault="00224C13" w:rsidP="00224C13">
      <w:pPr>
        <w:pStyle w:val="Prrafodelista"/>
        <w:ind w:left="284"/>
        <w:jc w:val="both"/>
        <w:rPr>
          <w:rFonts w:ascii="Bookman Old Style" w:hAnsi="Bookman Old Style" w:cs="Arial"/>
          <w:sz w:val="24"/>
          <w:szCs w:val="24"/>
          <w:lang w:val="es-ES_tradnl"/>
        </w:rPr>
      </w:pPr>
    </w:p>
    <w:p w:rsidR="00224C13" w:rsidRDefault="00224C13" w:rsidP="00224C13">
      <w:pPr>
        <w:pStyle w:val="Prrafodelista"/>
        <w:numPr>
          <w:ilvl w:val="0"/>
          <w:numId w:val="9"/>
        </w:numPr>
        <w:jc w:val="both"/>
        <w:rPr>
          <w:rFonts w:ascii="Bookman Old Style" w:hAnsi="Bookman Old Style" w:cs="Arial"/>
          <w:sz w:val="24"/>
          <w:szCs w:val="24"/>
          <w:lang w:val="es-ES_tradnl"/>
        </w:rPr>
      </w:pPr>
      <w:r>
        <w:rPr>
          <w:rFonts w:ascii="Bookman Old Style" w:hAnsi="Bookman Old Style" w:cs="Arial"/>
          <w:sz w:val="24"/>
          <w:szCs w:val="24"/>
          <w:lang w:val="es-ES_tradnl"/>
        </w:rPr>
        <w:t>I</w:t>
      </w:r>
      <w:r w:rsidRPr="00377B25">
        <w:rPr>
          <w:rFonts w:ascii="Bookman Old Style" w:hAnsi="Bookman Old Style" w:cs="Arial"/>
          <w:sz w:val="24"/>
          <w:szCs w:val="24"/>
          <w:lang w:val="es-ES_tradnl"/>
        </w:rPr>
        <w:t>dentificar al participante del mercado responsable de la nominación ant</w:t>
      </w:r>
      <w:r w:rsidR="007225B1">
        <w:rPr>
          <w:rFonts w:ascii="Bookman Old Style" w:hAnsi="Bookman Old Style" w:cs="Arial"/>
          <w:sz w:val="24"/>
          <w:szCs w:val="24"/>
          <w:lang w:val="es-ES_tradnl"/>
        </w:rPr>
        <w:t>e el transportador e informarle</w:t>
      </w:r>
      <w:r w:rsidR="004D569B">
        <w:rPr>
          <w:rFonts w:ascii="Bookman Old Style" w:hAnsi="Bookman Old Style" w:cs="Arial"/>
          <w:sz w:val="24"/>
          <w:szCs w:val="24"/>
          <w:lang w:val="es-ES_tradnl"/>
        </w:rPr>
        <w:t xml:space="preserve"> al</w:t>
      </w:r>
      <w:r w:rsidR="00035F77">
        <w:rPr>
          <w:rFonts w:ascii="Bookman Old Style" w:hAnsi="Bookman Old Style" w:cs="Arial"/>
          <w:sz w:val="24"/>
          <w:szCs w:val="24"/>
          <w:lang w:val="es-ES_tradnl"/>
        </w:rPr>
        <w:t xml:space="preserve"> </w:t>
      </w:r>
      <w:r w:rsidR="00EB0BCA">
        <w:rPr>
          <w:rFonts w:ascii="Bookman Old Style" w:hAnsi="Bookman Old Style" w:cs="Arial"/>
          <w:sz w:val="24"/>
          <w:szCs w:val="24"/>
          <w:lang w:val="es-ES_tradnl"/>
        </w:rPr>
        <w:t>distribuidor principal</w:t>
      </w:r>
      <w:r w:rsidR="00615F81">
        <w:rPr>
          <w:rFonts w:ascii="Bookman Old Style" w:hAnsi="Bookman Old Style" w:cs="Arial"/>
          <w:sz w:val="24"/>
          <w:szCs w:val="24"/>
          <w:lang w:val="es-ES_tradnl"/>
        </w:rPr>
        <w:t xml:space="preserve"> </w:t>
      </w:r>
      <w:r w:rsidR="00FA013B">
        <w:rPr>
          <w:rFonts w:ascii="Bookman Old Style" w:hAnsi="Bookman Old Style" w:cs="Arial"/>
          <w:sz w:val="24"/>
          <w:szCs w:val="24"/>
          <w:lang w:val="es-ES_tradnl"/>
        </w:rPr>
        <w:t>o</w:t>
      </w:r>
      <w:r w:rsidR="00615F81">
        <w:rPr>
          <w:rFonts w:ascii="Bookman Old Style" w:hAnsi="Bookman Old Style" w:cs="Arial"/>
          <w:sz w:val="24"/>
          <w:szCs w:val="24"/>
          <w:lang w:val="es-ES_tradnl"/>
        </w:rPr>
        <w:t xml:space="preserve"> secundario</w:t>
      </w:r>
      <w:r w:rsidR="00607F44">
        <w:rPr>
          <w:rFonts w:ascii="Bookman Old Style" w:hAnsi="Bookman Old Style" w:cs="Arial"/>
          <w:sz w:val="24"/>
          <w:szCs w:val="24"/>
          <w:lang w:val="es-ES_tradnl"/>
        </w:rPr>
        <w:t xml:space="preserve">, </w:t>
      </w:r>
      <w:r w:rsidR="00FA013B">
        <w:rPr>
          <w:rFonts w:ascii="Bookman Old Style" w:hAnsi="Bookman Old Style" w:cs="Arial"/>
          <w:sz w:val="24"/>
          <w:szCs w:val="24"/>
          <w:lang w:val="es-ES_tradnl"/>
        </w:rPr>
        <w:t>según corresponda</w:t>
      </w:r>
      <w:r>
        <w:rPr>
          <w:rFonts w:ascii="Bookman Old Style" w:hAnsi="Bookman Old Style" w:cs="Arial"/>
          <w:sz w:val="24"/>
          <w:szCs w:val="24"/>
          <w:lang w:val="es-ES_tradnl"/>
        </w:rPr>
        <w:t>.</w:t>
      </w:r>
    </w:p>
    <w:p w:rsidR="00224C13" w:rsidRDefault="00224C13" w:rsidP="00224C13">
      <w:pPr>
        <w:pStyle w:val="Prrafodelista"/>
        <w:numPr>
          <w:ilvl w:val="0"/>
          <w:numId w:val="9"/>
        </w:numPr>
        <w:jc w:val="both"/>
        <w:rPr>
          <w:rFonts w:ascii="Bookman Old Style" w:hAnsi="Bookman Old Style" w:cs="Arial"/>
          <w:sz w:val="24"/>
          <w:szCs w:val="24"/>
          <w:lang w:val="es-ES_tradnl"/>
        </w:rPr>
      </w:pPr>
      <w:r>
        <w:rPr>
          <w:rFonts w:ascii="Bookman Old Style" w:hAnsi="Bookman Old Style" w:cs="Arial"/>
          <w:sz w:val="24"/>
          <w:szCs w:val="24"/>
          <w:lang w:val="es-ES_tradnl"/>
        </w:rPr>
        <w:t>C</w:t>
      </w:r>
      <w:r w:rsidRPr="00377B25">
        <w:rPr>
          <w:rFonts w:ascii="Bookman Old Style" w:hAnsi="Bookman Old Style" w:cs="Arial"/>
          <w:sz w:val="24"/>
          <w:szCs w:val="24"/>
          <w:lang w:val="es-ES_tradnl"/>
        </w:rPr>
        <w:t xml:space="preserve">oordinar con el responsable de la nominación para que </w:t>
      </w:r>
      <w:r w:rsidR="00035F77">
        <w:rPr>
          <w:rFonts w:ascii="Bookman Old Style" w:hAnsi="Bookman Old Style" w:cs="Arial"/>
          <w:sz w:val="24"/>
          <w:szCs w:val="24"/>
          <w:lang w:val="es-ES_tradnl"/>
        </w:rPr>
        <w:t>éste</w:t>
      </w:r>
      <w:r w:rsidR="00035F77" w:rsidRPr="00377B25">
        <w:rPr>
          <w:rFonts w:ascii="Bookman Old Style" w:hAnsi="Bookman Old Style" w:cs="Arial"/>
          <w:sz w:val="24"/>
          <w:szCs w:val="24"/>
          <w:lang w:val="es-ES_tradnl"/>
        </w:rPr>
        <w:t xml:space="preserve"> </w:t>
      </w:r>
      <w:r w:rsidR="00035F77">
        <w:rPr>
          <w:rFonts w:ascii="Bookman Old Style" w:hAnsi="Bookman Old Style" w:cs="Arial"/>
          <w:sz w:val="24"/>
          <w:szCs w:val="24"/>
          <w:lang w:val="es-ES_tradnl"/>
        </w:rPr>
        <w:t xml:space="preserve">le </w:t>
      </w:r>
      <w:r w:rsidRPr="00377B25">
        <w:rPr>
          <w:rFonts w:ascii="Bookman Old Style" w:hAnsi="Bookman Old Style" w:cs="Arial"/>
          <w:sz w:val="24"/>
          <w:szCs w:val="24"/>
          <w:lang w:val="es-ES_tradnl"/>
        </w:rPr>
        <w:t xml:space="preserve">informe al </w:t>
      </w:r>
      <w:r w:rsidR="007225B1">
        <w:rPr>
          <w:rFonts w:ascii="Bookman Old Style" w:hAnsi="Bookman Old Style" w:cs="Arial"/>
          <w:sz w:val="24"/>
          <w:szCs w:val="24"/>
          <w:lang w:val="es-ES_tradnl"/>
        </w:rPr>
        <w:t>transportador</w:t>
      </w:r>
      <w:r w:rsidRPr="00377B25">
        <w:rPr>
          <w:rFonts w:ascii="Bookman Old Style" w:hAnsi="Bookman Old Style" w:cs="Arial"/>
          <w:sz w:val="24"/>
          <w:szCs w:val="24"/>
          <w:lang w:val="es-ES_tradnl"/>
        </w:rPr>
        <w:t xml:space="preserve"> que él</w:t>
      </w:r>
      <w:r w:rsidR="00035F77">
        <w:rPr>
          <w:rFonts w:ascii="Bookman Old Style" w:hAnsi="Bookman Old Style" w:cs="Arial"/>
          <w:sz w:val="24"/>
          <w:szCs w:val="24"/>
          <w:lang w:val="es-ES_tradnl"/>
        </w:rPr>
        <w:t>,</w:t>
      </w:r>
      <w:r w:rsidRPr="00377B25">
        <w:rPr>
          <w:rFonts w:ascii="Bookman Old Style" w:hAnsi="Bookman Old Style" w:cs="Arial"/>
          <w:sz w:val="24"/>
          <w:szCs w:val="24"/>
          <w:lang w:val="es-ES_tradnl"/>
        </w:rPr>
        <w:t xml:space="preserve"> </w:t>
      </w:r>
      <w:r w:rsidR="00035F77">
        <w:rPr>
          <w:rFonts w:ascii="Bookman Old Style" w:hAnsi="Bookman Old Style" w:cs="Arial"/>
          <w:sz w:val="24"/>
          <w:szCs w:val="24"/>
          <w:lang w:val="es-ES_tradnl"/>
        </w:rPr>
        <w:t xml:space="preserve">como </w:t>
      </w:r>
      <w:r w:rsidRPr="00377B25">
        <w:rPr>
          <w:rFonts w:ascii="Bookman Old Style" w:hAnsi="Bookman Old Style" w:cs="Arial"/>
          <w:sz w:val="24"/>
          <w:szCs w:val="24"/>
          <w:lang w:val="es-ES_tradnl"/>
        </w:rPr>
        <w:t>responsable de la nominación</w:t>
      </w:r>
      <w:r w:rsidR="00035F77">
        <w:rPr>
          <w:rFonts w:ascii="Bookman Old Style" w:hAnsi="Bookman Old Style" w:cs="Arial"/>
          <w:sz w:val="24"/>
          <w:szCs w:val="24"/>
          <w:lang w:val="es-ES_tradnl"/>
        </w:rPr>
        <w:t>,</w:t>
      </w:r>
      <w:r w:rsidR="00035F77" w:rsidRPr="00377B25">
        <w:rPr>
          <w:rFonts w:ascii="Bookman Old Style" w:hAnsi="Bookman Old Style" w:cs="Arial"/>
          <w:sz w:val="24"/>
          <w:szCs w:val="24"/>
          <w:lang w:val="es-ES_tradnl"/>
        </w:rPr>
        <w:t xml:space="preserve"> </w:t>
      </w:r>
      <w:r w:rsidR="00035F77">
        <w:rPr>
          <w:rFonts w:ascii="Bookman Old Style" w:hAnsi="Bookman Old Style" w:cs="Arial"/>
          <w:sz w:val="24"/>
          <w:szCs w:val="24"/>
          <w:lang w:val="es-ES_tradnl"/>
        </w:rPr>
        <w:t xml:space="preserve">lo(s) </w:t>
      </w:r>
      <w:r w:rsidRPr="00377B25">
        <w:rPr>
          <w:rFonts w:ascii="Bookman Old Style" w:hAnsi="Bookman Old Style" w:cs="Arial"/>
          <w:sz w:val="24"/>
          <w:szCs w:val="24"/>
          <w:lang w:val="es-ES_tradnl"/>
        </w:rPr>
        <w:t>representa</w:t>
      </w:r>
      <w:r w:rsidR="00035F77">
        <w:rPr>
          <w:rFonts w:ascii="Bookman Old Style" w:hAnsi="Bookman Old Style" w:cs="Arial"/>
          <w:sz w:val="24"/>
          <w:szCs w:val="24"/>
          <w:lang w:val="es-ES_tradnl"/>
        </w:rPr>
        <w:t>.</w:t>
      </w:r>
    </w:p>
    <w:p w:rsidR="00224C13" w:rsidRPr="004B480B" w:rsidRDefault="007225B1" w:rsidP="00FB138D">
      <w:pPr>
        <w:pStyle w:val="Prrafodelista"/>
        <w:ind w:left="1004"/>
        <w:jc w:val="both"/>
        <w:rPr>
          <w:rFonts w:ascii="Bookman Old Style" w:hAnsi="Bookman Old Style" w:cs="Arial"/>
          <w:lang w:val="es-ES_tradnl"/>
        </w:rPr>
      </w:pPr>
      <w:r>
        <w:rPr>
          <w:rFonts w:ascii="Bookman Old Style" w:hAnsi="Bookman Old Style" w:cs="Arial"/>
          <w:sz w:val="24"/>
          <w:szCs w:val="24"/>
          <w:lang w:val="es-ES_tradnl"/>
        </w:rPr>
        <w:t xml:space="preserve"> </w:t>
      </w:r>
    </w:p>
    <w:p w:rsidR="00224C13" w:rsidRDefault="00224C13" w:rsidP="00224C13">
      <w:pPr>
        <w:jc w:val="both"/>
        <w:rPr>
          <w:rFonts w:ascii="Bookman Old Style" w:hAnsi="Bookman Old Style"/>
        </w:rPr>
      </w:pPr>
    </w:p>
    <w:p w:rsidR="00224C13" w:rsidRDefault="00224C13" w:rsidP="00224C13">
      <w:pPr>
        <w:jc w:val="both"/>
        <w:rPr>
          <w:rFonts w:ascii="Bookman Old Style" w:hAnsi="Bookman Old Style"/>
        </w:rPr>
      </w:pPr>
    </w:p>
    <w:p w:rsidR="00224C13" w:rsidRDefault="00224C13" w:rsidP="00224C13">
      <w:pPr>
        <w:jc w:val="both"/>
        <w:rPr>
          <w:rFonts w:ascii="Bookman Old Style" w:hAnsi="Bookman Old Style"/>
        </w:rPr>
      </w:pPr>
    </w:p>
    <w:p w:rsidR="00224C13" w:rsidRDefault="00224C13" w:rsidP="00224C13">
      <w:pPr>
        <w:jc w:val="both"/>
        <w:rPr>
          <w:rFonts w:ascii="Bookman Old Style" w:hAnsi="Bookman Old Style"/>
          <w:color w:val="000000"/>
        </w:rPr>
      </w:pPr>
    </w:p>
    <w:tbl>
      <w:tblPr>
        <w:tblW w:w="9676" w:type="dxa"/>
        <w:jc w:val="center"/>
        <w:tblLook w:val="04A0" w:firstRow="1" w:lastRow="0" w:firstColumn="1" w:lastColumn="0" w:noHBand="0" w:noVBand="1"/>
      </w:tblPr>
      <w:tblGrid>
        <w:gridCol w:w="4928"/>
        <w:gridCol w:w="4748"/>
      </w:tblGrid>
      <w:tr w:rsidR="00224C13" w:rsidTr="00B82AD9">
        <w:trPr>
          <w:jc w:val="center"/>
        </w:trPr>
        <w:tc>
          <w:tcPr>
            <w:tcW w:w="4928" w:type="dxa"/>
            <w:hideMark/>
          </w:tcPr>
          <w:p w:rsidR="00224C13" w:rsidRDefault="00224C13" w:rsidP="00B82AD9">
            <w:pPr>
              <w:ind w:left="0" w:right="-288"/>
              <w:rPr>
                <w:rFonts w:ascii="Bookman Old Style" w:hAnsi="Bookman Old Style"/>
                <w:b/>
              </w:rPr>
            </w:pPr>
            <w:r>
              <w:rPr>
                <w:rFonts w:ascii="Bookman Old Style" w:hAnsi="Bookman Old Style"/>
                <w:b/>
              </w:rPr>
              <w:t>CARLOS FERNANDO ERASO CALERO</w:t>
            </w:r>
          </w:p>
          <w:p w:rsidR="00224C13" w:rsidRDefault="00224C13" w:rsidP="00B82AD9">
            <w:pPr>
              <w:ind w:left="0"/>
              <w:jc w:val="center"/>
              <w:rPr>
                <w:rFonts w:ascii="Bookman Old Style" w:hAnsi="Bookman Old Style"/>
              </w:rPr>
            </w:pPr>
            <w:r>
              <w:rPr>
                <w:rFonts w:ascii="Bookman Old Style" w:hAnsi="Bookman Old Style"/>
              </w:rPr>
              <w:t>Viceministro de Energía</w:t>
            </w:r>
          </w:p>
          <w:p w:rsidR="00224C13" w:rsidRDefault="00224C13" w:rsidP="00B82AD9">
            <w:pPr>
              <w:ind w:left="-90" w:right="-160"/>
              <w:jc w:val="center"/>
              <w:rPr>
                <w:rFonts w:ascii="Bookman Old Style" w:hAnsi="Bookman Old Style"/>
                <w:bCs/>
                <w:lang w:val="es-CO"/>
              </w:rPr>
            </w:pPr>
            <w:r>
              <w:rPr>
                <w:rFonts w:ascii="Bookman Old Style" w:hAnsi="Bookman Old Style"/>
                <w:bCs/>
                <w:lang w:val="es-CO"/>
              </w:rPr>
              <w:t>Delegado del Ministro de Minas y Energía</w:t>
            </w:r>
          </w:p>
          <w:p w:rsidR="00224C13" w:rsidRDefault="00224C13" w:rsidP="00B82AD9">
            <w:pPr>
              <w:ind w:left="142"/>
              <w:jc w:val="center"/>
              <w:rPr>
                <w:rFonts w:ascii="Bookman Old Style" w:hAnsi="Bookman Old Style"/>
                <w:bCs/>
                <w:lang w:val="es-CO"/>
              </w:rPr>
            </w:pPr>
            <w:r>
              <w:rPr>
                <w:rFonts w:ascii="Bookman Old Style" w:hAnsi="Bookman Old Style"/>
                <w:bCs/>
                <w:lang w:val="es-CO"/>
              </w:rPr>
              <w:t>Presidente</w:t>
            </w:r>
          </w:p>
        </w:tc>
        <w:tc>
          <w:tcPr>
            <w:tcW w:w="4748" w:type="dxa"/>
            <w:hideMark/>
          </w:tcPr>
          <w:p w:rsidR="00224C13" w:rsidRDefault="00224C13" w:rsidP="00B82AD9">
            <w:pPr>
              <w:ind w:left="0"/>
              <w:jc w:val="center"/>
              <w:rPr>
                <w:rFonts w:ascii="Bookman Old Style" w:hAnsi="Bookman Old Style"/>
                <w:b/>
              </w:rPr>
            </w:pPr>
            <w:r>
              <w:rPr>
                <w:rFonts w:ascii="Bookman Old Style" w:hAnsi="Bookman Old Style"/>
                <w:b/>
              </w:rPr>
              <w:t>JORGE PINTO NOLLA</w:t>
            </w:r>
          </w:p>
          <w:p w:rsidR="00224C13" w:rsidRDefault="00224C13" w:rsidP="00B82AD9">
            <w:pPr>
              <w:ind w:left="0"/>
              <w:jc w:val="center"/>
              <w:rPr>
                <w:rFonts w:ascii="Bookman Old Style" w:hAnsi="Bookman Old Style"/>
              </w:rPr>
            </w:pPr>
            <w:r>
              <w:rPr>
                <w:rFonts w:ascii="Bookman Old Style" w:hAnsi="Bookman Old Style"/>
              </w:rPr>
              <w:t>Director Ejecutivo</w:t>
            </w:r>
          </w:p>
        </w:tc>
      </w:tr>
    </w:tbl>
    <w:p w:rsidR="00224C13" w:rsidRPr="00F6673E" w:rsidRDefault="00224C13" w:rsidP="00224C13">
      <w:pPr>
        <w:jc w:val="both"/>
        <w:rPr>
          <w:rFonts w:ascii="Bookman Old Style" w:hAnsi="Bookman Old Style"/>
        </w:rPr>
      </w:pPr>
    </w:p>
    <w:p w:rsidR="00224C13" w:rsidRPr="00FB138D" w:rsidRDefault="00224C13">
      <w:pPr>
        <w:ind w:left="0"/>
        <w:rPr>
          <w:rFonts w:ascii="Bookman Old Style" w:hAnsi="Bookman Old Style"/>
          <w:b/>
          <w:szCs w:val="20"/>
        </w:rPr>
      </w:pPr>
    </w:p>
    <w:p w:rsidR="00224C13" w:rsidRDefault="00224C13">
      <w:pPr>
        <w:ind w:left="0"/>
        <w:rPr>
          <w:rFonts w:ascii="Bookman Old Style" w:hAnsi="Bookman Old Style"/>
          <w:b/>
          <w:szCs w:val="20"/>
          <w:lang w:val="es-CO"/>
        </w:rPr>
      </w:pPr>
      <w:r>
        <w:rPr>
          <w:rFonts w:ascii="Bookman Old Style" w:hAnsi="Bookman Old Style"/>
        </w:rPr>
        <w:br w:type="page"/>
      </w:r>
    </w:p>
    <w:p w:rsidR="00FB138D" w:rsidRDefault="00FB138D" w:rsidP="00AA4EDB">
      <w:pPr>
        <w:pStyle w:val="Ttulo1"/>
        <w:rPr>
          <w:rFonts w:ascii="Bookman Old Style" w:hAnsi="Bookman Old Style"/>
        </w:rPr>
      </w:pPr>
    </w:p>
    <w:p w:rsidR="009E4357" w:rsidRPr="00AA4EDB" w:rsidRDefault="009E4357" w:rsidP="00AA4EDB">
      <w:pPr>
        <w:pStyle w:val="Ttulo1"/>
        <w:rPr>
          <w:rFonts w:ascii="Bookman Old Style" w:hAnsi="Bookman Old Style"/>
        </w:rPr>
      </w:pPr>
      <w:r w:rsidRPr="00AA4EDB">
        <w:rPr>
          <w:rFonts w:ascii="Bookman Old Style" w:hAnsi="Bookman Old Style"/>
        </w:rPr>
        <w:t xml:space="preserve">Anexo </w:t>
      </w:r>
      <w:r w:rsidR="00224C13">
        <w:rPr>
          <w:rFonts w:ascii="Bookman Old Style" w:hAnsi="Bookman Old Style"/>
        </w:rPr>
        <w:t>2</w:t>
      </w:r>
    </w:p>
    <w:p w:rsidR="009E4357" w:rsidRDefault="009E4357" w:rsidP="009E4357">
      <w:pPr>
        <w:jc w:val="center"/>
        <w:rPr>
          <w:rFonts w:ascii="Bookman Old Style" w:hAnsi="Bookman Old Style"/>
          <w:b/>
          <w:bCs/>
          <w:color w:val="000000"/>
        </w:rPr>
      </w:pPr>
    </w:p>
    <w:p w:rsidR="000F3F66" w:rsidRDefault="000F3F66" w:rsidP="009E4357">
      <w:pPr>
        <w:jc w:val="center"/>
        <w:rPr>
          <w:rFonts w:ascii="Bookman Old Style" w:hAnsi="Bookman Old Style"/>
          <w:b/>
          <w:bCs/>
          <w:color w:val="000000"/>
        </w:rPr>
      </w:pPr>
    </w:p>
    <w:p w:rsidR="009E4357" w:rsidRDefault="006853CB" w:rsidP="0067070C">
      <w:pPr>
        <w:ind w:left="0"/>
        <w:jc w:val="center"/>
        <w:rPr>
          <w:rFonts w:ascii="Bookman Old Style" w:hAnsi="Bookman Old Style"/>
        </w:rPr>
      </w:pPr>
      <w:r>
        <w:rPr>
          <w:rFonts w:ascii="Bookman Old Style" w:hAnsi="Bookman Old Style"/>
          <w:b/>
          <w:bCs/>
          <w:color w:val="000000"/>
        </w:rPr>
        <w:t>Procedimiento para a</w:t>
      </w:r>
      <w:r w:rsidR="009E4357">
        <w:rPr>
          <w:rFonts w:ascii="Bookman Old Style" w:hAnsi="Bookman Old Style"/>
          <w:b/>
          <w:bCs/>
          <w:color w:val="000000"/>
        </w:rPr>
        <w:t>signa</w:t>
      </w:r>
      <w:r w:rsidR="000203AE">
        <w:rPr>
          <w:rFonts w:ascii="Bookman Old Style" w:hAnsi="Bookman Old Style"/>
          <w:b/>
          <w:bCs/>
          <w:color w:val="000000"/>
        </w:rPr>
        <w:t xml:space="preserve">r </w:t>
      </w:r>
      <w:r w:rsidR="009E4357">
        <w:rPr>
          <w:rFonts w:ascii="Bookman Old Style" w:hAnsi="Bookman Old Style"/>
          <w:b/>
          <w:bCs/>
          <w:color w:val="000000"/>
        </w:rPr>
        <w:t xml:space="preserve">compensaciones por variaciones de salida en </w:t>
      </w:r>
      <w:r w:rsidR="009E4357" w:rsidRPr="009E4357">
        <w:rPr>
          <w:rFonts w:ascii="Bookman Old Style" w:hAnsi="Bookman Old Style"/>
          <w:b/>
          <w:bCs/>
          <w:color w:val="000000"/>
        </w:rPr>
        <w:t>estación</w:t>
      </w:r>
      <w:r w:rsidR="009E4357" w:rsidRPr="000B65DE">
        <w:rPr>
          <w:rFonts w:ascii="Bookman Old Style" w:hAnsi="Bookman Old Style"/>
          <w:b/>
          <w:lang w:val="es-ES_tradnl"/>
        </w:rPr>
        <w:t xml:space="preserve"> reguladora de puerta de ciudad o puerta de ciudad</w:t>
      </w:r>
      <w:r w:rsidR="000203AE">
        <w:rPr>
          <w:rFonts w:ascii="Bookman Old Style" w:hAnsi="Bookman Old Style"/>
          <w:b/>
          <w:lang w:val="es-ES_tradnl"/>
        </w:rPr>
        <w:t xml:space="preserve"> con medición común a varios remitentes</w:t>
      </w:r>
      <w:r w:rsidR="00607F44">
        <w:rPr>
          <w:rFonts w:ascii="Bookman Old Style" w:hAnsi="Bookman Old Style"/>
          <w:b/>
          <w:lang w:val="es-ES_tradnl"/>
        </w:rPr>
        <w:t xml:space="preserve"> dentro de un sistema de distribución</w:t>
      </w:r>
    </w:p>
    <w:p w:rsidR="009E4357" w:rsidRDefault="009E4357" w:rsidP="00F6673E">
      <w:pPr>
        <w:jc w:val="both"/>
        <w:rPr>
          <w:rFonts w:ascii="Bookman Old Style" w:hAnsi="Bookman Old Style"/>
        </w:rPr>
      </w:pPr>
    </w:p>
    <w:p w:rsidR="000F3F66" w:rsidRDefault="000F3F66" w:rsidP="00F6673E">
      <w:pPr>
        <w:jc w:val="both"/>
        <w:rPr>
          <w:rFonts w:ascii="Bookman Old Style" w:hAnsi="Bookman Old Style"/>
        </w:rPr>
      </w:pPr>
    </w:p>
    <w:p w:rsidR="00CA44FD" w:rsidRPr="006853CB" w:rsidRDefault="006853CB" w:rsidP="00486E3D">
      <w:pPr>
        <w:ind w:left="0"/>
        <w:jc w:val="both"/>
        <w:rPr>
          <w:rFonts w:ascii="Bookman Old Style" w:hAnsi="Bookman Old Style"/>
        </w:rPr>
      </w:pPr>
      <w:r w:rsidRPr="006853CB">
        <w:rPr>
          <w:rFonts w:ascii="Bookman Old Style" w:hAnsi="Bookman Old Style"/>
        </w:rPr>
        <w:t xml:space="preserve">Para la asignación de compensaciones </w:t>
      </w:r>
      <w:r>
        <w:rPr>
          <w:rFonts w:ascii="Bookman Old Style" w:hAnsi="Bookman Old Style"/>
        </w:rPr>
        <w:t>por variaciones de salida en estación reguladora de puerta de ciudad o puerta de ciudad</w:t>
      </w:r>
      <w:r w:rsidR="00CA014E">
        <w:rPr>
          <w:rFonts w:ascii="Bookman Old Style" w:hAnsi="Bookman Old Style"/>
        </w:rPr>
        <w:t xml:space="preserve"> con medición común a varios remitentes</w:t>
      </w:r>
      <w:r>
        <w:rPr>
          <w:rFonts w:ascii="Bookman Old Style" w:hAnsi="Bookman Old Style"/>
        </w:rPr>
        <w:t>,</w:t>
      </w:r>
      <w:r w:rsidR="00607F44">
        <w:rPr>
          <w:rFonts w:ascii="Bookman Old Style" w:hAnsi="Bookman Old Style"/>
        </w:rPr>
        <w:t xml:space="preserve"> dentro de un sistema de distribución,</w:t>
      </w:r>
      <w:r>
        <w:rPr>
          <w:rFonts w:ascii="Bookman Old Style" w:hAnsi="Bookman Old Style"/>
        </w:rPr>
        <w:t xml:space="preserve"> el </w:t>
      </w:r>
      <w:r w:rsidR="00E20CDC">
        <w:rPr>
          <w:rFonts w:ascii="Bookman Old Style" w:hAnsi="Bookman Old Style"/>
        </w:rPr>
        <w:t>transportador</w:t>
      </w:r>
      <w:r w:rsidR="00BC33C1">
        <w:rPr>
          <w:rFonts w:ascii="Bookman Old Style" w:hAnsi="Bookman Old Style"/>
        </w:rPr>
        <w:t>:</w:t>
      </w:r>
    </w:p>
    <w:p w:rsidR="00FB138D" w:rsidRDefault="00FB138D" w:rsidP="00FB138D">
      <w:pPr>
        <w:jc w:val="both"/>
        <w:rPr>
          <w:rFonts w:ascii="Bookman Old Style" w:hAnsi="Bookman Old Style"/>
          <w:highlight w:val="yellow"/>
        </w:rPr>
      </w:pPr>
    </w:p>
    <w:p w:rsidR="003E09AB" w:rsidRPr="0067070C" w:rsidRDefault="003E09AB" w:rsidP="0067070C">
      <w:pPr>
        <w:pStyle w:val="Prrafodelista"/>
        <w:numPr>
          <w:ilvl w:val="0"/>
          <w:numId w:val="20"/>
        </w:numPr>
        <w:jc w:val="both"/>
        <w:rPr>
          <w:rFonts w:ascii="Bookman Old Style" w:hAnsi="Bookman Old Style"/>
          <w:sz w:val="24"/>
          <w:szCs w:val="24"/>
        </w:rPr>
      </w:pPr>
      <w:r w:rsidRPr="0067070C">
        <w:rPr>
          <w:rFonts w:ascii="Bookman Old Style" w:hAnsi="Bookman Old Style"/>
          <w:sz w:val="24"/>
          <w:szCs w:val="24"/>
        </w:rPr>
        <w:t>Calcula</w:t>
      </w:r>
      <w:r w:rsidR="00BE3683" w:rsidRPr="0067070C">
        <w:rPr>
          <w:rFonts w:ascii="Bookman Old Style" w:hAnsi="Bookman Old Style"/>
          <w:sz w:val="24"/>
          <w:szCs w:val="24"/>
        </w:rPr>
        <w:t>rá</w:t>
      </w:r>
      <w:r w:rsidRPr="0067070C">
        <w:rPr>
          <w:rFonts w:ascii="Bookman Old Style" w:hAnsi="Bookman Old Style"/>
          <w:sz w:val="24"/>
          <w:szCs w:val="24"/>
        </w:rPr>
        <w:t xml:space="preserve"> el valor de la compensación por variaciones de salida netas negativas que le corresponde a la puerta de ciudad. Esto se determinará de acuerdo con lo establecido en el </w:t>
      </w:r>
      <w:r w:rsidR="00C00445" w:rsidRPr="0067070C">
        <w:rPr>
          <w:rFonts w:ascii="Bookman Old Style" w:hAnsi="Bookman Old Style"/>
          <w:sz w:val="24"/>
          <w:szCs w:val="24"/>
        </w:rPr>
        <w:t>Artículo 3 de la Resolución CREG 088 de 2015,</w:t>
      </w:r>
      <w:r w:rsidR="00894214" w:rsidRPr="0067070C">
        <w:rPr>
          <w:rFonts w:ascii="Bookman Old Style" w:hAnsi="Bookman Old Style"/>
          <w:sz w:val="24"/>
          <w:szCs w:val="24"/>
        </w:rPr>
        <w:t xml:space="preserve"> o aquellas que lo modifique</w:t>
      </w:r>
      <w:r w:rsidR="00BE2630" w:rsidRPr="0067070C">
        <w:rPr>
          <w:rFonts w:ascii="Bookman Old Style" w:hAnsi="Bookman Old Style"/>
          <w:sz w:val="24"/>
          <w:szCs w:val="24"/>
        </w:rPr>
        <w:t>n</w:t>
      </w:r>
      <w:r w:rsidR="00CA5757" w:rsidRPr="0067070C">
        <w:rPr>
          <w:rFonts w:ascii="Bookman Old Style" w:hAnsi="Bookman Old Style"/>
          <w:sz w:val="24"/>
          <w:szCs w:val="24"/>
        </w:rPr>
        <w:t xml:space="preserve"> </w:t>
      </w:r>
      <w:r w:rsidR="00894214" w:rsidRPr="0067070C">
        <w:rPr>
          <w:rFonts w:ascii="Bookman Old Style" w:hAnsi="Bookman Old Style"/>
          <w:sz w:val="24"/>
          <w:szCs w:val="24"/>
        </w:rPr>
        <w:t>o sustituyan</w:t>
      </w:r>
      <w:r w:rsidR="00BE3683" w:rsidRPr="0067070C">
        <w:rPr>
          <w:rFonts w:ascii="Bookman Old Style" w:hAnsi="Bookman Old Style"/>
          <w:sz w:val="24"/>
          <w:szCs w:val="24"/>
        </w:rPr>
        <w:t>,</w:t>
      </w:r>
      <w:r w:rsidR="00C00445" w:rsidRPr="0067070C">
        <w:rPr>
          <w:rFonts w:ascii="Bookman Old Style" w:hAnsi="Bookman Old Style"/>
          <w:sz w:val="24"/>
          <w:szCs w:val="24"/>
        </w:rPr>
        <w:t xml:space="preserve"> </w:t>
      </w:r>
      <w:r w:rsidR="0096030D" w:rsidRPr="0067070C">
        <w:rPr>
          <w:rFonts w:ascii="Bookman Old Style" w:hAnsi="Bookman Old Style"/>
          <w:sz w:val="24"/>
          <w:szCs w:val="24"/>
        </w:rPr>
        <w:t>para lo cual</w:t>
      </w:r>
      <w:r w:rsidRPr="0067070C">
        <w:rPr>
          <w:rFonts w:ascii="Bookman Old Style" w:hAnsi="Bookman Old Style"/>
          <w:sz w:val="24"/>
          <w:szCs w:val="24"/>
        </w:rPr>
        <w:t xml:space="preserve"> se considerará </w:t>
      </w:r>
      <w:r w:rsidR="0096030D" w:rsidRPr="0067070C">
        <w:rPr>
          <w:rFonts w:ascii="Bookman Old Style" w:hAnsi="Bookman Old Style"/>
          <w:sz w:val="24"/>
          <w:szCs w:val="24"/>
        </w:rPr>
        <w:t xml:space="preserve">la cantidad </w:t>
      </w:r>
      <w:r w:rsidRPr="0067070C">
        <w:rPr>
          <w:rFonts w:ascii="Bookman Old Style" w:hAnsi="Bookman Old Style"/>
          <w:sz w:val="24"/>
          <w:szCs w:val="24"/>
        </w:rPr>
        <w:t>de energ</w:t>
      </w:r>
      <w:r w:rsidR="0096030D" w:rsidRPr="0067070C">
        <w:rPr>
          <w:rFonts w:ascii="Bookman Old Style" w:hAnsi="Bookman Old Style"/>
          <w:sz w:val="24"/>
          <w:szCs w:val="24"/>
        </w:rPr>
        <w:t>ía</w:t>
      </w:r>
      <w:r w:rsidRPr="0067070C">
        <w:rPr>
          <w:rFonts w:ascii="Bookman Old Style" w:hAnsi="Bookman Old Style"/>
          <w:sz w:val="24"/>
          <w:szCs w:val="24"/>
        </w:rPr>
        <w:t xml:space="preserve"> </w:t>
      </w:r>
      <w:r w:rsidR="0096030D" w:rsidRPr="0067070C">
        <w:rPr>
          <w:rFonts w:ascii="Bookman Old Style" w:hAnsi="Bookman Old Style"/>
          <w:sz w:val="24"/>
          <w:szCs w:val="24"/>
        </w:rPr>
        <w:t xml:space="preserve">total </w:t>
      </w:r>
      <w:r w:rsidR="003E2F37" w:rsidRPr="0067070C">
        <w:rPr>
          <w:rFonts w:ascii="Bookman Old Style" w:hAnsi="Bookman Old Style"/>
          <w:sz w:val="24"/>
          <w:szCs w:val="24"/>
        </w:rPr>
        <w:t>autorizada</w:t>
      </w:r>
      <w:r w:rsidRPr="0067070C">
        <w:rPr>
          <w:rFonts w:ascii="Bookman Old Style" w:hAnsi="Bookman Old Style"/>
          <w:sz w:val="24"/>
          <w:szCs w:val="24"/>
        </w:rPr>
        <w:t xml:space="preserve"> por el transportador y </w:t>
      </w:r>
      <w:r w:rsidR="001546C3" w:rsidRPr="0067070C">
        <w:rPr>
          <w:rFonts w:ascii="Bookman Old Style" w:hAnsi="Bookman Old Style"/>
          <w:sz w:val="24"/>
          <w:szCs w:val="24"/>
        </w:rPr>
        <w:t xml:space="preserve">la cantidad de energía </w:t>
      </w:r>
      <w:r w:rsidR="0096030D" w:rsidRPr="0067070C">
        <w:rPr>
          <w:rFonts w:ascii="Bookman Old Style" w:hAnsi="Bookman Old Style"/>
          <w:sz w:val="24"/>
          <w:szCs w:val="24"/>
        </w:rPr>
        <w:t>total tomada</w:t>
      </w:r>
      <w:r w:rsidRPr="0067070C">
        <w:rPr>
          <w:rFonts w:ascii="Bookman Old Style" w:hAnsi="Bookman Old Style"/>
          <w:sz w:val="24"/>
          <w:szCs w:val="24"/>
        </w:rPr>
        <w:t xml:space="preserve"> en la puerta de ciudad. </w:t>
      </w:r>
    </w:p>
    <w:p w:rsidR="001546C3" w:rsidRPr="00A20F3F" w:rsidRDefault="001546C3" w:rsidP="001546C3">
      <w:pPr>
        <w:jc w:val="both"/>
        <w:rPr>
          <w:rFonts w:ascii="Bookman Old Style" w:hAnsi="Bookman Old Style"/>
        </w:rPr>
      </w:pPr>
    </w:p>
    <w:p w:rsidR="00A20F3F" w:rsidRDefault="00FD5540" w:rsidP="0067070C">
      <w:pPr>
        <w:pStyle w:val="Prrafodelista"/>
        <w:numPr>
          <w:ilvl w:val="0"/>
          <w:numId w:val="20"/>
        </w:numPr>
        <w:jc w:val="both"/>
        <w:rPr>
          <w:rFonts w:ascii="Bookman Old Style" w:hAnsi="Bookman Old Style"/>
          <w:sz w:val="24"/>
          <w:szCs w:val="24"/>
        </w:rPr>
      </w:pPr>
      <w:r w:rsidRPr="0067070C">
        <w:rPr>
          <w:rFonts w:ascii="Bookman Old Style" w:hAnsi="Bookman Old Style"/>
          <w:sz w:val="24"/>
          <w:szCs w:val="24"/>
        </w:rPr>
        <w:t>Determina</w:t>
      </w:r>
      <w:r w:rsidR="00BE3683" w:rsidRPr="0067070C">
        <w:rPr>
          <w:rFonts w:ascii="Bookman Old Style" w:hAnsi="Bookman Old Style"/>
          <w:sz w:val="24"/>
          <w:szCs w:val="24"/>
        </w:rPr>
        <w:t>rá</w:t>
      </w:r>
      <w:r w:rsidRPr="0067070C">
        <w:rPr>
          <w:rFonts w:ascii="Bookman Old Style" w:hAnsi="Bookman Old Style"/>
          <w:sz w:val="24"/>
          <w:szCs w:val="24"/>
        </w:rPr>
        <w:t xml:space="preserve"> la</w:t>
      </w:r>
      <w:r w:rsidR="00CB4A9D">
        <w:rPr>
          <w:rFonts w:ascii="Bookman Old Style" w:hAnsi="Bookman Old Style"/>
          <w:sz w:val="24"/>
          <w:szCs w:val="24"/>
        </w:rPr>
        <w:t>s</w:t>
      </w:r>
      <w:r w:rsidRPr="0067070C">
        <w:rPr>
          <w:rFonts w:ascii="Bookman Old Style" w:hAnsi="Bookman Old Style"/>
          <w:sz w:val="24"/>
          <w:szCs w:val="24"/>
        </w:rPr>
        <w:t xml:space="preserve"> </w:t>
      </w:r>
      <w:r w:rsidR="00CB4A9D" w:rsidRPr="0067070C">
        <w:rPr>
          <w:rFonts w:ascii="Bookman Old Style" w:hAnsi="Bookman Old Style"/>
          <w:sz w:val="24"/>
          <w:szCs w:val="24"/>
        </w:rPr>
        <w:t>variaci</w:t>
      </w:r>
      <w:r w:rsidR="00CB4A9D">
        <w:rPr>
          <w:rFonts w:ascii="Bookman Old Style" w:hAnsi="Bookman Old Style"/>
          <w:sz w:val="24"/>
          <w:szCs w:val="24"/>
        </w:rPr>
        <w:t>ones</w:t>
      </w:r>
      <w:r w:rsidR="00CB4A9D" w:rsidRPr="0067070C">
        <w:rPr>
          <w:rFonts w:ascii="Bookman Old Style" w:hAnsi="Bookman Old Style"/>
          <w:sz w:val="24"/>
          <w:szCs w:val="24"/>
        </w:rPr>
        <w:t xml:space="preserve"> </w:t>
      </w:r>
      <w:r w:rsidRPr="0067070C">
        <w:rPr>
          <w:rFonts w:ascii="Bookman Old Style" w:hAnsi="Bookman Old Style"/>
          <w:sz w:val="24"/>
          <w:szCs w:val="24"/>
        </w:rPr>
        <w:t xml:space="preserve">de salida </w:t>
      </w:r>
      <w:r w:rsidR="00310C27" w:rsidRPr="0067070C">
        <w:rPr>
          <w:rFonts w:ascii="Bookman Old Style" w:hAnsi="Bookman Old Style"/>
          <w:sz w:val="24"/>
          <w:szCs w:val="24"/>
        </w:rPr>
        <w:t>neta</w:t>
      </w:r>
      <w:r w:rsidR="00CB4A9D">
        <w:rPr>
          <w:rFonts w:ascii="Bookman Old Style" w:hAnsi="Bookman Old Style"/>
          <w:sz w:val="24"/>
          <w:szCs w:val="24"/>
        </w:rPr>
        <w:t>s</w:t>
      </w:r>
      <w:r w:rsidR="00310C27" w:rsidRPr="0067070C">
        <w:rPr>
          <w:rFonts w:ascii="Bookman Old Style" w:hAnsi="Bookman Old Style"/>
          <w:sz w:val="24"/>
          <w:szCs w:val="24"/>
        </w:rPr>
        <w:t xml:space="preserve"> </w:t>
      </w:r>
      <w:r w:rsidR="00514921" w:rsidRPr="0067070C">
        <w:rPr>
          <w:rFonts w:ascii="Bookman Old Style" w:hAnsi="Bookman Old Style"/>
          <w:sz w:val="24"/>
          <w:szCs w:val="24"/>
        </w:rPr>
        <w:t>de</w:t>
      </w:r>
      <w:r w:rsidRPr="0067070C">
        <w:rPr>
          <w:rFonts w:ascii="Bookman Old Style" w:hAnsi="Bookman Old Style"/>
          <w:sz w:val="24"/>
          <w:szCs w:val="24"/>
        </w:rPr>
        <w:t xml:space="preserve"> los </w:t>
      </w:r>
      <w:r w:rsidR="00615F81" w:rsidRPr="0067070C">
        <w:rPr>
          <w:rFonts w:ascii="Bookman Old Style" w:hAnsi="Bookman Old Style"/>
          <w:sz w:val="24"/>
          <w:szCs w:val="24"/>
        </w:rPr>
        <w:t xml:space="preserve">comercializadores y </w:t>
      </w:r>
      <w:r w:rsidR="00615F81" w:rsidRPr="0067070C">
        <w:rPr>
          <w:rFonts w:ascii="Bookman Old Style" w:hAnsi="Bookman Old Style" w:cs="Arial"/>
          <w:sz w:val="24"/>
          <w:szCs w:val="24"/>
          <w:lang w:val="es-ES_tradnl"/>
        </w:rPr>
        <w:t>usuarios no regulados</w:t>
      </w:r>
      <w:r w:rsidRPr="0067070C">
        <w:rPr>
          <w:rFonts w:ascii="Bookman Old Style" w:hAnsi="Bookman Old Style"/>
          <w:sz w:val="24"/>
          <w:szCs w:val="24"/>
        </w:rPr>
        <w:t xml:space="preserve"> </w:t>
      </w:r>
      <w:r w:rsidR="00310C27" w:rsidRPr="0067070C">
        <w:rPr>
          <w:rFonts w:ascii="Bookman Old Style" w:hAnsi="Bookman Old Style"/>
          <w:sz w:val="24"/>
          <w:szCs w:val="24"/>
        </w:rPr>
        <w:t>embebidos</w:t>
      </w:r>
      <w:r w:rsidRPr="0067070C">
        <w:rPr>
          <w:rFonts w:ascii="Bookman Old Style" w:hAnsi="Bookman Old Style"/>
          <w:sz w:val="24"/>
          <w:szCs w:val="24"/>
        </w:rPr>
        <w:t xml:space="preserve"> </w:t>
      </w:r>
      <w:r w:rsidR="00310C27" w:rsidRPr="0067070C">
        <w:rPr>
          <w:rFonts w:ascii="Bookman Old Style" w:hAnsi="Bookman Old Style"/>
          <w:sz w:val="24"/>
          <w:szCs w:val="24"/>
        </w:rPr>
        <w:t xml:space="preserve">en </w:t>
      </w:r>
      <w:r w:rsidRPr="0067070C">
        <w:rPr>
          <w:rFonts w:ascii="Bookman Old Style" w:hAnsi="Bookman Old Style"/>
          <w:sz w:val="24"/>
          <w:szCs w:val="24"/>
        </w:rPr>
        <w:t>el sistema de</w:t>
      </w:r>
      <w:r w:rsidR="00BF010C" w:rsidRPr="0067070C">
        <w:rPr>
          <w:rFonts w:ascii="Bookman Old Style" w:hAnsi="Bookman Old Style"/>
          <w:sz w:val="24"/>
          <w:szCs w:val="24"/>
        </w:rPr>
        <w:t xml:space="preserve">l distribuidor principal o </w:t>
      </w:r>
      <w:r w:rsidR="00310C27" w:rsidRPr="0067070C">
        <w:rPr>
          <w:rFonts w:ascii="Bookman Old Style" w:hAnsi="Bookman Old Style"/>
          <w:sz w:val="24"/>
          <w:szCs w:val="24"/>
        </w:rPr>
        <w:t xml:space="preserve">embebidos en </w:t>
      </w:r>
      <w:r w:rsidR="00BF010C" w:rsidRPr="0067070C">
        <w:rPr>
          <w:rFonts w:ascii="Bookman Old Style" w:hAnsi="Bookman Old Style"/>
          <w:sz w:val="24"/>
          <w:szCs w:val="24"/>
        </w:rPr>
        <w:t>el sistema del distribuidor secundario</w:t>
      </w:r>
      <w:r w:rsidR="00607F44" w:rsidRPr="0067070C">
        <w:rPr>
          <w:rFonts w:ascii="Bookman Old Style" w:hAnsi="Bookman Old Style"/>
          <w:sz w:val="24"/>
          <w:szCs w:val="24"/>
        </w:rPr>
        <w:t>,</w:t>
      </w:r>
      <w:r w:rsidRPr="0067070C">
        <w:rPr>
          <w:rFonts w:ascii="Bookman Old Style" w:hAnsi="Bookman Old Style"/>
          <w:sz w:val="24"/>
          <w:szCs w:val="24"/>
        </w:rPr>
        <w:t xml:space="preserve"> que nominan directamente al transportador</w:t>
      </w:r>
      <w:r w:rsidR="00CB4A9D">
        <w:rPr>
          <w:rFonts w:ascii="Bookman Old Style" w:hAnsi="Bookman Old Style"/>
          <w:sz w:val="24"/>
          <w:szCs w:val="24"/>
        </w:rPr>
        <w:t xml:space="preserve">, y las variaciones de salida netas asociadas a las demandas reguladas </w:t>
      </w:r>
      <w:r w:rsidR="00FA013B">
        <w:rPr>
          <w:rFonts w:ascii="Bookman Old Style" w:hAnsi="Bookman Old Style"/>
          <w:sz w:val="24"/>
          <w:szCs w:val="24"/>
        </w:rPr>
        <w:t xml:space="preserve">y no reguladas </w:t>
      </w:r>
      <w:r w:rsidR="00CB4A9D">
        <w:rPr>
          <w:rFonts w:ascii="Bookman Old Style" w:hAnsi="Bookman Old Style"/>
          <w:sz w:val="24"/>
          <w:szCs w:val="24"/>
        </w:rPr>
        <w:t>del distribuidor principal y del distribuidor secundario</w:t>
      </w:r>
      <w:r w:rsidR="006455D6" w:rsidRPr="0067070C">
        <w:rPr>
          <w:rFonts w:ascii="Bookman Old Style" w:hAnsi="Bookman Old Style"/>
          <w:sz w:val="24"/>
          <w:szCs w:val="24"/>
        </w:rPr>
        <w:t>.</w:t>
      </w:r>
      <w:r w:rsidR="00146A36" w:rsidRPr="0067070C">
        <w:rPr>
          <w:rFonts w:ascii="Bookman Old Style" w:hAnsi="Bookman Old Style"/>
          <w:sz w:val="24"/>
          <w:szCs w:val="24"/>
        </w:rPr>
        <w:t xml:space="preserve"> </w:t>
      </w:r>
      <w:r w:rsidR="00A20F3F" w:rsidRPr="00AD0A36">
        <w:rPr>
          <w:rFonts w:ascii="Bookman Old Style" w:hAnsi="Bookman Old Style"/>
          <w:sz w:val="24"/>
          <w:szCs w:val="24"/>
        </w:rPr>
        <w:t>La variación de salida neta de cada comercial</w:t>
      </w:r>
      <w:r w:rsidR="00C60196">
        <w:rPr>
          <w:rFonts w:ascii="Bookman Old Style" w:hAnsi="Bookman Old Style"/>
          <w:sz w:val="24"/>
          <w:szCs w:val="24"/>
        </w:rPr>
        <w:t>iz</w:t>
      </w:r>
      <w:r w:rsidR="00A20F3F" w:rsidRPr="00AD0A36">
        <w:rPr>
          <w:rFonts w:ascii="Bookman Old Style" w:hAnsi="Bookman Old Style"/>
          <w:sz w:val="24"/>
          <w:szCs w:val="24"/>
        </w:rPr>
        <w:t>ador estará</w:t>
      </w:r>
      <w:r w:rsidR="00A75384">
        <w:rPr>
          <w:rFonts w:ascii="Bookman Old Style" w:hAnsi="Bookman Old Style"/>
          <w:sz w:val="24"/>
          <w:szCs w:val="24"/>
        </w:rPr>
        <w:t xml:space="preserve"> calculada por demanda </w:t>
      </w:r>
      <w:r w:rsidR="00A20F3F" w:rsidRPr="00AD0A36">
        <w:rPr>
          <w:rFonts w:ascii="Bookman Old Style" w:hAnsi="Bookman Old Style"/>
          <w:sz w:val="24"/>
          <w:szCs w:val="24"/>
        </w:rPr>
        <w:t>regulada y no regulada.</w:t>
      </w:r>
    </w:p>
    <w:p w:rsidR="00A20F3F" w:rsidRPr="0067070C" w:rsidRDefault="00A20F3F" w:rsidP="0067070C">
      <w:pPr>
        <w:pStyle w:val="Prrafodelista"/>
        <w:rPr>
          <w:rFonts w:ascii="Bookman Old Style" w:hAnsi="Bookman Old Style"/>
          <w:sz w:val="24"/>
          <w:szCs w:val="24"/>
        </w:rPr>
      </w:pPr>
    </w:p>
    <w:p w:rsidR="00FD5540" w:rsidRPr="0067070C" w:rsidRDefault="008C43D5" w:rsidP="0067070C">
      <w:pPr>
        <w:pStyle w:val="Prrafodelista"/>
        <w:ind w:left="720"/>
        <w:jc w:val="both"/>
        <w:rPr>
          <w:rFonts w:ascii="Bookman Old Style" w:hAnsi="Bookman Old Style"/>
          <w:sz w:val="24"/>
          <w:szCs w:val="24"/>
        </w:rPr>
      </w:pPr>
      <w:r w:rsidRPr="0067070C">
        <w:rPr>
          <w:rFonts w:ascii="Bookman Old Style" w:hAnsi="Bookman Old Style"/>
          <w:sz w:val="24"/>
          <w:szCs w:val="24"/>
        </w:rPr>
        <w:t xml:space="preserve">Para </w:t>
      </w:r>
      <w:r w:rsidR="00A20F3F" w:rsidRPr="0067070C">
        <w:rPr>
          <w:rFonts w:ascii="Bookman Old Style" w:hAnsi="Bookman Old Style"/>
          <w:sz w:val="24"/>
          <w:szCs w:val="24"/>
        </w:rPr>
        <w:t>est</w:t>
      </w:r>
      <w:r w:rsidR="00A20F3F">
        <w:rPr>
          <w:rFonts w:ascii="Bookman Old Style" w:hAnsi="Bookman Old Style"/>
          <w:sz w:val="24"/>
          <w:szCs w:val="24"/>
        </w:rPr>
        <w:t>e fin</w:t>
      </w:r>
      <w:r w:rsidRPr="0067070C">
        <w:rPr>
          <w:rFonts w:ascii="Bookman Old Style" w:hAnsi="Bookman Old Style"/>
          <w:sz w:val="24"/>
          <w:szCs w:val="24"/>
        </w:rPr>
        <w:t xml:space="preserve">, el transportador tomará la información sobre </w:t>
      </w:r>
      <w:r w:rsidR="00035F77" w:rsidRPr="0067070C">
        <w:rPr>
          <w:rFonts w:ascii="Bookman Old Style" w:hAnsi="Bookman Old Style"/>
          <w:sz w:val="24"/>
          <w:szCs w:val="24"/>
        </w:rPr>
        <w:t>los volúmenes de gas consumidos</w:t>
      </w:r>
      <w:r w:rsidR="00352E01" w:rsidRPr="0067070C">
        <w:rPr>
          <w:rFonts w:ascii="Bookman Old Style" w:hAnsi="Bookman Old Style"/>
          <w:sz w:val="24"/>
          <w:szCs w:val="24"/>
        </w:rPr>
        <w:t xml:space="preserve"> por los remitentes</w:t>
      </w:r>
      <w:r w:rsidR="00607F44" w:rsidRPr="0067070C">
        <w:rPr>
          <w:rFonts w:ascii="Bookman Old Style" w:hAnsi="Bookman Old Style"/>
          <w:sz w:val="24"/>
          <w:szCs w:val="24"/>
        </w:rPr>
        <w:t xml:space="preserve"> </w:t>
      </w:r>
      <w:r w:rsidR="00A20F3F">
        <w:rPr>
          <w:rFonts w:ascii="Bookman Old Style" w:hAnsi="Bookman Old Style"/>
          <w:sz w:val="24"/>
          <w:szCs w:val="24"/>
        </w:rPr>
        <w:t>reportados</w:t>
      </w:r>
      <w:r w:rsidR="00607F44" w:rsidRPr="0067070C">
        <w:rPr>
          <w:rFonts w:ascii="Bookman Old Style" w:hAnsi="Bookman Old Style"/>
          <w:sz w:val="24"/>
          <w:szCs w:val="24"/>
        </w:rPr>
        <w:t xml:space="preserve"> por el </w:t>
      </w:r>
      <w:r w:rsidR="00CC6371" w:rsidRPr="0067070C">
        <w:rPr>
          <w:rFonts w:ascii="Bookman Old Style" w:hAnsi="Bookman Old Style"/>
          <w:sz w:val="24"/>
          <w:szCs w:val="24"/>
        </w:rPr>
        <w:t>distribuidor principal</w:t>
      </w:r>
      <w:r w:rsidR="00310C27" w:rsidRPr="0067070C">
        <w:rPr>
          <w:rFonts w:ascii="Bookman Old Style" w:hAnsi="Bookman Old Style"/>
          <w:sz w:val="24"/>
          <w:szCs w:val="24"/>
        </w:rPr>
        <w:t>,</w:t>
      </w:r>
      <w:r w:rsidR="00035F77" w:rsidRPr="0067070C">
        <w:rPr>
          <w:rFonts w:ascii="Bookman Old Style" w:hAnsi="Bookman Old Style"/>
          <w:sz w:val="24"/>
          <w:szCs w:val="24"/>
        </w:rPr>
        <w:t xml:space="preserve"> </w:t>
      </w:r>
      <w:r w:rsidR="008A44DF">
        <w:rPr>
          <w:rFonts w:ascii="Bookman Old Style" w:hAnsi="Bookman Old Style"/>
          <w:sz w:val="24"/>
          <w:szCs w:val="24"/>
        </w:rPr>
        <w:t xml:space="preserve">discriminada en demanda regulada y no regulada </w:t>
      </w:r>
      <w:r w:rsidR="00035F77" w:rsidRPr="0067070C">
        <w:rPr>
          <w:rFonts w:ascii="Bookman Old Style" w:hAnsi="Bookman Old Style"/>
          <w:sz w:val="24"/>
          <w:szCs w:val="24"/>
        </w:rPr>
        <w:t xml:space="preserve">y los </w:t>
      </w:r>
      <w:r w:rsidR="00BF010C" w:rsidRPr="0067070C">
        <w:rPr>
          <w:rFonts w:ascii="Bookman Old Style" w:hAnsi="Bookman Old Style"/>
          <w:sz w:val="24"/>
          <w:szCs w:val="24"/>
        </w:rPr>
        <w:t xml:space="preserve">convertirá </w:t>
      </w:r>
      <w:r w:rsidR="00310C27" w:rsidRPr="0067070C">
        <w:rPr>
          <w:rFonts w:ascii="Bookman Old Style" w:hAnsi="Bookman Old Style"/>
          <w:sz w:val="24"/>
          <w:szCs w:val="24"/>
        </w:rPr>
        <w:t>a</w:t>
      </w:r>
      <w:r w:rsidR="00BF010C" w:rsidRPr="0067070C">
        <w:rPr>
          <w:rFonts w:ascii="Bookman Old Style" w:hAnsi="Bookman Old Style"/>
          <w:sz w:val="24"/>
          <w:szCs w:val="24"/>
        </w:rPr>
        <w:t xml:space="preserve"> cantidades de energía utilizando el valor de</w:t>
      </w:r>
      <w:r w:rsidR="00514921" w:rsidRPr="0067070C">
        <w:rPr>
          <w:rFonts w:ascii="Bookman Old Style" w:hAnsi="Bookman Old Style"/>
          <w:sz w:val="24"/>
          <w:szCs w:val="24"/>
        </w:rPr>
        <w:t>l</w:t>
      </w:r>
      <w:r w:rsidR="00BF010C" w:rsidRPr="0067070C">
        <w:rPr>
          <w:rFonts w:ascii="Bookman Old Style" w:hAnsi="Bookman Old Style"/>
          <w:sz w:val="24"/>
          <w:szCs w:val="24"/>
        </w:rPr>
        <w:t xml:space="preserve"> poder calorífico</w:t>
      </w:r>
      <w:r w:rsidR="004B0A96" w:rsidRPr="0067070C">
        <w:rPr>
          <w:rFonts w:ascii="Bookman Old Style" w:hAnsi="Bookman Old Style"/>
          <w:sz w:val="24"/>
          <w:szCs w:val="24"/>
        </w:rPr>
        <w:t xml:space="preserve"> del gas entregado en la estación puerta de ciudad</w:t>
      </w:r>
      <w:r w:rsidR="00352E01" w:rsidRPr="0067070C">
        <w:rPr>
          <w:rFonts w:ascii="Bookman Old Style" w:hAnsi="Bookman Old Style"/>
          <w:sz w:val="24"/>
          <w:szCs w:val="24"/>
        </w:rPr>
        <w:t>.</w:t>
      </w:r>
      <w:r w:rsidR="00310C27" w:rsidRPr="0067070C">
        <w:rPr>
          <w:rFonts w:ascii="Bookman Old Style" w:hAnsi="Bookman Old Style"/>
          <w:sz w:val="24"/>
          <w:szCs w:val="24"/>
        </w:rPr>
        <w:t xml:space="preserve"> </w:t>
      </w:r>
      <w:r w:rsidR="0051119C" w:rsidRPr="0067070C">
        <w:rPr>
          <w:rFonts w:ascii="Bookman Old Style" w:hAnsi="Bookman Old Style"/>
          <w:sz w:val="24"/>
          <w:szCs w:val="24"/>
        </w:rPr>
        <w:t>A partir de esta información y de las cantidades de energía autorizadas por el transportador a cada remiten</w:t>
      </w:r>
      <w:r w:rsidR="00F66F66" w:rsidRPr="0067070C">
        <w:rPr>
          <w:rFonts w:ascii="Bookman Old Style" w:hAnsi="Bookman Old Style"/>
          <w:sz w:val="24"/>
          <w:szCs w:val="24"/>
        </w:rPr>
        <w:t>te, desagregada entre demanda regulada y no regulada,</w:t>
      </w:r>
      <w:r w:rsidR="0051119C" w:rsidRPr="0067070C">
        <w:rPr>
          <w:rFonts w:ascii="Bookman Old Style" w:hAnsi="Bookman Old Style"/>
          <w:sz w:val="24"/>
          <w:szCs w:val="24"/>
        </w:rPr>
        <w:t xml:space="preserve"> </w:t>
      </w:r>
      <w:r w:rsidR="004B0A96" w:rsidRPr="0067070C">
        <w:rPr>
          <w:rFonts w:ascii="Bookman Old Style" w:hAnsi="Bookman Old Style"/>
          <w:sz w:val="24"/>
          <w:szCs w:val="24"/>
        </w:rPr>
        <w:t xml:space="preserve">determinará </w:t>
      </w:r>
      <w:r w:rsidR="0051119C" w:rsidRPr="0067070C">
        <w:rPr>
          <w:rFonts w:ascii="Bookman Old Style" w:hAnsi="Bookman Old Style"/>
          <w:sz w:val="24"/>
          <w:szCs w:val="24"/>
        </w:rPr>
        <w:t>l</w:t>
      </w:r>
      <w:r w:rsidR="00310C27" w:rsidRPr="0067070C">
        <w:rPr>
          <w:rFonts w:ascii="Bookman Old Style" w:hAnsi="Bookman Old Style"/>
          <w:sz w:val="24"/>
          <w:szCs w:val="24"/>
        </w:rPr>
        <w:t>a variación de salida neta</w:t>
      </w:r>
      <w:r w:rsidR="008A44DF">
        <w:rPr>
          <w:rFonts w:ascii="Bookman Old Style" w:hAnsi="Bookman Old Style"/>
          <w:sz w:val="24"/>
          <w:szCs w:val="24"/>
        </w:rPr>
        <w:t>, por tipo de demanda,</w:t>
      </w:r>
      <w:r w:rsidR="00310C27" w:rsidRPr="0067070C">
        <w:rPr>
          <w:rFonts w:ascii="Bookman Old Style" w:hAnsi="Bookman Old Style"/>
          <w:sz w:val="24"/>
          <w:szCs w:val="24"/>
        </w:rPr>
        <w:t xml:space="preserve"> de acuerdo con lo establecido en el </w:t>
      </w:r>
      <w:r w:rsidR="00C00445" w:rsidRPr="0067070C">
        <w:rPr>
          <w:rFonts w:ascii="Bookman Old Style" w:hAnsi="Bookman Old Style"/>
          <w:sz w:val="24"/>
          <w:szCs w:val="24"/>
        </w:rPr>
        <w:t xml:space="preserve">Artículo 3 de la Resolución CREG 088 de 2015, </w:t>
      </w:r>
      <w:r w:rsidR="00310C27" w:rsidRPr="0067070C">
        <w:rPr>
          <w:rFonts w:ascii="Bookman Old Style" w:hAnsi="Bookman Old Style"/>
          <w:sz w:val="24"/>
          <w:szCs w:val="24"/>
        </w:rPr>
        <w:t xml:space="preserve">o aquellas que </w:t>
      </w:r>
      <w:r w:rsidR="00C00445" w:rsidRPr="0067070C">
        <w:rPr>
          <w:rFonts w:ascii="Bookman Old Style" w:hAnsi="Bookman Old Style"/>
          <w:sz w:val="24"/>
          <w:szCs w:val="24"/>
        </w:rPr>
        <w:t xml:space="preserve">la </w:t>
      </w:r>
      <w:r w:rsidR="00310C27" w:rsidRPr="0067070C">
        <w:rPr>
          <w:rFonts w:ascii="Bookman Old Style" w:hAnsi="Bookman Old Style"/>
          <w:sz w:val="24"/>
          <w:szCs w:val="24"/>
        </w:rPr>
        <w:t>modifiquen</w:t>
      </w:r>
      <w:r w:rsidR="00530EFA" w:rsidRPr="0067070C">
        <w:rPr>
          <w:rFonts w:ascii="Bookman Old Style" w:hAnsi="Bookman Old Style"/>
          <w:sz w:val="24"/>
          <w:szCs w:val="24"/>
        </w:rPr>
        <w:t xml:space="preserve"> </w:t>
      </w:r>
      <w:r w:rsidR="00310C27" w:rsidRPr="0067070C">
        <w:rPr>
          <w:rFonts w:ascii="Bookman Old Style" w:hAnsi="Bookman Old Style"/>
          <w:sz w:val="24"/>
          <w:szCs w:val="24"/>
        </w:rPr>
        <w:t>o sustituyan.</w:t>
      </w:r>
    </w:p>
    <w:p w:rsidR="00F206A9" w:rsidRDefault="00F206A9" w:rsidP="0067070C">
      <w:pPr>
        <w:jc w:val="both"/>
        <w:rPr>
          <w:rFonts w:ascii="Bookman Old Style" w:hAnsi="Bookman Old Style"/>
        </w:rPr>
      </w:pPr>
    </w:p>
    <w:p w:rsidR="009B18CE" w:rsidRPr="0067070C" w:rsidRDefault="00DE5EED" w:rsidP="0067070C">
      <w:pPr>
        <w:pStyle w:val="Prrafodelista"/>
        <w:numPr>
          <w:ilvl w:val="0"/>
          <w:numId w:val="20"/>
        </w:numPr>
        <w:jc w:val="both"/>
        <w:rPr>
          <w:rFonts w:ascii="Bookman Old Style" w:hAnsi="Bookman Old Style"/>
          <w:sz w:val="24"/>
        </w:rPr>
      </w:pPr>
      <w:r w:rsidRPr="0067070C">
        <w:rPr>
          <w:rFonts w:ascii="Bookman Old Style" w:hAnsi="Bookman Old Style"/>
          <w:sz w:val="24"/>
        </w:rPr>
        <w:t>El transportador distribuirá el valor de la compensación a</w:t>
      </w:r>
      <w:r w:rsidR="00982085">
        <w:rPr>
          <w:rFonts w:ascii="Bookman Old Style" w:hAnsi="Bookman Old Style"/>
          <w:sz w:val="24"/>
        </w:rPr>
        <w:t xml:space="preserve"> que haya lugar entre</w:t>
      </w:r>
      <w:r w:rsidRPr="0067070C">
        <w:rPr>
          <w:rFonts w:ascii="Bookman Old Style" w:hAnsi="Bookman Old Style"/>
          <w:sz w:val="24"/>
        </w:rPr>
        <w:t xml:space="preserve"> cada uno de los comercializadores</w:t>
      </w:r>
      <w:r w:rsidR="00BA19B7">
        <w:rPr>
          <w:rFonts w:ascii="Bookman Old Style" w:hAnsi="Bookman Old Style"/>
          <w:sz w:val="24"/>
        </w:rPr>
        <w:t>,</w:t>
      </w:r>
      <w:r w:rsidRPr="0067070C">
        <w:rPr>
          <w:rFonts w:ascii="Bookman Old Style" w:hAnsi="Bookman Old Style"/>
          <w:sz w:val="24"/>
        </w:rPr>
        <w:t xml:space="preserve"> </w:t>
      </w:r>
      <w:r w:rsidR="00982085">
        <w:rPr>
          <w:rFonts w:ascii="Bookman Old Style" w:hAnsi="Bookman Old Style"/>
          <w:sz w:val="24"/>
        </w:rPr>
        <w:t xml:space="preserve">cada uno de los </w:t>
      </w:r>
      <w:r w:rsidRPr="0067070C">
        <w:rPr>
          <w:rFonts w:ascii="Bookman Old Style" w:hAnsi="Bookman Old Style" w:cs="Arial"/>
          <w:sz w:val="24"/>
          <w:lang w:val="es-ES_tradnl"/>
        </w:rPr>
        <w:t>usuarios no regulados</w:t>
      </w:r>
      <w:r w:rsidRPr="0067070C">
        <w:rPr>
          <w:rFonts w:ascii="Bookman Old Style" w:hAnsi="Bookman Old Style"/>
          <w:sz w:val="24"/>
        </w:rPr>
        <w:t xml:space="preserve"> embebidos en el sistema del distribuidor principal o embebidos en el sistema del distribuidor secundario, que nominan directamente al transportador, </w:t>
      </w:r>
      <w:r w:rsidR="00BA19B7">
        <w:rPr>
          <w:rFonts w:ascii="Bookman Old Style" w:hAnsi="Bookman Old Style"/>
          <w:sz w:val="24"/>
        </w:rPr>
        <w:t xml:space="preserve">del distribuidor principal y del distribuidor secundario, </w:t>
      </w:r>
      <w:r w:rsidRPr="0067070C">
        <w:rPr>
          <w:rFonts w:ascii="Bookman Old Style" w:hAnsi="Bookman Old Style"/>
          <w:sz w:val="24"/>
        </w:rPr>
        <w:t>a prorrata de las variaciones de salida netas negativas</w:t>
      </w:r>
      <w:r w:rsidR="008A44DF">
        <w:rPr>
          <w:rFonts w:ascii="Bookman Old Style" w:hAnsi="Bookman Old Style"/>
          <w:sz w:val="24"/>
        </w:rPr>
        <w:t xml:space="preserve"> por tipo de demanda</w:t>
      </w:r>
      <w:r w:rsidRPr="0067070C">
        <w:rPr>
          <w:rFonts w:ascii="Bookman Old Style" w:hAnsi="Bookman Old Style"/>
          <w:sz w:val="24"/>
        </w:rPr>
        <w:t xml:space="preserve"> de cada uno de éstos respecto del total de las variaciones netas negativas de todos éstos. </w:t>
      </w:r>
    </w:p>
    <w:p w:rsidR="00F206A9" w:rsidRPr="0067070C" w:rsidRDefault="00F206A9" w:rsidP="0067070C">
      <w:pPr>
        <w:jc w:val="both"/>
        <w:rPr>
          <w:rFonts w:ascii="Bookman Old Style" w:hAnsi="Bookman Old Style"/>
          <w:sz w:val="32"/>
          <w:lang w:val="es-CO"/>
        </w:rPr>
      </w:pPr>
    </w:p>
    <w:p w:rsidR="002B4454" w:rsidRDefault="002B4454" w:rsidP="0067070C">
      <w:pPr>
        <w:ind w:left="0"/>
        <w:jc w:val="both"/>
        <w:rPr>
          <w:rFonts w:ascii="Bookman Old Style" w:hAnsi="Bookman Old Style"/>
        </w:rPr>
      </w:pPr>
    </w:p>
    <w:p w:rsidR="00DE5EED" w:rsidRPr="0067070C" w:rsidRDefault="00E20A57" w:rsidP="0067070C">
      <w:pPr>
        <w:ind w:left="0"/>
        <w:jc w:val="both"/>
        <w:rPr>
          <w:rFonts w:ascii="Bookman Old Style" w:hAnsi="Bookman Old Style"/>
        </w:rPr>
      </w:pPr>
      <w:r>
        <w:rPr>
          <w:rFonts w:ascii="Bookman Old Style" w:hAnsi="Bookman Old Style"/>
        </w:rPr>
        <w:t>L</w:t>
      </w:r>
      <w:r w:rsidR="009B18CE" w:rsidRPr="0067070C">
        <w:rPr>
          <w:rFonts w:ascii="Bookman Old Style" w:hAnsi="Bookman Old Style"/>
        </w:rPr>
        <w:t xml:space="preserve">os comercializadores embebidos en el sistema del distribuidor principal o embebidos en el sistema del distribuidor secundario, que nominan directamente al transportador, deberán asignar </w:t>
      </w:r>
      <w:r w:rsidR="00FF561B" w:rsidRPr="0067070C">
        <w:rPr>
          <w:rFonts w:ascii="Bookman Old Style" w:hAnsi="Bookman Old Style"/>
        </w:rPr>
        <w:t>el pago de sus</w:t>
      </w:r>
      <w:r w:rsidR="009B18CE" w:rsidRPr="0067070C">
        <w:rPr>
          <w:rFonts w:ascii="Bookman Old Style" w:hAnsi="Bookman Old Style"/>
        </w:rPr>
        <w:t xml:space="preserve"> compensaciones entre cada uno de sus usuarios no regulados y el total de los regulados</w:t>
      </w:r>
      <w:r w:rsidR="00C23CDF">
        <w:rPr>
          <w:rFonts w:ascii="Bookman Old Style" w:hAnsi="Bookman Old Style"/>
        </w:rPr>
        <w:t xml:space="preserve">, </w:t>
      </w:r>
      <w:r w:rsidR="002B4454">
        <w:rPr>
          <w:rFonts w:ascii="Bookman Old Style" w:hAnsi="Bookman Old Style"/>
        </w:rPr>
        <w:t xml:space="preserve"> conforme los pagos a realizar al transportador.</w:t>
      </w:r>
    </w:p>
    <w:p w:rsidR="00310C27" w:rsidRDefault="00310C27" w:rsidP="001012DC">
      <w:pPr>
        <w:jc w:val="both"/>
        <w:rPr>
          <w:rFonts w:ascii="Bookman Old Style" w:hAnsi="Bookman Old Style"/>
        </w:rPr>
      </w:pPr>
    </w:p>
    <w:p w:rsidR="00621593" w:rsidRDefault="00621593" w:rsidP="00F6673E">
      <w:pPr>
        <w:jc w:val="both"/>
        <w:rPr>
          <w:rFonts w:ascii="Bookman Old Style" w:hAnsi="Bookman Old Style"/>
        </w:rPr>
      </w:pPr>
    </w:p>
    <w:p w:rsidR="00621593" w:rsidRDefault="00621593" w:rsidP="00F6673E">
      <w:pPr>
        <w:jc w:val="both"/>
        <w:rPr>
          <w:rFonts w:ascii="Bookman Old Style" w:hAnsi="Bookman Old Style"/>
        </w:rPr>
      </w:pPr>
    </w:p>
    <w:p w:rsidR="00621593" w:rsidRDefault="00621593" w:rsidP="001012DC">
      <w:pPr>
        <w:ind w:left="0"/>
        <w:jc w:val="both"/>
        <w:rPr>
          <w:rFonts w:ascii="Bookman Old Style" w:hAnsi="Bookman Old Style"/>
          <w:color w:val="000000"/>
        </w:rPr>
      </w:pPr>
    </w:p>
    <w:p w:rsidR="00621593" w:rsidRDefault="00621593" w:rsidP="00621593">
      <w:pPr>
        <w:jc w:val="both"/>
        <w:rPr>
          <w:rFonts w:ascii="Bookman Old Style" w:hAnsi="Bookman Old Style"/>
          <w:color w:val="000000"/>
        </w:rPr>
      </w:pPr>
    </w:p>
    <w:tbl>
      <w:tblPr>
        <w:tblW w:w="9676" w:type="dxa"/>
        <w:jc w:val="center"/>
        <w:tblLook w:val="04A0" w:firstRow="1" w:lastRow="0" w:firstColumn="1" w:lastColumn="0" w:noHBand="0" w:noVBand="1"/>
      </w:tblPr>
      <w:tblGrid>
        <w:gridCol w:w="4928"/>
        <w:gridCol w:w="4748"/>
      </w:tblGrid>
      <w:tr w:rsidR="00621593" w:rsidTr="00EF69A3">
        <w:trPr>
          <w:jc w:val="center"/>
        </w:trPr>
        <w:tc>
          <w:tcPr>
            <w:tcW w:w="4928" w:type="dxa"/>
            <w:hideMark/>
          </w:tcPr>
          <w:p w:rsidR="00621593" w:rsidRDefault="00621593" w:rsidP="00EF69A3">
            <w:pPr>
              <w:ind w:left="0" w:right="-288"/>
              <w:rPr>
                <w:rFonts w:ascii="Bookman Old Style" w:hAnsi="Bookman Old Style"/>
                <w:b/>
              </w:rPr>
            </w:pPr>
            <w:r>
              <w:rPr>
                <w:rFonts w:ascii="Bookman Old Style" w:hAnsi="Bookman Old Style"/>
                <w:b/>
              </w:rPr>
              <w:t>CARLOS FERNANDO ERASO CALERO</w:t>
            </w:r>
          </w:p>
          <w:p w:rsidR="00621593" w:rsidRDefault="00621593" w:rsidP="00EF69A3">
            <w:pPr>
              <w:ind w:left="0"/>
              <w:jc w:val="center"/>
              <w:rPr>
                <w:rFonts w:ascii="Bookman Old Style" w:hAnsi="Bookman Old Style"/>
              </w:rPr>
            </w:pPr>
            <w:r>
              <w:rPr>
                <w:rFonts w:ascii="Bookman Old Style" w:hAnsi="Bookman Old Style"/>
              </w:rPr>
              <w:t>Viceministro de Energía</w:t>
            </w:r>
          </w:p>
          <w:p w:rsidR="00621593" w:rsidRDefault="00621593" w:rsidP="00EF69A3">
            <w:pPr>
              <w:ind w:left="-90" w:right="-160"/>
              <w:jc w:val="center"/>
              <w:rPr>
                <w:rFonts w:ascii="Bookman Old Style" w:hAnsi="Bookman Old Style"/>
                <w:bCs/>
                <w:lang w:val="es-CO"/>
              </w:rPr>
            </w:pPr>
            <w:r>
              <w:rPr>
                <w:rFonts w:ascii="Bookman Old Style" w:hAnsi="Bookman Old Style"/>
                <w:bCs/>
                <w:lang w:val="es-CO"/>
              </w:rPr>
              <w:t>Delegado del Ministro de Minas y Energía</w:t>
            </w:r>
          </w:p>
          <w:p w:rsidR="00621593" w:rsidRDefault="00621593" w:rsidP="00EF69A3">
            <w:pPr>
              <w:ind w:left="142"/>
              <w:jc w:val="center"/>
              <w:rPr>
                <w:rFonts w:ascii="Bookman Old Style" w:hAnsi="Bookman Old Style"/>
                <w:bCs/>
                <w:lang w:val="es-CO"/>
              </w:rPr>
            </w:pPr>
            <w:r>
              <w:rPr>
                <w:rFonts w:ascii="Bookman Old Style" w:hAnsi="Bookman Old Style"/>
                <w:bCs/>
                <w:lang w:val="es-CO"/>
              </w:rPr>
              <w:t>Presidente</w:t>
            </w:r>
          </w:p>
        </w:tc>
        <w:tc>
          <w:tcPr>
            <w:tcW w:w="4748" w:type="dxa"/>
            <w:hideMark/>
          </w:tcPr>
          <w:p w:rsidR="00621593" w:rsidRDefault="00621593" w:rsidP="00EF69A3">
            <w:pPr>
              <w:ind w:left="0"/>
              <w:jc w:val="center"/>
              <w:rPr>
                <w:rFonts w:ascii="Bookman Old Style" w:hAnsi="Bookman Old Style"/>
                <w:b/>
              </w:rPr>
            </w:pPr>
            <w:r>
              <w:rPr>
                <w:rFonts w:ascii="Bookman Old Style" w:hAnsi="Bookman Old Style"/>
                <w:b/>
              </w:rPr>
              <w:t>JORGE PINTO NOLLA</w:t>
            </w:r>
          </w:p>
          <w:p w:rsidR="00621593" w:rsidRDefault="00621593" w:rsidP="00EF69A3">
            <w:pPr>
              <w:ind w:left="0"/>
              <w:jc w:val="center"/>
              <w:rPr>
                <w:rFonts w:ascii="Bookman Old Style" w:hAnsi="Bookman Old Style"/>
              </w:rPr>
            </w:pPr>
            <w:r>
              <w:rPr>
                <w:rFonts w:ascii="Bookman Old Style" w:hAnsi="Bookman Old Style"/>
              </w:rPr>
              <w:t>Director Ejecutivo</w:t>
            </w:r>
          </w:p>
        </w:tc>
      </w:tr>
    </w:tbl>
    <w:p w:rsidR="00251593" w:rsidRDefault="00251593" w:rsidP="00F04327">
      <w:pPr>
        <w:pStyle w:val="Ttulo1"/>
        <w:rPr>
          <w:rFonts w:ascii="Bookman Old Style" w:hAnsi="Bookman Old Style"/>
        </w:rPr>
      </w:pPr>
    </w:p>
    <w:p w:rsidR="00251593" w:rsidRDefault="00251593">
      <w:pPr>
        <w:ind w:left="0"/>
        <w:rPr>
          <w:rFonts w:ascii="Bookman Old Style" w:hAnsi="Bookman Old Style"/>
          <w:b/>
          <w:szCs w:val="20"/>
          <w:lang w:val="es-CO"/>
        </w:rPr>
      </w:pPr>
      <w:r>
        <w:rPr>
          <w:rFonts w:ascii="Bookman Old Style" w:hAnsi="Bookman Old Style"/>
        </w:rPr>
        <w:br w:type="page"/>
      </w:r>
    </w:p>
    <w:p w:rsidR="00C11572" w:rsidRDefault="00C11572" w:rsidP="00F04327">
      <w:pPr>
        <w:pStyle w:val="Ttulo1"/>
        <w:rPr>
          <w:rFonts w:ascii="Bookman Old Style" w:hAnsi="Bookman Old Style"/>
        </w:rPr>
      </w:pPr>
    </w:p>
    <w:p w:rsidR="00F04327" w:rsidRPr="00AA4EDB" w:rsidRDefault="00F04327" w:rsidP="00F04327">
      <w:pPr>
        <w:pStyle w:val="Ttulo1"/>
        <w:rPr>
          <w:rFonts w:ascii="Bookman Old Style" w:hAnsi="Bookman Old Style"/>
        </w:rPr>
      </w:pPr>
      <w:r w:rsidRPr="00AA4EDB">
        <w:rPr>
          <w:rFonts w:ascii="Bookman Old Style" w:hAnsi="Bookman Old Style"/>
        </w:rPr>
        <w:t xml:space="preserve">Anexo </w:t>
      </w:r>
      <w:r>
        <w:rPr>
          <w:rFonts w:ascii="Bookman Old Style" w:hAnsi="Bookman Old Style"/>
        </w:rPr>
        <w:t>3</w:t>
      </w:r>
    </w:p>
    <w:p w:rsidR="00F04327" w:rsidRDefault="00F04327" w:rsidP="00F6673E">
      <w:pPr>
        <w:jc w:val="both"/>
        <w:rPr>
          <w:rFonts w:ascii="Bookman Old Style" w:hAnsi="Bookman Old Style"/>
        </w:rPr>
      </w:pPr>
    </w:p>
    <w:p w:rsidR="00F04327" w:rsidRDefault="00F04327" w:rsidP="00614818">
      <w:pPr>
        <w:ind w:left="0"/>
        <w:jc w:val="both"/>
        <w:rPr>
          <w:rFonts w:ascii="Bookman Old Style" w:hAnsi="Bookman Old Style"/>
          <w:b/>
          <w:bCs/>
          <w:color w:val="000000"/>
        </w:rPr>
      </w:pPr>
      <w:r>
        <w:rPr>
          <w:rFonts w:ascii="Bookman Old Style" w:hAnsi="Bookman Old Style"/>
          <w:b/>
          <w:bCs/>
          <w:color w:val="000000"/>
        </w:rPr>
        <w:t xml:space="preserve">Procedimiento para </w:t>
      </w:r>
      <w:r w:rsidR="000203AE">
        <w:rPr>
          <w:rFonts w:ascii="Bookman Old Style" w:hAnsi="Bookman Old Style"/>
          <w:b/>
          <w:bCs/>
          <w:color w:val="000000"/>
        </w:rPr>
        <w:t xml:space="preserve">determinar </w:t>
      </w:r>
      <w:r>
        <w:rPr>
          <w:rFonts w:ascii="Bookman Old Style" w:hAnsi="Bookman Old Style"/>
          <w:b/>
          <w:bCs/>
          <w:color w:val="000000"/>
        </w:rPr>
        <w:t xml:space="preserve">desbalances </w:t>
      </w:r>
      <w:r w:rsidR="003E5DE1">
        <w:rPr>
          <w:rFonts w:ascii="Bookman Old Style" w:hAnsi="Bookman Old Style"/>
          <w:b/>
          <w:bCs/>
          <w:color w:val="000000"/>
        </w:rPr>
        <w:t xml:space="preserve">de energía en </w:t>
      </w:r>
      <w:r w:rsidRPr="000B65DE">
        <w:rPr>
          <w:rFonts w:ascii="Bookman Old Style" w:hAnsi="Bookman Old Style"/>
          <w:b/>
          <w:lang w:val="es-ES_tradnl"/>
        </w:rPr>
        <w:t>estación reguladora de puerta de ciudad o puerta de ciudad</w:t>
      </w:r>
      <w:r w:rsidR="000203AE">
        <w:rPr>
          <w:rFonts w:ascii="Bookman Old Style" w:hAnsi="Bookman Old Style"/>
          <w:b/>
          <w:lang w:val="es-ES_tradnl"/>
        </w:rPr>
        <w:t xml:space="preserve"> con medición común a varios remitentes</w:t>
      </w:r>
      <w:r w:rsidR="00631A9D">
        <w:rPr>
          <w:rFonts w:ascii="Bookman Old Style" w:hAnsi="Bookman Old Style"/>
          <w:b/>
          <w:lang w:val="es-ES_tradnl"/>
        </w:rPr>
        <w:t>, dentro de un sistema de dis</w:t>
      </w:r>
      <w:r w:rsidR="00961C90">
        <w:rPr>
          <w:rFonts w:ascii="Bookman Old Style" w:hAnsi="Bookman Old Style"/>
          <w:b/>
          <w:lang w:val="es-ES_tradnl"/>
        </w:rPr>
        <w:t>t</w:t>
      </w:r>
      <w:r w:rsidR="00631A9D">
        <w:rPr>
          <w:rFonts w:ascii="Bookman Old Style" w:hAnsi="Bookman Old Style"/>
          <w:b/>
          <w:lang w:val="es-ES_tradnl"/>
        </w:rPr>
        <w:t>ribución</w:t>
      </w:r>
    </w:p>
    <w:p w:rsidR="00F04327" w:rsidRDefault="00F04327" w:rsidP="00F04327">
      <w:pPr>
        <w:jc w:val="both"/>
        <w:rPr>
          <w:rFonts w:ascii="Bookman Old Style" w:hAnsi="Bookman Old Style"/>
        </w:rPr>
      </w:pPr>
    </w:p>
    <w:p w:rsidR="00A43829" w:rsidRDefault="00A43829" w:rsidP="00B026F8">
      <w:pPr>
        <w:ind w:left="0"/>
        <w:jc w:val="both"/>
        <w:rPr>
          <w:rFonts w:ascii="Bookman Old Style" w:hAnsi="Bookman Old Style"/>
        </w:rPr>
      </w:pPr>
      <w:r w:rsidRPr="006853CB">
        <w:rPr>
          <w:rFonts w:ascii="Bookman Old Style" w:hAnsi="Bookman Old Style"/>
        </w:rPr>
        <w:t xml:space="preserve">Para la asignación de </w:t>
      </w:r>
      <w:r>
        <w:rPr>
          <w:rFonts w:ascii="Bookman Old Style" w:hAnsi="Bookman Old Style"/>
        </w:rPr>
        <w:t>desbalances de energía del sistema de transporte en estación reguladora de puerta de ciudad o puerta de ciudad con medición común a varios remitentes, el transportador</w:t>
      </w:r>
      <w:r w:rsidR="00B026F8">
        <w:rPr>
          <w:rFonts w:ascii="Bookman Old Style" w:hAnsi="Bookman Old Style"/>
        </w:rPr>
        <w:t xml:space="preserve"> d</w:t>
      </w:r>
      <w:r>
        <w:rPr>
          <w:rFonts w:ascii="Bookman Old Style" w:hAnsi="Bookman Old Style"/>
        </w:rPr>
        <w:t xml:space="preserve">eterminará los desbalances de los remitentes </w:t>
      </w:r>
      <w:r w:rsidR="00FD111F">
        <w:rPr>
          <w:rFonts w:ascii="Bookman Old Style" w:hAnsi="Bookman Old Style"/>
        </w:rPr>
        <w:t>en la respectiva estación de puerta de ciudad o puerta de ciudad</w:t>
      </w:r>
      <w:r>
        <w:rPr>
          <w:rFonts w:ascii="Bookman Old Style" w:hAnsi="Bookman Old Style"/>
        </w:rPr>
        <w:t xml:space="preserve">. Para esto, el transportador tomará la información </w:t>
      </w:r>
      <w:r w:rsidR="00FD111F">
        <w:rPr>
          <w:rFonts w:ascii="Bookman Old Style" w:hAnsi="Bookman Old Style"/>
        </w:rPr>
        <w:t xml:space="preserve">reportada por el distribuidor principal </w:t>
      </w:r>
      <w:r>
        <w:rPr>
          <w:rFonts w:ascii="Bookman Old Style" w:hAnsi="Bookman Old Style"/>
        </w:rPr>
        <w:t>sobre los volúmenes de gas consumidos por los remitentes, refe</w:t>
      </w:r>
      <w:r w:rsidR="00FD111F">
        <w:rPr>
          <w:rFonts w:ascii="Bookman Old Style" w:hAnsi="Bookman Old Style"/>
        </w:rPr>
        <w:t>r</w:t>
      </w:r>
      <w:r>
        <w:rPr>
          <w:rFonts w:ascii="Bookman Old Style" w:hAnsi="Bookman Old Style"/>
        </w:rPr>
        <w:t xml:space="preserve">idos a la estación reguladora de puerta ciudad o puerta de ciudad, y los </w:t>
      </w:r>
      <w:r w:rsidRPr="00AD0A36">
        <w:rPr>
          <w:rFonts w:ascii="Bookman Old Style" w:hAnsi="Bookman Old Style"/>
        </w:rPr>
        <w:t>convertirá a cantidades de energía utilizando el valor del poder calorífico del gas entregado en la estación puerta de ciudad.</w:t>
      </w:r>
      <w:r>
        <w:rPr>
          <w:rFonts w:ascii="Bookman Old Style" w:hAnsi="Bookman Old Style"/>
        </w:rPr>
        <w:t xml:space="preserve"> A partir de esta información y de las cantidades de energía autorizadas por el transportador a cada remitente, los desbalances se determinarán de acuerdo con la regulación vigente.</w:t>
      </w:r>
    </w:p>
    <w:p w:rsidR="00F04327" w:rsidRDefault="00F04327" w:rsidP="00F04327">
      <w:pPr>
        <w:jc w:val="both"/>
        <w:rPr>
          <w:rFonts w:ascii="Bookman Old Style" w:hAnsi="Bookman Old Style"/>
          <w:color w:val="000000"/>
        </w:rPr>
      </w:pPr>
    </w:p>
    <w:p w:rsidR="00FD111F" w:rsidRDefault="00FD111F" w:rsidP="00F04327">
      <w:pPr>
        <w:jc w:val="both"/>
        <w:rPr>
          <w:rFonts w:ascii="Bookman Old Style" w:hAnsi="Bookman Old Style"/>
          <w:color w:val="000000"/>
        </w:rPr>
      </w:pPr>
    </w:p>
    <w:p w:rsidR="00FD111F" w:rsidRDefault="00FD111F" w:rsidP="00F04327">
      <w:pPr>
        <w:jc w:val="both"/>
        <w:rPr>
          <w:rFonts w:ascii="Bookman Old Style" w:hAnsi="Bookman Old Style"/>
          <w:color w:val="000000"/>
        </w:rPr>
      </w:pPr>
    </w:p>
    <w:p w:rsidR="00FD111F" w:rsidRDefault="00FD111F" w:rsidP="00F04327">
      <w:pPr>
        <w:jc w:val="both"/>
        <w:rPr>
          <w:rFonts w:ascii="Bookman Old Style" w:hAnsi="Bookman Old Style"/>
          <w:color w:val="000000"/>
        </w:rPr>
      </w:pPr>
    </w:p>
    <w:p w:rsidR="00FD111F" w:rsidRDefault="00FD111F" w:rsidP="00F04327">
      <w:pPr>
        <w:jc w:val="both"/>
        <w:rPr>
          <w:rFonts w:ascii="Bookman Old Style" w:hAnsi="Bookman Old Style"/>
          <w:color w:val="000000"/>
        </w:rPr>
      </w:pPr>
    </w:p>
    <w:p w:rsidR="00FD111F" w:rsidRDefault="00FD111F" w:rsidP="00F04327">
      <w:pPr>
        <w:jc w:val="both"/>
        <w:rPr>
          <w:rFonts w:ascii="Bookman Old Style" w:hAnsi="Bookman Old Style"/>
          <w:color w:val="000000"/>
        </w:rPr>
      </w:pPr>
    </w:p>
    <w:p w:rsidR="00FD111F" w:rsidRDefault="00FD111F" w:rsidP="00F04327">
      <w:pPr>
        <w:jc w:val="both"/>
        <w:rPr>
          <w:rFonts w:ascii="Bookman Old Style" w:hAnsi="Bookman Old Style"/>
          <w:color w:val="000000"/>
        </w:rPr>
      </w:pPr>
    </w:p>
    <w:tbl>
      <w:tblPr>
        <w:tblW w:w="9676" w:type="dxa"/>
        <w:jc w:val="center"/>
        <w:tblLook w:val="04A0" w:firstRow="1" w:lastRow="0" w:firstColumn="1" w:lastColumn="0" w:noHBand="0" w:noVBand="1"/>
      </w:tblPr>
      <w:tblGrid>
        <w:gridCol w:w="4928"/>
        <w:gridCol w:w="4748"/>
      </w:tblGrid>
      <w:tr w:rsidR="00F04327" w:rsidTr="00AE1163">
        <w:trPr>
          <w:jc w:val="center"/>
        </w:trPr>
        <w:tc>
          <w:tcPr>
            <w:tcW w:w="4928" w:type="dxa"/>
            <w:hideMark/>
          </w:tcPr>
          <w:p w:rsidR="00F04327" w:rsidRDefault="00F04327" w:rsidP="00AE1163">
            <w:pPr>
              <w:ind w:left="0" w:right="-288"/>
              <w:rPr>
                <w:rFonts w:ascii="Bookman Old Style" w:hAnsi="Bookman Old Style"/>
                <w:b/>
              </w:rPr>
            </w:pPr>
            <w:r>
              <w:rPr>
                <w:rFonts w:ascii="Bookman Old Style" w:hAnsi="Bookman Old Style"/>
                <w:b/>
              </w:rPr>
              <w:t>CARLOS FERNANDO ERASO CALERO</w:t>
            </w:r>
          </w:p>
          <w:p w:rsidR="00F04327" w:rsidRDefault="00F04327" w:rsidP="00AE1163">
            <w:pPr>
              <w:ind w:left="0"/>
              <w:jc w:val="center"/>
              <w:rPr>
                <w:rFonts w:ascii="Bookman Old Style" w:hAnsi="Bookman Old Style"/>
              </w:rPr>
            </w:pPr>
            <w:r>
              <w:rPr>
                <w:rFonts w:ascii="Bookman Old Style" w:hAnsi="Bookman Old Style"/>
              </w:rPr>
              <w:t>Viceministro de Energía</w:t>
            </w:r>
          </w:p>
          <w:p w:rsidR="00F04327" w:rsidRDefault="00F04327" w:rsidP="00AE1163">
            <w:pPr>
              <w:ind w:left="-90" w:right="-160"/>
              <w:jc w:val="center"/>
              <w:rPr>
                <w:rFonts w:ascii="Bookman Old Style" w:hAnsi="Bookman Old Style"/>
                <w:bCs/>
                <w:lang w:val="es-CO"/>
              </w:rPr>
            </w:pPr>
            <w:r>
              <w:rPr>
                <w:rFonts w:ascii="Bookman Old Style" w:hAnsi="Bookman Old Style"/>
                <w:bCs/>
                <w:lang w:val="es-CO"/>
              </w:rPr>
              <w:t>Delegado del Ministro de Minas y Energía</w:t>
            </w:r>
          </w:p>
          <w:p w:rsidR="00F04327" w:rsidRDefault="00F04327" w:rsidP="00AE1163">
            <w:pPr>
              <w:ind w:left="142"/>
              <w:jc w:val="center"/>
              <w:rPr>
                <w:rFonts w:ascii="Bookman Old Style" w:hAnsi="Bookman Old Style"/>
                <w:bCs/>
                <w:lang w:val="es-CO"/>
              </w:rPr>
            </w:pPr>
            <w:r>
              <w:rPr>
                <w:rFonts w:ascii="Bookman Old Style" w:hAnsi="Bookman Old Style"/>
                <w:bCs/>
                <w:lang w:val="es-CO"/>
              </w:rPr>
              <w:t>Presidente</w:t>
            </w:r>
          </w:p>
        </w:tc>
        <w:tc>
          <w:tcPr>
            <w:tcW w:w="4748" w:type="dxa"/>
            <w:hideMark/>
          </w:tcPr>
          <w:p w:rsidR="00F04327" w:rsidRDefault="00F04327" w:rsidP="00AE1163">
            <w:pPr>
              <w:ind w:left="0"/>
              <w:jc w:val="center"/>
              <w:rPr>
                <w:rFonts w:ascii="Bookman Old Style" w:hAnsi="Bookman Old Style"/>
                <w:b/>
              </w:rPr>
            </w:pPr>
            <w:r>
              <w:rPr>
                <w:rFonts w:ascii="Bookman Old Style" w:hAnsi="Bookman Old Style"/>
                <w:b/>
              </w:rPr>
              <w:t>JORGE PINTO NOLLA</w:t>
            </w:r>
          </w:p>
          <w:p w:rsidR="00F04327" w:rsidRDefault="00F04327" w:rsidP="00AE1163">
            <w:pPr>
              <w:ind w:left="0"/>
              <w:jc w:val="center"/>
              <w:rPr>
                <w:rFonts w:ascii="Bookman Old Style" w:hAnsi="Bookman Old Style"/>
              </w:rPr>
            </w:pPr>
            <w:r>
              <w:rPr>
                <w:rFonts w:ascii="Bookman Old Style" w:hAnsi="Bookman Old Style"/>
              </w:rPr>
              <w:t>Director Ejecutivo</w:t>
            </w:r>
          </w:p>
        </w:tc>
      </w:tr>
    </w:tbl>
    <w:p w:rsidR="00F04327" w:rsidRDefault="00F04327" w:rsidP="00F6673E">
      <w:pPr>
        <w:jc w:val="both"/>
        <w:rPr>
          <w:rFonts w:ascii="Bookman Old Style" w:hAnsi="Bookman Old Style"/>
        </w:rPr>
      </w:pPr>
    </w:p>
    <w:p w:rsidR="00621593" w:rsidRPr="00F6673E" w:rsidRDefault="00621593" w:rsidP="001012DC">
      <w:pPr>
        <w:ind w:left="0"/>
        <w:rPr>
          <w:rFonts w:ascii="Bookman Old Style" w:hAnsi="Bookman Old Style"/>
        </w:rPr>
      </w:pPr>
    </w:p>
    <w:sectPr w:rsidR="00621593" w:rsidRPr="00F6673E"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6F8" w:rsidRDefault="00B026F8">
      <w:r>
        <w:separator/>
      </w:r>
    </w:p>
  </w:endnote>
  <w:endnote w:type="continuationSeparator" w:id="0">
    <w:p w:rsidR="00B026F8" w:rsidRDefault="00B02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6F8" w:rsidRDefault="00B026F8">
      <w:r>
        <w:separator/>
      </w:r>
    </w:p>
  </w:footnote>
  <w:footnote w:type="continuationSeparator" w:id="0">
    <w:p w:rsidR="00B026F8" w:rsidRDefault="00B026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6F8" w:rsidRDefault="00B026F8" w:rsidP="0067070C">
    <w:pPr>
      <w:pStyle w:val="Ttulo1"/>
      <w:ind w:right="6"/>
      <w:rPr>
        <w:rFonts w:ascii="Bookman Old Style" w:hAnsi="Bookman Old Style" w:cs="Arial"/>
        <w:b w:val="0"/>
        <w:sz w:val="22"/>
        <w:szCs w:val="22"/>
      </w:rPr>
    </w:pPr>
  </w:p>
  <w:p w:rsidR="00B026F8" w:rsidRPr="00951F79" w:rsidRDefault="00B026F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8646FD">
      <w:rPr>
        <w:rFonts w:ascii="Bookman Old Style" w:hAnsi="Bookman Old Style" w:cs="Arial"/>
        <w:b w:val="0"/>
        <w:noProof/>
        <w:sz w:val="22"/>
        <w:szCs w:val="22"/>
      </w:rPr>
      <w:t>12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8646FD" w:rsidRPr="008646FD">
        <w:rPr>
          <w:rFonts w:ascii="Bookman Old Style" w:hAnsi="Bookman Old Style" w:cs="Arial"/>
          <w:b w:val="0"/>
          <w:noProof/>
          <w:sz w:val="22"/>
          <w:szCs w:val="22"/>
        </w:rPr>
        <w:t>12</w:t>
      </w:r>
    </w:fldSimple>
  </w:p>
  <w:p w:rsidR="00B026F8" w:rsidRPr="00FB138D" w:rsidRDefault="00B026F8" w:rsidP="00AD01E4">
    <w:pPr>
      <w:ind w:left="142" w:right="148"/>
      <w:rPr>
        <w:rFonts w:ascii="Bookman Old Style" w:hAnsi="Bookman Old Style" w:cs="Arial"/>
        <w:sz w:val="22"/>
        <w:szCs w:val="22"/>
      </w:rPr>
    </w:pPr>
    <w:r>
      <w:rPr>
        <w:noProof/>
        <w:lang w:val="es-CO" w:eastAsia="es-CO"/>
      </w:rPr>
      <mc:AlternateContent>
        <mc:Choice Requires="wps">
          <w:drawing>
            <wp:anchor distT="0" distB="0" distL="114300" distR="114300" simplePos="0" relativeHeight="251657216" behindDoc="0" locked="0" layoutInCell="1" allowOverlap="1" wp14:anchorId="2E411F4C" wp14:editId="135A63FB">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B026F8" w:rsidRPr="009142A4" w:rsidRDefault="00B026F8" w:rsidP="009142A4">
    <w:pPr>
      <w:ind w:left="0"/>
      <w:jc w:val="both"/>
      <w:rPr>
        <w:rFonts w:ascii="Bookman Old Style" w:hAnsi="Bookman Old Style" w:cs="Arial"/>
        <w:sz w:val="22"/>
        <w:szCs w:val="22"/>
      </w:rPr>
    </w:pPr>
    <w:r w:rsidRPr="009142A4">
      <w:rPr>
        <w:rFonts w:ascii="Bookman Old Style" w:hAnsi="Bookman Old Style" w:cs="Arial"/>
        <w:sz w:val="22"/>
        <w:szCs w:val="22"/>
      </w:rPr>
      <w:t>Por la cual se ordena hacer público un proyecto de resolución de carácter general, “Por la cual se dictan disposiciones sobre compensaciones y desbalances en estaciones de puerta de ciudad con medición común a varios remitentes dentro de un sistema de distribución, y se modifica el parágrafo 5 del Artículo 54 de la Resolución CREG 089 de 2013”</w:t>
    </w:r>
  </w:p>
  <w:p w:rsidR="00B026F8" w:rsidRPr="008D64E7" w:rsidRDefault="00B026F8" w:rsidP="009142A4">
    <w:pPr>
      <w:pBdr>
        <w:bottom w:val="single" w:sz="4" w:space="1" w:color="auto"/>
      </w:pBdr>
      <w:ind w:left="142" w:right="148"/>
      <w:jc w:val="both"/>
      <w:rPr>
        <w:rFonts w:ascii="Bookman Old Style" w:hAnsi="Bookman Old Style"/>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6F8" w:rsidRDefault="00B026F8"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B026F8" w:rsidRDefault="00B026F8">
    <w:pPr>
      <w:pStyle w:val="Encabezado"/>
      <w:jc w:val="center"/>
      <w:rPr>
        <w:rFonts w:ascii="Arial" w:hAnsi="Arial" w:cs="Arial"/>
        <w:spacing w:val="20"/>
        <w:sz w:val="20"/>
      </w:rPr>
    </w:pPr>
  </w:p>
  <w:p w:rsidR="00B026F8" w:rsidRDefault="00B026F8"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398DC5E9" wp14:editId="0EEE4EAB">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1B40028"/>
    <w:multiLevelType w:val="hybridMultilevel"/>
    <w:tmpl w:val="EA44AFFA"/>
    <w:lvl w:ilvl="0" w:tplc="9B301F70">
      <w:start w:val="1"/>
      <w:numFmt w:val="lowerLetter"/>
      <w:lvlText w:val="%1."/>
      <w:lvlJc w:val="left"/>
      <w:pPr>
        <w:ind w:left="1287" w:hanging="360"/>
      </w:pPr>
      <w:rPr>
        <w:sz w:val="24"/>
        <w:szCs w:val="24"/>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nsid w:val="06D975EF"/>
    <w:multiLevelType w:val="hybridMultilevel"/>
    <w:tmpl w:val="27B848A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17491201"/>
    <w:multiLevelType w:val="hybridMultilevel"/>
    <w:tmpl w:val="1C0C6A62"/>
    <w:lvl w:ilvl="0" w:tplc="A56CC70E">
      <w:numFmt w:val="bullet"/>
      <w:lvlText w:val="-"/>
      <w:lvlJc w:val="left"/>
      <w:pPr>
        <w:ind w:left="720" w:hanging="360"/>
      </w:pPr>
      <w:rPr>
        <w:rFonts w:ascii="Bookman Old Style" w:eastAsia="Times New Roman" w:hAnsi="Bookman Old Styl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9EF2E96"/>
    <w:multiLevelType w:val="hybridMultilevel"/>
    <w:tmpl w:val="E65605EC"/>
    <w:lvl w:ilvl="0" w:tplc="080A0019">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nsid w:val="28895A1D"/>
    <w:multiLevelType w:val="hybridMultilevel"/>
    <w:tmpl w:val="17A2E224"/>
    <w:lvl w:ilvl="0" w:tplc="3FAE7FDA">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7">
    <w:nsid w:val="31DC7E44"/>
    <w:multiLevelType w:val="hybridMultilevel"/>
    <w:tmpl w:val="3E62A706"/>
    <w:lvl w:ilvl="0" w:tplc="566CEA32">
      <w:start w:val="1"/>
      <w:numFmt w:val="lowerLetter"/>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8">
    <w:nsid w:val="33865176"/>
    <w:multiLevelType w:val="hybridMultilevel"/>
    <w:tmpl w:val="E65605EC"/>
    <w:lvl w:ilvl="0" w:tplc="080A0019">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3FE74F50"/>
    <w:multiLevelType w:val="multilevel"/>
    <w:tmpl w:val="CA106506"/>
    <w:lvl w:ilvl="0">
      <w:start w:val="1"/>
      <w:numFmt w:val="decimal"/>
      <w:lvlText w:val="%1."/>
      <w:lvlJc w:val="left"/>
      <w:pPr>
        <w:ind w:left="720" w:hanging="720"/>
      </w:pPr>
      <w:rPr>
        <w:rFonts w:hint="default"/>
        <w:b w:val="0"/>
        <w:sz w:val="22"/>
        <w:szCs w:val="22"/>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10">
    <w:nsid w:val="49BD1230"/>
    <w:multiLevelType w:val="hybridMultilevel"/>
    <w:tmpl w:val="49829696"/>
    <w:lvl w:ilvl="0" w:tplc="3FAE7FDA">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1">
    <w:nsid w:val="4C506FA6"/>
    <w:multiLevelType w:val="hybridMultilevel"/>
    <w:tmpl w:val="7834E4AC"/>
    <w:lvl w:ilvl="0" w:tplc="504CDFF0">
      <w:start w:val="1"/>
      <w:numFmt w:val="lowerRoman"/>
      <w:lvlText w:val="(%1)"/>
      <w:lvlJc w:val="left"/>
      <w:pPr>
        <w:ind w:left="1004" w:hanging="72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2">
    <w:nsid w:val="521A7046"/>
    <w:multiLevelType w:val="hybridMultilevel"/>
    <w:tmpl w:val="4E2203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5E8E288A"/>
    <w:multiLevelType w:val="hybridMultilevel"/>
    <w:tmpl w:val="E5DA90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2F775DF"/>
    <w:multiLevelType w:val="hybridMultilevel"/>
    <w:tmpl w:val="05303F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4921028"/>
    <w:multiLevelType w:val="hybridMultilevel"/>
    <w:tmpl w:val="252209D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17">
    <w:nsid w:val="73432BD8"/>
    <w:multiLevelType w:val="hybridMultilevel"/>
    <w:tmpl w:val="DB607420"/>
    <w:lvl w:ilvl="0" w:tplc="8EE8F796">
      <w:start w:val="1"/>
      <w:numFmt w:val="decimal"/>
      <w:pStyle w:val="ARTICULOS"/>
      <w:lvlText w:val="Artículo %1."/>
      <w:lvlJc w:val="left"/>
      <w:pPr>
        <w:ind w:left="1637"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specVanish w:val="0"/>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abstractNum w:abstractNumId="18">
    <w:nsid w:val="783D018A"/>
    <w:multiLevelType w:val="hybridMultilevel"/>
    <w:tmpl w:val="282A3BD6"/>
    <w:lvl w:ilvl="0" w:tplc="66567DEC">
      <w:start w:val="6"/>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9">
    <w:nsid w:val="7B1525FE"/>
    <w:multiLevelType w:val="hybridMultilevel"/>
    <w:tmpl w:val="B49098A6"/>
    <w:lvl w:ilvl="0" w:tplc="4D1696C6">
      <w:start w:val="6"/>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7D7667A2"/>
    <w:multiLevelType w:val="hybridMultilevel"/>
    <w:tmpl w:val="711E1FBE"/>
    <w:lvl w:ilvl="0" w:tplc="3FAE7FDA">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abstractNumId w:val="1"/>
  </w:num>
  <w:num w:numId="2">
    <w:abstractNumId w:val="16"/>
  </w:num>
  <w:num w:numId="3">
    <w:abstractNumId w:val="17"/>
  </w:num>
  <w:num w:numId="4">
    <w:abstractNumId w:val="13"/>
  </w:num>
  <w:num w:numId="5">
    <w:abstractNumId w:val="4"/>
  </w:num>
  <w:num w:numId="6">
    <w:abstractNumId w:val="14"/>
  </w:num>
  <w:num w:numId="7">
    <w:abstractNumId w:val="20"/>
  </w:num>
  <w:num w:numId="8">
    <w:abstractNumId w:val="9"/>
  </w:num>
  <w:num w:numId="9">
    <w:abstractNumId w:val="11"/>
  </w:num>
  <w:num w:numId="10">
    <w:abstractNumId w:val="6"/>
  </w:num>
  <w:num w:numId="11">
    <w:abstractNumId w:val="10"/>
  </w:num>
  <w:num w:numId="12">
    <w:abstractNumId w:val="3"/>
  </w:num>
  <w:num w:numId="13">
    <w:abstractNumId w:val="5"/>
  </w:num>
  <w:num w:numId="14">
    <w:abstractNumId w:val="15"/>
  </w:num>
  <w:num w:numId="15">
    <w:abstractNumId w:val="2"/>
  </w:num>
  <w:num w:numId="16">
    <w:abstractNumId w:val="7"/>
  </w:num>
  <w:num w:numId="17">
    <w:abstractNumId w:val="18"/>
  </w:num>
  <w:num w:numId="18">
    <w:abstractNumId w:val="19"/>
  </w:num>
  <w:num w:numId="19">
    <w:abstractNumId w:val="8"/>
  </w:num>
  <w:num w:numId="20">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49AC"/>
    <w:rsid w:val="00006A1B"/>
    <w:rsid w:val="00006AE2"/>
    <w:rsid w:val="00006EB7"/>
    <w:rsid w:val="000076A1"/>
    <w:rsid w:val="00010588"/>
    <w:rsid w:val="00012259"/>
    <w:rsid w:val="000147A6"/>
    <w:rsid w:val="00014B26"/>
    <w:rsid w:val="000203AE"/>
    <w:rsid w:val="00025383"/>
    <w:rsid w:val="00026267"/>
    <w:rsid w:val="00031EBC"/>
    <w:rsid w:val="00035F77"/>
    <w:rsid w:val="00036AE1"/>
    <w:rsid w:val="00041088"/>
    <w:rsid w:val="00045D3D"/>
    <w:rsid w:val="00053360"/>
    <w:rsid w:val="000609DD"/>
    <w:rsid w:val="00063657"/>
    <w:rsid w:val="0006375B"/>
    <w:rsid w:val="00071D31"/>
    <w:rsid w:val="0007307D"/>
    <w:rsid w:val="00074E36"/>
    <w:rsid w:val="00076680"/>
    <w:rsid w:val="00076A1D"/>
    <w:rsid w:val="00077808"/>
    <w:rsid w:val="0008073E"/>
    <w:rsid w:val="00085314"/>
    <w:rsid w:val="000862EC"/>
    <w:rsid w:val="00091CDB"/>
    <w:rsid w:val="00097856"/>
    <w:rsid w:val="000A19AC"/>
    <w:rsid w:val="000A78F9"/>
    <w:rsid w:val="000B2EC9"/>
    <w:rsid w:val="000C4283"/>
    <w:rsid w:val="000D071D"/>
    <w:rsid w:val="000D1BDF"/>
    <w:rsid w:val="000D26C4"/>
    <w:rsid w:val="000D26F8"/>
    <w:rsid w:val="000D4AF9"/>
    <w:rsid w:val="000E104D"/>
    <w:rsid w:val="000E17B2"/>
    <w:rsid w:val="000E74B3"/>
    <w:rsid w:val="000F3F66"/>
    <w:rsid w:val="0010107B"/>
    <w:rsid w:val="001012DC"/>
    <w:rsid w:val="00103CA6"/>
    <w:rsid w:val="00104663"/>
    <w:rsid w:val="0010638D"/>
    <w:rsid w:val="001065BB"/>
    <w:rsid w:val="00106654"/>
    <w:rsid w:val="0010688E"/>
    <w:rsid w:val="00116FA9"/>
    <w:rsid w:val="00117287"/>
    <w:rsid w:val="001219FB"/>
    <w:rsid w:val="00124CE4"/>
    <w:rsid w:val="0013526C"/>
    <w:rsid w:val="001405C6"/>
    <w:rsid w:val="00141013"/>
    <w:rsid w:val="001417FE"/>
    <w:rsid w:val="001462E1"/>
    <w:rsid w:val="00146A36"/>
    <w:rsid w:val="0014702B"/>
    <w:rsid w:val="00147051"/>
    <w:rsid w:val="00151892"/>
    <w:rsid w:val="001546C3"/>
    <w:rsid w:val="001628B8"/>
    <w:rsid w:val="0018002F"/>
    <w:rsid w:val="00192CBF"/>
    <w:rsid w:val="00192FF1"/>
    <w:rsid w:val="001966E8"/>
    <w:rsid w:val="001A2D2F"/>
    <w:rsid w:val="001A5C47"/>
    <w:rsid w:val="001A5F1B"/>
    <w:rsid w:val="001B1C22"/>
    <w:rsid w:val="001B2011"/>
    <w:rsid w:val="001B34C6"/>
    <w:rsid w:val="001C4C1E"/>
    <w:rsid w:val="001C747D"/>
    <w:rsid w:val="001D0DE4"/>
    <w:rsid w:val="001D69DF"/>
    <w:rsid w:val="001D7832"/>
    <w:rsid w:val="001E38AA"/>
    <w:rsid w:val="001F1383"/>
    <w:rsid w:val="001F620A"/>
    <w:rsid w:val="00200F39"/>
    <w:rsid w:val="0020604D"/>
    <w:rsid w:val="00210DC1"/>
    <w:rsid w:val="00211D34"/>
    <w:rsid w:val="00214F04"/>
    <w:rsid w:val="00215FE1"/>
    <w:rsid w:val="00224C13"/>
    <w:rsid w:val="00232EC6"/>
    <w:rsid w:val="002352B9"/>
    <w:rsid w:val="002415B2"/>
    <w:rsid w:val="00245C5D"/>
    <w:rsid w:val="0025046B"/>
    <w:rsid w:val="00251593"/>
    <w:rsid w:val="002535C5"/>
    <w:rsid w:val="00262077"/>
    <w:rsid w:val="00266CD6"/>
    <w:rsid w:val="00275DAB"/>
    <w:rsid w:val="002779DE"/>
    <w:rsid w:val="00287D7E"/>
    <w:rsid w:val="002903C0"/>
    <w:rsid w:val="002922CB"/>
    <w:rsid w:val="0029644D"/>
    <w:rsid w:val="002A06C8"/>
    <w:rsid w:val="002A3E3D"/>
    <w:rsid w:val="002A782A"/>
    <w:rsid w:val="002B11E2"/>
    <w:rsid w:val="002B24B8"/>
    <w:rsid w:val="002B2AB0"/>
    <w:rsid w:val="002B4454"/>
    <w:rsid w:val="002C6E3B"/>
    <w:rsid w:val="002D1EEF"/>
    <w:rsid w:val="002D3AE9"/>
    <w:rsid w:val="002D4510"/>
    <w:rsid w:val="002D6742"/>
    <w:rsid w:val="002D77BC"/>
    <w:rsid w:val="002E6C87"/>
    <w:rsid w:val="002F0734"/>
    <w:rsid w:val="002F46E7"/>
    <w:rsid w:val="002F5298"/>
    <w:rsid w:val="003007AA"/>
    <w:rsid w:val="003079C4"/>
    <w:rsid w:val="00307B90"/>
    <w:rsid w:val="003101DA"/>
    <w:rsid w:val="00310C27"/>
    <w:rsid w:val="003136C9"/>
    <w:rsid w:val="00314757"/>
    <w:rsid w:val="003163BC"/>
    <w:rsid w:val="003211CE"/>
    <w:rsid w:val="003254D2"/>
    <w:rsid w:val="0033162C"/>
    <w:rsid w:val="00331732"/>
    <w:rsid w:val="00350360"/>
    <w:rsid w:val="00352E01"/>
    <w:rsid w:val="0035403A"/>
    <w:rsid w:val="0035551C"/>
    <w:rsid w:val="00356271"/>
    <w:rsid w:val="00362FF4"/>
    <w:rsid w:val="0036394B"/>
    <w:rsid w:val="00365454"/>
    <w:rsid w:val="00366DB6"/>
    <w:rsid w:val="00367936"/>
    <w:rsid w:val="003709B5"/>
    <w:rsid w:val="003759C2"/>
    <w:rsid w:val="00377B25"/>
    <w:rsid w:val="003821D8"/>
    <w:rsid w:val="003853D9"/>
    <w:rsid w:val="00394EED"/>
    <w:rsid w:val="00397365"/>
    <w:rsid w:val="003A1467"/>
    <w:rsid w:val="003A31F6"/>
    <w:rsid w:val="003B1483"/>
    <w:rsid w:val="003B665A"/>
    <w:rsid w:val="003C13E1"/>
    <w:rsid w:val="003C2232"/>
    <w:rsid w:val="003C3447"/>
    <w:rsid w:val="003C3916"/>
    <w:rsid w:val="003C3FEB"/>
    <w:rsid w:val="003C51A1"/>
    <w:rsid w:val="003D076C"/>
    <w:rsid w:val="003D1922"/>
    <w:rsid w:val="003D2472"/>
    <w:rsid w:val="003D42A0"/>
    <w:rsid w:val="003E042A"/>
    <w:rsid w:val="003E09AB"/>
    <w:rsid w:val="003E2F37"/>
    <w:rsid w:val="003E4DD6"/>
    <w:rsid w:val="003E5DE1"/>
    <w:rsid w:val="003E699B"/>
    <w:rsid w:val="003E78B5"/>
    <w:rsid w:val="004007E0"/>
    <w:rsid w:val="00401B8C"/>
    <w:rsid w:val="00413969"/>
    <w:rsid w:val="00415BAB"/>
    <w:rsid w:val="00415ED2"/>
    <w:rsid w:val="0042068C"/>
    <w:rsid w:val="004303CF"/>
    <w:rsid w:val="00432B2C"/>
    <w:rsid w:val="0044318E"/>
    <w:rsid w:val="00443B35"/>
    <w:rsid w:val="00447747"/>
    <w:rsid w:val="004554E3"/>
    <w:rsid w:val="00455A3F"/>
    <w:rsid w:val="00462BBF"/>
    <w:rsid w:val="00470962"/>
    <w:rsid w:val="0047122B"/>
    <w:rsid w:val="00473B7A"/>
    <w:rsid w:val="004811C6"/>
    <w:rsid w:val="00484495"/>
    <w:rsid w:val="00486E3D"/>
    <w:rsid w:val="00490DDC"/>
    <w:rsid w:val="004910F8"/>
    <w:rsid w:val="00492B9C"/>
    <w:rsid w:val="00492D8B"/>
    <w:rsid w:val="004960E9"/>
    <w:rsid w:val="0049740F"/>
    <w:rsid w:val="004A057F"/>
    <w:rsid w:val="004A0F3D"/>
    <w:rsid w:val="004A2E88"/>
    <w:rsid w:val="004A435C"/>
    <w:rsid w:val="004A5305"/>
    <w:rsid w:val="004B0A96"/>
    <w:rsid w:val="004B3ECB"/>
    <w:rsid w:val="004B4315"/>
    <w:rsid w:val="004B432A"/>
    <w:rsid w:val="004B480B"/>
    <w:rsid w:val="004D569B"/>
    <w:rsid w:val="004D7634"/>
    <w:rsid w:val="004E2AD6"/>
    <w:rsid w:val="004E611A"/>
    <w:rsid w:val="004F3D59"/>
    <w:rsid w:val="004F5F73"/>
    <w:rsid w:val="004F6460"/>
    <w:rsid w:val="0051119C"/>
    <w:rsid w:val="005111B8"/>
    <w:rsid w:val="00514921"/>
    <w:rsid w:val="00515CC1"/>
    <w:rsid w:val="00527AD5"/>
    <w:rsid w:val="005300D3"/>
    <w:rsid w:val="00530EFA"/>
    <w:rsid w:val="0053352D"/>
    <w:rsid w:val="00533D6F"/>
    <w:rsid w:val="00542A10"/>
    <w:rsid w:val="00544348"/>
    <w:rsid w:val="00544F82"/>
    <w:rsid w:val="00547A9F"/>
    <w:rsid w:val="005509D2"/>
    <w:rsid w:val="00551734"/>
    <w:rsid w:val="00552036"/>
    <w:rsid w:val="00561249"/>
    <w:rsid w:val="005645FF"/>
    <w:rsid w:val="00574CB5"/>
    <w:rsid w:val="00593C4F"/>
    <w:rsid w:val="005946A8"/>
    <w:rsid w:val="005973B4"/>
    <w:rsid w:val="005A4407"/>
    <w:rsid w:val="005A59EF"/>
    <w:rsid w:val="005A6101"/>
    <w:rsid w:val="005B0A3A"/>
    <w:rsid w:val="005B1C7E"/>
    <w:rsid w:val="005C11F2"/>
    <w:rsid w:val="005C6976"/>
    <w:rsid w:val="005D1577"/>
    <w:rsid w:val="005E098F"/>
    <w:rsid w:val="005E7BB7"/>
    <w:rsid w:val="005F0FBA"/>
    <w:rsid w:val="005F6F41"/>
    <w:rsid w:val="0060050B"/>
    <w:rsid w:val="00607F44"/>
    <w:rsid w:val="00610024"/>
    <w:rsid w:val="00614818"/>
    <w:rsid w:val="00615F81"/>
    <w:rsid w:val="00616CD4"/>
    <w:rsid w:val="00621593"/>
    <w:rsid w:val="00625DC6"/>
    <w:rsid w:val="0062681E"/>
    <w:rsid w:val="00630B67"/>
    <w:rsid w:val="006315BE"/>
    <w:rsid w:val="00631A9D"/>
    <w:rsid w:val="0063406A"/>
    <w:rsid w:val="0064391D"/>
    <w:rsid w:val="0064454C"/>
    <w:rsid w:val="006455D6"/>
    <w:rsid w:val="00645DD2"/>
    <w:rsid w:val="00651821"/>
    <w:rsid w:val="00654384"/>
    <w:rsid w:val="006564E5"/>
    <w:rsid w:val="006573D2"/>
    <w:rsid w:val="00657897"/>
    <w:rsid w:val="0066207A"/>
    <w:rsid w:val="006641F9"/>
    <w:rsid w:val="006675CD"/>
    <w:rsid w:val="0067070C"/>
    <w:rsid w:val="00670D64"/>
    <w:rsid w:val="00673942"/>
    <w:rsid w:val="0067447A"/>
    <w:rsid w:val="00677570"/>
    <w:rsid w:val="00677B7C"/>
    <w:rsid w:val="00681428"/>
    <w:rsid w:val="00683922"/>
    <w:rsid w:val="0068439F"/>
    <w:rsid w:val="00684D9B"/>
    <w:rsid w:val="0068510A"/>
    <w:rsid w:val="006853CB"/>
    <w:rsid w:val="00693388"/>
    <w:rsid w:val="00694530"/>
    <w:rsid w:val="00697556"/>
    <w:rsid w:val="006A382E"/>
    <w:rsid w:val="006B4647"/>
    <w:rsid w:val="006B4C2B"/>
    <w:rsid w:val="006B6194"/>
    <w:rsid w:val="006B65E0"/>
    <w:rsid w:val="006B6D47"/>
    <w:rsid w:val="006C4613"/>
    <w:rsid w:val="006C5AFE"/>
    <w:rsid w:val="006D0AAC"/>
    <w:rsid w:val="006D2839"/>
    <w:rsid w:val="006D4D53"/>
    <w:rsid w:val="006D6D09"/>
    <w:rsid w:val="006E40DC"/>
    <w:rsid w:val="006F2647"/>
    <w:rsid w:val="006F3938"/>
    <w:rsid w:val="006F5610"/>
    <w:rsid w:val="006F6D95"/>
    <w:rsid w:val="0070324B"/>
    <w:rsid w:val="00706F13"/>
    <w:rsid w:val="007072E8"/>
    <w:rsid w:val="00707549"/>
    <w:rsid w:val="0071618D"/>
    <w:rsid w:val="007225B1"/>
    <w:rsid w:val="00722D71"/>
    <w:rsid w:val="00724731"/>
    <w:rsid w:val="00725FA4"/>
    <w:rsid w:val="007356CA"/>
    <w:rsid w:val="00737A3C"/>
    <w:rsid w:val="00740446"/>
    <w:rsid w:val="00742B07"/>
    <w:rsid w:val="007438A9"/>
    <w:rsid w:val="007448D6"/>
    <w:rsid w:val="0074491E"/>
    <w:rsid w:val="00744991"/>
    <w:rsid w:val="0075034A"/>
    <w:rsid w:val="007506FA"/>
    <w:rsid w:val="00756749"/>
    <w:rsid w:val="0076247A"/>
    <w:rsid w:val="00775964"/>
    <w:rsid w:val="007765FE"/>
    <w:rsid w:val="00781640"/>
    <w:rsid w:val="00782515"/>
    <w:rsid w:val="00782DA2"/>
    <w:rsid w:val="0079018F"/>
    <w:rsid w:val="00790E57"/>
    <w:rsid w:val="00792A8A"/>
    <w:rsid w:val="00794E2E"/>
    <w:rsid w:val="007958CA"/>
    <w:rsid w:val="00795BFB"/>
    <w:rsid w:val="007A157D"/>
    <w:rsid w:val="007B1673"/>
    <w:rsid w:val="007B1B25"/>
    <w:rsid w:val="007B2760"/>
    <w:rsid w:val="007B2775"/>
    <w:rsid w:val="007B6FA3"/>
    <w:rsid w:val="007C665D"/>
    <w:rsid w:val="007E2DCA"/>
    <w:rsid w:val="007F09BD"/>
    <w:rsid w:val="007F7DE0"/>
    <w:rsid w:val="008057D4"/>
    <w:rsid w:val="00806359"/>
    <w:rsid w:val="00806C01"/>
    <w:rsid w:val="008148CC"/>
    <w:rsid w:val="008211A4"/>
    <w:rsid w:val="00826C99"/>
    <w:rsid w:val="0084306F"/>
    <w:rsid w:val="0084693A"/>
    <w:rsid w:val="00850AA0"/>
    <w:rsid w:val="00851721"/>
    <w:rsid w:val="008646FD"/>
    <w:rsid w:val="008673EE"/>
    <w:rsid w:val="00873150"/>
    <w:rsid w:val="00873212"/>
    <w:rsid w:val="0087338B"/>
    <w:rsid w:val="0087657D"/>
    <w:rsid w:val="008807D5"/>
    <w:rsid w:val="00880832"/>
    <w:rsid w:val="00883FA7"/>
    <w:rsid w:val="00886EE1"/>
    <w:rsid w:val="0088710C"/>
    <w:rsid w:val="0088727D"/>
    <w:rsid w:val="0089286C"/>
    <w:rsid w:val="00894214"/>
    <w:rsid w:val="00897C75"/>
    <w:rsid w:val="008A44DF"/>
    <w:rsid w:val="008B1341"/>
    <w:rsid w:val="008B482B"/>
    <w:rsid w:val="008B78B9"/>
    <w:rsid w:val="008C1130"/>
    <w:rsid w:val="008C43D5"/>
    <w:rsid w:val="008D0637"/>
    <w:rsid w:val="008D18E6"/>
    <w:rsid w:val="008D4E3A"/>
    <w:rsid w:val="008D64E7"/>
    <w:rsid w:val="008D7A9B"/>
    <w:rsid w:val="008E0060"/>
    <w:rsid w:val="008E7091"/>
    <w:rsid w:val="008E76AC"/>
    <w:rsid w:val="008E7A5A"/>
    <w:rsid w:val="008F0929"/>
    <w:rsid w:val="008F21F6"/>
    <w:rsid w:val="008F52B0"/>
    <w:rsid w:val="009011B9"/>
    <w:rsid w:val="00906D5E"/>
    <w:rsid w:val="00912B7A"/>
    <w:rsid w:val="00912F25"/>
    <w:rsid w:val="009142A4"/>
    <w:rsid w:val="00916E6B"/>
    <w:rsid w:val="00921A4C"/>
    <w:rsid w:val="009229ED"/>
    <w:rsid w:val="009259EC"/>
    <w:rsid w:val="00927F22"/>
    <w:rsid w:val="009363E2"/>
    <w:rsid w:val="00937B22"/>
    <w:rsid w:val="00942C61"/>
    <w:rsid w:val="00950BCC"/>
    <w:rsid w:val="00951000"/>
    <w:rsid w:val="00951F79"/>
    <w:rsid w:val="0095222A"/>
    <w:rsid w:val="00954B28"/>
    <w:rsid w:val="009560A7"/>
    <w:rsid w:val="0096030D"/>
    <w:rsid w:val="00961C90"/>
    <w:rsid w:val="0096510B"/>
    <w:rsid w:val="00965E39"/>
    <w:rsid w:val="00967825"/>
    <w:rsid w:val="00974AB5"/>
    <w:rsid w:val="00982085"/>
    <w:rsid w:val="00986900"/>
    <w:rsid w:val="0098706D"/>
    <w:rsid w:val="00991A9B"/>
    <w:rsid w:val="0099226F"/>
    <w:rsid w:val="009935FB"/>
    <w:rsid w:val="009978F1"/>
    <w:rsid w:val="009B18CE"/>
    <w:rsid w:val="009B3591"/>
    <w:rsid w:val="009B4F42"/>
    <w:rsid w:val="009B627A"/>
    <w:rsid w:val="009C5C71"/>
    <w:rsid w:val="009C7062"/>
    <w:rsid w:val="009D0FC7"/>
    <w:rsid w:val="009D1493"/>
    <w:rsid w:val="009E3032"/>
    <w:rsid w:val="009E4357"/>
    <w:rsid w:val="009E4F29"/>
    <w:rsid w:val="009E64C7"/>
    <w:rsid w:val="009F108C"/>
    <w:rsid w:val="009F3A6A"/>
    <w:rsid w:val="009F4A54"/>
    <w:rsid w:val="009F4BEC"/>
    <w:rsid w:val="009F5874"/>
    <w:rsid w:val="009F5B68"/>
    <w:rsid w:val="009F6678"/>
    <w:rsid w:val="00A061C7"/>
    <w:rsid w:val="00A10C1A"/>
    <w:rsid w:val="00A15C47"/>
    <w:rsid w:val="00A1686D"/>
    <w:rsid w:val="00A209F8"/>
    <w:rsid w:val="00A20F3F"/>
    <w:rsid w:val="00A223EB"/>
    <w:rsid w:val="00A25FD7"/>
    <w:rsid w:val="00A339EF"/>
    <w:rsid w:val="00A33B4E"/>
    <w:rsid w:val="00A355FA"/>
    <w:rsid w:val="00A4248D"/>
    <w:rsid w:val="00A43829"/>
    <w:rsid w:val="00A43AFF"/>
    <w:rsid w:val="00A43FBA"/>
    <w:rsid w:val="00A5525B"/>
    <w:rsid w:val="00A55749"/>
    <w:rsid w:val="00A72B2E"/>
    <w:rsid w:val="00A75384"/>
    <w:rsid w:val="00A765F9"/>
    <w:rsid w:val="00A7793A"/>
    <w:rsid w:val="00A85C61"/>
    <w:rsid w:val="00A85FDC"/>
    <w:rsid w:val="00A86A1F"/>
    <w:rsid w:val="00A94391"/>
    <w:rsid w:val="00AA4CC7"/>
    <w:rsid w:val="00AA4EDB"/>
    <w:rsid w:val="00AA59A7"/>
    <w:rsid w:val="00AA5E8E"/>
    <w:rsid w:val="00AB2529"/>
    <w:rsid w:val="00AB6CA7"/>
    <w:rsid w:val="00AB7068"/>
    <w:rsid w:val="00AC18C9"/>
    <w:rsid w:val="00AC6FAF"/>
    <w:rsid w:val="00AD01E4"/>
    <w:rsid w:val="00AD0858"/>
    <w:rsid w:val="00AD2DFD"/>
    <w:rsid w:val="00AD402A"/>
    <w:rsid w:val="00AE02E3"/>
    <w:rsid w:val="00AE1163"/>
    <w:rsid w:val="00AE2AC8"/>
    <w:rsid w:val="00AE2F2C"/>
    <w:rsid w:val="00AE7340"/>
    <w:rsid w:val="00AE73DD"/>
    <w:rsid w:val="00AF1BBD"/>
    <w:rsid w:val="00AF26B3"/>
    <w:rsid w:val="00AF4E5A"/>
    <w:rsid w:val="00AF66CE"/>
    <w:rsid w:val="00B026F8"/>
    <w:rsid w:val="00B06602"/>
    <w:rsid w:val="00B06C61"/>
    <w:rsid w:val="00B10207"/>
    <w:rsid w:val="00B10ACD"/>
    <w:rsid w:val="00B141E7"/>
    <w:rsid w:val="00B24EAA"/>
    <w:rsid w:val="00B2582E"/>
    <w:rsid w:val="00B30602"/>
    <w:rsid w:val="00B351B4"/>
    <w:rsid w:val="00B404FD"/>
    <w:rsid w:val="00B46BCA"/>
    <w:rsid w:val="00B478AA"/>
    <w:rsid w:val="00B602B0"/>
    <w:rsid w:val="00B61EC5"/>
    <w:rsid w:val="00B63039"/>
    <w:rsid w:val="00B66930"/>
    <w:rsid w:val="00B66BD4"/>
    <w:rsid w:val="00B71A17"/>
    <w:rsid w:val="00B82AD9"/>
    <w:rsid w:val="00B85CCA"/>
    <w:rsid w:val="00B87806"/>
    <w:rsid w:val="00B87EC9"/>
    <w:rsid w:val="00B95ACD"/>
    <w:rsid w:val="00BA19B7"/>
    <w:rsid w:val="00BA2845"/>
    <w:rsid w:val="00BA6E20"/>
    <w:rsid w:val="00BA716A"/>
    <w:rsid w:val="00BB61D4"/>
    <w:rsid w:val="00BB6332"/>
    <w:rsid w:val="00BC33C1"/>
    <w:rsid w:val="00BC38FD"/>
    <w:rsid w:val="00BD2699"/>
    <w:rsid w:val="00BE17E5"/>
    <w:rsid w:val="00BE1BE2"/>
    <w:rsid w:val="00BE2630"/>
    <w:rsid w:val="00BE3683"/>
    <w:rsid w:val="00BF010C"/>
    <w:rsid w:val="00BF058A"/>
    <w:rsid w:val="00BF3AE3"/>
    <w:rsid w:val="00BF4EAB"/>
    <w:rsid w:val="00C00445"/>
    <w:rsid w:val="00C034CB"/>
    <w:rsid w:val="00C051A8"/>
    <w:rsid w:val="00C054BC"/>
    <w:rsid w:val="00C11572"/>
    <w:rsid w:val="00C13F3B"/>
    <w:rsid w:val="00C15B0A"/>
    <w:rsid w:val="00C17897"/>
    <w:rsid w:val="00C23CDF"/>
    <w:rsid w:val="00C34036"/>
    <w:rsid w:val="00C35FAC"/>
    <w:rsid w:val="00C409D5"/>
    <w:rsid w:val="00C435C3"/>
    <w:rsid w:val="00C44E5F"/>
    <w:rsid w:val="00C46851"/>
    <w:rsid w:val="00C477EA"/>
    <w:rsid w:val="00C47D07"/>
    <w:rsid w:val="00C54791"/>
    <w:rsid w:val="00C60196"/>
    <w:rsid w:val="00C6234B"/>
    <w:rsid w:val="00C62CEC"/>
    <w:rsid w:val="00C63EAE"/>
    <w:rsid w:val="00C73260"/>
    <w:rsid w:val="00C732C7"/>
    <w:rsid w:val="00C7629F"/>
    <w:rsid w:val="00C80678"/>
    <w:rsid w:val="00C8661B"/>
    <w:rsid w:val="00C86D02"/>
    <w:rsid w:val="00C90ACB"/>
    <w:rsid w:val="00C91C05"/>
    <w:rsid w:val="00C93908"/>
    <w:rsid w:val="00C95822"/>
    <w:rsid w:val="00C96DC1"/>
    <w:rsid w:val="00CA014E"/>
    <w:rsid w:val="00CA03C8"/>
    <w:rsid w:val="00CA139A"/>
    <w:rsid w:val="00CA2899"/>
    <w:rsid w:val="00CA3A3D"/>
    <w:rsid w:val="00CA44FD"/>
    <w:rsid w:val="00CA5202"/>
    <w:rsid w:val="00CA5757"/>
    <w:rsid w:val="00CA77FB"/>
    <w:rsid w:val="00CB379B"/>
    <w:rsid w:val="00CB4A9D"/>
    <w:rsid w:val="00CB5DD0"/>
    <w:rsid w:val="00CB6BC8"/>
    <w:rsid w:val="00CC51D4"/>
    <w:rsid w:val="00CC6371"/>
    <w:rsid w:val="00CC65DA"/>
    <w:rsid w:val="00CD40A8"/>
    <w:rsid w:val="00CE07A0"/>
    <w:rsid w:val="00CE1498"/>
    <w:rsid w:val="00CF1C15"/>
    <w:rsid w:val="00CF21B9"/>
    <w:rsid w:val="00CF6BF9"/>
    <w:rsid w:val="00D03800"/>
    <w:rsid w:val="00D065D3"/>
    <w:rsid w:val="00D11356"/>
    <w:rsid w:val="00D11D0F"/>
    <w:rsid w:val="00D14C94"/>
    <w:rsid w:val="00D16D05"/>
    <w:rsid w:val="00D342A6"/>
    <w:rsid w:val="00D42CBF"/>
    <w:rsid w:val="00D45CA6"/>
    <w:rsid w:val="00D464BF"/>
    <w:rsid w:val="00D53E26"/>
    <w:rsid w:val="00D744D9"/>
    <w:rsid w:val="00D76BB0"/>
    <w:rsid w:val="00D82562"/>
    <w:rsid w:val="00D9000E"/>
    <w:rsid w:val="00D91047"/>
    <w:rsid w:val="00D912AB"/>
    <w:rsid w:val="00D949C7"/>
    <w:rsid w:val="00D9605A"/>
    <w:rsid w:val="00DA3367"/>
    <w:rsid w:val="00DA5131"/>
    <w:rsid w:val="00DB182C"/>
    <w:rsid w:val="00DB2B85"/>
    <w:rsid w:val="00DB3106"/>
    <w:rsid w:val="00DC08C0"/>
    <w:rsid w:val="00DC313D"/>
    <w:rsid w:val="00DD0F11"/>
    <w:rsid w:val="00DD3EA6"/>
    <w:rsid w:val="00DD4F0E"/>
    <w:rsid w:val="00DD52C1"/>
    <w:rsid w:val="00DD705C"/>
    <w:rsid w:val="00DE5EED"/>
    <w:rsid w:val="00DF0BF0"/>
    <w:rsid w:val="00DF3CA2"/>
    <w:rsid w:val="00E01463"/>
    <w:rsid w:val="00E05E0A"/>
    <w:rsid w:val="00E060BE"/>
    <w:rsid w:val="00E06B0E"/>
    <w:rsid w:val="00E101B6"/>
    <w:rsid w:val="00E116F3"/>
    <w:rsid w:val="00E20A57"/>
    <w:rsid w:val="00E20CDC"/>
    <w:rsid w:val="00E254D0"/>
    <w:rsid w:val="00E35BEF"/>
    <w:rsid w:val="00E37673"/>
    <w:rsid w:val="00E51B2A"/>
    <w:rsid w:val="00E534CF"/>
    <w:rsid w:val="00E55CD6"/>
    <w:rsid w:val="00E65F67"/>
    <w:rsid w:val="00E81CB4"/>
    <w:rsid w:val="00E8585B"/>
    <w:rsid w:val="00E86748"/>
    <w:rsid w:val="00E92DE6"/>
    <w:rsid w:val="00E94105"/>
    <w:rsid w:val="00EA3E97"/>
    <w:rsid w:val="00EA3F15"/>
    <w:rsid w:val="00EA4A25"/>
    <w:rsid w:val="00EA61D9"/>
    <w:rsid w:val="00EA6320"/>
    <w:rsid w:val="00EA7847"/>
    <w:rsid w:val="00EB089D"/>
    <w:rsid w:val="00EB0BCA"/>
    <w:rsid w:val="00EB1037"/>
    <w:rsid w:val="00EB10A9"/>
    <w:rsid w:val="00EB4C2F"/>
    <w:rsid w:val="00EC3364"/>
    <w:rsid w:val="00ED0765"/>
    <w:rsid w:val="00ED5AF2"/>
    <w:rsid w:val="00EE2645"/>
    <w:rsid w:val="00EE2E6E"/>
    <w:rsid w:val="00EF141B"/>
    <w:rsid w:val="00EF3FE5"/>
    <w:rsid w:val="00EF69A3"/>
    <w:rsid w:val="00EF7AAE"/>
    <w:rsid w:val="00F02BEB"/>
    <w:rsid w:val="00F04327"/>
    <w:rsid w:val="00F05F1B"/>
    <w:rsid w:val="00F0759E"/>
    <w:rsid w:val="00F164E4"/>
    <w:rsid w:val="00F16A43"/>
    <w:rsid w:val="00F206A9"/>
    <w:rsid w:val="00F20E00"/>
    <w:rsid w:val="00F231B5"/>
    <w:rsid w:val="00F235A4"/>
    <w:rsid w:val="00F2582E"/>
    <w:rsid w:val="00F32501"/>
    <w:rsid w:val="00F457F9"/>
    <w:rsid w:val="00F46780"/>
    <w:rsid w:val="00F572EB"/>
    <w:rsid w:val="00F631C9"/>
    <w:rsid w:val="00F634F5"/>
    <w:rsid w:val="00F6673E"/>
    <w:rsid w:val="00F66F66"/>
    <w:rsid w:val="00F674F7"/>
    <w:rsid w:val="00F7290A"/>
    <w:rsid w:val="00F7347D"/>
    <w:rsid w:val="00F75430"/>
    <w:rsid w:val="00F76FD1"/>
    <w:rsid w:val="00F77D2D"/>
    <w:rsid w:val="00F821A3"/>
    <w:rsid w:val="00F82460"/>
    <w:rsid w:val="00F9314A"/>
    <w:rsid w:val="00F940B2"/>
    <w:rsid w:val="00F97D1E"/>
    <w:rsid w:val="00FA013B"/>
    <w:rsid w:val="00FA3185"/>
    <w:rsid w:val="00FA62DD"/>
    <w:rsid w:val="00FA719C"/>
    <w:rsid w:val="00FA7C71"/>
    <w:rsid w:val="00FB138D"/>
    <w:rsid w:val="00FB3D40"/>
    <w:rsid w:val="00FC2FF6"/>
    <w:rsid w:val="00FC405A"/>
    <w:rsid w:val="00FC58EF"/>
    <w:rsid w:val="00FD022E"/>
    <w:rsid w:val="00FD111F"/>
    <w:rsid w:val="00FD33DF"/>
    <w:rsid w:val="00FD5540"/>
    <w:rsid w:val="00FE39D7"/>
    <w:rsid w:val="00FE4BC1"/>
    <w:rsid w:val="00FF56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nhideWhenUsed/>
    <w:qFormat/>
    <w:rsid w:val="00F6673E"/>
    <w:pPr>
      <w:keepNext/>
      <w:spacing w:before="240" w:after="60"/>
      <w:ind w:left="0"/>
      <w:jc w:val="both"/>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nhideWhenUsed/>
    <w:qFormat/>
    <w:rsid w:val="006B4647"/>
    <w:pPr>
      <w:spacing w:before="240" w:after="60"/>
      <w:outlineLvl w:val="6"/>
    </w:pPr>
    <w:rPr>
      <w:rFonts w:ascii="Calibri" w:hAnsi="Calibri"/>
    </w:rPr>
  </w:style>
  <w:style w:type="paragraph" w:styleId="Ttulo8">
    <w:name w:val="heading 8"/>
    <w:basedOn w:val="Normal"/>
    <w:next w:val="Normal"/>
    <w:link w:val="Ttulo8Car"/>
    <w:qFormat/>
    <w:rsid w:val="00F6673E"/>
    <w:pPr>
      <w:tabs>
        <w:tab w:val="num" w:pos="1440"/>
      </w:tabs>
      <w:spacing w:before="240" w:after="60"/>
      <w:ind w:left="1440" w:hanging="1440"/>
      <w:jc w:val="both"/>
      <w:outlineLvl w:val="7"/>
    </w:pPr>
    <w:rPr>
      <w:rFonts w:ascii="Arial" w:hAnsi="Arial"/>
      <w:i/>
      <w:sz w:val="20"/>
      <w:szCs w:val="20"/>
      <w:lang w:val="es-ES_tradnl"/>
    </w:rPr>
  </w:style>
  <w:style w:type="paragraph" w:styleId="Ttulo9">
    <w:name w:val="heading 9"/>
    <w:basedOn w:val="Normal"/>
    <w:next w:val="Normal"/>
    <w:link w:val="Ttulo9Car"/>
    <w:qFormat/>
    <w:rsid w:val="00F6673E"/>
    <w:pPr>
      <w:tabs>
        <w:tab w:val="num" w:pos="1584"/>
      </w:tabs>
      <w:spacing w:before="240" w:after="60"/>
      <w:ind w:left="1584" w:hanging="1584"/>
      <w:jc w:val="both"/>
      <w:outlineLvl w:val="8"/>
    </w:pPr>
    <w:rPr>
      <w:rFonts w:ascii="Arial" w:hAnsi="Arial"/>
      <w:b/>
      <w:i/>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3A31F6"/>
    <w:pPr>
      <w:ind w:left="0"/>
    </w:pPr>
    <w:rPr>
      <w:rFonts w:ascii="Century Gothic" w:hAnsi="Century Gothic"/>
      <w:b/>
      <w:bCs/>
    </w:rPr>
  </w:style>
  <w:style w:type="character" w:customStyle="1" w:styleId="SubttuloCar">
    <w:name w:val="Subtítulo Car"/>
    <w:link w:val="Subttulo"/>
    <w:uiPriority w:val="99"/>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character" w:customStyle="1" w:styleId="Ttulo2Car">
    <w:name w:val="Título 2 Car"/>
    <w:link w:val="Ttulo2"/>
    <w:rsid w:val="00F6673E"/>
    <w:rPr>
      <w:rFonts w:ascii="Cambria" w:hAnsi="Cambria"/>
      <w:b/>
      <w:bCs/>
      <w:i/>
      <w:iCs/>
      <w:sz w:val="28"/>
      <w:szCs w:val="28"/>
      <w:lang w:val="es-ES" w:eastAsia="es-ES"/>
    </w:rPr>
  </w:style>
  <w:style w:type="character" w:customStyle="1" w:styleId="Ttulo8Car">
    <w:name w:val="Título 8 Car"/>
    <w:link w:val="Ttulo8"/>
    <w:rsid w:val="00F6673E"/>
    <w:rPr>
      <w:rFonts w:ascii="Arial" w:hAnsi="Arial"/>
      <w:i/>
      <w:lang w:val="es-ES_tradnl" w:eastAsia="es-ES"/>
    </w:rPr>
  </w:style>
  <w:style w:type="character" w:customStyle="1" w:styleId="Ttulo9Car">
    <w:name w:val="Título 9 Car"/>
    <w:link w:val="Ttulo9"/>
    <w:rsid w:val="00F6673E"/>
    <w:rPr>
      <w:rFonts w:ascii="Arial" w:hAnsi="Arial"/>
      <w:b/>
      <w:i/>
      <w:sz w:val="18"/>
      <w:lang w:val="es-ES_tradnl" w:eastAsia="es-ES"/>
    </w:rPr>
  </w:style>
  <w:style w:type="character" w:customStyle="1" w:styleId="Ttulo1Car">
    <w:name w:val="Título 1 Car"/>
    <w:link w:val="Ttulo1"/>
    <w:rsid w:val="00F6673E"/>
    <w:rPr>
      <w:rFonts w:ascii="CG Times" w:hAnsi="CG Times"/>
      <w:b/>
      <w:sz w:val="24"/>
      <w:lang w:eastAsia="es-ES"/>
    </w:rPr>
  </w:style>
  <w:style w:type="character" w:customStyle="1" w:styleId="PiedepginaCar">
    <w:name w:val="Pie de página Car"/>
    <w:link w:val="Piedepgina"/>
    <w:semiHidden/>
    <w:rsid w:val="00F6673E"/>
    <w:rPr>
      <w:sz w:val="24"/>
      <w:szCs w:val="24"/>
      <w:lang w:val="es-ES" w:eastAsia="es-ES"/>
    </w:rPr>
  </w:style>
  <w:style w:type="paragraph" w:customStyle="1" w:styleId="Estilo2">
    <w:name w:val="Estilo2"/>
    <w:basedOn w:val="Estilo1"/>
    <w:link w:val="Estilo2Car"/>
    <w:rsid w:val="00F6673E"/>
    <w:pPr>
      <w:keepNext/>
      <w:widowControl w:val="0"/>
      <w:shd w:val="clear" w:color="auto" w:fill="auto"/>
      <w:tabs>
        <w:tab w:val="num" w:pos="1440"/>
      </w:tabs>
      <w:adjustRightInd w:val="0"/>
      <w:spacing w:before="240" w:after="240"/>
      <w:ind w:left="0"/>
      <w:jc w:val="both"/>
      <w:textAlignment w:val="baseline"/>
      <w:outlineLvl w:val="0"/>
    </w:pPr>
    <w:rPr>
      <w:rFonts w:ascii="Bookman Old Style" w:hAnsi="Bookman Old Style"/>
      <w:b/>
      <w:bCs/>
      <w:color w:val="auto"/>
      <w:sz w:val="24"/>
      <w:szCs w:val="24"/>
      <w:lang w:val="es-ES" w:eastAsia="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Estilo2Car">
    <w:name w:val="Estilo2 Car"/>
    <w:link w:val="Estilo2"/>
    <w:rsid w:val="00F6673E"/>
    <w:rPr>
      <w:rFonts w:ascii="Bookman Old Style" w:hAnsi="Bookman Old Style"/>
      <w:b/>
      <w:bCs/>
      <w:sz w:val="24"/>
      <w:szCs w:val="24"/>
      <w:lang w:val="es-ES" w:eastAsia="ar-SA"/>
    </w:rPr>
  </w:style>
  <w:style w:type="paragraph" w:styleId="Mapadeldocumento">
    <w:name w:val="Document Map"/>
    <w:basedOn w:val="Normal"/>
    <w:link w:val="MapadeldocumentoCar"/>
    <w:uiPriority w:val="99"/>
    <w:semiHidden/>
    <w:unhideWhenUsed/>
    <w:rsid w:val="00F6673E"/>
    <w:pPr>
      <w:spacing w:before="240" w:after="240"/>
      <w:ind w:left="0"/>
      <w:jc w:val="both"/>
    </w:pPr>
    <w:rPr>
      <w:rFonts w:ascii="Tahoma" w:hAnsi="Tahoma" w:cs="Tahoma"/>
      <w:sz w:val="16"/>
      <w:szCs w:val="16"/>
    </w:rPr>
  </w:style>
  <w:style w:type="character" w:customStyle="1" w:styleId="MapadeldocumentoCar">
    <w:name w:val="Mapa del documento Car"/>
    <w:link w:val="Mapadeldocumento"/>
    <w:uiPriority w:val="99"/>
    <w:semiHidden/>
    <w:rsid w:val="00F6673E"/>
    <w:rPr>
      <w:rFonts w:ascii="Tahoma" w:hAnsi="Tahoma" w:cs="Tahoma"/>
      <w:sz w:val="16"/>
      <w:szCs w:val="16"/>
      <w:lang w:val="es-ES" w:eastAsia="es-ES"/>
    </w:rPr>
  </w:style>
  <w:style w:type="character" w:styleId="Refdecomentario">
    <w:name w:val="annotation reference"/>
    <w:uiPriority w:val="99"/>
    <w:semiHidden/>
    <w:unhideWhenUsed/>
    <w:rsid w:val="00F6673E"/>
    <w:rPr>
      <w:sz w:val="16"/>
      <w:szCs w:val="16"/>
    </w:rPr>
  </w:style>
  <w:style w:type="paragraph" w:styleId="Textocomentario">
    <w:name w:val="annotation text"/>
    <w:basedOn w:val="Normal"/>
    <w:link w:val="TextocomentarioCar"/>
    <w:uiPriority w:val="99"/>
    <w:unhideWhenUsed/>
    <w:rsid w:val="00F6673E"/>
    <w:pPr>
      <w:spacing w:before="240" w:after="240"/>
      <w:ind w:left="0"/>
      <w:jc w:val="both"/>
    </w:pPr>
    <w:rPr>
      <w:rFonts w:ascii="Bookman Old Style" w:hAnsi="Bookman Old Style"/>
      <w:sz w:val="20"/>
      <w:szCs w:val="20"/>
    </w:rPr>
  </w:style>
  <w:style w:type="character" w:customStyle="1" w:styleId="TextocomentarioCar">
    <w:name w:val="Texto comentario Car"/>
    <w:link w:val="Textocomentario"/>
    <w:uiPriority w:val="99"/>
    <w:rsid w:val="00F6673E"/>
    <w:rPr>
      <w:rFonts w:ascii="Bookman Old Style" w:hAnsi="Bookman Old Style"/>
      <w:lang w:val="es-ES" w:eastAsia="es-ES"/>
    </w:rPr>
  </w:style>
  <w:style w:type="paragraph" w:styleId="Asuntodelcomentario">
    <w:name w:val="annotation subject"/>
    <w:basedOn w:val="Textocomentario"/>
    <w:next w:val="Textocomentario"/>
    <w:link w:val="AsuntodelcomentarioCar"/>
    <w:uiPriority w:val="99"/>
    <w:semiHidden/>
    <w:unhideWhenUsed/>
    <w:rsid w:val="00F6673E"/>
    <w:rPr>
      <w:b/>
      <w:bCs/>
    </w:rPr>
  </w:style>
  <w:style w:type="character" w:customStyle="1" w:styleId="AsuntodelcomentarioCar">
    <w:name w:val="Asunto del comentario Car"/>
    <w:link w:val="Asuntodelcomentario"/>
    <w:uiPriority w:val="99"/>
    <w:semiHidden/>
    <w:rsid w:val="00F6673E"/>
    <w:rPr>
      <w:rFonts w:ascii="Bookman Old Style" w:hAnsi="Bookman Old Style"/>
      <w:b/>
      <w:bCs/>
      <w:lang w:val="es-ES" w:eastAsia="es-ES"/>
    </w:rPr>
  </w:style>
  <w:style w:type="paragraph" w:styleId="NormalWeb">
    <w:name w:val="Normal (Web)"/>
    <w:basedOn w:val="Normal"/>
    <w:uiPriority w:val="99"/>
    <w:unhideWhenUsed/>
    <w:rsid w:val="00F6673E"/>
    <w:pPr>
      <w:spacing w:before="100" w:beforeAutospacing="1" w:after="100" w:afterAutospacing="1"/>
      <w:ind w:left="0"/>
      <w:jc w:val="both"/>
    </w:pPr>
    <w:rPr>
      <w:rFonts w:ascii="Bookman Old Style" w:hAnsi="Bookman Old Style"/>
    </w:rPr>
  </w:style>
  <w:style w:type="paragraph" w:styleId="Textonotaalfinal">
    <w:name w:val="endnote text"/>
    <w:basedOn w:val="Normal"/>
    <w:link w:val="TextonotaalfinalCar"/>
    <w:uiPriority w:val="99"/>
    <w:semiHidden/>
    <w:unhideWhenUsed/>
    <w:rsid w:val="00F6673E"/>
    <w:pPr>
      <w:spacing w:before="240" w:after="240"/>
      <w:ind w:left="0"/>
      <w:jc w:val="both"/>
    </w:pPr>
    <w:rPr>
      <w:rFonts w:ascii="Bookman Old Style" w:hAnsi="Bookman Old Style"/>
      <w:sz w:val="20"/>
      <w:szCs w:val="20"/>
    </w:rPr>
  </w:style>
  <w:style w:type="character" w:customStyle="1" w:styleId="TextonotaalfinalCar">
    <w:name w:val="Texto nota al final Car"/>
    <w:link w:val="Textonotaalfinal"/>
    <w:uiPriority w:val="99"/>
    <w:semiHidden/>
    <w:rsid w:val="00F6673E"/>
    <w:rPr>
      <w:rFonts w:ascii="Bookman Old Style" w:hAnsi="Bookman Old Style"/>
      <w:lang w:val="es-ES" w:eastAsia="es-ES"/>
    </w:rPr>
  </w:style>
  <w:style w:type="character" w:styleId="Refdenotaalfinal">
    <w:name w:val="endnote reference"/>
    <w:uiPriority w:val="99"/>
    <w:semiHidden/>
    <w:unhideWhenUsed/>
    <w:rsid w:val="00F6673E"/>
    <w:rPr>
      <w:vertAlign w:val="superscript"/>
    </w:rPr>
  </w:style>
  <w:style w:type="paragraph" w:styleId="Textonotapie">
    <w:name w:val="footnote text"/>
    <w:aliases w:val="fn,footnote text"/>
    <w:basedOn w:val="Normal"/>
    <w:link w:val="TextonotapieCar"/>
    <w:uiPriority w:val="99"/>
    <w:semiHidden/>
    <w:rsid w:val="00F6673E"/>
    <w:pPr>
      <w:spacing w:before="240" w:after="240"/>
      <w:ind w:left="0"/>
      <w:jc w:val="both"/>
    </w:pPr>
    <w:rPr>
      <w:rFonts w:ascii="Bookman Old Style" w:hAnsi="Bookman Old Style"/>
      <w:szCs w:val="20"/>
      <w:lang w:val="en-US"/>
    </w:rPr>
  </w:style>
  <w:style w:type="character" w:customStyle="1" w:styleId="TextonotapieCar">
    <w:name w:val="Texto nota pie Car"/>
    <w:aliases w:val="fn Car,footnote text Car"/>
    <w:link w:val="Textonotapie"/>
    <w:uiPriority w:val="99"/>
    <w:semiHidden/>
    <w:rsid w:val="00F6673E"/>
    <w:rPr>
      <w:rFonts w:ascii="Bookman Old Style" w:hAnsi="Bookman Old Style"/>
      <w:sz w:val="24"/>
      <w:lang w:val="en-US" w:eastAsia="es-ES"/>
    </w:rPr>
  </w:style>
  <w:style w:type="character" w:styleId="Refdenotaalpie">
    <w:name w:val="footnote reference"/>
    <w:rsid w:val="00F6673E"/>
    <w:rPr>
      <w:vertAlign w:val="superscript"/>
    </w:rPr>
  </w:style>
  <w:style w:type="paragraph" w:customStyle="1" w:styleId="Estilo4">
    <w:name w:val="Estilo4"/>
    <w:basedOn w:val="Normal"/>
    <w:link w:val="Estilo4Car"/>
    <w:qFormat/>
    <w:rsid w:val="00F6673E"/>
    <w:pPr>
      <w:keepNext/>
      <w:spacing w:before="240" w:after="240"/>
      <w:ind w:left="0"/>
      <w:jc w:val="center"/>
      <w:outlineLvl w:val="0"/>
    </w:pPr>
    <w:rPr>
      <w:rFonts w:ascii="Arial" w:hAnsi="Arial"/>
      <w:b/>
      <w:kern w:val="28"/>
      <w:sz w:val="22"/>
      <w:szCs w:val="22"/>
      <w:lang w:val="es-ES_tradnl" w:eastAsia="es-CO"/>
    </w:rPr>
  </w:style>
  <w:style w:type="character" w:customStyle="1" w:styleId="Estilo4Car">
    <w:name w:val="Estilo4 Car"/>
    <w:link w:val="Estilo4"/>
    <w:rsid w:val="00F6673E"/>
    <w:rPr>
      <w:rFonts w:ascii="Arial" w:hAnsi="Arial"/>
      <w:b/>
      <w:kern w:val="28"/>
      <w:sz w:val="22"/>
      <w:szCs w:val="22"/>
      <w:lang w:val="es-ES_tradnl"/>
    </w:rPr>
  </w:style>
  <w:style w:type="paragraph" w:customStyle="1" w:styleId="Estilo5">
    <w:name w:val="Estilo5"/>
    <w:basedOn w:val="Estilo1"/>
    <w:qFormat/>
    <w:rsid w:val="00F6673E"/>
    <w:pPr>
      <w:keepNext/>
      <w:numPr>
        <w:numId w:val="2"/>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styleId="Revisin">
    <w:name w:val="Revision"/>
    <w:hidden/>
    <w:uiPriority w:val="99"/>
    <w:semiHidden/>
    <w:rsid w:val="00F6673E"/>
    <w:rPr>
      <w:sz w:val="24"/>
      <w:szCs w:val="24"/>
      <w:lang w:val="es-ES" w:eastAsia="es-ES"/>
    </w:rPr>
  </w:style>
  <w:style w:type="paragraph" w:customStyle="1" w:styleId="Estilo8">
    <w:name w:val="Estilo8"/>
    <w:basedOn w:val="Normal"/>
    <w:qFormat/>
    <w:rsid w:val="00F6673E"/>
    <w:pPr>
      <w:spacing w:before="240" w:after="240"/>
      <w:ind w:left="0"/>
      <w:jc w:val="both"/>
    </w:pPr>
    <w:rPr>
      <w:rFonts w:ascii="Arial" w:hAnsi="Arial" w:cs="Arial"/>
      <w:sz w:val="22"/>
      <w:szCs w:val="22"/>
      <w:lang w:val="es-ES_tradnl" w:eastAsia="es-CO"/>
    </w:rPr>
  </w:style>
  <w:style w:type="paragraph" w:customStyle="1" w:styleId="Textoindependiente21">
    <w:name w:val="Texto independiente 21"/>
    <w:basedOn w:val="Normal"/>
    <w:rsid w:val="00F6673E"/>
    <w:pPr>
      <w:overflowPunct w:val="0"/>
      <w:autoSpaceDE w:val="0"/>
      <w:autoSpaceDN w:val="0"/>
      <w:adjustRightInd w:val="0"/>
      <w:spacing w:before="240" w:after="240"/>
      <w:ind w:left="0" w:right="20"/>
      <w:jc w:val="both"/>
      <w:textAlignment w:val="baseline"/>
    </w:pPr>
    <w:rPr>
      <w:rFonts w:ascii="Bookman Old Style" w:hAnsi="Bookman Old Style"/>
      <w:sz w:val="22"/>
      <w:szCs w:val="20"/>
      <w:lang w:val="es-ES_tradnl"/>
    </w:rPr>
  </w:style>
  <w:style w:type="character" w:styleId="Textodelmarcadordeposicin">
    <w:name w:val="Placeholder Text"/>
    <w:uiPriority w:val="99"/>
    <w:semiHidden/>
    <w:rsid w:val="00F6673E"/>
    <w:rPr>
      <w:color w:val="808080"/>
    </w:rPr>
  </w:style>
  <w:style w:type="character" w:styleId="Hipervnculo">
    <w:name w:val="Hyperlink"/>
    <w:uiPriority w:val="99"/>
    <w:semiHidden/>
    <w:unhideWhenUsed/>
    <w:rsid w:val="00F6673E"/>
    <w:rPr>
      <w:color w:val="0000FF"/>
      <w:u w:val="single"/>
    </w:rPr>
  </w:style>
  <w:style w:type="character" w:styleId="Hipervnculovisitado">
    <w:name w:val="FollowedHyperlink"/>
    <w:uiPriority w:val="99"/>
    <w:semiHidden/>
    <w:unhideWhenUsed/>
    <w:rsid w:val="00F6673E"/>
    <w:rPr>
      <w:color w:val="800080"/>
      <w:u w:val="single"/>
    </w:rPr>
  </w:style>
  <w:style w:type="paragraph" w:customStyle="1" w:styleId="ARTICULOS">
    <w:name w:val="ARTICULOS"/>
    <w:basedOn w:val="Normal"/>
    <w:link w:val="ARTICULOSCar"/>
    <w:qFormat/>
    <w:rsid w:val="00F6673E"/>
    <w:pPr>
      <w:widowControl w:val="0"/>
      <w:numPr>
        <w:numId w:val="3"/>
      </w:numPr>
      <w:adjustRightInd w:val="0"/>
      <w:jc w:val="both"/>
      <w:textAlignment w:val="baseline"/>
    </w:pPr>
    <w:rPr>
      <w:rFonts w:ascii="Bookman Old Style" w:hAnsi="Bookman Old Style"/>
      <w:bCs/>
      <w:lang w:val="x-none" w:eastAsia="x-none"/>
    </w:rPr>
  </w:style>
  <w:style w:type="character" w:customStyle="1" w:styleId="ARTICULOSCar">
    <w:name w:val="ARTICULOS Car"/>
    <w:link w:val="ARTICULOS"/>
    <w:rsid w:val="00F6673E"/>
    <w:rPr>
      <w:rFonts w:ascii="Bookman Old Style" w:hAnsi="Bookman Old Style"/>
      <w:bCs/>
      <w:sz w:val="24"/>
      <w:szCs w:val="24"/>
      <w:lang w:val="x-none" w:eastAsia="x-none"/>
    </w:rPr>
  </w:style>
  <w:style w:type="paragraph" w:styleId="Textosinformato">
    <w:name w:val="Plain Text"/>
    <w:basedOn w:val="Normal"/>
    <w:link w:val="TextosinformatoCar"/>
    <w:rsid w:val="00F6673E"/>
    <w:pPr>
      <w:ind w:left="0"/>
    </w:pPr>
    <w:rPr>
      <w:rFonts w:ascii="Courier New" w:hAnsi="Courier New" w:cs="Courier New"/>
      <w:sz w:val="20"/>
      <w:szCs w:val="20"/>
    </w:rPr>
  </w:style>
  <w:style w:type="character" w:customStyle="1" w:styleId="TextosinformatoCar">
    <w:name w:val="Texto sin formato Car"/>
    <w:link w:val="Textosinformato"/>
    <w:rsid w:val="00F6673E"/>
    <w:rPr>
      <w:rFonts w:ascii="Courier New" w:hAnsi="Courier New" w:cs="Courier New"/>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nhideWhenUsed/>
    <w:qFormat/>
    <w:rsid w:val="00F6673E"/>
    <w:pPr>
      <w:keepNext/>
      <w:spacing w:before="240" w:after="60"/>
      <w:ind w:left="0"/>
      <w:jc w:val="both"/>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nhideWhenUsed/>
    <w:qFormat/>
    <w:rsid w:val="006B4647"/>
    <w:pPr>
      <w:spacing w:before="240" w:after="60"/>
      <w:outlineLvl w:val="6"/>
    </w:pPr>
    <w:rPr>
      <w:rFonts w:ascii="Calibri" w:hAnsi="Calibri"/>
    </w:rPr>
  </w:style>
  <w:style w:type="paragraph" w:styleId="Ttulo8">
    <w:name w:val="heading 8"/>
    <w:basedOn w:val="Normal"/>
    <w:next w:val="Normal"/>
    <w:link w:val="Ttulo8Car"/>
    <w:qFormat/>
    <w:rsid w:val="00F6673E"/>
    <w:pPr>
      <w:tabs>
        <w:tab w:val="num" w:pos="1440"/>
      </w:tabs>
      <w:spacing w:before="240" w:after="60"/>
      <w:ind w:left="1440" w:hanging="1440"/>
      <w:jc w:val="both"/>
      <w:outlineLvl w:val="7"/>
    </w:pPr>
    <w:rPr>
      <w:rFonts w:ascii="Arial" w:hAnsi="Arial"/>
      <w:i/>
      <w:sz w:val="20"/>
      <w:szCs w:val="20"/>
      <w:lang w:val="es-ES_tradnl"/>
    </w:rPr>
  </w:style>
  <w:style w:type="paragraph" w:styleId="Ttulo9">
    <w:name w:val="heading 9"/>
    <w:basedOn w:val="Normal"/>
    <w:next w:val="Normal"/>
    <w:link w:val="Ttulo9Car"/>
    <w:qFormat/>
    <w:rsid w:val="00F6673E"/>
    <w:pPr>
      <w:tabs>
        <w:tab w:val="num" w:pos="1584"/>
      </w:tabs>
      <w:spacing w:before="240" w:after="60"/>
      <w:ind w:left="1584" w:hanging="1584"/>
      <w:jc w:val="both"/>
      <w:outlineLvl w:val="8"/>
    </w:pPr>
    <w:rPr>
      <w:rFonts w:ascii="Arial" w:hAnsi="Arial"/>
      <w:b/>
      <w:i/>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3A31F6"/>
    <w:pPr>
      <w:ind w:left="0"/>
    </w:pPr>
    <w:rPr>
      <w:rFonts w:ascii="Century Gothic" w:hAnsi="Century Gothic"/>
      <w:b/>
      <w:bCs/>
    </w:rPr>
  </w:style>
  <w:style w:type="character" w:customStyle="1" w:styleId="SubttuloCar">
    <w:name w:val="Subtítulo Car"/>
    <w:link w:val="Subttulo"/>
    <w:uiPriority w:val="99"/>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character" w:customStyle="1" w:styleId="Ttulo2Car">
    <w:name w:val="Título 2 Car"/>
    <w:link w:val="Ttulo2"/>
    <w:rsid w:val="00F6673E"/>
    <w:rPr>
      <w:rFonts w:ascii="Cambria" w:hAnsi="Cambria"/>
      <w:b/>
      <w:bCs/>
      <w:i/>
      <w:iCs/>
      <w:sz w:val="28"/>
      <w:szCs w:val="28"/>
      <w:lang w:val="es-ES" w:eastAsia="es-ES"/>
    </w:rPr>
  </w:style>
  <w:style w:type="character" w:customStyle="1" w:styleId="Ttulo8Car">
    <w:name w:val="Título 8 Car"/>
    <w:link w:val="Ttulo8"/>
    <w:rsid w:val="00F6673E"/>
    <w:rPr>
      <w:rFonts w:ascii="Arial" w:hAnsi="Arial"/>
      <w:i/>
      <w:lang w:val="es-ES_tradnl" w:eastAsia="es-ES"/>
    </w:rPr>
  </w:style>
  <w:style w:type="character" w:customStyle="1" w:styleId="Ttulo9Car">
    <w:name w:val="Título 9 Car"/>
    <w:link w:val="Ttulo9"/>
    <w:rsid w:val="00F6673E"/>
    <w:rPr>
      <w:rFonts w:ascii="Arial" w:hAnsi="Arial"/>
      <w:b/>
      <w:i/>
      <w:sz w:val="18"/>
      <w:lang w:val="es-ES_tradnl" w:eastAsia="es-ES"/>
    </w:rPr>
  </w:style>
  <w:style w:type="character" w:customStyle="1" w:styleId="Ttulo1Car">
    <w:name w:val="Título 1 Car"/>
    <w:link w:val="Ttulo1"/>
    <w:rsid w:val="00F6673E"/>
    <w:rPr>
      <w:rFonts w:ascii="CG Times" w:hAnsi="CG Times"/>
      <w:b/>
      <w:sz w:val="24"/>
      <w:lang w:eastAsia="es-ES"/>
    </w:rPr>
  </w:style>
  <w:style w:type="character" w:customStyle="1" w:styleId="PiedepginaCar">
    <w:name w:val="Pie de página Car"/>
    <w:link w:val="Piedepgina"/>
    <w:semiHidden/>
    <w:rsid w:val="00F6673E"/>
    <w:rPr>
      <w:sz w:val="24"/>
      <w:szCs w:val="24"/>
      <w:lang w:val="es-ES" w:eastAsia="es-ES"/>
    </w:rPr>
  </w:style>
  <w:style w:type="paragraph" w:customStyle="1" w:styleId="Estilo2">
    <w:name w:val="Estilo2"/>
    <w:basedOn w:val="Estilo1"/>
    <w:link w:val="Estilo2Car"/>
    <w:rsid w:val="00F6673E"/>
    <w:pPr>
      <w:keepNext/>
      <w:widowControl w:val="0"/>
      <w:shd w:val="clear" w:color="auto" w:fill="auto"/>
      <w:tabs>
        <w:tab w:val="num" w:pos="1440"/>
      </w:tabs>
      <w:adjustRightInd w:val="0"/>
      <w:spacing w:before="240" w:after="240"/>
      <w:ind w:left="0"/>
      <w:jc w:val="both"/>
      <w:textAlignment w:val="baseline"/>
      <w:outlineLvl w:val="0"/>
    </w:pPr>
    <w:rPr>
      <w:rFonts w:ascii="Bookman Old Style" w:hAnsi="Bookman Old Style"/>
      <w:b/>
      <w:bCs/>
      <w:color w:val="auto"/>
      <w:sz w:val="24"/>
      <w:szCs w:val="24"/>
      <w:lang w:val="es-ES" w:eastAsia="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Estilo2Car">
    <w:name w:val="Estilo2 Car"/>
    <w:link w:val="Estilo2"/>
    <w:rsid w:val="00F6673E"/>
    <w:rPr>
      <w:rFonts w:ascii="Bookman Old Style" w:hAnsi="Bookman Old Style"/>
      <w:b/>
      <w:bCs/>
      <w:sz w:val="24"/>
      <w:szCs w:val="24"/>
      <w:lang w:val="es-ES" w:eastAsia="ar-SA"/>
    </w:rPr>
  </w:style>
  <w:style w:type="paragraph" w:styleId="Mapadeldocumento">
    <w:name w:val="Document Map"/>
    <w:basedOn w:val="Normal"/>
    <w:link w:val="MapadeldocumentoCar"/>
    <w:uiPriority w:val="99"/>
    <w:semiHidden/>
    <w:unhideWhenUsed/>
    <w:rsid w:val="00F6673E"/>
    <w:pPr>
      <w:spacing w:before="240" w:after="240"/>
      <w:ind w:left="0"/>
      <w:jc w:val="both"/>
    </w:pPr>
    <w:rPr>
      <w:rFonts w:ascii="Tahoma" w:hAnsi="Tahoma" w:cs="Tahoma"/>
      <w:sz w:val="16"/>
      <w:szCs w:val="16"/>
    </w:rPr>
  </w:style>
  <w:style w:type="character" w:customStyle="1" w:styleId="MapadeldocumentoCar">
    <w:name w:val="Mapa del documento Car"/>
    <w:link w:val="Mapadeldocumento"/>
    <w:uiPriority w:val="99"/>
    <w:semiHidden/>
    <w:rsid w:val="00F6673E"/>
    <w:rPr>
      <w:rFonts w:ascii="Tahoma" w:hAnsi="Tahoma" w:cs="Tahoma"/>
      <w:sz w:val="16"/>
      <w:szCs w:val="16"/>
      <w:lang w:val="es-ES" w:eastAsia="es-ES"/>
    </w:rPr>
  </w:style>
  <w:style w:type="character" w:styleId="Refdecomentario">
    <w:name w:val="annotation reference"/>
    <w:uiPriority w:val="99"/>
    <w:semiHidden/>
    <w:unhideWhenUsed/>
    <w:rsid w:val="00F6673E"/>
    <w:rPr>
      <w:sz w:val="16"/>
      <w:szCs w:val="16"/>
    </w:rPr>
  </w:style>
  <w:style w:type="paragraph" w:styleId="Textocomentario">
    <w:name w:val="annotation text"/>
    <w:basedOn w:val="Normal"/>
    <w:link w:val="TextocomentarioCar"/>
    <w:uiPriority w:val="99"/>
    <w:unhideWhenUsed/>
    <w:rsid w:val="00F6673E"/>
    <w:pPr>
      <w:spacing w:before="240" w:after="240"/>
      <w:ind w:left="0"/>
      <w:jc w:val="both"/>
    </w:pPr>
    <w:rPr>
      <w:rFonts w:ascii="Bookman Old Style" w:hAnsi="Bookman Old Style"/>
      <w:sz w:val="20"/>
      <w:szCs w:val="20"/>
    </w:rPr>
  </w:style>
  <w:style w:type="character" w:customStyle="1" w:styleId="TextocomentarioCar">
    <w:name w:val="Texto comentario Car"/>
    <w:link w:val="Textocomentario"/>
    <w:uiPriority w:val="99"/>
    <w:rsid w:val="00F6673E"/>
    <w:rPr>
      <w:rFonts w:ascii="Bookman Old Style" w:hAnsi="Bookman Old Style"/>
      <w:lang w:val="es-ES" w:eastAsia="es-ES"/>
    </w:rPr>
  </w:style>
  <w:style w:type="paragraph" w:styleId="Asuntodelcomentario">
    <w:name w:val="annotation subject"/>
    <w:basedOn w:val="Textocomentario"/>
    <w:next w:val="Textocomentario"/>
    <w:link w:val="AsuntodelcomentarioCar"/>
    <w:uiPriority w:val="99"/>
    <w:semiHidden/>
    <w:unhideWhenUsed/>
    <w:rsid w:val="00F6673E"/>
    <w:rPr>
      <w:b/>
      <w:bCs/>
    </w:rPr>
  </w:style>
  <w:style w:type="character" w:customStyle="1" w:styleId="AsuntodelcomentarioCar">
    <w:name w:val="Asunto del comentario Car"/>
    <w:link w:val="Asuntodelcomentario"/>
    <w:uiPriority w:val="99"/>
    <w:semiHidden/>
    <w:rsid w:val="00F6673E"/>
    <w:rPr>
      <w:rFonts w:ascii="Bookman Old Style" w:hAnsi="Bookman Old Style"/>
      <w:b/>
      <w:bCs/>
      <w:lang w:val="es-ES" w:eastAsia="es-ES"/>
    </w:rPr>
  </w:style>
  <w:style w:type="paragraph" w:styleId="NormalWeb">
    <w:name w:val="Normal (Web)"/>
    <w:basedOn w:val="Normal"/>
    <w:uiPriority w:val="99"/>
    <w:unhideWhenUsed/>
    <w:rsid w:val="00F6673E"/>
    <w:pPr>
      <w:spacing w:before="100" w:beforeAutospacing="1" w:after="100" w:afterAutospacing="1"/>
      <w:ind w:left="0"/>
      <w:jc w:val="both"/>
    </w:pPr>
    <w:rPr>
      <w:rFonts w:ascii="Bookman Old Style" w:hAnsi="Bookman Old Style"/>
    </w:rPr>
  </w:style>
  <w:style w:type="paragraph" w:styleId="Textonotaalfinal">
    <w:name w:val="endnote text"/>
    <w:basedOn w:val="Normal"/>
    <w:link w:val="TextonotaalfinalCar"/>
    <w:uiPriority w:val="99"/>
    <w:semiHidden/>
    <w:unhideWhenUsed/>
    <w:rsid w:val="00F6673E"/>
    <w:pPr>
      <w:spacing w:before="240" w:after="240"/>
      <w:ind w:left="0"/>
      <w:jc w:val="both"/>
    </w:pPr>
    <w:rPr>
      <w:rFonts w:ascii="Bookman Old Style" w:hAnsi="Bookman Old Style"/>
      <w:sz w:val="20"/>
      <w:szCs w:val="20"/>
    </w:rPr>
  </w:style>
  <w:style w:type="character" w:customStyle="1" w:styleId="TextonotaalfinalCar">
    <w:name w:val="Texto nota al final Car"/>
    <w:link w:val="Textonotaalfinal"/>
    <w:uiPriority w:val="99"/>
    <w:semiHidden/>
    <w:rsid w:val="00F6673E"/>
    <w:rPr>
      <w:rFonts w:ascii="Bookman Old Style" w:hAnsi="Bookman Old Style"/>
      <w:lang w:val="es-ES" w:eastAsia="es-ES"/>
    </w:rPr>
  </w:style>
  <w:style w:type="character" w:styleId="Refdenotaalfinal">
    <w:name w:val="endnote reference"/>
    <w:uiPriority w:val="99"/>
    <w:semiHidden/>
    <w:unhideWhenUsed/>
    <w:rsid w:val="00F6673E"/>
    <w:rPr>
      <w:vertAlign w:val="superscript"/>
    </w:rPr>
  </w:style>
  <w:style w:type="paragraph" w:styleId="Textonotapie">
    <w:name w:val="footnote text"/>
    <w:aliases w:val="fn,footnote text"/>
    <w:basedOn w:val="Normal"/>
    <w:link w:val="TextonotapieCar"/>
    <w:uiPriority w:val="99"/>
    <w:semiHidden/>
    <w:rsid w:val="00F6673E"/>
    <w:pPr>
      <w:spacing w:before="240" w:after="240"/>
      <w:ind w:left="0"/>
      <w:jc w:val="both"/>
    </w:pPr>
    <w:rPr>
      <w:rFonts w:ascii="Bookman Old Style" w:hAnsi="Bookman Old Style"/>
      <w:szCs w:val="20"/>
      <w:lang w:val="en-US"/>
    </w:rPr>
  </w:style>
  <w:style w:type="character" w:customStyle="1" w:styleId="TextonotapieCar">
    <w:name w:val="Texto nota pie Car"/>
    <w:aliases w:val="fn Car,footnote text Car"/>
    <w:link w:val="Textonotapie"/>
    <w:uiPriority w:val="99"/>
    <w:semiHidden/>
    <w:rsid w:val="00F6673E"/>
    <w:rPr>
      <w:rFonts w:ascii="Bookman Old Style" w:hAnsi="Bookman Old Style"/>
      <w:sz w:val="24"/>
      <w:lang w:val="en-US" w:eastAsia="es-ES"/>
    </w:rPr>
  </w:style>
  <w:style w:type="character" w:styleId="Refdenotaalpie">
    <w:name w:val="footnote reference"/>
    <w:rsid w:val="00F6673E"/>
    <w:rPr>
      <w:vertAlign w:val="superscript"/>
    </w:rPr>
  </w:style>
  <w:style w:type="paragraph" w:customStyle="1" w:styleId="Estilo4">
    <w:name w:val="Estilo4"/>
    <w:basedOn w:val="Normal"/>
    <w:link w:val="Estilo4Car"/>
    <w:qFormat/>
    <w:rsid w:val="00F6673E"/>
    <w:pPr>
      <w:keepNext/>
      <w:spacing w:before="240" w:after="240"/>
      <w:ind w:left="0"/>
      <w:jc w:val="center"/>
      <w:outlineLvl w:val="0"/>
    </w:pPr>
    <w:rPr>
      <w:rFonts w:ascii="Arial" w:hAnsi="Arial"/>
      <w:b/>
      <w:kern w:val="28"/>
      <w:sz w:val="22"/>
      <w:szCs w:val="22"/>
      <w:lang w:val="es-ES_tradnl" w:eastAsia="es-CO"/>
    </w:rPr>
  </w:style>
  <w:style w:type="character" w:customStyle="1" w:styleId="Estilo4Car">
    <w:name w:val="Estilo4 Car"/>
    <w:link w:val="Estilo4"/>
    <w:rsid w:val="00F6673E"/>
    <w:rPr>
      <w:rFonts w:ascii="Arial" w:hAnsi="Arial"/>
      <w:b/>
      <w:kern w:val="28"/>
      <w:sz w:val="22"/>
      <w:szCs w:val="22"/>
      <w:lang w:val="es-ES_tradnl"/>
    </w:rPr>
  </w:style>
  <w:style w:type="paragraph" w:customStyle="1" w:styleId="Estilo5">
    <w:name w:val="Estilo5"/>
    <w:basedOn w:val="Estilo1"/>
    <w:qFormat/>
    <w:rsid w:val="00F6673E"/>
    <w:pPr>
      <w:keepNext/>
      <w:numPr>
        <w:numId w:val="2"/>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styleId="Revisin">
    <w:name w:val="Revision"/>
    <w:hidden/>
    <w:uiPriority w:val="99"/>
    <w:semiHidden/>
    <w:rsid w:val="00F6673E"/>
    <w:rPr>
      <w:sz w:val="24"/>
      <w:szCs w:val="24"/>
      <w:lang w:val="es-ES" w:eastAsia="es-ES"/>
    </w:rPr>
  </w:style>
  <w:style w:type="paragraph" w:customStyle="1" w:styleId="Estilo8">
    <w:name w:val="Estilo8"/>
    <w:basedOn w:val="Normal"/>
    <w:qFormat/>
    <w:rsid w:val="00F6673E"/>
    <w:pPr>
      <w:spacing w:before="240" w:after="240"/>
      <w:ind w:left="0"/>
      <w:jc w:val="both"/>
    </w:pPr>
    <w:rPr>
      <w:rFonts w:ascii="Arial" w:hAnsi="Arial" w:cs="Arial"/>
      <w:sz w:val="22"/>
      <w:szCs w:val="22"/>
      <w:lang w:val="es-ES_tradnl" w:eastAsia="es-CO"/>
    </w:rPr>
  </w:style>
  <w:style w:type="paragraph" w:customStyle="1" w:styleId="Textoindependiente21">
    <w:name w:val="Texto independiente 21"/>
    <w:basedOn w:val="Normal"/>
    <w:rsid w:val="00F6673E"/>
    <w:pPr>
      <w:overflowPunct w:val="0"/>
      <w:autoSpaceDE w:val="0"/>
      <w:autoSpaceDN w:val="0"/>
      <w:adjustRightInd w:val="0"/>
      <w:spacing w:before="240" w:after="240"/>
      <w:ind w:left="0" w:right="20"/>
      <w:jc w:val="both"/>
      <w:textAlignment w:val="baseline"/>
    </w:pPr>
    <w:rPr>
      <w:rFonts w:ascii="Bookman Old Style" w:hAnsi="Bookman Old Style"/>
      <w:sz w:val="22"/>
      <w:szCs w:val="20"/>
      <w:lang w:val="es-ES_tradnl"/>
    </w:rPr>
  </w:style>
  <w:style w:type="character" w:styleId="Textodelmarcadordeposicin">
    <w:name w:val="Placeholder Text"/>
    <w:uiPriority w:val="99"/>
    <w:semiHidden/>
    <w:rsid w:val="00F6673E"/>
    <w:rPr>
      <w:color w:val="808080"/>
    </w:rPr>
  </w:style>
  <w:style w:type="character" w:styleId="Hipervnculo">
    <w:name w:val="Hyperlink"/>
    <w:uiPriority w:val="99"/>
    <w:semiHidden/>
    <w:unhideWhenUsed/>
    <w:rsid w:val="00F6673E"/>
    <w:rPr>
      <w:color w:val="0000FF"/>
      <w:u w:val="single"/>
    </w:rPr>
  </w:style>
  <w:style w:type="character" w:styleId="Hipervnculovisitado">
    <w:name w:val="FollowedHyperlink"/>
    <w:uiPriority w:val="99"/>
    <w:semiHidden/>
    <w:unhideWhenUsed/>
    <w:rsid w:val="00F6673E"/>
    <w:rPr>
      <w:color w:val="800080"/>
      <w:u w:val="single"/>
    </w:rPr>
  </w:style>
  <w:style w:type="paragraph" w:customStyle="1" w:styleId="ARTICULOS">
    <w:name w:val="ARTICULOS"/>
    <w:basedOn w:val="Normal"/>
    <w:link w:val="ARTICULOSCar"/>
    <w:qFormat/>
    <w:rsid w:val="00F6673E"/>
    <w:pPr>
      <w:widowControl w:val="0"/>
      <w:numPr>
        <w:numId w:val="3"/>
      </w:numPr>
      <w:adjustRightInd w:val="0"/>
      <w:jc w:val="both"/>
      <w:textAlignment w:val="baseline"/>
    </w:pPr>
    <w:rPr>
      <w:rFonts w:ascii="Bookman Old Style" w:hAnsi="Bookman Old Style"/>
      <w:bCs/>
      <w:lang w:val="x-none" w:eastAsia="x-none"/>
    </w:rPr>
  </w:style>
  <w:style w:type="character" w:customStyle="1" w:styleId="ARTICULOSCar">
    <w:name w:val="ARTICULOS Car"/>
    <w:link w:val="ARTICULOS"/>
    <w:rsid w:val="00F6673E"/>
    <w:rPr>
      <w:rFonts w:ascii="Bookman Old Style" w:hAnsi="Bookman Old Style"/>
      <w:bCs/>
      <w:sz w:val="24"/>
      <w:szCs w:val="24"/>
      <w:lang w:val="x-none" w:eastAsia="x-none"/>
    </w:rPr>
  </w:style>
  <w:style w:type="paragraph" w:styleId="Textosinformato">
    <w:name w:val="Plain Text"/>
    <w:basedOn w:val="Normal"/>
    <w:link w:val="TextosinformatoCar"/>
    <w:rsid w:val="00F6673E"/>
    <w:pPr>
      <w:ind w:left="0"/>
    </w:pPr>
    <w:rPr>
      <w:rFonts w:ascii="Courier New" w:hAnsi="Courier New" w:cs="Courier New"/>
      <w:sz w:val="20"/>
      <w:szCs w:val="20"/>
    </w:rPr>
  </w:style>
  <w:style w:type="character" w:customStyle="1" w:styleId="TextosinformatoCar">
    <w:name w:val="Texto sin formato Car"/>
    <w:link w:val="Textosinformato"/>
    <w:rsid w:val="00F6673E"/>
    <w:rPr>
      <w:rFonts w:ascii="Courier New" w:hAnsi="Courier New" w:cs="Courier New"/>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B9E54-2159-4225-A86F-0CD31D525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12</Pages>
  <Words>3697</Words>
  <Characters>19624</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2015-10-27T17:22:00Z</cp:lastPrinted>
  <dcterms:created xsi:type="dcterms:W3CDTF">2015-12-03T00:18:00Z</dcterms:created>
  <dcterms:modified xsi:type="dcterms:W3CDTF">2015-12-03T00:18:00Z</dcterms:modified>
</cp:coreProperties>
</file>