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D619F" w14:textId="75D1D4B1" w:rsidR="00386051" w:rsidRPr="00E060BE" w:rsidRDefault="00141C57" w:rsidP="003860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>
        <w:rPr>
          <w:rFonts w:ascii="Bookman Old Style" w:hAnsi="Bookman Old Style"/>
          <w:b w:val="0"/>
          <w:bCs/>
          <w:noProof/>
          <w:snapToGrid/>
          <w:sz w:val="24"/>
          <w:szCs w:val="24"/>
        </w:rPr>
        <w:object w:dxaOrig="1440" w:dyaOrig="1440" w14:anchorId="30DFA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8.65pt;margin-top:-62.35pt;width:52.5pt;height:48.75pt;z-index:251658240;mso-wrap-edited:f;mso-width-percent:0;mso-height-percent:0;mso-width-percent:0;mso-height-percent:0" fillcolor="#0c9">
            <v:imagedata r:id="rId11" o:title=""/>
          </v:shape>
          <o:OLEObject Type="Embed" ProgID="PBrush" ShapeID="_x0000_s1026" DrawAspect="Content" ObjectID="_1658146141" r:id="rId12"/>
        </w:object>
      </w:r>
      <w:r w:rsidR="00386051"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0567117E" w14:textId="77777777" w:rsidR="00386051" w:rsidRPr="00E060BE" w:rsidRDefault="00386051" w:rsidP="003860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14:paraId="5E16C4A5" w14:textId="77777777" w:rsidR="00386051" w:rsidRPr="00E060BE" w:rsidRDefault="00386051" w:rsidP="003860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2A82DEC9" w14:textId="77777777" w:rsidR="00386051" w:rsidRPr="00E060BE" w:rsidRDefault="00386051" w:rsidP="003860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79A98D9F" w14:textId="77777777" w:rsidR="00386051" w:rsidRPr="00E060BE" w:rsidRDefault="00386051" w:rsidP="003860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78AB0D56" w14:textId="01DD199C" w:rsidR="00386051" w:rsidRPr="00E060BE" w:rsidRDefault="00386051" w:rsidP="003860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Pr="002A6975">
        <w:rPr>
          <w:rFonts w:ascii="Bookman Old Style" w:hAnsi="Bookman Old Style"/>
          <w:sz w:val="32"/>
          <w:szCs w:val="32"/>
        </w:rPr>
        <w:t xml:space="preserve"> </w:t>
      </w:r>
      <w:r w:rsidR="002A6975" w:rsidRPr="002A6975">
        <w:rPr>
          <w:rFonts w:ascii="Bookman Old Style" w:hAnsi="Bookman Old Style"/>
          <w:sz w:val="32"/>
          <w:szCs w:val="32"/>
        </w:rPr>
        <w:t>147</w:t>
      </w:r>
      <w:r w:rsidRPr="002A6975">
        <w:rPr>
          <w:rFonts w:ascii="Bookman Old Style" w:hAnsi="Bookman Old Style"/>
          <w:sz w:val="32"/>
          <w:szCs w:val="32"/>
        </w:rPr>
        <w:t xml:space="preserve"> </w:t>
      </w:r>
      <w:r w:rsidRPr="00E060BE">
        <w:rPr>
          <w:rFonts w:ascii="Bookman Old Style" w:hAnsi="Bookman Old Style"/>
          <w:sz w:val="24"/>
          <w:szCs w:val="24"/>
        </w:rPr>
        <w:t>DE 20</w:t>
      </w:r>
      <w:r>
        <w:rPr>
          <w:rFonts w:ascii="Bookman Old Style" w:hAnsi="Bookman Old Style"/>
          <w:sz w:val="24"/>
          <w:szCs w:val="24"/>
        </w:rPr>
        <w:t>20</w:t>
      </w:r>
    </w:p>
    <w:p w14:paraId="552B90C1" w14:textId="77777777" w:rsidR="00386051" w:rsidRPr="00E060BE" w:rsidRDefault="00386051" w:rsidP="00386051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035D2757" w14:textId="42111A94" w:rsidR="00386051" w:rsidRPr="00E060BE" w:rsidRDefault="00386051" w:rsidP="003860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 xml:space="preserve">(       </w:t>
      </w:r>
      <w:r w:rsidR="002A6975" w:rsidRPr="002A6975">
        <w:rPr>
          <w:rFonts w:ascii="Bookman Old Style" w:hAnsi="Bookman Old Style"/>
          <w:bCs/>
          <w:sz w:val="32"/>
          <w:szCs w:val="32"/>
        </w:rPr>
        <w:t>17 JUL.2020</w:t>
      </w:r>
      <w:r w:rsidRPr="002A6975">
        <w:rPr>
          <w:rFonts w:ascii="Bookman Old Style" w:hAnsi="Bookman Old Style"/>
          <w:b w:val="0"/>
          <w:sz w:val="32"/>
          <w:szCs w:val="32"/>
        </w:rPr>
        <w:t xml:space="preserve">  </w:t>
      </w:r>
      <w:r w:rsidRPr="00E060BE">
        <w:rPr>
          <w:rFonts w:ascii="Bookman Old Style" w:hAnsi="Bookman Old Style"/>
          <w:b w:val="0"/>
          <w:szCs w:val="24"/>
        </w:rPr>
        <w:t>)</w:t>
      </w:r>
    </w:p>
    <w:p w14:paraId="27BAE550" w14:textId="77777777" w:rsidR="00386051" w:rsidRPr="00E060BE" w:rsidRDefault="00386051" w:rsidP="00386051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47FBE416" w14:textId="77777777" w:rsidR="00386051" w:rsidRPr="00E060BE" w:rsidRDefault="00386051" w:rsidP="00386051">
      <w:pPr>
        <w:ind w:left="0"/>
        <w:rPr>
          <w:rFonts w:ascii="Bookman Old Style" w:hAnsi="Bookman Old Style"/>
          <w:bCs/>
          <w:lang w:val="es-CO"/>
        </w:rPr>
      </w:pPr>
    </w:p>
    <w:p w14:paraId="2569F869" w14:textId="20B2C4BE" w:rsidR="00386051" w:rsidRPr="00C435C3" w:rsidRDefault="00386051" w:rsidP="00386051">
      <w:pPr>
        <w:ind w:left="0"/>
        <w:jc w:val="center"/>
        <w:rPr>
          <w:rFonts w:ascii="Bookman Old Style" w:hAnsi="Bookman Old Style"/>
        </w:rPr>
      </w:pPr>
      <w:r w:rsidRPr="738E1D91">
        <w:rPr>
          <w:rFonts w:ascii="Bookman Old Style" w:hAnsi="Bookman Old Style"/>
        </w:rPr>
        <w:t>Por la cual se ordena hacer público un proyecto de resolución de carácter general, “</w:t>
      </w:r>
      <w:r w:rsidRPr="738E1D91">
        <w:rPr>
          <w:rFonts w:ascii="Bookman Old Style" w:hAnsi="Bookman Old Style"/>
          <w:i/>
          <w:iCs/>
        </w:rPr>
        <w:t xml:space="preserve">Por la cual se </w:t>
      </w:r>
      <w:r w:rsidR="00677327" w:rsidRPr="738E1D91">
        <w:rPr>
          <w:rFonts w:ascii="Bookman Old Style" w:hAnsi="Bookman Old Style"/>
          <w:i/>
          <w:iCs/>
        </w:rPr>
        <w:t xml:space="preserve">define el esquema de auditoría </w:t>
      </w:r>
      <w:r w:rsidR="45567D4D" w:rsidRPr="738E1D91">
        <w:rPr>
          <w:rFonts w:ascii="Bookman Old Style" w:hAnsi="Bookman Old Style"/>
          <w:i/>
          <w:iCs/>
        </w:rPr>
        <w:t>sobre</w:t>
      </w:r>
      <w:r w:rsidR="00677327" w:rsidRPr="738E1D91">
        <w:rPr>
          <w:rFonts w:ascii="Bookman Old Style" w:hAnsi="Bookman Old Style"/>
          <w:i/>
          <w:iCs/>
        </w:rPr>
        <w:t xml:space="preserve"> la información reportada </w:t>
      </w:r>
      <w:r w:rsidR="582898FC" w:rsidRPr="738E1D91">
        <w:rPr>
          <w:rFonts w:ascii="Bookman Old Style" w:hAnsi="Bookman Old Style"/>
          <w:i/>
          <w:iCs/>
        </w:rPr>
        <w:t xml:space="preserve">de los </w:t>
      </w:r>
      <w:r w:rsidR="00677327" w:rsidRPr="738E1D91">
        <w:rPr>
          <w:rFonts w:ascii="Bookman Old Style" w:hAnsi="Bookman Old Style"/>
          <w:i/>
          <w:iCs/>
        </w:rPr>
        <w:t>costos de suministro y transporte de combustible declarados por los agentes generadores</w:t>
      </w:r>
      <w:r w:rsidRPr="738E1D91">
        <w:rPr>
          <w:rFonts w:ascii="Bookman Old Style" w:hAnsi="Bookman Old Style"/>
        </w:rPr>
        <w:t>”</w:t>
      </w:r>
    </w:p>
    <w:p w14:paraId="6D6B9481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532D1A30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04529110" w14:textId="77777777" w:rsidR="00386051" w:rsidRPr="00C435C3" w:rsidRDefault="00386051" w:rsidP="00386051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ENERGÍA Y GAS</w:t>
      </w:r>
    </w:p>
    <w:p w14:paraId="34AC87C2" w14:textId="77777777" w:rsidR="00386051" w:rsidRPr="00C435C3" w:rsidRDefault="00386051" w:rsidP="00386051">
      <w:pPr>
        <w:ind w:left="0" w:right="51"/>
        <w:rPr>
          <w:rFonts w:ascii="Bookman Old Style" w:hAnsi="Bookman Old Style"/>
        </w:rPr>
      </w:pPr>
    </w:p>
    <w:p w14:paraId="59E0DB97" w14:textId="77777777" w:rsidR="00386051" w:rsidRDefault="00386051" w:rsidP="00386051">
      <w:pPr>
        <w:pStyle w:val="Textoindependiente3"/>
        <w:ind w:left="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los Decretos 1524 y 2253 de 1994 y 1260 de 2013.</w:t>
      </w:r>
    </w:p>
    <w:p w14:paraId="22551FF3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36B77CED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38406D29" w14:textId="77777777" w:rsidR="00386051" w:rsidRPr="00C435C3" w:rsidRDefault="00386051" w:rsidP="00386051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 Q U E</w:t>
      </w:r>
      <w:r w:rsidRPr="00C435C3">
        <w:rPr>
          <w:rFonts w:ascii="Bookman Old Style" w:hAnsi="Bookman Old Style"/>
          <w:b/>
        </w:rPr>
        <w:t>:</w:t>
      </w:r>
    </w:p>
    <w:p w14:paraId="1AA8884D" w14:textId="77777777" w:rsidR="00386051" w:rsidRPr="00C435C3" w:rsidRDefault="00386051" w:rsidP="00386051">
      <w:pPr>
        <w:ind w:right="51"/>
        <w:jc w:val="center"/>
        <w:rPr>
          <w:rFonts w:ascii="Bookman Old Style" w:hAnsi="Bookman Old Style"/>
          <w:b/>
        </w:rPr>
      </w:pPr>
    </w:p>
    <w:p w14:paraId="4E81B39C" w14:textId="77777777" w:rsidR="00386051" w:rsidRDefault="00386051" w:rsidP="00386051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60D44601" w14:textId="3EF76B79" w:rsidR="00386051" w:rsidRDefault="00386051" w:rsidP="00386051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29657FEF">
        <w:rPr>
          <w:rFonts w:ascii="Bookman Old Style" w:hAnsi="Bookman Old Style" w:cs="Arial"/>
        </w:rPr>
        <w:t>Conforme a lo dispuesto por el artículo 8 del Código de Procedimiento Administrativo y de lo Contencioso Administrativo</w:t>
      </w:r>
      <w:r w:rsidR="1725A9F3" w:rsidRPr="29657FEF">
        <w:rPr>
          <w:rFonts w:ascii="Bookman Old Style" w:hAnsi="Bookman Old Style" w:cs="Arial"/>
        </w:rPr>
        <w:t>, así como lo establecido en el Decreto 2696 de 2004, compilado por el Decreto 1078 de 2015</w:t>
      </w:r>
      <w:r w:rsidRPr="29657FEF">
        <w:rPr>
          <w:rFonts w:ascii="Bookman Old Style" w:hAnsi="Bookman Old Style" w:cs="Arial"/>
        </w:rPr>
        <w:t xml:space="preserve"> y el artículo 33 de la Resolución CREG 039 de 2017, la Comisión debe hacer público en su página web todos los proyectos de resolución de carácter general que pretenda adoptar.</w:t>
      </w:r>
    </w:p>
    <w:p w14:paraId="34E2DE78" w14:textId="77777777" w:rsidR="005525C4" w:rsidRDefault="005525C4" w:rsidP="00386051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5917852B" w14:textId="34734403" w:rsidR="00386051" w:rsidRPr="00C435C3" w:rsidRDefault="00386051" w:rsidP="00386051">
      <w:pPr>
        <w:ind w:left="0"/>
        <w:jc w:val="both"/>
        <w:rPr>
          <w:rFonts w:ascii="Bookman Old Style" w:hAnsi="Bookman Old Style"/>
        </w:rPr>
      </w:pPr>
      <w:r w:rsidRPr="738E1D91">
        <w:rPr>
          <w:rFonts w:ascii="Bookman Old Style" w:hAnsi="Bookman Old Style"/>
        </w:rPr>
        <w:t xml:space="preserve">La </w:t>
      </w:r>
      <w:r w:rsidRPr="738E1D91">
        <w:rPr>
          <w:rFonts w:ascii="Bookman Old Style" w:hAnsi="Bookman Old Style" w:cs="Arial"/>
        </w:rPr>
        <w:t>Comisión</w:t>
      </w:r>
      <w:r w:rsidRPr="738E1D91">
        <w:rPr>
          <w:rFonts w:ascii="Bookman Old Style" w:hAnsi="Bookman Old Style"/>
        </w:rPr>
        <w:t xml:space="preserve"> de Regulación de Energía y Gas, en su sesión No.</w:t>
      </w:r>
      <w:r w:rsidR="003007AC" w:rsidRPr="738E1D91">
        <w:rPr>
          <w:rFonts w:ascii="Bookman Old Style" w:hAnsi="Bookman Old Style"/>
        </w:rPr>
        <w:t xml:space="preserve"> </w:t>
      </w:r>
      <w:r w:rsidR="002A6975">
        <w:rPr>
          <w:rFonts w:ascii="Bookman Old Style" w:hAnsi="Bookman Old Style"/>
        </w:rPr>
        <w:t>1029</w:t>
      </w:r>
      <w:r w:rsidR="003007AC" w:rsidRPr="738E1D91">
        <w:rPr>
          <w:rFonts w:ascii="Bookman Old Style" w:hAnsi="Bookman Old Style"/>
        </w:rPr>
        <w:t xml:space="preserve"> </w:t>
      </w:r>
      <w:r w:rsidRPr="738E1D91">
        <w:rPr>
          <w:rFonts w:ascii="Bookman Old Style" w:hAnsi="Bookman Old Style"/>
        </w:rPr>
        <w:t xml:space="preserve">del </w:t>
      </w:r>
      <w:r w:rsidR="0035698E">
        <w:rPr>
          <w:rFonts w:ascii="Bookman Old Style" w:hAnsi="Bookman Old Style"/>
        </w:rPr>
        <w:t>17</w:t>
      </w:r>
      <w:r w:rsidR="0035698E" w:rsidRPr="738E1D91">
        <w:rPr>
          <w:rFonts w:ascii="Bookman Old Style" w:hAnsi="Bookman Old Style"/>
        </w:rPr>
        <w:t xml:space="preserve"> </w:t>
      </w:r>
      <w:r w:rsidRPr="738E1D91">
        <w:rPr>
          <w:rFonts w:ascii="Bookman Old Style" w:hAnsi="Bookman Old Style"/>
        </w:rPr>
        <w:t xml:space="preserve">de </w:t>
      </w:r>
      <w:r w:rsidR="4BFCB1D1" w:rsidRPr="738E1D91">
        <w:rPr>
          <w:rFonts w:ascii="Bookman Old Style" w:hAnsi="Bookman Old Style"/>
        </w:rPr>
        <w:t xml:space="preserve">julio </w:t>
      </w:r>
      <w:r w:rsidRPr="738E1D91">
        <w:rPr>
          <w:rFonts w:ascii="Bookman Old Style" w:hAnsi="Bookman Old Style"/>
        </w:rPr>
        <w:t>de 20</w:t>
      </w:r>
      <w:r w:rsidR="002E2D9E" w:rsidRPr="738E1D91">
        <w:rPr>
          <w:rFonts w:ascii="Bookman Old Style" w:hAnsi="Bookman Old Style"/>
        </w:rPr>
        <w:t>20</w:t>
      </w:r>
      <w:r w:rsidRPr="738E1D91">
        <w:rPr>
          <w:rFonts w:ascii="Bookman Old Style" w:hAnsi="Bookman Old Style"/>
        </w:rPr>
        <w:t xml:space="preserve">, aprobó hacer público el proyecto de resolución </w:t>
      </w:r>
      <w:r w:rsidRPr="738E1D91">
        <w:rPr>
          <w:rFonts w:ascii="Bookman Old Style" w:hAnsi="Bookman Old Style" w:cs="Arial"/>
        </w:rPr>
        <w:t>“</w:t>
      </w:r>
      <w:r w:rsidR="00677327" w:rsidRPr="738E1D91">
        <w:rPr>
          <w:rFonts w:ascii="Bookman Old Style" w:hAnsi="Bookman Old Style"/>
          <w:i/>
          <w:iCs/>
        </w:rPr>
        <w:t xml:space="preserve">Por la cual se define el esquema de auditoría </w:t>
      </w:r>
      <w:r w:rsidR="0A345B15" w:rsidRPr="738E1D91">
        <w:rPr>
          <w:rFonts w:ascii="Bookman Old Style" w:hAnsi="Bookman Old Style"/>
          <w:i/>
          <w:iCs/>
        </w:rPr>
        <w:t>sobre</w:t>
      </w:r>
      <w:r w:rsidR="00677327" w:rsidRPr="738E1D91">
        <w:rPr>
          <w:rFonts w:ascii="Bookman Old Style" w:hAnsi="Bookman Old Style"/>
          <w:i/>
          <w:iCs/>
        </w:rPr>
        <w:t xml:space="preserve"> la información reportada </w:t>
      </w:r>
      <w:r w:rsidR="0F476764" w:rsidRPr="738E1D91">
        <w:rPr>
          <w:rFonts w:ascii="Bookman Old Style" w:hAnsi="Bookman Old Style"/>
          <w:i/>
          <w:iCs/>
        </w:rPr>
        <w:t xml:space="preserve">de los </w:t>
      </w:r>
      <w:r w:rsidR="00677327" w:rsidRPr="738E1D91">
        <w:rPr>
          <w:rFonts w:ascii="Bookman Old Style" w:hAnsi="Bookman Old Style"/>
          <w:i/>
          <w:iCs/>
        </w:rPr>
        <w:t>costos de suministro y transporte de combustible declarados por los agentes generadores</w:t>
      </w:r>
      <w:r w:rsidRPr="738E1D91">
        <w:rPr>
          <w:rFonts w:ascii="Bookman Old Style" w:hAnsi="Bookman Old Style"/>
          <w:i/>
          <w:iCs/>
        </w:rPr>
        <w:t>”.</w:t>
      </w:r>
    </w:p>
    <w:p w14:paraId="765CA752" w14:textId="77777777" w:rsidR="00386051" w:rsidRDefault="00386051" w:rsidP="00386051">
      <w:pPr>
        <w:suppressAutoHyphens/>
        <w:jc w:val="center"/>
        <w:rPr>
          <w:rFonts w:ascii="Bookman Old Style" w:hAnsi="Bookman Old Style"/>
          <w:b/>
          <w:spacing w:val="-3"/>
        </w:rPr>
      </w:pPr>
    </w:p>
    <w:p w14:paraId="5B8BF9C9" w14:textId="77777777" w:rsidR="00386051" w:rsidRDefault="00386051" w:rsidP="00386051">
      <w:pPr>
        <w:suppressAutoHyphens/>
        <w:jc w:val="center"/>
        <w:rPr>
          <w:rFonts w:ascii="Bookman Old Style" w:hAnsi="Bookman Old Style"/>
          <w:b/>
          <w:spacing w:val="-3"/>
        </w:rPr>
      </w:pPr>
    </w:p>
    <w:p w14:paraId="23FA7DBF" w14:textId="77777777" w:rsidR="00386051" w:rsidRPr="00C435C3" w:rsidRDefault="00386051" w:rsidP="00386051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14:paraId="5BB6C72D" w14:textId="77777777" w:rsidR="00386051" w:rsidRDefault="00386051" w:rsidP="00386051">
      <w:pPr>
        <w:jc w:val="center"/>
        <w:rPr>
          <w:rFonts w:ascii="Bookman Old Style" w:hAnsi="Bookman Old Style"/>
        </w:rPr>
      </w:pPr>
    </w:p>
    <w:p w14:paraId="0E03EB6F" w14:textId="77777777" w:rsidR="00386051" w:rsidRDefault="00386051" w:rsidP="00386051">
      <w:pPr>
        <w:ind w:left="0"/>
        <w:jc w:val="both"/>
        <w:rPr>
          <w:rFonts w:ascii="Bookman Old Style" w:hAnsi="Bookman Old Style"/>
          <w:b/>
        </w:rPr>
      </w:pPr>
    </w:p>
    <w:p w14:paraId="476BABE2" w14:textId="11750C43" w:rsidR="00386051" w:rsidRPr="007554BB" w:rsidRDefault="00386051" w:rsidP="738E1D91">
      <w:pPr>
        <w:ind w:left="0"/>
        <w:jc w:val="both"/>
        <w:rPr>
          <w:rFonts w:ascii="Bookman Old Style" w:hAnsi="Bookman Old Style"/>
          <w:lang w:val="es-CO"/>
        </w:rPr>
      </w:pPr>
      <w:r w:rsidRPr="738E1D91">
        <w:rPr>
          <w:rFonts w:ascii="Bookman Old Style" w:hAnsi="Bookman Old Style"/>
          <w:b/>
          <w:bCs/>
        </w:rPr>
        <w:t>ARTÍCULO 1.</w:t>
      </w:r>
      <w:r w:rsidRPr="738E1D91">
        <w:rPr>
          <w:rFonts w:ascii="Bookman Old Style" w:hAnsi="Bookman Old Style"/>
        </w:rPr>
        <w:t xml:space="preserve"> Hágase público el proyecto de resolución “</w:t>
      </w:r>
      <w:r w:rsidR="00A71939" w:rsidRPr="738E1D91">
        <w:rPr>
          <w:rFonts w:ascii="Bookman Old Style" w:hAnsi="Bookman Old Style"/>
          <w:i/>
          <w:iCs/>
        </w:rPr>
        <w:t xml:space="preserve">Por la cual se define el esquema de auditoría </w:t>
      </w:r>
      <w:r w:rsidR="5B07FCC9" w:rsidRPr="738E1D91">
        <w:rPr>
          <w:rFonts w:ascii="Bookman Old Style" w:hAnsi="Bookman Old Style"/>
          <w:i/>
          <w:iCs/>
        </w:rPr>
        <w:t>sobre</w:t>
      </w:r>
      <w:r w:rsidR="00A71939" w:rsidRPr="738E1D91">
        <w:rPr>
          <w:rFonts w:ascii="Bookman Old Style" w:hAnsi="Bookman Old Style"/>
          <w:i/>
          <w:iCs/>
        </w:rPr>
        <w:t xml:space="preserve"> la información reportada </w:t>
      </w:r>
      <w:r w:rsidR="7BA243F1" w:rsidRPr="738E1D91">
        <w:rPr>
          <w:rFonts w:ascii="Bookman Old Style" w:hAnsi="Bookman Old Style"/>
          <w:i/>
          <w:iCs/>
        </w:rPr>
        <w:t xml:space="preserve">de los </w:t>
      </w:r>
      <w:r w:rsidR="00A71939" w:rsidRPr="738E1D91">
        <w:rPr>
          <w:rFonts w:ascii="Bookman Old Style" w:hAnsi="Bookman Old Style"/>
          <w:i/>
          <w:iCs/>
        </w:rPr>
        <w:t>costos de suministro y transporte de combustible declarados por los agentes generadores</w:t>
      </w:r>
      <w:r w:rsidRPr="738E1D91">
        <w:rPr>
          <w:rFonts w:ascii="Bookman Old Style" w:hAnsi="Bookman Old Style"/>
        </w:rPr>
        <w:t>”.</w:t>
      </w:r>
    </w:p>
    <w:p w14:paraId="1118A1D8" w14:textId="77777777" w:rsidR="00386051" w:rsidRPr="00C435C3" w:rsidRDefault="00386051" w:rsidP="0035698E">
      <w:pPr>
        <w:ind w:left="0"/>
        <w:rPr>
          <w:rFonts w:ascii="Bookman Old Style" w:hAnsi="Bookman Old Style"/>
        </w:rPr>
      </w:pPr>
    </w:p>
    <w:p w14:paraId="7905A379" w14:textId="05326719" w:rsidR="00386051" w:rsidRDefault="00386051" w:rsidP="738E1D91">
      <w:pPr>
        <w:ind w:left="0"/>
        <w:jc w:val="both"/>
        <w:rPr>
          <w:rFonts w:ascii="Bookman Old Style" w:hAnsi="Bookman Old Style"/>
          <w:i/>
          <w:iCs/>
          <w:sz w:val="22"/>
          <w:szCs w:val="22"/>
        </w:rPr>
      </w:pPr>
      <w:r w:rsidRPr="738E1D91">
        <w:rPr>
          <w:rFonts w:ascii="Bookman Old Style" w:hAnsi="Bookman Old Style"/>
          <w:b/>
          <w:bCs/>
        </w:rPr>
        <w:t>ARTÍCULO 2.</w:t>
      </w:r>
      <w:r w:rsidRPr="738E1D91">
        <w:rPr>
          <w:rFonts w:ascii="Bookman Old Style" w:hAnsi="Bookman Old Style"/>
          <w:i/>
          <w:iCs/>
          <w:sz w:val="22"/>
          <w:szCs w:val="22"/>
        </w:rPr>
        <w:t xml:space="preserve">  </w:t>
      </w:r>
      <w:r w:rsidRPr="738E1D91">
        <w:rPr>
          <w:rFonts w:ascii="Bookman Old Style" w:hAnsi="Bookman Old Style" w:cs="Arial"/>
          <w:color w:val="000000" w:themeColor="text1"/>
        </w:rPr>
        <w:t xml:space="preserve">Se invita a los agentes, a los usuarios, </w:t>
      </w:r>
      <w:r w:rsidRPr="738E1D91">
        <w:rPr>
          <w:rFonts w:ascii="Bookman Old Style" w:hAnsi="Bookman Old Style" w:cs="Arial"/>
        </w:rPr>
        <w:t>a las autoridades locales municipales y departamentales competentes</w:t>
      </w:r>
      <w:r w:rsidR="00AA5299">
        <w:rPr>
          <w:rFonts w:ascii="Bookman Old Style" w:hAnsi="Bookman Old Style" w:cs="Arial"/>
        </w:rPr>
        <w:t>,</w:t>
      </w:r>
      <w:r w:rsidRPr="738E1D91">
        <w:rPr>
          <w:rFonts w:ascii="Bookman Old Style" w:hAnsi="Bookman Old Style" w:cs="Arial"/>
          <w:color w:val="000000" w:themeColor="text1"/>
        </w:rPr>
        <w:t xml:space="preserve"> a la Superintendencia de Servicios Públicos Domiciliarios</w:t>
      </w:r>
      <w:r w:rsidR="239EC362" w:rsidRPr="738E1D91">
        <w:rPr>
          <w:rFonts w:ascii="Bookman Old Style" w:hAnsi="Bookman Old Style" w:cs="Arial"/>
          <w:color w:val="000000" w:themeColor="text1"/>
        </w:rPr>
        <w:t xml:space="preserve"> y a la Superintendencia de Industria y Comercio</w:t>
      </w:r>
      <w:r w:rsidRPr="738E1D91">
        <w:rPr>
          <w:rFonts w:ascii="Bookman Old Style" w:hAnsi="Bookman Old Style" w:cs="Arial"/>
          <w:color w:val="000000" w:themeColor="text1"/>
        </w:rPr>
        <w:t>, para que remitan sus observaciones o sugerencias sobre la propuesta, dentro de</w:t>
      </w:r>
      <w:r w:rsidR="4D1388B7" w:rsidRPr="738E1D91">
        <w:rPr>
          <w:rFonts w:ascii="Bookman Old Style" w:hAnsi="Bookman Old Style" w:cs="Arial"/>
          <w:color w:val="000000" w:themeColor="text1"/>
        </w:rPr>
        <w:t xml:space="preserve"> </w:t>
      </w:r>
      <w:r w:rsidR="00DD2E80" w:rsidRPr="738E1D91">
        <w:rPr>
          <w:rFonts w:ascii="Bookman Old Style" w:hAnsi="Bookman Old Style" w:cs="Arial"/>
          <w:color w:val="000000" w:themeColor="text1"/>
        </w:rPr>
        <w:t>l</w:t>
      </w:r>
      <w:r w:rsidR="1398B2D5" w:rsidRPr="738E1D91">
        <w:rPr>
          <w:rFonts w:ascii="Bookman Old Style" w:hAnsi="Bookman Old Style" w:cs="Arial"/>
          <w:color w:val="000000" w:themeColor="text1"/>
        </w:rPr>
        <w:t>os</w:t>
      </w:r>
      <w:r w:rsidR="00DD2E80" w:rsidRPr="738E1D91">
        <w:rPr>
          <w:rFonts w:ascii="Bookman Old Style" w:hAnsi="Bookman Old Style" w:cs="Arial"/>
          <w:color w:val="000000" w:themeColor="text1"/>
        </w:rPr>
        <w:t xml:space="preserve"> </w:t>
      </w:r>
      <w:r w:rsidR="002F5772">
        <w:rPr>
          <w:rFonts w:ascii="Bookman Old Style" w:hAnsi="Bookman Old Style" w:cs="Arial"/>
          <w:color w:val="000000" w:themeColor="text1"/>
        </w:rPr>
        <w:lastRenderedPageBreak/>
        <w:t>quince</w:t>
      </w:r>
      <w:r w:rsidR="3F7B6E8B" w:rsidRPr="738E1D91">
        <w:rPr>
          <w:rFonts w:ascii="Bookman Old Style" w:hAnsi="Bookman Old Style" w:cs="Arial"/>
          <w:color w:val="000000" w:themeColor="text1"/>
        </w:rPr>
        <w:t xml:space="preserve"> (</w:t>
      </w:r>
      <w:r w:rsidR="002F5772">
        <w:rPr>
          <w:rFonts w:ascii="Bookman Old Style" w:hAnsi="Bookman Old Style" w:cs="Arial"/>
          <w:color w:val="000000" w:themeColor="text1"/>
        </w:rPr>
        <w:t>15</w:t>
      </w:r>
      <w:r w:rsidR="3F7B6E8B" w:rsidRPr="738E1D91">
        <w:rPr>
          <w:rFonts w:ascii="Bookman Old Style" w:hAnsi="Bookman Old Style" w:cs="Arial"/>
          <w:color w:val="000000" w:themeColor="text1"/>
        </w:rPr>
        <w:t xml:space="preserve">) días </w:t>
      </w:r>
      <w:r w:rsidRPr="738E1D91">
        <w:rPr>
          <w:rFonts w:ascii="Bookman Old Style" w:hAnsi="Bookman Old Style" w:cs="Arial"/>
          <w:color w:val="000000" w:themeColor="text1"/>
        </w:rPr>
        <w:t>h</w:t>
      </w:r>
      <w:r w:rsidR="7D9453C0" w:rsidRPr="738E1D91">
        <w:rPr>
          <w:rFonts w:ascii="Bookman Old Style" w:hAnsi="Bookman Old Style" w:cs="Arial"/>
          <w:color w:val="000000" w:themeColor="text1"/>
        </w:rPr>
        <w:t>á</w:t>
      </w:r>
      <w:r w:rsidRPr="738E1D91">
        <w:rPr>
          <w:rFonts w:ascii="Bookman Old Style" w:hAnsi="Bookman Old Style" w:cs="Arial"/>
          <w:color w:val="000000" w:themeColor="text1"/>
        </w:rPr>
        <w:t>bil</w:t>
      </w:r>
      <w:r w:rsidR="6670ACAA" w:rsidRPr="738E1D91">
        <w:rPr>
          <w:rFonts w:ascii="Bookman Old Style" w:hAnsi="Bookman Old Style" w:cs="Arial"/>
          <w:color w:val="000000" w:themeColor="text1"/>
        </w:rPr>
        <w:t>es</w:t>
      </w:r>
      <w:r w:rsidRPr="738E1D91">
        <w:rPr>
          <w:rFonts w:ascii="Bookman Old Style" w:hAnsi="Bookman Old Style" w:cs="Arial"/>
          <w:color w:val="000000" w:themeColor="text1"/>
        </w:rPr>
        <w:t xml:space="preserve"> siguiente</w:t>
      </w:r>
      <w:r w:rsidR="472E6A98" w:rsidRPr="738E1D91">
        <w:rPr>
          <w:rFonts w:ascii="Bookman Old Style" w:hAnsi="Bookman Old Style" w:cs="Arial"/>
          <w:color w:val="000000" w:themeColor="text1"/>
        </w:rPr>
        <w:t>s</w:t>
      </w:r>
      <w:r w:rsidRPr="738E1D91">
        <w:rPr>
          <w:rFonts w:ascii="Bookman Old Style" w:hAnsi="Bookman Old Style" w:cs="Arial"/>
          <w:color w:val="000000" w:themeColor="text1"/>
        </w:rPr>
        <w:t xml:space="preserve"> a la publicación de la presente resolución en la página Web de la Comisión de Regulación de Energía y Gas.</w:t>
      </w:r>
    </w:p>
    <w:p w14:paraId="685D4826" w14:textId="77777777" w:rsidR="00386051" w:rsidRDefault="00386051" w:rsidP="00386051">
      <w:pPr>
        <w:jc w:val="both"/>
        <w:rPr>
          <w:rFonts w:ascii="Bookman Old Style" w:hAnsi="Bookman Old Style"/>
          <w:i/>
          <w:sz w:val="22"/>
        </w:rPr>
      </w:pPr>
    </w:p>
    <w:p w14:paraId="260D0163" w14:textId="0A6A9359" w:rsidR="37C03300" w:rsidRDefault="00386051" w:rsidP="738E1D91">
      <w:pPr>
        <w:ind w:left="0"/>
        <w:jc w:val="both"/>
        <w:rPr>
          <w:rFonts w:ascii="Bookman Old Style" w:eastAsia="Bookman Old Style" w:hAnsi="Bookman Old Style" w:cs="Bookman Old Style"/>
          <w:lang w:val="es"/>
        </w:rPr>
      </w:pPr>
      <w:r w:rsidRPr="05D438F1">
        <w:rPr>
          <w:rFonts w:ascii="Bookman Old Style" w:hAnsi="Bookman Old Style" w:cs="Arial"/>
          <w:b/>
          <w:bCs/>
          <w:color w:val="000000" w:themeColor="text1"/>
        </w:rPr>
        <w:t>ARTÍCULO 3</w:t>
      </w:r>
      <w:r w:rsidRPr="05D438F1">
        <w:rPr>
          <w:rFonts w:ascii="Bookman Old Style" w:hAnsi="Bookman Old Style" w:cs="Arial"/>
          <w:color w:val="000000" w:themeColor="text1"/>
        </w:rPr>
        <w:t xml:space="preserve">. </w:t>
      </w:r>
      <w:r w:rsidRPr="05D438F1">
        <w:rPr>
          <w:rFonts w:ascii="Bookman Old Style" w:hAnsi="Bookman Old Style"/>
        </w:rPr>
        <w:t>L</w:t>
      </w:r>
      <w:r w:rsidR="6B465682" w:rsidRPr="05D438F1">
        <w:rPr>
          <w:rFonts w:ascii="Bookman Old Style" w:hAnsi="Bookman Old Style"/>
        </w:rPr>
        <w:t>os interesados podrán dirigir al Director Ejecutivo de la Comisión de Energía y Gas, la</w:t>
      </w:r>
      <w:r w:rsidRPr="05D438F1">
        <w:rPr>
          <w:rFonts w:ascii="Bookman Old Style" w:hAnsi="Bookman Old Style"/>
        </w:rPr>
        <w:t xml:space="preserve">s observaciones y sugerencias sobre el proyecto </w:t>
      </w:r>
      <w:r w:rsidR="37C03300" w:rsidRPr="05D438F1">
        <w:rPr>
          <w:rFonts w:ascii="Bookman Old Style" w:eastAsia="Bookman Old Style" w:hAnsi="Bookman Old Style" w:cs="Bookman Old Style"/>
          <w:lang w:val="es"/>
        </w:rPr>
        <w:t xml:space="preserve">al correo electrónico </w:t>
      </w:r>
      <w:hyperlink r:id="rId13" w:history="1">
        <w:r w:rsidR="37C03300" w:rsidRPr="05D438F1">
          <w:rPr>
            <w:rStyle w:val="Hipervnculo"/>
            <w:rFonts w:ascii="Bookman Old Style" w:eastAsia="Bookman Old Style" w:hAnsi="Bookman Old Style" w:cs="Bookman Old Style"/>
            <w:color w:val="0000FF"/>
            <w:lang w:val="es"/>
          </w:rPr>
          <w:t>creg@creg.gov.co</w:t>
        </w:r>
      </w:hyperlink>
      <w:r w:rsidR="37C03300" w:rsidRPr="05D438F1">
        <w:rPr>
          <w:rFonts w:ascii="Bookman Old Style" w:eastAsia="Bookman Old Style" w:hAnsi="Bookman Old Style" w:cs="Bookman Old Style"/>
          <w:lang w:val="es"/>
        </w:rPr>
        <w:t>.</w:t>
      </w:r>
    </w:p>
    <w:p w14:paraId="53E2050A" w14:textId="1D4D9762" w:rsidR="738E1D91" w:rsidRDefault="738E1D91" w:rsidP="738E1D91">
      <w:pPr>
        <w:ind w:left="0"/>
        <w:jc w:val="both"/>
        <w:rPr>
          <w:rFonts w:ascii="Bookman Old Style" w:hAnsi="Bookman Old Style" w:cs="Arial"/>
          <w:color w:val="000000" w:themeColor="text1"/>
        </w:rPr>
      </w:pPr>
    </w:p>
    <w:p w14:paraId="49C7E35F" w14:textId="77777777" w:rsidR="00386051" w:rsidRPr="00517096" w:rsidRDefault="00386051" w:rsidP="00386051">
      <w:pPr>
        <w:ind w:left="0"/>
        <w:contextualSpacing/>
        <w:jc w:val="both"/>
        <w:rPr>
          <w:rFonts w:ascii="Bookman Old Style" w:hAnsi="Bookman Old Style" w:cs="Arial"/>
          <w:color w:val="000000"/>
          <w:szCs w:val="27"/>
        </w:rPr>
      </w:pPr>
      <w:r w:rsidRPr="00517096">
        <w:rPr>
          <w:rFonts w:ascii="Bookman Old Style" w:hAnsi="Bookman Old Style" w:cs="Arial"/>
          <w:b/>
          <w:bCs/>
          <w:color w:val="000000"/>
          <w:szCs w:val="27"/>
        </w:rPr>
        <w:t>ARTÍCULO 4</w:t>
      </w:r>
      <w:r w:rsidRPr="00517096">
        <w:rPr>
          <w:rFonts w:ascii="Bookman Old Style" w:hAnsi="Bookman Old Style" w:cs="Arial"/>
          <w:color w:val="000000"/>
          <w:szCs w:val="27"/>
        </w:rPr>
        <w:t xml:space="preserve">. La presente </w:t>
      </w:r>
      <w:r>
        <w:rPr>
          <w:rFonts w:ascii="Bookman Old Style" w:hAnsi="Bookman Old Style" w:cs="Arial"/>
          <w:color w:val="000000"/>
          <w:szCs w:val="27"/>
        </w:rPr>
        <w:t>r</w:t>
      </w:r>
      <w:r w:rsidRPr="00517096">
        <w:rPr>
          <w:rFonts w:ascii="Bookman Old Style" w:hAnsi="Bookman Old Style" w:cs="Arial"/>
          <w:color w:val="000000"/>
          <w:szCs w:val="27"/>
        </w:rPr>
        <w:t>esolución no deroga ni modifica disposiciones vigentes por tratarse de un acto de trámite.</w:t>
      </w:r>
    </w:p>
    <w:p w14:paraId="146A9F69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59724833" w14:textId="77777777" w:rsidR="00386051" w:rsidRPr="00C435C3" w:rsidRDefault="00386051" w:rsidP="00386051">
      <w:pPr>
        <w:ind w:left="0"/>
        <w:rPr>
          <w:rFonts w:ascii="Bookman Old Style" w:hAnsi="Bookman Old Style"/>
        </w:rPr>
      </w:pPr>
    </w:p>
    <w:p w14:paraId="1048AA31" w14:textId="77777777" w:rsidR="00386051" w:rsidRPr="00C435C3" w:rsidRDefault="00386051" w:rsidP="00386051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14:paraId="4EB5CF39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2FDBAB1B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193FE5C8" w14:textId="01327C82" w:rsidR="00386051" w:rsidRDefault="00386051" w:rsidP="00386051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Dada en Bogotá, D.C. </w:t>
      </w:r>
      <w:r w:rsidR="002A6975">
        <w:rPr>
          <w:rFonts w:ascii="Bookman Old Style" w:hAnsi="Bookman Old Style"/>
        </w:rPr>
        <w:t>17 JUL.2020</w:t>
      </w:r>
    </w:p>
    <w:p w14:paraId="435EDB42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4B6B6D2B" w14:textId="76A04286" w:rsidR="00B27555" w:rsidRDefault="00B27555" w:rsidP="00B27555">
      <w:pPr>
        <w:ind w:left="0"/>
        <w:rPr>
          <w:rFonts w:ascii="Bookman Old Style" w:hAnsi="Bookman Old Style"/>
        </w:rPr>
      </w:pPr>
    </w:p>
    <w:p w14:paraId="7347D65F" w14:textId="77777777" w:rsidR="00B27555" w:rsidRDefault="00B27555" w:rsidP="00B27555">
      <w:pPr>
        <w:ind w:left="0"/>
        <w:rPr>
          <w:rFonts w:ascii="Bookman Old Style" w:hAnsi="Bookman Old Style"/>
        </w:rPr>
      </w:pPr>
    </w:p>
    <w:tbl>
      <w:tblPr>
        <w:tblW w:w="9498" w:type="dxa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B27555" w:rsidRPr="00B64D62" w14:paraId="031FF773" w14:textId="77777777" w:rsidTr="002A6975">
        <w:trPr>
          <w:tblCellSpacing w:w="0" w:type="dxa"/>
        </w:trPr>
        <w:tc>
          <w:tcPr>
            <w:tcW w:w="4820" w:type="dxa"/>
            <w:shd w:val="clear" w:color="auto" w:fill="FFFFFF" w:themeFill="background1"/>
          </w:tcPr>
          <w:p w14:paraId="3346483B" w14:textId="04B9C278" w:rsidR="00B27555" w:rsidRPr="0035698E" w:rsidRDefault="00B27555">
            <w:pPr>
              <w:ind w:left="0"/>
              <w:jc w:val="center"/>
              <w:rPr>
                <w:rFonts w:ascii="Bookman Old Style" w:hAnsi="Bookman Old Style" w:cs="Arial"/>
                <w:lang w:val="es-CO" w:eastAsia="es-CO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A4DBB87" w14:textId="16996C77" w:rsidR="002A6975" w:rsidRPr="00B64D62" w:rsidRDefault="002A6975" w:rsidP="002A6975">
            <w:pPr>
              <w:ind w:left="0"/>
              <w:rPr>
                <w:rFonts w:ascii="Bookman Old Style" w:hAnsi="Bookman Old Style" w:cs="Arial"/>
                <w:sz w:val="23"/>
                <w:szCs w:val="23"/>
                <w:lang w:val="es-CO" w:eastAsia="es-CO"/>
              </w:rPr>
            </w:pPr>
          </w:p>
        </w:tc>
      </w:tr>
      <w:tr w:rsidR="002A6975" w:rsidRPr="00576D9E" w14:paraId="4A0BCD35" w14:textId="77777777" w:rsidTr="002A6975">
        <w:trPr>
          <w:tblCellSpacing w:w="0" w:type="dxa"/>
        </w:trPr>
        <w:tc>
          <w:tcPr>
            <w:tcW w:w="4820" w:type="dxa"/>
            <w:shd w:val="clear" w:color="auto" w:fill="FFFFFF" w:themeFill="background1"/>
          </w:tcPr>
          <w:p w14:paraId="7584C652" w14:textId="77777777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01B9203E" w14:textId="77777777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3616A618" w14:textId="77777777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1DEEA9B6" w14:textId="77777777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2A6975">
              <w:rPr>
                <w:rFonts w:ascii="Bookman Old Style" w:hAnsi="Bookman Old Style" w:cs="Arial"/>
                <w:b/>
                <w:spacing w:val="-3"/>
              </w:rPr>
              <w:t>MIGUEL LOTERO ROBLEDO</w:t>
            </w:r>
          </w:p>
        </w:tc>
        <w:tc>
          <w:tcPr>
            <w:tcW w:w="4678" w:type="dxa"/>
            <w:shd w:val="clear" w:color="auto" w:fill="FFFFFF" w:themeFill="background1"/>
          </w:tcPr>
          <w:p w14:paraId="67F15E11" w14:textId="77777777" w:rsidR="002A6975" w:rsidRPr="002A6975" w:rsidRDefault="002A6975" w:rsidP="002A6975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31B29FCC" w14:textId="77777777" w:rsidR="002A6975" w:rsidRPr="002A6975" w:rsidRDefault="002A6975" w:rsidP="002A6975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2CA924FC" w14:textId="77777777" w:rsidR="002A6975" w:rsidRPr="002A6975" w:rsidRDefault="002A6975" w:rsidP="002A6975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6FFCA326" w14:textId="77777777" w:rsidR="002A6975" w:rsidRPr="002A6975" w:rsidRDefault="002A6975" w:rsidP="002A6975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2A6975">
              <w:rPr>
                <w:rFonts w:ascii="Bookman Old Style" w:hAnsi="Bookman Old Style" w:cs="Arial"/>
                <w:b/>
                <w:spacing w:val="-3"/>
              </w:rPr>
              <w:t>JORGE ALBERTO VALENCIA MARÍN</w:t>
            </w:r>
          </w:p>
        </w:tc>
      </w:tr>
      <w:tr w:rsidR="002A6975" w:rsidRPr="00D472A2" w14:paraId="1EA92D92" w14:textId="77777777" w:rsidTr="002A6975">
        <w:trPr>
          <w:tblCellSpacing w:w="0" w:type="dxa"/>
        </w:trPr>
        <w:tc>
          <w:tcPr>
            <w:tcW w:w="4820" w:type="dxa"/>
            <w:shd w:val="clear" w:color="auto" w:fill="FFFFFF" w:themeFill="background1"/>
          </w:tcPr>
          <w:p w14:paraId="41CC5361" w14:textId="0F040B94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Viceministro de Energía</w:t>
            </w:r>
          </w:p>
          <w:p w14:paraId="56A78402" w14:textId="77777777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Delegado del Ministro de Minas y Energía</w:t>
            </w:r>
          </w:p>
          <w:p w14:paraId="73801D69" w14:textId="293CF479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Presidente</w:t>
            </w:r>
          </w:p>
        </w:tc>
        <w:tc>
          <w:tcPr>
            <w:tcW w:w="4678" w:type="dxa"/>
            <w:shd w:val="clear" w:color="auto" w:fill="FFFFFF" w:themeFill="background1"/>
          </w:tcPr>
          <w:p w14:paraId="14F53970" w14:textId="77777777" w:rsidR="002A6975" w:rsidRPr="002A6975" w:rsidRDefault="002A6975" w:rsidP="002A6975">
            <w:pPr>
              <w:ind w:left="142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Director Ejecutivo</w:t>
            </w:r>
          </w:p>
        </w:tc>
      </w:tr>
      <w:tr w:rsidR="002A6975" w:rsidRPr="00D472A2" w14:paraId="7D32F7AF" w14:textId="77777777" w:rsidTr="002A6975">
        <w:trPr>
          <w:tblCellSpacing w:w="0" w:type="dxa"/>
        </w:trPr>
        <w:tc>
          <w:tcPr>
            <w:tcW w:w="4820" w:type="dxa"/>
            <w:shd w:val="clear" w:color="auto" w:fill="FFFFFF" w:themeFill="background1"/>
          </w:tcPr>
          <w:p w14:paraId="5B45F023" w14:textId="77777777" w:rsidR="002A6975" w:rsidRPr="002A6975" w:rsidRDefault="002A6975" w:rsidP="002A6975">
            <w:pPr>
              <w:ind w:left="0"/>
              <w:jc w:val="center"/>
              <w:rPr>
                <w:rFonts w:ascii="Bookman Old Style" w:hAnsi="Bookman Old Style" w:cs="Arial"/>
                <w:lang w:val="es-CO" w:eastAsia="es-CO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51A4E1A" w14:textId="77777777" w:rsidR="002A6975" w:rsidRPr="002A6975" w:rsidRDefault="002A6975" w:rsidP="002A6975">
            <w:pPr>
              <w:ind w:left="142"/>
              <w:jc w:val="center"/>
              <w:rPr>
                <w:rFonts w:ascii="Bookman Old Style" w:hAnsi="Bookman Old Style" w:cs="Arial"/>
                <w:sz w:val="23"/>
                <w:szCs w:val="23"/>
                <w:lang w:val="es-CO" w:eastAsia="es-CO"/>
              </w:rPr>
            </w:pPr>
          </w:p>
        </w:tc>
      </w:tr>
    </w:tbl>
    <w:p w14:paraId="24B47490" w14:textId="15B23925" w:rsidR="00386051" w:rsidRDefault="00386051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7146EB99" w14:textId="48C93E66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6B6BA598" w14:textId="1BBCB08E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30CE06A3" w14:textId="6AE166E4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64352433" w14:textId="65BA9D9B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433D1E6C" w14:textId="1AC4EA48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0F5C85DB" w14:textId="6B87D0C9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5461B1FE" w14:textId="42F64A98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7D988394" w14:textId="5EFCC737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22736BF6" w14:textId="4101942F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749EA46A" w14:textId="05167271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49311D4F" w14:textId="7C3E4BBE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7CECB560" w14:textId="1FF71FBC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66892C83" w14:textId="377D86CA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65A8CE1E" w14:textId="17F853D4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2CB4BA51" w14:textId="2C5C8826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74DFE1A8" w14:textId="4BE0F1A7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0FA364D2" w14:textId="0A5F74E7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0B1486A1" w14:textId="2D7D979F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462E6D07" w14:textId="026B0603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5ED245E1" w14:textId="43CFA9B3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10AE0428" w14:textId="7EE23AFC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47FDC830" w14:textId="77777777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32E54806" w14:textId="2108EC11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6E551281" w14:textId="77777777" w:rsidR="002A6975" w:rsidRDefault="002A6975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32127061" w14:textId="1D4DDA1C" w:rsidR="00920787" w:rsidRPr="00D84372" w:rsidRDefault="00386051" w:rsidP="00567D5D">
      <w:pPr>
        <w:ind w:left="0"/>
        <w:jc w:val="center"/>
        <w:rPr>
          <w:rFonts w:ascii="Bookman Old Style" w:hAnsi="Bookman Old Style"/>
          <w:b/>
          <w:lang w:val="es-CO"/>
        </w:rPr>
      </w:pPr>
      <w:r w:rsidRPr="00D84372">
        <w:rPr>
          <w:rFonts w:ascii="Bookman Old Style" w:hAnsi="Bookman Old Style"/>
          <w:b/>
          <w:lang w:val="es-CO"/>
        </w:rPr>
        <w:t>PROYECTO DE RESOLUCIÓN</w:t>
      </w:r>
    </w:p>
    <w:p w14:paraId="4EB52822" w14:textId="16D17087" w:rsidR="00386051" w:rsidRDefault="00386051" w:rsidP="00012259">
      <w:pPr>
        <w:ind w:left="0"/>
        <w:rPr>
          <w:rFonts w:ascii="Bookman Old Style" w:hAnsi="Bookman Old Style"/>
          <w:bCs/>
          <w:lang w:val="es-CO"/>
        </w:rPr>
      </w:pPr>
    </w:p>
    <w:p w14:paraId="7BD6AC27" w14:textId="77777777" w:rsidR="00386051" w:rsidRPr="00E060BE" w:rsidRDefault="00386051" w:rsidP="00012259">
      <w:pPr>
        <w:ind w:left="0"/>
        <w:rPr>
          <w:rFonts w:ascii="Bookman Old Style" w:hAnsi="Bookman Old Style"/>
          <w:bCs/>
          <w:lang w:val="es-CO"/>
        </w:rPr>
      </w:pPr>
    </w:p>
    <w:p w14:paraId="1BFA392F" w14:textId="60B4AFD1" w:rsidR="008A08EB" w:rsidRPr="009F3785" w:rsidRDefault="009F3785" w:rsidP="738E1D91">
      <w:pPr>
        <w:ind w:left="0"/>
        <w:jc w:val="center"/>
        <w:rPr>
          <w:rFonts w:ascii="Bookman Old Style" w:hAnsi="Bookman Old Style"/>
        </w:rPr>
      </w:pPr>
      <w:r w:rsidRPr="738E1D91">
        <w:rPr>
          <w:rFonts w:ascii="Bookman Old Style" w:hAnsi="Bookman Old Style"/>
        </w:rPr>
        <w:t xml:space="preserve">Por la cual se define el esquema de auditoría </w:t>
      </w:r>
      <w:r w:rsidR="494150BC" w:rsidRPr="738E1D91">
        <w:rPr>
          <w:rFonts w:ascii="Bookman Old Style" w:hAnsi="Bookman Old Style"/>
        </w:rPr>
        <w:t>sobre</w:t>
      </w:r>
      <w:r w:rsidRPr="738E1D91">
        <w:rPr>
          <w:rFonts w:ascii="Bookman Old Style" w:hAnsi="Bookman Old Style"/>
        </w:rPr>
        <w:t xml:space="preserve"> la información </w:t>
      </w:r>
      <w:r w:rsidR="006C7414">
        <w:rPr>
          <w:rFonts w:ascii="Bookman Old Style" w:hAnsi="Bookman Old Style"/>
        </w:rPr>
        <w:br/>
      </w:r>
      <w:r w:rsidRPr="738E1D91">
        <w:rPr>
          <w:rFonts w:ascii="Bookman Old Style" w:hAnsi="Bookman Old Style"/>
        </w:rPr>
        <w:t xml:space="preserve">reportada </w:t>
      </w:r>
      <w:r w:rsidR="0E2F8DD4" w:rsidRPr="738E1D91">
        <w:rPr>
          <w:rFonts w:ascii="Bookman Old Style" w:hAnsi="Bookman Old Style"/>
        </w:rPr>
        <w:t xml:space="preserve">de </w:t>
      </w:r>
      <w:r w:rsidR="002D64CE" w:rsidRPr="738E1D91">
        <w:rPr>
          <w:rFonts w:ascii="Bookman Old Style" w:hAnsi="Bookman Old Style"/>
        </w:rPr>
        <w:t>los costos</w:t>
      </w:r>
      <w:r w:rsidRPr="738E1D91">
        <w:rPr>
          <w:rFonts w:ascii="Bookman Old Style" w:hAnsi="Bookman Old Style"/>
        </w:rPr>
        <w:t xml:space="preserve"> de suministro</w:t>
      </w:r>
      <w:r w:rsidR="005525C4">
        <w:rPr>
          <w:rFonts w:ascii="Bookman Old Style" w:hAnsi="Bookman Old Style"/>
        </w:rPr>
        <w:t xml:space="preserve"> </w:t>
      </w:r>
      <w:r w:rsidRPr="738E1D91">
        <w:rPr>
          <w:rFonts w:ascii="Bookman Old Style" w:hAnsi="Bookman Old Style"/>
        </w:rPr>
        <w:t xml:space="preserve">y transporte de combustible </w:t>
      </w:r>
      <w:r w:rsidR="006C7414">
        <w:rPr>
          <w:rFonts w:ascii="Bookman Old Style" w:hAnsi="Bookman Old Style"/>
        </w:rPr>
        <w:br/>
      </w:r>
      <w:r w:rsidRPr="738E1D91">
        <w:rPr>
          <w:rFonts w:ascii="Bookman Old Style" w:hAnsi="Bookman Old Style"/>
        </w:rPr>
        <w:t>declarados por los agentes generadores</w:t>
      </w:r>
    </w:p>
    <w:p w14:paraId="4FEB3DB9" w14:textId="00980F4D" w:rsidR="00011FEC" w:rsidRDefault="00011FEC" w:rsidP="00DE7E37">
      <w:pPr>
        <w:ind w:left="0"/>
        <w:jc w:val="center"/>
        <w:rPr>
          <w:rFonts w:ascii="Bookman Old Style" w:hAnsi="Bookman Old Style"/>
        </w:rPr>
      </w:pPr>
    </w:p>
    <w:p w14:paraId="648FB83D" w14:textId="77777777" w:rsidR="009F3785" w:rsidRDefault="009F3785" w:rsidP="00DE7E37">
      <w:pPr>
        <w:ind w:left="0"/>
        <w:jc w:val="center"/>
        <w:rPr>
          <w:rFonts w:ascii="Bookman Old Style" w:hAnsi="Bookman Old Style"/>
        </w:rPr>
      </w:pPr>
    </w:p>
    <w:p w14:paraId="1CC55A9A" w14:textId="04F25380" w:rsidR="00DE7E37" w:rsidRPr="00C435C3" w:rsidRDefault="00DE7E37" w:rsidP="00DE7E37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ENERGÍA Y GAS</w:t>
      </w:r>
    </w:p>
    <w:p w14:paraId="5A31791F" w14:textId="1664FA80" w:rsidR="00DE7E37" w:rsidRDefault="00DE7E37" w:rsidP="00DE7E37">
      <w:pPr>
        <w:ind w:left="0" w:right="51"/>
        <w:rPr>
          <w:rFonts w:ascii="Bookman Old Style" w:hAnsi="Bookman Old Style"/>
        </w:rPr>
      </w:pPr>
    </w:p>
    <w:p w14:paraId="3AEAC210" w14:textId="77777777" w:rsidR="00EC6015" w:rsidRPr="00C435C3" w:rsidRDefault="00EC6015" w:rsidP="00DE7E37">
      <w:pPr>
        <w:ind w:left="0" w:right="51"/>
        <w:rPr>
          <w:rFonts w:ascii="Bookman Old Style" w:hAnsi="Bookman Old Style"/>
        </w:rPr>
      </w:pPr>
    </w:p>
    <w:p w14:paraId="27CBF71C" w14:textId="2EEF50D3" w:rsidR="002E3A4C" w:rsidRPr="00AD1F99" w:rsidRDefault="002E3A4C" w:rsidP="002E3A4C">
      <w:pPr>
        <w:ind w:left="0"/>
        <w:jc w:val="center"/>
        <w:rPr>
          <w:rFonts w:ascii="Bookman Old Style" w:hAnsi="Bookman Old Style"/>
        </w:rPr>
      </w:pPr>
      <w:r w:rsidRPr="00AD1F99">
        <w:rPr>
          <w:rFonts w:ascii="Bookman Old Style" w:hAnsi="Bookman Old Style"/>
        </w:rPr>
        <w:t>En ejercicio de sus atribuciones constitucionales y legales, en especial las conferidas por las Leyes 142 y 143 de 1994, y en desarrollo de los Decretos 1524</w:t>
      </w:r>
      <w:r w:rsidR="0022650F">
        <w:rPr>
          <w:rFonts w:ascii="Bookman Old Style" w:hAnsi="Bookman Old Style"/>
        </w:rPr>
        <w:t xml:space="preserve"> y</w:t>
      </w:r>
      <w:r w:rsidRPr="00AD1F99">
        <w:rPr>
          <w:rFonts w:ascii="Bookman Old Style" w:hAnsi="Bookman Old Style"/>
        </w:rPr>
        <w:t xml:space="preserve"> 2253 de 1994 y 1260 de 2013</w:t>
      </w:r>
      <w:r w:rsidR="005525C4">
        <w:rPr>
          <w:rFonts w:ascii="Bookman Old Style" w:hAnsi="Bookman Old Style"/>
        </w:rPr>
        <w:t xml:space="preserve"> y,</w:t>
      </w:r>
    </w:p>
    <w:p w14:paraId="177A3C40" w14:textId="778E9120" w:rsidR="00C240CA" w:rsidRDefault="00C240CA" w:rsidP="00DE7E37">
      <w:pPr>
        <w:ind w:right="51"/>
        <w:rPr>
          <w:rFonts w:ascii="Bookman Old Style" w:hAnsi="Bookman Old Style"/>
        </w:rPr>
      </w:pPr>
    </w:p>
    <w:p w14:paraId="33627635" w14:textId="14AC924E" w:rsidR="00C240CA" w:rsidRDefault="00C240CA" w:rsidP="00DE7E37">
      <w:pPr>
        <w:ind w:right="51"/>
        <w:rPr>
          <w:rFonts w:ascii="Bookman Old Style" w:hAnsi="Bookman Old Style"/>
        </w:rPr>
      </w:pPr>
    </w:p>
    <w:p w14:paraId="0423A25E" w14:textId="77777777" w:rsidR="00DE7E37" w:rsidRPr="00C435C3" w:rsidRDefault="00DE7E37" w:rsidP="00DE7E37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 Q U E</w:t>
      </w:r>
      <w:r w:rsidRPr="00C435C3">
        <w:rPr>
          <w:rFonts w:ascii="Bookman Old Style" w:hAnsi="Bookman Old Style"/>
          <w:b/>
        </w:rPr>
        <w:t>:</w:t>
      </w:r>
    </w:p>
    <w:p w14:paraId="6618A32C" w14:textId="77777777" w:rsidR="00F44ED7" w:rsidRDefault="00F44ED7" w:rsidP="00F77D2D">
      <w:pPr>
        <w:ind w:left="0"/>
        <w:rPr>
          <w:rFonts w:ascii="Bookman Old Style" w:hAnsi="Bookman Old Style"/>
          <w:bCs/>
          <w:sz w:val="18"/>
          <w:szCs w:val="18"/>
          <w:lang w:val="es-CO"/>
        </w:rPr>
      </w:pPr>
    </w:p>
    <w:p w14:paraId="6D1BC0D1" w14:textId="77777777" w:rsidR="0006683F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299EC275" w14:textId="4AE5CDFA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 xml:space="preserve">La Constitución Política, en su artículo </w:t>
      </w:r>
      <w:r w:rsidRPr="007C5107">
        <w:rPr>
          <w:rFonts w:ascii="Bookman Old Style" w:hAnsi="Bookman Old Style" w:cs="Arial"/>
          <w:lang w:val="es-CO"/>
        </w:rPr>
        <w:t xml:space="preserve">333, </w:t>
      </w:r>
      <w:r>
        <w:rPr>
          <w:rFonts w:ascii="Bookman Old Style" w:hAnsi="Bookman Old Style" w:cs="Arial"/>
          <w:lang w:val="es-CO"/>
        </w:rPr>
        <w:t xml:space="preserve">señala que </w:t>
      </w:r>
      <w:r w:rsidRPr="007C5107">
        <w:rPr>
          <w:rFonts w:ascii="Bookman Old Style" w:hAnsi="Bookman Old Style" w:cs="Arial"/>
          <w:lang w:val="es-CO"/>
        </w:rPr>
        <w:t>el Estado, por mandato de la ley, impedirá que se restrinja la libertad económica</w:t>
      </w:r>
      <w:r>
        <w:rPr>
          <w:rFonts w:ascii="Bookman Old Style" w:hAnsi="Bookman Old Style" w:cs="Arial"/>
          <w:lang w:val="es-CO"/>
        </w:rPr>
        <w:t>,</w:t>
      </w:r>
      <w:r w:rsidRPr="007C5107">
        <w:rPr>
          <w:rFonts w:ascii="Bookman Old Style" w:hAnsi="Bookman Old Style" w:cs="Arial"/>
          <w:lang w:val="es-CO"/>
        </w:rPr>
        <w:t xml:space="preserve"> y evitará o controlará cualquier abuso que personas o empresas hagan de su posición d</w:t>
      </w:r>
      <w:r>
        <w:rPr>
          <w:rFonts w:ascii="Bookman Old Style" w:hAnsi="Bookman Old Style" w:cs="Arial"/>
          <w:lang w:val="es-CO"/>
        </w:rPr>
        <w:t>ominante en el mercado nacional. De igual forma,</w:t>
      </w:r>
      <w:r w:rsidRPr="007C5107">
        <w:rPr>
          <w:rFonts w:ascii="Bookman Old Style" w:hAnsi="Bookman Old Style" w:cs="Arial"/>
          <w:lang w:val="es-CO"/>
        </w:rPr>
        <w:t xml:space="preserve"> </w:t>
      </w:r>
      <w:r>
        <w:rPr>
          <w:rFonts w:ascii="Bookman Old Style" w:hAnsi="Bookman Old Style" w:cs="Arial"/>
          <w:lang w:val="es-CO"/>
        </w:rPr>
        <w:t xml:space="preserve">prevé que </w:t>
      </w:r>
      <w:r w:rsidRPr="007C5107">
        <w:rPr>
          <w:rFonts w:ascii="Bookman Old Style" w:hAnsi="Bookman Old Style" w:cs="Arial"/>
          <w:lang w:val="es-CO"/>
        </w:rPr>
        <w:t>la libre competencia económica es un derecho de todo</w:t>
      </w:r>
      <w:r>
        <w:rPr>
          <w:rFonts w:ascii="Bookman Old Style" w:hAnsi="Bookman Old Style" w:cs="Arial"/>
          <w:lang w:val="es-CO"/>
        </w:rPr>
        <w:t>s, que supone responsabilidades.</w:t>
      </w:r>
    </w:p>
    <w:p w14:paraId="4A96BD19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13E14393" w14:textId="02995332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El artículo 334 de la Constitución Política</w:t>
      </w:r>
      <w:r w:rsidRPr="007C5107">
        <w:rPr>
          <w:rFonts w:ascii="Bookman Old Style" w:hAnsi="Bookman Old Style" w:cs="Arial"/>
          <w:lang w:val="es-CO"/>
        </w:rPr>
        <w:t xml:space="preserve"> </w:t>
      </w:r>
      <w:r>
        <w:rPr>
          <w:rFonts w:ascii="Bookman Old Style" w:hAnsi="Bookman Old Style" w:cs="Arial"/>
          <w:lang w:val="es-CO"/>
        </w:rPr>
        <w:t xml:space="preserve">dispone que </w:t>
      </w:r>
      <w:r w:rsidRPr="007C5107">
        <w:rPr>
          <w:rFonts w:ascii="Bookman Old Style" w:hAnsi="Bookman Old Style" w:cs="Arial"/>
          <w:lang w:val="es-CO"/>
        </w:rPr>
        <w:t xml:space="preserve">el Estado intervendrá, </w:t>
      </w:r>
      <w:r>
        <w:rPr>
          <w:rFonts w:ascii="Bookman Old Style" w:hAnsi="Bookman Old Style" w:cs="Arial"/>
          <w:lang w:val="es-CO"/>
        </w:rPr>
        <w:t xml:space="preserve">también </w:t>
      </w:r>
      <w:r w:rsidRPr="007C5107">
        <w:rPr>
          <w:rFonts w:ascii="Bookman Old Style" w:hAnsi="Bookman Old Style" w:cs="Arial"/>
          <w:lang w:val="es-CO"/>
        </w:rPr>
        <w:t>por mandato de la ley, en los servicios públicos y privados, para racionalizar la economía</w:t>
      </w:r>
      <w:r>
        <w:rPr>
          <w:rFonts w:ascii="Bookman Old Style" w:hAnsi="Bookman Old Style" w:cs="Arial"/>
          <w:lang w:val="es-CO"/>
        </w:rPr>
        <w:t>,</w:t>
      </w:r>
      <w:r w:rsidRPr="007C5107">
        <w:rPr>
          <w:rFonts w:ascii="Bookman Old Style" w:hAnsi="Bookman Old Style" w:cs="Arial"/>
          <w:lang w:val="es-CO"/>
        </w:rPr>
        <w:t xml:space="preserve"> con el fin de conseguir el mejoramiento de la calidad de vida de los habitantes, la distribución equitativa de oportunidades</w:t>
      </w:r>
      <w:r w:rsidR="00AA5299">
        <w:rPr>
          <w:rFonts w:ascii="Bookman Old Style" w:hAnsi="Bookman Old Style" w:cs="Arial"/>
          <w:lang w:val="es-CO"/>
        </w:rPr>
        <w:t>,</w:t>
      </w:r>
      <w:r w:rsidRPr="007C5107">
        <w:rPr>
          <w:rFonts w:ascii="Bookman Old Style" w:hAnsi="Bookman Old Style" w:cs="Arial"/>
          <w:lang w:val="es-CO"/>
        </w:rPr>
        <w:t xml:space="preserve"> y los beneficios del desarrollo y la p</w:t>
      </w:r>
      <w:r>
        <w:rPr>
          <w:rFonts w:ascii="Bookman Old Style" w:hAnsi="Bookman Old Style" w:cs="Arial"/>
          <w:lang w:val="es-CO"/>
        </w:rPr>
        <w:t>reservación de un ambiente sano.</w:t>
      </w:r>
    </w:p>
    <w:p w14:paraId="43EA0990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047DA4C5" w14:textId="77777777" w:rsidR="0006683F" w:rsidRPr="00A97550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 w:rsidRPr="00A97550">
        <w:rPr>
          <w:rFonts w:ascii="Bookman Old Style" w:hAnsi="Bookman Old Style" w:cs="Arial"/>
          <w:lang w:val="es-CO"/>
        </w:rPr>
        <w:t xml:space="preserve">El artículo 367 de la Constitución Política señala que la Ley fijará las competencias y responsabilidades relativas a la prestación de los servicios públicos domiciliarios, su cobertura, calidad y financiación, así como el régimen tarifario. </w:t>
      </w:r>
    </w:p>
    <w:p w14:paraId="6326C9AB" w14:textId="77777777" w:rsidR="0006683F" w:rsidRPr="00A97550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6213967C" w14:textId="035537C2" w:rsidR="0006683F" w:rsidRPr="00A97550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E</w:t>
      </w:r>
      <w:r w:rsidRPr="00A97550">
        <w:rPr>
          <w:rFonts w:ascii="Bookman Old Style" w:hAnsi="Bookman Old Style" w:cs="Arial"/>
          <w:lang w:val="es-CO"/>
        </w:rPr>
        <w:t xml:space="preserve">l </w:t>
      </w:r>
      <w:r>
        <w:rPr>
          <w:rFonts w:ascii="Bookman Old Style" w:hAnsi="Bookman Old Style" w:cs="Arial"/>
          <w:lang w:val="es-CO"/>
        </w:rPr>
        <w:t>E</w:t>
      </w:r>
      <w:r w:rsidRPr="00A97550">
        <w:rPr>
          <w:rFonts w:ascii="Bookman Old Style" w:hAnsi="Bookman Old Style" w:cs="Arial"/>
          <w:lang w:val="es-CO"/>
        </w:rPr>
        <w:t>stado</w:t>
      </w:r>
      <w:r>
        <w:rPr>
          <w:rFonts w:ascii="Bookman Old Style" w:hAnsi="Bookman Old Style" w:cs="Arial"/>
          <w:lang w:val="es-CO"/>
        </w:rPr>
        <w:t>,</w:t>
      </w:r>
      <w:r w:rsidRPr="00A97550">
        <w:rPr>
          <w:rFonts w:ascii="Bookman Old Style" w:hAnsi="Bookman Old Style" w:cs="Arial"/>
          <w:lang w:val="es-CO"/>
        </w:rPr>
        <w:t xml:space="preserve"> como rector general de la economía, al desarrollar la regulación en un mercado en donde se permite la participación de particulares, debe tener en cuenta los fines y objetivos constitucionales establecidos.</w:t>
      </w:r>
      <w:r w:rsidRPr="00A97550" w:rsidDel="00E532A7">
        <w:rPr>
          <w:rFonts w:ascii="Bookman Old Style" w:hAnsi="Bookman Old Style" w:cs="Arial"/>
          <w:lang w:val="es-CO"/>
        </w:rPr>
        <w:t xml:space="preserve"> </w:t>
      </w:r>
    </w:p>
    <w:p w14:paraId="24810C6F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341B4613" w14:textId="77777777" w:rsidR="0006683F" w:rsidRPr="00A97550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L</w:t>
      </w:r>
      <w:r w:rsidRPr="00A97550">
        <w:rPr>
          <w:rFonts w:ascii="Bookman Old Style" w:hAnsi="Bookman Old Style" w:cs="Arial"/>
          <w:lang w:val="es-CO"/>
        </w:rPr>
        <w:t>a Ley 142 de 1994, en armonía con lo dispuesto en la Constitución, en particular, en sus artículos 334, 336 y 365 a 370, señala que el Estado intervendrá en los servicios públicos, conforme a las reglas de competencia que contiene esa ley, para los siguientes fines: i) calidad, ii) cobertura, iii) prestación continua e ininterrumpida, iv) prestación eficiente, v) libertad de competencia y no utilización abusiva de la posición dominante, vi) obtención de economías de escala comprobables, vii) acceso y viii) régimen tarifario proporcional.</w:t>
      </w:r>
    </w:p>
    <w:p w14:paraId="155C1967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0947375F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S</w:t>
      </w:r>
      <w:r w:rsidRPr="007C5107">
        <w:rPr>
          <w:rFonts w:ascii="Bookman Old Style" w:hAnsi="Bookman Old Style" w:cs="Arial"/>
          <w:lang w:val="es-CO"/>
        </w:rPr>
        <w:t>egún lo dispuesto por la Ley 143 de 1994, en relación con el servicio público de electricidad</w:t>
      </w:r>
      <w:r>
        <w:rPr>
          <w:rFonts w:ascii="Bookman Old Style" w:hAnsi="Bookman Old Style" w:cs="Arial"/>
          <w:lang w:val="es-CO"/>
        </w:rPr>
        <w:t>,</w:t>
      </w:r>
      <w:r w:rsidRPr="007C5107">
        <w:rPr>
          <w:rFonts w:ascii="Bookman Old Style" w:hAnsi="Bookman Old Style" w:cs="Arial"/>
          <w:lang w:val="es-CO"/>
        </w:rPr>
        <w:t xml:space="preserve"> al Estado le corresponde, entre otros aspectos, promover la libre </w:t>
      </w:r>
      <w:r w:rsidRPr="007C5107">
        <w:rPr>
          <w:rFonts w:ascii="Bookman Old Style" w:hAnsi="Bookman Old Style" w:cs="Arial"/>
          <w:lang w:val="es-CO"/>
        </w:rPr>
        <w:lastRenderedPageBreak/>
        <w:t>competencia en las actividades del sector, e impedir prácticas que constituyan competencia desleal o abuso de p</w:t>
      </w:r>
      <w:r>
        <w:rPr>
          <w:rFonts w:ascii="Bookman Old Style" w:hAnsi="Bookman Old Style" w:cs="Arial"/>
          <w:lang w:val="es-CO"/>
        </w:rPr>
        <w:t>osición dominante en el mercado.</w:t>
      </w:r>
      <w:r w:rsidRPr="007C5107">
        <w:rPr>
          <w:rFonts w:ascii="Bookman Old Style" w:hAnsi="Bookman Old Style" w:cs="Arial"/>
          <w:lang w:val="es-CO"/>
        </w:rPr>
        <w:t xml:space="preserve"> </w:t>
      </w:r>
    </w:p>
    <w:p w14:paraId="0C23FEC6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5BF19B70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El a</w:t>
      </w:r>
      <w:r w:rsidRPr="007C5107">
        <w:rPr>
          <w:rFonts w:ascii="Bookman Old Style" w:hAnsi="Bookman Old Style" w:cs="Arial"/>
          <w:lang w:val="es-CO"/>
        </w:rPr>
        <w:t xml:space="preserve">rtículo 4o. de la Ley 143 de 1994 </w:t>
      </w:r>
      <w:r>
        <w:rPr>
          <w:rFonts w:ascii="Bookman Old Style" w:hAnsi="Bookman Old Style" w:cs="Arial"/>
          <w:lang w:val="es-CO"/>
        </w:rPr>
        <w:t xml:space="preserve">dispone que </w:t>
      </w:r>
      <w:r w:rsidRPr="007C5107">
        <w:rPr>
          <w:rFonts w:ascii="Bookman Old Style" w:hAnsi="Bookman Old Style" w:cs="Arial"/>
          <w:lang w:val="es-CO"/>
        </w:rPr>
        <w:t>el Estado, en relación con el servicio de electricidad</w:t>
      </w:r>
      <w:r>
        <w:rPr>
          <w:rFonts w:ascii="Bookman Old Style" w:hAnsi="Bookman Old Style" w:cs="Arial"/>
          <w:lang w:val="es-CO"/>
        </w:rPr>
        <w:t>, tiene dentro de sus objetivos</w:t>
      </w:r>
      <w:r w:rsidRPr="007C5107">
        <w:rPr>
          <w:rFonts w:ascii="Bookman Old Style" w:hAnsi="Bookman Old Style" w:cs="Arial"/>
          <w:lang w:val="es-CO"/>
        </w:rPr>
        <w:t xml:space="preserve"> abastecer la demanda de electricidad de la comunidad bajo criterios económicos y de viabilidad financiera, asegurando su cubrimiento en un marco de uso racional y eficiente de los diferentes recursos energ</w:t>
      </w:r>
      <w:r>
        <w:rPr>
          <w:rFonts w:ascii="Bookman Old Style" w:hAnsi="Bookman Old Style" w:cs="Arial"/>
          <w:lang w:val="es-CO"/>
        </w:rPr>
        <w:t>éticos del país.</w:t>
      </w:r>
    </w:p>
    <w:p w14:paraId="5EE509A7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13B03013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Igualmente, el citado a</w:t>
      </w:r>
      <w:r w:rsidRPr="007C5107">
        <w:rPr>
          <w:rFonts w:ascii="Bookman Old Style" w:hAnsi="Bookman Old Style" w:cs="Arial"/>
          <w:lang w:val="es-CO"/>
        </w:rPr>
        <w:t>rtículo 4o. de la Ley 143 de 1994 define como objetivo del Estado asegurar una operación eficiente, segura y confiabl</w:t>
      </w:r>
      <w:r>
        <w:rPr>
          <w:rFonts w:ascii="Bookman Old Style" w:hAnsi="Bookman Old Style" w:cs="Arial"/>
          <w:lang w:val="es-CO"/>
        </w:rPr>
        <w:t xml:space="preserve">e en las actividades del sector y, </w:t>
      </w:r>
      <w:r w:rsidRPr="00576D9E">
        <w:rPr>
          <w:rFonts w:ascii="Bookman Old Style" w:hAnsi="Bookman Old Style" w:cs="Arial"/>
        </w:rPr>
        <w:t>mantener los niveles de calidad y seguridad establecidos</w:t>
      </w:r>
      <w:r>
        <w:rPr>
          <w:rFonts w:ascii="Bookman Old Style" w:hAnsi="Bookman Old Style" w:cs="Arial"/>
        </w:rPr>
        <w:t>.</w:t>
      </w:r>
    </w:p>
    <w:p w14:paraId="69310BA9" w14:textId="77777777" w:rsidR="0006683F" w:rsidRPr="007C5107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19994C88" w14:textId="77777777" w:rsidR="0006683F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  <w:r>
        <w:rPr>
          <w:rFonts w:ascii="Bookman Old Style" w:hAnsi="Bookman Old Style" w:cs="Arial"/>
          <w:lang w:val="es-CO"/>
        </w:rPr>
        <w:t>La</w:t>
      </w:r>
      <w:r w:rsidRPr="007C5107">
        <w:rPr>
          <w:rFonts w:ascii="Bookman Old Style" w:hAnsi="Bookman Old Style" w:cs="Arial"/>
          <w:lang w:val="es-CO"/>
        </w:rPr>
        <w:t xml:space="preserve"> Ley </w:t>
      </w:r>
      <w:r>
        <w:rPr>
          <w:rFonts w:ascii="Bookman Old Style" w:hAnsi="Bookman Old Style" w:cs="Arial"/>
          <w:lang w:val="es-CO"/>
        </w:rPr>
        <w:t>143 de 1994, artículo 6</w:t>
      </w:r>
      <w:r w:rsidRPr="007C5107">
        <w:rPr>
          <w:rFonts w:ascii="Bookman Old Style" w:hAnsi="Bookman Old Style" w:cs="Arial"/>
          <w:lang w:val="es-CO"/>
        </w:rPr>
        <w:t>, dispuso que las actividades relacionadas con el servicio de electricidad se regirán, entre otros principios, por el de eficiencia, el cual “</w:t>
      </w:r>
      <w:r w:rsidRPr="00E60CE3">
        <w:rPr>
          <w:rFonts w:ascii="Bookman Old Style" w:hAnsi="Bookman Old Style" w:cs="Arial"/>
          <w:i/>
          <w:lang w:val="es-CO"/>
        </w:rPr>
        <w:t>obliga a la correcta asignación y utilización de los recursos de tal forma que se garantice la prestación del servicio al menor costo económico</w:t>
      </w:r>
      <w:r>
        <w:rPr>
          <w:rFonts w:ascii="Bookman Old Style" w:hAnsi="Bookman Old Style" w:cs="Arial"/>
          <w:lang w:val="es-CO"/>
        </w:rPr>
        <w:t>”.</w:t>
      </w:r>
    </w:p>
    <w:p w14:paraId="2919B3BB" w14:textId="77777777" w:rsidR="0006683F" w:rsidRDefault="0006683F" w:rsidP="0006683F">
      <w:pPr>
        <w:ind w:left="0"/>
        <w:jc w:val="both"/>
        <w:rPr>
          <w:rFonts w:ascii="Bookman Old Style" w:hAnsi="Bookman Old Style" w:cs="Arial"/>
          <w:lang w:val="es-CO"/>
        </w:rPr>
      </w:pPr>
    </w:p>
    <w:p w14:paraId="5A10DADC" w14:textId="7748B004" w:rsidR="0006683F" w:rsidRPr="00576D9E" w:rsidRDefault="0006683F" w:rsidP="0006683F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El artículo 20 de l</w:t>
      </w:r>
      <w:r w:rsidRPr="00576D9E">
        <w:rPr>
          <w:rFonts w:ascii="Bookman Old Style" w:hAnsi="Bookman Old Style" w:cs="Arial"/>
        </w:rPr>
        <w:t xml:space="preserve">a Ley 143 de 1994 definió como objetivo fundamental de la </w:t>
      </w:r>
      <w:r>
        <w:rPr>
          <w:rFonts w:ascii="Bookman Old Style" w:hAnsi="Bookman Old Style" w:cs="Arial"/>
        </w:rPr>
        <w:t>r</w:t>
      </w:r>
      <w:r w:rsidRPr="00576D9E">
        <w:rPr>
          <w:rFonts w:ascii="Bookman Old Style" w:hAnsi="Bookman Old Style" w:cs="Arial"/>
        </w:rPr>
        <w:t xml:space="preserve">egulación en el sector eléctrico, asegurar una adecuada prestación del servicio mediante el aprovechamiento eficiente de los diferentes recursos energéticos, en beneficio del usuario en términos de calidad, oportunidad y costo del servicio. </w:t>
      </w:r>
    </w:p>
    <w:p w14:paraId="53A9002A" w14:textId="77777777" w:rsidR="0006683F" w:rsidRDefault="0006683F" w:rsidP="0006683F">
      <w:pPr>
        <w:ind w:left="0"/>
        <w:jc w:val="both"/>
        <w:rPr>
          <w:rFonts w:ascii="Bookman Old Style" w:hAnsi="Bookman Old Style" w:cs="Arial"/>
        </w:rPr>
      </w:pPr>
    </w:p>
    <w:p w14:paraId="157827B9" w14:textId="77777777" w:rsidR="0006683F" w:rsidRDefault="0006683F" w:rsidP="0006683F">
      <w:pPr>
        <w:ind w:left="0"/>
        <w:jc w:val="both"/>
        <w:rPr>
          <w:rFonts w:ascii="Bookman Old Style" w:hAnsi="Bookman Old Style" w:cs="Arial"/>
          <w:bCs/>
          <w:lang w:val="es-CO"/>
        </w:rPr>
      </w:pPr>
      <w:r>
        <w:rPr>
          <w:rFonts w:ascii="Bookman Old Style" w:hAnsi="Bookman Old Style" w:cs="Arial"/>
          <w:bCs/>
          <w:lang w:val="es-CO"/>
        </w:rPr>
        <w:t xml:space="preserve">A través de la </w:t>
      </w:r>
      <w:r w:rsidRPr="00576D9E">
        <w:rPr>
          <w:rFonts w:ascii="Bookman Old Style" w:hAnsi="Bookman Old Style" w:cs="Arial"/>
          <w:bCs/>
          <w:lang w:val="es-CO"/>
        </w:rPr>
        <w:t xml:space="preserve">Resolución </w:t>
      </w:r>
      <w:r>
        <w:rPr>
          <w:rFonts w:ascii="Bookman Old Style" w:hAnsi="Bookman Old Style" w:cs="Arial"/>
          <w:bCs/>
          <w:lang w:val="es-CO"/>
        </w:rPr>
        <w:t>CREG 024</w:t>
      </w:r>
      <w:r w:rsidRPr="00576D9E">
        <w:rPr>
          <w:rFonts w:ascii="Bookman Old Style" w:hAnsi="Bookman Old Style" w:cs="Arial"/>
          <w:bCs/>
          <w:lang w:val="es-CO"/>
        </w:rPr>
        <w:t xml:space="preserve"> de </w:t>
      </w:r>
      <w:r>
        <w:rPr>
          <w:rFonts w:ascii="Bookman Old Style" w:hAnsi="Bookman Old Style" w:cs="Arial"/>
          <w:bCs/>
          <w:lang w:val="es-CO"/>
        </w:rPr>
        <w:t xml:space="preserve">1995 se </w:t>
      </w:r>
      <w:r w:rsidRPr="00EE4557">
        <w:rPr>
          <w:rFonts w:ascii="Bookman Old Style" w:hAnsi="Bookman Old Style" w:cs="Arial"/>
          <w:bCs/>
          <w:lang w:val="es-CO"/>
        </w:rPr>
        <w:t>reglament</w:t>
      </w:r>
      <w:r>
        <w:rPr>
          <w:rFonts w:ascii="Bookman Old Style" w:hAnsi="Bookman Old Style" w:cs="Arial"/>
          <w:bCs/>
          <w:lang w:val="es-CO"/>
        </w:rPr>
        <w:t>aron</w:t>
      </w:r>
      <w:r w:rsidRPr="00EE4557">
        <w:rPr>
          <w:rFonts w:ascii="Bookman Old Style" w:hAnsi="Bookman Old Style" w:cs="Arial"/>
          <w:bCs/>
          <w:lang w:val="es-CO"/>
        </w:rPr>
        <w:t xml:space="preserve"> los aspectos comerciales del mercado mayorista de energía en el </w:t>
      </w:r>
      <w:r>
        <w:rPr>
          <w:rFonts w:ascii="Bookman Old Style" w:hAnsi="Bookman Old Style" w:cs="Arial"/>
          <w:bCs/>
          <w:lang w:val="es-CO"/>
        </w:rPr>
        <w:t>S</w:t>
      </w:r>
      <w:r w:rsidRPr="00EE4557">
        <w:rPr>
          <w:rFonts w:ascii="Bookman Old Style" w:hAnsi="Bookman Old Style" w:cs="Arial"/>
          <w:bCs/>
          <w:lang w:val="es-CO"/>
        </w:rPr>
        <w:t xml:space="preserve">istema </w:t>
      </w:r>
      <w:r>
        <w:rPr>
          <w:rFonts w:ascii="Bookman Old Style" w:hAnsi="Bookman Old Style" w:cs="Arial"/>
          <w:bCs/>
          <w:lang w:val="es-CO"/>
        </w:rPr>
        <w:t>I</w:t>
      </w:r>
      <w:r w:rsidRPr="00EE4557">
        <w:rPr>
          <w:rFonts w:ascii="Bookman Old Style" w:hAnsi="Bookman Old Style" w:cs="Arial"/>
          <w:bCs/>
          <w:lang w:val="es-CO"/>
        </w:rPr>
        <w:t xml:space="preserve">nterconectado </w:t>
      </w:r>
      <w:r>
        <w:rPr>
          <w:rFonts w:ascii="Bookman Old Style" w:hAnsi="Bookman Old Style" w:cs="Arial"/>
          <w:bCs/>
          <w:lang w:val="es-CO"/>
        </w:rPr>
        <w:t>N</w:t>
      </w:r>
      <w:r w:rsidRPr="00EE4557">
        <w:rPr>
          <w:rFonts w:ascii="Bookman Old Style" w:hAnsi="Bookman Old Style" w:cs="Arial"/>
          <w:bCs/>
          <w:lang w:val="es-CO"/>
        </w:rPr>
        <w:t>acional, que hacen parte del Reglamento de Operación.</w:t>
      </w:r>
    </w:p>
    <w:p w14:paraId="3D989D3A" w14:textId="77777777" w:rsidR="0006683F" w:rsidRPr="00576D9E" w:rsidRDefault="0006683F" w:rsidP="0006683F">
      <w:pPr>
        <w:ind w:left="0"/>
        <w:jc w:val="both"/>
        <w:rPr>
          <w:rFonts w:ascii="Bookman Old Style" w:hAnsi="Bookman Old Style" w:cs="Arial"/>
        </w:rPr>
      </w:pPr>
    </w:p>
    <w:p w14:paraId="22D49CAE" w14:textId="77777777" w:rsidR="0006683F" w:rsidRDefault="0006683F" w:rsidP="0006683F">
      <w:pPr>
        <w:pStyle w:val="Vietaletra"/>
        <w:numPr>
          <w:ilvl w:val="0"/>
          <w:numId w:val="0"/>
        </w:numPr>
        <w:suppressAutoHyphens w:val="0"/>
        <w:overflowPunct/>
        <w:autoSpaceDE/>
        <w:textAlignment w:val="auto"/>
        <w:rPr>
          <w:rFonts w:ascii="Bookman Old Style" w:hAnsi="Bookman Old Style" w:cs="Arial"/>
          <w:bCs/>
          <w:szCs w:val="24"/>
          <w:lang w:val="es-CO" w:eastAsia="es-ES"/>
        </w:rPr>
      </w:pPr>
      <w:r>
        <w:rPr>
          <w:rFonts w:ascii="Bookman Old Style" w:hAnsi="Bookman Old Style" w:cs="Arial"/>
          <w:bCs/>
          <w:szCs w:val="24"/>
          <w:lang w:val="es-CO" w:eastAsia="es-ES"/>
        </w:rPr>
        <w:t xml:space="preserve">La </w:t>
      </w:r>
      <w:r w:rsidRPr="00576D9E">
        <w:rPr>
          <w:rFonts w:ascii="Bookman Old Style" w:hAnsi="Bookman Old Style" w:cs="Arial"/>
          <w:bCs/>
          <w:szCs w:val="24"/>
          <w:lang w:val="es-CO" w:eastAsia="es-ES"/>
        </w:rPr>
        <w:t xml:space="preserve">Resolución </w:t>
      </w:r>
      <w:r>
        <w:rPr>
          <w:rFonts w:ascii="Bookman Old Style" w:hAnsi="Bookman Old Style" w:cs="Arial"/>
          <w:bCs/>
          <w:szCs w:val="24"/>
          <w:lang w:val="es-CO" w:eastAsia="es-ES"/>
        </w:rPr>
        <w:t>CREG 025</w:t>
      </w:r>
      <w:r w:rsidRPr="00576D9E">
        <w:rPr>
          <w:rFonts w:ascii="Bookman Old Style" w:hAnsi="Bookman Old Style" w:cs="Arial"/>
          <w:bCs/>
          <w:szCs w:val="24"/>
          <w:lang w:val="es-CO" w:eastAsia="es-ES"/>
        </w:rPr>
        <w:t xml:space="preserve"> de </w:t>
      </w:r>
      <w:r>
        <w:rPr>
          <w:rFonts w:ascii="Bookman Old Style" w:hAnsi="Bookman Old Style" w:cs="Arial"/>
          <w:bCs/>
          <w:szCs w:val="24"/>
          <w:lang w:val="es-CO" w:eastAsia="es-ES"/>
        </w:rPr>
        <w:t xml:space="preserve">1995 </w:t>
      </w:r>
      <w:r w:rsidRPr="003001B6">
        <w:rPr>
          <w:rFonts w:ascii="Bookman Old Style" w:hAnsi="Bookman Old Style" w:cs="Arial"/>
          <w:bCs/>
          <w:szCs w:val="24"/>
          <w:lang w:val="es-CO" w:eastAsia="es-ES"/>
        </w:rPr>
        <w:t>establec</w:t>
      </w:r>
      <w:r>
        <w:rPr>
          <w:rFonts w:ascii="Bookman Old Style" w:hAnsi="Bookman Old Style" w:cs="Arial"/>
          <w:bCs/>
          <w:szCs w:val="24"/>
          <w:lang w:val="es-CO" w:eastAsia="es-ES"/>
        </w:rPr>
        <w:t>ió</w:t>
      </w:r>
      <w:r w:rsidRPr="003001B6">
        <w:rPr>
          <w:rFonts w:ascii="Bookman Old Style" w:hAnsi="Bookman Old Style" w:cs="Arial"/>
          <w:bCs/>
          <w:szCs w:val="24"/>
          <w:lang w:val="es-CO" w:eastAsia="es-ES"/>
        </w:rPr>
        <w:t xml:space="preserve"> el Código de Redes, como parte del Reglamento de Operación del Sistema Interconectado Nacional</w:t>
      </w:r>
      <w:r>
        <w:rPr>
          <w:rFonts w:ascii="Bookman Old Style" w:hAnsi="Bookman Old Style" w:cs="Arial"/>
          <w:bCs/>
          <w:szCs w:val="24"/>
          <w:lang w:val="es-CO" w:eastAsia="es-ES"/>
        </w:rPr>
        <w:t>, que contiene los reglamentos de Código de Planeamiento, Código de Conexión, Código de Medida y Código de Operación.</w:t>
      </w:r>
    </w:p>
    <w:p w14:paraId="518B742F" w14:textId="77777777" w:rsidR="0006683F" w:rsidRPr="00C565B7" w:rsidRDefault="0006683F" w:rsidP="0006683F">
      <w:pPr>
        <w:ind w:left="0"/>
        <w:rPr>
          <w:lang w:val="es-CO"/>
        </w:rPr>
      </w:pPr>
    </w:p>
    <w:p w14:paraId="01EB9B7F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>La Resolución CREG 034 de 2001 reglamentó la metodología de remuneración de las plantas de generación que generan por reconciliación positiva y reconciliación negativa.</w:t>
      </w:r>
    </w:p>
    <w:p w14:paraId="46B8FF4C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</w:p>
    <w:p w14:paraId="4226EE3D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 xml:space="preserve">La Resolución CREG 051 de 2009 modificó el esquema de oferta de precios, los costos de arranque-parada, el despacho ideal, el despacho económico y las reglas para determinar el precio de la bolsa. </w:t>
      </w:r>
    </w:p>
    <w:p w14:paraId="6A8E6CA7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</w:p>
    <w:p w14:paraId="74EB4258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>La Resolución CREG 076 de 2009 modificó y aclaró las reglas contenidas en la Resolución CREG 051 de 2009.</w:t>
      </w:r>
    </w:p>
    <w:p w14:paraId="005D1798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</w:p>
    <w:p w14:paraId="0E5ECBCF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>La Resolución CREG 080 de 2019 definió las reglas generales de comportamiento de mercado para los agentes que desarrollen las actividades de los servicios públicos domiciliarios de energía eléctrica y gas combustible.</w:t>
      </w:r>
    </w:p>
    <w:p w14:paraId="65BD7068" w14:textId="77777777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</w:p>
    <w:p w14:paraId="6052B07F" w14:textId="3A957F8B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>La Resolución CREG 044 de 2020, artículo 9, modificó el artículo 1 de la Resolución CREG 034 de 2001, mediante el cual se establece la metodología para establecer el precio de reconciliación positiva</w:t>
      </w:r>
      <w:r w:rsidR="00902C31">
        <w:rPr>
          <w:rFonts w:ascii="Bookman Old Style" w:hAnsi="Bookman Old Style"/>
          <w:lang w:val="es-CO"/>
        </w:rPr>
        <w:t xml:space="preserve">, incluyendo un incentivo a los generadores térmicos para lograr costos más eficientes de combustibles para la </w:t>
      </w:r>
      <w:r w:rsidR="00902C31">
        <w:rPr>
          <w:rFonts w:ascii="Bookman Old Style" w:hAnsi="Bookman Old Style"/>
          <w:lang w:val="es-CO"/>
        </w:rPr>
        <w:lastRenderedPageBreak/>
        <w:t>atención de las generaciones de seguridad fuera de mérito, que se reflejan en sus declaraciones de costos de suministro y transporte de combustible</w:t>
      </w:r>
      <w:r>
        <w:rPr>
          <w:rFonts w:ascii="Bookman Old Style" w:hAnsi="Bookman Old Style"/>
          <w:lang w:val="es-CO"/>
        </w:rPr>
        <w:t>.</w:t>
      </w:r>
    </w:p>
    <w:p w14:paraId="4440E068" w14:textId="77777777" w:rsidR="00CF3667" w:rsidRDefault="00CF3667" w:rsidP="0006683F">
      <w:pPr>
        <w:ind w:left="0"/>
        <w:jc w:val="both"/>
        <w:rPr>
          <w:rFonts w:ascii="Bookman Old Style" w:hAnsi="Bookman Old Style"/>
          <w:lang w:val="es-CO"/>
        </w:rPr>
      </w:pPr>
    </w:p>
    <w:p w14:paraId="10EC2273" w14:textId="2DFC7E9A" w:rsidR="0006683F" w:rsidRDefault="0006683F" w:rsidP="0006683F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 xml:space="preserve">El artículo 10 de la Resolución CREG 044 de 2020 estableció </w:t>
      </w:r>
      <w:r w:rsidR="0063674D">
        <w:rPr>
          <w:rFonts w:ascii="Bookman Old Style" w:hAnsi="Bookman Old Style"/>
          <w:lang w:val="es-CO"/>
        </w:rPr>
        <w:t>que,</w:t>
      </w:r>
      <w:r>
        <w:rPr>
          <w:rFonts w:ascii="Bookman Old Style" w:hAnsi="Bookman Old Style"/>
          <w:lang w:val="es-CO"/>
        </w:rPr>
        <w:t xml:space="preserve"> en resolución independiente, la Comisión definir</w:t>
      </w:r>
      <w:r w:rsidR="00134837">
        <w:rPr>
          <w:rFonts w:ascii="Bookman Old Style" w:hAnsi="Bookman Old Style"/>
          <w:lang w:val="es-CO"/>
        </w:rPr>
        <w:t>ía</w:t>
      </w:r>
      <w:r>
        <w:rPr>
          <w:rFonts w:ascii="Bookman Old Style" w:hAnsi="Bookman Old Style"/>
          <w:lang w:val="es-CO"/>
        </w:rPr>
        <w:t xml:space="preserve"> el esquema para adelantar la auditoría de </w:t>
      </w:r>
      <w:r w:rsidR="0063674D">
        <w:rPr>
          <w:rFonts w:ascii="Bookman Old Style" w:hAnsi="Bookman Old Style"/>
          <w:lang w:val="es-CO"/>
        </w:rPr>
        <w:t>la información</w:t>
      </w:r>
      <w:r>
        <w:rPr>
          <w:rFonts w:ascii="Bookman Old Style" w:hAnsi="Bookman Old Style"/>
          <w:lang w:val="es-CO"/>
        </w:rPr>
        <w:t xml:space="preserve"> reportada sobre costos de suministro de combustible y transporte de combustible declarados por los agentes generadores.</w:t>
      </w:r>
    </w:p>
    <w:p w14:paraId="5C4958E4" w14:textId="77777777" w:rsidR="00DC2D65" w:rsidRDefault="00DC2D65" w:rsidP="00771DB0">
      <w:pPr>
        <w:ind w:left="0"/>
        <w:jc w:val="both"/>
        <w:rPr>
          <w:rFonts w:ascii="Bookman Old Style" w:hAnsi="Bookman Old Style"/>
          <w:bCs/>
          <w:szCs w:val="18"/>
          <w:lang w:val="es-CO"/>
        </w:rPr>
      </w:pPr>
    </w:p>
    <w:p w14:paraId="6690BDAB" w14:textId="77777777" w:rsidR="00B27555" w:rsidRDefault="00B27555" w:rsidP="00771DB0">
      <w:pPr>
        <w:ind w:left="0"/>
        <w:jc w:val="both"/>
        <w:rPr>
          <w:rFonts w:ascii="Bookman Old Style" w:hAnsi="Bookman Old Style"/>
          <w:bCs/>
          <w:szCs w:val="18"/>
          <w:lang w:val="es-CO"/>
        </w:rPr>
      </w:pPr>
    </w:p>
    <w:p w14:paraId="496999A5" w14:textId="77777777" w:rsidR="004235AF" w:rsidRDefault="004235AF" w:rsidP="004235AF">
      <w:pPr>
        <w:suppressAutoHyphens/>
        <w:jc w:val="center"/>
        <w:rPr>
          <w:rFonts w:ascii="Bookman Old Style" w:hAnsi="Bookman Old Style"/>
          <w:b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14:paraId="59A82477" w14:textId="77777777" w:rsidR="00B27555" w:rsidRDefault="00B27555" w:rsidP="0035698E">
      <w:pPr>
        <w:suppressAutoHyphens/>
        <w:ind w:left="0"/>
        <w:rPr>
          <w:rFonts w:ascii="Bookman Old Style" w:hAnsi="Bookman Old Style"/>
          <w:spacing w:val="-3"/>
        </w:rPr>
      </w:pPr>
    </w:p>
    <w:p w14:paraId="73C88AD0" w14:textId="737396F3" w:rsidR="00A70632" w:rsidRDefault="00A70632" w:rsidP="738E1D91">
      <w:pPr>
        <w:ind w:left="0"/>
        <w:jc w:val="both"/>
        <w:rPr>
          <w:rFonts w:ascii="Bookman Old Style" w:hAnsi="Bookman Old Style"/>
        </w:rPr>
      </w:pPr>
      <w:r w:rsidRPr="738E1D91">
        <w:rPr>
          <w:rFonts w:ascii="Bookman Old Style" w:hAnsi="Bookman Old Style"/>
          <w:b/>
          <w:bCs/>
        </w:rPr>
        <w:t xml:space="preserve">Artículo </w:t>
      </w:r>
      <w:r w:rsidR="009F3785" w:rsidRPr="738E1D91">
        <w:rPr>
          <w:rFonts w:ascii="Bookman Old Style" w:hAnsi="Bookman Old Style"/>
          <w:b/>
          <w:bCs/>
        </w:rPr>
        <w:t>1</w:t>
      </w:r>
      <w:r w:rsidRPr="738E1D91">
        <w:rPr>
          <w:rFonts w:ascii="Bookman Old Style" w:hAnsi="Bookman Old Style"/>
          <w:b/>
          <w:bCs/>
        </w:rPr>
        <w:t xml:space="preserve">. </w:t>
      </w:r>
      <w:r w:rsidR="0063674D" w:rsidRPr="738E1D91">
        <w:rPr>
          <w:rFonts w:ascii="Bookman Old Style" w:hAnsi="Bookman Old Style"/>
          <w:b/>
          <w:bCs/>
        </w:rPr>
        <w:t>Objeto</w:t>
      </w:r>
      <w:r w:rsidRPr="738E1D91">
        <w:rPr>
          <w:rFonts w:ascii="Bookman Old Style" w:hAnsi="Bookman Old Style"/>
          <w:b/>
          <w:bCs/>
        </w:rPr>
        <w:t>.</w:t>
      </w:r>
      <w:r w:rsidR="0063674D" w:rsidRPr="738E1D91">
        <w:rPr>
          <w:rFonts w:ascii="Bookman Old Style" w:hAnsi="Bookman Old Style"/>
        </w:rPr>
        <w:t xml:space="preserve"> Mediante </w:t>
      </w:r>
      <w:r w:rsidR="00EA1502" w:rsidRPr="738E1D91">
        <w:rPr>
          <w:rFonts w:ascii="Bookman Old Style" w:hAnsi="Bookman Old Style"/>
        </w:rPr>
        <w:t xml:space="preserve">esta </w:t>
      </w:r>
      <w:r w:rsidR="0063674D" w:rsidRPr="738E1D91">
        <w:rPr>
          <w:rFonts w:ascii="Bookman Old Style" w:hAnsi="Bookman Old Style"/>
        </w:rPr>
        <w:t xml:space="preserve">resolución </w:t>
      </w:r>
      <w:r w:rsidR="00EA1502" w:rsidRPr="738E1D91">
        <w:rPr>
          <w:rFonts w:ascii="Bookman Old Style" w:hAnsi="Bookman Old Style"/>
        </w:rPr>
        <w:t>se</w:t>
      </w:r>
      <w:r w:rsidR="0063674D" w:rsidRPr="738E1D91">
        <w:rPr>
          <w:rFonts w:ascii="Bookman Old Style" w:hAnsi="Bookman Old Style"/>
        </w:rPr>
        <w:t xml:space="preserve"> defin</w:t>
      </w:r>
      <w:r w:rsidR="00EA1502" w:rsidRPr="738E1D91">
        <w:rPr>
          <w:rFonts w:ascii="Bookman Old Style" w:hAnsi="Bookman Old Style"/>
        </w:rPr>
        <w:t xml:space="preserve">e </w:t>
      </w:r>
      <w:r w:rsidR="0063674D" w:rsidRPr="738E1D91">
        <w:rPr>
          <w:rFonts w:ascii="Bookman Old Style" w:hAnsi="Bookman Old Style"/>
        </w:rPr>
        <w:t xml:space="preserve">el esquema para </w:t>
      </w:r>
      <w:r w:rsidR="4253BFFC" w:rsidRPr="738E1D91">
        <w:rPr>
          <w:rFonts w:ascii="Bookman Old Style" w:hAnsi="Bookman Old Style"/>
        </w:rPr>
        <w:t xml:space="preserve">realizar </w:t>
      </w:r>
      <w:r w:rsidR="0063674D" w:rsidRPr="738E1D91">
        <w:rPr>
          <w:rFonts w:ascii="Bookman Old Style" w:hAnsi="Bookman Old Style"/>
        </w:rPr>
        <w:t xml:space="preserve">la auditoría de los </w:t>
      </w:r>
      <w:r w:rsidR="3AFCD8E8" w:rsidRPr="738E1D91">
        <w:rPr>
          <w:rFonts w:ascii="Bookman Old Style" w:hAnsi="Bookman Old Style"/>
        </w:rPr>
        <w:t xml:space="preserve">soportes </w:t>
      </w:r>
      <w:r w:rsidR="0063674D" w:rsidRPr="738E1D91">
        <w:rPr>
          <w:rFonts w:ascii="Bookman Old Style" w:hAnsi="Bookman Old Style"/>
        </w:rPr>
        <w:t>y aplicación de la metodología para determinar la parte variable del costo de suministro de combustible (CSC)</w:t>
      </w:r>
      <w:r w:rsidR="00902C31">
        <w:rPr>
          <w:rFonts w:ascii="Bookman Old Style" w:hAnsi="Bookman Old Style"/>
        </w:rPr>
        <w:t>,</w:t>
      </w:r>
      <w:r w:rsidR="0063674D" w:rsidRPr="738E1D91">
        <w:rPr>
          <w:rFonts w:ascii="Bookman Old Style" w:hAnsi="Bookman Old Style"/>
        </w:rPr>
        <w:t xml:space="preserve"> y la parte variable del costo de transporte de combustible</w:t>
      </w:r>
      <w:r w:rsidR="00B548D2" w:rsidRPr="738E1D91">
        <w:rPr>
          <w:rFonts w:ascii="Bookman Old Style" w:hAnsi="Bookman Old Style"/>
        </w:rPr>
        <w:t xml:space="preserve"> (CTC)</w:t>
      </w:r>
      <w:r w:rsidR="00EA1502" w:rsidRPr="738E1D91">
        <w:rPr>
          <w:rFonts w:ascii="Bookman Old Style" w:hAnsi="Bookman Old Style"/>
        </w:rPr>
        <w:t xml:space="preserve"> declarados por los agentes, de acuerdo con lo definido en la Resolución CREG 044 de 2020.</w:t>
      </w:r>
    </w:p>
    <w:p w14:paraId="749ACDC6" w14:textId="77777777" w:rsidR="00A70632" w:rsidRDefault="00A70632" w:rsidP="00222FA7">
      <w:pPr>
        <w:ind w:left="0"/>
        <w:jc w:val="both"/>
        <w:rPr>
          <w:rFonts w:ascii="Bookman Old Style" w:hAnsi="Bookman Old Style"/>
          <w:bCs/>
        </w:rPr>
      </w:pPr>
    </w:p>
    <w:p w14:paraId="5E548DF8" w14:textId="144ACC3E" w:rsidR="00A70632" w:rsidRDefault="00392029" w:rsidP="00222FA7">
      <w:pPr>
        <w:ind w:left="0"/>
        <w:jc w:val="both"/>
        <w:rPr>
          <w:rFonts w:ascii="Bookman Old Style" w:hAnsi="Bookman Old Style"/>
          <w:bCs/>
        </w:rPr>
      </w:pPr>
      <w:r w:rsidRPr="002A782A">
        <w:rPr>
          <w:rFonts w:ascii="Bookman Old Style" w:hAnsi="Bookman Old Style"/>
          <w:b/>
        </w:rPr>
        <w:t xml:space="preserve">Artículo </w:t>
      </w:r>
      <w:r>
        <w:rPr>
          <w:rFonts w:ascii="Bookman Old Style" w:hAnsi="Bookman Old Style"/>
          <w:b/>
        </w:rPr>
        <w:t>2</w:t>
      </w:r>
      <w:r w:rsidRPr="002A782A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Características de la auditoría.</w:t>
      </w:r>
      <w:r>
        <w:rPr>
          <w:rFonts w:ascii="Bookman Old Style" w:hAnsi="Bookman Old Style"/>
          <w:bCs/>
        </w:rPr>
        <w:t xml:space="preserve"> Las características generales de la auditoría de la información </w:t>
      </w:r>
      <w:r w:rsidR="001C4163">
        <w:rPr>
          <w:rFonts w:ascii="Bookman Old Style" w:hAnsi="Bookman Old Style"/>
          <w:bCs/>
        </w:rPr>
        <w:t xml:space="preserve">declarada </w:t>
      </w:r>
      <w:r>
        <w:rPr>
          <w:rFonts w:ascii="Bookman Old Style" w:hAnsi="Bookman Old Style"/>
          <w:bCs/>
        </w:rPr>
        <w:t xml:space="preserve">por </w:t>
      </w:r>
      <w:r w:rsidR="00134837">
        <w:rPr>
          <w:rFonts w:ascii="Bookman Old Style" w:hAnsi="Bookman Old Style"/>
          <w:bCs/>
        </w:rPr>
        <w:t xml:space="preserve">los </w:t>
      </w:r>
      <w:r>
        <w:rPr>
          <w:rFonts w:ascii="Bookman Old Style" w:hAnsi="Bookman Old Style"/>
          <w:bCs/>
        </w:rPr>
        <w:t>agentes generadores, en cumplimiento del artículo 9 de la Resolución CREG 044 de 2020, que modifica el artículo 1 de la Resolución CREG 034 de 2001</w:t>
      </w:r>
      <w:r w:rsidR="00A25C85">
        <w:rPr>
          <w:rFonts w:ascii="Bookman Old Style" w:hAnsi="Bookman Old Style"/>
          <w:bCs/>
        </w:rPr>
        <w:t xml:space="preserve"> para establecer el precio de reconciliación positiva de generadores térmicos, son:</w:t>
      </w:r>
    </w:p>
    <w:p w14:paraId="722D07E4" w14:textId="4494B49B" w:rsidR="007E4D9F" w:rsidRDefault="007E4D9F" w:rsidP="00222FA7">
      <w:pPr>
        <w:ind w:left="0"/>
        <w:jc w:val="both"/>
        <w:rPr>
          <w:rFonts w:ascii="Bookman Old Style" w:hAnsi="Bookman Old Style"/>
          <w:bCs/>
        </w:rPr>
      </w:pPr>
    </w:p>
    <w:p w14:paraId="58145854" w14:textId="16A055A4" w:rsidR="009C2630" w:rsidRDefault="007E4D9F" w:rsidP="007E4D9F">
      <w:pPr>
        <w:pStyle w:val="Prrafodelista"/>
        <w:numPr>
          <w:ilvl w:val="0"/>
          <w:numId w:val="45"/>
        </w:numPr>
        <w:jc w:val="both"/>
        <w:rPr>
          <w:rFonts w:ascii="Bookman Old Style" w:hAnsi="Bookman Old Style"/>
          <w:bCs/>
          <w:sz w:val="24"/>
          <w:szCs w:val="24"/>
        </w:rPr>
      </w:pPr>
      <w:r w:rsidRPr="00031FBB">
        <w:rPr>
          <w:rFonts w:ascii="Bookman Old Style" w:hAnsi="Bookman Old Style"/>
          <w:b/>
          <w:sz w:val="24"/>
          <w:szCs w:val="24"/>
        </w:rPr>
        <w:t>Periodicidad</w:t>
      </w:r>
      <w:r>
        <w:rPr>
          <w:rFonts w:ascii="Bookman Old Style" w:hAnsi="Bookman Old Style"/>
          <w:bCs/>
          <w:sz w:val="24"/>
          <w:szCs w:val="24"/>
        </w:rPr>
        <w:t>.</w:t>
      </w:r>
      <w:r w:rsidR="009C2630">
        <w:rPr>
          <w:rFonts w:ascii="Bookman Old Style" w:hAnsi="Bookman Old Style"/>
          <w:bCs/>
          <w:sz w:val="24"/>
          <w:szCs w:val="24"/>
        </w:rPr>
        <w:t xml:space="preserve"> </w:t>
      </w:r>
      <w:r w:rsidR="00031FBB">
        <w:rPr>
          <w:rFonts w:ascii="Bookman Old Style" w:hAnsi="Bookman Old Style"/>
          <w:bCs/>
          <w:sz w:val="24"/>
          <w:szCs w:val="24"/>
        </w:rPr>
        <w:t xml:space="preserve">La auditoría </w:t>
      </w:r>
      <w:r w:rsidR="006644A5">
        <w:rPr>
          <w:rFonts w:ascii="Bookman Old Style" w:hAnsi="Bookman Old Style"/>
          <w:bCs/>
          <w:sz w:val="24"/>
          <w:szCs w:val="24"/>
        </w:rPr>
        <w:t xml:space="preserve">de la información </w:t>
      </w:r>
      <w:r w:rsidR="001C4163">
        <w:rPr>
          <w:rFonts w:ascii="Bookman Old Style" w:hAnsi="Bookman Old Style"/>
          <w:bCs/>
          <w:sz w:val="24"/>
          <w:szCs w:val="24"/>
        </w:rPr>
        <w:t>declarada</w:t>
      </w:r>
      <w:r w:rsidR="006644A5">
        <w:rPr>
          <w:rFonts w:ascii="Bookman Old Style" w:hAnsi="Bookman Old Style"/>
          <w:bCs/>
          <w:sz w:val="24"/>
          <w:szCs w:val="24"/>
        </w:rPr>
        <w:t xml:space="preserve"> por los agentes </w:t>
      </w:r>
      <w:r w:rsidR="00031FBB">
        <w:rPr>
          <w:rFonts w:ascii="Bookman Old Style" w:hAnsi="Bookman Old Style"/>
          <w:bCs/>
          <w:sz w:val="24"/>
          <w:szCs w:val="24"/>
        </w:rPr>
        <w:t xml:space="preserve">se adelantará </w:t>
      </w:r>
      <w:r w:rsidR="006644A5">
        <w:rPr>
          <w:rFonts w:ascii="Bookman Old Style" w:hAnsi="Bookman Old Style"/>
          <w:bCs/>
          <w:sz w:val="24"/>
          <w:szCs w:val="24"/>
        </w:rPr>
        <w:t>semestralmente</w:t>
      </w:r>
      <w:r w:rsidR="00031FBB">
        <w:rPr>
          <w:rFonts w:ascii="Bookman Old Style" w:hAnsi="Bookman Old Style"/>
          <w:bCs/>
          <w:sz w:val="24"/>
          <w:szCs w:val="24"/>
        </w:rPr>
        <w:t xml:space="preserve">, </w:t>
      </w:r>
      <w:r w:rsidR="009C2630">
        <w:rPr>
          <w:rFonts w:ascii="Bookman Old Style" w:hAnsi="Bookman Old Style"/>
          <w:bCs/>
          <w:sz w:val="24"/>
          <w:szCs w:val="24"/>
        </w:rPr>
        <w:t>de acuerdo con el siguiente cronograma:</w:t>
      </w:r>
    </w:p>
    <w:p w14:paraId="74644C9F" w14:textId="77777777" w:rsidR="00031FBB" w:rsidRPr="00031FBB" w:rsidRDefault="00031FBB" w:rsidP="00031FBB">
      <w:pPr>
        <w:ind w:left="0"/>
        <w:jc w:val="both"/>
        <w:rPr>
          <w:rFonts w:ascii="Bookman Old Style" w:hAnsi="Bookman Old Style"/>
          <w:bCs/>
        </w:rPr>
      </w:pPr>
    </w:p>
    <w:p w14:paraId="650892A4" w14:textId="3216F710" w:rsidR="009C2630" w:rsidRDefault="009C2630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 w:rsidRPr="00031FBB">
        <w:rPr>
          <w:rFonts w:ascii="Bookman Old Style" w:hAnsi="Bookman Old Style"/>
          <w:b/>
          <w:sz w:val="24"/>
          <w:szCs w:val="24"/>
        </w:rPr>
        <w:t xml:space="preserve">Primer </w:t>
      </w:r>
      <w:r w:rsidR="00A97B83">
        <w:rPr>
          <w:rFonts w:ascii="Bookman Old Style" w:hAnsi="Bookman Old Style"/>
          <w:b/>
          <w:sz w:val="24"/>
          <w:szCs w:val="24"/>
        </w:rPr>
        <w:t>semestre</w:t>
      </w:r>
      <w:r>
        <w:rPr>
          <w:rFonts w:ascii="Bookman Old Style" w:hAnsi="Bookman Old Style"/>
          <w:bCs/>
          <w:sz w:val="24"/>
          <w:szCs w:val="24"/>
        </w:rPr>
        <w:t xml:space="preserve">: </w:t>
      </w:r>
      <w:r w:rsidR="00031FBB">
        <w:rPr>
          <w:rFonts w:ascii="Bookman Old Style" w:hAnsi="Bookman Old Style"/>
          <w:bCs/>
          <w:sz w:val="24"/>
          <w:szCs w:val="24"/>
        </w:rPr>
        <w:t xml:space="preserve">correspondiente a </w:t>
      </w:r>
      <w:r w:rsidR="006644A5">
        <w:rPr>
          <w:rFonts w:ascii="Bookman Old Style" w:hAnsi="Bookman Old Style"/>
          <w:bCs/>
          <w:sz w:val="24"/>
          <w:szCs w:val="24"/>
        </w:rPr>
        <w:t xml:space="preserve">la operación de </w:t>
      </w:r>
      <w:r>
        <w:rPr>
          <w:rFonts w:ascii="Bookman Old Style" w:hAnsi="Bookman Old Style"/>
          <w:bCs/>
          <w:sz w:val="24"/>
          <w:szCs w:val="24"/>
        </w:rPr>
        <w:t>los meses de enero, febrero</w:t>
      </w:r>
      <w:r w:rsidR="00A97B83"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>marzo</w:t>
      </w:r>
      <w:r w:rsidR="00A97B83">
        <w:rPr>
          <w:rFonts w:ascii="Bookman Old Style" w:hAnsi="Bookman Old Style"/>
          <w:bCs/>
          <w:sz w:val="24"/>
          <w:szCs w:val="24"/>
        </w:rPr>
        <w:t>, abril, mayo y junio</w:t>
      </w:r>
      <w:r>
        <w:rPr>
          <w:rFonts w:ascii="Bookman Old Style" w:hAnsi="Bookman Old Style"/>
          <w:bCs/>
          <w:sz w:val="24"/>
          <w:szCs w:val="24"/>
        </w:rPr>
        <w:t xml:space="preserve"> del año t, se auditan en el mes de </w:t>
      </w:r>
      <w:r w:rsidR="00A97B83">
        <w:rPr>
          <w:rFonts w:ascii="Bookman Old Style" w:hAnsi="Bookman Old Style"/>
          <w:bCs/>
          <w:sz w:val="24"/>
          <w:szCs w:val="24"/>
        </w:rPr>
        <w:t>septiembre</w:t>
      </w:r>
      <w:r>
        <w:rPr>
          <w:rFonts w:ascii="Bookman Old Style" w:hAnsi="Bookman Old Style"/>
          <w:bCs/>
          <w:sz w:val="24"/>
          <w:szCs w:val="24"/>
        </w:rPr>
        <w:t xml:space="preserve"> del año t.</w:t>
      </w:r>
    </w:p>
    <w:p w14:paraId="17E1850A" w14:textId="790ACE29" w:rsidR="007E4D9F" w:rsidRDefault="009C2630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 w:rsidRPr="00031FBB">
        <w:rPr>
          <w:rFonts w:ascii="Bookman Old Style" w:hAnsi="Bookman Old Style"/>
          <w:b/>
          <w:sz w:val="24"/>
          <w:szCs w:val="24"/>
        </w:rPr>
        <w:t xml:space="preserve">Segundo </w:t>
      </w:r>
      <w:r w:rsidR="00A97B83">
        <w:rPr>
          <w:rFonts w:ascii="Bookman Old Style" w:hAnsi="Bookman Old Style"/>
          <w:b/>
          <w:sz w:val="24"/>
          <w:szCs w:val="24"/>
        </w:rPr>
        <w:t>semestre</w:t>
      </w:r>
      <w:r>
        <w:rPr>
          <w:rFonts w:ascii="Bookman Old Style" w:hAnsi="Bookman Old Style"/>
          <w:bCs/>
          <w:sz w:val="24"/>
          <w:szCs w:val="24"/>
        </w:rPr>
        <w:t xml:space="preserve">: </w:t>
      </w:r>
      <w:r w:rsidR="00031FBB">
        <w:rPr>
          <w:rFonts w:ascii="Bookman Old Style" w:hAnsi="Bookman Old Style"/>
          <w:bCs/>
          <w:sz w:val="24"/>
          <w:szCs w:val="24"/>
        </w:rPr>
        <w:t xml:space="preserve">correspondiente a </w:t>
      </w:r>
      <w:r w:rsidR="006644A5">
        <w:rPr>
          <w:rFonts w:ascii="Bookman Old Style" w:hAnsi="Bookman Old Style"/>
          <w:bCs/>
          <w:sz w:val="24"/>
          <w:szCs w:val="24"/>
        </w:rPr>
        <w:t xml:space="preserve">la operación de </w:t>
      </w:r>
      <w:r>
        <w:rPr>
          <w:rFonts w:ascii="Bookman Old Style" w:hAnsi="Bookman Old Style"/>
          <w:bCs/>
          <w:sz w:val="24"/>
          <w:szCs w:val="24"/>
        </w:rPr>
        <w:t xml:space="preserve">los meses de </w:t>
      </w:r>
      <w:r w:rsidR="00A97B83">
        <w:rPr>
          <w:rFonts w:ascii="Bookman Old Style" w:hAnsi="Bookman Old Style"/>
          <w:bCs/>
          <w:sz w:val="24"/>
          <w:szCs w:val="24"/>
        </w:rPr>
        <w:t>julio, agosto, septiembre, octubre, noviembre y diciembre</w:t>
      </w:r>
      <w:r>
        <w:rPr>
          <w:rFonts w:ascii="Bookman Old Style" w:hAnsi="Bookman Old Style"/>
          <w:bCs/>
          <w:sz w:val="24"/>
          <w:szCs w:val="24"/>
        </w:rPr>
        <w:t xml:space="preserve"> del año t, se auditan en el mes de </w:t>
      </w:r>
      <w:r w:rsidR="00A97B83">
        <w:rPr>
          <w:rFonts w:ascii="Bookman Old Style" w:hAnsi="Bookman Old Style"/>
          <w:bCs/>
          <w:sz w:val="24"/>
          <w:szCs w:val="24"/>
        </w:rPr>
        <w:t>marzo</w:t>
      </w:r>
      <w:r>
        <w:rPr>
          <w:rFonts w:ascii="Bookman Old Style" w:hAnsi="Bookman Old Style"/>
          <w:bCs/>
          <w:sz w:val="24"/>
          <w:szCs w:val="24"/>
        </w:rPr>
        <w:t xml:space="preserve"> del año t</w:t>
      </w:r>
      <w:r w:rsidR="00A97B83">
        <w:rPr>
          <w:rFonts w:ascii="Bookman Old Style" w:hAnsi="Bookman Old Style"/>
          <w:bCs/>
          <w:sz w:val="24"/>
          <w:szCs w:val="24"/>
        </w:rPr>
        <w:t>+1</w:t>
      </w:r>
      <w:r>
        <w:rPr>
          <w:rFonts w:ascii="Bookman Old Style" w:hAnsi="Bookman Old Style"/>
          <w:bCs/>
          <w:sz w:val="24"/>
          <w:szCs w:val="24"/>
        </w:rPr>
        <w:t xml:space="preserve">. </w:t>
      </w:r>
    </w:p>
    <w:p w14:paraId="645C011C" w14:textId="77777777" w:rsidR="009C2630" w:rsidRPr="009C2630" w:rsidRDefault="009C2630" w:rsidP="009C2630">
      <w:pPr>
        <w:ind w:left="0"/>
        <w:jc w:val="both"/>
        <w:rPr>
          <w:rFonts w:ascii="Bookman Old Style" w:hAnsi="Bookman Old Style"/>
          <w:bCs/>
        </w:rPr>
      </w:pPr>
    </w:p>
    <w:p w14:paraId="540DC39A" w14:textId="5194243C" w:rsidR="00B27555" w:rsidRDefault="00CF3667" w:rsidP="00B27555">
      <w:pPr>
        <w:pStyle w:val="Prrafodelista"/>
        <w:numPr>
          <w:ilvl w:val="0"/>
          <w:numId w:val="45"/>
        </w:numPr>
        <w:jc w:val="both"/>
        <w:rPr>
          <w:rFonts w:ascii="Bookman Old Style" w:hAnsi="Bookman Old Style"/>
          <w:bCs/>
          <w:sz w:val="24"/>
          <w:szCs w:val="24"/>
        </w:rPr>
      </w:pPr>
      <w:r w:rsidRPr="00031FBB">
        <w:rPr>
          <w:rFonts w:ascii="Bookman Old Style" w:hAnsi="Bookman Old Style"/>
          <w:b/>
          <w:sz w:val="24"/>
          <w:szCs w:val="24"/>
        </w:rPr>
        <w:t>Plantas térmicas por auditar</w:t>
      </w:r>
      <w:r w:rsidR="007E4D9F">
        <w:rPr>
          <w:rFonts w:ascii="Bookman Old Style" w:hAnsi="Bookman Old Style"/>
          <w:bCs/>
          <w:sz w:val="24"/>
          <w:szCs w:val="24"/>
        </w:rPr>
        <w:t>.</w:t>
      </w:r>
      <w:r w:rsidR="00031FBB">
        <w:rPr>
          <w:rFonts w:ascii="Bookman Old Style" w:hAnsi="Bookman Old Style"/>
          <w:bCs/>
          <w:sz w:val="24"/>
          <w:szCs w:val="24"/>
        </w:rPr>
        <w:t xml:space="preserve"> </w:t>
      </w:r>
      <w:r w:rsidR="00B27555">
        <w:rPr>
          <w:rFonts w:ascii="Bookman Old Style" w:hAnsi="Bookman Old Style"/>
          <w:bCs/>
          <w:sz w:val="24"/>
          <w:szCs w:val="24"/>
        </w:rPr>
        <w:t xml:space="preserve">Para seleccionar las plantas </w:t>
      </w:r>
      <w:r>
        <w:rPr>
          <w:rFonts w:ascii="Bookman Old Style" w:hAnsi="Bookman Old Style"/>
          <w:bCs/>
          <w:sz w:val="24"/>
          <w:szCs w:val="24"/>
        </w:rPr>
        <w:t>por</w:t>
      </w:r>
      <w:r w:rsidR="00B27555">
        <w:rPr>
          <w:rFonts w:ascii="Bookman Old Style" w:hAnsi="Bookman Old Style"/>
          <w:bCs/>
          <w:sz w:val="24"/>
          <w:szCs w:val="24"/>
        </w:rPr>
        <w:t xml:space="preserve"> auditar se aplicará el siguiente procedimiento:</w:t>
      </w:r>
    </w:p>
    <w:p w14:paraId="5E4FEF29" w14:textId="77777777" w:rsidR="00B27555" w:rsidRPr="00B27555" w:rsidRDefault="00B27555" w:rsidP="00B27555">
      <w:pPr>
        <w:ind w:left="0"/>
        <w:jc w:val="both"/>
        <w:rPr>
          <w:rFonts w:ascii="Bookman Old Style" w:hAnsi="Bookman Old Style"/>
          <w:bCs/>
        </w:rPr>
      </w:pPr>
    </w:p>
    <w:p w14:paraId="5880C4A6" w14:textId="3C5B5115" w:rsidR="00B27555" w:rsidRDefault="00B27555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sz w:val="24"/>
          <w:szCs w:val="24"/>
        </w:rPr>
      </w:pPr>
      <w:r w:rsidRPr="29657FEF">
        <w:rPr>
          <w:rFonts w:ascii="Bookman Old Style" w:hAnsi="Bookman Old Style"/>
          <w:sz w:val="24"/>
          <w:szCs w:val="24"/>
        </w:rPr>
        <w:t>Se toma</w:t>
      </w:r>
      <w:r w:rsidR="00FA66D4" w:rsidRPr="29657FEF">
        <w:rPr>
          <w:rFonts w:ascii="Bookman Old Style" w:hAnsi="Bookman Old Style"/>
          <w:sz w:val="24"/>
          <w:szCs w:val="24"/>
        </w:rPr>
        <w:t xml:space="preserve"> la generación de seguridad fuera de mérito en GWh de</w:t>
      </w:r>
      <w:r w:rsidRPr="29657FEF">
        <w:rPr>
          <w:rFonts w:ascii="Bookman Old Style" w:hAnsi="Bookman Old Style"/>
          <w:sz w:val="24"/>
          <w:szCs w:val="24"/>
        </w:rPr>
        <w:t xml:space="preserve"> las plantas térmicas durante el semestre a auditar.</w:t>
      </w:r>
    </w:p>
    <w:p w14:paraId="371C2EC9" w14:textId="0B06B053" w:rsidR="00B27555" w:rsidRDefault="00FA66D4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Se ordenan las plantas térmicas de mayor a menor generación de seguridad fuera de mérito.</w:t>
      </w:r>
    </w:p>
    <w:p w14:paraId="1AA704B8" w14:textId="200223A3" w:rsidR="00FA66D4" w:rsidRDefault="00FA66D4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Se calcula en </w:t>
      </w:r>
      <w:r w:rsidR="00241FC7">
        <w:rPr>
          <w:rFonts w:ascii="Bookman Old Style" w:hAnsi="Bookman Old Style"/>
          <w:bCs/>
          <w:sz w:val="24"/>
          <w:szCs w:val="24"/>
        </w:rPr>
        <w:t>porcentaje (</w:t>
      </w:r>
      <w:r>
        <w:rPr>
          <w:rFonts w:ascii="Bookman Old Style" w:hAnsi="Bookman Old Style"/>
          <w:bCs/>
          <w:sz w:val="24"/>
          <w:szCs w:val="24"/>
        </w:rPr>
        <w:t>%</w:t>
      </w:r>
      <w:r w:rsidR="00241FC7">
        <w:rPr>
          <w:rFonts w:ascii="Bookman Old Style" w:hAnsi="Bookman Old Style"/>
          <w:bCs/>
          <w:sz w:val="24"/>
          <w:szCs w:val="24"/>
        </w:rPr>
        <w:t>)</w:t>
      </w:r>
      <w:r>
        <w:rPr>
          <w:rFonts w:ascii="Bookman Old Style" w:hAnsi="Bookman Old Style"/>
          <w:bCs/>
          <w:sz w:val="24"/>
          <w:szCs w:val="24"/>
        </w:rPr>
        <w:t xml:space="preserve"> la participación de cada planta en el total</w:t>
      </w:r>
      <w:r w:rsidR="00241FC7">
        <w:rPr>
          <w:rFonts w:ascii="Bookman Old Style" w:hAnsi="Bookman Old Style"/>
          <w:bCs/>
          <w:sz w:val="24"/>
          <w:szCs w:val="24"/>
        </w:rPr>
        <w:t>, y se suma la participación de las plantas</w:t>
      </w:r>
      <w:r w:rsidR="001C4163">
        <w:rPr>
          <w:rFonts w:ascii="Bookman Old Style" w:hAnsi="Bookman Old Style"/>
          <w:bCs/>
          <w:sz w:val="24"/>
          <w:szCs w:val="24"/>
        </w:rPr>
        <w:t>,</w:t>
      </w:r>
      <w:r w:rsidR="00241FC7">
        <w:rPr>
          <w:rFonts w:ascii="Bookman Old Style" w:hAnsi="Bookman Old Style"/>
          <w:bCs/>
          <w:sz w:val="24"/>
          <w:szCs w:val="24"/>
        </w:rPr>
        <w:t xml:space="preserve"> iniciando con la de mayor participación</w:t>
      </w:r>
      <w:r w:rsidR="001C4163">
        <w:rPr>
          <w:rFonts w:ascii="Bookman Old Style" w:hAnsi="Bookman Old Style"/>
          <w:bCs/>
          <w:sz w:val="24"/>
          <w:szCs w:val="24"/>
        </w:rPr>
        <w:t>.</w:t>
      </w:r>
      <w:r w:rsidR="00241FC7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43B37BE8" w14:textId="0E7677EA" w:rsidR="00FA66D4" w:rsidRDefault="00FA66D4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Las plantas que </w:t>
      </w:r>
      <w:r w:rsidR="00241FC7">
        <w:rPr>
          <w:rFonts w:ascii="Bookman Old Style" w:hAnsi="Bookman Old Style"/>
          <w:bCs/>
          <w:sz w:val="24"/>
          <w:szCs w:val="24"/>
        </w:rPr>
        <w:t xml:space="preserve">en el cálculo anterior representan </w:t>
      </w:r>
      <w:r>
        <w:rPr>
          <w:rFonts w:ascii="Bookman Old Style" w:hAnsi="Bookman Old Style"/>
          <w:bCs/>
          <w:sz w:val="24"/>
          <w:szCs w:val="24"/>
        </w:rPr>
        <w:t>hasta el 96% de participación</w:t>
      </w:r>
      <w:r w:rsidR="00130379">
        <w:rPr>
          <w:rFonts w:ascii="Bookman Old Style" w:hAnsi="Bookman Old Style"/>
          <w:bCs/>
          <w:sz w:val="24"/>
          <w:szCs w:val="24"/>
        </w:rPr>
        <w:t xml:space="preserve"> en el total</w:t>
      </w:r>
      <w:r>
        <w:rPr>
          <w:rFonts w:ascii="Bookman Old Style" w:hAnsi="Bookman Old Style"/>
          <w:bCs/>
          <w:sz w:val="24"/>
          <w:szCs w:val="24"/>
        </w:rPr>
        <w:t xml:space="preserve">, sin superarlo, serán </w:t>
      </w:r>
      <w:r w:rsidR="00130379">
        <w:rPr>
          <w:rFonts w:ascii="Bookman Old Style" w:hAnsi="Bookman Old Style"/>
          <w:bCs/>
          <w:sz w:val="24"/>
          <w:szCs w:val="24"/>
        </w:rPr>
        <w:t>incluidas</w:t>
      </w:r>
      <w:r>
        <w:rPr>
          <w:rFonts w:ascii="Bookman Old Style" w:hAnsi="Bookman Old Style"/>
          <w:bCs/>
          <w:sz w:val="24"/>
          <w:szCs w:val="24"/>
        </w:rPr>
        <w:t xml:space="preserve"> en la auditoría.</w:t>
      </w:r>
    </w:p>
    <w:p w14:paraId="1D70775C" w14:textId="26120894" w:rsidR="00FA66D4" w:rsidRPr="00B27555" w:rsidRDefault="00FA66D4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sz w:val="24"/>
          <w:szCs w:val="24"/>
        </w:rPr>
      </w:pPr>
      <w:r w:rsidRPr="29657FEF">
        <w:rPr>
          <w:rFonts w:ascii="Bookman Old Style" w:hAnsi="Bookman Old Style"/>
          <w:sz w:val="24"/>
          <w:szCs w:val="24"/>
        </w:rPr>
        <w:t>De las plantas restantes, se seleccionan aleatoriamente 4 plantas</w:t>
      </w:r>
      <w:r w:rsidR="00130379">
        <w:rPr>
          <w:rFonts w:ascii="Bookman Old Style" w:hAnsi="Bookman Old Style"/>
          <w:sz w:val="24"/>
          <w:szCs w:val="24"/>
        </w:rPr>
        <w:t xml:space="preserve"> para ser auditadas</w:t>
      </w:r>
      <w:r w:rsidRPr="29657FEF">
        <w:rPr>
          <w:rFonts w:ascii="Bookman Old Style" w:hAnsi="Bookman Old Style"/>
          <w:sz w:val="24"/>
          <w:szCs w:val="24"/>
        </w:rPr>
        <w:t>. Para ello</w:t>
      </w:r>
      <w:r w:rsidR="001C4163">
        <w:rPr>
          <w:rFonts w:ascii="Bookman Old Style" w:hAnsi="Bookman Old Style"/>
          <w:sz w:val="24"/>
          <w:szCs w:val="24"/>
        </w:rPr>
        <w:t>,</w:t>
      </w:r>
      <w:r w:rsidRPr="29657FEF">
        <w:rPr>
          <w:rFonts w:ascii="Bookman Old Style" w:hAnsi="Bookman Old Style"/>
          <w:sz w:val="24"/>
          <w:szCs w:val="24"/>
        </w:rPr>
        <w:t xml:space="preserve"> a cada planta se le </w:t>
      </w:r>
      <w:r w:rsidR="00241FC7">
        <w:rPr>
          <w:rFonts w:ascii="Bookman Old Style" w:hAnsi="Bookman Old Style"/>
          <w:sz w:val="24"/>
          <w:szCs w:val="24"/>
        </w:rPr>
        <w:t>asignará de manera aleatoria</w:t>
      </w:r>
      <w:r w:rsidR="00241FC7" w:rsidRPr="29657FEF">
        <w:rPr>
          <w:rFonts w:ascii="Bookman Old Style" w:hAnsi="Bookman Old Style"/>
          <w:sz w:val="24"/>
          <w:szCs w:val="24"/>
        </w:rPr>
        <w:t xml:space="preserve"> </w:t>
      </w:r>
      <w:r w:rsidRPr="29657FEF">
        <w:rPr>
          <w:rFonts w:ascii="Bookman Old Style" w:hAnsi="Bookman Old Style"/>
          <w:sz w:val="24"/>
          <w:szCs w:val="24"/>
        </w:rPr>
        <w:t xml:space="preserve">un </w:t>
      </w:r>
      <w:r w:rsidR="00241FC7">
        <w:rPr>
          <w:rFonts w:ascii="Bookman Old Style" w:hAnsi="Bookman Old Style"/>
          <w:sz w:val="24"/>
          <w:szCs w:val="24"/>
        </w:rPr>
        <w:t>número</w:t>
      </w:r>
      <w:r w:rsidR="00241FC7" w:rsidRPr="29657FEF">
        <w:rPr>
          <w:rFonts w:ascii="Bookman Old Style" w:hAnsi="Bookman Old Style"/>
          <w:sz w:val="24"/>
          <w:szCs w:val="24"/>
        </w:rPr>
        <w:t xml:space="preserve"> </w:t>
      </w:r>
      <w:r w:rsidRPr="29657FEF">
        <w:rPr>
          <w:rFonts w:ascii="Bookman Old Style" w:hAnsi="Bookman Old Style"/>
          <w:sz w:val="24"/>
          <w:szCs w:val="24"/>
        </w:rPr>
        <w:t>entre 0 y 1, se ordena</w:t>
      </w:r>
      <w:r w:rsidR="405F8A51" w:rsidRPr="29657FEF">
        <w:rPr>
          <w:rFonts w:ascii="Bookman Old Style" w:hAnsi="Bookman Old Style"/>
          <w:sz w:val="24"/>
          <w:szCs w:val="24"/>
        </w:rPr>
        <w:t>rá</w:t>
      </w:r>
      <w:r w:rsidRPr="29657FEF">
        <w:rPr>
          <w:rFonts w:ascii="Bookman Old Style" w:hAnsi="Bookman Old Style"/>
          <w:sz w:val="24"/>
          <w:szCs w:val="24"/>
        </w:rPr>
        <w:t xml:space="preserve">n </w:t>
      </w:r>
      <w:r w:rsidR="00241FC7">
        <w:rPr>
          <w:rFonts w:ascii="Bookman Old Style" w:hAnsi="Bookman Old Style"/>
          <w:sz w:val="24"/>
          <w:szCs w:val="24"/>
        </w:rPr>
        <w:t xml:space="preserve">estos </w:t>
      </w:r>
      <w:r w:rsidRPr="29657FEF">
        <w:rPr>
          <w:rFonts w:ascii="Bookman Old Style" w:hAnsi="Bookman Old Style"/>
          <w:sz w:val="24"/>
          <w:szCs w:val="24"/>
        </w:rPr>
        <w:t>de mayor a menor y se selecciona</w:t>
      </w:r>
      <w:r w:rsidR="30751FFC" w:rsidRPr="29657FEF">
        <w:rPr>
          <w:rFonts w:ascii="Bookman Old Style" w:hAnsi="Bookman Old Style"/>
          <w:sz w:val="24"/>
          <w:szCs w:val="24"/>
        </w:rPr>
        <w:t>rá</w:t>
      </w:r>
      <w:r w:rsidRPr="29657FEF">
        <w:rPr>
          <w:rFonts w:ascii="Bookman Old Style" w:hAnsi="Bookman Old Style"/>
          <w:sz w:val="24"/>
          <w:szCs w:val="24"/>
        </w:rPr>
        <w:t>n las cuatro (4) primeras</w:t>
      </w:r>
      <w:r w:rsidR="00241FC7">
        <w:rPr>
          <w:rFonts w:ascii="Bookman Old Style" w:hAnsi="Bookman Old Style"/>
          <w:sz w:val="24"/>
          <w:szCs w:val="24"/>
        </w:rPr>
        <w:t xml:space="preserve"> plantas</w:t>
      </w:r>
      <w:r w:rsidRPr="29657FEF">
        <w:rPr>
          <w:rFonts w:ascii="Bookman Old Style" w:hAnsi="Bookman Old Style"/>
          <w:sz w:val="24"/>
          <w:szCs w:val="24"/>
        </w:rPr>
        <w:t>.</w:t>
      </w:r>
    </w:p>
    <w:p w14:paraId="18F036DC" w14:textId="77777777" w:rsidR="00031FBB" w:rsidRPr="00031FBB" w:rsidRDefault="00031FBB" w:rsidP="00031FBB">
      <w:pPr>
        <w:ind w:left="0"/>
        <w:jc w:val="both"/>
        <w:rPr>
          <w:rFonts w:ascii="Bookman Old Style" w:hAnsi="Bookman Old Style"/>
          <w:bCs/>
        </w:rPr>
      </w:pPr>
    </w:p>
    <w:p w14:paraId="53CF69C5" w14:textId="1CDFCDF7" w:rsidR="007E4D9F" w:rsidRDefault="007E4D9F" w:rsidP="29657FEF">
      <w:pPr>
        <w:pStyle w:val="Prrafodelista"/>
        <w:numPr>
          <w:ilvl w:val="0"/>
          <w:numId w:val="45"/>
        </w:numPr>
        <w:jc w:val="both"/>
        <w:rPr>
          <w:rFonts w:ascii="Bookman Old Style" w:hAnsi="Bookman Old Style"/>
          <w:sz w:val="24"/>
          <w:szCs w:val="24"/>
        </w:rPr>
      </w:pPr>
      <w:r w:rsidRPr="29657FEF">
        <w:rPr>
          <w:rFonts w:ascii="Bookman Old Style" w:hAnsi="Bookman Old Style"/>
          <w:b/>
          <w:bCs/>
          <w:sz w:val="24"/>
          <w:szCs w:val="24"/>
        </w:rPr>
        <w:lastRenderedPageBreak/>
        <w:t>Procedimiento</w:t>
      </w:r>
      <w:r w:rsidRPr="29657FEF">
        <w:rPr>
          <w:rFonts w:ascii="Bookman Old Style" w:hAnsi="Bookman Old Style"/>
          <w:sz w:val="24"/>
          <w:szCs w:val="24"/>
        </w:rPr>
        <w:t>.</w:t>
      </w:r>
      <w:r w:rsidR="006368FD" w:rsidRPr="29657FEF">
        <w:rPr>
          <w:rFonts w:ascii="Bookman Old Style" w:hAnsi="Bookman Old Style"/>
          <w:sz w:val="24"/>
          <w:szCs w:val="24"/>
        </w:rPr>
        <w:t xml:space="preserve"> El</w:t>
      </w:r>
      <w:r w:rsidR="12FC3428" w:rsidRPr="29657FEF">
        <w:rPr>
          <w:rFonts w:ascii="Bookman Old Style" w:hAnsi="Bookman Old Style"/>
          <w:sz w:val="24"/>
          <w:szCs w:val="24"/>
        </w:rPr>
        <w:t xml:space="preserve"> auditor encargado de llevar a cabo el</w:t>
      </w:r>
      <w:r w:rsidR="006368FD" w:rsidRPr="29657FEF">
        <w:rPr>
          <w:rFonts w:ascii="Bookman Old Style" w:hAnsi="Bookman Old Style"/>
          <w:sz w:val="24"/>
          <w:szCs w:val="24"/>
        </w:rPr>
        <w:t xml:space="preserve"> procedimiento deberá cumplir </w:t>
      </w:r>
      <w:r w:rsidR="00130379">
        <w:rPr>
          <w:rFonts w:ascii="Bookman Old Style" w:hAnsi="Bookman Old Style"/>
          <w:sz w:val="24"/>
          <w:szCs w:val="24"/>
        </w:rPr>
        <w:t>al</w:t>
      </w:r>
      <w:r w:rsidR="00130379" w:rsidRPr="29657FEF">
        <w:rPr>
          <w:rFonts w:ascii="Bookman Old Style" w:hAnsi="Bookman Old Style"/>
          <w:sz w:val="24"/>
          <w:szCs w:val="24"/>
        </w:rPr>
        <w:t xml:space="preserve"> </w:t>
      </w:r>
      <w:r w:rsidR="006368FD" w:rsidRPr="29657FEF">
        <w:rPr>
          <w:rFonts w:ascii="Bookman Old Style" w:hAnsi="Bookman Old Style"/>
          <w:sz w:val="24"/>
          <w:szCs w:val="24"/>
        </w:rPr>
        <w:t xml:space="preserve">menos </w:t>
      </w:r>
      <w:r w:rsidR="00130379">
        <w:rPr>
          <w:rFonts w:ascii="Bookman Old Style" w:hAnsi="Bookman Old Style"/>
          <w:sz w:val="24"/>
          <w:szCs w:val="24"/>
        </w:rPr>
        <w:t xml:space="preserve">con </w:t>
      </w:r>
      <w:r w:rsidR="006368FD" w:rsidRPr="29657FEF">
        <w:rPr>
          <w:rFonts w:ascii="Bookman Old Style" w:hAnsi="Bookman Old Style"/>
          <w:sz w:val="24"/>
          <w:szCs w:val="24"/>
        </w:rPr>
        <w:t>las siguientes actividades:</w:t>
      </w:r>
    </w:p>
    <w:p w14:paraId="045D404B" w14:textId="77777777" w:rsidR="006368FD" w:rsidRPr="006368FD" w:rsidRDefault="006368FD" w:rsidP="006368FD">
      <w:pPr>
        <w:pStyle w:val="Prrafodelista"/>
        <w:rPr>
          <w:rFonts w:ascii="Bookman Old Style" w:hAnsi="Bookman Old Style"/>
          <w:bCs/>
          <w:sz w:val="24"/>
          <w:szCs w:val="24"/>
        </w:rPr>
      </w:pPr>
    </w:p>
    <w:p w14:paraId="42B6F17E" w14:textId="77777777" w:rsidR="005E49B4" w:rsidRDefault="0063551D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Recibir de XM S.A. E.S.P. </w:t>
      </w:r>
      <w:r w:rsidR="005E49B4">
        <w:rPr>
          <w:rFonts w:ascii="Bookman Old Style" w:hAnsi="Bookman Old Style"/>
          <w:bCs/>
          <w:sz w:val="24"/>
          <w:szCs w:val="24"/>
        </w:rPr>
        <w:t xml:space="preserve">la siguiente información: </w:t>
      </w:r>
    </w:p>
    <w:p w14:paraId="248AE6A7" w14:textId="5ABEC3AF" w:rsidR="0065645C" w:rsidRDefault="0065645C" w:rsidP="0065645C">
      <w:pPr>
        <w:pStyle w:val="Prrafodelista"/>
        <w:numPr>
          <w:ilvl w:val="2"/>
          <w:numId w:val="45"/>
        </w:numPr>
        <w:ind w:left="1418" w:hanging="284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L</w:t>
      </w:r>
      <w:r w:rsidR="0063551D">
        <w:rPr>
          <w:rFonts w:ascii="Bookman Old Style" w:hAnsi="Bookman Old Style"/>
          <w:bCs/>
          <w:sz w:val="24"/>
          <w:szCs w:val="24"/>
        </w:rPr>
        <w:t xml:space="preserve">os formatos con las declaraciones </w:t>
      </w:r>
      <w:r w:rsidR="00FD7259">
        <w:rPr>
          <w:rFonts w:ascii="Bookman Old Style" w:hAnsi="Bookman Old Style"/>
          <w:bCs/>
          <w:sz w:val="24"/>
          <w:szCs w:val="24"/>
        </w:rPr>
        <w:t xml:space="preserve">diarias </w:t>
      </w:r>
      <w:r w:rsidR="0063551D">
        <w:rPr>
          <w:rFonts w:ascii="Bookman Old Style" w:hAnsi="Bookman Old Style"/>
          <w:bCs/>
          <w:sz w:val="24"/>
          <w:szCs w:val="24"/>
        </w:rPr>
        <w:t>de las variables CSC y CTC realizadas por los agentes</w:t>
      </w:r>
      <w:r w:rsidR="00A97B83">
        <w:rPr>
          <w:rFonts w:ascii="Bookman Old Style" w:hAnsi="Bookman Old Style"/>
          <w:bCs/>
          <w:sz w:val="24"/>
          <w:szCs w:val="24"/>
        </w:rPr>
        <w:t xml:space="preserve"> soportados con las facturas</w:t>
      </w:r>
      <w:r w:rsidR="0063551D">
        <w:rPr>
          <w:rFonts w:ascii="Bookman Old Style" w:hAnsi="Bookman Old Style"/>
          <w:bCs/>
          <w:sz w:val="24"/>
          <w:szCs w:val="24"/>
        </w:rPr>
        <w:t xml:space="preserve">. </w:t>
      </w:r>
    </w:p>
    <w:p w14:paraId="1CF88043" w14:textId="153B7F61" w:rsidR="006368FD" w:rsidRDefault="0065645C" w:rsidP="0065645C">
      <w:pPr>
        <w:pStyle w:val="Prrafodelista"/>
        <w:numPr>
          <w:ilvl w:val="2"/>
          <w:numId w:val="45"/>
        </w:numPr>
        <w:ind w:left="1418" w:hanging="284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L</w:t>
      </w:r>
      <w:r w:rsidR="0063551D">
        <w:rPr>
          <w:rFonts w:ascii="Bookman Old Style" w:hAnsi="Bookman Old Style"/>
          <w:bCs/>
          <w:sz w:val="24"/>
          <w:szCs w:val="24"/>
        </w:rPr>
        <w:t xml:space="preserve">a información de las cantidades </w:t>
      </w:r>
      <w:r w:rsidR="00BB09CE">
        <w:rPr>
          <w:rFonts w:ascii="Bookman Old Style" w:hAnsi="Bookman Old Style"/>
          <w:bCs/>
          <w:sz w:val="24"/>
          <w:szCs w:val="24"/>
        </w:rPr>
        <w:t xml:space="preserve">diarias </w:t>
      </w:r>
      <w:r w:rsidR="0063551D">
        <w:rPr>
          <w:rFonts w:ascii="Bookman Old Style" w:hAnsi="Bookman Old Style"/>
          <w:bCs/>
          <w:sz w:val="24"/>
          <w:szCs w:val="24"/>
        </w:rPr>
        <w:t>utilizadas</w:t>
      </w:r>
      <w:r w:rsidR="005E49B4">
        <w:rPr>
          <w:rFonts w:ascii="Bookman Old Style" w:hAnsi="Bookman Old Style"/>
          <w:bCs/>
          <w:sz w:val="24"/>
          <w:szCs w:val="24"/>
        </w:rPr>
        <w:t xml:space="preserve"> de combustible, de acuerdo con la declaración de los agentes</w:t>
      </w:r>
      <w:r w:rsidR="0063551D">
        <w:rPr>
          <w:rFonts w:ascii="Bookman Old Style" w:hAnsi="Bookman Old Style"/>
          <w:bCs/>
          <w:sz w:val="24"/>
          <w:szCs w:val="24"/>
        </w:rPr>
        <w:t>.</w:t>
      </w:r>
    </w:p>
    <w:p w14:paraId="7B6633FC" w14:textId="5C42AB0E" w:rsidR="0065645C" w:rsidRDefault="0065645C" w:rsidP="0065645C">
      <w:pPr>
        <w:pStyle w:val="Prrafodelista"/>
        <w:numPr>
          <w:ilvl w:val="2"/>
          <w:numId w:val="45"/>
        </w:numPr>
        <w:ind w:left="1418" w:hanging="284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La generación de seguridad fuera de mérito </w:t>
      </w:r>
      <w:r w:rsidR="00BB09CE">
        <w:rPr>
          <w:rFonts w:ascii="Bookman Old Style" w:hAnsi="Bookman Old Style"/>
          <w:bCs/>
          <w:sz w:val="24"/>
          <w:szCs w:val="24"/>
        </w:rPr>
        <w:t xml:space="preserve">diaria </w:t>
      </w:r>
      <w:r>
        <w:rPr>
          <w:rFonts w:ascii="Bookman Old Style" w:hAnsi="Bookman Old Style"/>
          <w:bCs/>
          <w:sz w:val="24"/>
          <w:szCs w:val="24"/>
        </w:rPr>
        <w:t>de las plantas térmicas.</w:t>
      </w:r>
    </w:p>
    <w:p w14:paraId="42F53C0B" w14:textId="28DBB16E" w:rsidR="005E49B4" w:rsidRDefault="005E49B4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Seleccionar la muestra de las plantas </w:t>
      </w:r>
      <w:r w:rsidR="007268C4">
        <w:rPr>
          <w:rFonts w:ascii="Bookman Old Style" w:hAnsi="Bookman Old Style"/>
          <w:bCs/>
          <w:sz w:val="24"/>
          <w:szCs w:val="24"/>
        </w:rPr>
        <w:t xml:space="preserve">térmicas </w:t>
      </w:r>
      <w:r w:rsidR="0065645C">
        <w:rPr>
          <w:rFonts w:ascii="Bookman Old Style" w:hAnsi="Bookman Old Style"/>
          <w:bCs/>
          <w:sz w:val="24"/>
          <w:szCs w:val="24"/>
        </w:rPr>
        <w:t>a auditar conforme a lo definido en el literal b. del presente artículo.</w:t>
      </w:r>
    </w:p>
    <w:p w14:paraId="0F328B47" w14:textId="50ED390C" w:rsidR="00466C07" w:rsidRDefault="00466C07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sz w:val="24"/>
          <w:szCs w:val="24"/>
        </w:rPr>
      </w:pPr>
      <w:r w:rsidRPr="29657FEF">
        <w:rPr>
          <w:rFonts w:ascii="Bookman Old Style" w:hAnsi="Bookman Old Style"/>
          <w:sz w:val="24"/>
          <w:szCs w:val="24"/>
        </w:rPr>
        <w:t>Solicitar a las plantas a auditar: contratos de suministro y transporte</w:t>
      </w:r>
      <w:r w:rsidR="005567FF">
        <w:rPr>
          <w:rFonts w:ascii="Bookman Old Style" w:hAnsi="Bookman Old Style"/>
          <w:sz w:val="24"/>
          <w:szCs w:val="24"/>
        </w:rPr>
        <w:t xml:space="preserve"> de combustibles</w:t>
      </w:r>
      <w:r w:rsidRPr="29657FEF">
        <w:rPr>
          <w:rFonts w:ascii="Bookman Old Style" w:hAnsi="Bookman Old Style"/>
          <w:sz w:val="24"/>
          <w:szCs w:val="24"/>
        </w:rPr>
        <w:t>, facturas de suministro y transporte de combustibles, reporte de las cantidades utilizadas de los contratos principal y de ocasión, fecha de registro o firma de los contratos principal y de ocasión, metodología de valoración de inventarios</w:t>
      </w:r>
      <w:r w:rsidR="005567FF">
        <w:rPr>
          <w:rFonts w:ascii="Bookman Old Style" w:hAnsi="Bookman Old Style"/>
          <w:sz w:val="24"/>
          <w:szCs w:val="24"/>
        </w:rPr>
        <w:t xml:space="preserve"> y</w:t>
      </w:r>
      <w:r w:rsidRPr="29657FEF">
        <w:rPr>
          <w:rFonts w:ascii="Bookman Old Style" w:hAnsi="Bookman Old Style"/>
          <w:sz w:val="24"/>
          <w:szCs w:val="24"/>
        </w:rPr>
        <w:t xml:space="preserve"> valores diarios de los inventarios</w:t>
      </w:r>
      <w:r w:rsidR="005567FF">
        <w:rPr>
          <w:rFonts w:ascii="Bookman Old Style" w:hAnsi="Bookman Old Style"/>
          <w:sz w:val="24"/>
          <w:szCs w:val="24"/>
        </w:rPr>
        <w:t xml:space="preserve"> de combustibles</w:t>
      </w:r>
      <w:r w:rsidRPr="29657FEF">
        <w:rPr>
          <w:rFonts w:ascii="Bookman Old Style" w:hAnsi="Bookman Old Style"/>
          <w:sz w:val="24"/>
          <w:szCs w:val="24"/>
        </w:rPr>
        <w:t xml:space="preserve">, </w:t>
      </w:r>
      <w:r w:rsidR="00526415" w:rsidRPr="29657FEF">
        <w:rPr>
          <w:rFonts w:ascii="Bookman Old Style" w:hAnsi="Bookman Old Style"/>
          <w:sz w:val="24"/>
          <w:szCs w:val="24"/>
        </w:rPr>
        <w:t>impuesto</w:t>
      </w:r>
      <w:r w:rsidR="20F08B36" w:rsidRPr="29657FEF">
        <w:rPr>
          <w:rFonts w:ascii="Bookman Old Style" w:hAnsi="Bookman Old Style"/>
          <w:sz w:val="24"/>
          <w:szCs w:val="24"/>
        </w:rPr>
        <w:t>s</w:t>
      </w:r>
      <w:r w:rsidR="00526415" w:rsidRPr="29657FEF">
        <w:rPr>
          <w:rFonts w:ascii="Bookman Old Style" w:hAnsi="Bookman Old Style"/>
          <w:sz w:val="24"/>
          <w:szCs w:val="24"/>
        </w:rPr>
        <w:t xml:space="preserve"> causados imputables al consumo del combustible, </w:t>
      </w:r>
      <w:r w:rsidRPr="29657FEF">
        <w:rPr>
          <w:rFonts w:ascii="Bookman Old Style" w:hAnsi="Bookman Old Style"/>
          <w:sz w:val="24"/>
          <w:szCs w:val="24"/>
        </w:rPr>
        <w:t>y toda aquella información que considere necesaria para adelantar la auditoría.</w:t>
      </w:r>
    </w:p>
    <w:p w14:paraId="7C0301BF" w14:textId="51A65696" w:rsidR="00466C07" w:rsidRDefault="00466C07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Verificar los contratos con otras fuentes de información que el auditor identifique, teniendo en cuenta</w:t>
      </w:r>
      <w:r w:rsidR="001C4163"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por ejemplo</w:t>
      </w:r>
      <w:r w:rsidR="001C4163"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que en el sector energético se tiene el Gestor del Mercado de Gas y el Sistema de Información de </w:t>
      </w:r>
      <w:r w:rsidR="00D41492">
        <w:rPr>
          <w:rFonts w:ascii="Bookman Old Style" w:hAnsi="Bookman Old Style"/>
          <w:bCs/>
          <w:sz w:val="24"/>
          <w:szCs w:val="24"/>
        </w:rPr>
        <w:t>Comercialización de Combustibles Líquidos</w:t>
      </w:r>
      <w:r w:rsidR="001C4163">
        <w:rPr>
          <w:rFonts w:ascii="Bookman Old Style" w:hAnsi="Bookman Old Style"/>
          <w:bCs/>
          <w:sz w:val="24"/>
          <w:szCs w:val="24"/>
        </w:rPr>
        <w:t>,</w:t>
      </w:r>
      <w:r w:rsidR="00D41492">
        <w:rPr>
          <w:rFonts w:ascii="Bookman Old Style" w:hAnsi="Bookman Old Style"/>
          <w:bCs/>
          <w:sz w:val="24"/>
          <w:szCs w:val="24"/>
        </w:rPr>
        <w:t xml:space="preserve"> SICOM. Además, consultar directamente con el suministrado</w:t>
      </w:r>
      <w:r w:rsidR="001C4163">
        <w:rPr>
          <w:rFonts w:ascii="Bookman Old Style" w:hAnsi="Bookman Old Style"/>
          <w:bCs/>
          <w:sz w:val="24"/>
          <w:szCs w:val="24"/>
        </w:rPr>
        <w:t>r</w:t>
      </w:r>
      <w:r w:rsidR="00D41492">
        <w:rPr>
          <w:rFonts w:ascii="Bookman Old Style" w:hAnsi="Bookman Old Style"/>
          <w:bCs/>
          <w:sz w:val="24"/>
          <w:szCs w:val="24"/>
        </w:rPr>
        <w:t xml:space="preserve"> de los combustibles y el transportador.</w:t>
      </w:r>
    </w:p>
    <w:p w14:paraId="3BCF9746" w14:textId="10D19188" w:rsidR="00B548D2" w:rsidRDefault="00B548D2" w:rsidP="009A0A66">
      <w:pPr>
        <w:pStyle w:val="Prrafodelista"/>
        <w:numPr>
          <w:ilvl w:val="1"/>
          <w:numId w:val="45"/>
        </w:numPr>
        <w:ind w:left="709" w:hanging="14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Adelantar los análisis para determinar la parte variable </w:t>
      </w:r>
      <w:r w:rsidRPr="00B548D2">
        <w:rPr>
          <w:rFonts w:ascii="Bookman Old Style" w:hAnsi="Bookman Old Style"/>
          <w:bCs/>
          <w:sz w:val="24"/>
          <w:szCs w:val="24"/>
        </w:rPr>
        <w:t xml:space="preserve">del costo de suministro de combustible (CSC) y la parte variable del costo de transporte de combustible </w:t>
      </w:r>
      <w:r>
        <w:rPr>
          <w:rFonts w:ascii="Bookman Old Style" w:hAnsi="Bookman Old Style"/>
          <w:bCs/>
          <w:sz w:val="24"/>
          <w:szCs w:val="24"/>
        </w:rPr>
        <w:t xml:space="preserve">(CTC), </w:t>
      </w:r>
      <w:r w:rsidR="00BB09CE">
        <w:rPr>
          <w:rFonts w:ascii="Bookman Old Style" w:hAnsi="Bookman Old Style"/>
          <w:bCs/>
          <w:sz w:val="24"/>
          <w:szCs w:val="24"/>
        </w:rPr>
        <w:t xml:space="preserve">diarios, </w:t>
      </w:r>
      <w:r>
        <w:rPr>
          <w:rFonts w:ascii="Bookman Old Style" w:hAnsi="Bookman Old Style"/>
          <w:bCs/>
          <w:sz w:val="24"/>
          <w:szCs w:val="24"/>
        </w:rPr>
        <w:t xml:space="preserve">soportados en facturas de contratos vigentes suscritos por el agente generador, </w:t>
      </w:r>
      <w:r w:rsidRPr="00B548D2">
        <w:rPr>
          <w:rFonts w:ascii="Bookman Old Style" w:hAnsi="Bookman Old Style"/>
          <w:bCs/>
          <w:sz w:val="24"/>
          <w:szCs w:val="24"/>
        </w:rPr>
        <w:t>de acuerdo con lo definido en la Resolución CREG 044 de 2020</w:t>
      </w:r>
      <w:r>
        <w:rPr>
          <w:rFonts w:ascii="Bookman Old Style" w:hAnsi="Bookman Old Style"/>
          <w:bCs/>
          <w:sz w:val="24"/>
          <w:szCs w:val="24"/>
        </w:rPr>
        <w:t>.</w:t>
      </w:r>
    </w:p>
    <w:p w14:paraId="4072CC53" w14:textId="77777777" w:rsidR="003224DA" w:rsidRPr="003224DA" w:rsidRDefault="003224DA" w:rsidP="003224DA">
      <w:pPr>
        <w:ind w:left="0"/>
        <w:jc w:val="both"/>
        <w:rPr>
          <w:rFonts w:ascii="Bookman Old Style" w:hAnsi="Bookman Old Style"/>
          <w:bCs/>
        </w:rPr>
      </w:pPr>
    </w:p>
    <w:p w14:paraId="51DE2009" w14:textId="75548C8F" w:rsidR="00000186" w:rsidRDefault="007E4D9F" w:rsidP="738E1D91">
      <w:pPr>
        <w:pStyle w:val="Prrafodelista"/>
        <w:numPr>
          <w:ilvl w:val="0"/>
          <w:numId w:val="45"/>
        </w:numPr>
        <w:jc w:val="both"/>
        <w:rPr>
          <w:rFonts w:ascii="Bookman Old Style" w:hAnsi="Bookman Old Style"/>
          <w:sz w:val="24"/>
          <w:szCs w:val="24"/>
        </w:rPr>
      </w:pPr>
      <w:r w:rsidRPr="29657FEF">
        <w:rPr>
          <w:rFonts w:ascii="Bookman Old Style" w:hAnsi="Bookman Old Style"/>
          <w:b/>
          <w:bCs/>
          <w:sz w:val="24"/>
          <w:szCs w:val="24"/>
        </w:rPr>
        <w:t xml:space="preserve">Obligatoriedad </w:t>
      </w:r>
      <w:r w:rsidR="7F0EB9B8" w:rsidRPr="29657FEF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Pr="29657FEF">
        <w:rPr>
          <w:rFonts w:ascii="Bookman Old Style" w:hAnsi="Bookman Old Style"/>
          <w:b/>
          <w:bCs/>
          <w:sz w:val="24"/>
          <w:szCs w:val="24"/>
        </w:rPr>
        <w:t xml:space="preserve">entrega </w:t>
      </w:r>
      <w:r w:rsidR="6C194495" w:rsidRPr="29657FEF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Pr="29657FEF">
        <w:rPr>
          <w:rFonts w:ascii="Bookman Old Style" w:hAnsi="Bookman Old Style"/>
          <w:b/>
          <w:bCs/>
          <w:sz w:val="24"/>
          <w:szCs w:val="24"/>
        </w:rPr>
        <w:t>información</w:t>
      </w:r>
      <w:r w:rsidRPr="29657FEF">
        <w:rPr>
          <w:rFonts w:ascii="Bookman Old Style" w:hAnsi="Bookman Old Style"/>
          <w:sz w:val="24"/>
          <w:szCs w:val="24"/>
        </w:rPr>
        <w:t>.</w:t>
      </w:r>
      <w:r w:rsidR="00000186" w:rsidRPr="29657FEF">
        <w:rPr>
          <w:rFonts w:ascii="Bookman Old Style" w:hAnsi="Bookman Old Style"/>
          <w:sz w:val="24"/>
          <w:szCs w:val="24"/>
        </w:rPr>
        <w:t xml:space="preserve"> Los agentes regulados a qui</w:t>
      </w:r>
      <w:r w:rsidR="25016F37" w:rsidRPr="29657FEF">
        <w:rPr>
          <w:rFonts w:ascii="Bookman Old Style" w:hAnsi="Bookman Old Style"/>
          <w:sz w:val="24"/>
          <w:szCs w:val="24"/>
        </w:rPr>
        <w:t>e</w:t>
      </w:r>
      <w:r w:rsidR="00000186" w:rsidRPr="29657FEF">
        <w:rPr>
          <w:rFonts w:ascii="Bookman Old Style" w:hAnsi="Bookman Old Style"/>
          <w:sz w:val="24"/>
          <w:szCs w:val="24"/>
        </w:rPr>
        <w:t>n</w:t>
      </w:r>
      <w:r w:rsidR="6D65E069" w:rsidRPr="29657FEF">
        <w:rPr>
          <w:rFonts w:ascii="Bookman Old Style" w:hAnsi="Bookman Old Style"/>
          <w:sz w:val="24"/>
          <w:szCs w:val="24"/>
        </w:rPr>
        <w:t>es</w:t>
      </w:r>
      <w:r w:rsidR="00000186" w:rsidRPr="29657FEF">
        <w:rPr>
          <w:rFonts w:ascii="Bookman Old Style" w:hAnsi="Bookman Old Style"/>
          <w:sz w:val="24"/>
          <w:szCs w:val="24"/>
        </w:rPr>
        <w:t xml:space="preserve"> el auditor solicite información deberán suministrarla en forma veraz, confiable, oportuna y de calidad, de tal manera que garantice la finalidad para la que es solicitada</w:t>
      </w:r>
      <w:r w:rsidR="001C4163">
        <w:rPr>
          <w:rFonts w:ascii="Bookman Old Style" w:hAnsi="Bookman Old Style"/>
          <w:sz w:val="24"/>
          <w:szCs w:val="24"/>
        </w:rPr>
        <w:t>,</w:t>
      </w:r>
      <w:r w:rsidR="00000186" w:rsidRPr="29657FEF">
        <w:rPr>
          <w:rFonts w:ascii="Bookman Old Style" w:hAnsi="Bookman Old Style"/>
          <w:sz w:val="24"/>
          <w:szCs w:val="24"/>
        </w:rPr>
        <w:t xml:space="preserve"> y que </w:t>
      </w:r>
      <w:r w:rsidR="58B8EEF8" w:rsidRPr="29657FEF">
        <w:rPr>
          <w:rFonts w:ascii="Bookman Old Style" w:hAnsi="Bookman Old Style"/>
          <w:sz w:val="24"/>
          <w:szCs w:val="24"/>
        </w:rPr>
        <w:t xml:space="preserve">no </w:t>
      </w:r>
      <w:r w:rsidR="00000186" w:rsidRPr="29657FEF">
        <w:rPr>
          <w:rFonts w:ascii="Bookman Old Style" w:hAnsi="Bookman Old Style"/>
          <w:sz w:val="24"/>
          <w:szCs w:val="24"/>
        </w:rPr>
        <w:t>induzca a error</w:t>
      </w:r>
      <w:r w:rsidR="001C4163">
        <w:rPr>
          <w:rFonts w:ascii="Bookman Old Style" w:hAnsi="Bookman Old Style"/>
          <w:sz w:val="24"/>
          <w:szCs w:val="24"/>
        </w:rPr>
        <w:t>,</w:t>
      </w:r>
      <w:r w:rsidR="00000186" w:rsidRPr="29657FEF">
        <w:rPr>
          <w:rFonts w:ascii="Bookman Old Style" w:hAnsi="Bookman Old Style"/>
          <w:sz w:val="24"/>
          <w:szCs w:val="24"/>
        </w:rPr>
        <w:t xml:space="preserve"> al auditor, a las autoridades o al público en general</w:t>
      </w:r>
      <w:r w:rsidR="0C50B4C7" w:rsidRPr="29657FEF">
        <w:rPr>
          <w:rFonts w:ascii="Bookman Old Style" w:hAnsi="Bookman Old Style"/>
          <w:sz w:val="24"/>
          <w:szCs w:val="24"/>
        </w:rPr>
        <w:t>, en los términos establecidos por la Resolución CREG 080 de 2019</w:t>
      </w:r>
      <w:r w:rsidR="00000186" w:rsidRPr="29657FEF">
        <w:rPr>
          <w:rFonts w:ascii="Bookman Old Style" w:hAnsi="Bookman Old Style"/>
          <w:sz w:val="24"/>
          <w:szCs w:val="24"/>
        </w:rPr>
        <w:t>.</w:t>
      </w:r>
    </w:p>
    <w:p w14:paraId="300F1438" w14:textId="77777777" w:rsidR="00000186" w:rsidRDefault="00000186" w:rsidP="00000186">
      <w:pPr>
        <w:jc w:val="both"/>
        <w:rPr>
          <w:rFonts w:ascii="Bookman Old Style" w:hAnsi="Bookman Old Style"/>
          <w:bCs/>
        </w:rPr>
      </w:pPr>
    </w:p>
    <w:p w14:paraId="64F982B3" w14:textId="47A14282" w:rsidR="00091F1F" w:rsidRDefault="00091F1F" w:rsidP="007E4D9F">
      <w:pPr>
        <w:ind w:left="0"/>
        <w:jc w:val="both"/>
        <w:rPr>
          <w:rFonts w:ascii="Bookman Old Style" w:hAnsi="Bookman Old Style"/>
          <w:bCs/>
        </w:rPr>
      </w:pPr>
      <w:r w:rsidRPr="00091F1F">
        <w:rPr>
          <w:rFonts w:ascii="Bookman Old Style" w:hAnsi="Bookman Old Style"/>
          <w:b/>
        </w:rPr>
        <w:t>Parágrafo</w:t>
      </w:r>
      <w:r>
        <w:rPr>
          <w:rFonts w:ascii="Bookman Old Style" w:hAnsi="Bookman Old Style"/>
          <w:bCs/>
        </w:rPr>
        <w:t xml:space="preserve">. La auditoría </w:t>
      </w:r>
      <w:r w:rsidR="005567FF">
        <w:rPr>
          <w:rFonts w:ascii="Bookman Old Style" w:hAnsi="Bookman Old Style"/>
          <w:bCs/>
        </w:rPr>
        <w:t xml:space="preserve">correspondiente a </w:t>
      </w:r>
      <w:r>
        <w:rPr>
          <w:rFonts w:ascii="Bookman Old Style" w:hAnsi="Bookman Old Style"/>
          <w:bCs/>
        </w:rPr>
        <w:t xml:space="preserve">todos los meses </w:t>
      </w:r>
      <w:r w:rsidR="005567FF">
        <w:rPr>
          <w:rFonts w:ascii="Bookman Old Style" w:hAnsi="Bookman Old Style"/>
          <w:bCs/>
        </w:rPr>
        <w:t xml:space="preserve">de operación </w:t>
      </w:r>
      <w:r>
        <w:rPr>
          <w:rFonts w:ascii="Bookman Old Style" w:hAnsi="Bookman Old Style"/>
          <w:bCs/>
        </w:rPr>
        <w:t>del año 2020 se adelantará en el mes de marzo de 2021.</w:t>
      </w:r>
    </w:p>
    <w:p w14:paraId="6B46236E" w14:textId="77777777" w:rsidR="00C609E5" w:rsidRDefault="00C609E5" w:rsidP="007E4D9F">
      <w:pPr>
        <w:ind w:left="0"/>
        <w:jc w:val="both"/>
        <w:rPr>
          <w:rFonts w:ascii="Bookman Old Style" w:hAnsi="Bookman Old Style"/>
          <w:bCs/>
        </w:rPr>
      </w:pPr>
    </w:p>
    <w:p w14:paraId="235D4BC9" w14:textId="4119BDCD" w:rsidR="006368FD" w:rsidRPr="00A93322" w:rsidRDefault="006368FD" w:rsidP="006368FD">
      <w:pPr>
        <w:ind w:left="0"/>
        <w:jc w:val="both"/>
        <w:rPr>
          <w:rFonts w:ascii="Bookman Old Style" w:hAnsi="Bookman Old Style"/>
          <w:bCs/>
        </w:rPr>
      </w:pPr>
      <w:r w:rsidRPr="002A782A">
        <w:rPr>
          <w:rFonts w:ascii="Bookman Old Style" w:hAnsi="Bookman Old Style"/>
          <w:b/>
        </w:rPr>
        <w:t xml:space="preserve">Artículo </w:t>
      </w:r>
      <w:r w:rsidR="002D64CE">
        <w:rPr>
          <w:rFonts w:ascii="Bookman Old Style" w:hAnsi="Bookman Old Style"/>
          <w:b/>
        </w:rPr>
        <w:t>3</w:t>
      </w:r>
      <w:r w:rsidRPr="002A782A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Funciones auditor</w:t>
      </w:r>
      <w:r w:rsidR="00A97B83">
        <w:rPr>
          <w:rFonts w:ascii="Bookman Old Style" w:hAnsi="Bookman Old Style"/>
          <w:b/>
        </w:rPr>
        <w:t xml:space="preserve"> y plazos</w:t>
      </w:r>
      <w:r>
        <w:rPr>
          <w:rFonts w:ascii="Bookman Old Style" w:hAnsi="Bookman Old Style"/>
          <w:b/>
        </w:rPr>
        <w:t>.</w:t>
      </w:r>
      <w:r w:rsidR="00A93322">
        <w:rPr>
          <w:rFonts w:ascii="Bookman Old Style" w:hAnsi="Bookman Old Style"/>
          <w:b/>
        </w:rPr>
        <w:t xml:space="preserve"> </w:t>
      </w:r>
      <w:r w:rsidR="00A93322" w:rsidRPr="00A93322">
        <w:rPr>
          <w:rFonts w:ascii="Bookman Old Style" w:hAnsi="Bookman Old Style"/>
          <w:bCs/>
        </w:rPr>
        <w:t xml:space="preserve">Las funciones del auditor, sin que queden limitadas a estas, </w:t>
      </w:r>
      <w:r w:rsidR="00FF214F">
        <w:rPr>
          <w:rFonts w:ascii="Bookman Old Style" w:hAnsi="Bookman Old Style"/>
          <w:bCs/>
        </w:rPr>
        <w:t>y los plazos para adelantar las funciones, se presentan en la siguiente tabla</w:t>
      </w:r>
      <w:r w:rsidR="00A93322" w:rsidRPr="00A93322">
        <w:rPr>
          <w:rFonts w:ascii="Bookman Old Style" w:hAnsi="Bookman Old Style"/>
          <w:bCs/>
        </w:rPr>
        <w:t>:</w:t>
      </w:r>
    </w:p>
    <w:p w14:paraId="72451902" w14:textId="77777777" w:rsidR="00C609E5" w:rsidRDefault="00C609E5" w:rsidP="006368FD">
      <w:pPr>
        <w:ind w:left="0"/>
        <w:jc w:val="both"/>
        <w:rPr>
          <w:rFonts w:ascii="Bookman Old Style" w:hAnsi="Bookman Old Style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24"/>
      </w:tblGrid>
      <w:tr w:rsidR="00A97B83" w14:paraId="3EB98D66" w14:textId="77777777" w:rsidTr="29657FEF">
        <w:tc>
          <w:tcPr>
            <w:tcW w:w="2122" w:type="dxa"/>
          </w:tcPr>
          <w:p w14:paraId="3862B1E8" w14:textId="1FFCCE89" w:rsidR="00A97B83" w:rsidRDefault="00A97B83" w:rsidP="00022E88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Plazos</w:t>
            </w:r>
          </w:p>
        </w:tc>
        <w:tc>
          <w:tcPr>
            <w:tcW w:w="7224" w:type="dxa"/>
          </w:tcPr>
          <w:p w14:paraId="3D4FF011" w14:textId="01D6FD14" w:rsidR="00A97B83" w:rsidRDefault="00A97B83" w:rsidP="00022E88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Funciones</w:t>
            </w:r>
          </w:p>
        </w:tc>
      </w:tr>
      <w:tr w:rsidR="00A97B83" w14:paraId="1EBA2750" w14:textId="77777777" w:rsidTr="29657FEF">
        <w:tc>
          <w:tcPr>
            <w:tcW w:w="2122" w:type="dxa"/>
          </w:tcPr>
          <w:p w14:paraId="4437A67C" w14:textId="21C19DA1" w:rsidR="00A97B83" w:rsidRPr="00A97B83" w:rsidRDefault="00A97B83" w:rsidP="006368FD">
            <w:pPr>
              <w:ind w:left="0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 días hábiles</w:t>
            </w:r>
          </w:p>
        </w:tc>
        <w:tc>
          <w:tcPr>
            <w:tcW w:w="7224" w:type="dxa"/>
          </w:tcPr>
          <w:p w14:paraId="25FAB9E4" w14:textId="1081591C" w:rsidR="00A97B83" w:rsidRPr="00A97B83" w:rsidRDefault="00A97B8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Solicitar y </w:t>
            </w:r>
            <w:r w:rsidR="005567FF">
              <w:rPr>
                <w:rFonts w:ascii="Bookman Old Style" w:hAnsi="Bookman Old Style"/>
                <w:bCs/>
                <w:sz w:val="24"/>
                <w:szCs w:val="24"/>
              </w:rPr>
              <w:t xml:space="preserve">recolectar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la información de XM y los agentes generadores a auditar.</w:t>
            </w:r>
          </w:p>
        </w:tc>
      </w:tr>
      <w:tr w:rsidR="00A97B83" w14:paraId="16570ED4" w14:textId="77777777" w:rsidTr="29657FEF">
        <w:tc>
          <w:tcPr>
            <w:tcW w:w="2122" w:type="dxa"/>
          </w:tcPr>
          <w:p w14:paraId="4E4552AF" w14:textId="1C69B5AC" w:rsidR="00A97B83" w:rsidRDefault="00A97B83" w:rsidP="006368FD">
            <w:pPr>
              <w:ind w:left="0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 días hábiles</w:t>
            </w:r>
          </w:p>
        </w:tc>
        <w:tc>
          <w:tcPr>
            <w:tcW w:w="7224" w:type="dxa"/>
          </w:tcPr>
          <w:p w14:paraId="6E05DBF6" w14:textId="77777777" w:rsidR="00A97B83" w:rsidRDefault="00A97B83" w:rsidP="00A97B8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Verificar la información con otras fuentes de información.</w:t>
            </w:r>
          </w:p>
          <w:p w14:paraId="71D46500" w14:textId="77777777" w:rsidR="00A97B83" w:rsidRDefault="00A97B83" w:rsidP="00A97B8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Analizar la información reportada.</w:t>
            </w:r>
          </w:p>
          <w:p w14:paraId="7C339BEB" w14:textId="5F6E0A1A" w:rsidR="00A97B83" w:rsidRDefault="00A97B83" w:rsidP="00A97B8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lastRenderedPageBreak/>
              <w:t xml:space="preserve">Verificar que la metodología de valoración del </w:t>
            </w:r>
            <w:r w:rsidR="005567FF">
              <w:rPr>
                <w:rFonts w:ascii="Bookman Old Style" w:hAnsi="Bookman Old Style"/>
                <w:bCs/>
                <w:sz w:val="24"/>
                <w:szCs w:val="24"/>
              </w:rPr>
              <w:t xml:space="preserve">combustible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almacena</w:t>
            </w:r>
            <w:r w:rsidR="005567FF">
              <w:rPr>
                <w:rFonts w:ascii="Bookman Old Style" w:hAnsi="Bookman Old Style"/>
                <w:bCs/>
                <w:sz w:val="24"/>
                <w:szCs w:val="24"/>
              </w:rPr>
              <w:t>do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corresponde </w:t>
            </w:r>
            <w:r w:rsidR="005567FF">
              <w:rPr>
                <w:rFonts w:ascii="Bookman Old Style" w:hAnsi="Bookman Old Style"/>
                <w:bCs/>
                <w:sz w:val="24"/>
                <w:szCs w:val="24"/>
              </w:rPr>
              <w:t xml:space="preserve">a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estándares reconocidos por autoridades del sector y/o </w:t>
            </w:r>
            <w:r w:rsidR="005567FF">
              <w:rPr>
                <w:rFonts w:ascii="Bookman Old Style" w:hAnsi="Bookman Old Style"/>
                <w:bCs/>
                <w:sz w:val="24"/>
                <w:szCs w:val="24"/>
              </w:rPr>
              <w:t xml:space="preserve">a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prácticas contables reconocidas.</w:t>
            </w:r>
          </w:p>
          <w:p w14:paraId="62F18E5D" w14:textId="77777777" w:rsidR="00A97B83" w:rsidRDefault="00A97B83" w:rsidP="00A97B8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Estimar los valores diarios de CSC y CTC, soportados en facturas de contratos vigentes para los meses a auditar.</w:t>
            </w:r>
          </w:p>
          <w:p w14:paraId="087A043B" w14:textId="3C4D5D15" w:rsidR="00A97B83" w:rsidRPr="00A97B83" w:rsidRDefault="00A97B83" w:rsidP="29657FE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9657FEF">
              <w:rPr>
                <w:rFonts w:ascii="Bookman Old Style" w:hAnsi="Bookman Old Style"/>
                <w:sz w:val="24"/>
                <w:szCs w:val="24"/>
              </w:rPr>
              <w:t>Estimar las diferencias entre los valores auditados y los valores declarados por los agentes después de tener las facturas.</w:t>
            </w:r>
          </w:p>
          <w:p w14:paraId="5481E5BB" w14:textId="44F59BC0" w:rsidR="00A97B83" w:rsidRPr="00A97B83" w:rsidRDefault="4F008A99" w:rsidP="29657FEF">
            <w:pPr>
              <w:pStyle w:val="Prrafodelista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29657FEF">
              <w:rPr>
                <w:rFonts w:ascii="Bookman Old Style" w:hAnsi="Bookman Old Style"/>
                <w:sz w:val="24"/>
                <w:szCs w:val="24"/>
              </w:rPr>
              <w:t>Elaborar informe con las conclusiones de las estimaciones realizadas de manera clara y explícita.</w:t>
            </w:r>
          </w:p>
        </w:tc>
      </w:tr>
      <w:tr w:rsidR="00A97B83" w14:paraId="2917565D" w14:textId="77777777" w:rsidTr="29657FEF">
        <w:tc>
          <w:tcPr>
            <w:tcW w:w="2122" w:type="dxa"/>
          </w:tcPr>
          <w:p w14:paraId="24118FC2" w14:textId="54282C55" w:rsidR="00A97B83" w:rsidRDefault="00A97B83" w:rsidP="006368FD">
            <w:pPr>
              <w:ind w:left="0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>3 días hábiles</w:t>
            </w:r>
          </w:p>
        </w:tc>
        <w:tc>
          <w:tcPr>
            <w:tcW w:w="7224" w:type="dxa"/>
          </w:tcPr>
          <w:p w14:paraId="2B1FDA62" w14:textId="60B22E84" w:rsidR="00A97B83" w:rsidRDefault="00A97B83" w:rsidP="29657FE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9657FEF">
              <w:rPr>
                <w:rFonts w:ascii="Bookman Old Style" w:hAnsi="Bookman Old Style"/>
                <w:sz w:val="24"/>
                <w:szCs w:val="24"/>
              </w:rPr>
              <w:t xml:space="preserve">Remitir al agente el informe de auditoría </w:t>
            </w:r>
            <w:r w:rsidR="005567FF">
              <w:rPr>
                <w:rFonts w:ascii="Bookman Old Style" w:hAnsi="Bookman Old Style"/>
                <w:sz w:val="24"/>
                <w:szCs w:val="24"/>
              </w:rPr>
              <w:t xml:space="preserve">para </w:t>
            </w:r>
            <w:r w:rsidRPr="29657FEF">
              <w:rPr>
                <w:rFonts w:ascii="Bookman Old Style" w:hAnsi="Bookman Old Style"/>
                <w:sz w:val="24"/>
                <w:szCs w:val="24"/>
              </w:rPr>
              <w:t>que el agente controvierta o confirme el resultado.</w:t>
            </w:r>
          </w:p>
          <w:p w14:paraId="50C4CDC8" w14:textId="603B8AD2" w:rsidR="00A97B83" w:rsidRPr="00A97B83" w:rsidRDefault="00A97B83" w:rsidP="29657FE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9657FEF">
              <w:rPr>
                <w:rFonts w:ascii="Bookman Old Style" w:hAnsi="Bookman Old Style"/>
                <w:sz w:val="24"/>
                <w:szCs w:val="24"/>
              </w:rPr>
              <w:t>Recibir los comentarios de los agentes.</w:t>
            </w:r>
          </w:p>
        </w:tc>
      </w:tr>
      <w:tr w:rsidR="00A97B83" w14:paraId="61076944" w14:textId="77777777" w:rsidTr="29657FEF">
        <w:tc>
          <w:tcPr>
            <w:tcW w:w="2122" w:type="dxa"/>
          </w:tcPr>
          <w:p w14:paraId="06329377" w14:textId="3B0D0B6B" w:rsidR="00A97B83" w:rsidRDefault="00A97B83" w:rsidP="006368FD">
            <w:pPr>
              <w:ind w:left="0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 días hábiles</w:t>
            </w:r>
          </w:p>
        </w:tc>
        <w:tc>
          <w:tcPr>
            <w:tcW w:w="7224" w:type="dxa"/>
          </w:tcPr>
          <w:p w14:paraId="23922CBF" w14:textId="77777777" w:rsidR="00A97B83" w:rsidRDefault="00A97B83" w:rsidP="29657FE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9657FEF">
              <w:rPr>
                <w:rFonts w:ascii="Bookman Old Style" w:hAnsi="Bookman Old Style"/>
                <w:sz w:val="24"/>
                <w:szCs w:val="24"/>
              </w:rPr>
              <w:t>En caso de controversia, el auditor evaluará los argumentos del agente y el informe final incluirá el análisis de las razones por las cuales acepta o no los argumentos del agente.</w:t>
            </w:r>
          </w:p>
          <w:p w14:paraId="5D4FFF71" w14:textId="095A7F94" w:rsidR="00A97B83" w:rsidRPr="00A97B83" w:rsidRDefault="00A97B83" w:rsidP="29657FE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9657FEF">
              <w:rPr>
                <w:rFonts w:ascii="Bookman Old Style" w:hAnsi="Bookman Old Style"/>
                <w:sz w:val="24"/>
                <w:szCs w:val="24"/>
              </w:rPr>
              <w:t>Remitir el informe final a XM S.A. E.S.P.</w:t>
            </w:r>
            <w:r w:rsidR="00C7412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29657FEF">
              <w:rPr>
                <w:rFonts w:ascii="Bookman Old Style" w:hAnsi="Bookman Old Style"/>
                <w:sz w:val="24"/>
                <w:szCs w:val="24"/>
              </w:rPr>
              <w:t>la Superintendencia de Servicios Públicos (SSPD)</w:t>
            </w:r>
            <w:r w:rsidR="00C7412C">
              <w:rPr>
                <w:rFonts w:ascii="Bookman Old Style" w:hAnsi="Bookman Old Style"/>
                <w:sz w:val="24"/>
                <w:szCs w:val="24"/>
              </w:rPr>
              <w:t xml:space="preserve"> y la Superintendencia de Industria y Comercio (SIC)</w:t>
            </w:r>
            <w:r w:rsidRPr="29657FEF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492652E3" w14:textId="77777777" w:rsidR="00A97B83" w:rsidRDefault="00A97B83" w:rsidP="006368FD">
      <w:pPr>
        <w:ind w:left="0"/>
        <w:jc w:val="both"/>
        <w:rPr>
          <w:rFonts w:ascii="Bookman Old Style" w:hAnsi="Bookman Old Style"/>
          <w:b/>
        </w:rPr>
      </w:pPr>
    </w:p>
    <w:p w14:paraId="5C8DBEC0" w14:textId="07F35579" w:rsidR="00FF214F" w:rsidRDefault="00311F98" w:rsidP="007E4D9F">
      <w:pPr>
        <w:ind w:left="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Parágrafo</w:t>
      </w:r>
      <w:r w:rsidR="0009716F"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Cs/>
        </w:rPr>
        <w:t xml:space="preserve"> XM S.A. E.S.P. deberá establecer un mecanismo para que las entidades de control y vigilancia y la CREG puedan tener acceso a los informes de auditoría en cualquier momento de forma ágil.</w:t>
      </w:r>
    </w:p>
    <w:p w14:paraId="1D22C246" w14:textId="5983BD90" w:rsidR="0009716F" w:rsidRDefault="0009716F" w:rsidP="007E4D9F">
      <w:pPr>
        <w:ind w:left="0"/>
        <w:jc w:val="both"/>
        <w:rPr>
          <w:rFonts w:ascii="Bookman Old Style" w:hAnsi="Bookman Old Style"/>
          <w:bCs/>
        </w:rPr>
      </w:pPr>
    </w:p>
    <w:p w14:paraId="2E0C17C1" w14:textId="7AEDD462" w:rsidR="0009716F" w:rsidRDefault="0009716F" w:rsidP="007E4D9F">
      <w:pPr>
        <w:ind w:left="0"/>
        <w:jc w:val="both"/>
        <w:rPr>
          <w:rFonts w:ascii="Bookman Old Style" w:hAnsi="Bookman Old Style"/>
          <w:bCs/>
        </w:rPr>
      </w:pPr>
      <w:r w:rsidRPr="009A0A66">
        <w:rPr>
          <w:rFonts w:ascii="Bookman Old Style" w:hAnsi="Bookman Old Style"/>
          <w:b/>
        </w:rPr>
        <w:t>Parágrafo 2</w:t>
      </w:r>
      <w:r>
        <w:rPr>
          <w:rFonts w:ascii="Bookman Old Style" w:hAnsi="Bookman Old Style"/>
          <w:bCs/>
        </w:rPr>
        <w:t xml:space="preserve">. En caso de que en </w:t>
      </w:r>
      <w:r w:rsidR="005567FF">
        <w:rPr>
          <w:rFonts w:ascii="Bookman Old Style" w:hAnsi="Bookman Old Style"/>
          <w:bCs/>
        </w:rPr>
        <w:t xml:space="preserve">los </w:t>
      </w:r>
      <w:r>
        <w:rPr>
          <w:rFonts w:ascii="Bookman Old Style" w:hAnsi="Bookman Old Style"/>
          <w:bCs/>
        </w:rPr>
        <w:t>informe</w:t>
      </w:r>
      <w:r w:rsidR="001C4163">
        <w:rPr>
          <w:rFonts w:ascii="Bookman Old Style" w:hAnsi="Bookman Old Style"/>
          <w:bCs/>
        </w:rPr>
        <w:t>s</w:t>
      </w:r>
      <w:r>
        <w:rPr>
          <w:rFonts w:ascii="Bookman Old Style" w:hAnsi="Bookman Old Style"/>
          <w:bCs/>
        </w:rPr>
        <w:t xml:space="preserve"> </w:t>
      </w:r>
      <w:r w:rsidR="005567FF">
        <w:rPr>
          <w:rFonts w:ascii="Bookman Old Style" w:hAnsi="Bookman Old Style"/>
          <w:bCs/>
        </w:rPr>
        <w:t xml:space="preserve">de auditoría </w:t>
      </w:r>
      <w:r>
        <w:rPr>
          <w:rFonts w:ascii="Bookman Old Style" w:hAnsi="Bookman Old Style"/>
          <w:bCs/>
        </w:rPr>
        <w:t>se evidencien incumplimientos en materias diferentes a las que vigila la SSPD, XM S.A. E.S.P deberá remitir copia del informe a la entidad competente respectiva.</w:t>
      </w:r>
    </w:p>
    <w:p w14:paraId="4E360464" w14:textId="77777777" w:rsidR="00311F98" w:rsidRPr="00311F98" w:rsidRDefault="00311F98" w:rsidP="007E4D9F">
      <w:pPr>
        <w:ind w:left="0"/>
        <w:jc w:val="both"/>
        <w:rPr>
          <w:rFonts w:ascii="Bookman Old Style" w:hAnsi="Bookman Old Style"/>
          <w:bCs/>
        </w:rPr>
      </w:pPr>
    </w:p>
    <w:p w14:paraId="6E056338" w14:textId="4F97AD7D" w:rsidR="007E4D9F" w:rsidRPr="00091F1F" w:rsidRDefault="007E4D9F" w:rsidP="738E1D91">
      <w:pPr>
        <w:ind w:left="0"/>
        <w:jc w:val="both"/>
        <w:rPr>
          <w:rFonts w:ascii="Bookman Old Style" w:hAnsi="Bookman Old Style"/>
        </w:rPr>
      </w:pPr>
      <w:r w:rsidRPr="738E1D91">
        <w:rPr>
          <w:rFonts w:ascii="Bookman Old Style" w:hAnsi="Bookman Old Style"/>
          <w:b/>
          <w:bCs/>
        </w:rPr>
        <w:t xml:space="preserve">Artículo </w:t>
      </w:r>
      <w:r w:rsidR="00F56374" w:rsidRPr="738E1D91">
        <w:rPr>
          <w:rFonts w:ascii="Bookman Old Style" w:hAnsi="Bookman Old Style"/>
          <w:b/>
          <w:bCs/>
        </w:rPr>
        <w:t>4</w:t>
      </w:r>
      <w:r w:rsidRPr="738E1D91">
        <w:rPr>
          <w:rFonts w:ascii="Bookman Old Style" w:hAnsi="Bookman Old Style"/>
          <w:b/>
          <w:bCs/>
        </w:rPr>
        <w:t>. Auditore</w:t>
      </w:r>
      <w:r w:rsidR="006368FD" w:rsidRPr="738E1D91">
        <w:rPr>
          <w:rFonts w:ascii="Bookman Old Style" w:hAnsi="Bookman Old Style"/>
          <w:b/>
          <w:bCs/>
        </w:rPr>
        <w:t>s.</w:t>
      </w:r>
      <w:r w:rsidR="00091F1F" w:rsidRPr="738E1D91">
        <w:rPr>
          <w:rFonts w:ascii="Bookman Old Style" w:hAnsi="Bookman Old Style"/>
        </w:rPr>
        <w:t xml:space="preserve"> El auditor será una de las empresas seleccionadas por XM S.A. E.S.P. de la lista de auditores que conformará el Comité Asesor de Comercialización (CAC), con expert</w:t>
      </w:r>
      <w:r w:rsidR="64B3584C" w:rsidRPr="738E1D91">
        <w:rPr>
          <w:rFonts w:ascii="Bookman Old Style" w:hAnsi="Bookman Old Style"/>
        </w:rPr>
        <w:t>o</w:t>
      </w:r>
      <w:r w:rsidR="00091F1F" w:rsidRPr="738E1D91">
        <w:rPr>
          <w:rFonts w:ascii="Bookman Old Style" w:hAnsi="Bookman Old Style"/>
        </w:rPr>
        <w:t xml:space="preserve">s en los mercados de combustibles y </w:t>
      </w:r>
      <w:r w:rsidR="001C4163">
        <w:rPr>
          <w:rFonts w:ascii="Bookman Old Style" w:hAnsi="Bookman Old Style"/>
        </w:rPr>
        <w:t xml:space="preserve">en </w:t>
      </w:r>
      <w:r w:rsidR="005567FF">
        <w:rPr>
          <w:rFonts w:ascii="Bookman Old Style" w:hAnsi="Bookman Old Style"/>
        </w:rPr>
        <w:t>el</w:t>
      </w:r>
      <w:r w:rsidR="001C4163">
        <w:rPr>
          <w:rFonts w:ascii="Bookman Old Style" w:hAnsi="Bookman Old Style"/>
        </w:rPr>
        <w:t xml:space="preserve"> mercado</w:t>
      </w:r>
      <w:r w:rsidR="005567FF">
        <w:rPr>
          <w:rFonts w:ascii="Bookman Old Style" w:hAnsi="Bookman Old Style"/>
        </w:rPr>
        <w:t xml:space="preserve"> </w:t>
      </w:r>
      <w:r w:rsidR="00091F1F" w:rsidRPr="738E1D91">
        <w:rPr>
          <w:rFonts w:ascii="Bookman Old Style" w:hAnsi="Bookman Old Style"/>
        </w:rPr>
        <w:t>eléctrico colombiano, teniendo en cuenta las buenas prácticas de auditoría</w:t>
      </w:r>
      <w:r w:rsidR="001C4163">
        <w:rPr>
          <w:rFonts w:ascii="Bookman Old Style" w:hAnsi="Bookman Old Style"/>
        </w:rPr>
        <w:t>,</w:t>
      </w:r>
      <w:r w:rsidR="00091F1F" w:rsidRPr="738E1D91">
        <w:rPr>
          <w:rFonts w:ascii="Bookman Old Style" w:hAnsi="Bookman Old Style"/>
        </w:rPr>
        <w:t xml:space="preserve"> y garantizando que sean entidades con independencia y autonomía. La lista de auditores la deberá mantener actualizada el CAC.</w:t>
      </w:r>
    </w:p>
    <w:p w14:paraId="4E7B4DFC" w14:textId="49C404CB" w:rsidR="00091F1F" w:rsidRDefault="00091F1F" w:rsidP="007E4D9F">
      <w:pPr>
        <w:ind w:left="0"/>
        <w:jc w:val="both"/>
        <w:rPr>
          <w:rFonts w:ascii="Bookman Old Style" w:hAnsi="Bookman Old Style"/>
          <w:b/>
        </w:rPr>
      </w:pPr>
    </w:p>
    <w:p w14:paraId="7FF8CF3C" w14:textId="0AE8268B" w:rsidR="00091F1F" w:rsidRPr="00091F1F" w:rsidRDefault="00091F1F" w:rsidP="007E4D9F">
      <w:pPr>
        <w:ind w:left="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Parágrafo.</w:t>
      </w:r>
      <w:r>
        <w:rPr>
          <w:rFonts w:ascii="Bookman Old Style" w:hAnsi="Bookman Old Style"/>
          <w:bCs/>
        </w:rPr>
        <w:t xml:space="preserve"> </w:t>
      </w:r>
      <w:r w:rsidR="00B97048">
        <w:rPr>
          <w:rFonts w:ascii="Bookman Old Style" w:hAnsi="Bookman Old Style"/>
          <w:bCs/>
        </w:rPr>
        <w:t>La primera lista de auditores la deberá conformar el CAC, a más tardar a los tres (3) meses de haber sido publicada la presente resolución en el diario oficial.</w:t>
      </w:r>
    </w:p>
    <w:p w14:paraId="72B38F6B" w14:textId="77777777" w:rsidR="00BC6FE6" w:rsidRDefault="00BC6FE6" w:rsidP="007E4D9F">
      <w:pPr>
        <w:ind w:left="0"/>
        <w:jc w:val="both"/>
        <w:rPr>
          <w:rFonts w:ascii="Bookman Old Style" w:hAnsi="Bookman Old Style"/>
          <w:b/>
        </w:rPr>
      </w:pPr>
    </w:p>
    <w:p w14:paraId="2EA764F9" w14:textId="08E7863B" w:rsidR="007E4D9F" w:rsidRDefault="007E4D9F" w:rsidP="29657FEF">
      <w:pPr>
        <w:ind w:left="0"/>
        <w:jc w:val="both"/>
        <w:rPr>
          <w:rFonts w:ascii="Bookman Old Style" w:hAnsi="Bookman Old Style"/>
        </w:rPr>
      </w:pPr>
      <w:r w:rsidRPr="29657FEF">
        <w:rPr>
          <w:rFonts w:ascii="Bookman Old Style" w:hAnsi="Bookman Old Style"/>
          <w:b/>
          <w:bCs/>
        </w:rPr>
        <w:t xml:space="preserve">Artículo </w:t>
      </w:r>
      <w:r w:rsidR="00F56374" w:rsidRPr="29657FEF">
        <w:rPr>
          <w:rFonts w:ascii="Bookman Old Style" w:hAnsi="Bookman Old Style"/>
          <w:b/>
          <w:bCs/>
        </w:rPr>
        <w:t>5</w:t>
      </w:r>
      <w:r w:rsidRPr="29657FEF">
        <w:rPr>
          <w:rFonts w:ascii="Bookman Old Style" w:hAnsi="Bookman Old Style"/>
          <w:b/>
          <w:bCs/>
        </w:rPr>
        <w:t xml:space="preserve">. Contratación </w:t>
      </w:r>
      <w:r w:rsidR="39A35ED1" w:rsidRPr="29657FEF">
        <w:rPr>
          <w:rFonts w:ascii="Bookman Old Style" w:hAnsi="Bookman Old Style"/>
          <w:b/>
          <w:bCs/>
        </w:rPr>
        <w:t xml:space="preserve">de </w:t>
      </w:r>
      <w:r w:rsidRPr="29657FEF">
        <w:rPr>
          <w:rFonts w:ascii="Bookman Old Style" w:hAnsi="Bookman Old Style"/>
          <w:b/>
          <w:bCs/>
        </w:rPr>
        <w:t>auditoría</w:t>
      </w:r>
      <w:r w:rsidR="00B97048" w:rsidRPr="29657FEF">
        <w:rPr>
          <w:rFonts w:ascii="Bookman Old Style" w:hAnsi="Bookman Old Style"/>
          <w:b/>
          <w:bCs/>
        </w:rPr>
        <w:t>.</w:t>
      </w:r>
      <w:r w:rsidR="00B97048" w:rsidRPr="29657FEF">
        <w:rPr>
          <w:rFonts w:ascii="Bookman Old Style" w:hAnsi="Bookman Old Style"/>
        </w:rPr>
        <w:t xml:space="preserve"> El proceso de contratación de la auditoría será adelantado por XM S.A. E.S.P.</w:t>
      </w:r>
      <w:r w:rsidR="001C4163">
        <w:rPr>
          <w:rFonts w:ascii="Bookman Old Style" w:hAnsi="Bookman Old Style"/>
        </w:rPr>
        <w:t>,</w:t>
      </w:r>
      <w:r w:rsidR="00B97048" w:rsidRPr="29657FEF">
        <w:rPr>
          <w:rFonts w:ascii="Bookman Old Style" w:hAnsi="Bookman Old Style"/>
        </w:rPr>
        <w:t xml:space="preserve"> quien observará las siguientes pautas para la definición de los términos de referencia:</w:t>
      </w:r>
    </w:p>
    <w:p w14:paraId="59E32B60" w14:textId="7B03D93D" w:rsidR="00B97048" w:rsidRDefault="00B97048" w:rsidP="007E4D9F">
      <w:pPr>
        <w:ind w:left="0"/>
        <w:jc w:val="both"/>
        <w:rPr>
          <w:rFonts w:ascii="Bookman Old Style" w:hAnsi="Bookman Old Style"/>
          <w:bCs/>
        </w:rPr>
      </w:pPr>
    </w:p>
    <w:p w14:paraId="5DB1F16B" w14:textId="3346C6E1" w:rsidR="00B97048" w:rsidRDefault="00B97048" w:rsidP="00B97048">
      <w:pPr>
        <w:pStyle w:val="Prrafodelista"/>
        <w:numPr>
          <w:ilvl w:val="0"/>
          <w:numId w:val="47"/>
        </w:num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El auditor será elegido mediante selección objetiva.</w:t>
      </w:r>
    </w:p>
    <w:p w14:paraId="3D487C48" w14:textId="1B866E06" w:rsidR="00B97048" w:rsidRDefault="00B97048" w:rsidP="00B97048">
      <w:pPr>
        <w:pStyle w:val="Prrafodelista"/>
        <w:numPr>
          <w:ilvl w:val="0"/>
          <w:numId w:val="47"/>
        </w:num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El auditor deberá cumplir cuando menos con las funciones y plazos definidos en el artículo </w:t>
      </w:r>
      <w:r w:rsidR="000C13A8">
        <w:rPr>
          <w:rFonts w:ascii="Bookman Old Style" w:hAnsi="Bookman Old Style"/>
          <w:bCs/>
          <w:sz w:val="24"/>
          <w:szCs w:val="24"/>
        </w:rPr>
        <w:t>3</w:t>
      </w:r>
      <w:r>
        <w:rPr>
          <w:rFonts w:ascii="Bookman Old Style" w:hAnsi="Bookman Old Style"/>
          <w:bCs/>
          <w:sz w:val="24"/>
          <w:szCs w:val="24"/>
        </w:rPr>
        <w:t xml:space="preserve"> de la presente </w:t>
      </w:r>
      <w:r w:rsidR="001C4163">
        <w:rPr>
          <w:rFonts w:ascii="Bookman Old Style" w:hAnsi="Bookman Old Style"/>
          <w:bCs/>
          <w:sz w:val="24"/>
          <w:szCs w:val="24"/>
        </w:rPr>
        <w:t>resolución</w:t>
      </w:r>
      <w:r>
        <w:rPr>
          <w:rFonts w:ascii="Bookman Old Style" w:hAnsi="Bookman Old Style"/>
          <w:bCs/>
          <w:sz w:val="24"/>
          <w:szCs w:val="24"/>
        </w:rPr>
        <w:t>.</w:t>
      </w:r>
    </w:p>
    <w:p w14:paraId="63308C36" w14:textId="6563259A" w:rsidR="00B97048" w:rsidRDefault="00B97048" w:rsidP="00B97048">
      <w:pPr>
        <w:pStyle w:val="Prrafodelista"/>
        <w:numPr>
          <w:ilvl w:val="0"/>
          <w:numId w:val="47"/>
        </w:num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 xml:space="preserve">El informe de auditoría observará los criterios generales definidos en esta resolución, las demás normas de la CREG vigentes </w:t>
      </w:r>
      <w:r w:rsidR="001C4163">
        <w:rPr>
          <w:rFonts w:ascii="Bookman Old Style" w:hAnsi="Bookman Old Style"/>
          <w:bCs/>
          <w:sz w:val="24"/>
          <w:szCs w:val="24"/>
        </w:rPr>
        <w:t xml:space="preserve">en </w:t>
      </w:r>
      <w:r>
        <w:rPr>
          <w:rFonts w:ascii="Bookman Old Style" w:hAnsi="Bookman Old Style"/>
          <w:bCs/>
          <w:sz w:val="24"/>
          <w:szCs w:val="24"/>
        </w:rPr>
        <w:t xml:space="preserve">la fecha de declaración de los valores </w:t>
      </w:r>
      <w:r w:rsidR="00FD7259">
        <w:rPr>
          <w:rFonts w:ascii="Bookman Old Style" w:hAnsi="Bookman Old Style"/>
          <w:bCs/>
          <w:sz w:val="24"/>
          <w:szCs w:val="24"/>
        </w:rPr>
        <w:t>CSC y CTC, y las buenas prácticas de auditoría.</w:t>
      </w:r>
    </w:p>
    <w:p w14:paraId="645D6499" w14:textId="4853617B" w:rsidR="00FD7259" w:rsidRDefault="00FD7259" w:rsidP="29657FEF">
      <w:pPr>
        <w:pStyle w:val="Prrafodelista"/>
        <w:numPr>
          <w:ilvl w:val="0"/>
          <w:numId w:val="47"/>
        </w:numPr>
        <w:jc w:val="both"/>
        <w:rPr>
          <w:rFonts w:ascii="Bookman Old Style" w:hAnsi="Bookman Old Style"/>
          <w:sz w:val="24"/>
          <w:szCs w:val="24"/>
        </w:rPr>
      </w:pPr>
      <w:r w:rsidRPr="29657FEF">
        <w:rPr>
          <w:rFonts w:ascii="Bookman Old Style" w:hAnsi="Bookman Old Style"/>
          <w:sz w:val="24"/>
          <w:szCs w:val="24"/>
        </w:rPr>
        <w:t>El informe final de verificación debe</w:t>
      </w:r>
      <w:r w:rsidR="44C15B49" w:rsidRPr="29657FEF">
        <w:rPr>
          <w:rFonts w:ascii="Bookman Old Style" w:hAnsi="Bookman Old Style"/>
          <w:sz w:val="24"/>
          <w:szCs w:val="24"/>
        </w:rPr>
        <w:t>rá</w:t>
      </w:r>
      <w:r w:rsidRPr="29657FEF">
        <w:rPr>
          <w:rFonts w:ascii="Bookman Old Style" w:hAnsi="Bookman Old Style"/>
          <w:sz w:val="24"/>
          <w:szCs w:val="24"/>
        </w:rPr>
        <w:t xml:space="preserve"> ser claro, preciso y detallado en el establecimiento de las diferencias entre los valores auditados y los valores declarados por los agentes para el mismo día d del mes m</w:t>
      </w:r>
      <w:r w:rsidR="001C4163">
        <w:rPr>
          <w:rFonts w:ascii="Bookman Old Style" w:hAnsi="Bookman Old Style"/>
          <w:sz w:val="24"/>
          <w:szCs w:val="24"/>
        </w:rPr>
        <w:t>,</w:t>
      </w:r>
      <w:r w:rsidR="005567FF">
        <w:rPr>
          <w:rFonts w:ascii="Bookman Old Style" w:hAnsi="Bookman Old Style"/>
          <w:sz w:val="24"/>
          <w:szCs w:val="24"/>
        </w:rPr>
        <w:t xml:space="preserve"> si existiesen, en cualquier otro hallazgo de la auditoria</w:t>
      </w:r>
      <w:r w:rsidR="001C4163">
        <w:rPr>
          <w:rFonts w:ascii="Bookman Old Style" w:hAnsi="Bookman Old Style"/>
          <w:sz w:val="24"/>
          <w:szCs w:val="24"/>
        </w:rPr>
        <w:t>,</w:t>
      </w:r>
      <w:r w:rsidR="005567FF">
        <w:rPr>
          <w:rFonts w:ascii="Bookman Old Style" w:hAnsi="Bookman Old Style"/>
          <w:sz w:val="24"/>
          <w:szCs w:val="24"/>
        </w:rPr>
        <w:t xml:space="preserve"> y en las conclusiones finales</w:t>
      </w:r>
      <w:r w:rsidRPr="29657FEF">
        <w:rPr>
          <w:rFonts w:ascii="Bookman Old Style" w:hAnsi="Bookman Old Style"/>
          <w:sz w:val="24"/>
          <w:szCs w:val="24"/>
        </w:rPr>
        <w:t>. No se admitirán informes ambiguos.</w:t>
      </w:r>
    </w:p>
    <w:p w14:paraId="7C69EFE3" w14:textId="6418BF9B" w:rsidR="00FD7259" w:rsidRDefault="00FD7259" w:rsidP="00B97048">
      <w:pPr>
        <w:pStyle w:val="Prrafodelista"/>
        <w:numPr>
          <w:ilvl w:val="0"/>
          <w:numId w:val="47"/>
        </w:num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En el informe final de auditoría se explicarán y relacionarán todos los antecedentes, estudios, métodos, memorias de cálculo, exámenes e investigaciones que hayan servido de base para dictaminar respecto de determinadas plantas y/o unidades, discrepancias en los valores reportados para el día d del mes m a auditar de acuerdo con el artículo </w:t>
      </w:r>
      <w:r w:rsidR="00BB09CE">
        <w:rPr>
          <w:rFonts w:ascii="Bookman Old Style" w:hAnsi="Bookman Old Style"/>
          <w:bCs/>
          <w:sz w:val="24"/>
          <w:szCs w:val="24"/>
        </w:rPr>
        <w:t>2 de la presente resolución.</w:t>
      </w:r>
    </w:p>
    <w:p w14:paraId="13834208" w14:textId="77777777" w:rsidR="00BC6FE6" w:rsidRDefault="00BC6FE6" w:rsidP="00222FA7">
      <w:pPr>
        <w:ind w:left="0"/>
        <w:jc w:val="both"/>
        <w:rPr>
          <w:rFonts w:ascii="Bookman Old Style" w:hAnsi="Bookman Old Style"/>
          <w:b/>
        </w:rPr>
      </w:pPr>
    </w:p>
    <w:p w14:paraId="185D8D98" w14:textId="01B1AC26" w:rsidR="00A70632" w:rsidRDefault="007E4D9F" w:rsidP="00222FA7">
      <w:pPr>
        <w:ind w:left="0"/>
        <w:jc w:val="both"/>
        <w:rPr>
          <w:rFonts w:ascii="Bookman Old Style" w:hAnsi="Bookman Old Style"/>
          <w:b/>
        </w:rPr>
      </w:pPr>
      <w:r w:rsidRPr="002A782A">
        <w:rPr>
          <w:rFonts w:ascii="Bookman Old Style" w:hAnsi="Bookman Old Style"/>
          <w:b/>
        </w:rPr>
        <w:t xml:space="preserve">Artículo </w:t>
      </w:r>
      <w:r w:rsidR="00F56374">
        <w:rPr>
          <w:rFonts w:ascii="Bookman Old Style" w:hAnsi="Bookman Old Style"/>
          <w:b/>
        </w:rPr>
        <w:t>6</w:t>
      </w:r>
      <w:r w:rsidRPr="002A782A">
        <w:rPr>
          <w:rFonts w:ascii="Bookman Old Style" w:hAnsi="Bookman Old Style"/>
          <w:b/>
        </w:rPr>
        <w:t xml:space="preserve">. </w:t>
      </w:r>
      <w:r w:rsidR="00BC6FE6">
        <w:rPr>
          <w:rFonts w:ascii="Bookman Old Style" w:hAnsi="Bookman Old Style"/>
          <w:b/>
        </w:rPr>
        <w:t>Asignación c</w:t>
      </w:r>
      <w:r>
        <w:rPr>
          <w:rFonts w:ascii="Bookman Old Style" w:hAnsi="Bookman Old Style"/>
          <w:b/>
        </w:rPr>
        <w:t>osto auditoría.</w:t>
      </w:r>
      <w:r w:rsidR="00BC6FE6" w:rsidRPr="00BB09CE">
        <w:rPr>
          <w:rFonts w:ascii="Bookman Old Style" w:hAnsi="Bookman Old Style"/>
          <w:bCs/>
        </w:rPr>
        <w:t xml:space="preserve"> </w:t>
      </w:r>
      <w:r w:rsidR="00BB09CE" w:rsidRPr="00BB09CE">
        <w:rPr>
          <w:rFonts w:ascii="Bookman Old Style" w:hAnsi="Bookman Old Style"/>
          <w:bCs/>
        </w:rPr>
        <w:t xml:space="preserve">Los costos </w:t>
      </w:r>
      <w:r w:rsidR="00BB09CE">
        <w:rPr>
          <w:rFonts w:ascii="Bookman Old Style" w:hAnsi="Bookman Old Style"/>
          <w:bCs/>
        </w:rPr>
        <w:t>de la auditoría serán asumidos por la demanda, para lo cual, el ASIC los incluirá dentro del costo de las restricciones del mes posterior a la finalización de la auditoría.</w:t>
      </w:r>
    </w:p>
    <w:p w14:paraId="7AACB7E3" w14:textId="77777777" w:rsidR="00BC6FE6" w:rsidRDefault="00BC6FE6" w:rsidP="00222FA7">
      <w:pPr>
        <w:ind w:left="0"/>
        <w:jc w:val="both"/>
        <w:rPr>
          <w:rFonts w:ascii="Bookman Old Style" w:hAnsi="Bookman Old Style"/>
          <w:b/>
        </w:rPr>
      </w:pPr>
    </w:p>
    <w:p w14:paraId="753E8BE3" w14:textId="5FDD4EBF" w:rsidR="005E0A23" w:rsidRDefault="00222FA7" w:rsidP="00B11EEE">
      <w:pPr>
        <w:ind w:left="0"/>
        <w:jc w:val="both"/>
        <w:rPr>
          <w:rFonts w:ascii="Bookman Old Style" w:hAnsi="Bookman Old Style"/>
        </w:rPr>
      </w:pPr>
      <w:r w:rsidRPr="002A782A">
        <w:rPr>
          <w:rFonts w:ascii="Bookman Old Style" w:hAnsi="Bookman Old Style"/>
          <w:b/>
        </w:rPr>
        <w:t xml:space="preserve">Artículo </w:t>
      </w:r>
      <w:r w:rsidR="003805BA">
        <w:rPr>
          <w:rFonts w:ascii="Bookman Old Style" w:hAnsi="Bookman Old Style"/>
          <w:b/>
        </w:rPr>
        <w:t>7</w:t>
      </w:r>
      <w:r w:rsidRPr="002A782A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 xml:space="preserve">Vigencia. </w:t>
      </w:r>
      <w:r>
        <w:rPr>
          <w:rFonts w:ascii="Bookman Old Style" w:hAnsi="Bookman Old Style"/>
        </w:rPr>
        <w:t xml:space="preserve">Esta resolución rige a partir de su publicación en el </w:t>
      </w:r>
      <w:r w:rsidRPr="00800C48">
        <w:rPr>
          <w:rFonts w:ascii="Bookman Old Style" w:hAnsi="Bookman Old Style"/>
          <w:i/>
        </w:rPr>
        <w:t>Diario Oficial</w:t>
      </w:r>
      <w:r w:rsidR="008D6D5A">
        <w:rPr>
          <w:rFonts w:ascii="Bookman Old Style" w:hAnsi="Bookman Old Style"/>
        </w:rPr>
        <w:t>.</w:t>
      </w:r>
      <w:r w:rsidR="00B11EEE" w:rsidRPr="00B11EEE">
        <w:rPr>
          <w:rFonts w:ascii="Bookman Old Style" w:hAnsi="Bookman Old Style"/>
        </w:rPr>
        <w:t xml:space="preserve"> </w:t>
      </w:r>
      <w:r w:rsidR="00B11EEE">
        <w:rPr>
          <w:rFonts w:ascii="Bookman Old Style" w:hAnsi="Bookman Old Style"/>
        </w:rPr>
        <w:t xml:space="preserve"> </w:t>
      </w:r>
    </w:p>
    <w:p w14:paraId="3DBC4B9D" w14:textId="7BADABB6" w:rsidR="00DC2D65" w:rsidRDefault="00DC2D65" w:rsidP="00D35A92">
      <w:pPr>
        <w:ind w:left="0"/>
        <w:rPr>
          <w:rFonts w:ascii="Bookman Old Style" w:hAnsi="Bookman Old Style"/>
        </w:rPr>
      </w:pPr>
    </w:p>
    <w:p w14:paraId="50A1519D" w14:textId="77777777" w:rsidR="00DC2D65" w:rsidRDefault="00DC2D65" w:rsidP="00D35A92">
      <w:pPr>
        <w:ind w:left="0"/>
        <w:rPr>
          <w:rFonts w:ascii="Bookman Old Style" w:hAnsi="Bookman Old Style"/>
        </w:rPr>
      </w:pPr>
    </w:p>
    <w:p w14:paraId="3996679A" w14:textId="77777777" w:rsidR="00D35A92" w:rsidRPr="00C435C3" w:rsidRDefault="00D35A92" w:rsidP="00D35A92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14:paraId="71D117C0" w14:textId="77777777" w:rsidR="00567D5D" w:rsidRDefault="00567D5D" w:rsidP="00D35A92">
      <w:pPr>
        <w:ind w:left="0"/>
        <w:rPr>
          <w:rFonts w:ascii="Bookman Old Style" w:hAnsi="Bookman Old Style"/>
        </w:rPr>
      </w:pPr>
    </w:p>
    <w:p w14:paraId="0D6C48E0" w14:textId="285CFDFE" w:rsidR="00567D5D" w:rsidRDefault="002A6975" w:rsidP="002A6975">
      <w:pPr>
        <w:tabs>
          <w:tab w:val="left" w:pos="6285"/>
        </w:tabs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5A66939" w14:textId="0E3476BF" w:rsidR="008D4BA7" w:rsidRDefault="00642ECC" w:rsidP="00D35A92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 del Proyecto</w:t>
      </w:r>
    </w:p>
    <w:p w14:paraId="276251A2" w14:textId="77777777" w:rsidR="00B83B7B" w:rsidRDefault="00B83B7B" w:rsidP="00D35A92">
      <w:pPr>
        <w:ind w:left="0"/>
        <w:rPr>
          <w:rFonts w:ascii="Bookman Old Style" w:hAnsi="Bookman Old Style"/>
        </w:rPr>
      </w:pPr>
    </w:p>
    <w:p w14:paraId="4440BA3F" w14:textId="7C781FA1" w:rsidR="00D35A92" w:rsidRDefault="005F2591" w:rsidP="00D35A92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</w:p>
    <w:p w14:paraId="155B92D6" w14:textId="04B50F87" w:rsidR="00EC6015" w:rsidRDefault="00EC6015" w:rsidP="00D35A92">
      <w:pPr>
        <w:ind w:left="0"/>
        <w:rPr>
          <w:rFonts w:ascii="Bookman Old Style" w:hAnsi="Bookman Old Style"/>
        </w:rPr>
      </w:pPr>
    </w:p>
    <w:p w14:paraId="31215EE6" w14:textId="7242C71E" w:rsidR="00C62653" w:rsidRDefault="00C62653" w:rsidP="00D35A92">
      <w:pPr>
        <w:ind w:left="0"/>
        <w:rPr>
          <w:rFonts w:ascii="Bookman Old Style" w:hAnsi="Bookman Old Style"/>
        </w:rPr>
      </w:pPr>
    </w:p>
    <w:tbl>
      <w:tblPr>
        <w:tblW w:w="9498" w:type="dxa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4536"/>
        <w:gridCol w:w="142"/>
      </w:tblGrid>
      <w:tr w:rsidR="002A6975" w:rsidRPr="00B64D62" w14:paraId="2E550C36" w14:textId="77777777" w:rsidTr="002A6975">
        <w:trPr>
          <w:tblCellSpacing w:w="0" w:type="dxa"/>
        </w:trPr>
        <w:tc>
          <w:tcPr>
            <w:tcW w:w="4820" w:type="dxa"/>
            <w:gridSpan w:val="2"/>
            <w:shd w:val="clear" w:color="auto" w:fill="FFFFFF" w:themeFill="background1"/>
          </w:tcPr>
          <w:p w14:paraId="41F88795" w14:textId="77777777" w:rsidR="002A6975" w:rsidRPr="0035698E" w:rsidRDefault="002A6975" w:rsidP="00CF00DE">
            <w:pPr>
              <w:ind w:left="0"/>
              <w:jc w:val="center"/>
              <w:rPr>
                <w:rFonts w:ascii="Bookman Old Style" w:hAnsi="Bookman Old Style" w:cs="Arial"/>
                <w:lang w:val="es-CO" w:eastAsia="es-CO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76762ACE" w14:textId="77777777" w:rsidR="002A6975" w:rsidRPr="00B64D62" w:rsidRDefault="002A6975" w:rsidP="00CF00DE">
            <w:pPr>
              <w:ind w:left="0"/>
              <w:rPr>
                <w:rFonts w:ascii="Bookman Old Style" w:hAnsi="Bookman Old Style" w:cs="Arial"/>
                <w:sz w:val="23"/>
                <w:szCs w:val="23"/>
                <w:lang w:val="es-CO" w:eastAsia="es-CO"/>
              </w:rPr>
            </w:pPr>
          </w:p>
        </w:tc>
      </w:tr>
      <w:tr w:rsidR="002A6975" w:rsidRPr="00576D9E" w14:paraId="6DE84031" w14:textId="77777777" w:rsidTr="002A6975">
        <w:trPr>
          <w:tblCellSpacing w:w="0" w:type="dxa"/>
        </w:trPr>
        <w:tc>
          <w:tcPr>
            <w:tcW w:w="4820" w:type="dxa"/>
            <w:gridSpan w:val="2"/>
            <w:shd w:val="clear" w:color="auto" w:fill="FFFFFF" w:themeFill="background1"/>
          </w:tcPr>
          <w:p w14:paraId="0FC23256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2811C1FE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4C4C0251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1B01BD7D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2A6975">
              <w:rPr>
                <w:rFonts w:ascii="Bookman Old Style" w:hAnsi="Bookman Old Style" w:cs="Arial"/>
                <w:b/>
                <w:spacing w:val="-3"/>
              </w:rPr>
              <w:t>MIGUEL LOTERO ROBLEDO</w:t>
            </w: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2CCF12A4" w14:textId="77777777" w:rsidR="002A6975" w:rsidRPr="002A6975" w:rsidRDefault="002A6975" w:rsidP="00CF00DE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1F0AFA31" w14:textId="77777777" w:rsidR="002A6975" w:rsidRPr="002A6975" w:rsidRDefault="002A6975" w:rsidP="00CF00DE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032CF0C3" w14:textId="77777777" w:rsidR="002A6975" w:rsidRPr="002A6975" w:rsidRDefault="002A6975" w:rsidP="00CF00DE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  <w:p w14:paraId="6E1D1CD6" w14:textId="77777777" w:rsidR="002A6975" w:rsidRPr="002A6975" w:rsidRDefault="002A6975" w:rsidP="00CF00DE">
            <w:pPr>
              <w:ind w:left="142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2A6975">
              <w:rPr>
                <w:rFonts w:ascii="Bookman Old Style" w:hAnsi="Bookman Old Style" w:cs="Arial"/>
                <w:b/>
                <w:spacing w:val="-3"/>
              </w:rPr>
              <w:t>JORGE ALBERTO VALENCIA MARÍN</w:t>
            </w:r>
          </w:p>
        </w:tc>
      </w:tr>
      <w:tr w:rsidR="002A6975" w:rsidRPr="00D472A2" w14:paraId="2CF6CBF7" w14:textId="77777777" w:rsidTr="002A6975">
        <w:trPr>
          <w:tblCellSpacing w:w="0" w:type="dxa"/>
        </w:trPr>
        <w:tc>
          <w:tcPr>
            <w:tcW w:w="4820" w:type="dxa"/>
            <w:gridSpan w:val="2"/>
            <w:shd w:val="clear" w:color="auto" w:fill="FFFFFF" w:themeFill="background1"/>
          </w:tcPr>
          <w:p w14:paraId="01F391B7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Viceministro de Energía</w:t>
            </w:r>
          </w:p>
          <w:p w14:paraId="7829BAF8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Delegado del Ministro de Minas y Energía</w:t>
            </w:r>
          </w:p>
          <w:p w14:paraId="73F6C3B7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Presidente</w:t>
            </w: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5CBF2B8E" w14:textId="77777777" w:rsidR="002A6975" w:rsidRPr="002A6975" w:rsidRDefault="002A6975" w:rsidP="00CF00DE">
            <w:pPr>
              <w:ind w:left="142"/>
              <w:jc w:val="center"/>
              <w:rPr>
                <w:rFonts w:ascii="Bookman Old Style" w:hAnsi="Bookman Old Style" w:cs="Arial"/>
                <w:bCs/>
                <w:spacing w:val="-3"/>
              </w:rPr>
            </w:pPr>
            <w:r w:rsidRPr="002A6975">
              <w:rPr>
                <w:rFonts w:ascii="Bookman Old Style" w:hAnsi="Bookman Old Style" w:cs="Arial"/>
                <w:bCs/>
                <w:spacing w:val="-3"/>
              </w:rPr>
              <w:t>Director Ejecutivo</w:t>
            </w:r>
          </w:p>
        </w:tc>
      </w:tr>
      <w:tr w:rsidR="002A6975" w:rsidRPr="00D472A2" w14:paraId="2F1364F5" w14:textId="77777777" w:rsidTr="002A6975">
        <w:trPr>
          <w:tblCellSpacing w:w="0" w:type="dxa"/>
        </w:trPr>
        <w:tc>
          <w:tcPr>
            <w:tcW w:w="4820" w:type="dxa"/>
            <w:gridSpan w:val="2"/>
            <w:shd w:val="clear" w:color="auto" w:fill="FFFFFF" w:themeFill="background1"/>
          </w:tcPr>
          <w:p w14:paraId="12FB935B" w14:textId="77777777" w:rsidR="002A6975" w:rsidRPr="002A6975" w:rsidRDefault="002A6975" w:rsidP="00CF00DE">
            <w:pPr>
              <w:ind w:left="0"/>
              <w:jc w:val="center"/>
              <w:rPr>
                <w:rFonts w:ascii="Bookman Old Style" w:hAnsi="Bookman Old Style" w:cs="Arial"/>
                <w:lang w:val="es-CO" w:eastAsia="es-CO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5850CE9E" w14:textId="77777777" w:rsidR="002A6975" w:rsidRPr="002A6975" w:rsidRDefault="002A6975" w:rsidP="00CF00DE">
            <w:pPr>
              <w:ind w:left="142"/>
              <w:jc w:val="center"/>
              <w:rPr>
                <w:rFonts w:ascii="Bookman Old Style" w:hAnsi="Bookman Old Style" w:cs="Arial"/>
                <w:sz w:val="23"/>
                <w:szCs w:val="23"/>
                <w:lang w:val="es-CO" w:eastAsia="es-CO"/>
              </w:rPr>
            </w:pPr>
          </w:p>
        </w:tc>
      </w:tr>
      <w:tr w:rsidR="00EC6015" w:rsidRPr="00B64D62" w14:paraId="1EA92974" w14:textId="77777777" w:rsidTr="002A6975">
        <w:trPr>
          <w:gridAfter w:val="1"/>
          <w:wAfter w:w="142" w:type="dxa"/>
          <w:tblCellSpacing w:w="0" w:type="dxa"/>
        </w:trPr>
        <w:tc>
          <w:tcPr>
            <w:tcW w:w="4678" w:type="dxa"/>
            <w:shd w:val="clear" w:color="auto" w:fill="FFFFFF" w:themeFill="background1"/>
          </w:tcPr>
          <w:p w14:paraId="6B691B4B" w14:textId="056D0229" w:rsidR="00EC6015" w:rsidRPr="00B64D62" w:rsidRDefault="00EC6015" w:rsidP="005D70B8">
            <w:pPr>
              <w:ind w:left="0"/>
              <w:jc w:val="center"/>
              <w:rPr>
                <w:rFonts w:ascii="Bookman Old Style" w:hAnsi="Bookman Old Style" w:cs="Arial"/>
                <w:lang w:val="es-CO" w:eastAsia="es-CO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3A490748" w14:textId="6DF5AFFA" w:rsidR="00EC6015" w:rsidRPr="00B64D62" w:rsidRDefault="00EC6015" w:rsidP="005D70B8">
            <w:pPr>
              <w:ind w:left="142"/>
              <w:rPr>
                <w:rFonts w:ascii="Bookman Old Style" w:hAnsi="Bookman Old Style" w:cs="Arial"/>
                <w:lang w:val="es-CO" w:eastAsia="es-CO"/>
              </w:rPr>
            </w:pPr>
          </w:p>
        </w:tc>
      </w:tr>
    </w:tbl>
    <w:p w14:paraId="3431DB03" w14:textId="77777777" w:rsidR="00DC2D65" w:rsidRDefault="00DC2D65" w:rsidP="009868DB">
      <w:pPr>
        <w:ind w:left="0"/>
        <w:rPr>
          <w:rFonts w:ascii="Bookman Old Style" w:hAnsi="Bookman Old Style"/>
          <w:b/>
        </w:rPr>
      </w:pPr>
    </w:p>
    <w:sectPr w:rsidR="00DC2D65" w:rsidSect="008A254E">
      <w:headerReference w:type="default" r:id="rId14"/>
      <w:headerReference w:type="first" r:id="rId15"/>
      <w:type w:val="continuous"/>
      <w:pgSz w:w="12242" w:h="18722" w:code="11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B0C8E" w14:textId="77777777" w:rsidR="003C0C06" w:rsidRDefault="003C0C06">
      <w:r>
        <w:separator/>
      </w:r>
    </w:p>
  </w:endnote>
  <w:endnote w:type="continuationSeparator" w:id="0">
    <w:p w14:paraId="6A5806A0" w14:textId="77777777" w:rsidR="003C0C06" w:rsidRDefault="003C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7A29D" w14:textId="77777777" w:rsidR="003C0C06" w:rsidRDefault="003C0C06">
      <w:r>
        <w:separator/>
      </w:r>
    </w:p>
  </w:footnote>
  <w:footnote w:type="continuationSeparator" w:id="0">
    <w:p w14:paraId="1CAED3A2" w14:textId="77777777" w:rsidR="003C0C06" w:rsidRDefault="003C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F9C9" w14:textId="77777777" w:rsidR="00CC51D4" w:rsidRDefault="00CC51D4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0D8D6D0A" w14:textId="353D94CE" w:rsidR="0087657D" w:rsidRPr="00951F79" w:rsidRDefault="00725FA4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 w:rsidR="00951F79">
      <w:rPr>
        <w:rFonts w:ascii="Bookman Old Style" w:hAnsi="Bookman Old Style" w:cs="Arial"/>
        <w:b w:val="0"/>
        <w:sz w:val="22"/>
        <w:szCs w:val="22"/>
      </w:rPr>
      <w:t xml:space="preserve"> </w:t>
    </w:r>
    <w:r w:rsidR="002A6975">
      <w:rPr>
        <w:rFonts w:ascii="Bookman Old Style" w:hAnsi="Bookman Old Style" w:cs="Arial"/>
        <w:b w:val="0"/>
        <w:sz w:val="22"/>
        <w:szCs w:val="22"/>
        <w:u w:val="single"/>
      </w:rPr>
      <w:t xml:space="preserve">      147         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 w:rsidR="00886EE1">
      <w:rPr>
        <w:rFonts w:ascii="Bookman Old Style" w:hAnsi="Bookman Old Style" w:cs="Arial"/>
        <w:b w:val="0"/>
        <w:sz w:val="22"/>
        <w:szCs w:val="22"/>
      </w:rPr>
      <w:t>DE</w:t>
    </w:r>
    <w:r w:rsidR="000D26F8">
      <w:rPr>
        <w:rFonts w:ascii="Bookman Old Style" w:hAnsi="Bookman Old Style" w:cs="Arial"/>
        <w:b w:val="0"/>
        <w:sz w:val="22"/>
        <w:szCs w:val="22"/>
      </w:rPr>
      <w:t xml:space="preserve"> </w:t>
    </w:r>
    <w:r w:rsidR="002A6975">
      <w:rPr>
        <w:rFonts w:ascii="Bookman Old Style" w:hAnsi="Bookman Old Style" w:cs="Arial"/>
        <w:b w:val="0"/>
        <w:sz w:val="22"/>
        <w:szCs w:val="22"/>
      </w:rPr>
      <w:t xml:space="preserve">  </w:t>
    </w:r>
    <w:r w:rsidR="002A6975">
      <w:rPr>
        <w:rFonts w:ascii="Bookman Old Style" w:hAnsi="Bookman Old Style" w:cs="Arial"/>
        <w:b w:val="0"/>
        <w:sz w:val="22"/>
        <w:szCs w:val="22"/>
        <w:u w:val="single"/>
      </w:rPr>
      <w:t xml:space="preserve">     17 JUL.2020        </w:t>
    </w:r>
    <w:r w:rsidR="003D076C"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>HOJA No.</w:t>
    </w:r>
    <w:r w:rsidR="00593C4F" w:rsidRPr="00654384">
      <w:rPr>
        <w:rFonts w:ascii="Bookman Old Style" w:hAnsi="Bookman Old Style" w:cs="Arial"/>
        <w:b w:val="0"/>
        <w:sz w:val="22"/>
        <w:szCs w:val="22"/>
      </w:rPr>
      <w:t xml:space="preserve"> </w:t>
    </w:r>
    <w:r w:rsidR="000E24BB"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="00593C4F"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="000E24BB"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5567FF">
      <w:rPr>
        <w:rFonts w:ascii="Bookman Old Style" w:hAnsi="Bookman Old Style" w:cs="Arial"/>
        <w:b w:val="0"/>
        <w:noProof/>
        <w:sz w:val="22"/>
        <w:szCs w:val="22"/>
      </w:rPr>
      <w:t>2</w:t>
    </w:r>
    <w:r w:rsidR="000E24BB"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141C57">
      <w:fldChar w:fldCharType="begin"/>
    </w:r>
    <w:r w:rsidR="00141C57">
      <w:instrText>NUMPAGES  \* MERGEFORMAT</w:instrText>
    </w:r>
    <w:r w:rsidR="00141C57">
      <w:fldChar w:fldCharType="separate"/>
    </w:r>
    <w:r w:rsidR="005567FF" w:rsidRPr="005567FF">
      <w:rPr>
        <w:rFonts w:ascii="Bookman Old Style" w:hAnsi="Bookman Old Style" w:cs="Arial"/>
        <w:b w:val="0"/>
        <w:noProof/>
        <w:sz w:val="22"/>
        <w:szCs w:val="22"/>
      </w:rPr>
      <w:t>8</w:t>
    </w:r>
    <w:r w:rsidR="00141C57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14:paraId="059CC405" w14:textId="77777777" w:rsidR="006F6D95" w:rsidRDefault="0000172A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119726" wp14:editId="49E087D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820E077">
            <v:rect id="Rectangle 1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6CA87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/>
          </w:pict>
        </mc:Fallback>
      </mc:AlternateContent>
    </w:r>
  </w:p>
  <w:p w14:paraId="68014521" w14:textId="525453AB" w:rsidR="0093366E" w:rsidRPr="009F3785" w:rsidRDefault="009F3785" w:rsidP="009A0A66">
    <w:pPr>
      <w:ind w:left="0"/>
      <w:jc w:val="both"/>
      <w:rPr>
        <w:rFonts w:ascii="Bookman Old Style" w:hAnsi="Bookman Old Style"/>
        <w:i/>
        <w:sz w:val="20"/>
        <w:szCs w:val="20"/>
      </w:rPr>
    </w:pPr>
    <w:r w:rsidRPr="009F3785">
      <w:rPr>
        <w:rFonts w:ascii="Bookman Old Style" w:hAnsi="Bookman Old Style"/>
        <w:i/>
        <w:sz w:val="22"/>
        <w:szCs w:val="22"/>
      </w:rPr>
      <w:t>Por la cual se define el esquema de auditoría de la información reportada sobre costos de suministro de combustible y transporte de combustible declarados por los agentes generadores</w:t>
    </w:r>
  </w:p>
  <w:p w14:paraId="4FD0CEAA" w14:textId="77777777" w:rsidR="0044318E" w:rsidRPr="00045D3D" w:rsidRDefault="0044318E" w:rsidP="00726540">
    <w:pPr>
      <w:pBdr>
        <w:bottom w:val="single" w:sz="4" w:space="1" w:color="auto"/>
      </w:pBdr>
      <w:ind w:left="0" w:right="148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B59B5" w14:textId="77777777" w:rsidR="00725FA4" w:rsidRDefault="00025383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</w:t>
    </w:r>
    <w:r w:rsidR="00725FA4">
      <w:rPr>
        <w:rFonts w:ascii="Arial" w:hAnsi="Arial" w:cs="Arial"/>
        <w:spacing w:val="20"/>
        <w:sz w:val="20"/>
      </w:rPr>
      <w:t>República de Colombia</w:t>
    </w:r>
  </w:p>
  <w:p w14:paraId="014D4109" w14:textId="77777777" w:rsidR="00725FA4" w:rsidRDefault="00725FA4">
    <w:pPr>
      <w:pStyle w:val="Encabezado"/>
      <w:jc w:val="center"/>
      <w:rPr>
        <w:rFonts w:ascii="Arial" w:hAnsi="Arial" w:cs="Arial"/>
        <w:spacing w:val="20"/>
        <w:sz w:val="20"/>
      </w:rPr>
    </w:pPr>
  </w:p>
  <w:p w14:paraId="0BC4A64D" w14:textId="77777777" w:rsidR="00725FA4" w:rsidRDefault="0000172A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80079" wp14:editId="24C6F2BB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45CBFFF">
            <v:rect id="Rectangle 2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1D5A4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2C44145"/>
    <w:multiLevelType w:val="hybridMultilevel"/>
    <w:tmpl w:val="7F42844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C2060"/>
    <w:multiLevelType w:val="hybridMultilevel"/>
    <w:tmpl w:val="5FE2D7EE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EB7F30"/>
    <w:multiLevelType w:val="hybridMultilevel"/>
    <w:tmpl w:val="759430F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97A4E"/>
    <w:multiLevelType w:val="hybridMultilevel"/>
    <w:tmpl w:val="A5C26F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D506A"/>
    <w:multiLevelType w:val="hybridMultilevel"/>
    <w:tmpl w:val="54E4313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760"/>
    <w:multiLevelType w:val="hybridMultilevel"/>
    <w:tmpl w:val="3B3845EA"/>
    <w:lvl w:ilvl="0" w:tplc="794AAE5A">
      <w:start w:val="1"/>
      <w:numFmt w:val="lowerRoman"/>
      <w:lvlText w:val="%1."/>
      <w:lvlJc w:val="right"/>
      <w:pPr>
        <w:ind w:left="720" w:hanging="360"/>
      </w:pPr>
      <w:rPr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188B"/>
    <w:multiLevelType w:val="multilevel"/>
    <w:tmpl w:val="33AA4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981241"/>
    <w:multiLevelType w:val="multilevel"/>
    <w:tmpl w:val="601ED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892648"/>
    <w:multiLevelType w:val="hybridMultilevel"/>
    <w:tmpl w:val="ADDC528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06C15"/>
    <w:multiLevelType w:val="hybridMultilevel"/>
    <w:tmpl w:val="839432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5" w15:restartNumberingAfterBreak="0">
    <w:nsid w:val="4BA53677"/>
    <w:multiLevelType w:val="hybridMultilevel"/>
    <w:tmpl w:val="47666632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EC3478"/>
    <w:multiLevelType w:val="hybridMultilevel"/>
    <w:tmpl w:val="97ECA19E"/>
    <w:lvl w:ilvl="0" w:tplc="45808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F82EC8"/>
    <w:multiLevelType w:val="hybridMultilevel"/>
    <w:tmpl w:val="F38E343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5C0AC8"/>
    <w:multiLevelType w:val="hybridMultilevel"/>
    <w:tmpl w:val="BA9A156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B7C7F"/>
    <w:multiLevelType w:val="hybridMultilevel"/>
    <w:tmpl w:val="A99692EA"/>
    <w:lvl w:ilvl="0" w:tplc="C83EA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142DD"/>
    <w:multiLevelType w:val="hybridMultilevel"/>
    <w:tmpl w:val="A15A8124"/>
    <w:lvl w:ilvl="0" w:tplc="5162A2F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505C81"/>
    <w:multiLevelType w:val="hybridMultilevel"/>
    <w:tmpl w:val="F7900FB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F2162B"/>
    <w:multiLevelType w:val="hybridMultilevel"/>
    <w:tmpl w:val="2F5EB3E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B58DE"/>
    <w:multiLevelType w:val="hybridMultilevel"/>
    <w:tmpl w:val="EFD675FE"/>
    <w:lvl w:ilvl="0" w:tplc="C51EC30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sz w:val="22"/>
      </w:rPr>
    </w:lvl>
    <w:lvl w:ilvl="1" w:tplc="D386534A">
      <w:start w:val="1"/>
      <w:numFmt w:val="decimal"/>
      <w:lvlText w:val="%2."/>
      <w:lvlJc w:val="left"/>
      <w:pPr>
        <w:tabs>
          <w:tab w:val="num" w:pos="1785"/>
        </w:tabs>
        <w:ind w:left="1765" w:hanging="340"/>
      </w:pPr>
      <w:rPr>
        <w:rFonts w:ascii="Times New Roman" w:hAnsi="Times New Roman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74EB3507"/>
    <w:multiLevelType w:val="hybridMultilevel"/>
    <w:tmpl w:val="FBAA3F2A"/>
    <w:lvl w:ilvl="0" w:tplc="17C2B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24E32"/>
    <w:multiLevelType w:val="hybridMultilevel"/>
    <w:tmpl w:val="1922A8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0052E6"/>
    <w:multiLevelType w:val="hybridMultilevel"/>
    <w:tmpl w:val="256C1FC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B">
      <w:start w:val="1"/>
      <w:numFmt w:val="lowerRoman"/>
      <w:lvlText w:val="%2."/>
      <w:lvlJc w:val="right"/>
      <w:pPr>
        <w:ind w:left="1080" w:hanging="360"/>
      </w:pPr>
    </w:lvl>
    <w:lvl w:ilvl="2" w:tplc="240A000F">
      <w:start w:val="1"/>
      <w:numFmt w:val="decimal"/>
      <w:lvlText w:val="%3."/>
      <w:lvlJc w:val="lef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417AE2"/>
    <w:multiLevelType w:val="hybridMultilevel"/>
    <w:tmpl w:val="095EE02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0702F8"/>
    <w:multiLevelType w:val="hybridMultilevel"/>
    <w:tmpl w:val="1A88203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44"/>
  </w:num>
  <w:num w:numId="4">
    <w:abstractNumId w:val="11"/>
  </w:num>
  <w:num w:numId="5">
    <w:abstractNumId w:val="32"/>
  </w:num>
  <w:num w:numId="6">
    <w:abstractNumId w:val="5"/>
  </w:num>
  <w:num w:numId="7">
    <w:abstractNumId w:val="4"/>
  </w:num>
  <w:num w:numId="8">
    <w:abstractNumId w:val="35"/>
  </w:num>
  <w:num w:numId="9">
    <w:abstractNumId w:val="33"/>
  </w:num>
  <w:num w:numId="10">
    <w:abstractNumId w:val="23"/>
  </w:num>
  <w:num w:numId="11">
    <w:abstractNumId w:val="46"/>
  </w:num>
  <w:num w:numId="12">
    <w:abstractNumId w:val="38"/>
  </w:num>
  <w:num w:numId="13">
    <w:abstractNumId w:val="17"/>
  </w:num>
  <w:num w:numId="14">
    <w:abstractNumId w:val="2"/>
  </w:num>
  <w:num w:numId="15">
    <w:abstractNumId w:val="24"/>
  </w:num>
  <w:num w:numId="16">
    <w:abstractNumId w:val="1"/>
  </w:num>
  <w:num w:numId="17">
    <w:abstractNumId w:val="16"/>
  </w:num>
  <w:num w:numId="18">
    <w:abstractNumId w:val="0"/>
  </w:num>
  <w:num w:numId="19">
    <w:abstractNumId w:val="37"/>
  </w:num>
  <w:num w:numId="20">
    <w:abstractNumId w:val="28"/>
  </w:num>
  <w:num w:numId="21">
    <w:abstractNumId w:val="12"/>
  </w:num>
  <w:num w:numId="22">
    <w:abstractNumId w:val="15"/>
  </w:num>
  <w:num w:numId="23">
    <w:abstractNumId w:val="19"/>
  </w:num>
  <w:num w:numId="24">
    <w:abstractNumId w:val="13"/>
  </w:num>
  <w:num w:numId="25">
    <w:abstractNumId w:val="18"/>
  </w:num>
  <w:num w:numId="26">
    <w:abstractNumId w:val="34"/>
  </w:num>
  <w:num w:numId="27">
    <w:abstractNumId w:val="29"/>
  </w:num>
  <w:num w:numId="28">
    <w:abstractNumId w:val="31"/>
  </w:num>
  <w:num w:numId="29">
    <w:abstractNumId w:val="27"/>
  </w:num>
  <w:num w:numId="30">
    <w:abstractNumId w:val="10"/>
  </w:num>
  <w:num w:numId="31">
    <w:abstractNumId w:val="26"/>
  </w:num>
  <w:num w:numId="32">
    <w:abstractNumId w:val="40"/>
  </w:num>
  <w:num w:numId="33">
    <w:abstractNumId w:val="20"/>
  </w:num>
  <w:num w:numId="34">
    <w:abstractNumId w:val="43"/>
  </w:num>
  <w:num w:numId="35">
    <w:abstractNumId w:val="9"/>
  </w:num>
  <w:num w:numId="36">
    <w:abstractNumId w:val="21"/>
  </w:num>
  <w:num w:numId="37">
    <w:abstractNumId w:val="3"/>
  </w:num>
  <w:num w:numId="38">
    <w:abstractNumId w:val="45"/>
  </w:num>
  <w:num w:numId="39">
    <w:abstractNumId w:val="7"/>
  </w:num>
  <w:num w:numId="40">
    <w:abstractNumId w:val="39"/>
  </w:num>
  <w:num w:numId="41">
    <w:abstractNumId w:val="41"/>
  </w:num>
  <w:num w:numId="42">
    <w:abstractNumId w:val="14"/>
  </w:num>
  <w:num w:numId="43">
    <w:abstractNumId w:val="25"/>
  </w:num>
  <w:num w:numId="44">
    <w:abstractNumId w:val="30"/>
  </w:num>
  <w:num w:numId="45">
    <w:abstractNumId w:val="42"/>
  </w:num>
  <w:num w:numId="46">
    <w:abstractNumId w:val="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186"/>
    <w:rsid w:val="0000172A"/>
    <w:rsid w:val="00002C80"/>
    <w:rsid w:val="000044C4"/>
    <w:rsid w:val="00006AE2"/>
    <w:rsid w:val="000076A1"/>
    <w:rsid w:val="00011FEC"/>
    <w:rsid w:val="000121F8"/>
    <w:rsid w:val="00012259"/>
    <w:rsid w:val="00012456"/>
    <w:rsid w:val="0001431B"/>
    <w:rsid w:val="00016A41"/>
    <w:rsid w:val="00022439"/>
    <w:rsid w:val="00022E88"/>
    <w:rsid w:val="0002448D"/>
    <w:rsid w:val="00024B09"/>
    <w:rsid w:val="00025383"/>
    <w:rsid w:val="000319C0"/>
    <w:rsid w:val="00031FBB"/>
    <w:rsid w:val="00034EF2"/>
    <w:rsid w:val="0004274D"/>
    <w:rsid w:val="00045633"/>
    <w:rsid w:val="00045D3D"/>
    <w:rsid w:val="00055E67"/>
    <w:rsid w:val="0005675C"/>
    <w:rsid w:val="00060BD0"/>
    <w:rsid w:val="00063657"/>
    <w:rsid w:val="0006683F"/>
    <w:rsid w:val="000674A0"/>
    <w:rsid w:val="0006770B"/>
    <w:rsid w:val="00067F34"/>
    <w:rsid w:val="00075212"/>
    <w:rsid w:val="00076680"/>
    <w:rsid w:val="00076A1D"/>
    <w:rsid w:val="00077A35"/>
    <w:rsid w:val="0008073E"/>
    <w:rsid w:val="00087362"/>
    <w:rsid w:val="00091CDB"/>
    <w:rsid w:val="00091F1F"/>
    <w:rsid w:val="00093247"/>
    <w:rsid w:val="000934D2"/>
    <w:rsid w:val="000953E3"/>
    <w:rsid w:val="0009716F"/>
    <w:rsid w:val="000A156F"/>
    <w:rsid w:val="000A19AC"/>
    <w:rsid w:val="000B1B7A"/>
    <w:rsid w:val="000B2EC9"/>
    <w:rsid w:val="000B77D0"/>
    <w:rsid w:val="000B7A3C"/>
    <w:rsid w:val="000C13A8"/>
    <w:rsid w:val="000C1911"/>
    <w:rsid w:val="000C28FB"/>
    <w:rsid w:val="000C687E"/>
    <w:rsid w:val="000D0F0F"/>
    <w:rsid w:val="000D113F"/>
    <w:rsid w:val="000D26F8"/>
    <w:rsid w:val="000D3E20"/>
    <w:rsid w:val="000D5294"/>
    <w:rsid w:val="000D52EF"/>
    <w:rsid w:val="000D6838"/>
    <w:rsid w:val="000D7EAE"/>
    <w:rsid w:val="000E24BB"/>
    <w:rsid w:val="000E2D07"/>
    <w:rsid w:val="000E4B55"/>
    <w:rsid w:val="000E7111"/>
    <w:rsid w:val="000F020D"/>
    <w:rsid w:val="00106654"/>
    <w:rsid w:val="0011048E"/>
    <w:rsid w:val="00110C12"/>
    <w:rsid w:val="00111333"/>
    <w:rsid w:val="001144A0"/>
    <w:rsid w:val="00123AD6"/>
    <w:rsid w:val="00124336"/>
    <w:rsid w:val="00125978"/>
    <w:rsid w:val="0012717F"/>
    <w:rsid w:val="001273A6"/>
    <w:rsid w:val="00130379"/>
    <w:rsid w:val="00132F8E"/>
    <w:rsid w:val="00133BDF"/>
    <w:rsid w:val="00134837"/>
    <w:rsid w:val="0013526C"/>
    <w:rsid w:val="00136B9E"/>
    <w:rsid w:val="001405C6"/>
    <w:rsid w:val="00141013"/>
    <w:rsid w:val="00141C57"/>
    <w:rsid w:val="00143F78"/>
    <w:rsid w:val="00144D4B"/>
    <w:rsid w:val="00144DA8"/>
    <w:rsid w:val="00147F08"/>
    <w:rsid w:val="001503FE"/>
    <w:rsid w:val="00153D37"/>
    <w:rsid w:val="001678F4"/>
    <w:rsid w:val="00176803"/>
    <w:rsid w:val="00177CF6"/>
    <w:rsid w:val="00192CBF"/>
    <w:rsid w:val="00192FF1"/>
    <w:rsid w:val="001A5F1B"/>
    <w:rsid w:val="001B0B64"/>
    <w:rsid w:val="001B1C22"/>
    <w:rsid w:val="001B34C6"/>
    <w:rsid w:val="001B3E43"/>
    <w:rsid w:val="001B40D1"/>
    <w:rsid w:val="001B480F"/>
    <w:rsid w:val="001C4163"/>
    <w:rsid w:val="001D14B6"/>
    <w:rsid w:val="001D57D4"/>
    <w:rsid w:val="001D5EF1"/>
    <w:rsid w:val="001D6F9E"/>
    <w:rsid w:val="001D7275"/>
    <w:rsid w:val="001D7832"/>
    <w:rsid w:val="001E144B"/>
    <w:rsid w:val="001E39E7"/>
    <w:rsid w:val="001E739B"/>
    <w:rsid w:val="001F4D7B"/>
    <w:rsid w:val="001F793B"/>
    <w:rsid w:val="002000C0"/>
    <w:rsid w:val="002024C0"/>
    <w:rsid w:val="00204A7D"/>
    <w:rsid w:val="00210DC1"/>
    <w:rsid w:val="00211D34"/>
    <w:rsid w:val="0021250C"/>
    <w:rsid w:val="00214F04"/>
    <w:rsid w:val="00222FA7"/>
    <w:rsid w:val="0022650F"/>
    <w:rsid w:val="00226BDB"/>
    <w:rsid w:val="00226C08"/>
    <w:rsid w:val="002324EF"/>
    <w:rsid w:val="002331D5"/>
    <w:rsid w:val="00233299"/>
    <w:rsid w:val="002352B9"/>
    <w:rsid w:val="00237DF1"/>
    <w:rsid w:val="00241FC7"/>
    <w:rsid w:val="00244689"/>
    <w:rsid w:val="00244C93"/>
    <w:rsid w:val="002475BA"/>
    <w:rsid w:val="00251F98"/>
    <w:rsid w:val="00256229"/>
    <w:rsid w:val="00257699"/>
    <w:rsid w:val="00262216"/>
    <w:rsid w:val="0026363F"/>
    <w:rsid w:val="00263FE7"/>
    <w:rsid w:val="00266CD6"/>
    <w:rsid w:val="002673AC"/>
    <w:rsid w:val="00267FB0"/>
    <w:rsid w:val="002722F3"/>
    <w:rsid w:val="00275DAB"/>
    <w:rsid w:val="0028035B"/>
    <w:rsid w:val="002839E9"/>
    <w:rsid w:val="00283E29"/>
    <w:rsid w:val="002845D2"/>
    <w:rsid w:val="0028757D"/>
    <w:rsid w:val="002903C0"/>
    <w:rsid w:val="002975C5"/>
    <w:rsid w:val="002A2999"/>
    <w:rsid w:val="002A3539"/>
    <w:rsid w:val="002A6975"/>
    <w:rsid w:val="002A782A"/>
    <w:rsid w:val="002B11E2"/>
    <w:rsid w:val="002B24B8"/>
    <w:rsid w:val="002B3197"/>
    <w:rsid w:val="002B6148"/>
    <w:rsid w:val="002C05C1"/>
    <w:rsid w:val="002C2293"/>
    <w:rsid w:val="002D1C38"/>
    <w:rsid w:val="002D3AE9"/>
    <w:rsid w:val="002D4510"/>
    <w:rsid w:val="002D64CE"/>
    <w:rsid w:val="002E24A5"/>
    <w:rsid w:val="002E2D9E"/>
    <w:rsid w:val="002E3A4C"/>
    <w:rsid w:val="002E6509"/>
    <w:rsid w:val="002E70FB"/>
    <w:rsid w:val="002F0734"/>
    <w:rsid w:val="002F4127"/>
    <w:rsid w:val="002F46E7"/>
    <w:rsid w:val="002F56A8"/>
    <w:rsid w:val="002F5772"/>
    <w:rsid w:val="002F7DF6"/>
    <w:rsid w:val="003007AC"/>
    <w:rsid w:val="003011BC"/>
    <w:rsid w:val="00305310"/>
    <w:rsid w:val="003067F4"/>
    <w:rsid w:val="003101DA"/>
    <w:rsid w:val="003111C3"/>
    <w:rsid w:val="00311360"/>
    <w:rsid w:val="00311F98"/>
    <w:rsid w:val="00314638"/>
    <w:rsid w:val="00314757"/>
    <w:rsid w:val="003163BC"/>
    <w:rsid w:val="00320422"/>
    <w:rsid w:val="003211CE"/>
    <w:rsid w:val="003224DA"/>
    <w:rsid w:val="00340D16"/>
    <w:rsid w:val="0034122F"/>
    <w:rsid w:val="00341287"/>
    <w:rsid w:val="00350029"/>
    <w:rsid w:val="00351490"/>
    <w:rsid w:val="0035403A"/>
    <w:rsid w:val="0035568E"/>
    <w:rsid w:val="00356469"/>
    <w:rsid w:val="0035698E"/>
    <w:rsid w:val="00361FD9"/>
    <w:rsid w:val="0036394B"/>
    <w:rsid w:val="00364278"/>
    <w:rsid w:val="00366DB6"/>
    <w:rsid w:val="00367599"/>
    <w:rsid w:val="003709B5"/>
    <w:rsid w:val="003759C2"/>
    <w:rsid w:val="0037788D"/>
    <w:rsid w:val="003805BA"/>
    <w:rsid w:val="003809AB"/>
    <w:rsid w:val="00381302"/>
    <w:rsid w:val="003830F5"/>
    <w:rsid w:val="00386051"/>
    <w:rsid w:val="00386E3F"/>
    <w:rsid w:val="00387381"/>
    <w:rsid w:val="00392029"/>
    <w:rsid w:val="00397365"/>
    <w:rsid w:val="003A31F6"/>
    <w:rsid w:val="003A62FA"/>
    <w:rsid w:val="003B4968"/>
    <w:rsid w:val="003B69B5"/>
    <w:rsid w:val="003B6EEC"/>
    <w:rsid w:val="003C0C06"/>
    <w:rsid w:val="003C19CA"/>
    <w:rsid w:val="003C3282"/>
    <w:rsid w:val="003C3447"/>
    <w:rsid w:val="003D076C"/>
    <w:rsid w:val="003D1212"/>
    <w:rsid w:val="003D3580"/>
    <w:rsid w:val="003D630F"/>
    <w:rsid w:val="003E1663"/>
    <w:rsid w:val="003E2034"/>
    <w:rsid w:val="003E4017"/>
    <w:rsid w:val="003E56A1"/>
    <w:rsid w:val="003E78B5"/>
    <w:rsid w:val="003F2BD5"/>
    <w:rsid w:val="003F373E"/>
    <w:rsid w:val="00404982"/>
    <w:rsid w:val="00415BAB"/>
    <w:rsid w:val="00415ED2"/>
    <w:rsid w:val="0042068C"/>
    <w:rsid w:val="0042202C"/>
    <w:rsid w:val="004235AF"/>
    <w:rsid w:val="004237FD"/>
    <w:rsid w:val="00434056"/>
    <w:rsid w:val="00436B32"/>
    <w:rsid w:val="0043744F"/>
    <w:rsid w:val="00441D45"/>
    <w:rsid w:val="0044318E"/>
    <w:rsid w:val="004437B0"/>
    <w:rsid w:val="00443B35"/>
    <w:rsid w:val="004478DE"/>
    <w:rsid w:val="004522CC"/>
    <w:rsid w:val="004549C1"/>
    <w:rsid w:val="00461757"/>
    <w:rsid w:val="00462DA8"/>
    <w:rsid w:val="00464630"/>
    <w:rsid w:val="00464D1F"/>
    <w:rsid w:val="00466B37"/>
    <w:rsid w:val="00466C07"/>
    <w:rsid w:val="0047122B"/>
    <w:rsid w:val="0047127F"/>
    <w:rsid w:val="004736F4"/>
    <w:rsid w:val="00473B7A"/>
    <w:rsid w:val="00473E47"/>
    <w:rsid w:val="00474309"/>
    <w:rsid w:val="0047772F"/>
    <w:rsid w:val="00480848"/>
    <w:rsid w:val="004811A7"/>
    <w:rsid w:val="004851C6"/>
    <w:rsid w:val="00487FB8"/>
    <w:rsid w:val="0049165F"/>
    <w:rsid w:val="004960E9"/>
    <w:rsid w:val="004A1517"/>
    <w:rsid w:val="004A16FA"/>
    <w:rsid w:val="004A2E88"/>
    <w:rsid w:val="004A5305"/>
    <w:rsid w:val="004B724B"/>
    <w:rsid w:val="004C42DB"/>
    <w:rsid w:val="004C770B"/>
    <w:rsid w:val="004C7E5C"/>
    <w:rsid w:val="004D0880"/>
    <w:rsid w:val="004D471F"/>
    <w:rsid w:val="004D7634"/>
    <w:rsid w:val="004E0731"/>
    <w:rsid w:val="004E18E1"/>
    <w:rsid w:val="004E4FF4"/>
    <w:rsid w:val="004E511B"/>
    <w:rsid w:val="004E58D5"/>
    <w:rsid w:val="004E611A"/>
    <w:rsid w:val="004F018B"/>
    <w:rsid w:val="004F1374"/>
    <w:rsid w:val="004F1A06"/>
    <w:rsid w:val="004F2B6A"/>
    <w:rsid w:val="004F32E5"/>
    <w:rsid w:val="004F6460"/>
    <w:rsid w:val="004F64E6"/>
    <w:rsid w:val="0050199B"/>
    <w:rsid w:val="00503A68"/>
    <w:rsid w:val="00504627"/>
    <w:rsid w:val="005054C8"/>
    <w:rsid w:val="00506775"/>
    <w:rsid w:val="00510A5A"/>
    <w:rsid w:val="00511813"/>
    <w:rsid w:val="0052183B"/>
    <w:rsid w:val="00525F79"/>
    <w:rsid w:val="00526415"/>
    <w:rsid w:val="005300D3"/>
    <w:rsid w:val="00532BE8"/>
    <w:rsid w:val="00533034"/>
    <w:rsid w:val="0054144C"/>
    <w:rsid w:val="00542A10"/>
    <w:rsid w:val="00543861"/>
    <w:rsid w:val="00544F82"/>
    <w:rsid w:val="005509D2"/>
    <w:rsid w:val="00551597"/>
    <w:rsid w:val="005525C4"/>
    <w:rsid w:val="005567FF"/>
    <w:rsid w:val="00557412"/>
    <w:rsid w:val="00565190"/>
    <w:rsid w:val="00567D5D"/>
    <w:rsid w:val="00574A05"/>
    <w:rsid w:val="0058205F"/>
    <w:rsid w:val="005824E2"/>
    <w:rsid w:val="00584945"/>
    <w:rsid w:val="00584AE2"/>
    <w:rsid w:val="005932B2"/>
    <w:rsid w:val="00593C4F"/>
    <w:rsid w:val="005946A8"/>
    <w:rsid w:val="00596C59"/>
    <w:rsid w:val="005A067A"/>
    <w:rsid w:val="005A3761"/>
    <w:rsid w:val="005A418A"/>
    <w:rsid w:val="005A4407"/>
    <w:rsid w:val="005A59EF"/>
    <w:rsid w:val="005B17FB"/>
    <w:rsid w:val="005B1C7E"/>
    <w:rsid w:val="005B26C0"/>
    <w:rsid w:val="005C4C4B"/>
    <w:rsid w:val="005C570E"/>
    <w:rsid w:val="005C6976"/>
    <w:rsid w:val="005E0A23"/>
    <w:rsid w:val="005E49B4"/>
    <w:rsid w:val="005E6CA3"/>
    <w:rsid w:val="005E7740"/>
    <w:rsid w:val="005F2591"/>
    <w:rsid w:val="005F6F41"/>
    <w:rsid w:val="005F777E"/>
    <w:rsid w:val="00602147"/>
    <w:rsid w:val="0061545E"/>
    <w:rsid w:val="00625D1A"/>
    <w:rsid w:val="00625DC6"/>
    <w:rsid w:val="0063551D"/>
    <w:rsid w:val="0063674D"/>
    <w:rsid w:val="006368B3"/>
    <w:rsid w:val="006368FD"/>
    <w:rsid w:val="00636BD7"/>
    <w:rsid w:val="00637967"/>
    <w:rsid w:val="00640689"/>
    <w:rsid w:val="00640BBC"/>
    <w:rsid w:val="00641863"/>
    <w:rsid w:val="00641CF1"/>
    <w:rsid w:val="00641E46"/>
    <w:rsid w:val="00642ECC"/>
    <w:rsid w:val="0064391D"/>
    <w:rsid w:val="0065142A"/>
    <w:rsid w:val="00651821"/>
    <w:rsid w:val="00654384"/>
    <w:rsid w:val="0065645C"/>
    <w:rsid w:val="00657A23"/>
    <w:rsid w:val="006644A5"/>
    <w:rsid w:val="006675CD"/>
    <w:rsid w:val="00676752"/>
    <w:rsid w:val="00677327"/>
    <w:rsid w:val="00681C5A"/>
    <w:rsid w:val="00682862"/>
    <w:rsid w:val="00684D9B"/>
    <w:rsid w:val="0068510A"/>
    <w:rsid w:val="006864B4"/>
    <w:rsid w:val="00687C78"/>
    <w:rsid w:val="00691658"/>
    <w:rsid w:val="00697556"/>
    <w:rsid w:val="006A5AAE"/>
    <w:rsid w:val="006A7D96"/>
    <w:rsid w:val="006B26E5"/>
    <w:rsid w:val="006B45BA"/>
    <w:rsid w:val="006B4647"/>
    <w:rsid w:val="006B4C2B"/>
    <w:rsid w:val="006B5B0A"/>
    <w:rsid w:val="006B6194"/>
    <w:rsid w:val="006B6D47"/>
    <w:rsid w:val="006C3FDE"/>
    <w:rsid w:val="006C5AFE"/>
    <w:rsid w:val="006C7414"/>
    <w:rsid w:val="006D1304"/>
    <w:rsid w:val="006D16F6"/>
    <w:rsid w:val="006D5348"/>
    <w:rsid w:val="006F0F67"/>
    <w:rsid w:val="006F2EC8"/>
    <w:rsid w:val="006F396C"/>
    <w:rsid w:val="006F68C2"/>
    <w:rsid w:val="006F6D95"/>
    <w:rsid w:val="0070197A"/>
    <w:rsid w:val="00706EA3"/>
    <w:rsid w:val="00706F13"/>
    <w:rsid w:val="0070721D"/>
    <w:rsid w:val="007072E8"/>
    <w:rsid w:val="00711886"/>
    <w:rsid w:val="0071618D"/>
    <w:rsid w:val="00725FA4"/>
    <w:rsid w:val="00726540"/>
    <w:rsid w:val="007268C4"/>
    <w:rsid w:val="00726C7B"/>
    <w:rsid w:val="00733DEF"/>
    <w:rsid w:val="00735F98"/>
    <w:rsid w:val="00736C9D"/>
    <w:rsid w:val="00740446"/>
    <w:rsid w:val="007438A9"/>
    <w:rsid w:val="00744505"/>
    <w:rsid w:val="0074491E"/>
    <w:rsid w:val="00750328"/>
    <w:rsid w:val="0075068F"/>
    <w:rsid w:val="0075162D"/>
    <w:rsid w:val="007535E5"/>
    <w:rsid w:val="00754A3A"/>
    <w:rsid w:val="007554BB"/>
    <w:rsid w:val="007577BA"/>
    <w:rsid w:val="00760595"/>
    <w:rsid w:val="0076247A"/>
    <w:rsid w:val="00762B4E"/>
    <w:rsid w:val="00763970"/>
    <w:rsid w:val="007649B6"/>
    <w:rsid w:val="00765A05"/>
    <w:rsid w:val="00771A6B"/>
    <w:rsid w:val="00771C02"/>
    <w:rsid w:val="00771DB0"/>
    <w:rsid w:val="007728E7"/>
    <w:rsid w:val="00775964"/>
    <w:rsid w:val="007765FE"/>
    <w:rsid w:val="00776EA6"/>
    <w:rsid w:val="0078081D"/>
    <w:rsid w:val="0078307F"/>
    <w:rsid w:val="0078457B"/>
    <w:rsid w:val="007853C9"/>
    <w:rsid w:val="00787EDB"/>
    <w:rsid w:val="007942FD"/>
    <w:rsid w:val="00794E2E"/>
    <w:rsid w:val="00795BFB"/>
    <w:rsid w:val="007A1231"/>
    <w:rsid w:val="007A440E"/>
    <w:rsid w:val="007A4F22"/>
    <w:rsid w:val="007B2760"/>
    <w:rsid w:val="007C1069"/>
    <w:rsid w:val="007C6291"/>
    <w:rsid w:val="007C7759"/>
    <w:rsid w:val="007D3F94"/>
    <w:rsid w:val="007E11E8"/>
    <w:rsid w:val="007E4D9F"/>
    <w:rsid w:val="007E60FF"/>
    <w:rsid w:val="007E6428"/>
    <w:rsid w:val="007E7E38"/>
    <w:rsid w:val="007F1427"/>
    <w:rsid w:val="007F14A0"/>
    <w:rsid w:val="007F2952"/>
    <w:rsid w:val="007F74ED"/>
    <w:rsid w:val="00804D08"/>
    <w:rsid w:val="008056E6"/>
    <w:rsid w:val="00806C01"/>
    <w:rsid w:val="00806D26"/>
    <w:rsid w:val="00806D59"/>
    <w:rsid w:val="008074D3"/>
    <w:rsid w:val="00811769"/>
    <w:rsid w:val="00812CDF"/>
    <w:rsid w:val="008148CC"/>
    <w:rsid w:val="00820DCD"/>
    <w:rsid w:val="008211A4"/>
    <w:rsid w:val="0082634F"/>
    <w:rsid w:val="0083787A"/>
    <w:rsid w:val="00840558"/>
    <w:rsid w:val="00840F76"/>
    <w:rsid w:val="00842ABB"/>
    <w:rsid w:val="00843BE2"/>
    <w:rsid w:val="00846498"/>
    <w:rsid w:val="0084693A"/>
    <w:rsid w:val="008477F7"/>
    <w:rsid w:val="00860AC7"/>
    <w:rsid w:val="00873150"/>
    <w:rsid w:val="00875166"/>
    <w:rsid w:val="0087657D"/>
    <w:rsid w:val="008807D5"/>
    <w:rsid w:val="00880832"/>
    <w:rsid w:val="0088101D"/>
    <w:rsid w:val="00881B58"/>
    <w:rsid w:val="00882273"/>
    <w:rsid w:val="008828AF"/>
    <w:rsid w:val="00886EE1"/>
    <w:rsid w:val="0088727D"/>
    <w:rsid w:val="00892629"/>
    <w:rsid w:val="00897C75"/>
    <w:rsid w:val="008A08EB"/>
    <w:rsid w:val="008A21E1"/>
    <w:rsid w:val="008A254E"/>
    <w:rsid w:val="008A448B"/>
    <w:rsid w:val="008A4EFB"/>
    <w:rsid w:val="008A667F"/>
    <w:rsid w:val="008B42C6"/>
    <w:rsid w:val="008C1130"/>
    <w:rsid w:val="008D079D"/>
    <w:rsid w:val="008D18E6"/>
    <w:rsid w:val="008D1DA7"/>
    <w:rsid w:val="008D2774"/>
    <w:rsid w:val="008D2A19"/>
    <w:rsid w:val="008D30D1"/>
    <w:rsid w:val="008D3690"/>
    <w:rsid w:val="008D4BA7"/>
    <w:rsid w:val="008D6D5A"/>
    <w:rsid w:val="008D7A9B"/>
    <w:rsid w:val="008E0060"/>
    <w:rsid w:val="008E3DCE"/>
    <w:rsid w:val="008E61E5"/>
    <w:rsid w:val="008E7091"/>
    <w:rsid w:val="008E76AC"/>
    <w:rsid w:val="008F0CD4"/>
    <w:rsid w:val="008F21F6"/>
    <w:rsid w:val="008F2E10"/>
    <w:rsid w:val="008F45AC"/>
    <w:rsid w:val="00902467"/>
    <w:rsid w:val="00902C31"/>
    <w:rsid w:val="009153DC"/>
    <w:rsid w:val="0091549D"/>
    <w:rsid w:val="00920787"/>
    <w:rsid w:val="0093028B"/>
    <w:rsid w:val="0093366E"/>
    <w:rsid w:val="00937097"/>
    <w:rsid w:val="00942CC9"/>
    <w:rsid w:val="00950994"/>
    <w:rsid w:val="00950C05"/>
    <w:rsid w:val="00951F79"/>
    <w:rsid w:val="00953BD0"/>
    <w:rsid w:val="0095620A"/>
    <w:rsid w:val="00956C7A"/>
    <w:rsid w:val="009574A3"/>
    <w:rsid w:val="00957E53"/>
    <w:rsid w:val="00960027"/>
    <w:rsid w:val="0097112D"/>
    <w:rsid w:val="00971750"/>
    <w:rsid w:val="00974AB5"/>
    <w:rsid w:val="009868DB"/>
    <w:rsid w:val="0098706D"/>
    <w:rsid w:val="00990A80"/>
    <w:rsid w:val="009935FB"/>
    <w:rsid w:val="00996CD7"/>
    <w:rsid w:val="00997B26"/>
    <w:rsid w:val="00997BD5"/>
    <w:rsid w:val="009A0A66"/>
    <w:rsid w:val="009A25E2"/>
    <w:rsid w:val="009A5E1E"/>
    <w:rsid w:val="009A7B77"/>
    <w:rsid w:val="009B26AA"/>
    <w:rsid w:val="009B3AC5"/>
    <w:rsid w:val="009B649C"/>
    <w:rsid w:val="009B72C4"/>
    <w:rsid w:val="009C2630"/>
    <w:rsid w:val="009C42B5"/>
    <w:rsid w:val="009C5924"/>
    <w:rsid w:val="009C7678"/>
    <w:rsid w:val="009D294D"/>
    <w:rsid w:val="009E0FAC"/>
    <w:rsid w:val="009E3844"/>
    <w:rsid w:val="009E4124"/>
    <w:rsid w:val="009E42C7"/>
    <w:rsid w:val="009F1A0D"/>
    <w:rsid w:val="009F3785"/>
    <w:rsid w:val="009F4A54"/>
    <w:rsid w:val="009F4BEC"/>
    <w:rsid w:val="009F5874"/>
    <w:rsid w:val="009F768E"/>
    <w:rsid w:val="00A021EC"/>
    <w:rsid w:val="00A03496"/>
    <w:rsid w:val="00A06108"/>
    <w:rsid w:val="00A100AD"/>
    <w:rsid w:val="00A213E3"/>
    <w:rsid w:val="00A22C0A"/>
    <w:rsid w:val="00A25C85"/>
    <w:rsid w:val="00A25F71"/>
    <w:rsid w:val="00A25FD7"/>
    <w:rsid w:val="00A34C39"/>
    <w:rsid w:val="00A43AFF"/>
    <w:rsid w:val="00A43C62"/>
    <w:rsid w:val="00A54F82"/>
    <w:rsid w:val="00A5574E"/>
    <w:rsid w:val="00A5778C"/>
    <w:rsid w:val="00A60B09"/>
    <w:rsid w:val="00A634A8"/>
    <w:rsid w:val="00A70632"/>
    <w:rsid w:val="00A71939"/>
    <w:rsid w:val="00A76152"/>
    <w:rsid w:val="00A7793A"/>
    <w:rsid w:val="00A93322"/>
    <w:rsid w:val="00A97099"/>
    <w:rsid w:val="00A97B83"/>
    <w:rsid w:val="00AA4CC7"/>
    <w:rsid w:val="00AA5299"/>
    <w:rsid w:val="00AA5E8E"/>
    <w:rsid w:val="00AA647B"/>
    <w:rsid w:val="00AB1631"/>
    <w:rsid w:val="00AB2BAD"/>
    <w:rsid w:val="00AB3304"/>
    <w:rsid w:val="00AB6CA7"/>
    <w:rsid w:val="00AC40B8"/>
    <w:rsid w:val="00AD01E4"/>
    <w:rsid w:val="00AD0858"/>
    <w:rsid w:val="00AD482A"/>
    <w:rsid w:val="00AD4CA0"/>
    <w:rsid w:val="00AE02E3"/>
    <w:rsid w:val="00AE0497"/>
    <w:rsid w:val="00AE04DB"/>
    <w:rsid w:val="00AE35FF"/>
    <w:rsid w:val="00AE68F2"/>
    <w:rsid w:val="00AE7340"/>
    <w:rsid w:val="00AE77D8"/>
    <w:rsid w:val="00AF1BBD"/>
    <w:rsid w:val="00AF7C21"/>
    <w:rsid w:val="00B00410"/>
    <w:rsid w:val="00B05C07"/>
    <w:rsid w:val="00B10207"/>
    <w:rsid w:val="00B11EEE"/>
    <w:rsid w:val="00B12600"/>
    <w:rsid w:val="00B141E7"/>
    <w:rsid w:val="00B150F3"/>
    <w:rsid w:val="00B27555"/>
    <w:rsid w:val="00B31275"/>
    <w:rsid w:val="00B3352A"/>
    <w:rsid w:val="00B351B4"/>
    <w:rsid w:val="00B35D62"/>
    <w:rsid w:val="00B379AE"/>
    <w:rsid w:val="00B42004"/>
    <w:rsid w:val="00B44C9F"/>
    <w:rsid w:val="00B46047"/>
    <w:rsid w:val="00B46BCA"/>
    <w:rsid w:val="00B478AA"/>
    <w:rsid w:val="00B52915"/>
    <w:rsid w:val="00B548D2"/>
    <w:rsid w:val="00B73F74"/>
    <w:rsid w:val="00B77E41"/>
    <w:rsid w:val="00B82A85"/>
    <w:rsid w:val="00B83B7B"/>
    <w:rsid w:val="00B844ED"/>
    <w:rsid w:val="00B87806"/>
    <w:rsid w:val="00B87EC9"/>
    <w:rsid w:val="00B97048"/>
    <w:rsid w:val="00BA2637"/>
    <w:rsid w:val="00BA31B8"/>
    <w:rsid w:val="00BA38E7"/>
    <w:rsid w:val="00BB09CE"/>
    <w:rsid w:val="00BB6FD1"/>
    <w:rsid w:val="00BC38FD"/>
    <w:rsid w:val="00BC3CBF"/>
    <w:rsid w:val="00BC4387"/>
    <w:rsid w:val="00BC6313"/>
    <w:rsid w:val="00BC6C44"/>
    <w:rsid w:val="00BC6F62"/>
    <w:rsid w:val="00BC6FE6"/>
    <w:rsid w:val="00BE24DF"/>
    <w:rsid w:val="00BE2558"/>
    <w:rsid w:val="00BE34DF"/>
    <w:rsid w:val="00BF32E3"/>
    <w:rsid w:val="00BF7036"/>
    <w:rsid w:val="00C02CB9"/>
    <w:rsid w:val="00C02D52"/>
    <w:rsid w:val="00C034CB"/>
    <w:rsid w:val="00C04FB7"/>
    <w:rsid w:val="00C051A8"/>
    <w:rsid w:val="00C054BC"/>
    <w:rsid w:val="00C161E4"/>
    <w:rsid w:val="00C17897"/>
    <w:rsid w:val="00C17990"/>
    <w:rsid w:val="00C20D63"/>
    <w:rsid w:val="00C21ACA"/>
    <w:rsid w:val="00C240CA"/>
    <w:rsid w:val="00C31C0A"/>
    <w:rsid w:val="00C32245"/>
    <w:rsid w:val="00C3362F"/>
    <w:rsid w:val="00C34C00"/>
    <w:rsid w:val="00C409D5"/>
    <w:rsid w:val="00C430D4"/>
    <w:rsid w:val="00C435C3"/>
    <w:rsid w:val="00C4493F"/>
    <w:rsid w:val="00C44E5F"/>
    <w:rsid w:val="00C471D7"/>
    <w:rsid w:val="00C51B7C"/>
    <w:rsid w:val="00C5271E"/>
    <w:rsid w:val="00C5431C"/>
    <w:rsid w:val="00C567E4"/>
    <w:rsid w:val="00C609E5"/>
    <w:rsid w:val="00C60FF0"/>
    <w:rsid w:val="00C6159A"/>
    <w:rsid w:val="00C6234B"/>
    <w:rsid w:val="00C62653"/>
    <w:rsid w:val="00C639F9"/>
    <w:rsid w:val="00C63EAE"/>
    <w:rsid w:val="00C73260"/>
    <w:rsid w:val="00C7412C"/>
    <w:rsid w:val="00C7629F"/>
    <w:rsid w:val="00C80926"/>
    <w:rsid w:val="00C84C34"/>
    <w:rsid w:val="00C85717"/>
    <w:rsid w:val="00C8661B"/>
    <w:rsid w:val="00C9618D"/>
    <w:rsid w:val="00C96428"/>
    <w:rsid w:val="00CA03C8"/>
    <w:rsid w:val="00CA139A"/>
    <w:rsid w:val="00CA2899"/>
    <w:rsid w:val="00CA3A3D"/>
    <w:rsid w:val="00CA3AA6"/>
    <w:rsid w:val="00CA5344"/>
    <w:rsid w:val="00CA77FB"/>
    <w:rsid w:val="00CB379B"/>
    <w:rsid w:val="00CB5DD0"/>
    <w:rsid w:val="00CC51D4"/>
    <w:rsid w:val="00CC65DA"/>
    <w:rsid w:val="00CD004A"/>
    <w:rsid w:val="00CD0626"/>
    <w:rsid w:val="00CD1B6D"/>
    <w:rsid w:val="00CD4D0A"/>
    <w:rsid w:val="00CD737B"/>
    <w:rsid w:val="00CD74F7"/>
    <w:rsid w:val="00CF0C6E"/>
    <w:rsid w:val="00CF1346"/>
    <w:rsid w:val="00CF21B9"/>
    <w:rsid w:val="00CF3667"/>
    <w:rsid w:val="00CF3766"/>
    <w:rsid w:val="00CF3D66"/>
    <w:rsid w:val="00CF6BF9"/>
    <w:rsid w:val="00CF7735"/>
    <w:rsid w:val="00D03800"/>
    <w:rsid w:val="00D065D3"/>
    <w:rsid w:val="00D06B3B"/>
    <w:rsid w:val="00D06C02"/>
    <w:rsid w:val="00D14C94"/>
    <w:rsid w:val="00D167AF"/>
    <w:rsid w:val="00D178D4"/>
    <w:rsid w:val="00D342A6"/>
    <w:rsid w:val="00D3596D"/>
    <w:rsid w:val="00D35A92"/>
    <w:rsid w:val="00D35ED4"/>
    <w:rsid w:val="00D36443"/>
    <w:rsid w:val="00D37D6C"/>
    <w:rsid w:val="00D37DEC"/>
    <w:rsid w:val="00D41492"/>
    <w:rsid w:val="00D41AD8"/>
    <w:rsid w:val="00D45CA6"/>
    <w:rsid w:val="00D464BF"/>
    <w:rsid w:val="00D46A14"/>
    <w:rsid w:val="00D52369"/>
    <w:rsid w:val="00D539A1"/>
    <w:rsid w:val="00D53E26"/>
    <w:rsid w:val="00D57237"/>
    <w:rsid w:val="00D70A48"/>
    <w:rsid w:val="00D74DCF"/>
    <w:rsid w:val="00D80E57"/>
    <w:rsid w:val="00D80F4B"/>
    <w:rsid w:val="00D84372"/>
    <w:rsid w:val="00D867DB"/>
    <w:rsid w:val="00D876E2"/>
    <w:rsid w:val="00D95D73"/>
    <w:rsid w:val="00DA1B97"/>
    <w:rsid w:val="00DB03E3"/>
    <w:rsid w:val="00DB177D"/>
    <w:rsid w:val="00DB182C"/>
    <w:rsid w:val="00DB4DF2"/>
    <w:rsid w:val="00DC1ADD"/>
    <w:rsid w:val="00DC2D65"/>
    <w:rsid w:val="00DC5899"/>
    <w:rsid w:val="00DC7155"/>
    <w:rsid w:val="00DD2504"/>
    <w:rsid w:val="00DD2E80"/>
    <w:rsid w:val="00DD4F0E"/>
    <w:rsid w:val="00DE2D79"/>
    <w:rsid w:val="00DE59CC"/>
    <w:rsid w:val="00DE6730"/>
    <w:rsid w:val="00DE7E37"/>
    <w:rsid w:val="00DF0BF0"/>
    <w:rsid w:val="00DF3CA2"/>
    <w:rsid w:val="00E01463"/>
    <w:rsid w:val="00E01799"/>
    <w:rsid w:val="00E05E0A"/>
    <w:rsid w:val="00E060BE"/>
    <w:rsid w:val="00E06196"/>
    <w:rsid w:val="00E33D65"/>
    <w:rsid w:val="00E3748D"/>
    <w:rsid w:val="00E42188"/>
    <w:rsid w:val="00E50B3D"/>
    <w:rsid w:val="00E518D6"/>
    <w:rsid w:val="00E534CF"/>
    <w:rsid w:val="00E6083C"/>
    <w:rsid w:val="00E610F6"/>
    <w:rsid w:val="00E615CA"/>
    <w:rsid w:val="00E62D87"/>
    <w:rsid w:val="00E727DE"/>
    <w:rsid w:val="00E75F40"/>
    <w:rsid w:val="00E77A2A"/>
    <w:rsid w:val="00E81CB4"/>
    <w:rsid w:val="00E85503"/>
    <w:rsid w:val="00E8585B"/>
    <w:rsid w:val="00E85F7E"/>
    <w:rsid w:val="00E87F41"/>
    <w:rsid w:val="00E92DF5"/>
    <w:rsid w:val="00E93CC4"/>
    <w:rsid w:val="00EA1502"/>
    <w:rsid w:val="00EA3F15"/>
    <w:rsid w:val="00EA45CE"/>
    <w:rsid w:val="00EA6BF8"/>
    <w:rsid w:val="00EA7847"/>
    <w:rsid w:val="00EB4B0F"/>
    <w:rsid w:val="00EB4C2F"/>
    <w:rsid w:val="00EC6015"/>
    <w:rsid w:val="00ED1568"/>
    <w:rsid w:val="00EE1187"/>
    <w:rsid w:val="00EE1BB2"/>
    <w:rsid w:val="00EE2E6E"/>
    <w:rsid w:val="00EE315E"/>
    <w:rsid w:val="00EE343E"/>
    <w:rsid w:val="00EE3751"/>
    <w:rsid w:val="00EE3E67"/>
    <w:rsid w:val="00EF25A4"/>
    <w:rsid w:val="00F0759E"/>
    <w:rsid w:val="00F10412"/>
    <w:rsid w:val="00F14FB2"/>
    <w:rsid w:val="00F16A43"/>
    <w:rsid w:val="00F23026"/>
    <w:rsid w:val="00F25787"/>
    <w:rsid w:val="00F4104B"/>
    <w:rsid w:val="00F41122"/>
    <w:rsid w:val="00F44458"/>
    <w:rsid w:val="00F44ED7"/>
    <w:rsid w:val="00F46780"/>
    <w:rsid w:val="00F4782A"/>
    <w:rsid w:val="00F5031C"/>
    <w:rsid w:val="00F52897"/>
    <w:rsid w:val="00F56374"/>
    <w:rsid w:val="00F63D0D"/>
    <w:rsid w:val="00F64407"/>
    <w:rsid w:val="00F651F7"/>
    <w:rsid w:val="00F701F0"/>
    <w:rsid w:val="00F762DB"/>
    <w:rsid w:val="00F77D2D"/>
    <w:rsid w:val="00F77D4E"/>
    <w:rsid w:val="00F80689"/>
    <w:rsid w:val="00F821A3"/>
    <w:rsid w:val="00F8384B"/>
    <w:rsid w:val="00F9314A"/>
    <w:rsid w:val="00F940B2"/>
    <w:rsid w:val="00F948C1"/>
    <w:rsid w:val="00F9687C"/>
    <w:rsid w:val="00FA66D4"/>
    <w:rsid w:val="00FB2444"/>
    <w:rsid w:val="00FC0EBF"/>
    <w:rsid w:val="00FC3864"/>
    <w:rsid w:val="00FC3C88"/>
    <w:rsid w:val="00FC58EF"/>
    <w:rsid w:val="00FD252B"/>
    <w:rsid w:val="00FD2BFE"/>
    <w:rsid w:val="00FD33DF"/>
    <w:rsid w:val="00FD3765"/>
    <w:rsid w:val="00FD666D"/>
    <w:rsid w:val="00FD7259"/>
    <w:rsid w:val="00FE2AD8"/>
    <w:rsid w:val="00FE39D7"/>
    <w:rsid w:val="00FE3DD5"/>
    <w:rsid w:val="00FE5555"/>
    <w:rsid w:val="00FE6273"/>
    <w:rsid w:val="00FF214F"/>
    <w:rsid w:val="02EACB5C"/>
    <w:rsid w:val="0425F03B"/>
    <w:rsid w:val="05D438F1"/>
    <w:rsid w:val="0A345B15"/>
    <w:rsid w:val="0A704445"/>
    <w:rsid w:val="0C50B4C7"/>
    <w:rsid w:val="0DB39563"/>
    <w:rsid w:val="0E2F8DD4"/>
    <w:rsid w:val="0E85493E"/>
    <w:rsid w:val="0F24F547"/>
    <w:rsid w:val="0F476764"/>
    <w:rsid w:val="126E44D8"/>
    <w:rsid w:val="12FC3428"/>
    <w:rsid w:val="1398B2D5"/>
    <w:rsid w:val="14111E4A"/>
    <w:rsid w:val="157444FD"/>
    <w:rsid w:val="16E265EF"/>
    <w:rsid w:val="1725A9F3"/>
    <w:rsid w:val="18C314E3"/>
    <w:rsid w:val="19327F39"/>
    <w:rsid w:val="1B690CD1"/>
    <w:rsid w:val="1D67D2D8"/>
    <w:rsid w:val="20F08B36"/>
    <w:rsid w:val="21714E99"/>
    <w:rsid w:val="239EC362"/>
    <w:rsid w:val="25016F37"/>
    <w:rsid w:val="29657FEF"/>
    <w:rsid w:val="2A9DD67F"/>
    <w:rsid w:val="2B66332C"/>
    <w:rsid w:val="2C9F0CDB"/>
    <w:rsid w:val="2D454984"/>
    <w:rsid w:val="2DDB713A"/>
    <w:rsid w:val="2E1CF911"/>
    <w:rsid w:val="2EE7A357"/>
    <w:rsid w:val="30751FFC"/>
    <w:rsid w:val="31176F32"/>
    <w:rsid w:val="31773516"/>
    <w:rsid w:val="32ACB3CE"/>
    <w:rsid w:val="34BD3EA7"/>
    <w:rsid w:val="351519D3"/>
    <w:rsid w:val="3745D89D"/>
    <w:rsid w:val="37C03300"/>
    <w:rsid w:val="39A35ED1"/>
    <w:rsid w:val="3AFCD8E8"/>
    <w:rsid w:val="3F26EBBD"/>
    <w:rsid w:val="3F7B6E8B"/>
    <w:rsid w:val="3F992738"/>
    <w:rsid w:val="3FCCA3C5"/>
    <w:rsid w:val="400FC257"/>
    <w:rsid w:val="405F8A51"/>
    <w:rsid w:val="4253BFFC"/>
    <w:rsid w:val="44C15B49"/>
    <w:rsid w:val="45567D4D"/>
    <w:rsid w:val="472E6A98"/>
    <w:rsid w:val="494150BC"/>
    <w:rsid w:val="4BFCB1D1"/>
    <w:rsid w:val="4CADB4AE"/>
    <w:rsid w:val="4D1388B7"/>
    <w:rsid w:val="4F008A99"/>
    <w:rsid w:val="4F631458"/>
    <w:rsid w:val="5153E78F"/>
    <w:rsid w:val="561579DD"/>
    <w:rsid w:val="582898FC"/>
    <w:rsid w:val="58B8EEF8"/>
    <w:rsid w:val="5B07FCC9"/>
    <w:rsid w:val="5C962D69"/>
    <w:rsid w:val="5E28C457"/>
    <w:rsid w:val="5E96ED0F"/>
    <w:rsid w:val="61F1F8ED"/>
    <w:rsid w:val="64B3584C"/>
    <w:rsid w:val="660AE599"/>
    <w:rsid w:val="6670ACAA"/>
    <w:rsid w:val="6B465682"/>
    <w:rsid w:val="6C194495"/>
    <w:rsid w:val="6C290AB1"/>
    <w:rsid w:val="6D65E069"/>
    <w:rsid w:val="6EA3530F"/>
    <w:rsid w:val="7198912A"/>
    <w:rsid w:val="724E8A64"/>
    <w:rsid w:val="738E1D91"/>
    <w:rsid w:val="74888CC9"/>
    <w:rsid w:val="74963B4A"/>
    <w:rsid w:val="7BA243F1"/>
    <w:rsid w:val="7D9453C0"/>
    <w:rsid w:val="7F0E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048C7B"/>
  <w15:docId w15:val="{9CDF6702-F7DC-4B61-81A0-7078DEB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1">
    <w:name w:val="Epígrafe1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7680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B4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48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480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4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480F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g@creg.gov.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4" ma:contentTypeDescription="Crear nuevo documento." ma:contentTypeScope="" ma:versionID="1685e5b21b379e7546a9d40aa974ae9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60abbc5b55a6ff46217fa93181a3a8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EC517-86DB-4E1E-B0D8-1E8E6EC01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5A225-E6FA-4335-B916-7DF78882A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286BF-6730-46B4-BA77-506B7703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42630-7DFF-4534-927E-31D703BD1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2</TotalTime>
  <Pages>8</Pages>
  <Words>2738</Words>
  <Characters>14346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Diana Patino</cp:lastModifiedBy>
  <cp:revision>2</cp:revision>
  <cp:lastPrinted>2020-08-04T22:52:00Z</cp:lastPrinted>
  <dcterms:created xsi:type="dcterms:W3CDTF">2020-08-05T20:23:00Z</dcterms:created>
  <dcterms:modified xsi:type="dcterms:W3CDTF">2020-08-05T20:23:00Z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</Properties>
</file>