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46A8" w14:textId="77777777" w:rsidR="004C4C34" w:rsidRPr="004E2959" w:rsidRDefault="00273FFB" w:rsidP="003E2E35">
      <w:pPr>
        <w:pStyle w:val="Ttulo4"/>
        <w:tabs>
          <w:tab w:val="left" w:pos="0"/>
          <w:tab w:val="right" w:pos="9356"/>
        </w:tabs>
        <w:ind w:left="0"/>
        <w:contextualSpacing/>
        <w:rPr>
          <w:rFonts w:ascii="Bookman Old Style" w:hAnsi="Bookman Old Style"/>
          <w:b w:val="0"/>
          <w:bCs/>
          <w:noProof/>
          <w:color w:val="auto"/>
          <w:sz w:val="24"/>
          <w:szCs w:val="24"/>
          <w:lang w:val="es-ES"/>
        </w:rPr>
      </w:pPr>
      <w:bookmarkStart w:id="0" w:name="_GoBack"/>
      <w:bookmarkEnd w:id="0"/>
      <w:r>
        <w:rPr>
          <w:rFonts w:ascii="Bookman Old Style" w:hAnsi="Bookman Old Style"/>
          <w:b w:val="0"/>
          <w:bCs/>
          <w:noProof/>
          <w:snapToGrid/>
          <w:color w:val="auto"/>
          <w:sz w:val="24"/>
          <w:szCs w:val="24"/>
          <w:lang w:val="es-CO" w:eastAsia="es-CO"/>
        </w:rPr>
        <w:object w:dxaOrig="1440" w:dyaOrig="1440" w14:anchorId="4A8B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11" o:title=""/>
          </v:shape>
          <o:OLEObject Type="Embed" ProgID="PBrush" ShapeID="_x0000_s1026" DrawAspect="Content" ObjectID="_1653901378" r:id="rId12"/>
        </w:object>
      </w:r>
      <w:r w:rsidR="004C4C34" w:rsidRPr="004E2959">
        <w:rPr>
          <w:rFonts w:ascii="Bookman Old Style" w:hAnsi="Bookman Old Style"/>
          <w:b w:val="0"/>
          <w:bCs/>
          <w:color w:val="auto"/>
          <w:sz w:val="24"/>
          <w:szCs w:val="24"/>
        </w:rPr>
        <w:t>Ministerio de Minas y Energía</w:t>
      </w:r>
    </w:p>
    <w:p w14:paraId="56F10605" w14:textId="77777777" w:rsidR="004C4C34" w:rsidRPr="004E2959" w:rsidRDefault="004C4C34" w:rsidP="003E2E35">
      <w:pPr>
        <w:pStyle w:val="Ttulo4"/>
        <w:tabs>
          <w:tab w:val="left" w:pos="0"/>
          <w:tab w:val="right" w:pos="9356"/>
        </w:tabs>
        <w:ind w:left="0"/>
        <w:contextualSpacing/>
        <w:rPr>
          <w:rFonts w:ascii="Bookman Old Style" w:hAnsi="Bookman Old Style"/>
          <w:b w:val="0"/>
          <w:bCs/>
          <w:color w:val="auto"/>
          <w:sz w:val="24"/>
          <w:szCs w:val="24"/>
        </w:rPr>
      </w:pPr>
    </w:p>
    <w:p w14:paraId="7780CBA0" w14:textId="77777777" w:rsidR="004C4C34" w:rsidRPr="004E2959" w:rsidRDefault="004C4C34" w:rsidP="003E2E35">
      <w:pPr>
        <w:pStyle w:val="Ttulo3"/>
        <w:tabs>
          <w:tab w:val="left" w:pos="0"/>
          <w:tab w:val="right" w:pos="9356"/>
        </w:tabs>
        <w:ind w:left="0"/>
        <w:contextualSpacing/>
        <w:rPr>
          <w:rFonts w:ascii="Bookman Old Style" w:hAnsi="Bookman Old Style" w:cs="Arial"/>
          <w:color w:val="auto"/>
          <w:spacing w:val="20"/>
          <w:szCs w:val="24"/>
        </w:rPr>
      </w:pPr>
      <w:r w:rsidRPr="004E2959">
        <w:rPr>
          <w:rFonts w:ascii="Bookman Old Style" w:hAnsi="Bookman Old Style" w:cs="Arial"/>
          <w:color w:val="auto"/>
          <w:spacing w:val="20"/>
          <w:szCs w:val="24"/>
        </w:rPr>
        <w:t>COMISIÓN DE REGULACIÓN DE ENERGÍA Y GAS</w:t>
      </w:r>
    </w:p>
    <w:p w14:paraId="2310A2DA"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5044440F" w14:textId="77777777"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p>
    <w:p w14:paraId="65F3DC7F" w14:textId="1F97D8EA" w:rsidR="004C4C34" w:rsidRPr="004E2959" w:rsidRDefault="004C4C34" w:rsidP="003E2E35">
      <w:pPr>
        <w:pStyle w:val="Ttulo5"/>
        <w:tabs>
          <w:tab w:val="left" w:pos="0"/>
          <w:tab w:val="right" w:pos="9356"/>
        </w:tabs>
        <w:ind w:left="0"/>
        <w:contextualSpacing/>
        <w:rPr>
          <w:rFonts w:ascii="Bookman Old Style" w:hAnsi="Bookman Old Style"/>
          <w:color w:val="auto"/>
          <w:sz w:val="24"/>
          <w:szCs w:val="24"/>
        </w:rPr>
      </w:pPr>
      <w:r w:rsidRPr="004E2959">
        <w:rPr>
          <w:rFonts w:ascii="Bookman Old Style" w:hAnsi="Bookman Old Style"/>
          <w:color w:val="auto"/>
          <w:sz w:val="24"/>
          <w:szCs w:val="24"/>
        </w:rPr>
        <w:t>RESOLUCI</w:t>
      </w:r>
      <w:r w:rsidR="00323F4B" w:rsidRPr="004E2959">
        <w:rPr>
          <w:rFonts w:ascii="Bookman Old Style" w:hAnsi="Bookman Old Style"/>
          <w:color w:val="auto"/>
          <w:sz w:val="24"/>
          <w:szCs w:val="24"/>
        </w:rPr>
        <w:t xml:space="preserve">ÓN No.  </w:t>
      </w:r>
      <w:proofErr w:type="gramStart"/>
      <w:r w:rsidR="00684B80">
        <w:rPr>
          <w:rFonts w:ascii="Bookman Old Style" w:hAnsi="Bookman Old Style"/>
          <w:color w:val="auto"/>
          <w:sz w:val="32"/>
          <w:szCs w:val="32"/>
        </w:rPr>
        <w:t>110</w:t>
      </w:r>
      <w:r w:rsidR="00323F4B" w:rsidRPr="004E2959">
        <w:rPr>
          <w:rFonts w:ascii="Bookman Old Style" w:hAnsi="Bookman Old Style"/>
          <w:color w:val="auto"/>
          <w:sz w:val="24"/>
          <w:szCs w:val="24"/>
        </w:rPr>
        <w:t xml:space="preserve">  DE</w:t>
      </w:r>
      <w:proofErr w:type="gramEnd"/>
      <w:r w:rsidR="00323F4B" w:rsidRPr="004E2959">
        <w:rPr>
          <w:rFonts w:ascii="Bookman Old Style" w:hAnsi="Bookman Old Style"/>
          <w:color w:val="auto"/>
          <w:sz w:val="24"/>
          <w:szCs w:val="24"/>
        </w:rPr>
        <w:t xml:space="preserve"> 20</w:t>
      </w:r>
      <w:r w:rsidR="001530DC" w:rsidRPr="004E2959">
        <w:rPr>
          <w:rFonts w:ascii="Bookman Old Style" w:hAnsi="Bookman Old Style"/>
          <w:color w:val="auto"/>
          <w:sz w:val="24"/>
          <w:szCs w:val="24"/>
        </w:rPr>
        <w:t>20</w:t>
      </w:r>
    </w:p>
    <w:p w14:paraId="575EE74D" w14:textId="77777777" w:rsidR="004C4C34" w:rsidRPr="004E2959" w:rsidRDefault="004C4C34" w:rsidP="003E2E35">
      <w:pPr>
        <w:tabs>
          <w:tab w:val="left" w:pos="0"/>
          <w:tab w:val="right" w:pos="9356"/>
        </w:tabs>
        <w:ind w:left="0"/>
        <w:contextualSpacing/>
        <w:jc w:val="center"/>
        <w:rPr>
          <w:rFonts w:ascii="Bookman Old Style" w:hAnsi="Bookman Old Style" w:cs="Arial"/>
          <w:b/>
          <w:snapToGrid w:val="0"/>
          <w:lang w:val="es-ES_tradnl"/>
        </w:rPr>
      </w:pPr>
    </w:p>
    <w:p w14:paraId="6EDC55C7" w14:textId="4A812F97" w:rsidR="004C4C34" w:rsidRPr="004E2959" w:rsidRDefault="009C636C" w:rsidP="003E2E35">
      <w:pPr>
        <w:pStyle w:val="Ttulo3"/>
        <w:tabs>
          <w:tab w:val="left" w:pos="0"/>
          <w:tab w:val="right" w:pos="9356"/>
        </w:tabs>
        <w:ind w:left="0"/>
        <w:contextualSpacing/>
        <w:rPr>
          <w:rFonts w:ascii="Bookman Old Style" w:hAnsi="Bookman Old Style"/>
          <w:b w:val="0"/>
          <w:color w:val="auto"/>
          <w:szCs w:val="24"/>
        </w:rPr>
      </w:pPr>
      <w:r>
        <w:rPr>
          <w:rFonts w:ascii="Bookman Old Style" w:hAnsi="Bookman Old Style"/>
          <w:b w:val="0"/>
          <w:color w:val="auto"/>
          <w:szCs w:val="24"/>
        </w:rPr>
        <w:t>(</w:t>
      </w:r>
      <w:r w:rsidR="00684B80">
        <w:rPr>
          <w:rFonts w:ascii="Bookman Old Style" w:hAnsi="Bookman Old Style"/>
          <w:bCs/>
          <w:color w:val="auto"/>
          <w:sz w:val="32"/>
          <w:szCs w:val="32"/>
        </w:rPr>
        <w:t>11 JUN.</w:t>
      </w:r>
      <w:r>
        <w:rPr>
          <w:rFonts w:ascii="Bookman Old Style" w:hAnsi="Bookman Old Style"/>
          <w:bCs/>
          <w:color w:val="auto"/>
          <w:sz w:val="32"/>
          <w:szCs w:val="32"/>
        </w:rPr>
        <w:t xml:space="preserve"> </w:t>
      </w:r>
      <w:r w:rsidR="00057B11" w:rsidRPr="00057B11">
        <w:rPr>
          <w:rFonts w:ascii="Bookman Old Style" w:hAnsi="Bookman Old Style"/>
          <w:bCs/>
          <w:color w:val="auto"/>
          <w:sz w:val="32"/>
          <w:szCs w:val="32"/>
        </w:rPr>
        <w:t>2020</w:t>
      </w:r>
      <w:r w:rsidR="004C4C34" w:rsidRPr="004E2959">
        <w:rPr>
          <w:rFonts w:ascii="Bookman Old Style" w:hAnsi="Bookman Old Style"/>
          <w:b w:val="0"/>
          <w:color w:val="auto"/>
          <w:szCs w:val="24"/>
        </w:rPr>
        <w:t>)</w:t>
      </w:r>
    </w:p>
    <w:p w14:paraId="15D3A736" w14:textId="77777777" w:rsidR="004C4C34" w:rsidRPr="004E2959" w:rsidRDefault="004C4C34" w:rsidP="003E2E35">
      <w:pPr>
        <w:tabs>
          <w:tab w:val="left" w:pos="0"/>
          <w:tab w:val="right" w:pos="9356"/>
        </w:tabs>
        <w:ind w:left="0"/>
        <w:contextualSpacing/>
        <w:jc w:val="center"/>
        <w:rPr>
          <w:rFonts w:ascii="Bookman Old Style" w:hAnsi="Bookman Old Style"/>
          <w:lang w:val="es-ES_tradnl"/>
        </w:rPr>
      </w:pPr>
    </w:p>
    <w:p w14:paraId="73C27617" w14:textId="77777777" w:rsidR="004C4C34" w:rsidRPr="004E2959" w:rsidRDefault="004C4C34" w:rsidP="003E2E35">
      <w:pPr>
        <w:ind w:left="0"/>
        <w:contextualSpacing/>
        <w:rPr>
          <w:rFonts w:ascii="Bookman Old Style" w:hAnsi="Bookman Old Style"/>
          <w:bCs/>
          <w:lang w:val="es-CO"/>
        </w:rPr>
      </w:pPr>
    </w:p>
    <w:p w14:paraId="06394865" w14:textId="77777777" w:rsidR="004C4C34" w:rsidRPr="004E2959" w:rsidRDefault="004C4C34" w:rsidP="003E2E35">
      <w:pPr>
        <w:ind w:left="0"/>
        <w:contextualSpacing/>
        <w:rPr>
          <w:rFonts w:ascii="Bookman Old Style" w:hAnsi="Bookman Old Style"/>
          <w:bCs/>
          <w:lang w:val="es-CO"/>
        </w:rPr>
      </w:pPr>
    </w:p>
    <w:p w14:paraId="5E9AFDDE" w14:textId="3750D470" w:rsidR="004C4C34" w:rsidRPr="004E2959" w:rsidRDefault="00235768" w:rsidP="003E2E35">
      <w:pPr>
        <w:ind w:left="0"/>
        <w:contextualSpacing/>
        <w:jc w:val="center"/>
        <w:rPr>
          <w:rFonts w:ascii="Bookman Old Style" w:hAnsi="Bookman Old Style"/>
        </w:rPr>
      </w:pPr>
      <w:r w:rsidRPr="004E2959">
        <w:rPr>
          <w:rFonts w:ascii="Bookman Old Style" w:hAnsi="Bookman Old Style"/>
        </w:rPr>
        <w:t xml:space="preserve">Por la cual se ordena hacer público el proyecto de resolución </w:t>
      </w:r>
      <w:r w:rsidR="004C4C34" w:rsidRPr="004E2959">
        <w:rPr>
          <w:rFonts w:ascii="Bookman Old Style" w:hAnsi="Bookman Old Style"/>
        </w:rPr>
        <w:t>“</w:t>
      </w:r>
      <w:r w:rsidR="000E7D0D" w:rsidRPr="000E7D0D">
        <w:rPr>
          <w:rFonts w:ascii="Bookman Old Style" w:hAnsi="Bookman Old Style"/>
        </w:rPr>
        <w:t>Por la cual se adoptan medidas regulatorias transitorias para la comercialización de GLP de fuentes de precio regulado para el segundo semestre de 2020</w:t>
      </w:r>
      <w:r w:rsidR="004C4C34" w:rsidRPr="004E2959">
        <w:rPr>
          <w:rFonts w:ascii="Bookman Old Style" w:hAnsi="Bookman Old Style"/>
        </w:rPr>
        <w:t>”</w:t>
      </w:r>
    </w:p>
    <w:p w14:paraId="7B0A09CF" w14:textId="77777777" w:rsidR="004C4C34" w:rsidRPr="004E2959" w:rsidRDefault="004C4C34" w:rsidP="003E2E35">
      <w:pPr>
        <w:ind w:left="0"/>
        <w:contextualSpacing/>
        <w:jc w:val="center"/>
        <w:rPr>
          <w:rFonts w:ascii="Bookman Old Style" w:hAnsi="Bookman Old Style"/>
        </w:rPr>
      </w:pPr>
    </w:p>
    <w:p w14:paraId="4B273413" w14:textId="77777777" w:rsidR="004C4C34" w:rsidRPr="004E2959" w:rsidRDefault="004C4C34" w:rsidP="003E2E35">
      <w:pPr>
        <w:ind w:left="0"/>
        <w:contextualSpacing/>
        <w:jc w:val="center"/>
        <w:rPr>
          <w:rFonts w:ascii="Bookman Old Style" w:hAnsi="Bookman Old Style"/>
        </w:rPr>
      </w:pPr>
    </w:p>
    <w:p w14:paraId="3A0589B4" w14:textId="374F937A" w:rsidR="004C4C34" w:rsidRPr="004E2959" w:rsidRDefault="004C4C34" w:rsidP="003E2E35">
      <w:pPr>
        <w:ind w:right="51"/>
        <w:contextualSpacing/>
        <w:jc w:val="center"/>
        <w:rPr>
          <w:rFonts w:ascii="Bookman Old Style" w:hAnsi="Bookman Old Style"/>
          <w:b/>
        </w:rPr>
      </w:pPr>
      <w:r w:rsidRPr="004E2959">
        <w:rPr>
          <w:rFonts w:ascii="Bookman Old Style" w:hAnsi="Bookman Old Style"/>
          <w:b/>
        </w:rPr>
        <w:t>LA COMISIÓN DE REGULACIÓN DE ENERGÍA Y GAS</w:t>
      </w:r>
    </w:p>
    <w:p w14:paraId="01809F34" w14:textId="77777777" w:rsidR="004C4C34" w:rsidRPr="004E2959" w:rsidRDefault="004C4C34" w:rsidP="003E2E35">
      <w:pPr>
        <w:ind w:left="0" w:right="51"/>
        <w:contextualSpacing/>
        <w:rPr>
          <w:rFonts w:ascii="Bookman Old Style" w:hAnsi="Bookman Old Style"/>
        </w:rPr>
      </w:pPr>
    </w:p>
    <w:p w14:paraId="3E683514" w14:textId="77777777" w:rsidR="004C4C34" w:rsidRPr="004E2959" w:rsidRDefault="004C4C34" w:rsidP="003E2E35">
      <w:pPr>
        <w:ind w:left="0" w:right="51"/>
        <w:contextualSpacing/>
        <w:rPr>
          <w:rFonts w:ascii="Bookman Old Style" w:hAnsi="Bookman Old Style"/>
        </w:rPr>
      </w:pPr>
    </w:p>
    <w:p w14:paraId="3EC91A08" w14:textId="61E64DB2" w:rsidR="004C4C34" w:rsidRPr="004E2959" w:rsidRDefault="004C4C34" w:rsidP="003E2E35">
      <w:pPr>
        <w:ind w:left="0" w:right="51"/>
        <w:contextualSpacing/>
        <w:jc w:val="center"/>
        <w:rPr>
          <w:rFonts w:ascii="Bookman Old Style" w:hAnsi="Bookman Old Style" w:cs="Arial"/>
          <w:bCs/>
          <w:spacing w:val="-3"/>
        </w:rPr>
      </w:pPr>
      <w:r w:rsidRPr="004E2959">
        <w:rPr>
          <w:rFonts w:ascii="Bookman Old Style" w:hAnsi="Bookman Old Style" w:cs="Arial"/>
          <w:bCs/>
          <w:spacing w:val="-3"/>
        </w:rPr>
        <w:t>En ejercicio de sus atribuciones legales, en especial las conferidas por las leyes 142 y 143 de 1994, y en desarrollo de lo</w:t>
      </w:r>
      <w:r w:rsidR="00323F4B" w:rsidRPr="004E2959">
        <w:rPr>
          <w:rFonts w:ascii="Bookman Old Style" w:hAnsi="Bookman Old Style" w:cs="Arial"/>
          <w:bCs/>
          <w:spacing w:val="-3"/>
        </w:rPr>
        <w:t>s Decretos 1524, 2253 de 1994,</w:t>
      </w:r>
      <w:r w:rsidRPr="004E2959">
        <w:rPr>
          <w:rFonts w:ascii="Bookman Old Style" w:hAnsi="Bookman Old Style" w:cs="Arial"/>
          <w:bCs/>
          <w:spacing w:val="-3"/>
        </w:rPr>
        <w:t>1260 de 2013</w:t>
      </w:r>
      <w:r w:rsidR="00323F4B" w:rsidRPr="004E2959">
        <w:rPr>
          <w:rFonts w:ascii="Bookman Old Style" w:hAnsi="Bookman Old Style" w:cs="Arial"/>
          <w:bCs/>
          <w:spacing w:val="-3"/>
        </w:rPr>
        <w:t xml:space="preserve"> y </w:t>
      </w:r>
    </w:p>
    <w:p w14:paraId="2E965D66" w14:textId="77777777" w:rsidR="004C4C34" w:rsidRDefault="004C4C34" w:rsidP="003E2E35">
      <w:pPr>
        <w:ind w:left="0"/>
        <w:contextualSpacing/>
        <w:rPr>
          <w:rFonts w:ascii="Bookman Old Style" w:hAnsi="Bookman Old Style" w:cs="Arial"/>
        </w:rPr>
      </w:pPr>
    </w:p>
    <w:p w14:paraId="3E6CB1DC" w14:textId="77777777" w:rsidR="003E2E35" w:rsidRPr="004E2959" w:rsidRDefault="003E2E35" w:rsidP="003E2E35">
      <w:pPr>
        <w:ind w:left="0"/>
        <w:contextualSpacing/>
        <w:rPr>
          <w:rFonts w:ascii="Bookman Old Style" w:hAnsi="Bookman Old Style" w:cs="Arial"/>
        </w:rPr>
      </w:pPr>
    </w:p>
    <w:p w14:paraId="5989CF32" w14:textId="77777777" w:rsidR="004C4C34" w:rsidRPr="004E2959" w:rsidRDefault="004C4C34" w:rsidP="003E2E35">
      <w:pPr>
        <w:ind w:left="0"/>
        <w:contextualSpacing/>
        <w:jc w:val="center"/>
        <w:rPr>
          <w:rFonts w:ascii="Bookman Old Style" w:hAnsi="Bookman Old Style" w:cs="Arial"/>
          <w:b/>
        </w:rPr>
      </w:pPr>
      <w:r w:rsidRPr="004E2959">
        <w:rPr>
          <w:rFonts w:ascii="Bookman Old Style" w:hAnsi="Bookman Old Style" w:cs="Arial"/>
          <w:b/>
        </w:rPr>
        <w:t xml:space="preserve">C O N S I D E R A N D </w:t>
      </w:r>
      <w:proofErr w:type="gramStart"/>
      <w:r w:rsidRPr="004E2959">
        <w:rPr>
          <w:rFonts w:ascii="Bookman Old Style" w:hAnsi="Bookman Old Style" w:cs="Arial"/>
          <w:b/>
        </w:rPr>
        <w:t>O  Q</w:t>
      </w:r>
      <w:proofErr w:type="gramEnd"/>
      <w:r w:rsidRPr="004E2959">
        <w:rPr>
          <w:rFonts w:ascii="Bookman Old Style" w:hAnsi="Bookman Old Style" w:cs="Arial"/>
          <w:b/>
        </w:rPr>
        <w:t xml:space="preserve"> U E:</w:t>
      </w:r>
    </w:p>
    <w:p w14:paraId="17690EA1" w14:textId="77777777" w:rsidR="003E2E35" w:rsidRDefault="003E2E35" w:rsidP="003E2E35">
      <w:pPr>
        <w:ind w:left="0"/>
        <w:contextualSpacing/>
        <w:jc w:val="both"/>
        <w:rPr>
          <w:rFonts w:ascii="Bookman Old Style" w:hAnsi="Bookman Old Style"/>
          <w:spacing w:val="-3"/>
        </w:rPr>
      </w:pPr>
    </w:p>
    <w:p w14:paraId="2F35728F" w14:textId="77777777" w:rsidR="003E2E35" w:rsidRDefault="003E2E35" w:rsidP="003E2E35">
      <w:pPr>
        <w:ind w:left="0"/>
        <w:contextualSpacing/>
        <w:jc w:val="both"/>
        <w:rPr>
          <w:rFonts w:ascii="Bookman Old Style" w:hAnsi="Bookman Old Style"/>
          <w:spacing w:val="-3"/>
        </w:rPr>
      </w:pPr>
    </w:p>
    <w:p w14:paraId="624B9547" w14:textId="5367C8E7" w:rsidR="001E12A7" w:rsidRPr="004E2959" w:rsidRDefault="001E12A7" w:rsidP="003E2E35">
      <w:pPr>
        <w:ind w:left="0"/>
        <w:contextualSpacing/>
        <w:jc w:val="both"/>
        <w:rPr>
          <w:rFonts w:ascii="Bookman Old Style" w:hAnsi="Bookman Old Style"/>
          <w:spacing w:val="-3"/>
        </w:rPr>
      </w:pPr>
      <w:r w:rsidRPr="004E2959">
        <w:rPr>
          <w:rFonts w:ascii="Bookman Old Style" w:hAnsi="Bookman Old Style"/>
          <w:spacing w:val="-3"/>
        </w:rPr>
        <w:t>Conforme a lo dispuesto por el artículo 8 del Código de Procedimiento Administrativo y de lo Contencioso Administrativo</w:t>
      </w:r>
      <w:r w:rsidR="00D14DA5">
        <w:rPr>
          <w:rFonts w:ascii="Bookman Old Style" w:hAnsi="Bookman Old Style"/>
          <w:spacing w:val="-3"/>
        </w:rPr>
        <w:t>,</w:t>
      </w:r>
      <w:r w:rsidRPr="004E2959">
        <w:rPr>
          <w:rFonts w:ascii="Bookman Old Style" w:hAnsi="Bookman Old Style"/>
          <w:spacing w:val="-3"/>
        </w:rPr>
        <w:t xml:space="preserve"> y </w:t>
      </w:r>
      <w:r w:rsidRPr="004E2959">
        <w:rPr>
          <w:rFonts w:ascii="Bookman Old Style" w:hAnsi="Bookman Old Style" w:cs="Arial"/>
        </w:rPr>
        <w:t>el artículo 32 de la Resolución CREG 039 de 2017</w:t>
      </w:r>
      <w:r w:rsidRPr="004E2959">
        <w:rPr>
          <w:rFonts w:ascii="Bookman Old Style" w:hAnsi="Bookman Old Style"/>
          <w:spacing w:val="-3"/>
        </w:rPr>
        <w:t>, la Comisión debe hacer público en su página web todos los proyectos de resolución de carácter general que pretenda adoptar.</w:t>
      </w:r>
    </w:p>
    <w:p w14:paraId="5CDDDA68" w14:textId="4610BBFF" w:rsidR="003D78A7" w:rsidRDefault="003D78A7" w:rsidP="003E2E35">
      <w:pPr>
        <w:ind w:left="0"/>
        <w:contextualSpacing/>
        <w:jc w:val="both"/>
        <w:rPr>
          <w:rFonts w:ascii="Bookman Old Style" w:hAnsi="Bookman Old Style"/>
          <w:spacing w:val="-3"/>
        </w:rPr>
      </w:pPr>
    </w:p>
    <w:p w14:paraId="08AAB843" w14:textId="5DBB028E" w:rsidR="001E12A7" w:rsidRDefault="001E12A7" w:rsidP="003E2E35">
      <w:pPr>
        <w:ind w:left="0"/>
        <w:contextualSpacing/>
        <w:jc w:val="both"/>
        <w:rPr>
          <w:rFonts w:ascii="Bookman Old Style" w:hAnsi="Bookman Old Style"/>
          <w:spacing w:val="-3"/>
        </w:rPr>
      </w:pPr>
      <w:r w:rsidRPr="004E2959">
        <w:rPr>
          <w:rFonts w:ascii="Bookman Old Style" w:hAnsi="Bookman Old Style"/>
          <w:spacing w:val="-3"/>
        </w:rPr>
        <w:t xml:space="preserve">La Comisión de Regulación de Energía y Gas, en su </w:t>
      </w:r>
      <w:r w:rsidRPr="00684B80">
        <w:rPr>
          <w:rFonts w:ascii="Bookman Old Style" w:hAnsi="Bookman Old Style"/>
          <w:spacing w:val="-3"/>
        </w:rPr>
        <w:t xml:space="preserve">sesión </w:t>
      </w:r>
      <w:r w:rsidR="00684B80" w:rsidRPr="00684B80">
        <w:rPr>
          <w:rFonts w:ascii="Bookman Old Style" w:hAnsi="Bookman Old Style"/>
          <w:spacing w:val="-3"/>
        </w:rPr>
        <w:t>1016</w:t>
      </w:r>
      <w:r w:rsidRPr="00684B80">
        <w:rPr>
          <w:rFonts w:ascii="Bookman Old Style" w:hAnsi="Bookman Old Style"/>
          <w:spacing w:val="-3"/>
        </w:rPr>
        <w:t xml:space="preserve"> del </w:t>
      </w:r>
      <w:r w:rsidR="00684B80" w:rsidRPr="00684B80">
        <w:rPr>
          <w:rFonts w:ascii="Bookman Old Style" w:hAnsi="Bookman Old Style"/>
          <w:spacing w:val="-3"/>
        </w:rPr>
        <w:t xml:space="preserve">11 </w:t>
      </w:r>
      <w:r w:rsidRPr="00684B80">
        <w:rPr>
          <w:rFonts w:ascii="Bookman Old Style" w:hAnsi="Bookman Old Style"/>
          <w:spacing w:val="-3"/>
        </w:rPr>
        <w:t xml:space="preserve">de </w:t>
      </w:r>
      <w:r w:rsidR="00DA7241" w:rsidRPr="00684B80">
        <w:rPr>
          <w:rFonts w:ascii="Bookman Old Style" w:hAnsi="Bookman Old Style"/>
          <w:spacing w:val="-3"/>
        </w:rPr>
        <w:t xml:space="preserve">junio </w:t>
      </w:r>
      <w:r w:rsidRPr="00684B80">
        <w:rPr>
          <w:rFonts w:ascii="Bookman Old Style" w:hAnsi="Bookman Old Style"/>
          <w:spacing w:val="-3"/>
        </w:rPr>
        <w:t>de 2020, acordó hacer público el proyecto de resolución “</w:t>
      </w:r>
      <w:r w:rsidR="000E7D0D" w:rsidRPr="00684B80">
        <w:rPr>
          <w:rFonts w:ascii="Bookman Old Style" w:hAnsi="Bookman Old Style"/>
          <w:spacing w:val="-3"/>
        </w:rPr>
        <w:t>Por la cual se adoptan medidas regulatorias transitorias para la comercialización</w:t>
      </w:r>
      <w:r w:rsidR="000E7D0D" w:rsidRPr="000E7D0D">
        <w:rPr>
          <w:rFonts w:ascii="Bookman Old Style" w:hAnsi="Bookman Old Style"/>
          <w:spacing w:val="-3"/>
        </w:rPr>
        <w:t xml:space="preserve"> de GLP de fuentes de precio regulado para el segundo semestre de 2020</w:t>
      </w:r>
      <w:r w:rsidRPr="004E2959">
        <w:rPr>
          <w:rFonts w:ascii="Bookman Old Style" w:hAnsi="Bookman Old Style"/>
          <w:spacing w:val="-3"/>
        </w:rPr>
        <w:t>”.</w:t>
      </w:r>
    </w:p>
    <w:p w14:paraId="331742D8" w14:textId="77777777" w:rsidR="00D14DA5" w:rsidRPr="00684B80" w:rsidRDefault="00D14DA5" w:rsidP="003E2E35">
      <w:pPr>
        <w:ind w:left="0"/>
        <w:contextualSpacing/>
        <w:jc w:val="both"/>
        <w:rPr>
          <w:rFonts w:ascii="Bookman Old Style" w:hAnsi="Bookman Old Style"/>
          <w:spacing w:val="-3"/>
          <w:sz w:val="36"/>
          <w:szCs w:val="36"/>
        </w:rPr>
      </w:pPr>
    </w:p>
    <w:p w14:paraId="186B924C" w14:textId="77777777" w:rsidR="001E12A7" w:rsidRPr="004E2959" w:rsidRDefault="001E12A7" w:rsidP="003E2E35">
      <w:pPr>
        <w:ind w:left="0"/>
        <w:contextualSpacing/>
        <w:jc w:val="center"/>
        <w:rPr>
          <w:rFonts w:ascii="Bookman Old Style" w:hAnsi="Bookman Old Style"/>
          <w:b/>
          <w:spacing w:val="40"/>
        </w:rPr>
      </w:pPr>
      <w:r w:rsidRPr="004E2959">
        <w:rPr>
          <w:rFonts w:ascii="Bookman Old Style" w:hAnsi="Bookman Old Style"/>
          <w:b/>
        </w:rPr>
        <w:t xml:space="preserve">R E S U E L V </w:t>
      </w:r>
      <w:r w:rsidRPr="004E2959">
        <w:rPr>
          <w:rFonts w:ascii="Bookman Old Style" w:hAnsi="Bookman Old Style"/>
          <w:b/>
          <w:spacing w:val="40"/>
        </w:rPr>
        <w:t>E:</w:t>
      </w:r>
    </w:p>
    <w:p w14:paraId="71D82AAC" w14:textId="77777777" w:rsidR="001E12A7" w:rsidRPr="00684B80" w:rsidRDefault="001E12A7" w:rsidP="003E2E35">
      <w:pPr>
        <w:ind w:left="0"/>
        <w:contextualSpacing/>
        <w:jc w:val="center"/>
        <w:rPr>
          <w:rFonts w:ascii="Bookman Old Style" w:hAnsi="Bookman Old Style"/>
          <w:b/>
          <w:spacing w:val="40"/>
          <w:sz w:val="32"/>
          <w:szCs w:val="32"/>
        </w:rPr>
      </w:pPr>
    </w:p>
    <w:p w14:paraId="0CEA0A1D" w14:textId="0A0A5960" w:rsidR="001E12A7" w:rsidRPr="004E2959" w:rsidRDefault="001E12A7" w:rsidP="003E2E35">
      <w:pPr>
        <w:ind w:left="0"/>
        <w:contextualSpacing/>
        <w:jc w:val="both"/>
        <w:rPr>
          <w:rFonts w:ascii="Bookman Old Style" w:hAnsi="Bookman Old Style"/>
        </w:rPr>
      </w:pPr>
      <w:r w:rsidRPr="004E2959">
        <w:rPr>
          <w:rFonts w:ascii="Bookman Old Style" w:hAnsi="Bookman Old Style"/>
          <w:b/>
        </w:rPr>
        <w:t>Artículo 1. Objeto.</w:t>
      </w:r>
      <w:r w:rsidR="009C636C">
        <w:rPr>
          <w:rFonts w:ascii="Bookman Old Style" w:hAnsi="Bookman Old Style"/>
        </w:rPr>
        <w:t xml:space="preserve"> </w:t>
      </w:r>
      <w:r w:rsidRPr="004E2959">
        <w:rPr>
          <w:rFonts w:ascii="Bookman Old Style" w:hAnsi="Bookman Old Style"/>
        </w:rPr>
        <w:t>Hágase público el proyecto de resolución “</w:t>
      </w:r>
      <w:r w:rsidR="000E7D0D" w:rsidRPr="000E7D0D">
        <w:rPr>
          <w:rFonts w:ascii="Bookman Old Style" w:hAnsi="Bookman Old Style"/>
        </w:rPr>
        <w:t>Por la cual se adoptan medidas regulatorias transitorias para la comercialización de GLP de fuentes de precio regulado para el segundo semestre de 2020</w:t>
      </w:r>
      <w:r w:rsidRPr="004E2959">
        <w:rPr>
          <w:rFonts w:ascii="Bookman Old Style" w:hAnsi="Bookman Old Style"/>
        </w:rPr>
        <w:t>”.</w:t>
      </w:r>
    </w:p>
    <w:p w14:paraId="250B0118" w14:textId="77777777" w:rsidR="008820D3" w:rsidRDefault="008820D3" w:rsidP="003E2E35">
      <w:pPr>
        <w:ind w:left="0"/>
        <w:contextualSpacing/>
        <w:jc w:val="both"/>
        <w:rPr>
          <w:rFonts w:ascii="Bookman Old Style" w:hAnsi="Bookman Old Style"/>
          <w:b/>
        </w:rPr>
      </w:pPr>
    </w:p>
    <w:p w14:paraId="0992B74E" w14:textId="51DA2E1F" w:rsidR="001E12A7" w:rsidRPr="004E2959" w:rsidRDefault="001E12A7" w:rsidP="003E2E35">
      <w:pPr>
        <w:ind w:left="0"/>
        <w:contextualSpacing/>
        <w:jc w:val="both"/>
        <w:rPr>
          <w:rFonts w:ascii="Bookman Old Style" w:hAnsi="Bookman Old Style"/>
        </w:rPr>
      </w:pPr>
      <w:r w:rsidRPr="004E2959">
        <w:rPr>
          <w:rFonts w:ascii="Bookman Old Style" w:hAnsi="Bookman Old Style"/>
          <w:b/>
        </w:rPr>
        <w:t>Artículo 2. Presentación de comentarios, observaciones y sugerencias.</w:t>
      </w:r>
      <w:r w:rsidRPr="004E2959">
        <w:rPr>
          <w:rFonts w:ascii="Bookman Old Style" w:hAnsi="Bookman Old Style"/>
        </w:rPr>
        <w:t xml:space="preserve"> Se invita a los usuarios, a los agentes, a las autoridades locales, municipales y departamentales, a las entidades y a los demás interesados para que, </w:t>
      </w:r>
      <w:r w:rsidRPr="009C5D60">
        <w:rPr>
          <w:rFonts w:ascii="Bookman Old Style" w:hAnsi="Bookman Old Style"/>
        </w:rPr>
        <w:t>dentro de</w:t>
      </w:r>
      <w:r w:rsidR="00734112" w:rsidRPr="009C5D60">
        <w:rPr>
          <w:rFonts w:ascii="Bookman Old Style" w:hAnsi="Bookman Old Style"/>
        </w:rPr>
        <w:t xml:space="preserve"> </w:t>
      </w:r>
      <w:r w:rsidR="00ED5FC3" w:rsidRPr="009C5D60">
        <w:rPr>
          <w:rFonts w:ascii="Bookman Old Style" w:hAnsi="Bookman Old Style"/>
        </w:rPr>
        <w:t xml:space="preserve">los </w:t>
      </w:r>
      <w:r w:rsidR="0079619F">
        <w:rPr>
          <w:rFonts w:ascii="Bookman Old Style" w:hAnsi="Bookman Old Style"/>
        </w:rPr>
        <w:t>tres</w:t>
      </w:r>
      <w:r w:rsidR="00ED5FC3" w:rsidRPr="009C5D60">
        <w:rPr>
          <w:rFonts w:ascii="Bookman Old Style" w:hAnsi="Bookman Old Style"/>
        </w:rPr>
        <w:t xml:space="preserve"> </w:t>
      </w:r>
      <w:r w:rsidR="0079619F">
        <w:rPr>
          <w:rFonts w:ascii="Bookman Old Style" w:hAnsi="Bookman Old Style"/>
        </w:rPr>
        <w:t xml:space="preserve">(3) </w:t>
      </w:r>
      <w:r w:rsidR="00ED5FC3" w:rsidRPr="009C5D60">
        <w:rPr>
          <w:rFonts w:ascii="Bookman Old Style" w:hAnsi="Bookman Old Style"/>
        </w:rPr>
        <w:t>días calendario</w:t>
      </w:r>
      <w:r w:rsidR="00ED5FC3">
        <w:rPr>
          <w:rFonts w:ascii="Bookman Old Style" w:hAnsi="Bookman Old Style"/>
        </w:rPr>
        <w:t xml:space="preserve"> </w:t>
      </w:r>
      <w:r w:rsidRPr="004E2959">
        <w:rPr>
          <w:rFonts w:ascii="Bookman Old Style" w:hAnsi="Bookman Old Style"/>
        </w:rPr>
        <w:t>siguiente</w:t>
      </w:r>
      <w:r w:rsidR="007D50D8" w:rsidRPr="004E2959">
        <w:rPr>
          <w:rFonts w:ascii="Bookman Old Style" w:hAnsi="Bookman Old Style"/>
        </w:rPr>
        <w:t>s</w:t>
      </w:r>
      <w:r w:rsidRPr="004E2959">
        <w:rPr>
          <w:rFonts w:ascii="Bookman Old Style" w:hAnsi="Bookman Old Style"/>
        </w:rPr>
        <w:t xml:space="preserve"> a la publicación de la presente resolución, remitan sus observaciones o sugerencias sobre las propuestas contenidas en el proyecto de resolución adjunto.</w:t>
      </w:r>
      <w:r w:rsidR="00447186" w:rsidRPr="004E2959">
        <w:rPr>
          <w:rFonts w:ascii="Bookman Old Style" w:hAnsi="Bookman Old Style"/>
        </w:rPr>
        <w:t xml:space="preserve"> Lo anterior atendiendo l</w:t>
      </w:r>
      <w:r w:rsidR="0033459D" w:rsidRPr="004E2959">
        <w:rPr>
          <w:rFonts w:ascii="Bookman Old Style" w:hAnsi="Bookman Old Style"/>
        </w:rPr>
        <w:t>o</w:t>
      </w:r>
      <w:r w:rsidR="00447186" w:rsidRPr="004E2959">
        <w:rPr>
          <w:rFonts w:ascii="Bookman Old Style" w:hAnsi="Bookman Old Style"/>
        </w:rPr>
        <w:t xml:space="preserve">s numerales 3 y 6 del artículo </w:t>
      </w:r>
      <w:r w:rsidR="009250A9" w:rsidRPr="004E2959">
        <w:rPr>
          <w:rFonts w:ascii="Bookman Old Style" w:hAnsi="Bookman Old Style"/>
        </w:rPr>
        <w:t>33 de la Resolución CREG 039 de 2017.</w:t>
      </w:r>
    </w:p>
    <w:p w14:paraId="5C8EEAB9" w14:textId="73D15D42" w:rsidR="001E12A7" w:rsidRPr="004E2959" w:rsidRDefault="001E12A7" w:rsidP="003E2E35">
      <w:pPr>
        <w:ind w:left="0"/>
        <w:contextualSpacing/>
        <w:jc w:val="both"/>
        <w:rPr>
          <w:rFonts w:ascii="Bookman Old Style" w:hAnsi="Bookman Old Style"/>
        </w:rPr>
      </w:pPr>
      <w:r w:rsidRPr="004E2959">
        <w:rPr>
          <w:rFonts w:ascii="Bookman Old Style" w:hAnsi="Bookman Old Style"/>
        </w:rPr>
        <w:lastRenderedPageBreak/>
        <w:t xml:space="preserve">Las observaciones y sugerencias sobre el proyecto deberán dirigirse al director ejecutivo de la Comisión al correo electrónico </w:t>
      </w:r>
      <w:hyperlink r:id="rId13" w:history="1">
        <w:r w:rsidR="00771737" w:rsidRPr="00CD71B8">
          <w:rPr>
            <w:rStyle w:val="Hipervnculo"/>
            <w:rFonts w:ascii="Bookman Old Style" w:hAnsi="Bookman Old Style"/>
          </w:rPr>
          <w:t>creg@creg.gov.co</w:t>
        </w:r>
      </w:hyperlink>
      <w:r w:rsidRPr="001E12A7">
        <w:rPr>
          <w:rFonts w:ascii="Bookman Old Style" w:hAnsi="Bookman Old Style"/>
        </w:rPr>
        <w:t>.</w:t>
      </w:r>
      <w:r w:rsidR="00771737">
        <w:rPr>
          <w:rFonts w:ascii="Bookman Old Style" w:hAnsi="Bookman Old Style"/>
        </w:rPr>
        <w:t xml:space="preserve"> </w:t>
      </w:r>
    </w:p>
    <w:p w14:paraId="5AA7D634" w14:textId="77777777" w:rsidR="00771737" w:rsidRPr="001E12A7" w:rsidRDefault="00771737" w:rsidP="003E2E35">
      <w:pPr>
        <w:ind w:left="0"/>
        <w:contextualSpacing/>
        <w:jc w:val="both"/>
        <w:rPr>
          <w:rFonts w:ascii="Bookman Old Style" w:hAnsi="Bookman Old Style"/>
        </w:rPr>
      </w:pPr>
    </w:p>
    <w:p w14:paraId="71CFAEAB" w14:textId="0429BD8F" w:rsidR="001E12A7" w:rsidRPr="004E2959" w:rsidRDefault="001E12A7" w:rsidP="003E2E35">
      <w:pPr>
        <w:ind w:left="0"/>
        <w:contextualSpacing/>
        <w:jc w:val="both"/>
        <w:rPr>
          <w:rFonts w:ascii="Bookman Old Style" w:hAnsi="Bookman Old Style"/>
        </w:rPr>
      </w:pPr>
      <w:r w:rsidRPr="004E2959">
        <w:rPr>
          <w:rFonts w:ascii="Bookman Old Style" w:hAnsi="Bookman Old Style"/>
          <w:b/>
          <w:bCs/>
        </w:rPr>
        <w:t>Artículo 3. Vigencia.</w:t>
      </w:r>
      <w:r w:rsidRPr="004E2959">
        <w:rPr>
          <w:rFonts w:ascii="Bookman Old Style" w:hAnsi="Bookman Old Style"/>
        </w:rPr>
        <w:t xml:space="preserve"> La presente resolución rige a partir de su publicación en </w:t>
      </w:r>
      <w:r w:rsidR="5B4BA895" w:rsidRPr="003E005D">
        <w:rPr>
          <w:rFonts w:ascii="Bookman Old Style" w:hAnsi="Bookman Old Style"/>
        </w:rPr>
        <w:t>la página web de la Comisión</w:t>
      </w:r>
      <w:r w:rsidR="00E13404">
        <w:rPr>
          <w:rFonts w:ascii="Bookman Old Style" w:hAnsi="Bookman Old Style"/>
        </w:rPr>
        <w:t>,</w:t>
      </w:r>
      <w:r w:rsidRPr="004E2959">
        <w:rPr>
          <w:rFonts w:ascii="Bookman Old Style" w:hAnsi="Bookman Old Style"/>
        </w:rPr>
        <w:t xml:space="preserve"> y no deroga ni modifica disposiciones vigentes por tratarse de un acto de trámite.</w:t>
      </w:r>
    </w:p>
    <w:p w14:paraId="36ABAAC2" w14:textId="77777777" w:rsidR="008B351E" w:rsidRPr="001E12A7" w:rsidRDefault="008B351E" w:rsidP="003E2E35">
      <w:pPr>
        <w:ind w:left="0"/>
        <w:contextualSpacing/>
        <w:jc w:val="both"/>
        <w:rPr>
          <w:rFonts w:ascii="Bookman Old Style" w:hAnsi="Bookman Old Style"/>
        </w:rPr>
      </w:pPr>
    </w:p>
    <w:p w14:paraId="476CD2CD" w14:textId="77777777" w:rsidR="001E12A7" w:rsidRPr="004E2959" w:rsidRDefault="001E12A7" w:rsidP="003E2E35">
      <w:pPr>
        <w:ind w:left="0"/>
        <w:contextualSpacing/>
        <w:jc w:val="center"/>
        <w:rPr>
          <w:rFonts w:ascii="Bookman Old Style" w:hAnsi="Bookman Old Style"/>
          <w:b/>
        </w:rPr>
      </w:pPr>
      <w:r w:rsidRPr="004E2959">
        <w:rPr>
          <w:rFonts w:ascii="Bookman Old Style" w:hAnsi="Bookman Old Style"/>
          <w:b/>
        </w:rPr>
        <w:t>PUBLÍQUESE Y CÚMPLASE</w:t>
      </w:r>
    </w:p>
    <w:p w14:paraId="31C8A98C" w14:textId="77777777" w:rsidR="008B351E" w:rsidRDefault="008B351E" w:rsidP="003E2E35">
      <w:pPr>
        <w:ind w:left="0"/>
        <w:contextualSpacing/>
        <w:jc w:val="both"/>
        <w:rPr>
          <w:rFonts w:ascii="Bookman Old Style" w:hAnsi="Bookman Old Style"/>
        </w:rPr>
      </w:pPr>
    </w:p>
    <w:p w14:paraId="3F8247F7" w14:textId="77777777" w:rsidR="003E005D" w:rsidRDefault="003E005D" w:rsidP="003E2E35">
      <w:pPr>
        <w:ind w:left="0"/>
        <w:contextualSpacing/>
        <w:jc w:val="both"/>
        <w:rPr>
          <w:rFonts w:ascii="Bookman Old Style" w:hAnsi="Bookman Old Style"/>
        </w:rPr>
      </w:pPr>
    </w:p>
    <w:p w14:paraId="34DFE5E7" w14:textId="52B409F8" w:rsidR="001E12A7" w:rsidRPr="004E2959" w:rsidRDefault="001E12A7" w:rsidP="003E2E35">
      <w:pPr>
        <w:ind w:left="0"/>
        <w:contextualSpacing/>
        <w:jc w:val="both"/>
        <w:rPr>
          <w:rFonts w:ascii="Bookman Old Style" w:hAnsi="Bookman Old Style"/>
        </w:rPr>
      </w:pPr>
      <w:r w:rsidRPr="004E2959">
        <w:rPr>
          <w:rFonts w:ascii="Bookman Old Style" w:hAnsi="Bookman Old Style"/>
        </w:rPr>
        <w:t>Dado en Bogotá, D. C.</w:t>
      </w:r>
      <w:r w:rsidR="003E005D">
        <w:rPr>
          <w:rFonts w:ascii="Bookman Old Style" w:hAnsi="Bookman Old Style"/>
        </w:rPr>
        <w:t xml:space="preserve"> </w:t>
      </w:r>
      <w:r w:rsidR="003E005D" w:rsidRPr="00684B80">
        <w:rPr>
          <w:rFonts w:ascii="Bookman Old Style" w:hAnsi="Bookman Old Style"/>
        </w:rPr>
        <w:t xml:space="preserve">a </w:t>
      </w:r>
      <w:r w:rsidR="00684B80" w:rsidRPr="00684B80">
        <w:rPr>
          <w:rFonts w:ascii="Bookman Old Style" w:hAnsi="Bookman Old Style"/>
          <w:b/>
          <w:bCs/>
        </w:rPr>
        <w:t>11 JUN.</w:t>
      </w:r>
      <w:r w:rsidR="00057B11" w:rsidRPr="00684B80">
        <w:rPr>
          <w:rFonts w:ascii="Bookman Old Style" w:hAnsi="Bookman Old Style"/>
          <w:b/>
          <w:bCs/>
        </w:rPr>
        <w:t xml:space="preserve"> 2020</w:t>
      </w:r>
    </w:p>
    <w:p w14:paraId="0C83AA2F" w14:textId="77777777" w:rsidR="001E12A7" w:rsidRPr="004E2959" w:rsidRDefault="001E12A7" w:rsidP="003E2E35">
      <w:pPr>
        <w:ind w:left="0"/>
        <w:contextualSpacing/>
        <w:jc w:val="both"/>
        <w:rPr>
          <w:rFonts w:ascii="Bookman Old Style" w:hAnsi="Bookman Old Style"/>
        </w:rPr>
      </w:pPr>
    </w:p>
    <w:p w14:paraId="322489B1" w14:textId="77777777" w:rsidR="001E12A7" w:rsidRPr="004E2959" w:rsidRDefault="001E12A7" w:rsidP="003E2E35">
      <w:pPr>
        <w:ind w:left="0"/>
        <w:contextualSpacing/>
        <w:jc w:val="both"/>
        <w:rPr>
          <w:rFonts w:ascii="Bookman Old Style" w:hAnsi="Bookman Old Style"/>
        </w:rPr>
      </w:pPr>
    </w:p>
    <w:p w14:paraId="23E1BDD9" w14:textId="77777777" w:rsidR="003E005D" w:rsidRDefault="003E005D" w:rsidP="003E2E35">
      <w:pPr>
        <w:ind w:left="0"/>
        <w:contextualSpacing/>
        <w:jc w:val="both"/>
        <w:rPr>
          <w:rFonts w:ascii="Bookman Old Style" w:hAnsi="Bookman Old Style"/>
        </w:rPr>
      </w:pPr>
    </w:p>
    <w:p w14:paraId="13EB1B2C" w14:textId="77777777" w:rsidR="009250A9" w:rsidRPr="004E2959" w:rsidRDefault="009250A9" w:rsidP="003E2E35">
      <w:pPr>
        <w:ind w:left="0"/>
        <w:contextualSpacing/>
        <w:jc w:val="both"/>
        <w:rPr>
          <w:rFonts w:ascii="Bookman Old Style" w:hAnsi="Bookman Old Style"/>
        </w:rPr>
      </w:pPr>
    </w:p>
    <w:p w14:paraId="3EC3231E" w14:textId="77777777" w:rsidR="001E12A7" w:rsidRPr="004E2959" w:rsidRDefault="001E12A7" w:rsidP="003E2E35">
      <w:pPr>
        <w:ind w:left="0"/>
        <w:contextualSpacing/>
        <w:jc w:val="both"/>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3E005D" w:rsidRPr="00FD5CA5" w14:paraId="41BDE4A3" w14:textId="77777777" w:rsidTr="00EF63FE">
        <w:trPr>
          <w:trHeight w:val="302"/>
          <w:jc w:val="center"/>
        </w:trPr>
        <w:tc>
          <w:tcPr>
            <w:tcW w:w="2569" w:type="pct"/>
            <w:hideMark/>
          </w:tcPr>
          <w:p w14:paraId="2BC663BC" w14:textId="77777777" w:rsidR="003E005D" w:rsidRPr="00FD5CA5" w:rsidRDefault="003E005D" w:rsidP="00EF63FE">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74ECF69D" w14:textId="77777777" w:rsidR="003E005D" w:rsidRPr="00FD5CA5" w:rsidRDefault="003E005D" w:rsidP="00EF63FE">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3E005D" w:rsidRPr="00FD5CA5" w14:paraId="7FFD95D2" w14:textId="77777777" w:rsidTr="00EF63FE">
        <w:trPr>
          <w:trHeight w:val="572"/>
          <w:jc w:val="center"/>
        </w:trPr>
        <w:tc>
          <w:tcPr>
            <w:tcW w:w="2569" w:type="pct"/>
            <w:hideMark/>
          </w:tcPr>
          <w:p w14:paraId="2CF927F1" w14:textId="77777777" w:rsidR="003E005D" w:rsidRDefault="003E005D" w:rsidP="00EF63FE">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xml:space="preserve">, </w:t>
            </w:r>
            <w:proofErr w:type="gramStart"/>
            <w:r>
              <w:rPr>
                <w:rFonts w:ascii="Bookman Old Style" w:hAnsi="Bookman Old Style" w:cs="Arial"/>
                <w:spacing w:val="-3"/>
              </w:rPr>
              <w:t>Delegado</w:t>
            </w:r>
            <w:proofErr w:type="gramEnd"/>
            <w:r>
              <w:rPr>
                <w:rFonts w:ascii="Bookman Old Style" w:hAnsi="Bookman Old Style" w:cs="Arial"/>
                <w:spacing w:val="-3"/>
              </w:rPr>
              <w:t xml:space="preserve"> de la Ministra de Minas y Energía</w:t>
            </w:r>
          </w:p>
          <w:p w14:paraId="6D7E2383" w14:textId="77777777" w:rsidR="003E005D" w:rsidRPr="00E927A1" w:rsidRDefault="003E005D" w:rsidP="00EF63FE">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1B254610" w14:textId="77777777" w:rsidR="003E005D" w:rsidRPr="00FD5CA5" w:rsidRDefault="003E005D" w:rsidP="00EF63FE">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247B5DB3" w14:textId="77777777" w:rsidR="003E005D" w:rsidRPr="001E12A7" w:rsidRDefault="003E005D" w:rsidP="003E2E35">
      <w:pPr>
        <w:ind w:left="0"/>
        <w:contextualSpacing/>
        <w:jc w:val="both"/>
        <w:rPr>
          <w:rFonts w:ascii="Bookman Old Style" w:hAnsi="Bookman Old Style"/>
        </w:rPr>
      </w:pPr>
    </w:p>
    <w:p w14:paraId="5F270B3D" w14:textId="77777777" w:rsidR="001E12A7" w:rsidRPr="004E2959" w:rsidRDefault="001E12A7" w:rsidP="003E2E35">
      <w:pPr>
        <w:ind w:left="0"/>
        <w:contextualSpacing/>
        <w:jc w:val="both"/>
        <w:rPr>
          <w:rFonts w:ascii="Bookman Old Style" w:hAnsi="Bookman Old Style"/>
        </w:rPr>
      </w:pPr>
    </w:p>
    <w:p w14:paraId="415F527F" w14:textId="77777777" w:rsidR="001E12A7" w:rsidRPr="004E2959" w:rsidRDefault="001E12A7" w:rsidP="003E2E35">
      <w:pPr>
        <w:ind w:left="0"/>
        <w:contextualSpacing/>
        <w:jc w:val="both"/>
        <w:rPr>
          <w:rFonts w:ascii="Bookman Old Style" w:hAnsi="Bookman Old Style"/>
        </w:rPr>
      </w:pPr>
    </w:p>
    <w:p w14:paraId="00ECB712" w14:textId="77777777" w:rsidR="001E12A7" w:rsidRPr="004E2959" w:rsidRDefault="001E12A7" w:rsidP="003E2E35">
      <w:pPr>
        <w:ind w:left="0"/>
        <w:contextualSpacing/>
        <w:rPr>
          <w:rFonts w:ascii="Bookman Old Style" w:hAnsi="Bookman Old Style"/>
          <w:b/>
          <w:lang w:val="es-ES_tradnl"/>
        </w:rPr>
      </w:pPr>
      <w:r w:rsidRPr="004E2959">
        <w:rPr>
          <w:rFonts w:ascii="Bookman Old Style" w:hAnsi="Bookman Old Style"/>
          <w:b/>
        </w:rPr>
        <w:br w:type="page"/>
      </w:r>
    </w:p>
    <w:p w14:paraId="1437D45B" w14:textId="77777777" w:rsidR="001E12A7" w:rsidRPr="004E2959" w:rsidRDefault="001E12A7" w:rsidP="003E2E35">
      <w:pPr>
        <w:ind w:left="0"/>
        <w:contextualSpacing/>
        <w:jc w:val="center"/>
        <w:rPr>
          <w:rFonts w:ascii="Bookman Old Style" w:hAnsi="Bookman Old Style"/>
          <w:b/>
        </w:rPr>
      </w:pPr>
    </w:p>
    <w:p w14:paraId="3CDA5DFC" w14:textId="77777777" w:rsidR="001E12A7" w:rsidRPr="004E2959" w:rsidRDefault="001E12A7" w:rsidP="003E2E35">
      <w:pPr>
        <w:ind w:left="0"/>
        <w:contextualSpacing/>
        <w:jc w:val="center"/>
        <w:rPr>
          <w:rFonts w:ascii="Bookman Old Style" w:hAnsi="Bookman Old Style"/>
          <w:b/>
        </w:rPr>
      </w:pPr>
      <w:r w:rsidRPr="004E2959">
        <w:rPr>
          <w:rFonts w:ascii="Bookman Old Style" w:hAnsi="Bookman Old Style"/>
          <w:b/>
        </w:rPr>
        <w:t>PROYECTO DE RESOLUCIÓN</w:t>
      </w:r>
    </w:p>
    <w:p w14:paraId="1B644F49" w14:textId="77777777" w:rsidR="001E12A7" w:rsidRPr="004E2959" w:rsidRDefault="001E12A7" w:rsidP="003E2E35">
      <w:pPr>
        <w:ind w:left="0"/>
        <w:contextualSpacing/>
        <w:jc w:val="center"/>
        <w:rPr>
          <w:rFonts w:ascii="Bookman Old Style" w:hAnsi="Bookman Old Style" w:cs="Arial"/>
          <w:b/>
        </w:rPr>
      </w:pPr>
    </w:p>
    <w:p w14:paraId="065CA184" w14:textId="15045AB0" w:rsidR="00B11B44" w:rsidRPr="004E2959" w:rsidRDefault="000E7D0D" w:rsidP="000E7D0D">
      <w:pPr>
        <w:ind w:left="0"/>
        <w:contextualSpacing/>
        <w:jc w:val="both"/>
        <w:rPr>
          <w:rFonts w:ascii="Bookman Old Style" w:hAnsi="Bookman Old Style"/>
        </w:rPr>
      </w:pPr>
      <w:r w:rsidRPr="000E7D0D">
        <w:rPr>
          <w:rFonts w:ascii="Bookman Old Style" w:hAnsi="Bookman Old Style"/>
        </w:rPr>
        <w:t>Por la cual se adoptan medidas regulatorias transitorias para la comercialización de GLP de fuentes de precio regulado para el segundo semestre de 2020</w:t>
      </w:r>
    </w:p>
    <w:p w14:paraId="2AACEE8A" w14:textId="77777777" w:rsidR="00B11B44" w:rsidRPr="004E2959" w:rsidRDefault="00B11B44" w:rsidP="003E2E35">
      <w:pPr>
        <w:ind w:left="0"/>
        <w:contextualSpacing/>
        <w:jc w:val="center"/>
        <w:rPr>
          <w:rFonts w:ascii="Bookman Old Style" w:hAnsi="Bookman Old Style"/>
        </w:rPr>
      </w:pPr>
    </w:p>
    <w:p w14:paraId="4747F6B4" w14:textId="39FB7BBB" w:rsidR="00B11B44" w:rsidRPr="004E2959" w:rsidRDefault="00B11B44" w:rsidP="003E2E35">
      <w:pPr>
        <w:ind w:right="51"/>
        <w:contextualSpacing/>
        <w:jc w:val="center"/>
        <w:rPr>
          <w:rFonts w:ascii="Bookman Old Style" w:hAnsi="Bookman Old Style"/>
          <w:b/>
        </w:rPr>
      </w:pPr>
      <w:r w:rsidRPr="004E2959">
        <w:rPr>
          <w:rFonts w:ascii="Bookman Old Style" w:hAnsi="Bookman Old Style"/>
          <w:b/>
        </w:rPr>
        <w:t>LA COMISIÓN DE REGULACIÓN DE ENERGÍA Y GAS</w:t>
      </w:r>
    </w:p>
    <w:p w14:paraId="2ED037AD" w14:textId="77777777" w:rsidR="00B11B44" w:rsidRPr="004E2959" w:rsidRDefault="00B11B44" w:rsidP="003E2E35">
      <w:pPr>
        <w:ind w:left="0" w:right="51"/>
        <w:contextualSpacing/>
        <w:rPr>
          <w:rFonts w:ascii="Bookman Old Style" w:hAnsi="Bookman Old Style"/>
        </w:rPr>
      </w:pPr>
    </w:p>
    <w:p w14:paraId="04F4AAFD" w14:textId="77777777" w:rsidR="00B11B44" w:rsidRPr="004E2959" w:rsidRDefault="00B11B44" w:rsidP="003E2E35">
      <w:pPr>
        <w:ind w:left="0" w:right="51"/>
        <w:contextualSpacing/>
        <w:rPr>
          <w:rFonts w:ascii="Bookman Old Style" w:hAnsi="Bookman Old Style"/>
        </w:rPr>
      </w:pPr>
    </w:p>
    <w:p w14:paraId="2303969A" w14:textId="4F4D4517" w:rsidR="00B11B44" w:rsidRPr="000E7D0D" w:rsidRDefault="00B11B44" w:rsidP="000E7D0D">
      <w:pPr>
        <w:ind w:left="0" w:right="51"/>
        <w:contextualSpacing/>
        <w:jc w:val="center"/>
        <w:rPr>
          <w:rFonts w:ascii="Bookman Old Style" w:hAnsi="Bookman Old Style" w:cs="Arial"/>
          <w:bCs/>
          <w:spacing w:val="-3"/>
        </w:rPr>
      </w:pPr>
      <w:r w:rsidRPr="004E2959">
        <w:rPr>
          <w:rFonts w:ascii="Bookman Old Style" w:hAnsi="Bookman Old Style" w:cs="Arial"/>
          <w:bCs/>
          <w:spacing w:val="-3"/>
        </w:rPr>
        <w:t xml:space="preserve">En ejercicio de sus atribuciones legales, en especial las conferidas por las leyes 142 y 143 de 1994, y en desarrollo de los Decretos 1524, 2253 de 1994,1260 de 2013 y </w:t>
      </w:r>
    </w:p>
    <w:p w14:paraId="3AA97AB9" w14:textId="77777777" w:rsidR="00C63C2A" w:rsidRPr="004E2959" w:rsidRDefault="00C63C2A" w:rsidP="003E2E35">
      <w:pPr>
        <w:ind w:left="0"/>
        <w:contextualSpacing/>
        <w:rPr>
          <w:rFonts w:ascii="Bookman Old Style" w:hAnsi="Bookman Old Style" w:cs="Arial"/>
        </w:rPr>
      </w:pPr>
    </w:p>
    <w:p w14:paraId="5BB55694" w14:textId="7E625DD5" w:rsidR="00B11B44" w:rsidRPr="004E2959" w:rsidRDefault="00B11B44" w:rsidP="003E2E35">
      <w:pPr>
        <w:ind w:left="0"/>
        <w:contextualSpacing/>
        <w:jc w:val="center"/>
        <w:rPr>
          <w:rFonts w:ascii="Bookman Old Style" w:hAnsi="Bookman Old Style" w:cs="Arial"/>
          <w:b/>
        </w:rPr>
      </w:pPr>
      <w:r w:rsidRPr="004E2959">
        <w:rPr>
          <w:rFonts w:ascii="Bookman Old Style" w:hAnsi="Bookman Old Style" w:cs="Arial"/>
          <w:b/>
        </w:rPr>
        <w:t xml:space="preserve">C O N S I D E R A N D O </w:t>
      </w:r>
      <w:r w:rsidR="00332A07">
        <w:rPr>
          <w:rFonts w:ascii="Bookman Old Style" w:hAnsi="Bookman Old Style" w:cs="Arial"/>
          <w:b/>
        </w:rPr>
        <w:t xml:space="preserve"> </w:t>
      </w:r>
      <w:r w:rsidRPr="004E2959">
        <w:rPr>
          <w:rFonts w:ascii="Bookman Old Style" w:hAnsi="Bookman Old Style" w:cs="Arial"/>
          <w:b/>
        </w:rPr>
        <w:t xml:space="preserve"> Q U E:</w:t>
      </w:r>
    </w:p>
    <w:p w14:paraId="3454D168" w14:textId="77777777" w:rsidR="00410A36" w:rsidRPr="004E2959" w:rsidRDefault="00410A36" w:rsidP="003E2E35">
      <w:pPr>
        <w:ind w:left="0"/>
        <w:contextualSpacing/>
        <w:jc w:val="both"/>
        <w:rPr>
          <w:rFonts w:ascii="Bookman Old Style" w:hAnsi="Bookman Old Style"/>
        </w:rPr>
      </w:pPr>
    </w:p>
    <w:p w14:paraId="34F24AB7" w14:textId="77777777" w:rsidR="004C4C34" w:rsidRPr="004E2959" w:rsidRDefault="004C4C34" w:rsidP="003E2E35">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4E291058" w14:textId="77777777" w:rsidR="004C4C34" w:rsidRPr="004E2959" w:rsidRDefault="004C4C34" w:rsidP="003E2E35">
      <w:pPr>
        <w:ind w:left="0"/>
        <w:contextualSpacing/>
        <w:jc w:val="both"/>
        <w:rPr>
          <w:rFonts w:ascii="Bookman Old Style" w:hAnsi="Bookman Old Style"/>
        </w:rPr>
      </w:pPr>
    </w:p>
    <w:p w14:paraId="1864CCD9" w14:textId="1E6C275F" w:rsidR="00E41B40" w:rsidRPr="004E2959" w:rsidRDefault="004C4C34" w:rsidP="003E2E35">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sidR="00D14DA5">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 para asegurar el mejoramiento de la calidad de vida de los usuarios, así como su prestación conti</w:t>
      </w:r>
      <w:r w:rsidR="00E41B40" w:rsidRPr="004E2959">
        <w:rPr>
          <w:rFonts w:ascii="Bookman Old Style" w:hAnsi="Bookman Old Style"/>
        </w:rPr>
        <w:t>nua, ininterrumpida y eficiente.</w:t>
      </w:r>
    </w:p>
    <w:p w14:paraId="6E13623E" w14:textId="77777777" w:rsidR="00E41B40" w:rsidRPr="004E2959" w:rsidRDefault="00E41B40" w:rsidP="003E2E35">
      <w:pPr>
        <w:ind w:left="0"/>
        <w:contextualSpacing/>
        <w:jc w:val="both"/>
        <w:rPr>
          <w:rFonts w:ascii="Bookman Old Style" w:hAnsi="Bookman Old Style"/>
        </w:rPr>
      </w:pPr>
    </w:p>
    <w:p w14:paraId="78ACD450" w14:textId="362F2541" w:rsidR="002255C7" w:rsidRPr="004E2959" w:rsidRDefault="00672371" w:rsidP="003E2E35">
      <w:pPr>
        <w:ind w:left="0"/>
        <w:contextualSpacing/>
        <w:jc w:val="both"/>
        <w:rPr>
          <w:rFonts w:ascii="Bookman Old Style" w:hAnsi="Bookman Old Style"/>
          <w:lang w:val="es-CO"/>
        </w:rPr>
      </w:pPr>
      <w:r w:rsidRPr="004E2959">
        <w:rPr>
          <w:rFonts w:ascii="Bookman Old Style" w:hAnsi="Bookman Old Style"/>
          <w:lang w:val="es-CO"/>
        </w:rPr>
        <w:t>D</w:t>
      </w:r>
      <w:r w:rsidR="002255C7" w:rsidRPr="004E2959">
        <w:rPr>
          <w:rFonts w:ascii="Bookman Old Style" w:hAnsi="Bookman Old Style"/>
          <w:lang w:val="es-CO"/>
        </w:rPr>
        <w:t xml:space="preserve">entro de las medidas regulatorias expedidas a efectos de llevar a cabo la comercialización mayorista de GLP, </w:t>
      </w:r>
      <w:r w:rsidR="00FD554F" w:rsidRPr="004E2959">
        <w:rPr>
          <w:rFonts w:ascii="Bookman Old Style" w:hAnsi="Bookman Old Style"/>
          <w:lang w:val="es-CO"/>
        </w:rPr>
        <w:t xml:space="preserve">además de las previstas en materia tarifaria, </w:t>
      </w:r>
      <w:r w:rsidR="003F6B65" w:rsidRPr="004E2959">
        <w:rPr>
          <w:rFonts w:ascii="Bookman Old Style" w:hAnsi="Bookman Old Style"/>
          <w:lang w:val="es-CO"/>
        </w:rPr>
        <w:t xml:space="preserve">se encuentran </w:t>
      </w:r>
      <w:r w:rsidR="002255C7" w:rsidRPr="004E2959">
        <w:rPr>
          <w:rFonts w:ascii="Bookman Old Style" w:hAnsi="Bookman Old Style"/>
          <w:lang w:val="es-CO"/>
        </w:rPr>
        <w:t>aquellas relacionadas con los mecanismos para la asignación del producto</w:t>
      </w:r>
      <w:r w:rsidR="00D14DA5">
        <w:rPr>
          <w:rFonts w:ascii="Bookman Old Style" w:hAnsi="Bookman Old Style"/>
          <w:lang w:val="es-CO"/>
        </w:rPr>
        <w:t>,</w:t>
      </w:r>
      <w:r w:rsidR="002255C7" w:rsidRPr="004E2959">
        <w:rPr>
          <w:rFonts w:ascii="Bookman Old Style" w:hAnsi="Bookman Old Style"/>
          <w:lang w:val="es-CO"/>
        </w:rPr>
        <w:t xml:space="preserve"> y los parámetros de conducta de los agentes y su posición en el mercado en esta actividad. </w:t>
      </w:r>
    </w:p>
    <w:p w14:paraId="195A0191" w14:textId="77777777" w:rsidR="006522CA" w:rsidRPr="004E2959" w:rsidRDefault="006522CA" w:rsidP="003E2E35">
      <w:pPr>
        <w:ind w:left="0"/>
        <w:contextualSpacing/>
        <w:jc w:val="both"/>
        <w:rPr>
          <w:rFonts w:ascii="Bookman Old Style" w:hAnsi="Bookman Old Style"/>
          <w:lang w:val="es-CO"/>
        </w:rPr>
      </w:pPr>
    </w:p>
    <w:p w14:paraId="2CFADEEF" w14:textId="2391EC72" w:rsidR="00C878FA" w:rsidRPr="004E2959" w:rsidRDefault="00117256" w:rsidP="003E2E35">
      <w:pPr>
        <w:ind w:left="0"/>
        <w:contextualSpacing/>
        <w:jc w:val="both"/>
        <w:rPr>
          <w:rFonts w:ascii="Bookman Old Style" w:hAnsi="Bookman Old Style" w:cs="Arial"/>
          <w:spacing w:val="-5"/>
          <w:lang w:val="es-CO" w:eastAsia="en-US"/>
        </w:rPr>
      </w:pPr>
      <w:r w:rsidRPr="004E2959">
        <w:rPr>
          <w:rFonts w:ascii="Bookman Old Style" w:hAnsi="Bookman Old Style"/>
          <w:lang w:val="es-CO"/>
        </w:rPr>
        <w:t xml:space="preserve">A efectos de dar cumplimiento a estos fines y objetivos, en el marco de la Ley 142 de 1994, </w:t>
      </w:r>
      <w:r w:rsidR="00C878FA" w:rsidRPr="004E2959">
        <w:rPr>
          <w:rFonts w:ascii="Bookman Old Style" w:hAnsi="Bookman Old Style" w:cs="Arial"/>
          <w:spacing w:val="-5"/>
          <w:lang w:val="es-CO" w:eastAsia="en-US"/>
        </w:rPr>
        <w:t xml:space="preserve">dentro del mecanismo de asignación de producto mediante ofertas públicas de cantidad, OPC, se establecieron disposiciones particulares, entre otras, las relativas a las condiciones generales para la oferta pública de GLP con precio regulado, </w:t>
      </w:r>
      <w:r w:rsidR="00B37316" w:rsidRPr="004E2959">
        <w:rPr>
          <w:rFonts w:ascii="Bookman Old Style" w:hAnsi="Bookman Old Style" w:cs="Arial"/>
          <w:spacing w:val="-5"/>
          <w:lang w:val="es-CO" w:eastAsia="en-US"/>
        </w:rPr>
        <w:t>así como dentro de las obligaciones de los comercializadores mayoristas para la comercialización de GLP</w:t>
      </w:r>
      <w:r w:rsidR="006875B4" w:rsidRPr="004E2959">
        <w:rPr>
          <w:rFonts w:ascii="Bookman Old Style" w:hAnsi="Bookman Old Style" w:cs="Arial"/>
          <w:spacing w:val="-5"/>
          <w:lang w:val="es-CO" w:eastAsia="en-US"/>
        </w:rPr>
        <w:t xml:space="preserve">, </w:t>
      </w:r>
      <w:r w:rsidR="00C878FA" w:rsidRPr="004E2959">
        <w:rPr>
          <w:rFonts w:ascii="Bookman Old Style" w:hAnsi="Bookman Old Style" w:cs="Arial"/>
          <w:spacing w:val="-5"/>
          <w:lang w:val="es-CO" w:eastAsia="en-US"/>
        </w:rPr>
        <w:t xml:space="preserve">donde en la Resolución </w:t>
      </w:r>
      <w:r w:rsidR="00DC2344" w:rsidRPr="004E2959">
        <w:rPr>
          <w:rFonts w:ascii="Bookman Old Style" w:hAnsi="Bookman Old Style" w:cs="Arial"/>
          <w:spacing w:val="-5"/>
          <w:lang w:val="es-CO" w:eastAsia="en-US"/>
        </w:rPr>
        <w:t xml:space="preserve">CREG </w:t>
      </w:r>
      <w:r w:rsidR="00C878FA" w:rsidRPr="004E2959">
        <w:rPr>
          <w:rFonts w:ascii="Bookman Old Style" w:hAnsi="Bookman Old Style" w:cs="Arial"/>
          <w:spacing w:val="-5"/>
          <w:lang w:val="es-CO" w:eastAsia="en-US"/>
        </w:rPr>
        <w:t>053 de 2011</w:t>
      </w:r>
      <w:r w:rsidR="00C878FA" w:rsidRPr="00E96FF8">
        <w:rPr>
          <w:rFonts w:ascii="Bookman Old Style" w:hAnsi="Bookman Old Style" w:cs="Arial"/>
          <w:spacing w:val="-5"/>
          <w:lang w:val="es-CO" w:eastAsia="en-US"/>
        </w:rPr>
        <w:t xml:space="preserve">, artículo </w:t>
      </w:r>
      <w:r w:rsidR="006875B4" w:rsidRPr="00E96FF8">
        <w:rPr>
          <w:rFonts w:ascii="Bookman Old Style" w:hAnsi="Bookman Old Style" w:cs="Arial"/>
          <w:spacing w:val="-5"/>
          <w:lang w:val="es-CO" w:eastAsia="en-US"/>
        </w:rPr>
        <w:t>6</w:t>
      </w:r>
      <w:r w:rsidR="008B3616" w:rsidRPr="00E96FF8">
        <w:rPr>
          <w:rFonts w:ascii="Bookman Old Style" w:hAnsi="Bookman Old Style" w:cs="Arial"/>
          <w:spacing w:val="-5"/>
          <w:lang w:val="es-CO" w:eastAsia="en-US"/>
        </w:rPr>
        <w:t>, literales a, c</w:t>
      </w:r>
      <w:r w:rsidR="00E24B9D" w:rsidRPr="00E96FF8">
        <w:rPr>
          <w:rFonts w:ascii="Bookman Old Style" w:hAnsi="Bookman Old Style" w:cs="Arial"/>
          <w:spacing w:val="-5"/>
          <w:lang w:val="es-CO" w:eastAsia="en-US"/>
        </w:rPr>
        <w:t xml:space="preserve"> y</w:t>
      </w:r>
      <w:r w:rsidR="008B3616" w:rsidRPr="00E96FF8">
        <w:rPr>
          <w:rFonts w:ascii="Bookman Old Style" w:hAnsi="Bookman Old Style" w:cs="Arial"/>
          <w:spacing w:val="-5"/>
          <w:lang w:val="es-CO" w:eastAsia="en-US"/>
        </w:rPr>
        <w:t xml:space="preserve"> d</w:t>
      </w:r>
      <w:r w:rsidR="00814704" w:rsidRPr="00E96FF8">
        <w:rPr>
          <w:rFonts w:ascii="Bookman Old Style" w:hAnsi="Bookman Old Style" w:cs="Arial"/>
          <w:spacing w:val="-5"/>
          <w:lang w:val="es-CO" w:eastAsia="en-US"/>
        </w:rPr>
        <w:t>,</w:t>
      </w:r>
      <w:r w:rsidR="006875B4" w:rsidRPr="00E96FF8">
        <w:rPr>
          <w:rFonts w:ascii="Bookman Old Style" w:hAnsi="Bookman Old Style" w:cs="Arial"/>
          <w:spacing w:val="-5"/>
          <w:lang w:val="es-CO" w:eastAsia="en-US"/>
        </w:rPr>
        <w:t xml:space="preserve"> </w:t>
      </w:r>
      <w:r w:rsidR="008B3616" w:rsidRPr="00E96FF8">
        <w:rPr>
          <w:rFonts w:ascii="Bookman Old Style" w:hAnsi="Bookman Old Style" w:cs="Arial"/>
          <w:spacing w:val="-5"/>
          <w:lang w:val="es-CO" w:eastAsia="en-US"/>
        </w:rPr>
        <w:t xml:space="preserve">artículo </w:t>
      </w:r>
      <w:r w:rsidR="00C878FA" w:rsidRPr="00E96FF8">
        <w:rPr>
          <w:rFonts w:ascii="Bookman Old Style" w:hAnsi="Bookman Old Style" w:cs="Arial"/>
          <w:spacing w:val="-5"/>
          <w:lang w:val="es-CO" w:eastAsia="en-US"/>
        </w:rPr>
        <w:t xml:space="preserve">13, </w:t>
      </w:r>
      <w:r w:rsidR="00DE3AF1" w:rsidRPr="00E96FF8">
        <w:rPr>
          <w:rFonts w:ascii="Bookman Old Style" w:hAnsi="Bookman Old Style" w:cs="Arial"/>
          <w:spacing w:val="-5"/>
          <w:lang w:val="es-CO" w:eastAsia="en-US"/>
        </w:rPr>
        <w:t>literal</w:t>
      </w:r>
      <w:r w:rsidR="00C878FA" w:rsidRPr="00E96FF8">
        <w:rPr>
          <w:rFonts w:ascii="Bookman Old Style" w:hAnsi="Bookman Old Style" w:cs="Arial"/>
          <w:spacing w:val="-5"/>
          <w:lang w:val="es-CO" w:eastAsia="en-US"/>
        </w:rPr>
        <w:t xml:space="preserve"> c,</w:t>
      </w:r>
      <w:r w:rsidR="00584D23" w:rsidRPr="00E96FF8">
        <w:rPr>
          <w:rFonts w:ascii="Bookman Old Style" w:hAnsi="Bookman Old Style" w:cs="Arial"/>
          <w:spacing w:val="-5"/>
          <w:lang w:val="es-CO" w:eastAsia="en-US"/>
        </w:rPr>
        <w:t xml:space="preserve"> y artículo 16</w:t>
      </w:r>
      <w:r w:rsidR="000E2C15" w:rsidRPr="00E96FF8">
        <w:rPr>
          <w:rFonts w:ascii="Bookman Old Style" w:hAnsi="Bookman Old Style" w:cs="Arial"/>
          <w:spacing w:val="-5"/>
          <w:lang w:val="es-CO" w:eastAsia="en-US"/>
        </w:rPr>
        <w:t>, literal a</w:t>
      </w:r>
      <w:r w:rsidR="005B2498" w:rsidRPr="004E2959">
        <w:rPr>
          <w:rFonts w:ascii="Bookman Old Style" w:hAnsi="Bookman Old Style" w:cs="Arial"/>
          <w:spacing w:val="-5"/>
          <w:lang w:val="es-CO" w:eastAsia="en-US"/>
        </w:rPr>
        <w:t>,</w:t>
      </w:r>
      <w:r w:rsidR="00C878FA" w:rsidRPr="004E2959">
        <w:rPr>
          <w:rFonts w:ascii="Bookman Old Style" w:hAnsi="Bookman Old Style" w:cs="Arial"/>
          <w:spacing w:val="-5"/>
          <w:lang w:val="es-CO" w:eastAsia="en-US"/>
        </w:rPr>
        <w:t xml:space="preserve"> </w:t>
      </w:r>
      <w:r w:rsidR="006875B4" w:rsidRPr="004E2959">
        <w:rPr>
          <w:rFonts w:ascii="Bookman Old Style" w:hAnsi="Bookman Old Style" w:cs="Arial"/>
          <w:spacing w:val="-5"/>
          <w:lang w:val="es-CO" w:eastAsia="en-US"/>
        </w:rPr>
        <w:t xml:space="preserve">respectivamente, </w:t>
      </w:r>
      <w:r w:rsidR="00C878FA" w:rsidRPr="004E2959">
        <w:rPr>
          <w:rFonts w:ascii="Bookman Old Style" w:hAnsi="Bookman Old Style" w:cs="Arial"/>
          <w:spacing w:val="-5"/>
          <w:lang w:val="es-CO" w:eastAsia="en-US"/>
        </w:rPr>
        <w:t>establece</w:t>
      </w:r>
      <w:r w:rsidR="006875B4" w:rsidRPr="004E2959">
        <w:rPr>
          <w:rFonts w:ascii="Bookman Old Style" w:hAnsi="Bookman Old Style" w:cs="Arial"/>
          <w:spacing w:val="-5"/>
          <w:lang w:val="es-CO" w:eastAsia="en-US"/>
        </w:rPr>
        <w:t>n</w:t>
      </w:r>
      <w:r w:rsidR="00C878FA" w:rsidRPr="004E2959">
        <w:rPr>
          <w:rFonts w:ascii="Bookman Old Style" w:hAnsi="Bookman Old Style" w:cs="Arial"/>
          <w:spacing w:val="-5"/>
          <w:lang w:val="es-CO" w:eastAsia="en-US"/>
        </w:rPr>
        <w:t xml:space="preserve"> lo siguiente:</w:t>
      </w:r>
    </w:p>
    <w:p w14:paraId="2F4746B3" w14:textId="77777777" w:rsidR="00C878FA" w:rsidRPr="004E2959" w:rsidRDefault="00C878FA" w:rsidP="003E2E35">
      <w:pPr>
        <w:ind w:left="0"/>
        <w:contextualSpacing/>
        <w:jc w:val="both"/>
        <w:rPr>
          <w:rFonts w:ascii="Bookman Old Style" w:hAnsi="Bookman Old Style" w:cs="Arial"/>
          <w:spacing w:val="-5"/>
          <w:lang w:val="es-CO" w:eastAsia="en-US"/>
        </w:rPr>
      </w:pPr>
    </w:p>
    <w:p w14:paraId="5C700CA1" w14:textId="5AE59627" w:rsidR="00AE08B3" w:rsidRPr="004E2959" w:rsidRDefault="00C878FA"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w:t>
      </w:r>
      <w:r w:rsidR="00B760F2" w:rsidRPr="004E2959">
        <w:rPr>
          <w:rFonts w:ascii="Bookman Old Style" w:hAnsi="Bookman Old Style" w:cs="Arial"/>
          <w:i/>
          <w:spacing w:val="-5"/>
          <w:sz w:val="22"/>
          <w:szCs w:val="22"/>
          <w:lang w:val="es-CO" w:eastAsia="en-US"/>
        </w:rPr>
        <w:t xml:space="preserve">(…) </w:t>
      </w:r>
      <w:r w:rsidR="00AE08B3" w:rsidRPr="004E2959">
        <w:rPr>
          <w:rFonts w:ascii="Bookman Old Style" w:hAnsi="Bookman Old Style" w:cs="Arial"/>
          <w:i/>
          <w:spacing w:val="-5"/>
          <w:sz w:val="22"/>
          <w:szCs w:val="22"/>
          <w:lang w:val="es-CO" w:eastAsia="en-US"/>
        </w:rPr>
        <w:t>Abstenerse de asumir compromisos de exportación sin haber ofrecido previamente al Mercado Mayorista todo el GLP del que disponen. (…)”</w:t>
      </w:r>
    </w:p>
    <w:p w14:paraId="51A160E4" w14:textId="77777777" w:rsidR="00AE08B3" w:rsidRPr="004E2959" w:rsidRDefault="00AE08B3" w:rsidP="003E2E35">
      <w:pPr>
        <w:ind w:right="424"/>
        <w:contextualSpacing/>
        <w:jc w:val="both"/>
        <w:rPr>
          <w:rFonts w:ascii="Bookman Old Style" w:hAnsi="Bookman Old Style" w:cs="Arial"/>
          <w:i/>
          <w:spacing w:val="-5"/>
          <w:sz w:val="22"/>
          <w:szCs w:val="22"/>
          <w:lang w:val="es-CO" w:eastAsia="en-US"/>
        </w:rPr>
      </w:pPr>
    </w:p>
    <w:p w14:paraId="370EF3F4" w14:textId="738CC797" w:rsidR="00AE08B3" w:rsidRPr="004E2959" w:rsidRDefault="00AE08B3"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i/>
          <w:spacing w:val="-5"/>
          <w:sz w:val="22"/>
          <w:szCs w:val="22"/>
          <w:lang w:val="es-CO" w:eastAsia="en-US"/>
        </w:rPr>
        <w:t>Cuando se trate de GLP con Precio Regulado, ofrecerlo a través de una OPC, de la cual trata el artículo 11 y ajustada a las condiciones establecidas en el Capítulo 3, de esta Resolución.  Su venta será el resultado de las asignaciones de producto de la OPC. (…)</w:t>
      </w:r>
    </w:p>
    <w:p w14:paraId="6757318E" w14:textId="77777777" w:rsidR="00B760F2" w:rsidRPr="004E2959" w:rsidRDefault="00B760F2" w:rsidP="003E2E35">
      <w:pPr>
        <w:ind w:right="424"/>
        <w:contextualSpacing/>
        <w:jc w:val="both"/>
        <w:rPr>
          <w:rFonts w:ascii="Bookman Old Style" w:hAnsi="Bookman Old Style" w:cs="Arial"/>
          <w:i/>
          <w:spacing w:val="-5"/>
          <w:sz w:val="22"/>
          <w:szCs w:val="22"/>
          <w:lang w:val="es-CO" w:eastAsia="en-US"/>
        </w:rPr>
      </w:pPr>
    </w:p>
    <w:p w14:paraId="6209B7D4" w14:textId="68FE1285" w:rsidR="006875B4" w:rsidRPr="004E2959" w:rsidRDefault="006875B4"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lastRenderedPageBreak/>
        <w:t>Incorporar en su oferta de venta de GLP disponible las variaciones en la producción o importación previsibles, generadas por cualquier causa</w:t>
      </w:r>
      <w:r w:rsidRPr="004E2959">
        <w:rPr>
          <w:rFonts w:ascii="Bookman Old Style" w:hAnsi="Bookman Old Style" w:cs="Arial"/>
          <w:i/>
          <w:spacing w:val="-5"/>
          <w:sz w:val="22"/>
          <w:szCs w:val="22"/>
          <w:lang w:val="es-CO" w:eastAsia="en-US"/>
        </w:rPr>
        <w:t>.</w:t>
      </w:r>
      <w:r w:rsidR="00E037A5" w:rsidRPr="004E2959">
        <w:rPr>
          <w:rFonts w:ascii="Bookman Old Style" w:hAnsi="Bookman Old Style" w:cs="Arial"/>
          <w:i/>
          <w:spacing w:val="-5"/>
          <w:sz w:val="22"/>
          <w:szCs w:val="22"/>
          <w:lang w:val="es-CO" w:eastAsia="en-US"/>
        </w:rPr>
        <w:t xml:space="preserve"> (…)</w:t>
      </w:r>
    </w:p>
    <w:p w14:paraId="29DE344E" w14:textId="2DFA96FB" w:rsidR="006875B4" w:rsidRPr="004E2959" w:rsidRDefault="006875B4" w:rsidP="003E2E35">
      <w:pPr>
        <w:tabs>
          <w:tab w:val="left" w:pos="5628"/>
        </w:tabs>
        <w:ind w:right="424"/>
        <w:contextualSpacing/>
        <w:jc w:val="both"/>
        <w:rPr>
          <w:rFonts w:ascii="Bookman Old Style" w:hAnsi="Bookman Old Style" w:cs="Arial"/>
          <w:i/>
          <w:spacing w:val="-5"/>
          <w:sz w:val="22"/>
          <w:szCs w:val="22"/>
          <w:lang w:val="es-CO" w:eastAsia="en-US"/>
        </w:rPr>
      </w:pPr>
    </w:p>
    <w:p w14:paraId="62D21767" w14:textId="38D7309D" w:rsidR="00C00995" w:rsidRPr="004E2959" w:rsidRDefault="00C878FA" w:rsidP="003E2E35">
      <w:pPr>
        <w:ind w:right="424"/>
        <w:contextualSpacing/>
        <w:jc w:val="both"/>
        <w:rPr>
          <w:rFonts w:ascii="Bookman Old Style" w:hAnsi="Bookman Old Style" w:cs="Arial"/>
          <w:i/>
          <w:spacing w:val="-5"/>
          <w:sz w:val="22"/>
          <w:szCs w:val="22"/>
          <w:lang w:val="es-CO" w:eastAsia="en-US"/>
        </w:rPr>
      </w:pPr>
      <w:r w:rsidRPr="004E2959">
        <w:rPr>
          <w:rFonts w:ascii="Bookman Old Style" w:hAnsi="Bookman Old Style" w:cs="Arial"/>
          <w:b/>
          <w:i/>
          <w:spacing w:val="-5"/>
          <w:sz w:val="22"/>
          <w:szCs w:val="22"/>
          <w:u w:val="single"/>
          <w:lang w:val="es-CO" w:eastAsia="en-US"/>
        </w:rPr>
        <w:t>La OPC debe hacerse ofreciendo el producto de manera independiente para cada fuente de producción nacional</w:t>
      </w:r>
      <w:r w:rsidRPr="004E2959">
        <w:rPr>
          <w:rFonts w:ascii="Bookman Old Style" w:hAnsi="Bookman Old Style" w:cs="Arial"/>
          <w:i/>
          <w:spacing w:val="-5"/>
          <w:sz w:val="22"/>
          <w:szCs w:val="22"/>
          <w:lang w:val="es-CO" w:eastAsia="en-US"/>
        </w:rPr>
        <w:t xml:space="preserve"> y de manera simultánea para todas ellas (…)</w:t>
      </w:r>
    </w:p>
    <w:p w14:paraId="044D10B1" w14:textId="77777777" w:rsidR="00C00995" w:rsidRPr="004E2959" w:rsidRDefault="00C00995" w:rsidP="003E2E35">
      <w:pPr>
        <w:ind w:right="424"/>
        <w:contextualSpacing/>
        <w:jc w:val="both"/>
        <w:rPr>
          <w:rFonts w:ascii="Bookman Old Style" w:hAnsi="Bookman Old Style" w:cs="Arial"/>
          <w:i/>
          <w:spacing w:val="-5"/>
          <w:sz w:val="22"/>
          <w:szCs w:val="22"/>
          <w:lang w:val="es-CO" w:eastAsia="en-US"/>
        </w:rPr>
      </w:pPr>
    </w:p>
    <w:p w14:paraId="4C896A94" w14:textId="25616337" w:rsidR="00C878FA" w:rsidRPr="004E2959" w:rsidRDefault="0029473A" w:rsidP="003E2E35">
      <w:pPr>
        <w:ind w:right="424"/>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Se considera un incumplimiento en las condiciones de entrega del producto, por parte del vendedor, </w:t>
      </w:r>
      <w:r w:rsidRPr="004E2959">
        <w:rPr>
          <w:rFonts w:ascii="Bookman Old Style" w:hAnsi="Bookman Old Style" w:cs="Arial"/>
          <w:b/>
          <w:bCs/>
          <w:i/>
          <w:spacing w:val="-5"/>
          <w:sz w:val="22"/>
          <w:szCs w:val="22"/>
          <w:u w:val="single"/>
          <w:lang w:val="es-CO" w:eastAsia="en-US"/>
        </w:rPr>
        <w:t>la modificación de los sitios de entrega pactados en el contrato, la variación en las cantidades entregadas diferentes a las pactadas en el contrato</w:t>
      </w:r>
      <w:r w:rsidRPr="004E2959">
        <w:rPr>
          <w:rFonts w:ascii="Bookman Old Style" w:hAnsi="Bookman Old Style" w:cs="Arial"/>
          <w:i/>
          <w:spacing w:val="-5"/>
          <w:sz w:val="22"/>
          <w:szCs w:val="22"/>
          <w:lang w:val="es-CO" w:eastAsia="en-US"/>
        </w:rPr>
        <w:t xml:space="preserve"> y el mayor tiempo de entrega con respecto al tiempo máximo pactado en el contrato,</w:t>
      </w:r>
      <w:r w:rsidRPr="004E2959">
        <w:rPr>
          <w:rFonts w:ascii="Bookman Old Style" w:hAnsi="Bookman Old Style" w:cs="Arial"/>
          <w:b/>
          <w:bCs/>
          <w:i/>
          <w:spacing w:val="-5"/>
          <w:sz w:val="22"/>
          <w:szCs w:val="22"/>
          <w:u w:val="single"/>
          <w:lang w:val="es-CO" w:eastAsia="en-US"/>
        </w:rPr>
        <w:t xml:space="preserve"> sea cual sea el origen de la causa de dichos incumplimientos</w:t>
      </w:r>
      <w:r w:rsidRPr="004E2959">
        <w:rPr>
          <w:rFonts w:ascii="Bookman Old Style" w:hAnsi="Bookman Old Style" w:cs="Arial"/>
          <w:i/>
          <w:spacing w:val="-5"/>
          <w:sz w:val="22"/>
          <w:szCs w:val="22"/>
          <w:lang w:val="es-CO" w:eastAsia="en-US"/>
        </w:rPr>
        <w:t>, con excepción de las situaciones establecidas en el artículo 17 de esta resolución. También se considera un incumplimiento en las condiciones de entrega del producto por parte del vendedor la no entrega de los reportes de calidad y de caracterización del GLP suministrado, en las condiciones previstas en los literales d y e del artículo 7 de esta resolución.</w:t>
      </w:r>
      <w:r w:rsidR="00012619"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i/>
          <w:spacing w:val="-5"/>
          <w:sz w:val="22"/>
          <w:szCs w:val="22"/>
          <w:lang w:val="es-CO" w:eastAsia="en-US"/>
        </w:rPr>
        <w:t>”</w:t>
      </w:r>
      <w:r w:rsidR="00BA4B27" w:rsidRPr="004E2959">
        <w:rPr>
          <w:rFonts w:ascii="Bookman Old Style" w:hAnsi="Bookman Old Style" w:cs="Arial"/>
          <w:i/>
          <w:spacing w:val="-5"/>
          <w:sz w:val="22"/>
          <w:szCs w:val="22"/>
          <w:lang w:val="es-CO" w:eastAsia="en-US"/>
        </w:rPr>
        <w:t xml:space="preserve"> </w:t>
      </w:r>
      <w:r w:rsidR="00AF3448" w:rsidRPr="004E2959">
        <w:rPr>
          <w:rFonts w:ascii="Bookman Old Style" w:hAnsi="Bookman Old Style" w:cs="Arial"/>
          <w:spacing w:val="-5"/>
          <w:sz w:val="22"/>
          <w:szCs w:val="22"/>
          <w:lang w:val="es-CO" w:eastAsia="en-US"/>
        </w:rPr>
        <w:t xml:space="preserve">Resaltado </w:t>
      </w:r>
      <w:r w:rsidR="00BA4B27" w:rsidRPr="004E2959">
        <w:rPr>
          <w:rFonts w:ascii="Bookman Old Style" w:hAnsi="Bookman Old Style" w:cs="Arial"/>
          <w:spacing w:val="-5"/>
          <w:sz w:val="22"/>
          <w:szCs w:val="22"/>
          <w:lang w:val="es-CO" w:eastAsia="en-US"/>
        </w:rPr>
        <w:t xml:space="preserve">y subrayado </w:t>
      </w:r>
      <w:r w:rsidR="00AF3448" w:rsidRPr="004E2959">
        <w:rPr>
          <w:rFonts w:ascii="Bookman Old Style" w:hAnsi="Bookman Old Style" w:cs="Arial"/>
          <w:spacing w:val="-5"/>
          <w:sz w:val="22"/>
          <w:szCs w:val="22"/>
          <w:lang w:val="es-CO" w:eastAsia="en-US"/>
        </w:rPr>
        <w:t>fuera de texto</w:t>
      </w:r>
    </w:p>
    <w:p w14:paraId="4ECA8C3A" w14:textId="77777777" w:rsidR="00C878FA" w:rsidRPr="004E2959" w:rsidRDefault="00C878FA" w:rsidP="003E2E35">
      <w:pPr>
        <w:ind w:left="0"/>
        <w:contextualSpacing/>
        <w:jc w:val="both"/>
        <w:rPr>
          <w:rFonts w:ascii="Bookman Old Style" w:hAnsi="Bookman Old Style" w:cs="Arial"/>
          <w:spacing w:val="-5"/>
          <w:lang w:val="es-CO" w:eastAsia="en-US"/>
        </w:rPr>
      </w:pPr>
    </w:p>
    <w:p w14:paraId="4B726C74" w14:textId="3A283481" w:rsidR="00C878FA" w:rsidRPr="004E2959" w:rsidRDefault="0020053A" w:rsidP="003E2E35">
      <w:pPr>
        <w:ind w:left="0"/>
        <w:contextualSpacing/>
        <w:jc w:val="both"/>
        <w:rPr>
          <w:rFonts w:ascii="Bookman Old Style" w:hAnsi="Bookman Old Style" w:cs="Arial"/>
          <w:spacing w:val="-5"/>
          <w:lang w:val="es-CO" w:eastAsia="en-US"/>
        </w:rPr>
      </w:pPr>
      <w:r>
        <w:rPr>
          <w:rFonts w:ascii="Bookman Old Style" w:hAnsi="Bookman Old Style" w:cs="Arial"/>
          <w:spacing w:val="-5"/>
          <w:lang w:val="es-CO" w:eastAsia="en-US"/>
        </w:rPr>
        <w:t>Adicionalmente, en</w:t>
      </w:r>
      <w:r w:rsidR="00C878FA" w:rsidRPr="004E2959">
        <w:rPr>
          <w:rFonts w:ascii="Bookman Old Style" w:hAnsi="Bookman Old Style" w:cs="Arial"/>
          <w:spacing w:val="-5"/>
          <w:lang w:val="es-CO" w:eastAsia="en-US"/>
        </w:rPr>
        <w:t xml:space="preserve"> el parágrafo 2</w:t>
      </w:r>
      <w:r>
        <w:rPr>
          <w:rFonts w:ascii="Bookman Old Style" w:hAnsi="Bookman Old Style" w:cs="Arial"/>
          <w:spacing w:val="-5"/>
          <w:lang w:val="es-CO" w:eastAsia="en-US"/>
        </w:rPr>
        <w:t xml:space="preserve"> del artículo 13 de la Resolución CREG 053 de 2011</w:t>
      </w:r>
      <w:r w:rsidR="00C878FA" w:rsidRPr="004E2959">
        <w:rPr>
          <w:rFonts w:ascii="Bookman Old Style" w:hAnsi="Bookman Old Style" w:cs="Arial"/>
          <w:spacing w:val="-5"/>
          <w:lang w:val="es-CO" w:eastAsia="en-US"/>
        </w:rPr>
        <w:t>, se establece que:</w:t>
      </w:r>
    </w:p>
    <w:p w14:paraId="7FB780BE" w14:textId="77777777" w:rsidR="00C878FA" w:rsidRPr="004E2959" w:rsidRDefault="00C878FA" w:rsidP="003E2E35">
      <w:pPr>
        <w:ind w:left="0"/>
        <w:contextualSpacing/>
        <w:jc w:val="both"/>
        <w:rPr>
          <w:rFonts w:ascii="Bookman Old Style" w:hAnsi="Bookman Old Style" w:cs="Arial"/>
          <w:spacing w:val="-5"/>
          <w:lang w:val="es-CO" w:eastAsia="en-US"/>
        </w:rPr>
      </w:pPr>
    </w:p>
    <w:p w14:paraId="3DD2FABA" w14:textId="77777777" w:rsidR="00C878FA" w:rsidRPr="004E2959" w:rsidRDefault="00C878FA" w:rsidP="003E2E35">
      <w:pPr>
        <w:ind w:right="424"/>
        <w:contextualSpacing/>
        <w:jc w:val="both"/>
        <w:rPr>
          <w:rFonts w:ascii="Bookman Old Style" w:hAnsi="Bookman Old Style" w:cs="Arial"/>
          <w:spacing w:val="-5"/>
          <w:sz w:val="22"/>
          <w:szCs w:val="22"/>
          <w:lang w:val="es-CO" w:eastAsia="en-US"/>
        </w:rPr>
      </w:pPr>
      <w:r w:rsidRPr="004E2959">
        <w:rPr>
          <w:rFonts w:ascii="Bookman Old Style" w:hAnsi="Bookman Old Style" w:cs="Arial"/>
          <w:i/>
          <w:spacing w:val="-5"/>
          <w:sz w:val="22"/>
          <w:szCs w:val="22"/>
          <w:lang w:val="es-CO" w:eastAsia="en-US"/>
        </w:rPr>
        <w:t xml:space="preserve">“(…) </w:t>
      </w:r>
      <w:r w:rsidRPr="004E2959">
        <w:rPr>
          <w:rFonts w:ascii="Bookman Old Style" w:hAnsi="Bookman Old Style" w:cs="Arial"/>
          <w:b/>
          <w:i/>
          <w:spacing w:val="-5"/>
          <w:sz w:val="22"/>
          <w:szCs w:val="22"/>
          <w:u w:val="single"/>
          <w:lang w:val="es-CO" w:eastAsia="en-US"/>
        </w:rPr>
        <w:t>Estas OPC adicionales deberán cumplir todas las condiciones generales establecidas en el capítulo 3</w:t>
      </w:r>
      <w:r w:rsidRPr="004E2959">
        <w:rPr>
          <w:rFonts w:ascii="Bookman Old Style" w:hAnsi="Bookman Old Style" w:cs="Arial"/>
          <w:i/>
          <w:spacing w:val="-5"/>
          <w:sz w:val="22"/>
          <w:szCs w:val="22"/>
          <w:lang w:val="es-CO" w:eastAsia="en-US"/>
        </w:rPr>
        <w:t xml:space="preserve">, con excepción del tiempo previo de un mes para la realización de la oferta el cual puede ser menor.  Tampoco se aplicará lo previsto en el literal a del artículo 14 de esta resolución. (…)” </w:t>
      </w:r>
      <w:r w:rsidRPr="004E2959">
        <w:rPr>
          <w:rFonts w:ascii="Bookman Old Style" w:hAnsi="Bookman Old Style" w:cs="Arial"/>
          <w:spacing w:val="-5"/>
          <w:sz w:val="22"/>
          <w:szCs w:val="22"/>
          <w:lang w:val="es-CO" w:eastAsia="en-US"/>
        </w:rPr>
        <w:t>Subrayado y resaltado fuera de texto</w:t>
      </w:r>
    </w:p>
    <w:p w14:paraId="61E9753B" w14:textId="77777777" w:rsidR="00C878FA" w:rsidRPr="004E2959" w:rsidRDefault="00C878FA" w:rsidP="003E2E35">
      <w:pPr>
        <w:ind w:left="0"/>
        <w:contextualSpacing/>
        <w:jc w:val="both"/>
        <w:rPr>
          <w:rFonts w:ascii="Bookman Old Style" w:hAnsi="Bookman Old Style" w:cs="Arial"/>
          <w:spacing w:val="-5"/>
          <w:lang w:val="es-CO" w:eastAsia="en-US"/>
        </w:rPr>
      </w:pPr>
    </w:p>
    <w:p w14:paraId="54433319" w14:textId="59F7CE01" w:rsidR="00C878FA" w:rsidRPr="004E2959" w:rsidRDefault="00B37316" w:rsidP="003E2E35">
      <w:pPr>
        <w:ind w:left="0"/>
        <w:contextualSpacing/>
        <w:jc w:val="both"/>
        <w:rPr>
          <w:rFonts w:ascii="Bookman Old Style" w:hAnsi="Bookman Old Style" w:cs="Arial"/>
          <w:spacing w:val="-5"/>
          <w:lang w:val="es-CO" w:eastAsia="en-US"/>
        </w:rPr>
      </w:pPr>
      <w:r w:rsidRPr="004E2959">
        <w:rPr>
          <w:rFonts w:ascii="Bookman Old Style" w:hAnsi="Bookman Old Style" w:cs="Arial"/>
          <w:spacing w:val="-5"/>
          <w:lang w:val="es-CO" w:eastAsia="en-US"/>
        </w:rPr>
        <w:t>Así mismo</w:t>
      </w:r>
      <w:r w:rsidR="00C878FA" w:rsidRPr="004E2959">
        <w:rPr>
          <w:rFonts w:ascii="Bookman Old Style" w:hAnsi="Bookman Old Style" w:cs="Arial"/>
          <w:spacing w:val="-5"/>
          <w:lang w:val="es-CO" w:eastAsia="en-US"/>
        </w:rPr>
        <w:t xml:space="preserve">, mediante Resolución CREG </w:t>
      </w:r>
      <w:r w:rsidR="1C22D2B6" w:rsidRPr="004E2959">
        <w:rPr>
          <w:rFonts w:ascii="Bookman Old Style" w:hAnsi="Bookman Old Style" w:cs="Arial"/>
          <w:spacing w:val="-5"/>
          <w:lang w:val="es-CO" w:eastAsia="en-US"/>
        </w:rPr>
        <w:t>064</w:t>
      </w:r>
      <w:r w:rsidR="00C878FA" w:rsidRPr="004E2959">
        <w:rPr>
          <w:rFonts w:ascii="Bookman Old Style" w:hAnsi="Bookman Old Style" w:cs="Arial"/>
          <w:spacing w:val="-5"/>
          <w:lang w:val="es-CO" w:eastAsia="en-US"/>
        </w:rPr>
        <w:t xml:space="preserve"> de 201</w:t>
      </w:r>
      <w:r w:rsidR="7BDD06D5" w:rsidRPr="004E2959">
        <w:rPr>
          <w:rFonts w:ascii="Bookman Old Style" w:hAnsi="Bookman Old Style" w:cs="Arial"/>
          <w:spacing w:val="-5"/>
          <w:lang w:val="es-CO" w:eastAsia="en-US"/>
        </w:rPr>
        <w:t>6</w:t>
      </w:r>
      <w:r w:rsidR="00C878FA" w:rsidRPr="004E2959">
        <w:rPr>
          <w:rFonts w:ascii="Bookman Old Style" w:hAnsi="Bookman Old Style" w:cs="Arial"/>
          <w:spacing w:val="-5"/>
          <w:lang w:val="es-CO" w:eastAsia="en-US"/>
        </w:rPr>
        <w:t xml:space="preserve">, </w:t>
      </w:r>
      <w:r w:rsidR="00A1487C">
        <w:rPr>
          <w:rFonts w:ascii="Bookman Old Style" w:hAnsi="Bookman Old Style" w:cs="Arial"/>
          <w:spacing w:val="-5"/>
          <w:lang w:val="es-CO" w:eastAsia="en-US"/>
        </w:rPr>
        <w:t>en</w:t>
      </w:r>
      <w:r w:rsidR="00A1487C" w:rsidRPr="004E2959">
        <w:rPr>
          <w:rFonts w:ascii="Bookman Old Style" w:hAnsi="Bookman Old Style" w:cs="Arial"/>
          <w:spacing w:val="-5"/>
          <w:lang w:val="es-CO" w:eastAsia="en-US"/>
        </w:rPr>
        <w:t xml:space="preserve"> </w:t>
      </w:r>
      <w:r w:rsidR="00C878FA" w:rsidRPr="004E2959">
        <w:rPr>
          <w:rFonts w:ascii="Bookman Old Style" w:hAnsi="Bookman Old Style" w:cs="Arial"/>
          <w:spacing w:val="-5"/>
          <w:lang w:val="es-CO" w:eastAsia="en-US"/>
        </w:rPr>
        <w:t xml:space="preserve">la cual se modifica el </w:t>
      </w:r>
      <w:r w:rsidR="00A1487C">
        <w:rPr>
          <w:rFonts w:ascii="Bookman Old Style" w:hAnsi="Bookman Old Style" w:cs="Arial"/>
          <w:spacing w:val="-5"/>
          <w:lang w:val="es-CO" w:eastAsia="en-US"/>
        </w:rPr>
        <w:t xml:space="preserve">parágrafo 1 del artículo 13 del </w:t>
      </w:r>
      <w:r w:rsidR="00C878FA" w:rsidRPr="004E2959">
        <w:rPr>
          <w:rFonts w:ascii="Bookman Old Style" w:hAnsi="Bookman Old Style" w:cs="Arial"/>
          <w:spacing w:val="-5"/>
          <w:lang w:val="es-CO" w:eastAsia="en-US"/>
        </w:rPr>
        <w:t xml:space="preserve">reglamento de comercialización mayorista de </w:t>
      </w:r>
      <w:r w:rsidR="4CF71E02" w:rsidRPr="004E2959">
        <w:rPr>
          <w:rFonts w:ascii="Bookman Old Style" w:hAnsi="Bookman Old Style" w:cs="Arial"/>
          <w:spacing w:val="-5"/>
          <w:lang w:val="es-CO" w:eastAsia="en-US"/>
        </w:rPr>
        <w:t>GLP</w:t>
      </w:r>
      <w:r w:rsidR="00E13404">
        <w:rPr>
          <w:rFonts w:ascii="Bookman Old Style" w:hAnsi="Bookman Old Style" w:cs="Arial"/>
          <w:spacing w:val="-5"/>
          <w:lang w:val="es-CO" w:eastAsia="en-US"/>
        </w:rPr>
        <w:t>,</w:t>
      </w:r>
      <w:r w:rsidR="00C878FA" w:rsidRPr="004E2959">
        <w:rPr>
          <w:rFonts w:ascii="Bookman Old Style" w:hAnsi="Bookman Old Style" w:cs="Arial"/>
          <w:spacing w:val="-5"/>
          <w:lang w:val="es-CO" w:eastAsia="en-US"/>
        </w:rPr>
        <w:t xml:space="preserve"> se establece </w:t>
      </w:r>
      <w:r w:rsidR="21D462D3" w:rsidRPr="004E2959">
        <w:rPr>
          <w:rFonts w:ascii="Bookman Old Style" w:hAnsi="Bookman Old Style" w:cs="Arial"/>
          <w:spacing w:val="-5"/>
          <w:lang w:val="es-CO" w:eastAsia="en-US"/>
        </w:rPr>
        <w:t>lo siguiente</w:t>
      </w:r>
      <w:r w:rsidR="00C878FA" w:rsidRPr="004E2959">
        <w:rPr>
          <w:rFonts w:ascii="Bookman Old Style" w:hAnsi="Bookman Old Style" w:cs="Arial"/>
          <w:spacing w:val="-5"/>
          <w:lang w:val="es-CO" w:eastAsia="en-US"/>
        </w:rPr>
        <w:t>:</w:t>
      </w:r>
    </w:p>
    <w:p w14:paraId="310C17AE" w14:textId="77777777" w:rsidR="00C878FA" w:rsidRPr="004E2959" w:rsidRDefault="00C878FA" w:rsidP="003E2E35">
      <w:pPr>
        <w:ind w:left="0"/>
        <w:contextualSpacing/>
        <w:jc w:val="both"/>
        <w:rPr>
          <w:rFonts w:ascii="Bookman Old Style" w:hAnsi="Bookman Old Style" w:cs="Arial"/>
          <w:spacing w:val="-5"/>
          <w:lang w:val="es-CO" w:eastAsia="en-US"/>
        </w:rPr>
      </w:pPr>
    </w:p>
    <w:p w14:paraId="5B01DCBC" w14:textId="17660F67" w:rsidR="00C878FA" w:rsidRPr="004E2959" w:rsidRDefault="00C878FA" w:rsidP="003E2E35">
      <w:pPr>
        <w:contextualSpacing/>
        <w:jc w:val="both"/>
        <w:rPr>
          <w:rFonts w:ascii="Bookman Old Style" w:hAnsi="Bookman Old Style" w:cs="Arial"/>
          <w:i/>
          <w:iCs/>
          <w:sz w:val="22"/>
          <w:szCs w:val="22"/>
          <w:lang w:val="es-CO" w:eastAsia="en-US"/>
        </w:rPr>
      </w:pPr>
      <w:r w:rsidRPr="004E2959">
        <w:rPr>
          <w:rFonts w:ascii="Bookman Old Style" w:hAnsi="Bookman Old Style" w:cs="Arial"/>
          <w:i/>
          <w:iCs/>
          <w:spacing w:val="-5"/>
          <w:sz w:val="22"/>
          <w:szCs w:val="22"/>
          <w:lang w:val="es-CO" w:eastAsia="en-US"/>
        </w:rPr>
        <w:t xml:space="preserve">“(…) </w:t>
      </w:r>
      <w:r w:rsidR="268A71B6" w:rsidRPr="004E2959">
        <w:rPr>
          <w:rFonts w:ascii="Bookman Old Style" w:hAnsi="Bookman Old Style" w:cs="Arial"/>
          <w:i/>
          <w:iCs/>
          <w:sz w:val="22"/>
          <w:szCs w:val="22"/>
          <w:lang w:val="es-CO" w:eastAsia="en-US"/>
        </w:rPr>
        <w:t>Durante el período de ejecución de los contratos resultantes de una OPC original, podrán hacerse OPC adicionales para para</w:t>
      </w:r>
      <w:r w:rsidR="1266EAA6" w:rsidRPr="004E2959">
        <w:rPr>
          <w:rFonts w:ascii="Bookman Old Style" w:hAnsi="Bookman Old Style" w:cs="Arial"/>
          <w:i/>
          <w:iCs/>
          <w:sz w:val="22"/>
          <w:szCs w:val="22"/>
          <w:lang w:val="es-CO" w:eastAsia="en-US"/>
        </w:rPr>
        <w:t xml:space="preserve"> (sic)</w:t>
      </w:r>
      <w:r w:rsidR="268A71B6" w:rsidRPr="004E2959">
        <w:rPr>
          <w:rFonts w:ascii="Bookman Old Style" w:hAnsi="Bookman Old Style" w:cs="Arial"/>
          <w:i/>
          <w:iCs/>
          <w:sz w:val="22"/>
          <w:szCs w:val="22"/>
          <w:lang w:val="es-CO" w:eastAsia="en-US"/>
        </w:rPr>
        <w:t xml:space="preserve"> períodos de entrega entre un mes y el plazo máximo de la OPC definido en el literal d) de este artículo, sin exceder en todo caso los periodos de ejecución de dichos contratos. El producto ofrecido mediante una OPC adicional deberá ofrecerse con un precio inferior al 50% del precio máximo regulado</w:t>
      </w:r>
      <w:r w:rsidR="4F8B1B32" w:rsidRPr="004E2959">
        <w:rPr>
          <w:rFonts w:ascii="Bookman Old Style" w:hAnsi="Bookman Old Style" w:cs="Arial"/>
          <w:i/>
          <w:iCs/>
          <w:sz w:val="22"/>
          <w:szCs w:val="22"/>
          <w:lang w:val="es-CO" w:eastAsia="en-US"/>
        </w:rPr>
        <w:t>”</w:t>
      </w:r>
      <w:r w:rsidR="268A71B6" w:rsidRPr="004E2959">
        <w:rPr>
          <w:rFonts w:ascii="Bookman Old Style" w:hAnsi="Bookman Old Style" w:cs="Arial"/>
          <w:i/>
          <w:iCs/>
          <w:sz w:val="22"/>
          <w:szCs w:val="22"/>
          <w:lang w:val="es-CO" w:eastAsia="en-US"/>
        </w:rPr>
        <w:t>.</w:t>
      </w:r>
    </w:p>
    <w:p w14:paraId="7267952C" w14:textId="2E03BC2B" w:rsidR="00C878FA" w:rsidRPr="004E2959" w:rsidRDefault="00C878FA" w:rsidP="003E2E35">
      <w:pPr>
        <w:ind w:right="424"/>
        <w:contextualSpacing/>
        <w:jc w:val="both"/>
        <w:rPr>
          <w:rFonts w:ascii="Bookman Old Style" w:hAnsi="Bookman Old Style" w:cs="Arial"/>
          <w:i/>
          <w:iCs/>
          <w:sz w:val="22"/>
          <w:szCs w:val="22"/>
          <w:highlight w:val="yellow"/>
          <w:lang w:val="es-CO" w:eastAsia="en-US"/>
        </w:rPr>
      </w:pPr>
    </w:p>
    <w:p w14:paraId="2F7E12C8" w14:textId="0CA35E2E" w:rsidR="00C878FA" w:rsidRPr="004E2959" w:rsidRDefault="00CF339C" w:rsidP="003E7BF4">
      <w:pPr>
        <w:ind w:left="0"/>
        <w:contextualSpacing/>
        <w:jc w:val="both"/>
        <w:rPr>
          <w:rFonts w:ascii="Bookman Old Style" w:hAnsi="Bookman Old Style"/>
          <w:lang w:val="es-CO"/>
        </w:rPr>
      </w:pPr>
      <w:r w:rsidRPr="00C07899">
        <w:rPr>
          <w:rFonts w:ascii="Bookman Old Style" w:hAnsi="Bookman Old Style"/>
          <w:lang w:val="es-CO"/>
        </w:rPr>
        <w:t xml:space="preserve">Mediante comunicación </w:t>
      </w:r>
      <w:r w:rsidR="00FB45D9">
        <w:rPr>
          <w:rFonts w:ascii="Bookman Old Style" w:hAnsi="Bookman Old Style"/>
          <w:lang w:val="es-CO"/>
        </w:rPr>
        <w:t xml:space="preserve">con radicado CREG E-2020-004305, </w:t>
      </w:r>
      <w:r w:rsidR="003E7BF4">
        <w:rPr>
          <w:rFonts w:ascii="Bookman Old Style" w:hAnsi="Bookman Old Style"/>
          <w:lang w:val="es-CO"/>
        </w:rPr>
        <w:t>de</w:t>
      </w:r>
      <w:r w:rsidR="00FB45D9">
        <w:rPr>
          <w:rFonts w:ascii="Bookman Old Style" w:hAnsi="Bookman Old Style"/>
          <w:lang w:val="es-CO"/>
        </w:rPr>
        <w:t>l</w:t>
      </w:r>
      <w:r w:rsidR="003E7BF4">
        <w:rPr>
          <w:rFonts w:ascii="Bookman Old Style" w:hAnsi="Bookman Old Style"/>
          <w:lang w:val="es-CO"/>
        </w:rPr>
        <w:t xml:space="preserve"> </w:t>
      </w:r>
      <w:r w:rsidR="00D74F92">
        <w:rPr>
          <w:rFonts w:ascii="Bookman Old Style" w:hAnsi="Bookman Old Style"/>
          <w:lang w:val="es-CO"/>
        </w:rPr>
        <w:t>06 de may</w:t>
      </w:r>
      <w:r w:rsidR="003E7BF4">
        <w:rPr>
          <w:rFonts w:ascii="Bookman Old Style" w:hAnsi="Bookman Old Style"/>
          <w:lang w:val="es-CO"/>
        </w:rPr>
        <w:t>o de 2020</w:t>
      </w:r>
      <w:r w:rsidR="00D14DA5">
        <w:rPr>
          <w:rFonts w:ascii="Bookman Old Style" w:hAnsi="Bookman Old Style"/>
          <w:lang w:val="es-CO"/>
        </w:rPr>
        <w:t>,</w:t>
      </w:r>
      <w:r w:rsidR="003E7BF4">
        <w:rPr>
          <w:rFonts w:ascii="Bookman Old Style" w:hAnsi="Bookman Old Style"/>
          <w:lang w:val="es-CO"/>
        </w:rPr>
        <w:t xml:space="preserve"> Ecopetrol expuso lo siguiente:</w:t>
      </w:r>
    </w:p>
    <w:p w14:paraId="12A3554E" w14:textId="77777777" w:rsidR="006525B3" w:rsidRPr="004E2959" w:rsidRDefault="006525B3" w:rsidP="003E2E35">
      <w:pPr>
        <w:ind w:left="0"/>
        <w:contextualSpacing/>
        <w:jc w:val="both"/>
        <w:rPr>
          <w:rFonts w:ascii="Bookman Old Style" w:hAnsi="Bookman Old Style"/>
          <w:lang w:val="es-CO"/>
        </w:rPr>
      </w:pPr>
    </w:p>
    <w:p w14:paraId="31F253C9" w14:textId="77777777" w:rsidR="00D74F92" w:rsidRPr="00D74F92" w:rsidRDefault="006525B3" w:rsidP="002A78CA">
      <w:pPr>
        <w:contextualSpacing/>
        <w:jc w:val="both"/>
        <w:rPr>
          <w:rFonts w:ascii="Bookman Old Style" w:hAnsi="Bookman Old Style"/>
          <w:i/>
          <w:iCs/>
          <w:sz w:val="22"/>
          <w:szCs w:val="22"/>
          <w:lang w:val="es-CO"/>
        </w:rPr>
      </w:pPr>
      <w:r w:rsidRPr="00B52C53">
        <w:rPr>
          <w:rFonts w:ascii="Bookman Old Style" w:hAnsi="Bookman Old Style"/>
          <w:i/>
          <w:iCs/>
          <w:sz w:val="22"/>
          <w:szCs w:val="22"/>
          <w:lang w:val="es-CO"/>
        </w:rPr>
        <w:t>“</w:t>
      </w:r>
      <w:r w:rsidR="00D74F92" w:rsidRPr="00D74F92">
        <w:rPr>
          <w:rFonts w:ascii="Bookman Old Style" w:hAnsi="Bookman Old Style"/>
          <w:i/>
          <w:iCs/>
          <w:sz w:val="22"/>
          <w:szCs w:val="22"/>
          <w:lang w:val="es-CO"/>
        </w:rPr>
        <w:t xml:space="preserve">En aplicación de los mecanismos establecidos en la Resolución CREG 038 de 2020, Ecopetrol y los distribuidores revisaron sus obligaciones contractuales, lo cual condujo a un ajuste neto a la baja de 3,66 millones de kilogramos en los compromisos contractuales de las fuentes </w:t>
      </w:r>
      <w:proofErr w:type="spellStart"/>
      <w:r w:rsidR="00D74F92" w:rsidRPr="00D74F92">
        <w:rPr>
          <w:rFonts w:ascii="Bookman Old Style" w:hAnsi="Bookman Old Style"/>
          <w:i/>
          <w:iCs/>
          <w:sz w:val="22"/>
          <w:szCs w:val="22"/>
          <w:lang w:val="es-CO"/>
        </w:rPr>
        <w:t>Cupiagua</w:t>
      </w:r>
      <w:proofErr w:type="spellEnd"/>
      <w:r w:rsidR="00D74F92" w:rsidRPr="00D74F92">
        <w:rPr>
          <w:rFonts w:ascii="Bookman Old Style" w:hAnsi="Bookman Old Style"/>
          <w:i/>
          <w:iCs/>
          <w:sz w:val="22"/>
          <w:szCs w:val="22"/>
          <w:lang w:val="es-CO"/>
        </w:rPr>
        <w:t xml:space="preserve">, Cartagena, Apiay y Cusiana, para el período abril a junio de 2020. Asimismo, mediante una OPC adicional se comercializaron alrededor de 2,45 millones de kilogramos de la fuente Cusiana, para el mes de abril. </w:t>
      </w:r>
    </w:p>
    <w:p w14:paraId="38850170"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 </w:t>
      </w:r>
    </w:p>
    <w:p w14:paraId="61950119" w14:textId="75C22028" w:rsid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Como complemento de lo anterior, la Resolución CREG 045 de 2020 ha permitido que Ecopetrol comercialice el GLP con la certidumbre de que el precio no caerá por debajo de los mínimos históricos, lo que contribuye a la estabilidad de la oferta de la compañía. </w:t>
      </w:r>
    </w:p>
    <w:p w14:paraId="33588BDA" w14:textId="77777777" w:rsidR="00C30CD5" w:rsidRPr="00D74F92" w:rsidRDefault="00C30CD5" w:rsidP="002A78CA">
      <w:pPr>
        <w:contextualSpacing/>
        <w:jc w:val="both"/>
        <w:rPr>
          <w:rFonts w:ascii="Bookman Old Style" w:hAnsi="Bookman Old Style"/>
          <w:i/>
          <w:iCs/>
          <w:sz w:val="22"/>
          <w:szCs w:val="22"/>
          <w:lang w:val="es-CO"/>
        </w:rPr>
      </w:pPr>
    </w:p>
    <w:p w14:paraId="2C580D00"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lastRenderedPageBreak/>
        <w:t xml:space="preserve"> </w:t>
      </w:r>
    </w:p>
    <w:p w14:paraId="48F78893"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De otro lado, con la presente comunicación queremos poner en conocimiento de la CREG los retos que Ecopetrol está avizorando para el desarrollo de la OPC del segundo semestre de 2020. </w:t>
      </w:r>
    </w:p>
    <w:p w14:paraId="5B3F457E" w14:textId="77777777"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 </w:t>
      </w:r>
    </w:p>
    <w:p w14:paraId="05192606" w14:textId="17528EA3" w:rsid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Por una parte, Ecopetrol se enfrenta a la dificultad de determinar la oferta de GLP durante dicho período, dada la incertidumbre que existe sobre el ritmo de recuperación de la demanda de hidrocarburos en el país, y sobre la evolución de los precios del crudo y sus derivados. Por otra parte, la demanda de GLP se enfrenta a una incertidumbre similar, dado que las medidas para el control de la pandemia afectan los patrones de consumo de este co</w:t>
      </w:r>
      <w:r w:rsidR="00FB45D9">
        <w:rPr>
          <w:rFonts w:ascii="Bookman Old Style" w:hAnsi="Bookman Old Style"/>
          <w:i/>
          <w:iCs/>
          <w:sz w:val="22"/>
          <w:szCs w:val="22"/>
          <w:lang w:val="es-CO"/>
        </w:rPr>
        <w:t xml:space="preserve">mbustible y de sus sustitutos. </w:t>
      </w:r>
    </w:p>
    <w:p w14:paraId="5536B677" w14:textId="77777777" w:rsidR="00FB45D9" w:rsidRPr="00D74F92" w:rsidRDefault="00FB45D9" w:rsidP="002A78CA">
      <w:pPr>
        <w:contextualSpacing/>
        <w:jc w:val="both"/>
        <w:rPr>
          <w:rFonts w:ascii="Bookman Old Style" w:hAnsi="Bookman Old Style"/>
          <w:i/>
          <w:iCs/>
          <w:sz w:val="22"/>
          <w:szCs w:val="22"/>
          <w:lang w:val="es-CO"/>
        </w:rPr>
      </w:pPr>
    </w:p>
    <w:p w14:paraId="30D46FAD" w14:textId="7A8696DC"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A </w:t>
      </w:r>
      <w:r w:rsidR="00CD4AD9" w:rsidRPr="00D74F92">
        <w:rPr>
          <w:rFonts w:ascii="Bookman Old Style" w:hAnsi="Bookman Old Style"/>
          <w:i/>
          <w:iCs/>
          <w:sz w:val="22"/>
          <w:szCs w:val="22"/>
          <w:lang w:val="es-CO"/>
        </w:rPr>
        <w:t>continuación,</w:t>
      </w:r>
      <w:r w:rsidRPr="00D74F92">
        <w:rPr>
          <w:rFonts w:ascii="Bookman Old Style" w:hAnsi="Bookman Old Style"/>
          <w:i/>
          <w:iCs/>
          <w:sz w:val="22"/>
          <w:szCs w:val="22"/>
          <w:lang w:val="es-CO"/>
        </w:rPr>
        <w:t xml:space="preserve"> describimos en detalle esta problemática y luego planteamos respetuosamente </w:t>
      </w:r>
      <w:r w:rsidRPr="00D74F92">
        <w:rPr>
          <w:rFonts w:ascii="Bookman Old Style" w:hAnsi="Bookman Old Style"/>
          <w:i/>
          <w:iCs/>
          <w:sz w:val="22"/>
          <w:szCs w:val="22"/>
          <w:lang w:val="es-CO"/>
        </w:rPr>
        <w:tab/>
        <w:t xml:space="preserve">una </w:t>
      </w:r>
      <w:r w:rsidRPr="00D74F92">
        <w:rPr>
          <w:rFonts w:ascii="Bookman Old Style" w:hAnsi="Bookman Old Style"/>
          <w:i/>
          <w:iCs/>
          <w:sz w:val="22"/>
          <w:szCs w:val="22"/>
          <w:lang w:val="es-CO"/>
        </w:rPr>
        <w:tab/>
        <w:t xml:space="preserve">propuesta </w:t>
      </w:r>
      <w:r w:rsidRPr="00D74F92">
        <w:rPr>
          <w:rFonts w:ascii="Bookman Old Style" w:hAnsi="Bookman Old Style"/>
          <w:i/>
          <w:iCs/>
          <w:sz w:val="22"/>
          <w:szCs w:val="22"/>
          <w:lang w:val="es-CO"/>
        </w:rPr>
        <w:tab/>
        <w:t xml:space="preserve">regulatoria </w:t>
      </w:r>
      <w:r w:rsidRPr="00D74F92">
        <w:rPr>
          <w:rFonts w:ascii="Bookman Old Style" w:hAnsi="Bookman Old Style"/>
          <w:i/>
          <w:iCs/>
          <w:sz w:val="22"/>
          <w:szCs w:val="22"/>
          <w:lang w:val="es-CO"/>
        </w:rPr>
        <w:tab/>
        <w:t>orientada</w:t>
      </w:r>
      <w:r w:rsidR="006C0249">
        <w:rPr>
          <w:rFonts w:ascii="Bookman Old Style" w:hAnsi="Bookman Old Style"/>
          <w:i/>
          <w:iCs/>
          <w:sz w:val="22"/>
          <w:szCs w:val="22"/>
          <w:lang w:val="es-CO"/>
        </w:rPr>
        <w:t xml:space="preserve"> </w:t>
      </w:r>
      <w:r w:rsidRPr="00D74F92">
        <w:rPr>
          <w:rFonts w:ascii="Bookman Old Style" w:hAnsi="Bookman Old Style"/>
          <w:i/>
          <w:iCs/>
          <w:sz w:val="22"/>
          <w:szCs w:val="22"/>
          <w:lang w:val="es-CO"/>
        </w:rPr>
        <w:t xml:space="preserve">a facilitar la comercialización de GLP ante este escenario de incertidumbre. </w:t>
      </w:r>
    </w:p>
    <w:p w14:paraId="60CCFBDD" w14:textId="36D4CA22" w:rsidR="00D74F92" w:rsidRPr="00D74F92" w:rsidRDefault="00D74F92" w:rsidP="002A78CA">
      <w:pPr>
        <w:contextualSpacing/>
        <w:jc w:val="both"/>
        <w:rPr>
          <w:rFonts w:ascii="Bookman Old Style" w:hAnsi="Bookman Old Style"/>
          <w:i/>
          <w:iCs/>
          <w:sz w:val="22"/>
          <w:szCs w:val="22"/>
          <w:lang w:val="es-CO"/>
        </w:rPr>
      </w:pPr>
    </w:p>
    <w:p w14:paraId="32E73A15" w14:textId="4612F169"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1.</w:t>
      </w:r>
      <w:r w:rsidR="006C0249">
        <w:rPr>
          <w:rFonts w:ascii="Bookman Old Style" w:hAnsi="Bookman Old Style"/>
          <w:i/>
          <w:iCs/>
          <w:sz w:val="22"/>
          <w:szCs w:val="22"/>
          <w:lang w:val="es-CO"/>
        </w:rPr>
        <w:t xml:space="preserve"> </w:t>
      </w:r>
      <w:r w:rsidRPr="00D74F92">
        <w:rPr>
          <w:rFonts w:ascii="Bookman Old Style" w:hAnsi="Bookman Old Style"/>
          <w:i/>
          <w:iCs/>
          <w:sz w:val="22"/>
          <w:szCs w:val="22"/>
          <w:lang w:val="es-CO"/>
        </w:rPr>
        <w:t xml:space="preserve">Incertidumbre sobre la oferta de GLP en el segundo semestre de 2020 </w:t>
      </w:r>
    </w:p>
    <w:p w14:paraId="6BAC0793" w14:textId="48459446" w:rsidR="00D74F92" w:rsidRPr="00D74F92" w:rsidRDefault="00D74F92" w:rsidP="002A78CA">
      <w:pPr>
        <w:contextualSpacing/>
        <w:jc w:val="both"/>
        <w:rPr>
          <w:rFonts w:ascii="Bookman Old Style" w:hAnsi="Bookman Old Style"/>
          <w:i/>
          <w:iCs/>
          <w:sz w:val="22"/>
          <w:szCs w:val="22"/>
          <w:lang w:val="es-CO"/>
        </w:rPr>
      </w:pPr>
    </w:p>
    <w:p w14:paraId="41AB8B56" w14:textId="7528E628"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Las medidas adoptadas por el Gobierno Nacional y los gobiernos locales para enfrentar la emergencia económica y social ocasionada por la pandemia del COVID 19 han afectado significativamente el consumo de </w:t>
      </w:r>
      <w:r w:rsidR="00CD4AD9" w:rsidRPr="00D74F92">
        <w:rPr>
          <w:rFonts w:ascii="Bookman Old Style" w:hAnsi="Bookman Old Style"/>
          <w:i/>
          <w:iCs/>
          <w:sz w:val="22"/>
          <w:szCs w:val="22"/>
          <w:lang w:val="es-CO"/>
        </w:rPr>
        <w:t>hidrocarburos</w:t>
      </w:r>
      <w:r w:rsidR="0079666F">
        <w:rPr>
          <w:vertAlign w:val="superscript"/>
        </w:rPr>
        <w:footnoteReference w:id="2"/>
      </w:r>
      <w:r w:rsidR="00CD4AD9" w:rsidRPr="00D74F92">
        <w:rPr>
          <w:rFonts w:ascii="Bookman Old Style" w:hAnsi="Bookman Old Style"/>
          <w:i/>
          <w:iCs/>
          <w:sz w:val="22"/>
          <w:szCs w:val="22"/>
          <w:lang w:val="es-CO"/>
        </w:rPr>
        <w:t>.</w:t>
      </w:r>
      <w:r w:rsidRPr="00D74F92">
        <w:rPr>
          <w:rFonts w:ascii="Bookman Old Style" w:hAnsi="Bookman Old Style"/>
          <w:i/>
          <w:iCs/>
          <w:sz w:val="22"/>
          <w:szCs w:val="22"/>
          <w:lang w:val="es-CO"/>
        </w:rPr>
        <w:t xml:space="preserve"> En el Gráfico se presentan las ventas reales de gasolina, diésel y jet entre enero y abril de 2020, la proyección de demanda para el período mayo a diciembre del mismo año, así como para 2021 y 2022. Se proyecta que la demanda agregada de estos combustibles en mayo de 2020 corresponderá a un 40% de la demanda agregada promedio presupuestada este año. </w:t>
      </w:r>
    </w:p>
    <w:p w14:paraId="6D0D42AC" w14:textId="4DFCDF6A" w:rsidR="00D74F92" w:rsidRPr="00D74F92" w:rsidRDefault="00D74F92" w:rsidP="002A78CA">
      <w:pPr>
        <w:contextualSpacing/>
        <w:jc w:val="both"/>
        <w:rPr>
          <w:rFonts w:ascii="Bookman Old Style" w:hAnsi="Bookman Old Style"/>
          <w:i/>
          <w:iCs/>
          <w:sz w:val="22"/>
          <w:szCs w:val="22"/>
          <w:lang w:val="es-CO"/>
        </w:rPr>
      </w:pPr>
    </w:p>
    <w:p w14:paraId="30C3B7EC" w14:textId="7303FA00" w:rsidR="00D74F92" w:rsidRPr="00D74F92"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 xml:space="preserve">Aunque en el Gráfico se proyecta una recuperación gradual de la demanda entre mayo y diciembre de 2020, se estima que al cierre del año no se alcanzarán los niveles de demanda observados antes de la pandemia. Es importante señalar que estos escenarios tienen un alto grado de incertidumbre en la medida en que no es posible determinar si la economía y la demanda de combustibles tendrán una tendencia creciente en congruencia con un esquema de desmonte gradual de las restricciones impuestas, o si sufrirán algún tipo de recaída como consecuencia de nuevas medidas para contener la expansión del </w:t>
      </w:r>
      <w:r w:rsidR="00CD4AD9" w:rsidRPr="00D74F92">
        <w:rPr>
          <w:rFonts w:ascii="Bookman Old Style" w:hAnsi="Bookman Old Style"/>
          <w:i/>
          <w:iCs/>
          <w:sz w:val="22"/>
          <w:szCs w:val="22"/>
          <w:lang w:val="es-CO"/>
        </w:rPr>
        <w:t>virus</w:t>
      </w:r>
      <w:r w:rsidR="0079666F">
        <w:rPr>
          <w:vertAlign w:val="superscript"/>
        </w:rPr>
        <w:footnoteReference w:id="3"/>
      </w:r>
      <w:r w:rsidR="00CD4AD9" w:rsidRPr="00D74F92">
        <w:rPr>
          <w:rFonts w:ascii="Bookman Old Style" w:hAnsi="Bookman Old Style"/>
          <w:i/>
          <w:iCs/>
          <w:sz w:val="22"/>
          <w:szCs w:val="22"/>
          <w:lang w:val="es-CO"/>
        </w:rPr>
        <w:t>.</w:t>
      </w:r>
      <w:r w:rsidRPr="00D74F92">
        <w:rPr>
          <w:rFonts w:ascii="Bookman Old Style" w:hAnsi="Bookman Old Style"/>
          <w:i/>
          <w:iCs/>
          <w:sz w:val="22"/>
          <w:szCs w:val="22"/>
          <w:lang w:val="es-CO"/>
        </w:rPr>
        <w:t xml:space="preserve"> </w:t>
      </w:r>
    </w:p>
    <w:p w14:paraId="5F73A0E4" w14:textId="584765FD" w:rsidR="00D74F92" w:rsidRPr="00D74F92" w:rsidRDefault="00D74F92" w:rsidP="002A78CA">
      <w:pPr>
        <w:contextualSpacing/>
        <w:jc w:val="both"/>
        <w:rPr>
          <w:rFonts w:ascii="Bookman Old Style" w:hAnsi="Bookman Old Style"/>
          <w:i/>
          <w:iCs/>
          <w:sz w:val="22"/>
          <w:szCs w:val="22"/>
          <w:lang w:val="es-CO"/>
        </w:rPr>
      </w:pPr>
    </w:p>
    <w:p w14:paraId="2C85C8B5" w14:textId="77777777" w:rsidR="00CD4AD9" w:rsidRDefault="00D74F92" w:rsidP="002A78CA">
      <w:pPr>
        <w:contextualSpacing/>
        <w:jc w:val="both"/>
        <w:rPr>
          <w:rFonts w:ascii="Bookman Old Style" w:hAnsi="Bookman Old Style"/>
          <w:i/>
          <w:iCs/>
          <w:sz w:val="22"/>
          <w:szCs w:val="22"/>
          <w:lang w:val="es-CO"/>
        </w:rPr>
      </w:pPr>
      <w:r w:rsidRPr="00D74F92">
        <w:rPr>
          <w:rFonts w:ascii="Bookman Old Style" w:hAnsi="Bookman Old Style"/>
          <w:i/>
          <w:iCs/>
          <w:sz w:val="22"/>
          <w:szCs w:val="22"/>
          <w:lang w:val="es-CO"/>
        </w:rPr>
        <w:t>Lo anterior afecta directamente las cargas de crudo de las refinerías y la producción de crudo y gas natural de los campos de producción, impactando proporcionalmente la producción y disponibilidad de GLP.</w:t>
      </w:r>
    </w:p>
    <w:p w14:paraId="513FF479" w14:textId="77777777" w:rsidR="00CD4AD9" w:rsidRDefault="00CD4AD9" w:rsidP="002A78CA">
      <w:pPr>
        <w:contextualSpacing/>
        <w:jc w:val="both"/>
      </w:pPr>
    </w:p>
    <w:p w14:paraId="1886039A" w14:textId="66FA04A2" w:rsid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Gráfico. Proyección de demanda de gasolina, diésel y jet, 2020-2022</w:t>
      </w:r>
    </w:p>
    <w:p w14:paraId="20909DE9" w14:textId="6706AC10" w:rsidR="00C30CD5" w:rsidRDefault="00C30CD5" w:rsidP="002A78CA">
      <w:pPr>
        <w:contextualSpacing/>
        <w:jc w:val="both"/>
        <w:rPr>
          <w:rFonts w:ascii="Bookman Old Style" w:hAnsi="Bookman Old Style"/>
          <w:i/>
          <w:iCs/>
          <w:sz w:val="22"/>
          <w:szCs w:val="22"/>
          <w:lang w:val="es-CO"/>
        </w:rPr>
      </w:pPr>
    </w:p>
    <w:p w14:paraId="0603D967" w14:textId="5CB7F3FF" w:rsidR="00C30CD5" w:rsidRDefault="00C30CD5" w:rsidP="002A78CA">
      <w:pPr>
        <w:contextualSpacing/>
        <w:jc w:val="both"/>
        <w:rPr>
          <w:rFonts w:ascii="Bookman Old Style" w:hAnsi="Bookman Old Style"/>
          <w:i/>
          <w:iCs/>
          <w:sz w:val="22"/>
          <w:szCs w:val="22"/>
          <w:lang w:val="es-CO"/>
        </w:rPr>
      </w:pPr>
    </w:p>
    <w:p w14:paraId="18186497" w14:textId="7AD7BE5B" w:rsidR="00C30CD5" w:rsidRDefault="00C30CD5" w:rsidP="002A78CA">
      <w:pPr>
        <w:contextualSpacing/>
        <w:jc w:val="both"/>
        <w:rPr>
          <w:rFonts w:ascii="Bookman Old Style" w:hAnsi="Bookman Old Style"/>
          <w:i/>
          <w:iCs/>
          <w:sz w:val="22"/>
          <w:szCs w:val="22"/>
          <w:lang w:val="es-CO"/>
        </w:rPr>
      </w:pPr>
    </w:p>
    <w:p w14:paraId="41AEB087" w14:textId="65B71477" w:rsidR="00C30CD5" w:rsidRDefault="00C30CD5" w:rsidP="002A78CA">
      <w:pPr>
        <w:contextualSpacing/>
        <w:jc w:val="both"/>
        <w:rPr>
          <w:rFonts w:ascii="Bookman Old Style" w:hAnsi="Bookman Old Style"/>
          <w:i/>
          <w:iCs/>
          <w:sz w:val="22"/>
          <w:szCs w:val="22"/>
          <w:lang w:val="es-CO"/>
        </w:rPr>
      </w:pPr>
    </w:p>
    <w:p w14:paraId="3B9908E0" w14:textId="78F64593" w:rsidR="00C30CD5" w:rsidRDefault="00C30CD5" w:rsidP="002A78CA">
      <w:pPr>
        <w:contextualSpacing/>
        <w:jc w:val="both"/>
        <w:rPr>
          <w:rFonts w:ascii="Bookman Old Style" w:hAnsi="Bookman Old Style"/>
          <w:i/>
          <w:iCs/>
          <w:sz w:val="22"/>
          <w:szCs w:val="22"/>
          <w:lang w:val="es-CO"/>
        </w:rPr>
      </w:pPr>
    </w:p>
    <w:p w14:paraId="1AD80E31" w14:textId="6DA535F4" w:rsidR="00C30CD5" w:rsidRDefault="00C30CD5" w:rsidP="002A78CA">
      <w:pPr>
        <w:contextualSpacing/>
        <w:jc w:val="both"/>
        <w:rPr>
          <w:rFonts w:ascii="Bookman Old Style" w:hAnsi="Bookman Old Style"/>
          <w:i/>
          <w:iCs/>
          <w:sz w:val="22"/>
          <w:szCs w:val="22"/>
          <w:lang w:val="es-CO"/>
        </w:rPr>
      </w:pPr>
    </w:p>
    <w:p w14:paraId="7613CEC5" w14:textId="77777777" w:rsidR="00C30CD5" w:rsidRDefault="00C30CD5" w:rsidP="002A78CA">
      <w:pPr>
        <w:contextualSpacing/>
        <w:jc w:val="both"/>
        <w:rPr>
          <w:rFonts w:ascii="Bookman Old Style" w:hAnsi="Bookman Old Style"/>
          <w:i/>
          <w:iCs/>
          <w:sz w:val="22"/>
          <w:szCs w:val="22"/>
          <w:lang w:val="es-CO"/>
        </w:rPr>
      </w:pPr>
    </w:p>
    <w:p w14:paraId="4F532C26" w14:textId="487B3EE7" w:rsidR="00CD4AD9" w:rsidRDefault="00CD4AD9" w:rsidP="002A78CA">
      <w:pPr>
        <w:contextualSpacing/>
        <w:jc w:val="center"/>
        <w:rPr>
          <w:rFonts w:ascii="Bookman Old Style" w:hAnsi="Bookman Old Style"/>
          <w:i/>
          <w:iCs/>
          <w:sz w:val="22"/>
          <w:szCs w:val="22"/>
          <w:lang w:val="es-CO"/>
        </w:rPr>
      </w:pPr>
      <w:r>
        <w:rPr>
          <w:noProof/>
        </w:rPr>
        <w:drawing>
          <wp:inline distT="0" distB="0" distL="0" distR="0" wp14:anchorId="1A846DED" wp14:editId="1260B69D">
            <wp:extent cx="3604260" cy="2285619"/>
            <wp:effectExtent l="0" t="0" r="0" b="0"/>
            <wp:docPr id="1271325886" name="Pictur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9"/>
                    <pic:cNvPicPr/>
                  </pic:nvPicPr>
                  <pic:blipFill>
                    <a:blip r:embed="rId14">
                      <a:extLst>
                        <a:ext uri="{28A0092B-C50C-407E-A947-70E740481C1C}">
                          <a14:useLocalDpi xmlns:a14="http://schemas.microsoft.com/office/drawing/2010/main" val="0"/>
                        </a:ext>
                      </a:extLst>
                    </a:blip>
                    <a:stretch>
                      <a:fillRect/>
                    </a:stretch>
                  </pic:blipFill>
                  <pic:spPr>
                    <a:xfrm>
                      <a:off x="0" y="0"/>
                      <a:ext cx="3604260" cy="2285619"/>
                    </a:xfrm>
                    <a:prstGeom prst="rect">
                      <a:avLst/>
                    </a:prstGeom>
                  </pic:spPr>
                </pic:pic>
              </a:graphicData>
            </a:graphic>
          </wp:inline>
        </w:drawing>
      </w:r>
    </w:p>
    <w:p w14:paraId="3B28F178" w14:textId="7FEBD933" w:rsidR="0079666F" w:rsidRPr="0079666F" w:rsidRDefault="0079666F" w:rsidP="002A78CA">
      <w:pPr>
        <w:contextualSpacing/>
        <w:jc w:val="center"/>
        <w:rPr>
          <w:rFonts w:ascii="Bookman Old Style" w:hAnsi="Bookman Old Style"/>
          <w:i/>
          <w:iCs/>
          <w:sz w:val="18"/>
          <w:szCs w:val="18"/>
          <w:lang w:val="es-CO"/>
        </w:rPr>
      </w:pPr>
      <w:r w:rsidRPr="0079666F">
        <w:rPr>
          <w:rFonts w:ascii="Bookman Old Style" w:hAnsi="Bookman Old Style"/>
          <w:i/>
          <w:iCs/>
          <w:sz w:val="18"/>
          <w:szCs w:val="18"/>
          <w:lang w:val="es-CO"/>
        </w:rPr>
        <w:t>Fuente: Ecopetrol.</w:t>
      </w:r>
    </w:p>
    <w:p w14:paraId="23EFB30E" w14:textId="77777777" w:rsidR="00CD4AD9" w:rsidRPr="00CD4AD9" w:rsidRDefault="00CD4AD9" w:rsidP="002A78CA">
      <w:pPr>
        <w:contextualSpacing/>
        <w:jc w:val="both"/>
        <w:rPr>
          <w:rFonts w:ascii="Bookman Old Style" w:hAnsi="Bookman Old Style"/>
          <w:i/>
          <w:iCs/>
          <w:sz w:val="22"/>
          <w:szCs w:val="22"/>
          <w:lang w:val="es-CO"/>
        </w:rPr>
      </w:pPr>
    </w:p>
    <w:p w14:paraId="3DB4F342"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1.1.</w:t>
      </w:r>
      <w:r w:rsidRPr="00CD4AD9">
        <w:rPr>
          <w:rFonts w:ascii="Bookman Old Style" w:hAnsi="Bookman Old Style"/>
          <w:i/>
          <w:iCs/>
          <w:sz w:val="22"/>
          <w:szCs w:val="22"/>
          <w:lang w:val="es-CO"/>
        </w:rPr>
        <w:tab/>
        <w:t xml:space="preserve">Impactos en producción de crudo y gas natural </w:t>
      </w:r>
    </w:p>
    <w:p w14:paraId="61E4F647" w14:textId="7366B8FD" w:rsidR="00CD4AD9" w:rsidRPr="00CD4AD9" w:rsidRDefault="00CD4AD9" w:rsidP="002A78CA">
      <w:pPr>
        <w:contextualSpacing/>
        <w:jc w:val="both"/>
        <w:rPr>
          <w:rFonts w:ascii="Bookman Old Style" w:hAnsi="Bookman Old Style"/>
          <w:i/>
          <w:iCs/>
          <w:sz w:val="22"/>
          <w:szCs w:val="22"/>
          <w:lang w:val="es-CO"/>
        </w:rPr>
      </w:pPr>
    </w:p>
    <w:p w14:paraId="27C8F0B0"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Las variaciones tanto en el precio internacional como en la demanda de crudo en las refinerías nacionales y con destino a la exportación, y las variaciones en la demanda de gas natural en el mercado nacional, afectan la producción de hidrocarburos en campos. </w:t>
      </w:r>
    </w:p>
    <w:p w14:paraId="62C6632E" w14:textId="78180719" w:rsidR="00CD4AD9" w:rsidRPr="00CD4AD9" w:rsidRDefault="00CD4AD9" w:rsidP="002A78CA">
      <w:pPr>
        <w:contextualSpacing/>
        <w:jc w:val="both"/>
        <w:rPr>
          <w:rFonts w:ascii="Bookman Old Style" w:hAnsi="Bookman Old Style"/>
          <w:i/>
          <w:iCs/>
          <w:sz w:val="22"/>
          <w:szCs w:val="22"/>
          <w:lang w:val="es-CO"/>
        </w:rPr>
      </w:pPr>
    </w:p>
    <w:p w14:paraId="0B12739F" w14:textId="6FD7D458"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En el caso del crudo, se están efectuado recortes por hasta 100.000 barriles equivalentes por día, lo que incluye ajustes en la producción de campos como Provincia o Dina, que son a su vez productores de GLP. En el caso del gas natural se estima una reducción de aproximadamente 22% del consumo, incluyendo la demanda de las refinerías por la reducción de la producción de combustibles, afectando a los campos Cusiana y </w:t>
      </w:r>
      <w:proofErr w:type="spellStart"/>
      <w:r w:rsidRPr="00CD4AD9">
        <w:rPr>
          <w:rFonts w:ascii="Bookman Old Style" w:hAnsi="Bookman Old Style"/>
          <w:i/>
          <w:iCs/>
          <w:sz w:val="22"/>
          <w:szCs w:val="22"/>
          <w:lang w:val="es-CO"/>
        </w:rPr>
        <w:t>Cupiagua</w:t>
      </w:r>
      <w:proofErr w:type="spellEnd"/>
      <w:r w:rsidRPr="00CD4AD9">
        <w:rPr>
          <w:rFonts w:ascii="Bookman Old Style" w:hAnsi="Bookman Old Style"/>
          <w:i/>
          <w:iCs/>
          <w:sz w:val="22"/>
          <w:szCs w:val="22"/>
          <w:lang w:val="es-CO"/>
        </w:rPr>
        <w:t>, productores también de GLP. En la Tabla 1 se muestran los ajustes en la producción de hidrocarburos, comparando lo presupuestado con el programa de suministro actual, que tiene en cuenta el efecto de la pandemia.</w:t>
      </w:r>
    </w:p>
    <w:p w14:paraId="76682366" w14:textId="77777777" w:rsidR="00CD4AD9" w:rsidRDefault="00CD4AD9" w:rsidP="002A78CA">
      <w:pPr>
        <w:contextualSpacing/>
        <w:jc w:val="center"/>
        <w:rPr>
          <w:rFonts w:ascii="Bookman Old Style" w:hAnsi="Bookman Old Style"/>
          <w:i/>
          <w:iCs/>
          <w:sz w:val="22"/>
          <w:szCs w:val="22"/>
          <w:lang w:val="es-CO"/>
        </w:rPr>
      </w:pPr>
    </w:p>
    <w:p w14:paraId="20B62D28" w14:textId="24A5D7BB" w:rsidR="00CD4AD9" w:rsidRPr="0079666F" w:rsidRDefault="00CD4AD9" w:rsidP="002A78CA">
      <w:pPr>
        <w:contextualSpacing/>
        <w:jc w:val="center"/>
        <w:rPr>
          <w:rFonts w:ascii="Bookman Old Style" w:hAnsi="Bookman Old Style"/>
          <w:i/>
          <w:iCs/>
          <w:sz w:val="22"/>
          <w:szCs w:val="22"/>
          <w:lang w:val="es-CO"/>
        </w:rPr>
      </w:pPr>
      <w:r w:rsidRPr="00CD4AD9">
        <w:rPr>
          <w:rFonts w:ascii="Bookman Old Style" w:hAnsi="Bookman Old Style"/>
          <w:i/>
          <w:iCs/>
          <w:sz w:val="22"/>
          <w:szCs w:val="22"/>
          <w:lang w:val="es-CO"/>
        </w:rPr>
        <w:t xml:space="preserve">Tabla 1. Disponibilidad 2020 vs ajustes a producción por contingencia del COVID 19 (KB / </w:t>
      </w:r>
      <w:proofErr w:type="spellStart"/>
      <w:r w:rsidRPr="00CD4AD9">
        <w:rPr>
          <w:rFonts w:ascii="Bookman Old Style" w:hAnsi="Bookman Old Style"/>
          <w:i/>
          <w:iCs/>
          <w:sz w:val="22"/>
          <w:szCs w:val="22"/>
          <w:lang w:val="es-CO"/>
        </w:rPr>
        <w:t>kbde</w:t>
      </w:r>
      <w:proofErr w:type="spellEnd"/>
      <w:r w:rsidRPr="00CD4AD9">
        <w:rPr>
          <w:rFonts w:ascii="Bookman Old Style" w:hAnsi="Bookman Old Style"/>
          <w:i/>
          <w:iCs/>
          <w:sz w:val="22"/>
          <w:szCs w:val="22"/>
          <w:lang w:val="es-CO"/>
        </w:rPr>
        <w:t xml:space="preserve"> gas)</w:t>
      </w:r>
      <w:r w:rsidR="0079666F" w:rsidRPr="0079666F">
        <w:rPr>
          <w:vertAlign w:val="superscript"/>
        </w:rPr>
        <w:t xml:space="preserve"> </w:t>
      </w:r>
      <w:r w:rsidR="0079666F">
        <w:rPr>
          <w:vertAlign w:val="superscript"/>
        </w:rPr>
        <w:footnoteReference w:id="4"/>
      </w:r>
    </w:p>
    <w:tbl>
      <w:tblPr>
        <w:tblStyle w:val="TableGrid"/>
        <w:tblW w:w="7206" w:type="dxa"/>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74" w:type="dxa"/>
          <w:right w:w="83" w:type="dxa"/>
        </w:tblCellMar>
        <w:tblLook w:val="04A0" w:firstRow="1" w:lastRow="0" w:firstColumn="1" w:lastColumn="0" w:noHBand="0" w:noVBand="1"/>
      </w:tblPr>
      <w:tblGrid>
        <w:gridCol w:w="2612"/>
        <w:gridCol w:w="2268"/>
        <w:gridCol w:w="2326"/>
      </w:tblGrid>
      <w:tr w:rsidR="00CD4AD9" w:rsidRPr="00CD4AD9" w14:paraId="7BB6AD12" w14:textId="77777777" w:rsidTr="00836F17">
        <w:trPr>
          <w:trHeight w:val="458"/>
        </w:trPr>
        <w:tc>
          <w:tcPr>
            <w:tcW w:w="2612" w:type="dxa"/>
            <w:shd w:val="clear" w:color="auto" w:fill="A6A6A6" w:themeFill="background1" w:themeFillShade="A6"/>
          </w:tcPr>
          <w:p w14:paraId="4D8C0A04" w14:textId="77777777" w:rsidR="00CD4AD9" w:rsidRPr="00CD4AD9" w:rsidRDefault="00CD4AD9" w:rsidP="002A78CA">
            <w:pPr>
              <w:spacing w:line="259" w:lineRule="auto"/>
              <w:ind w:left="0"/>
              <w:rPr>
                <w:rFonts w:ascii="Bookman Old Style" w:hAnsi="Bookman Old Style"/>
                <w:sz w:val="20"/>
                <w:szCs w:val="20"/>
              </w:rPr>
            </w:pPr>
          </w:p>
        </w:tc>
        <w:tc>
          <w:tcPr>
            <w:tcW w:w="2268" w:type="dxa"/>
            <w:shd w:val="clear" w:color="auto" w:fill="A6A6A6" w:themeFill="background1" w:themeFillShade="A6"/>
            <w:vAlign w:val="center"/>
          </w:tcPr>
          <w:p w14:paraId="10691465"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eastAsia="Verdana" w:hAnsi="Bookman Old Style" w:cs="Verdana"/>
                <w:b/>
                <w:sz w:val="20"/>
                <w:szCs w:val="20"/>
              </w:rPr>
              <w:t xml:space="preserve">Presupuestado 2020 </w:t>
            </w:r>
          </w:p>
        </w:tc>
        <w:tc>
          <w:tcPr>
            <w:tcW w:w="2326" w:type="dxa"/>
            <w:shd w:val="clear" w:color="auto" w:fill="A6A6A6" w:themeFill="background1" w:themeFillShade="A6"/>
            <w:vAlign w:val="center"/>
          </w:tcPr>
          <w:p w14:paraId="2A403179" w14:textId="77777777" w:rsidR="00CD4AD9" w:rsidRPr="00CD4AD9" w:rsidRDefault="00CD4AD9" w:rsidP="002A78CA">
            <w:pPr>
              <w:spacing w:line="259" w:lineRule="auto"/>
              <w:ind w:left="251" w:hanging="70"/>
              <w:rPr>
                <w:rFonts w:ascii="Bookman Old Style" w:hAnsi="Bookman Old Style"/>
                <w:sz w:val="20"/>
                <w:szCs w:val="20"/>
              </w:rPr>
            </w:pPr>
            <w:r w:rsidRPr="00CD4AD9">
              <w:rPr>
                <w:rFonts w:ascii="Bookman Old Style" w:eastAsia="Verdana" w:hAnsi="Bookman Old Style" w:cs="Verdana"/>
                <w:b/>
                <w:sz w:val="20"/>
                <w:szCs w:val="20"/>
              </w:rPr>
              <w:t xml:space="preserve">Plan suministro junio Covid-19 </w:t>
            </w:r>
          </w:p>
        </w:tc>
      </w:tr>
      <w:tr w:rsidR="00CD4AD9" w:rsidRPr="00CD4AD9" w14:paraId="36610AB8" w14:textId="77777777" w:rsidTr="00836F17">
        <w:trPr>
          <w:trHeight w:val="391"/>
        </w:trPr>
        <w:tc>
          <w:tcPr>
            <w:tcW w:w="2612" w:type="dxa"/>
          </w:tcPr>
          <w:p w14:paraId="2A1A7BA2" w14:textId="0753B25E" w:rsidR="00CD4AD9" w:rsidRPr="00CD4AD9" w:rsidRDefault="00836F17" w:rsidP="002A78CA">
            <w:pPr>
              <w:spacing w:line="259" w:lineRule="auto"/>
              <w:ind w:left="0"/>
              <w:rPr>
                <w:rFonts w:ascii="Bookman Old Style" w:hAnsi="Bookman Old Style"/>
                <w:sz w:val="20"/>
                <w:szCs w:val="20"/>
              </w:rPr>
            </w:pPr>
            <w:r>
              <w:rPr>
                <w:rFonts w:ascii="Bookman Old Style" w:eastAsia="Verdana" w:hAnsi="Bookman Old Style" w:cs="Verdana"/>
                <w:b/>
                <w:sz w:val="20"/>
                <w:szCs w:val="20"/>
              </w:rPr>
              <w:t>C</w:t>
            </w:r>
            <w:r w:rsidR="00CD4AD9" w:rsidRPr="00CD4AD9">
              <w:rPr>
                <w:rFonts w:ascii="Bookman Old Style" w:eastAsia="Verdana" w:hAnsi="Bookman Old Style" w:cs="Verdana"/>
                <w:b/>
                <w:sz w:val="20"/>
                <w:szCs w:val="20"/>
              </w:rPr>
              <w:t xml:space="preserve">rudo </w:t>
            </w:r>
          </w:p>
        </w:tc>
        <w:tc>
          <w:tcPr>
            <w:tcW w:w="2268" w:type="dxa"/>
          </w:tcPr>
          <w:p w14:paraId="5505C580" w14:textId="77777777" w:rsidR="00CD4AD9" w:rsidRPr="00CD4AD9" w:rsidRDefault="00CD4AD9" w:rsidP="002A78CA">
            <w:pPr>
              <w:spacing w:line="259" w:lineRule="auto"/>
              <w:ind w:left="8"/>
              <w:jc w:val="center"/>
              <w:rPr>
                <w:rFonts w:ascii="Bookman Old Style" w:hAnsi="Bookman Old Style"/>
                <w:sz w:val="20"/>
                <w:szCs w:val="20"/>
              </w:rPr>
            </w:pPr>
            <w:r w:rsidRPr="00CD4AD9">
              <w:rPr>
                <w:rFonts w:ascii="Bookman Old Style" w:hAnsi="Bookman Old Style"/>
                <w:sz w:val="20"/>
                <w:szCs w:val="20"/>
              </w:rPr>
              <w:t xml:space="preserve">566 </w:t>
            </w:r>
          </w:p>
        </w:tc>
        <w:tc>
          <w:tcPr>
            <w:tcW w:w="2326" w:type="dxa"/>
          </w:tcPr>
          <w:p w14:paraId="59769C8F"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490,6 </w:t>
            </w:r>
          </w:p>
        </w:tc>
      </w:tr>
      <w:tr w:rsidR="00CD4AD9" w:rsidRPr="00CD4AD9" w14:paraId="42130B86" w14:textId="77777777" w:rsidTr="00836F17">
        <w:trPr>
          <w:trHeight w:val="380"/>
        </w:trPr>
        <w:tc>
          <w:tcPr>
            <w:tcW w:w="2612" w:type="dxa"/>
          </w:tcPr>
          <w:p w14:paraId="43E4F67B"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Gas natural </w:t>
            </w:r>
          </w:p>
        </w:tc>
        <w:tc>
          <w:tcPr>
            <w:tcW w:w="2268" w:type="dxa"/>
          </w:tcPr>
          <w:p w14:paraId="41D0AB05" w14:textId="77777777" w:rsidR="00CD4AD9" w:rsidRPr="00CD4AD9" w:rsidRDefault="00CD4AD9" w:rsidP="002A78CA">
            <w:pPr>
              <w:spacing w:line="259" w:lineRule="auto"/>
              <w:ind w:left="8"/>
              <w:jc w:val="center"/>
              <w:rPr>
                <w:rFonts w:ascii="Bookman Old Style" w:hAnsi="Bookman Old Style"/>
                <w:sz w:val="20"/>
                <w:szCs w:val="20"/>
              </w:rPr>
            </w:pPr>
            <w:r w:rsidRPr="00CD4AD9">
              <w:rPr>
                <w:rFonts w:ascii="Bookman Old Style" w:hAnsi="Bookman Old Style"/>
                <w:sz w:val="20"/>
                <w:szCs w:val="20"/>
              </w:rPr>
              <w:t xml:space="preserve">113 </w:t>
            </w:r>
          </w:p>
        </w:tc>
        <w:tc>
          <w:tcPr>
            <w:tcW w:w="2326" w:type="dxa"/>
          </w:tcPr>
          <w:p w14:paraId="7D3DAC97"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83,04 </w:t>
            </w:r>
          </w:p>
        </w:tc>
      </w:tr>
      <w:tr w:rsidR="00CD4AD9" w:rsidRPr="00CD4AD9" w14:paraId="484784CE" w14:textId="77777777" w:rsidTr="00836F17">
        <w:trPr>
          <w:trHeight w:val="391"/>
        </w:trPr>
        <w:tc>
          <w:tcPr>
            <w:tcW w:w="2612" w:type="dxa"/>
          </w:tcPr>
          <w:p w14:paraId="6FADF875"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GLP </w:t>
            </w:r>
          </w:p>
        </w:tc>
        <w:tc>
          <w:tcPr>
            <w:tcW w:w="2268" w:type="dxa"/>
          </w:tcPr>
          <w:p w14:paraId="0021861C" w14:textId="77777777" w:rsidR="00CD4AD9" w:rsidRPr="00CD4AD9" w:rsidRDefault="00CD4AD9" w:rsidP="002A78CA">
            <w:pPr>
              <w:spacing w:line="259" w:lineRule="auto"/>
              <w:ind w:left="9"/>
              <w:jc w:val="center"/>
              <w:rPr>
                <w:rFonts w:ascii="Bookman Old Style" w:hAnsi="Bookman Old Style"/>
                <w:sz w:val="20"/>
                <w:szCs w:val="20"/>
              </w:rPr>
            </w:pPr>
            <w:r w:rsidRPr="00CD4AD9">
              <w:rPr>
                <w:rFonts w:ascii="Bookman Old Style" w:hAnsi="Bookman Old Style"/>
                <w:sz w:val="20"/>
                <w:szCs w:val="20"/>
              </w:rPr>
              <w:t xml:space="preserve">14,6 </w:t>
            </w:r>
          </w:p>
        </w:tc>
        <w:tc>
          <w:tcPr>
            <w:tcW w:w="2326" w:type="dxa"/>
          </w:tcPr>
          <w:p w14:paraId="21229F57"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13,5 </w:t>
            </w:r>
          </w:p>
        </w:tc>
      </w:tr>
      <w:tr w:rsidR="00CD4AD9" w:rsidRPr="00CD4AD9" w14:paraId="072D7A19" w14:textId="77777777" w:rsidTr="00836F17">
        <w:trPr>
          <w:trHeight w:val="542"/>
        </w:trPr>
        <w:tc>
          <w:tcPr>
            <w:tcW w:w="2612" w:type="dxa"/>
          </w:tcPr>
          <w:p w14:paraId="7ABE9D89" w14:textId="77777777" w:rsidR="00CD4AD9" w:rsidRPr="00CD4AD9" w:rsidRDefault="00CD4AD9" w:rsidP="002A78CA">
            <w:pPr>
              <w:spacing w:line="259" w:lineRule="auto"/>
              <w:ind w:left="0"/>
              <w:rPr>
                <w:rFonts w:ascii="Bookman Old Style" w:hAnsi="Bookman Old Style"/>
                <w:sz w:val="20"/>
                <w:szCs w:val="20"/>
              </w:rPr>
            </w:pPr>
            <w:r w:rsidRPr="00CD4AD9">
              <w:rPr>
                <w:rFonts w:ascii="Bookman Old Style" w:eastAsia="Verdana" w:hAnsi="Bookman Old Style" w:cs="Verdana"/>
                <w:b/>
                <w:sz w:val="20"/>
                <w:szCs w:val="20"/>
              </w:rPr>
              <w:t xml:space="preserve">Blancos (incluye GLP) </w:t>
            </w:r>
          </w:p>
        </w:tc>
        <w:tc>
          <w:tcPr>
            <w:tcW w:w="2268" w:type="dxa"/>
            <w:vAlign w:val="center"/>
          </w:tcPr>
          <w:p w14:paraId="7DAE94A4" w14:textId="77777777" w:rsidR="00CD4AD9" w:rsidRPr="00CD4AD9" w:rsidRDefault="00CD4AD9" w:rsidP="002A78CA">
            <w:pPr>
              <w:spacing w:line="259" w:lineRule="auto"/>
              <w:ind w:left="9"/>
              <w:jc w:val="center"/>
              <w:rPr>
                <w:rFonts w:ascii="Bookman Old Style" w:hAnsi="Bookman Old Style"/>
                <w:sz w:val="20"/>
                <w:szCs w:val="20"/>
              </w:rPr>
            </w:pPr>
            <w:r w:rsidRPr="00CD4AD9">
              <w:rPr>
                <w:rFonts w:ascii="Bookman Old Style" w:hAnsi="Bookman Old Style"/>
                <w:sz w:val="20"/>
                <w:szCs w:val="20"/>
              </w:rPr>
              <w:t xml:space="preserve">21,5 </w:t>
            </w:r>
          </w:p>
        </w:tc>
        <w:tc>
          <w:tcPr>
            <w:tcW w:w="2326" w:type="dxa"/>
            <w:vAlign w:val="center"/>
          </w:tcPr>
          <w:p w14:paraId="2D894BCB" w14:textId="77777777"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 xml:space="preserve">21,7 </w:t>
            </w:r>
          </w:p>
        </w:tc>
      </w:tr>
      <w:tr w:rsidR="00CD4AD9" w:rsidRPr="00CD4AD9" w14:paraId="1AA2FF5F" w14:textId="77777777" w:rsidTr="00836F17">
        <w:trPr>
          <w:trHeight w:val="304"/>
        </w:trPr>
        <w:tc>
          <w:tcPr>
            <w:tcW w:w="2612" w:type="dxa"/>
            <w:shd w:val="clear" w:color="auto" w:fill="A6A6A6" w:themeFill="background1" w:themeFillShade="A6"/>
          </w:tcPr>
          <w:p w14:paraId="76B1D244" w14:textId="77777777" w:rsidR="00CD4AD9" w:rsidRPr="00CD4AD9" w:rsidRDefault="00CD4AD9" w:rsidP="002A78CA">
            <w:pPr>
              <w:spacing w:line="259" w:lineRule="auto"/>
              <w:ind w:left="0"/>
              <w:rPr>
                <w:rFonts w:ascii="Bookman Old Style" w:hAnsi="Bookman Old Style"/>
                <w:sz w:val="20"/>
                <w:szCs w:val="20"/>
              </w:rPr>
            </w:pPr>
            <w:proofErr w:type="gramStart"/>
            <w:r w:rsidRPr="00CD4AD9">
              <w:rPr>
                <w:rFonts w:ascii="Bookman Old Style" w:eastAsia="Verdana" w:hAnsi="Bookman Old Style" w:cs="Verdana"/>
                <w:b/>
                <w:sz w:val="20"/>
                <w:szCs w:val="20"/>
              </w:rPr>
              <w:t>Total</w:t>
            </w:r>
            <w:proofErr w:type="gramEnd"/>
            <w:r w:rsidRPr="00CD4AD9">
              <w:rPr>
                <w:rFonts w:ascii="Bookman Old Style" w:eastAsia="Verdana" w:hAnsi="Bookman Old Style" w:cs="Verdana"/>
                <w:b/>
                <w:sz w:val="20"/>
                <w:szCs w:val="20"/>
              </w:rPr>
              <w:t xml:space="preserve"> General </w:t>
            </w:r>
          </w:p>
        </w:tc>
        <w:tc>
          <w:tcPr>
            <w:tcW w:w="2268" w:type="dxa"/>
            <w:shd w:val="clear" w:color="auto" w:fill="A6A6A6" w:themeFill="background1" w:themeFillShade="A6"/>
          </w:tcPr>
          <w:p w14:paraId="1EDC7BF5" w14:textId="77777777" w:rsidR="00CD4AD9" w:rsidRPr="00CD4AD9" w:rsidRDefault="00CD4AD9" w:rsidP="002A78CA">
            <w:pPr>
              <w:spacing w:line="259" w:lineRule="auto"/>
              <w:ind w:left="25"/>
              <w:jc w:val="center"/>
              <w:rPr>
                <w:rFonts w:ascii="Bookman Old Style" w:hAnsi="Bookman Old Style"/>
                <w:sz w:val="20"/>
                <w:szCs w:val="20"/>
              </w:rPr>
            </w:pPr>
            <w:r w:rsidRPr="00CD4AD9">
              <w:rPr>
                <w:rFonts w:ascii="Bookman Old Style" w:eastAsia="Verdana" w:hAnsi="Bookman Old Style" w:cs="Verdana"/>
                <w:b/>
                <w:sz w:val="20"/>
                <w:szCs w:val="20"/>
              </w:rPr>
              <w:t xml:space="preserve">700 </w:t>
            </w:r>
          </w:p>
        </w:tc>
        <w:tc>
          <w:tcPr>
            <w:tcW w:w="2326" w:type="dxa"/>
            <w:shd w:val="clear" w:color="auto" w:fill="A6A6A6" w:themeFill="background1" w:themeFillShade="A6"/>
          </w:tcPr>
          <w:p w14:paraId="0B8C2639" w14:textId="77777777" w:rsidR="00CD4AD9" w:rsidRPr="00CD4AD9" w:rsidRDefault="00CD4AD9" w:rsidP="002A78CA">
            <w:pPr>
              <w:spacing w:line="259" w:lineRule="auto"/>
              <w:ind w:left="13"/>
              <w:jc w:val="center"/>
              <w:rPr>
                <w:rFonts w:ascii="Bookman Old Style" w:hAnsi="Bookman Old Style"/>
                <w:sz w:val="20"/>
                <w:szCs w:val="20"/>
              </w:rPr>
            </w:pPr>
            <w:r w:rsidRPr="00CD4AD9">
              <w:rPr>
                <w:rFonts w:ascii="Bookman Old Style" w:eastAsia="Verdana" w:hAnsi="Bookman Old Style" w:cs="Verdana"/>
                <w:b/>
                <w:sz w:val="20"/>
                <w:szCs w:val="20"/>
              </w:rPr>
              <w:t xml:space="preserve">595,3 </w:t>
            </w:r>
          </w:p>
        </w:tc>
      </w:tr>
    </w:tbl>
    <w:p w14:paraId="2AA62715" w14:textId="77777777" w:rsidR="0079666F" w:rsidRPr="0079666F" w:rsidRDefault="0079666F" w:rsidP="002A78CA">
      <w:pPr>
        <w:contextualSpacing/>
        <w:jc w:val="center"/>
        <w:rPr>
          <w:rFonts w:ascii="Bookman Old Style" w:hAnsi="Bookman Old Style"/>
          <w:i/>
          <w:iCs/>
          <w:sz w:val="18"/>
          <w:szCs w:val="18"/>
          <w:lang w:val="es-CO"/>
        </w:rPr>
      </w:pPr>
      <w:r w:rsidRPr="0079666F">
        <w:rPr>
          <w:rFonts w:ascii="Bookman Old Style" w:hAnsi="Bookman Old Style"/>
          <w:i/>
          <w:iCs/>
          <w:sz w:val="18"/>
          <w:szCs w:val="18"/>
          <w:lang w:val="es-CO"/>
        </w:rPr>
        <w:t>Fuente: Ecopetrol.</w:t>
      </w:r>
    </w:p>
    <w:p w14:paraId="59A7AAF7" w14:textId="298B02E4" w:rsidR="00CD4AD9" w:rsidRDefault="00CD4AD9" w:rsidP="002A78CA">
      <w:pPr>
        <w:contextualSpacing/>
        <w:jc w:val="center"/>
        <w:rPr>
          <w:rFonts w:ascii="Bookman Old Style" w:hAnsi="Bookman Old Style"/>
          <w:i/>
          <w:iCs/>
          <w:sz w:val="22"/>
          <w:szCs w:val="22"/>
          <w:lang w:val="es-CO"/>
        </w:rPr>
      </w:pPr>
    </w:p>
    <w:p w14:paraId="621AE126"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Adicionalmente, es importante señalar que a la fecha se encuentra en revisión la ejecución de los planes de mantenimiento de la infraestructura de la compañía. En esta revisión se incluyen ajustes en el presupuesto y se determinan las fechas de ejecución, así como la nueva duración de las paradas, en consideración de las </w:t>
      </w:r>
      <w:r w:rsidRPr="00CD4AD9">
        <w:rPr>
          <w:rFonts w:ascii="Bookman Old Style" w:hAnsi="Bookman Old Style"/>
          <w:i/>
          <w:iCs/>
          <w:sz w:val="22"/>
          <w:szCs w:val="22"/>
          <w:lang w:val="es-CO"/>
        </w:rPr>
        <w:lastRenderedPageBreak/>
        <w:t xml:space="preserve">medidas de distanciamiento social que deben adoptarse. En particular, se está evaluando la reprogramación del mantenimiento de la planta Amina I, que incidiría en la producción de GLP en Cusiana, para el mes de agosto. </w:t>
      </w:r>
    </w:p>
    <w:p w14:paraId="3C3C6A36" w14:textId="2A098FCB" w:rsidR="00CD4AD9" w:rsidRPr="00CD4AD9" w:rsidRDefault="00CD4AD9" w:rsidP="002A78CA">
      <w:pPr>
        <w:contextualSpacing/>
        <w:jc w:val="both"/>
        <w:rPr>
          <w:rFonts w:ascii="Bookman Old Style" w:hAnsi="Bookman Old Style"/>
          <w:i/>
          <w:iCs/>
          <w:sz w:val="22"/>
          <w:szCs w:val="22"/>
          <w:lang w:val="es-CO"/>
        </w:rPr>
      </w:pPr>
    </w:p>
    <w:p w14:paraId="74C379AC"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1.2.</w:t>
      </w:r>
      <w:r w:rsidRPr="00CD4AD9">
        <w:rPr>
          <w:rFonts w:ascii="Bookman Old Style" w:hAnsi="Bookman Old Style"/>
          <w:i/>
          <w:iCs/>
          <w:sz w:val="22"/>
          <w:szCs w:val="22"/>
          <w:lang w:val="es-CO"/>
        </w:rPr>
        <w:tab/>
        <w:t xml:space="preserve">Impactos en refinación </w:t>
      </w:r>
    </w:p>
    <w:p w14:paraId="0A1FB672" w14:textId="17202572" w:rsidR="00CD4AD9" w:rsidRPr="00CD4AD9" w:rsidRDefault="00CD4AD9" w:rsidP="002A78CA">
      <w:pPr>
        <w:contextualSpacing/>
        <w:jc w:val="both"/>
        <w:rPr>
          <w:rFonts w:ascii="Bookman Old Style" w:hAnsi="Bookman Old Style"/>
          <w:i/>
          <w:iCs/>
          <w:sz w:val="22"/>
          <w:szCs w:val="22"/>
          <w:lang w:val="es-CO"/>
        </w:rPr>
      </w:pPr>
    </w:p>
    <w:p w14:paraId="7DA6E9BC" w14:textId="77777777"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Considerando que el GLP y el Propileno Grado Refinería (PGR), insumo de la oferta de propano que se entrega en Cartagena, son productos de los procesos de refinación del crudo, sus producciones se ven afectadas por la disminución en la demanda de refinados. En la Tabla 2 se resumen los impactos de la carga de crudo sobre la producción de GLP en cada una de las refinerías. </w:t>
      </w:r>
    </w:p>
    <w:p w14:paraId="0761C597" w14:textId="6B7D4003" w:rsidR="00CD4AD9" w:rsidRPr="00CD4AD9" w:rsidRDefault="00CD4AD9" w:rsidP="002A78CA">
      <w:pPr>
        <w:contextualSpacing/>
        <w:jc w:val="both"/>
        <w:rPr>
          <w:rFonts w:ascii="Bookman Old Style" w:hAnsi="Bookman Old Style"/>
          <w:i/>
          <w:iCs/>
          <w:sz w:val="22"/>
          <w:szCs w:val="22"/>
          <w:lang w:val="es-CO"/>
        </w:rPr>
      </w:pPr>
    </w:p>
    <w:p w14:paraId="54FAA651" w14:textId="4CE5E1BC" w:rsidR="00CD4AD9" w:rsidRPr="00CD4AD9" w:rsidRDefault="00CD4AD9" w:rsidP="002A78CA">
      <w:pPr>
        <w:contextualSpacing/>
        <w:jc w:val="both"/>
        <w:rPr>
          <w:rFonts w:ascii="Bookman Old Style" w:hAnsi="Bookman Old Style"/>
          <w:i/>
          <w:iCs/>
          <w:sz w:val="22"/>
          <w:szCs w:val="22"/>
          <w:lang w:val="es-CO"/>
        </w:rPr>
      </w:pPr>
      <w:r w:rsidRPr="00CD4AD9">
        <w:rPr>
          <w:rFonts w:ascii="Bookman Old Style" w:hAnsi="Bookman Old Style"/>
          <w:i/>
          <w:iCs/>
          <w:sz w:val="22"/>
          <w:szCs w:val="22"/>
          <w:lang w:val="es-CO"/>
        </w:rPr>
        <w:t xml:space="preserve">La carga de la refinería de Barrancabermeja se redujo de acuerdo con el comportamiento de la demanda de combustibles en el interior del país, pasando de cargas típicas de 220 </w:t>
      </w:r>
      <w:proofErr w:type="spellStart"/>
      <w:r w:rsidRPr="00CD4AD9">
        <w:rPr>
          <w:rFonts w:ascii="Bookman Old Style" w:hAnsi="Bookman Old Style"/>
          <w:i/>
          <w:iCs/>
          <w:sz w:val="22"/>
          <w:szCs w:val="22"/>
          <w:lang w:val="es-CO"/>
        </w:rPr>
        <w:t>kbd</w:t>
      </w:r>
      <w:proofErr w:type="spellEnd"/>
      <w:r w:rsidRPr="00CD4AD9">
        <w:rPr>
          <w:rFonts w:ascii="Bookman Old Style" w:hAnsi="Bookman Old Style"/>
          <w:i/>
          <w:iCs/>
          <w:sz w:val="22"/>
          <w:szCs w:val="22"/>
          <w:lang w:val="es-CO"/>
        </w:rPr>
        <w:t xml:space="preserve"> a 120 </w:t>
      </w:r>
      <w:proofErr w:type="spellStart"/>
      <w:r w:rsidRPr="00CD4AD9">
        <w:rPr>
          <w:rFonts w:ascii="Bookman Old Style" w:hAnsi="Bookman Old Style"/>
          <w:i/>
          <w:iCs/>
          <w:sz w:val="22"/>
          <w:szCs w:val="22"/>
          <w:lang w:val="es-CO"/>
        </w:rPr>
        <w:t>kbd</w:t>
      </w:r>
      <w:proofErr w:type="spellEnd"/>
      <w:r w:rsidRPr="00CD4AD9">
        <w:rPr>
          <w:rFonts w:ascii="Bookman Old Style" w:hAnsi="Bookman Old Style"/>
          <w:i/>
          <w:iCs/>
          <w:sz w:val="22"/>
          <w:szCs w:val="22"/>
          <w:lang w:val="es-CO"/>
        </w:rPr>
        <w:t xml:space="preserve">. Esto es, 55% de utilización de su capacidad. Adicionalmente, por la seguridad de la operación y de los funcionarios se realizó la suspensión de las siguientes unidades de proceso desde finales de marzo: i) Crudos U-200; </w:t>
      </w:r>
      <w:proofErr w:type="spellStart"/>
      <w:r w:rsidRPr="00CD4AD9">
        <w:rPr>
          <w:rFonts w:ascii="Bookman Old Style" w:hAnsi="Bookman Old Style"/>
          <w:i/>
          <w:iCs/>
          <w:sz w:val="22"/>
          <w:szCs w:val="22"/>
          <w:lang w:val="es-CO"/>
        </w:rPr>
        <w:t>ii</w:t>
      </w:r>
      <w:proofErr w:type="spellEnd"/>
      <w:r w:rsidRPr="00CD4AD9">
        <w:rPr>
          <w:rFonts w:ascii="Bookman Old Style" w:hAnsi="Bookman Old Style"/>
          <w:i/>
          <w:iCs/>
          <w:sz w:val="22"/>
          <w:szCs w:val="22"/>
          <w:lang w:val="es-CO"/>
        </w:rPr>
        <w:t xml:space="preserve">) Craqueo Catalítico UOP-2; </w:t>
      </w:r>
      <w:proofErr w:type="spellStart"/>
      <w:r w:rsidRPr="00CD4AD9">
        <w:rPr>
          <w:rFonts w:ascii="Bookman Old Style" w:hAnsi="Bookman Old Style"/>
          <w:i/>
          <w:iCs/>
          <w:sz w:val="22"/>
          <w:szCs w:val="22"/>
          <w:lang w:val="es-CO"/>
        </w:rPr>
        <w:t>iii</w:t>
      </w:r>
      <w:proofErr w:type="spellEnd"/>
      <w:r w:rsidRPr="00CD4AD9">
        <w:rPr>
          <w:rFonts w:ascii="Bookman Old Style" w:hAnsi="Bookman Old Style"/>
          <w:i/>
          <w:iCs/>
          <w:sz w:val="22"/>
          <w:szCs w:val="22"/>
          <w:lang w:val="es-CO"/>
        </w:rPr>
        <w:t xml:space="preserve">) Craqueo Catalítico </w:t>
      </w:r>
      <w:proofErr w:type="spellStart"/>
      <w:r w:rsidRPr="00CD4AD9">
        <w:rPr>
          <w:rFonts w:ascii="Bookman Old Style" w:hAnsi="Bookman Old Style"/>
          <w:i/>
          <w:iCs/>
          <w:sz w:val="22"/>
          <w:szCs w:val="22"/>
          <w:lang w:val="es-CO"/>
        </w:rPr>
        <w:t>Orthoflow</w:t>
      </w:r>
      <w:proofErr w:type="spellEnd"/>
      <w:r w:rsidRPr="00CD4AD9">
        <w:rPr>
          <w:rFonts w:ascii="Bookman Old Style" w:hAnsi="Bookman Old Style"/>
          <w:i/>
          <w:iCs/>
          <w:sz w:val="22"/>
          <w:szCs w:val="22"/>
          <w:lang w:val="es-CO"/>
        </w:rPr>
        <w:t xml:space="preserve">; </w:t>
      </w:r>
      <w:proofErr w:type="spellStart"/>
      <w:r w:rsidRPr="00CD4AD9">
        <w:rPr>
          <w:rFonts w:ascii="Bookman Old Style" w:hAnsi="Bookman Old Style"/>
          <w:i/>
          <w:iCs/>
          <w:sz w:val="22"/>
          <w:szCs w:val="22"/>
          <w:lang w:val="es-CO"/>
        </w:rPr>
        <w:t>iv</w:t>
      </w:r>
      <w:proofErr w:type="spellEnd"/>
      <w:r w:rsidRPr="00CD4AD9">
        <w:rPr>
          <w:rFonts w:ascii="Bookman Old Style" w:hAnsi="Bookman Old Style"/>
          <w:i/>
          <w:iCs/>
          <w:sz w:val="22"/>
          <w:szCs w:val="22"/>
          <w:lang w:val="es-CO"/>
        </w:rPr>
        <w:t xml:space="preserve">) Azufre III; v) Alquilación; vi) Etileno II y Polietileno II; y </w:t>
      </w:r>
      <w:proofErr w:type="spellStart"/>
      <w:r w:rsidRPr="00CD4AD9">
        <w:rPr>
          <w:rFonts w:ascii="Bookman Old Style" w:hAnsi="Bookman Old Style"/>
          <w:i/>
          <w:iCs/>
          <w:sz w:val="22"/>
          <w:szCs w:val="22"/>
          <w:lang w:val="es-CO"/>
        </w:rPr>
        <w:t>vii</w:t>
      </w:r>
      <w:proofErr w:type="spellEnd"/>
      <w:r w:rsidRPr="00CD4AD9">
        <w:rPr>
          <w:rFonts w:ascii="Bookman Old Style" w:hAnsi="Bookman Old Style"/>
          <w:i/>
          <w:iCs/>
          <w:sz w:val="22"/>
          <w:szCs w:val="22"/>
          <w:lang w:val="es-CO"/>
        </w:rPr>
        <w:t>) Aromáticos y Parafinas, entre otras.</w:t>
      </w:r>
    </w:p>
    <w:p w14:paraId="5410F57C" w14:textId="77777777" w:rsidR="00CD4AD9" w:rsidRDefault="00CD4AD9" w:rsidP="002A78CA">
      <w:pPr>
        <w:contextualSpacing/>
        <w:jc w:val="center"/>
        <w:rPr>
          <w:rFonts w:ascii="Bookman Old Style" w:hAnsi="Bookman Old Style"/>
          <w:i/>
          <w:iCs/>
          <w:sz w:val="22"/>
          <w:szCs w:val="22"/>
          <w:lang w:val="es-CO"/>
        </w:rPr>
      </w:pPr>
    </w:p>
    <w:p w14:paraId="408D7374" w14:textId="17A4872C" w:rsidR="00CD4AD9" w:rsidRPr="0079666F" w:rsidRDefault="00CD4AD9" w:rsidP="002A78CA">
      <w:pPr>
        <w:spacing w:after="240"/>
        <w:contextualSpacing/>
        <w:jc w:val="center"/>
        <w:rPr>
          <w:rFonts w:ascii="Bookman Old Style" w:hAnsi="Bookman Old Style"/>
          <w:i/>
          <w:iCs/>
          <w:sz w:val="22"/>
          <w:szCs w:val="22"/>
          <w:lang w:val="es-CO"/>
        </w:rPr>
      </w:pPr>
      <w:r w:rsidRPr="00CD4AD9">
        <w:rPr>
          <w:rFonts w:ascii="Bookman Old Style" w:hAnsi="Bookman Old Style"/>
          <w:i/>
          <w:iCs/>
          <w:sz w:val="22"/>
          <w:szCs w:val="22"/>
          <w:lang w:val="es-CO"/>
        </w:rPr>
        <w:t>Tabla 2. Impactos en la producción de GLP en refinerías como resultado de la caída de demanda de combustibles</w:t>
      </w:r>
    </w:p>
    <w:tbl>
      <w:tblPr>
        <w:tblStyle w:val="TableGrid"/>
        <w:tblW w:w="7629" w:type="dxa"/>
        <w:tblInd w:w="1008" w:type="dxa"/>
        <w:tblCellMar>
          <w:top w:w="42" w:type="dxa"/>
          <w:right w:w="25" w:type="dxa"/>
        </w:tblCellMar>
        <w:tblLook w:val="04A0" w:firstRow="1" w:lastRow="0" w:firstColumn="1" w:lastColumn="0" w:noHBand="0" w:noVBand="1"/>
      </w:tblPr>
      <w:tblGrid>
        <w:gridCol w:w="2552"/>
        <w:gridCol w:w="3120"/>
        <w:gridCol w:w="1957"/>
      </w:tblGrid>
      <w:tr w:rsidR="0014591C" w:rsidRPr="00CD4AD9" w14:paraId="6B81E69C" w14:textId="77777777" w:rsidTr="008831F3">
        <w:trPr>
          <w:trHeight w:val="391"/>
        </w:trPr>
        <w:tc>
          <w:tcPr>
            <w:tcW w:w="2552" w:type="dxa"/>
            <w:tcBorders>
              <w:top w:val="single" w:sz="8" w:space="0" w:color="000000"/>
              <w:left w:val="single" w:sz="8" w:space="0" w:color="000000"/>
              <w:bottom w:val="nil"/>
              <w:right w:val="single" w:sz="4" w:space="0" w:color="auto"/>
            </w:tcBorders>
            <w:shd w:val="clear" w:color="auto" w:fill="A6A6A6" w:themeFill="background1" w:themeFillShade="A6"/>
          </w:tcPr>
          <w:p w14:paraId="1E9F0B16" w14:textId="77777777" w:rsidR="0014591C" w:rsidRPr="0014591C" w:rsidRDefault="0014591C" w:rsidP="002A78CA">
            <w:pPr>
              <w:spacing w:line="259" w:lineRule="auto"/>
              <w:ind w:left="68"/>
              <w:rPr>
                <w:rFonts w:ascii="Bookman Old Style" w:hAnsi="Bookman Old Style"/>
                <w:b/>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23EDF3" w14:textId="77777777" w:rsidR="0014591C" w:rsidRDefault="0014591C" w:rsidP="002A78CA">
            <w:pPr>
              <w:spacing w:line="259" w:lineRule="auto"/>
              <w:ind w:left="-25"/>
              <w:jc w:val="center"/>
              <w:rPr>
                <w:rFonts w:ascii="Bookman Old Style" w:hAnsi="Bookman Old Style"/>
                <w:b/>
                <w:sz w:val="20"/>
                <w:szCs w:val="20"/>
              </w:rPr>
            </w:pPr>
            <w:r w:rsidRPr="0014591C">
              <w:rPr>
                <w:rFonts w:ascii="Bookman Old Style" w:hAnsi="Bookman Old Style"/>
                <w:b/>
                <w:sz w:val="20"/>
                <w:szCs w:val="20"/>
              </w:rPr>
              <w:t xml:space="preserve">Comportamiento </w:t>
            </w:r>
          </w:p>
          <w:p w14:paraId="5679018A" w14:textId="38360328" w:rsidR="0014591C" w:rsidRPr="0014591C" w:rsidRDefault="0014591C" w:rsidP="002A78CA">
            <w:pPr>
              <w:spacing w:line="259" w:lineRule="auto"/>
              <w:ind w:left="-25"/>
              <w:jc w:val="center"/>
              <w:rPr>
                <w:rFonts w:ascii="Bookman Old Style" w:hAnsi="Bookman Old Style"/>
                <w:b/>
                <w:sz w:val="20"/>
                <w:szCs w:val="20"/>
              </w:rPr>
            </w:pPr>
            <w:r w:rsidRPr="0014591C">
              <w:rPr>
                <w:rFonts w:ascii="Bookman Old Style" w:hAnsi="Bookman Old Style"/>
                <w:b/>
                <w:sz w:val="20"/>
                <w:szCs w:val="20"/>
              </w:rPr>
              <w:t>típico</w:t>
            </w:r>
          </w:p>
        </w:tc>
        <w:tc>
          <w:tcPr>
            <w:tcW w:w="195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3CEDF6" w14:textId="6DE26AC0" w:rsidR="0014591C" w:rsidRPr="0014591C" w:rsidRDefault="0014591C" w:rsidP="002A78CA">
            <w:pPr>
              <w:spacing w:line="259" w:lineRule="auto"/>
              <w:ind w:left="40"/>
              <w:jc w:val="center"/>
              <w:rPr>
                <w:rFonts w:ascii="Bookman Old Style" w:hAnsi="Bookman Old Style"/>
                <w:b/>
                <w:sz w:val="20"/>
                <w:szCs w:val="20"/>
              </w:rPr>
            </w:pPr>
            <w:r w:rsidRPr="0014591C">
              <w:rPr>
                <w:rFonts w:ascii="Bookman Old Style" w:hAnsi="Bookman Old Style"/>
                <w:b/>
                <w:sz w:val="20"/>
                <w:szCs w:val="20"/>
              </w:rPr>
              <w:t>Plan de suministro junio</w:t>
            </w:r>
          </w:p>
        </w:tc>
      </w:tr>
      <w:tr w:rsidR="0014591C" w:rsidRPr="00CD4AD9" w14:paraId="36488B7C" w14:textId="77777777" w:rsidTr="008831F3">
        <w:trPr>
          <w:trHeight w:val="391"/>
        </w:trPr>
        <w:tc>
          <w:tcPr>
            <w:tcW w:w="7629" w:type="dxa"/>
            <w:gridSpan w:val="3"/>
            <w:tcBorders>
              <w:top w:val="single" w:sz="8" w:space="0" w:color="000000"/>
              <w:left w:val="single" w:sz="8" w:space="0" w:color="000000"/>
              <w:bottom w:val="nil"/>
              <w:right w:val="single" w:sz="8" w:space="0" w:color="000000"/>
            </w:tcBorders>
          </w:tcPr>
          <w:p w14:paraId="17C9DDA4" w14:textId="25144B5E" w:rsidR="0014591C" w:rsidRPr="00CD4AD9" w:rsidRDefault="0014591C" w:rsidP="002A78CA">
            <w:pPr>
              <w:spacing w:line="259" w:lineRule="auto"/>
              <w:ind w:left="540"/>
              <w:jc w:val="center"/>
              <w:rPr>
                <w:rFonts w:ascii="Bookman Old Style" w:hAnsi="Bookman Old Style"/>
                <w:sz w:val="20"/>
                <w:szCs w:val="20"/>
              </w:rPr>
            </w:pPr>
            <w:r w:rsidRPr="00CD4AD9">
              <w:rPr>
                <w:rFonts w:ascii="Bookman Old Style" w:eastAsia="Verdana" w:hAnsi="Bookman Old Style" w:cs="Verdana"/>
                <w:b/>
                <w:sz w:val="20"/>
                <w:szCs w:val="20"/>
              </w:rPr>
              <w:t>Refinería de Barrancabermeja</w:t>
            </w:r>
          </w:p>
        </w:tc>
      </w:tr>
      <w:tr w:rsidR="00CD4AD9" w:rsidRPr="00CD4AD9" w14:paraId="29E7415D" w14:textId="77777777" w:rsidTr="008831F3">
        <w:trPr>
          <w:trHeight w:val="391"/>
        </w:trPr>
        <w:tc>
          <w:tcPr>
            <w:tcW w:w="2552" w:type="dxa"/>
            <w:tcBorders>
              <w:top w:val="single" w:sz="8" w:space="0" w:color="000000"/>
              <w:left w:val="single" w:sz="8" w:space="0" w:color="000000"/>
              <w:bottom w:val="nil"/>
              <w:right w:val="single" w:sz="8" w:space="0" w:color="000000"/>
            </w:tcBorders>
          </w:tcPr>
          <w:p w14:paraId="7677AE74" w14:textId="77777777" w:rsidR="00CD4AD9" w:rsidRPr="00CD4AD9" w:rsidRDefault="00CD4AD9" w:rsidP="002A78CA">
            <w:pPr>
              <w:spacing w:line="259" w:lineRule="auto"/>
              <w:ind w:left="68"/>
              <w:rPr>
                <w:rFonts w:ascii="Bookman Old Style" w:hAnsi="Bookman Old Style"/>
                <w:sz w:val="20"/>
                <w:szCs w:val="20"/>
              </w:rPr>
            </w:pPr>
            <w:proofErr w:type="gramStart"/>
            <w:r w:rsidRPr="00CD4AD9">
              <w:rPr>
                <w:rFonts w:ascii="Bookman Old Style" w:hAnsi="Bookman Old Style"/>
                <w:sz w:val="20"/>
                <w:szCs w:val="20"/>
              </w:rPr>
              <w:t>Carga crudo</w:t>
            </w:r>
            <w:proofErr w:type="gramEnd"/>
            <w:r w:rsidRPr="00CD4AD9">
              <w:rPr>
                <w:rFonts w:ascii="Bookman Old Style" w:hAnsi="Bookman Old Style"/>
                <w:sz w:val="20"/>
                <w:szCs w:val="20"/>
              </w:rPr>
              <w:t xml:space="preserve"> (</w:t>
            </w:r>
            <w:proofErr w:type="spellStart"/>
            <w:r w:rsidRPr="00CD4AD9">
              <w:rPr>
                <w:rFonts w:ascii="Bookman Old Style" w:hAnsi="Bookman Old Style"/>
                <w:sz w:val="20"/>
                <w:szCs w:val="20"/>
              </w:rPr>
              <w:t>kbd</w:t>
            </w:r>
            <w:proofErr w:type="spellEnd"/>
            <w:r w:rsidRPr="00CD4AD9">
              <w:rPr>
                <w:rFonts w:ascii="Bookman Old Style" w:hAnsi="Bookman Old Style"/>
                <w:sz w:val="20"/>
                <w:szCs w:val="20"/>
              </w:rPr>
              <w:t xml:space="preserve">) </w:t>
            </w:r>
          </w:p>
        </w:tc>
        <w:tc>
          <w:tcPr>
            <w:tcW w:w="3120" w:type="dxa"/>
            <w:tcBorders>
              <w:top w:val="single" w:sz="8" w:space="0" w:color="000000"/>
              <w:left w:val="single" w:sz="8" w:space="0" w:color="000000"/>
              <w:bottom w:val="nil"/>
              <w:right w:val="nil"/>
            </w:tcBorders>
          </w:tcPr>
          <w:p w14:paraId="686C9F9C" w14:textId="5681B577"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220</w:t>
            </w:r>
          </w:p>
        </w:tc>
        <w:tc>
          <w:tcPr>
            <w:tcW w:w="1957" w:type="dxa"/>
            <w:tcBorders>
              <w:top w:val="single" w:sz="8" w:space="0" w:color="000000"/>
              <w:left w:val="nil"/>
              <w:bottom w:val="nil"/>
              <w:right w:val="single" w:sz="8" w:space="0" w:color="000000"/>
            </w:tcBorders>
          </w:tcPr>
          <w:p w14:paraId="2A340D19" w14:textId="32986756" w:rsidR="00CD4AD9" w:rsidRPr="00CD4AD9" w:rsidRDefault="00CD4AD9" w:rsidP="002A78CA">
            <w:pPr>
              <w:spacing w:line="259" w:lineRule="auto"/>
              <w:ind w:left="40"/>
              <w:jc w:val="center"/>
              <w:rPr>
                <w:rFonts w:ascii="Bookman Old Style" w:hAnsi="Bookman Old Style"/>
                <w:sz w:val="20"/>
                <w:szCs w:val="20"/>
              </w:rPr>
            </w:pPr>
            <w:r w:rsidRPr="00CD4AD9">
              <w:rPr>
                <w:rFonts w:ascii="Bookman Old Style" w:hAnsi="Bookman Old Style"/>
                <w:sz w:val="20"/>
                <w:szCs w:val="20"/>
              </w:rPr>
              <w:t>120</w:t>
            </w:r>
          </w:p>
        </w:tc>
      </w:tr>
      <w:tr w:rsidR="00CD4AD9" w:rsidRPr="00CD4AD9" w14:paraId="02CA37D3" w14:textId="77777777" w:rsidTr="008831F3">
        <w:trPr>
          <w:trHeight w:val="378"/>
        </w:trPr>
        <w:tc>
          <w:tcPr>
            <w:tcW w:w="2552" w:type="dxa"/>
            <w:tcBorders>
              <w:top w:val="nil"/>
              <w:left w:val="single" w:sz="8" w:space="0" w:color="000000"/>
              <w:bottom w:val="single" w:sz="8" w:space="0" w:color="000000"/>
              <w:right w:val="single" w:sz="8" w:space="0" w:color="000000"/>
            </w:tcBorders>
            <w:shd w:val="clear" w:color="auto" w:fill="FFFFFF"/>
          </w:tcPr>
          <w:p w14:paraId="27C358FD" w14:textId="77777777" w:rsidR="00CD4AD9" w:rsidRPr="00CD4AD9" w:rsidRDefault="00CD4AD9" w:rsidP="002A78CA">
            <w:pPr>
              <w:spacing w:line="259" w:lineRule="auto"/>
              <w:ind w:left="68"/>
              <w:rPr>
                <w:rFonts w:ascii="Bookman Old Style" w:hAnsi="Bookman Old Style"/>
                <w:sz w:val="20"/>
                <w:szCs w:val="20"/>
              </w:rPr>
            </w:pPr>
            <w:r w:rsidRPr="00CD4AD9">
              <w:rPr>
                <w:rFonts w:ascii="Bookman Old Style" w:hAnsi="Bookman Old Style"/>
                <w:sz w:val="20"/>
                <w:szCs w:val="20"/>
              </w:rPr>
              <w:t>Producción GLP (</w:t>
            </w:r>
            <w:proofErr w:type="spellStart"/>
            <w:r w:rsidRPr="00CD4AD9">
              <w:rPr>
                <w:rFonts w:ascii="Bookman Old Style" w:hAnsi="Bookman Old Style"/>
                <w:sz w:val="20"/>
                <w:szCs w:val="20"/>
              </w:rPr>
              <w:t>kbd</w:t>
            </w:r>
            <w:proofErr w:type="spellEnd"/>
            <w:r w:rsidRPr="00CD4AD9">
              <w:rPr>
                <w:rFonts w:ascii="Bookman Old Style" w:hAnsi="Bookman Old Style"/>
                <w:sz w:val="20"/>
                <w:szCs w:val="20"/>
              </w:rPr>
              <w:t xml:space="preserve">) </w:t>
            </w:r>
          </w:p>
        </w:tc>
        <w:tc>
          <w:tcPr>
            <w:tcW w:w="3120" w:type="dxa"/>
            <w:tcBorders>
              <w:top w:val="nil"/>
              <w:left w:val="single" w:sz="8" w:space="0" w:color="000000"/>
              <w:bottom w:val="single" w:sz="8" w:space="0" w:color="000000"/>
              <w:right w:val="nil"/>
            </w:tcBorders>
            <w:shd w:val="clear" w:color="auto" w:fill="FFFFFF"/>
          </w:tcPr>
          <w:p w14:paraId="0C39B156" w14:textId="491B89EB"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3,9</w:t>
            </w:r>
          </w:p>
        </w:tc>
        <w:tc>
          <w:tcPr>
            <w:tcW w:w="1957" w:type="dxa"/>
            <w:tcBorders>
              <w:top w:val="nil"/>
              <w:left w:val="nil"/>
              <w:bottom w:val="single" w:sz="8" w:space="0" w:color="000000"/>
              <w:right w:val="single" w:sz="8" w:space="0" w:color="000000"/>
            </w:tcBorders>
            <w:shd w:val="clear" w:color="auto" w:fill="FFFFFF"/>
          </w:tcPr>
          <w:p w14:paraId="1C54F867" w14:textId="1BC11234" w:rsidR="00CD4AD9" w:rsidRPr="00CD4AD9" w:rsidRDefault="00CD4AD9" w:rsidP="002A78CA">
            <w:pPr>
              <w:spacing w:line="259" w:lineRule="auto"/>
              <w:ind w:left="70"/>
              <w:jc w:val="center"/>
              <w:rPr>
                <w:rFonts w:ascii="Bookman Old Style" w:hAnsi="Bookman Old Style"/>
                <w:sz w:val="20"/>
                <w:szCs w:val="20"/>
              </w:rPr>
            </w:pPr>
            <w:r w:rsidRPr="00CD4AD9">
              <w:rPr>
                <w:rFonts w:ascii="Bookman Old Style" w:hAnsi="Bookman Old Style"/>
                <w:sz w:val="20"/>
                <w:szCs w:val="20"/>
              </w:rPr>
              <w:t>2,9</w:t>
            </w:r>
          </w:p>
        </w:tc>
      </w:tr>
      <w:tr w:rsidR="0014591C" w:rsidRPr="00CD4AD9" w14:paraId="7FF080D2" w14:textId="77777777" w:rsidTr="008831F3">
        <w:trPr>
          <w:trHeight w:val="403"/>
        </w:trPr>
        <w:tc>
          <w:tcPr>
            <w:tcW w:w="7629" w:type="dxa"/>
            <w:gridSpan w:val="3"/>
            <w:tcBorders>
              <w:top w:val="single" w:sz="8" w:space="0" w:color="000000"/>
              <w:left w:val="single" w:sz="8" w:space="0" w:color="000000"/>
              <w:bottom w:val="single" w:sz="8" w:space="0" w:color="000000"/>
              <w:right w:val="single" w:sz="8" w:space="0" w:color="000000"/>
            </w:tcBorders>
          </w:tcPr>
          <w:p w14:paraId="21A988C4" w14:textId="6D8E184A" w:rsidR="0014591C" w:rsidRPr="00CD4AD9" w:rsidRDefault="0014591C" w:rsidP="002A78CA">
            <w:pPr>
              <w:spacing w:line="259" w:lineRule="auto"/>
              <w:ind w:left="398"/>
              <w:jc w:val="center"/>
              <w:rPr>
                <w:rFonts w:ascii="Bookman Old Style" w:hAnsi="Bookman Old Style"/>
                <w:sz w:val="20"/>
                <w:szCs w:val="20"/>
              </w:rPr>
            </w:pPr>
            <w:r w:rsidRPr="00CD4AD9">
              <w:rPr>
                <w:rFonts w:ascii="Bookman Old Style" w:eastAsia="Verdana" w:hAnsi="Bookman Old Style" w:cs="Verdana"/>
                <w:b/>
                <w:sz w:val="20"/>
                <w:szCs w:val="20"/>
              </w:rPr>
              <w:t>Refinería Cartagena</w:t>
            </w:r>
          </w:p>
        </w:tc>
      </w:tr>
      <w:tr w:rsidR="00CD4AD9" w:rsidRPr="00CD4AD9" w14:paraId="71497502" w14:textId="77777777" w:rsidTr="008831F3">
        <w:trPr>
          <w:trHeight w:val="310"/>
        </w:trPr>
        <w:tc>
          <w:tcPr>
            <w:tcW w:w="2552" w:type="dxa"/>
            <w:tcBorders>
              <w:top w:val="single" w:sz="8" w:space="0" w:color="000000"/>
              <w:left w:val="single" w:sz="8" w:space="0" w:color="000000"/>
              <w:bottom w:val="nil"/>
              <w:right w:val="single" w:sz="8" w:space="0" w:color="000000"/>
            </w:tcBorders>
          </w:tcPr>
          <w:p w14:paraId="488AEC47" w14:textId="77777777" w:rsidR="00CD4AD9" w:rsidRPr="00CD4AD9" w:rsidRDefault="00CD4AD9" w:rsidP="002A78CA">
            <w:pPr>
              <w:spacing w:line="259" w:lineRule="auto"/>
              <w:ind w:left="68"/>
              <w:rPr>
                <w:rFonts w:ascii="Bookman Old Style" w:hAnsi="Bookman Old Style"/>
                <w:sz w:val="20"/>
                <w:szCs w:val="20"/>
              </w:rPr>
            </w:pPr>
            <w:proofErr w:type="gramStart"/>
            <w:r w:rsidRPr="00CD4AD9">
              <w:rPr>
                <w:rFonts w:ascii="Bookman Old Style" w:hAnsi="Bookman Old Style"/>
                <w:sz w:val="20"/>
                <w:szCs w:val="20"/>
              </w:rPr>
              <w:t>Carga crudo</w:t>
            </w:r>
            <w:proofErr w:type="gramEnd"/>
            <w:r w:rsidRPr="00CD4AD9">
              <w:rPr>
                <w:rFonts w:ascii="Bookman Old Style" w:hAnsi="Bookman Old Style"/>
                <w:sz w:val="20"/>
                <w:szCs w:val="20"/>
              </w:rPr>
              <w:t xml:space="preserve"> (</w:t>
            </w:r>
            <w:proofErr w:type="spellStart"/>
            <w:r w:rsidRPr="00CD4AD9">
              <w:rPr>
                <w:rFonts w:ascii="Bookman Old Style" w:hAnsi="Bookman Old Style"/>
                <w:sz w:val="20"/>
                <w:szCs w:val="20"/>
              </w:rPr>
              <w:t>kbd</w:t>
            </w:r>
            <w:proofErr w:type="spellEnd"/>
            <w:r w:rsidRPr="00CD4AD9">
              <w:rPr>
                <w:rFonts w:ascii="Bookman Old Style" w:hAnsi="Bookman Old Style"/>
                <w:sz w:val="20"/>
                <w:szCs w:val="20"/>
              </w:rPr>
              <w:t xml:space="preserve">) </w:t>
            </w:r>
          </w:p>
        </w:tc>
        <w:tc>
          <w:tcPr>
            <w:tcW w:w="3120" w:type="dxa"/>
            <w:tcBorders>
              <w:top w:val="single" w:sz="8" w:space="0" w:color="000000"/>
              <w:left w:val="single" w:sz="8" w:space="0" w:color="000000"/>
              <w:bottom w:val="nil"/>
              <w:right w:val="nil"/>
            </w:tcBorders>
          </w:tcPr>
          <w:p w14:paraId="14974087" w14:textId="4086E798"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160</w:t>
            </w:r>
          </w:p>
        </w:tc>
        <w:tc>
          <w:tcPr>
            <w:tcW w:w="1957" w:type="dxa"/>
            <w:tcBorders>
              <w:top w:val="single" w:sz="8" w:space="0" w:color="000000"/>
              <w:left w:val="nil"/>
              <w:bottom w:val="nil"/>
              <w:right w:val="single" w:sz="8" w:space="0" w:color="000000"/>
            </w:tcBorders>
          </w:tcPr>
          <w:p w14:paraId="099341A1" w14:textId="58E42510" w:rsidR="00CD4AD9" w:rsidRPr="00CD4AD9" w:rsidRDefault="00CD4AD9" w:rsidP="002A78CA">
            <w:pPr>
              <w:spacing w:line="259" w:lineRule="auto"/>
              <w:ind w:left="40"/>
              <w:jc w:val="center"/>
              <w:rPr>
                <w:rFonts w:ascii="Bookman Old Style" w:hAnsi="Bookman Old Style"/>
                <w:sz w:val="20"/>
                <w:szCs w:val="20"/>
              </w:rPr>
            </w:pPr>
            <w:r w:rsidRPr="00CD4AD9">
              <w:rPr>
                <w:rFonts w:ascii="Bookman Old Style" w:hAnsi="Bookman Old Style"/>
                <w:sz w:val="20"/>
                <w:szCs w:val="20"/>
              </w:rPr>
              <w:t>110</w:t>
            </w:r>
          </w:p>
        </w:tc>
      </w:tr>
      <w:tr w:rsidR="00CD4AD9" w:rsidRPr="00CD4AD9" w14:paraId="520A5746" w14:textId="77777777" w:rsidTr="008831F3">
        <w:trPr>
          <w:trHeight w:val="318"/>
        </w:trPr>
        <w:tc>
          <w:tcPr>
            <w:tcW w:w="2552" w:type="dxa"/>
            <w:tcBorders>
              <w:top w:val="nil"/>
              <w:left w:val="single" w:sz="8" w:space="0" w:color="000000"/>
              <w:bottom w:val="single" w:sz="8" w:space="0" w:color="000000"/>
              <w:right w:val="single" w:sz="8" w:space="0" w:color="000000"/>
            </w:tcBorders>
            <w:shd w:val="clear" w:color="auto" w:fill="FFFFFF"/>
          </w:tcPr>
          <w:p w14:paraId="2A1ABE6C" w14:textId="77777777" w:rsidR="00CD4AD9" w:rsidRPr="00CD4AD9" w:rsidRDefault="00CD4AD9" w:rsidP="002A78CA">
            <w:pPr>
              <w:spacing w:line="259" w:lineRule="auto"/>
              <w:ind w:left="68"/>
              <w:rPr>
                <w:rFonts w:ascii="Bookman Old Style" w:hAnsi="Bookman Old Style"/>
                <w:sz w:val="20"/>
                <w:szCs w:val="20"/>
              </w:rPr>
            </w:pPr>
            <w:r w:rsidRPr="00CD4AD9">
              <w:rPr>
                <w:rFonts w:ascii="Bookman Old Style" w:hAnsi="Bookman Old Style"/>
                <w:sz w:val="20"/>
                <w:szCs w:val="20"/>
              </w:rPr>
              <w:t>Producción GLP (</w:t>
            </w:r>
            <w:proofErr w:type="spellStart"/>
            <w:r w:rsidRPr="00CD4AD9">
              <w:rPr>
                <w:rFonts w:ascii="Bookman Old Style" w:hAnsi="Bookman Old Style"/>
                <w:sz w:val="20"/>
                <w:szCs w:val="20"/>
              </w:rPr>
              <w:t>kbd</w:t>
            </w:r>
            <w:proofErr w:type="spellEnd"/>
            <w:r w:rsidRPr="00CD4AD9">
              <w:rPr>
                <w:rFonts w:ascii="Bookman Old Style" w:hAnsi="Bookman Old Style"/>
                <w:sz w:val="20"/>
                <w:szCs w:val="20"/>
              </w:rPr>
              <w:t xml:space="preserve">) </w:t>
            </w:r>
          </w:p>
        </w:tc>
        <w:tc>
          <w:tcPr>
            <w:tcW w:w="3120" w:type="dxa"/>
            <w:tcBorders>
              <w:top w:val="nil"/>
              <w:left w:val="single" w:sz="8" w:space="0" w:color="000000"/>
              <w:bottom w:val="single" w:sz="8" w:space="0" w:color="000000"/>
              <w:right w:val="nil"/>
            </w:tcBorders>
            <w:shd w:val="clear" w:color="auto" w:fill="FFFFFF"/>
          </w:tcPr>
          <w:p w14:paraId="5F07EFE7" w14:textId="126F894A" w:rsidR="00CD4AD9" w:rsidRPr="00CD4AD9" w:rsidRDefault="00CD4AD9" w:rsidP="002A78CA">
            <w:pPr>
              <w:spacing w:line="259" w:lineRule="auto"/>
              <w:ind w:left="-167"/>
              <w:jc w:val="center"/>
              <w:rPr>
                <w:rFonts w:ascii="Bookman Old Style" w:hAnsi="Bookman Old Style"/>
                <w:sz w:val="20"/>
                <w:szCs w:val="20"/>
              </w:rPr>
            </w:pPr>
            <w:r w:rsidRPr="00CD4AD9">
              <w:rPr>
                <w:rFonts w:ascii="Bookman Old Style" w:hAnsi="Bookman Old Style"/>
                <w:sz w:val="20"/>
                <w:szCs w:val="20"/>
              </w:rPr>
              <w:t>2,</w:t>
            </w:r>
            <w:r w:rsidRPr="00CD4AD9">
              <w:rPr>
                <w:rFonts w:ascii="Bookman Old Style" w:hAnsi="Bookman Old Style"/>
                <w:sz w:val="20"/>
                <w:szCs w:val="20"/>
                <w:vertAlign w:val="superscript"/>
              </w:rPr>
              <w:footnoteReference w:id="5"/>
            </w:r>
          </w:p>
        </w:tc>
        <w:tc>
          <w:tcPr>
            <w:tcW w:w="1957" w:type="dxa"/>
            <w:tcBorders>
              <w:top w:val="nil"/>
              <w:left w:val="nil"/>
              <w:bottom w:val="single" w:sz="8" w:space="0" w:color="000000"/>
              <w:right w:val="single" w:sz="8" w:space="0" w:color="000000"/>
            </w:tcBorders>
            <w:shd w:val="clear" w:color="auto" w:fill="FFFFFF"/>
          </w:tcPr>
          <w:p w14:paraId="4E8B5360" w14:textId="436EBE4A" w:rsidR="00CD4AD9" w:rsidRPr="00CD4AD9" w:rsidRDefault="00CD4AD9" w:rsidP="002A78CA">
            <w:pPr>
              <w:spacing w:line="259" w:lineRule="auto"/>
              <w:ind w:left="0"/>
              <w:jc w:val="center"/>
              <w:rPr>
                <w:rFonts w:ascii="Bookman Old Style" w:hAnsi="Bookman Old Style"/>
                <w:sz w:val="20"/>
                <w:szCs w:val="20"/>
              </w:rPr>
            </w:pPr>
            <w:r w:rsidRPr="00CD4AD9">
              <w:rPr>
                <w:rFonts w:ascii="Bookman Old Style" w:hAnsi="Bookman Old Style"/>
                <w:sz w:val="20"/>
                <w:szCs w:val="20"/>
              </w:rPr>
              <w:t>1,75</w:t>
            </w:r>
          </w:p>
        </w:tc>
      </w:tr>
    </w:tbl>
    <w:p w14:paraId="11FEED72" w14:textId="68269C64" w:rsidR="00CD4AD9" w:rsidRPr="0079666F" w:rsidRDefault="0014591C" w:rsidP="002A78CA">
      <w:pPr>
        <w:contextualSpacing/>
        <w:jc w:val="center"/>
        <w:rPr>
          <w:rFonts w:ascii="Bookman Old Style" w:hAnsi="Bookman Old Style"/>
          <w:i/>
          <w:iCs/>
          <w:sz w:val="18"/>
          <w:szCs w:val="18"/>
          <w:lang w:val="es-CO"/>
        </w:rPr>
      </w:pPr>
      <w:r w:rsidRPr="0079666F">
        <w:rPr>
          <w:rFonts w:ascii="Bookman Old Style" w:hAnsi="Bookman Old Style"/>
          <w:i/>
          <w:iCs/>
          <w:sz w:val="18"/>
          <w:szCs w:val="18"/>
          <w:lang w:val="es-CO"/>
        </w:rPr>
        <w:t>Fuente: Ecopetrol.</w:t>
      </w:r>
    </w:p>
    <w:p w14:paraId="06465400" w14:textId="77777777" w:rsidR="0014591C" w:rsidRDefault="0014591C" w:rsidP="002A78CA">
      <w:pPr>
        <w:contextualSpacing/>
        <w:jc w:val="both"/>
        <w:rPr>
          <w:rFonts w:ascii="Bookman Old Style" w:hAnsi="Bookman Old Style"/>
          <w:i/>
          <w:iCs/>
          <w:sz w:val="22"/>
          <w:szCs w:val="22"/>
          <w:lang w:val="es-CO"/>
        </w:rPr>
      </w:pPr>
    </w:p>
    <w:p w14:paraId="658D3734" w14:textId="41878000"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Además, el programa de mantenimiento de la refinería de Barrancabermeja también está en revisión, pues adicional al ajuste presupuestal, debe revisarse la duración y fecha de ejecución de los mantenimientos, particularmente los de las unidades FCC </w:t>
      </w:r>
      <w:proofErr w:type="spellStart"/>
      <w:r w:rsidRPr="0014591C">
        <w:rPr>
          <w:rFonts w:ascii="Bookman Old Style" w:hAnsi="Bookman Old Style"/>
          <w:i/>
          <w:iCs/>
          <w:sz w:val="22"/>
          <w:szCs w:val="22"/>
          <w:lang w:val="es-CO"/>
        </w:rPr>
        <w:t>Orthoflow</w:t>
      </w:r>
      <w:proofErr w:type="spellEnd"/>
      <w:r w:rsidRPr="0014591C">
        <w:rPr>
          <w:rFonts w:ascii="Bookman Old Style" w:hAnsi="Bookman Old Style"/>
          <w:i/>
          <w:iCs/>
          <w:sz w:val="22"/>
          <w:szCs w:val="22"/>
          <w:lang w:val="es-CO"/>
        </w:rPr>
        <w:t xml:space="preserve">, Azufre IV y Alquilación, que están relacionadas directamente con la producción de GLP. </w:t>
      </w:r>
    </w:p>
    <w:p w14:paraId="758BB621" w14:textId="748663CD" w:rsidR="0014591C" w:rsidRPr="0014591C" w:rsidRDefault="0014591C" w:rsidP="002A78CA">
      <w:pPr>
        <w:contextualSpacing/>
        <w:jc w:val="both"/>
        <w:rPr>
          <w:rFonts w:ascii="Bookman Old Style" w:hAnsi="Bookman Old Style"/>
          <w:i/>
          <w:iCs/>
          <w:sz w:val="22"/>
          <w:szCs w:val="22"/>
          <w:lang w:val="es-CO"/>
        </w:rPr>
      </w:pPr>
    </w:p>
    <w:p w14:paraId="0BD713F1"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Por su parte, en la Refinería de Cartagena también se ajustó la carga de crudo desde 160 </w:t>
      </w:r>
      <w:proofErr w:type="spellStart"/>
      <w:r w:rsidRPr="0014591C">
        <w:rPr>
          <w:rFonts w:ascii="Bookman Old Style" w:hAnsi="Bookman Old Style"/>
          <w:i/>
          <w:iCs/>
          <w:sz w:val="22"/>
          <w:szCs w:val="22"/>
          <w:lang w:val="es-CO"/>
        </w:rPr>
        <w:t>kbd</w:t>
      </w:r>
      <w:proofErr w:type="spellEnd"/>
      <w:r w:rsidRPr="0014591C">
        <w:rPr>
          <w:rFonts w:ascii="Bookman Old Style" w:hAnsi="Bookman Old Style"/>
          <w:i/>
          <w:iCs/>
          <w:sz w:val="22"/>
          <w:szCs w:val="22"/>
          <w:lang w:val="es-CO"/>
        </w:rPr>
        <w:t xml:space="preserve"> hasta 110 </w:t>
      </w:r>
      <w:proofErr w:type="spellStart"/>
      <w:r w:rsidRPr="0014591C">
        <w:rPr>
          <w:rFonts w:ascii="Bookman Old Style" w:hAnsi="Bookman Old Style"/>
          <w:i/>
          <w:iCs/>
          <w:sz w:val="22"/>
          <w:szCs w:val="22"/>
          <w:lang w:val="es-CO"/>
        </w:rPr>
        <w:t>kbd</w:t>
      </w:r>
      <w:proofErr w:type="spellEnd"/>
      <w:r w:rsidRPr="0014591C">
        <w:rPr>
          <w:rFonts w:ascii="Bookman Old Style" w:hAnsi="Bookman Old Style"/>
          <w:i/>
          <w:iCs/>
          <w:sz w:val="22"/>
          <w:szCs w:val="22"/>
          <w:lang w:val="es-CO"/>
        </w:rPr>
        <w:t xml:space="preserve">, lo que implica que está operando al 69% de su capacidad, así como la carga de las distintas unidades de proceso por situaciones similares a las de Barrancabermeja. </w:t>
      </w:r>
    </w:p>
    <w:p w14:paraId="5524B315" w14:textId="23E7E2E7" w:rsidR="0014591C" w:rsidRPr="0014591C" w:rsidRDefault="0014591C" w:rsidP="002A78CA">
      <w:pPr>
        <w:contextualSpacing/>
        <w:jc w:val="both"/>
        <w:rPr>
          <w:rFonts w:ascii="Bookman Old Style" w:hAnsi="Bookman Old Style"/>
          <w:i/>
          <w:iCs/>
          <w:sz w:val="22"/>
          <w:szCs w:val="22"/>
          <w:lang w:val="es-CO"/>
        </w:rPr>
      </w:pPr>
    </w:p>
    <w:p w14:paraId="7BF6FEB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1.3.</w:t>
      </w:r>
      <w:r w:rsidRPr="0014591C">
        <w:rPr>
          <w:rFonts w:ascii="Bookman Old Style" w:hAnsi="Bookman Old Style"/>
          <w:i/>
          <w:iCs/>
          <w:sz w:val="22"/>
          <w:szCs w:val="22"/>
          <w:lang w:val="es-CO"/>
        </w:rPr>
        <w:tab/>
        <w:t xml:space="preserve">Oferta de GLP para el segundo semestre de 2020 </w:t>
      </w:r>
    </w:p>
    <w:p w14:paraId="4D97E896" w14:textId="277192E9" w:rsidR="0014591C" w:rsidRPr="0014591C" w:rsidRDefault="0014591C" w:rsidP="002A78CA">
      <w:pPr>
        <w:contextualSpacing/>
        <w:jc w:val="both"/>
        <w:rPr>
          <w:rFonts w:ascii="Bookman Old Style" w:hAnsi="Bookman Old Style"/>
          <w:i/>
          <w:iCs/>
          <w:sz w:val="22"/>
          <w:szCs w:val="22"/>
          <w:lang w:val="es-CO"/>
        </w:rPr>
      </w:pPr>
    </w:p>
    <w:p w14:paraId="57C29E6E"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los próximos meses se podrían tener impactos sobre la producción de GLP similares a los resumidos antes, dependiendo de la materialización de diferentes escenarios que afectan la demanda de hidrocarburos y la producción de Ecopetrol. Estos podrían ser, entre otros, los siguientes: </w:t>
      </w:r>
    </w:p>
    <w:p w14:paraId="6044B6EE" w14:textId="6A17A7AF" w:rsidR="0014591C" w:rsidRDefault="0014591C" w:rsidP="002A78CA">
      <w:pPr>
        <w:contextualSpacing/>
        <w:jc w:val="both"/>
        <w:rPr>
          <w:rFonts w:ascii="Bookman Old Style" w:hAnsi="Bookman Old Style"/>
          <w:i/>
          <w:iCs/>
          <w:sz w:val="22"/>
          <w:szCs w:val="22"/>
          <w:lang w:val="es-CO"/>
        </w:rPr>
      </w:pPr>
    </w:p>
    <w:p w14:paraId="2888CAC7" w14:textId="77777777" w:rsidR="00E50EC6" w:rsidRPr="0014591C" w:rsidRDefault="00E50EC6" w:rsidP="002A78CA">
      <w:pPr>
        <w:contextualSpacing/>
        <w:jc w:val="both"/>
        <w:rPr>
          <w:rFonts w:ascii="Bookman Old Style" w:hAnsi="Bookman Old Style"/>
          <w:i/>
          <w:iCs/>
          <w:sz w:val="22"/>
          <w:szCs w:val="22"/>
          <w:lang w:val="es-CO"/>
        </w:rPr>
      </w:pPr>
    </w:p>
    <w:p w14:paraId="472AA18D"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Mayor destrucción del mercado mundial de hidrocarburos que obligue a tomar acciones adicionales a las ya ejecutadas por el Grupo Ecopetrol. </w:t>
      </w:r>
    </w:p>
    <w:p w14:paraId="498476F0" w14:textId="46D975CC" w:rsidR="0014591C" w:rsidRPr="0014591C" w:rsidRDefault="0014591C" w:rsidP="002A78CA">
      <w:pPr>
        <w:contextualSpacing/>
        <w:jc w:val="both"/>
        <w:rPr>
          <w:rFonts w:ascii="Bookman Old Style" w:hAnsi="Bookman Old Style"/>
          <w:i/>
          <w:iCs/>
          <w:sz w:val="22"/>
          <w:szCs w:val="22"/>
          <w:lang w:val="es-CO"/>
        </w:rPr>
      </w:pPr>
    </w:p>
    <w:p w14:paraId="79D3B16C"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Cambios estructurales en la demanda de hidrocarburos que no puedan absorberse con las condiciones operacionales típicas de las refinerías y campos. </w:t>
      </w:r>
    </w:p>
    <w:p w14:paraId="494A6D13" w14:textId="70255BB3" w:rsidR="0014591C" w:rsidRPr="0014591C" w:rsidRDefault="0014591C" w:rsidP="002A78CA">
      <w:pPr>
        <w:contextualSpacing/>
        <w:jc w:val="both"/>
        <w:rPr>
          <w:rFonts w:ascii="Bookman Old Style" w:hAnsi="Bookman Old Style"/>
          <w:i/>
          <w:iCs/>
          <w:sz w:val="22"/>
          <w:szCs w:val="22"/>
          <w:lang w:val="es-CO"/>
        </w:rPr>
      </w:pPr>
    </w:p>
    <w:p w14:paraId="47476105"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Nuevas medidas que el Gobierno Nacional adopte ante un posible recrudecimiento de la pandemia del COVID 19 (olas posteriores). </w:t>
      </w:r>
    </w:p>
    <w:p w14:paraId="7E99C400" w14:textId="2585A164" w:rsidR="0014591C" w:rsidRPr="0014591C" w:rsidRDefault="0014591C" w:rsidP="002A78CA">
      <w:pPr>
        <w:contextualSpacing/>
        <w:jc w:val="both"/>
        <w:rPr>
          <w:rFonts w:ascii="Bookman Old Style" w:hAnsi="Bookman Old Style"/>
          <w:i/>
          <w:iCs/>
          <w:sz w:val="22"/>
          <w:szCs w:val="22"/>
          <w:lang w:val="es-CO"/>
        </w:rPr>
      </w:pPr>
    </w:p>
    <w:p w14:paraId="6C011FE5"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Evolución en las restricciones y condiciones a los vuelos internacionales que traen personal técnico para ejecución de los programas de mantenimiento. </w:t>
      </w:r>
    </w:p>
    <w:p w14:paraId="0231839D" w14:textId="114DA692" w:rsidR="0014591C" w:rsidRPr="0014591C" w:rsidRDefault="0014591C" w:rsidP="002A78CA">
      <w:pPr>
        <w:contextualSpacing/>
        <w:jc w:val="both"/>
        <w:rPr>
          <w:rFonts w:ascii="Bookman Old Style" w:hAnsi="Bookman Old Style"/>
          <w:i/>
          <w:iCs/>
          <w:sz w:val="22"/>
          <w:szCs w:val="22"/>
          <w:lang w:val="es-CO"/>
        </w:rPr>
      </w:pPr>
    </w:p>
    <w:p w14:paraId="4092D568"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este contexto, se tiene una alta incertidumbre para fijar la oferta de GLP para el segundo semestre de 2020. Valga señalar que a la fecha de envío de la presente comunicación aún no se tienen las proyecciones ajustadas de producción de crudo, gas combustible y blancos del periodo agosto a diciembre de 2020. Estas se encuentran en proceso de revisión a la luz de ajustes en los costos la operación y la demanda de hidrocarburos. De igual manera, también está en proceso de actualización el plan de paradas de planta, en refinerías y campos, teniendo en cuenta los lineamientos presupuestales y las nuevas condiciones para la realización de trabajos operativos, en el marco de las medidas de control de la pandemia del COVID 19. </w:t>
      </w:r>
    </w:p>
    <w:p w14:paraId="5C11D98A" w14:textId="71217F3F" w:rsidR="0014591C" w:rsidRPr="0014591C" w:rsidRDefault="0014591C" w:rsidP="002A78CA">
      <w:pPr>
        <w:contextualSpacing/>
        <w:jc w:val="both"/>
        <w:rPr>
          <w:rFonts w:ascii="Bookman Old Style" w:hAnsi="Bookman Old Style"/>
          <w:i/>
          <w:iCs/>
          <w:sz w:val="22"/>
          <w:szCs w:val="22"/>
          <w:lang w:val="es-CO"/>
        </w:rPr>
      </w:pPr>
    </w:p>
    <w:p w14:paraId="33D35D0C"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1.4.</w:t>
      </w:r>
      <w:r w:rsidRPr="0014591C">
        <w:rPr>
          <w:rFonts w:ascii="Bookman Old Style" w:hAnsi="Bookman Old Style"/>
          <w:i/>
          <w:iCs/>
          <w:sz w:val="22"/>
          <w:szCs w:val="22"/>
          <w:lang w:val="es-CO"/>
        </w:rPr>
        <w:tab/>
        <w:t xml:space="preserve">Implicaciones de la incertidumbre desde el punto de vista regulatorio </w:t>
      </w:r>
    </w:p>
    <w:p w14:paraId="4EA56E00" w14:textId="743D4F4E" w:rsidR="0014591C" w:rsidRPr="0014591C" w:rsidRDefault="0014591C" w:rsidP="002A78CA">
      <w:pPr>
        <w:contextualSpacing/>
        <w:jc w:val="both"/>
        <w:rPr>
          <w:rFonts w:ascii="Bookman Old Style" w:hAnsi="Bookman Old Style"/>
          <w:i/>
          <w:iCs/>
          <w:sz w:val="22"/>
          <w:szCs w:val="22"/>
          <w:lang w:val="es-CO"/>
        </w:rPr>
      </w:pPr>
    </w:p>
    <w:p w14:paraId="3B79CB45"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De lo anterior se desprende que Ecopetrol se enfrenta a una disyuntiva en relación con la fijación de su oferta de GLP para el segundo semestre. Por un lado, si fija su oferta con un criterio conservador, y la demanda de hidrocarburos se reactiva a un ritmo más alto del esperado, Ecopetrol tendría que comercializar la producción adicional de GLP mediante OPC adicionales. Esto implicaría un riesgo económico por la obligación de vender la oferta adicional con un descuento de más del 50% en el precio regulado. Adicionalmente, el desarrollo de las OPC adicionales supondría un esfuerzo administrativo adicional para los compradores, la CREG y Ecopetrol, con el agravante de que el cierre de las ventas no necesariamente estaría acompasado con el mayor ritmo de consumo. </w:t>
      </w:r>
    </w:p>
    <w:p w14:paraId="4A77E4AA" w14:textId="22297E41" w:rsidR="0014591C" w:rsidRPr="0014591C" w:rsidRDefault="0014591C" w:rsidP="002A78CA">
      <w:pPr>
        <w:contextualSpacing/>
        <w:jc w:val="both"/>
        <w:rPr>
          <w:rFonts w:ascii="Bookman Old Style" w:hAnsi="Bookman Old Style"/>
          <w:i/>
          <w:iCs/>
          <w:sz w:val="22"/>
          <w:szCs w:val="22"/>
          <w:lang w:val="es-CO"/>
        </w:rPr>
      </w:pPr>
    </w:p>
    <w:p w14:paraId="748C3C59"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Por otro lado, si Ecopetrol fija su oferta con un criterio menos conservador y la reactivación de la demanda de hidrocarburos es menor a la esperada, podría exacerbarse el riesgo de incumplimiento de los contratos del lado de los compradores, e incluso de Ecopetrol. Lo anterior teniendo en cuenta que los compradores podrían no disponer de infraestructura suficiente para retirar y almacenar el producto contratado. Además, como es de conocimiento de la CREG, las decisiones de producción de Ecopetrol son función del comportamiento simultáneo de múltiples mercados: crudo, gas natral, combustibles líquidos y GLP, entre otros. </w:t>
      </w:r>
    </w:p>
    <w:p w14:paraId="42F4266E" w14:textId="662467AE" w:rsidR="0014591C" w:rsidRPr="0014591C" w:rsidRDefault="0014591C" w:rsidP="002A78CA">
      <w:pPr>
        <w:contextualSpacing/>
        <w:jc w:val="both"/>
        <w:rPr>
          <w:rFonts w:ascii="Bookman Old Style" w:hAnsi="Bookman Old Style"/>
          <w:i/>
          <w:iCs/>
          <w:sz w:val="22"/>
          <w:szCs w:val="22"/>
          <w:lang w:val="es-CO"/>
        </w:rPr>
      </w:pPr>
    </w:p>
    <w:p w14:paraId="2B732CCB"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2.</w:t>
      </w:r>
      <w:r w:rsidRPr="0014591C">
        <w:rPr>
          <w:rFonts w:ascii="Bookman Old Style" w:hAnsi="Bookman Old Style"/>
          <w:i/>
          <w:iCs/>
          <w:sz w:val="22"/>
          <w:szCs w:val="22"/>
          <w:lang w:val="es-CO"/>
        </w:rPr>
        <w:tab/>
        <w:t xml:space="preserve">Propuesta regulatoria </w:t>
      </w:r>
    </w:p>
    <w:p w14:paraId="7C8A319F" w14:textId="0350DC37" w:rsidR="0014591C" w:rsidRPr="0014591C" w:rsidRDefault="0014591C" w:rsidP="002A78CA">
      <w:pPr>
        <w:contextualSpacing/>
        <w:jc w:val="both"/>
        <w:rPr>
          <w:rFonts w:ascii="Bookman Old Style" w:hAnsi="Bookman Old Style"/>
          <w:i/>
          <w:iCs/>
          <w:sz w:val="22"/>
          <w:szCs w:val="22"/>
          <w:lang w:val="es-CO"/>
        </w:rPr>
      </w:pPr>
    </w:p>
    <w:p w14:paraId="5C9EA4B6"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consideración de lo anterior, de manera respetuosa proponemos que la oferta de GLP del segundo semestre de 2020 se comercialice mediante la OPC ya establecida en la regulación, con unos ajustes puntuales, junto con un mecanismo complementario de comercialización por ciclos de suministro, similar al permitido durante el período de </w:t>
      </w:r>
      <w:proofErr w:type="spellStart"/>
      <w:r w:rsidRPr="0014591C">
        <w:rPr>
          <w:rFonts w:ascii="Bookman Old Style" w:hAnsi="Bookman Old Style"/>
          <w:i/>
          <w:iCs/>
          <w:sz w:val="22"/>
          <w:szCs w:val="22"/>
          <w:lang w:val="es-CO"/>
        </w:rPr>
        <w:t>comisionamiento</w:t>
      </w:r>
      <w:proofErr w:type="spellEnd"/>
      <w:r w:rsidRPr="0014591C">
        <w:rPr>
          <w:rFonts w:ascii="Bookman Old Style" w:hAnsi="Bookman Old Style"/>
          <w:i/>
          <w:iCs/>
          <w:sz w:val="22"/>
          <w:szCs w:val="22"/>
          <w:lang w:val="es-CO"/>
        </w:rPr>
        <w:t xml:space="preserve"> de las facilidades de </w:t>
      </w:r>
      <w:proofErr w:type="spellStart"/>
      <w:r w:rsidRPr="0014591C">
        <w:rPr>
          <w:rFonts w:ascii="Bookman Old Style" w:hAnsi="Bookman Old Style"/>
          <w:i/>
          <w:iCs/>
          <w:sz w:val="22"/>
          <w:szCs w:val="22"/>
          <w:lang w:val="es-CO"/>
        </w:rPr>
        <w:t>Cupiagua</w:t>
      </w:r>
      <w:proofErr w:type="spellEnd"/>
      <w:r w:rsidRPr="0014591C">
        <w:rPr>
          <w:rFonts w:ascii="Bookman Old Style" w:hAnsi="Bookman Old Style"/>
          <w:i/>
          <w:iCs/>
          <w:sz w:val="22"/>
          <w:szCs w:val="22"/>
          <w:lang w:val="es-CO"/>
        </w:rPr>
        <w:t xml:space="preserve">. A renglón seguido se exponen las propuestas para cada uno de estos mecanismos. </w:t>
      </w:r>
    </w:p>
    <w:p w14:paraId="4D21AF03" w14:textId="22D804D8" w:rsidR="0014591C" w:rsidRDefault="0014591C" w:rsidP="002A78CA">
      <w:pPr>
        <w:contextualSpacing/>
        <w:jc w:val="both"/>
        <w:rPr>
          <w:rFonts w:ascii="Bookman Old Style" w:hAnsi="Bookman Old Style"/>
          <w:i/>
          <w:iCs/>
          <w:sz w:val="22"/>
          <w:szCs w:val="22"/>
          <w:lang w:val="es-CO"/>
        </w:rPr>
      </w:pPr>
    </w:p>
    <w:p w14:paraId="543E900F" w14:textId="77777777" w:rsidR="00E50EC6" w:rsidRPr="0014591C" w:rsidRDefault="00E50EC6" w:rsidP="002A78CA">
      <w:pPr>
        <w:contextualSpacing/>
        <w:jc w:val="both"/>
        <w:rPr>
          <w:rFonts w:ascii="Bookman Old Style" w:hAnsi="Bookman Old Style"/>
          <w:i/>
          <w:iCs/>
          <w:sz w:val="22"/>
          <w:szCs w:val="22"/>
          <w:lang w:val="es-CO"/>
        </w:rPr>
      </w:pPr>
    </w:p>
    <w:p w14:paraId="2043D837"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2.1.</w:t>
      </w:r>
      <w:r w:rsidRPr="0014591C">
        <w:rPr>
          <w:rFonts w:ascii="Bookman Old Style" w:hAnsi="Bookman Old Style"/>
          <w:i/>
          <w:iCs/>
          <w:sz w:val="22"/>
          <w:szCs w:val="22"/>
          <w:lang w:val="es-CO"/>
        </w:rPr>
        <w:tab/>
        <w:t xml:space="preserve">Ajustes propuestos a la OPC del segundo semestre de 2020 </w:t>
      </w:r>
    </w:p>
    <w:p w14:paraId="65CA6C74" w14:textId="540C9E3E" w:rsidR="0014591C" w:rsidRPr="0014591C" w:rsidRDefault="0014591C" w:rsidP="002A78CA">
      <w:pPr>
        <w:contextualSpacing/>
        <w:jc w:val="both"/>
        <w:rPr>
          <w:rFonts w:ascii="Bookman Old Style" w:hAnsi="Bookman Old Style"/>
          <w:i/>
          <w:iCs/>
          <w:sz w:val="22"/>
          <w:szCs w:val="22"/>
          <w:lang w:val="es-CO"/>
        </w:rPr>
      </w:pPr>
    </w:p>
    <w:p w14:paraId="21AF7A01"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el marco de la OPC, Ecopetrol comercializaría en firme el volumen de GLP del período julio a diciembre de 2020, que resultaría de sus mejores estimaciones con corte a mayo. </w:t>
      </w:r>
    </w:p>
    <w:p w14:paraId="63E8465D" w14:textId="76016D88" w:rsidR="0014591C" w:rsidRPr="0014591C" w:rsidRDefault="0014591C" w:rsidP="002A78CA">
      <w:pPr>
        <w:contextualSpacing/>
        <w:jc w:val="both"/>
        <w:rPr>
          <w:rFonts w:ascii="Bookman Old Style" w:hAnsi="Bookman Old Style"/>
          <w:i/>
          <w:iCs/>
          <w:sz w:val="22"/>
          <w:szCs w:val="22"/>
          <w:lang w:val="es-CO"/>
        </w:rPr>
      </w:pPr>
    </w:p>
    <w:p w14:paraId="60E03AF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 la fecha se están realizando múltiples ejercicios de planeación de la producción de hidrocarburos, a partir del análisis del comportamiento de diferentes variables con las que se estima la demanda por estos energéticos en el país. Teniendo en cuenta la disponibilidad de información, se estima que estos ejercicios estarán completados y aprobados a finales del mes de mayo. </w:t>
      </w:r>
    </w:p>
    <w:p w14:paraId="154420FB" w14:textId="064C1712" w:rsidR="0014591C" w:rsidRPr="0014591C" w:rsidRDefault="0014591C" w:rsidP="002A78CA">
      <w:pPr>
        <w:contextualSpacing/>
        <w:jc w:val="both"/>
        <w:rPr>
          <w:rFonts w:ascii="Bookman Old Style" w:hAnsi="Bookman Old Style"/>
          <w:i/>
          <w:iCs/>
          <w:sz w:val="22"/>
          <w:szCs w:val="22"/>
          <w:lang w:val="es-CO"/>
        </w:rPr>
      </w:pPr>
    </w:p>
    <w:p w14:paraId="71B1F69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Ahora bien, la Circular CREG 094 de 2016 establece que: </w:t>
      </w:r>
    </w:p>
    <w:p w14:paraId="534D6AD9" w14:textId="411A9D00" w:rsidR="0014591C" w:rsidRPr="0014591C" w:rsidRDefault="0014591C" w:rsidP="002A78CA">
      <w:pPr>
        <w:contextualSpacing/>
        <w:jc w:val="both"/>
        <w:rPr>
          <w:rFonts w:ascii="Bookman Old Style" w:hAnsi="Bookman Old Style"/>
          <w:i/>
          <w:iCs/>
          <w:sz w:val="22"/>
          <w:szCs w:val="22"/>
          <w:lang w:val="es-CO"/>
        </w:rPr>
      </w:pPr>
    </w:p>
    <w:p w14:paraId="5C08F400" w14:textId="3F5EC2B6" w:rsidR="0014591C" w:rsidRPr="0014591C" w:rsidRDefault="0014591C" w:rsidP="002A78CA">
      <w:pPr>
        <w:ind w:left="1276"/>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 Ecopetrol deberá adelantar el trámite de solicitud de zonas de influencia, remitiendo a la CREG la totalidad de la información que le corresponde, según el procedimiento definido mediante circular CREG 048 de 2011, </w:t>
      </w:r>
      <w:r w:rsidRPr="0079666F">
        <w:rPr>
          <w:rFonts w:ascii="Bookman Old Style" w:hAnsi="Bookman Old Style"/>
          <w:i/>
          <w:iCs/>
          <w:sz w:val="22"/>
          <w:szCs w:val="22"/>
          <w:u w:val="single"/>
          <w:lang w:val="es-CO"/>
        </w:rPr>
        <w:t>con una antelación no menor a 5 días hábiles antes a la publicación de cualquier oferta pública de cantidades</w:t>
      </w:r>
      <w:r w:rsidR="0079666F">
        <w:rPr>
          <w:rFonts w:ascii="Bookman Old Style" w:hAnsi="Bookman Old Style"/>
          <w:i/>
          <w:iCs/>
          <w:sz w:val="22"/>
          <w:szCs w:val="22"/>
          <w:lang w:val="es-CO"/>
        </w:rPr>
        <w:t xml:space="preserve"> </w:t>
      </w:r>
      <w:r w:rsidRPr="0014591C">
        <w:rPr>
          <w:rFonts w:ascii="Bookman Old Style" w:hAnsi="Bookman Old Style"/>
          <w:i/>
          <w:iCs/>
          <w:sz w:val="22"/>
          <w:szCs w:val="22"/>
          <w:lang w:val="es-CO"/>
        </w:rPr>
        <w:t xml:space="preserve">(…)” (subraya fuera de texto)  </w:t>
      </w:r>
    </w:p>
    <w:p w14:paraId="5E8596CA" w14:textId="2280A2E8" w:rsidR="0014591C" w:rsidRPr="0014591C" w:rsidRDefault="0014591C" w:rsidP="002A78CA">
      <w:pPr>
        <w:contextualSpacing/>
        <w:jc w:val="both"/>
        <w:rPr>
          <w:rFonts w:ascii="Bookman Old Style" w:hAnsi="Bookman Old Style"/>
          <w:i/>
          <w:iCs/>
          <w:sz w:val="22"/>
          <w:szCs w:val="22"/>
          <w:lang w:val="es-CO"/>
        </w:rPr>
      </w:pPr>
    </w:p>
    <w:p w14:paraId="45F6A7B6" w14:textId="0DA979F4"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En consideración de esta disposición, y para poder dar cumplimiento al literal c del artículo 13 de la Resolución CREG 053 de 2011</w:t>
      </w:r>
      <w:r w:rsidR="0079666F">
        <w:rPr>
          <w:vertAlign w:val="superscript"/>
        </w:rPr>
        <w:footnoteReference w:id="6"/>
      </w:r>
      <w:r w:rsidRPr="0014591C">
        <w:rPr>
          <w:rFonts w:ascii="Bookman Old Style" w:hAnsi="Bookman Old Style"/>
          <w:i/>
          <w:iCs/>
          <w:sz w:val="22"/>
          <w:szCs w:val="22"/>
          <w:lang w:val="es-CO"/>
        </w:rPr>
        <w:t xml:space="preserve"> , Ecopetrol deberá dar trámite a la solicitud de zonas de influencia el próximo 21 de mayo y publicar su oferta para la OPC el 31 de mayo, con lo cual no vemos factible hacer uso de los resultados de los ejercicios de planeación referidos antes. En el Anexo 1 se muestra el cronograma para la realización de la OPC, en el marco de las reglas vigentes. </w:t>
      </w:r>
    </w:p>
    <w:p w14:paraId="228CD346" w14:textId="24589C25" w:rsidR="0014591C" w:rsidRPr="0014591C" w:rsidRDefault="0014591C" w:rsidP="002A78CA">
      <w:pPr>
        <w:contextualSpacing/>
        <w:jc w:val="both"/>
        <w:rPr>
          <w:rFonts w:ascii="Bookman Old Style" w:hAnsi="Bookman Old Style"/>
          <w:i/>
          <w:iCs/>
          <w:sz w:val="22"/>
          <w:szCs w:val="22"/>
          <w:lang w:val="es-CO"/>
        </w:rPr>
      </w:pPr>
    </w:p>
    <w:p w14:paraId="0F91FC5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En ese sentido, comedidamente sugerimos que se evalúe la posibilidad de establecer que el trámite de solicitud de zonas de influencia y la publicación de la oferta se realice de manera simultánea el 29 de mayo. Esto con el objetivo de asegurar que la oferta para la OPC incorpore las mejores previsiones de la que sería la oferta de GLP para el segundo semestre. En el Anexo 2 de la presente comunicación se adjuntan los cronogramas para la realización de la OPC, teniendo en cuenta el ajuste aquí propuesto. </w:t>
      </w:r>
    </w:p>
    <w:p w14:paraId="338260E5" w14:textId="10237BB8" w:rsidR="0014591C" w:rsidRPr="0014591C" w:rsidRDefault="0014591C" w:rsidP="002A78CA">
      <w:pPr>
        <w:contextualSpacing/>
        <w:jc w:val="both"/>
        <w:rPr>
          <w:rFonts w:ascii="Bookman Old Style" w:hAnsi="Bookman Old Style"/>
          <w:i/>
          <w:iCs/>
          <w:sz w:val="22"/>
          <w:szCs w:val="22"/>
          <w:lang w:val="es-CO"/>
        </w:rPr>
      </w:pPr>
    </w:p>
    <w:p w14:paraId="2BCBF5C1"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2.2.</w:t>
      </w:r>
      <w:r w:rsidRPr="0014591C">
        <w:rPr>
          <w:rFonts w:ascii="Bookman Old Style" w:hAnsi="Bookman Old Style"/>
          <w:i/>
          <w:iCs/>
          <w:sz w:val="22"/>
          <w:szCs w:val="22"/>
          <w:lang w:val="es-CO"/>
        </w:rPr>
        <w:tab/>
        <w:t xml:space="preserve">Mecanismo transitorio de comercialización de volúmenes adicionales de GLP </w:t>
      </w:r>
    </w:p>
    <w:p w14:paraId="4A9FA84E" w14:textId="604BFE30" w:rsidR="0014591C" w:rsidRPr="0014591C" w:rsidRDefault="0014591C" w:rsidP="002A78CA">
      <w:pPr>
        <w:contextualSpacing/>
        <w:jc w:val="both"/>
        <w:rPr>
          <w:rFonts w:ascii="Bookman Old Style" w:hAnsi="Bookman Old Style"/>
          <w:i/>
          <w:iCs/>
          <w:sz w:val="22"/>
          <w:szCs w:val="22"/>
          <w:lang w:val="es-CO"/>
        </w:rPr>
      </w:pPr>
    </w:p>
    <w:p w14:paraId="6A08A534"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Con el objetivo de mitigar los riesgos asociados a la fijación de la oferta en firme para el segundo semestre en un contexto de alta incertidumbre sobre el comportamiento de la oferta y la demanda de hidrocarburos, sugerimos evaluar la posibilidad de que los volúmenes adicionales a los asignados en la OPC se comercialicen mediante un mecanismo similar al que la Comisión adoptó mediante la Resolución CREG 083 de 2019, que permitió comercializar los volúmenes producidos en </w:t>
      </w:r>
      <w:proofErr w:type="spellStart"/>
      <w:r w:rsidRPr="0014591C">
        <w:rPr>
          <w:rFonts w:ascii="Bookman Old Style" w:hAnsi="Bookman Old Style"/>
          <w:i/>
          <w:iCs/>
          <w:sz w:val="22"/>
          <w:szCs w:val="22"/>
          <w:lang w:val="es-CO"/>
        </w:rPr>
        <w:t>Cupiagua</w:t>
      </w:r>
      <w:proofErr w:type="spellEnd"/>
      <w:r w:rsidRPr="0014591C">
        <w:rPr>
          <w:rFonts w:ascii="Bookman Old Style" w:hAnsi="Bookman Old Style"/>
          <w:i/>
          <w:iCs/>
          <w:sz w:val="22"/>
          <w:szCs w:val="22"/>
          <w:lang w:val="es-CO"/>
        </w:rPr>
        <w:t xml:space="preserve"> durante el período de </w:t>
      </w:r>
      <w:proofErr w:type="spellStart"/>
      <w:r w:rsidRPr="0014591C">
        <w:rPr>
          <w:rFonts w:ascii="Bookman Old Style" w:hAnsi="Bookman Old Style"/>
          <w:i/>
          <w:iCs/>
          <w:sz w:val="22"/>
          <w:szCs w:val="22"/>
          <w:lang w:val="es-CO"/>
        </w:rPr>
        <w:t>comisionamiento</w:t>
      </w:r>
      <w:proofErr w:type="spellEnd"/>
      <w:r w:rsidRPr="0014591C">
        <w:rPr>
          <w:rFonts w:ascii="Bookman Old Style" w:hAnsi="Bookman Old Style"/>
          <w:i/>
          <w:iCs/>
          <w:sz w:val="22"/>
          <w:szCs w:val="22"/>
          <w:lang w:val="es-CO"/>
        </w:rPr>
        <w:t xml:space="preserve">. </w:t>
      </w:r>
    </w:p>
    <w:p w14:paraId="68B6B92B" w14:textId="1F2B921E" w:rsidR="0014591C" w:rsidRPr="0014591C" w:rsidRDefault="0014591C" w:rsidP="002A78CA">
      <w:pPr>
        <w:contextualSpacing/>
        <w:jc w:val="both"/>
        <w:rPr>
          <w:rFonts w:ascii="Bookman Old Style" w:hAnsi="Bookman Old Style"/>
          <w:i/>
          <w:iCs/>
          <w:sz w:val="22"/>
          <w:szCs w:val="22"/>
          <w:lang w:val="es-CO"/>
        </w:rPr>
      </w:pPr>
    </w:p>
    <w:p w14:paraId="44EA9B6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A </w:t>
      </w:r>
      <w:proofErr w:type="gramStart"/>
      <w:r w:rsidRPr="0014591C">
        <w:rPr>
          <w:rFonts w:ascii="Bookman Old Style" w:hAnsi="Bookman Old Style"/>
          <w:i/>
          <w:iCs/>
          <w:sz w:val="22"/>
          <w:szCs w:val="22"/>
          <w:lang w:val="es-CO"/>
        </w:rPr>
        <w:t>continuación</w:t>
      </w:r>
      <w:proofErr w:type="gramEnd"/>
      <w:r w:rsidRPr="0014591C">
        <w:rPr>
          <w:rFonts w:ascii="Bookman Old Style" w:hAnsi="Bookman Old Style"/>
          <w:i/>
          <w:iCs/>
          <w:sz w:val="22"/>
          <w:szCs w:val="22"/>
          <w:lang w:val="es-CO"/>
        </w:rPr>
        <w:t xml:space="preserve"> destacamos los principales elementos que sugerimos sean tenidos en cuenta en caso de adoptar este mecanismo complementario durante el desarrollo de la OPC del próximo semestre: </w:t>
      </w:r>
    </w:p>
    <w:p w14:paraId="7759D1FB" w14:textId="6A962FCF" w:rsidR="0014591C" w:rsidRPr="0014591C" w:rsidRDefault="0014591C" w:rsidP="002A78CA">
      <w:pPr>
        <w:contextualSpacing/>
        <w:jc w:val="both"/>
        <w:rPr>
          <w:rFonts w:ascii="Bookman Old Style" w:hAnsi="Bookman Old Style"/>
          <w:i/>
          <w:iCs/>
          <w:sz w:val="22"/>
          <w:szCs w:val="22"/>
          <w:lang w:val="es-CO"/>
        </w:rPr>
      </w:pPr>
    </w:p>
    <w:p w14:paraId="4BD97029"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Comercialización mediante ciclos de suministro: permitir la comercialización mediante ciclos de suministro mensuales a partir de agosto de 2020. Valga señalar </w:t>
      </w:r>
      <w:r w:rsidRPr="0014591C">
        <w:rPr>
          <w:rFonts w:ascii="Bookman Old Style" w:hAnsi="Bookman Old Style"/>
          <w:i/>
          <w:iCs/>
          <w:sz w:val="22"/>
          <w:szCs w:val="22"/>
          <w:lang w:val="es-CO"/>
        </w:rPr>
        <w:lastRenderedPageBreak/>
        <w:t xml:space="preserve">que las cantidades a entregar en cada ciclo de suministro se anunciarían el quinto día calendario del mes anterior a cada ciclo de suministro. Adicionalmente, en cada anuncio mensual se informaría la estimación de cantidades para los dos meses siguientes al del ciclo de suministro. Todo lo anterior con el objetivo de que los distribuidores puedan adaptar su operación a la oferta adicional y/o tomar decisiones oportunas para la contratación de producto importado. </w:t>
      </w:r>
    </w:p>
    <w:p w14:paraId="6FB0B6F9" w14:textId="177B6BA1" w:rsidR="0014591C" w:rsidRPr="0014591C" w:rsidRDefault="0014591C" w:rsidP="002A78CA">
      <w:pPr>
        <w:contextualSpacing/>
        <w:jc w:val="both"/>
        <w:rPr>
          <w:rFonts w:ascii="Bookman Old Style" w:hAnsi="Bookman Old Style"/>
          <w:i/>
          <w:iCs/>
          <w:sz w:val="22"/>
          <w:szCs w:val="22"/>
          <w:lang w:val="es-CO"/>
        </w:rPr>
      </w:pPr>
    </w:p>
    <w:p w14:paraId="696865BE"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 xml:space="preserve">Esta propuesta permitiría que las entregas de producto se correspondan mejor con la planeación de la producción en refinerías y campos de producción, teniendo en cuenta el comportamiento de la producción de crudo y gas natural, y de la demanda por sus productos. </w:t>
      </w:r>
    </w:p>
    <w:p w14:paraId="65140A74" w14:textId="00728E44" w:rsidR="0014591C" w:rsidRPr="0014591C" w:rsidRDefault="0014591C" w:rsidP="002A78CA">
      <w:pPr>
        <w:contextualSpacing/>
        <w:jc w:val="both"/>
        <w:rPr>
          <w:rFonts w:ascii="Bookman Old Style" w:hAnsi="Bookman Old Style"/>
          <w:i/>
          <w:iCs/>
          <w:sz w:val="22"/>
          <w:szCs w:val="22"/>
          <w:lang w:val="es-CO"/>
        </w:rPr>
      </w:pPr>
    </w:p>
    <w:p w14:paraId="4CE1FB9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Definición de zonas de influencia: se sugiere que la zona de influencia de cada fuente sea la definida en el marco de la OPC para el segundo semestre. Lo anterior se justifica en el hecho de que la oferta total de una fuente, es decir la suma de la oferta firme de la OPC, más la oferta adicional consecuencia de la mayor producción en determinada fuente, tendería a parecerse a la oferta que se tendría en condiciones normales en la medida que se recupere la demanda de hidrocarburos. </w:t>
      </w:r>
    </w:p>
    <w:p w14:paraId="147D24C6" w14:textId="2CCE4AD0" w:rsidR="0014591C" w:rsidRPr="0014591C" w:rsidRDefault="0014591C" w:rsidP="002A78CA">
      <w:pPr>
        <w:contextualSpacing/>
        <w:jc w:val="both"/>
        <w:rPr>
          <w:rFonts w:ascii="Bookman Old Style" w:hAnsi="Bookman Old Style"/>
          <w:i/>
          <w:iCs/>
          <w:sz w:val="22"/>
          <w:szCs w:val="22"/>
          <w:lang w:val="es-CO"/>
        </w:rPr>
      </w:pPr>
    </w:p>
    <w:p w14:paraId="1FF888C3"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Asignación de cantidades: con el objetivo de facilitar la asignación de GLP en los diferentes ciclos de suministro que se tendrían a lo largo del semestre, sugerimos que se establezcan las reglas para ajustar las solicitudes de compra de los compradores, así como los criterios de asignación, fijados en el artículo 5 de la Resolución CREG 083 de 2019. </w:t>
      </w:r>
    </w:p>
    <w:p w14:paraId="1CA36999" w14:textId="7184B513" w:rsidR="0014591C" w:rsidRPr="0014591C" w:rsidRDefault="0014591C" w:rsidP="002A78CA">
      <w:pPr>
        <w:contextualSpacing/>
        <w:jc w:val="both"/>
        <w:rPr>
          <w:rFonts w:ascii="Bookman Old Style" w:hAnsi="Bookman Old Style"/>
          <w:i/>
          <w:iCs/>
          <w:sz w:val="22"/>
          <w:szCs w:val="22"/>
          <w:lang w:val="es-CO"/>
        </w:rPr>
      </w:pPr>
    </w:p>
    <w:p w14:paraId="4416D45F" w14:textId="77777777" w:rsidR="0014591C" w:rsidRPr="0014591C"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 xml:space="preserve">Contratos para la entrega del GLP: se sugiere que se establezca la obligación de suscribir un único contrato de suministro de GLP para la entrega de volúmenes adicionales entre agosto y diciembre de 2020, bajo el cual se podrá realizar la asignación de cantidades en cada uno de los ciclos de suministro. </w:t>
      </w:r>
    </w:p>
    <w:p w14:paraId="3ADE066C" w14:textId="496FC04C" w:rsidR="0014591C" w:rsidRPr="0014591C" w:rsidRDefault="0014591C" w:rsidP="002A78CA">
      <w:pPr>
        <w:contextualSpacing/>
        <w:jc w:val="both"/>
        <w:rPr>
          <w:rFonts w:ascii="Bookman Old Style" w:hAnsi="Bookman Old Style"/>
          <w:i/>
          <w:iCs/>
          <w:sz w:val="22"/>
          <w:szCs w:val="22"/>
          <w:lang w:val="es-CO"/>
        </w:rPr>
      </w:pPr>
    </w:p>
    <w:p w14:paraId="0EBACB1F" w14:textId="4A2B95B8" w:rsidR="00C97B46" w:rsidRPr="00C37463" w:rsidRDefault="0014591C" w:rsidP="002A78CA">
      <w:pPr>
        <w:contextualSpacing/>
        <w:jc w:val="both"/>
        <w:rPr>
          <w:rFonts w:ascii="Bookman Old Style" w:hAnsi="Bookman Old Style"/>
          <w:i/>
          <w:iCs/>
          <w:sz w:val="22"/>
          <w:szCs w:val="22"/>
          <w:lang w:val="es-CO"/>
        </w:rPr>
      </w:pPr>
      <w:r w:rsidRPr="0014591C">
        <w:rPr>
          <w:rFonts w:ascii="Bookman Old Style" w:hAnsi="Bookman Old Style"/>
          <w:i/>
          <w:iCs/>
          <w:sz w:val="22"/>
          <w:szCs w:val="22"/>
          <w:lang w:val="es-CO"/>
        </w:rPr>
        <w:t>•</w:t>
      </w:r>
      <w:r w:rsidRPr="0014591C">
        <w:rPr>
          <w:rFonts w:ascii="Bookman Old Style" w:hAnsi="Bookman Old Style"/>
          <w:i/>
          <w:iCs/>
          <w:sz w:val="22"/>
          <w:szCs w:val="22"/>
          <w:lang w:val="es-CO"/>
        </w:rPr>
        <w:tab/>
        <w:t>Precio regulado: se propone que el precio regulado corresponda al precio definido para cada fuente de acuerdo con la Resolución CREG 066 de 2007. Es decir, no se aplicaría el descuento de más del 50% establecido en el parágrafo 1 del artículo 13 de la Resolución CREG 053 de 2011. También sugerimos que, como complemento de lo anterior, se mantengan vigentes las disposiciones que en materia de precios se adoptaron mediante la Resolución CREG 045 de 2020.</w:t>
      </w:r>
      <w:r w:rsidR="002D42B1" w:rsidRPr="00B52C53">
        <w:rPr>
          <w:rFonts w:ascii="Bookman Old Style" w:hAnsi="Bookman Old Style"/>
          <w:i/>
          <w:iCs/>
          <w:sz w:val="22"/>
          <w:szCs w:val="22"/>
          <w:lang w:val="es-CO"/>
        </w:rPr>
        <w:t>”</w:t>
      </w:r>
    </w:p>
    <w:p w14:paraId="1C8A7CF4" w14:textId="4F11E5B9" w:rsidR="00627469" w:rsidRDefault="00627469" w:rsidP="003E2E35">
      <w:pPr>
        <w:ind w:left="0"/>
        <w:contextualSpacing/>
        <w:jc w:val="both"/>
        <w:rPr>
          <w:rFonts w:ascii="Bookman Old Style" w:hAnsi="Bookman Old Style"/>
          <w:lang w:val="es-CO"/>
        </w:rPr>
      </w:pPr>
    </w:p>
    <w:p w14:paraId="785D1D49" w14:textId="7F297520" w:rsidR="00CB4080" w:rsidRDefault="00CB4080" w:rsidP="00CB4080">
      <w:pPr>
        <w:spacing w:after="160" w:line="259" w:lineRule="auto"/>
        <w:ind w:left="0"/>
        <w:jc w:val="both"/>
        <w:rPr>
          <w:rFonts w:ascii="Bookman Old Style" w:eastAsia="Calibri" w:hAnsi="Bookman Old Style"/>
          <w:lang w:val="es-CO" w:eastAsia="en-US"/>
        </w:rPr>
      </w:pPr>
      <w:r w:rsidRPr="00CB4080">
        <w:rPr>
          <w:rFonts w:ascii="Bookman Old Style" w:eastAsia="Calibri" w:hAnsi="Bookman Old Style"/>
          <w:lang w:val="es-CO" w:eastAsia="en-US"/>
        </w:rPr>
        <w:t xml:space="preserve">Teniendo en cuenta las circunstancias expuestas por Ecopetrol en su comunicación </w:t>
      </w:r>
      <w:r w:rsidR="00A1487C">
        <w:rPr>
          <w:rFonts w:ascii="Bookman Old Style" w:eastAsia="Calibri" w:hAnsi="Bookman Old Style"/>
          <w:lang w:val="es-CO" w:eastAsia="en-US"/>
        </w:rPr>
        <w:t xml:space="preserve">con </w:t>
      </w:r>
      <w:r>
        <w:rPr>
          <w:rFonts w:ascii="Bookman Old Style" w:hAnsi="Bookman Old Style"/>
          <w:lang w:val="es-CO"/>
        </w:rPr>
        <w:t>radicado CREG E-2020-004305</w:t>
      </w:r>
      <w:r w:rsidRPr="00CB4080">
        <w:rPr>
          <w:rFonts w:ascii="Bookman Old Style" w:eastAsia="Calibri" w:hAnsi="Bookman Old Style"/>
          <w:lang w:val="es-CO" w:eastAsia="en-US"/>
        </w:rPr>
        <w:t>, derivadas de la situación de emergencia generada por el COVID-19, en relación con la programación de mantenimiento de la Refinería de Barrancabermeja</w:t>
      </w:r>
      <w:r w:rsidR="002A78CA">
        <w:rPr>
          <w:rFonts w:ascii="Bookman Old Style" w:eastAsia="Calibri" w:hAnsi="Bookman Old Style"/>
          <w:lang w:val="es-CO" w:eastAsia="en-US"/>
        </w:rPr>
        <w:t>,</w:t>
      </w:r>
      <w:r w:rsidRPr="00CB4080">
        <w:rPr>
          <w:rFonts w:ascii="Bookman Old Style" w:eastAsia="Calibri" w:hAnsi="Bookman Old Style"/>
          <w:lang w:val="es-CO" w:eastAsia="en-US"/>
        </w:rPr>
        <w:t xml:space="preserve"> y la reducción de producción </w:t>
      </w:r>
      <w:r w:rsidRPr="00A1487C">
        <w:rPr>
          <w:rFonts w:ascii="Bookman Old Style" w:eastAsia="Calibri" w:hAnsi="Bookman Old Style"/>
          <w:lang w:val="es-CO" w:eastAsia="en-US"/>
        </w:rPr>
        <w:t xml:space="preserve">de </w:t>
      </w:r>
      <w:r w:rsidRPr="00E545EB">
        <w:rPr>
          <w:rFonts w:ascii="Bookman Old Style" w:eastAsia="Calibri" w:hAnsi="Bookman Old Style"/>
          <w:lang w:val="es-CO" w:eastAsia="en-US"/>
        </w:rPr>
        <w:t>crudo y gas natural</w:t>
      </w:r>
      <w:r w:rsidRPr="00CB4080">
        <w:rPr>
          <w:rFonts w:ascii="Bookman Old Style" w:eastAsia="Calibri" w:hAnsi="Bookman Old Style"/>
          <w:lang w:val="es-CO" w:eastAsia="en-US"/>
        </w:rPr>
        <w:t xml:space="preserve"> en los campos de Cusiana, </w:t>
      </w:r>
      <w:proofErr w:type="spellStart"/>
      <w:r w:rsidRPr="00CB4080">
        <w:rPr>
          <w:rFonts w:ascii="Bookman Old Style" w:eastAsia="Calibri" w:hAnsi="Bookman Old Style"/>
          <w:lang w:val="es-CO" w:eastAsia="en-US"/>
        </w:rPr>
        <w:t>Cupiagua</w:t>
      </w:r>
      <w:proofErr w:type="spellEnd"/>
      <w:r w:rsidRPr="00CB4080">
        <w:rPr>
          <w:rFonts w:ascii="Bookman Old Style" w:eastAsia="Calibri" w:hAnsi="Bookman Old Style"/>
          <w:lang w:val="es-CO" w:eastAsia="en-US"/>
        </w:rPr>
        <w:t>, Dina y Provincia se evidencia una mayor disponibilidad de GLP para la prestación del servicio público domiciliario, el cual, en caso de ser comercializado, se sujeta a lo dispuesto en la Ley 142 de 1994, así como a la regulación expedida por parte de esta Comisión, tanto a nivel de los mecanismos de comercialización, los parámetros de conducta, incluidas las obligaciones a cumplir por parte del comercializador mayorista de GLP con precio regulado, así como las señales de precio que remuneran el costo de oportunidad del producto, regulación que se encuentra consignada principalmente en las Resoluciones CREG 066 de 2007, 053 de 2011, 174 de 2014 y 079 de 2015.</w:t>
      </w:r>
    </w:p>
    <w:p w14:paraId="747F391E" w14:textId="4FBF34B3" w:rsidR="00E50EC6" w:rsidRDefault="00E50EC6" w:rsidP="00CB4080">
      <w:pPr>
        <w:spacing w:after="160" w:line="259" w:lineRule="auto"/>
        <w:ind w:left="0"/>
        <w:jc w:val="both"/>
        <w:rPr>
          <w:rFonts w:ascii="Bookman Old Style" w:eastAsia="Calibri" w:hAnsi="Bookman Old Style"/>
          <w:lang w:val="es-CO" w:eastAsia="en-US"/>
        </w:rPr>
      </w:pPr>
    </w:p>
    <w:p w14:paraId="75559A28" w14:textId="77777777" w:rsidR="00E50EC6" w:rsidRPr="00CB4080" w:rsidRDefault="00E50EC6" w:rsidP="00E50EC6">
      <w:pPr>
        <w:spacing w:line="259" w:lineRule="auto"/>
        <w:ind w:left="0"/>
        <w:jc w:val="both"/>
        <w:rPr>
          <w:rFonts w:ascii="Bookman Old Style" w:eastAsia="Calibri" w:hAnsi="Bookman Old Style"/>
          <w:lang w:val="es-CO" w:eastAsia="en-US"/>
        </w:rPr>
      </w:pPr>
    </w:p>
    <w:p w14:paraId="52D21A59" w14:textId="3A339240" w:rsidR="00120DA9" w:rsidRDefault="00120DA9" w:rsidP="00CB4080">
      <w:pPr>
        <w:spacing w:after="160" w:line="259" w:lineRule="auto"/>
        <w:ind w:left="0"/>
        <w:jc w:val="both"/>
        <w:rPr>
          <w:rFonts w:ascii="Bookman Old Style" w:eastAsia="Calibri" w:hAnsi="Bookman Old Style"/>
          <w:lang w:val="es-CO" w:eastAsia="en-US"/>
        </w:rPr>
      </w:pPr>
      <w:r>
        <w:rPr>
          <w:rFonts w:ascii="Bookman Old Style" w:eastAsia="Calibri" w:hAnsi="Bookman Old Style"/>
          <w:lang w:val="es-CO" w:eastAsia="en-US"/>
        </w:rPr>
        <w:t>Teniendo en cuenta lo anterior</w:t>
      </w:r>
      <w:r w:rsidR="00CB4080" w:rsidRPr="00CB4080">
        <w:rPr>
          <w:rFonts w:ascii="Bookman Old Style" w:eastAsia="Calibri" w:hAnsi="Bookman Old Style"/>
          <w:lang w:val="es-CO" w:eastAsia="en-US"/>
        </w:rPr>
        <w:t xml:space="preserve">, nos encontramos ante una circunstancia excepcional derivada de un evento de emergencia de conocimiento público y de interés general, el cual conlleva a que se </w:t>
      </w:r>
      <w:r w:rsidR="00A1487C">
        <w:rPr>
          <w:rFonts w:ascii="Bookman Old Style" w:eastAsia="Calibri" w:hAnsi="Bookman Old Style"/>
          <w:lang w:val="es-CO" w:eastAsia="en-US"/>
        </w:rPr>
        <w:t xml:space="preserve">puedan </w:t>
      </w:r>
      <w:r w:rsidR="00CB4080" w:rsidRPr="00CB4080">
        <w:rPr>
          <w:rFonts w:ascii="Bookman Old Style" w:eastAsia="Calibri" w:hAnsi="Bookman Old Style"/>
          <w:lang w:val="es-CO" w:eastAsia="en-US"/>
        </w:rPr>
        <w:t>present</w:t>
      </w:r>
      <w:r w:rsidR="00A1487C">
        <w:rPr>
          <w:rFonts w:ascii="Bookman Old Style" w:eastAsia="Calibri" w:hAnsi="Bookman Old Style"/>
          <w:lang w:val="es-CO" w:eastAsia="en-US"/>
        </w:rPr>
        <w:t>ar</w:t>
      </w:r>
      <w:r w:rsidR="00CB4080" w:rsidRPr="00CB4080">
        <w:rPr>
          <w:rFonts w:ascii="Bookman Old Style" w:eastAsia="Calibri" w:hAnsi="Bookman Old Style"/>
          <w:lang w:val="es-CO" w:eastAsia="en-US"/>
        </w:rPr>
        <w:t xml:space="preserve"> cantidades adicionales</w:t>
      </w:r>
      <w:r w:rsidR="00A1487C">
        <w:rPr>
          <w:rFonts w:ascii="Bookman Old Style" w:eastAsia="Calibri" w:hAnsi="Bookman Old Style"/>
          <w:lang w:val="es-CO" w:eastAsia="en-US"/>
        </w:rPr>
        <w:t xml:space="preserve"> en función de lo que suceda con la operación de la refinería y la producción de los campos de gas natural. </w:t>
      </w:r>
      <w:r>
        <w:rPr>
          <w:rFonts w:ascii="Bookman Old Style" w:eastAsia="Calibri" w:hAnsi="Bookman Old Style"/>
          <w:lang w:val="es-CO" w:eastAsia="en-US"/>
        </w:rPr>
        <w:t>Situación que es diferente a la que se presenta ante una eventual mayor disponibilidad de producto en condiciones normales.</w:t>
      </w:r>
    </w:p>
    <w:p w14:paraId="63A078B6" w14:textId="4AF79CA2" w:rsidR="00CB4080" w:rsidRPr="00CB4080" w:rsidRDefault="00CB4080" w:rsidP="00CB4080">
      <w:pPr>
        <w:spacing w:after="160" w:line="259" w:lineRule="auto"/>
        <w:ind w:left="0"/>
        <w:jc w:val="both"/>
        <w:rPr>
          <w:rFonts w:ascii="Bookman Old Style" w:eastAsia="Calibri" w:hAnsi="Bookman Old Style"/>
          <w:lang w:val="es-CO" w:eastAsia="en-US"/>
        </w:rPr>
      </w:pPr>
      <w:r w:rsidRPr="00CB4080">
        <w:rPr>
          <w:rFonts w:ascii="Bookman Old Style" w:eastAsia="Calibri" w:hAnsi="Bookman Old Style"/>
          <w:lang w:val="es-CO" w:eastAsia="en-US"/>
        </w:rPr>
        <w:t>En este sentido, se deben adoptar medidas específicas para la comercialización de dichas cantidades, además de las previstas en el reglamento de comercialización mayorista para las OPC adicionales, teniendo en consideración las</w:t>
      </w:r>
      <w:r w:rsidR="00E545EB">
        <w:rPr>
          <w:rFonts w:ascii="Bookman Old Style" w:eastAsia="Calibri" w:hAnsi="Bookman Old Style"/>
          <w:lang w:val="es-CO" w:eastAsia="en-US"/>
        </w:rPr>
        <w:t xml:space="preserve"> condiciones del mercado, las </w:t>
      </w:r>
      <w:r w:rsidRPr="00CB4080">
        <w:rPr>
          <w:rFonts w:ascii="Bookman Old Style" w:eastAsia="Calibri" w:hAnsi="Bookman Old Style"/>
          <w:lang w:val="es-CO" w:eastAsia="en-US"/>
        </w:rPr>
        <w:t xml:space="preserve"> decisiones adoptadas por el Gobierno Nacional, y la naturaleza excepcional de las cantidades adicionales generadas en </w:t>
      </w:r>
      <w:r w:rsidR="001B1F38" w:rsidRPr="009C5D60">
        <w:rPr>
          <w:rFonts w:ascii="Bookman Old Style" w:eastAsia="Calibri" w:hAnsi="Bookman Old Style"/>
          <w:lang w:val="es-CO" w:eastAsia="en-US"/>
        </w:rPr>
        <w:t>los campos de precio regulado</w:t>
      </w:r>
      <w:r w:rsidRPr="009C5D60">
        <w:rPr>
          <w:rFonts w:ascii="Bookman Old Style" w:eastAsia="Calibri" w:hAnsi="Bookman Old Style"/>
          <w:lang w:val="es-CO" w:eastAsia="en-US"/>
        </w:rPr>
        <w:t>,</w:t>
      </w:r>
      <w:r w:rsidRPr="00E545EB">
        <w:rPr>
          <w:rFonts w:ascii="Bookman Old Style" w:eastAsia="Calibri" w:hAnsi="Bookman Old Style"/>
          <w:lang w:val="es-CO" w:eastAsia="en-US"/>
        </w:rPr>
        <w:t xml:space="preserve"> en aras de dar las señales  adecuadas y  contribu</w:t>
      </w:r>
      <w:r w:rsidRPr="00CB4080">
        <w:rPr>
          <w:rFonts w:ascii="Bookman Old Style" w:eastAsia="Calibri" w:hAnsi="Bookman Old Style"/>
          <w:lang w:val="es-CO" w:eastAsia="en-US"/>
        </w:rPr>
        <w:t xml:space="preserve">ir a garantizar la </w:t>
      </w:r>
      <w:r w:rsidRPr="00E545EB">
        <w:rPr>
          <w:rFonts w:ascii="Bookman Old Style" w:eastAsia="Calibri" w:hAnsi="Bookman Old Style"/>
          <w:lang w:val="es-CO" w:eastAsia="en-US"/>
        </w:rPr>
        <w:t>continuidad de suministro del GLP para el servicio público domiciliario.</w:t>
      </w:r>
    </w:p>
    <w:p w14:paraId="7CA6D2A7" w14:textId="11A6BECB" w:rsidR="00FA6DAE" w:rsidRDefault="00FA6DAE" w:rsidP="003E2E35">
      <w:pPr>
        <w:ind w:left="0"/>
        <w:contextualSpacing/>
        <w:jc w:val="both"/>
        <w:rPr>
          <w:rFonts w:ascii="Bookman Old Style" w:hAnsi="Bookman Old Style"/>
          <w:lang w:val="es-CO"/>
        </w:rPr>
      </w:pPr>
    </w:p>
    <w:p w14:paraId="3E0D77F4" w14:textId="77435847" w:rsidR="00DF753C" w:rsidRPr="002254FB" w:rsidRDefault="004C4C34" w:rsidP="002254FB">
      <w:pPr>
        <w:ind w:left="0"/>
        <w:contextualSpacing/>
        <w:jc w:val="center"/>
        <w:rPr>
          <w:rFonts w:ascii="Bookman Old Style" w:hAnsi="Bookman Old Style"/>
          <w:b/>
        </w:rPr>
      </w:pPr>
      <w:r w:rsidRPr="004E2959">
        <w:rPr>
          <w:rFonts w:ascii="Bookman Old Style" w:hAnsi="Bookman Old Style"/>
          <w:b/>
        </w:rPr>
        <w:t>R E S U E L V E:</w:t>
      </w:r>
    </w:p>
    <w:p w14:paraId="25BF8DE1" w14:textId="77777777" w:rsidR="00DF753C" w:rsidRPr="004E2959" w:rsidRDefault="00DF753C" w:rsidP="003E2E35">
      <w:pPr>
        <w:ind w:left="0"/>
        <w:contextualSpacing/>
        <w:jc w:val="both"/>
        <w:rPr>
          <w:rFonts w:ascii="Bookman Old Style" w:hAnsi="Bookman Old Style"/>
        </w:rPr>
      </w:pPr>
    </w:p>
    <w:p w14:paraId="2D779541" w14:textId="04B21D4A" w:rsidR="00293A2E" w:rsidRDefault="00DA64E7" w:rsidP="003E2E35">
      <w:pPr>
        <w:ind w:left="0"/>
        <w:contextualSpacing/>
        <w:jc w:val="both"/>
        <w:rPr>
          <w:rFonts w:ascii="Bookman Old Style" w:hAnsi="Bookman Old Style"/>
        </w:rPr>
      </w:pPr>
      <w:r w:rsidRPr="004E2959">
        <w:rPr>
          <w:rFonts w:ascii="Bookman Old Style" w:hAnsi="Bookman Old Style"/>
          <w:b/>
        </w:rPr>
        <w:t xml:space="preserve">ARTÍCULO </w:t>
      </w:r>
      <w:r w:rsidR="00B96BD5" w:rsidRPr="004E2959">
        <w:rPr>
          <w:rFonts w:ascii="Bookman Old Style" w:hAnsi="Bookman Old Style"/>
          <w:b/>
        </w:rPr>
        <w:t>1</w:t>
      </w:r>
      <w:r w:rsidRPr="004E2959">
        <w:rPr>
          <w:rFonts w:ascii="Bookman Old Style" w:hAnsi="Bookman Old Style"/>
          <w:b/>
        </w:rPr>
        <w:t xml:space="preserve">. </w:t>
      </w:r>
      <w:r w:rsidR="00493D09">
        <w:rPr>
          <w:rFonts w:ascii="Bookman Old Style" w:hAnsi="Bookman Old Style"/>
          <w:b/>
        </w:rPr>
        <w:t xml:space="preserve">Disposiciones </w:t>
      </w:r>
      <w:r w:rsidR="00FA6DAE">
        <w:rPr>
          <w:rFonts w:ascii="Bookman Old Style" w:hAnsi="Bookman Old Style"/>
          <w:b/>
        </w:rPr>
        <w:t>transitori</w:t>
      </w:r>
      <w:r w:rsidR="00493D09">
        <w:rPr>
          <w:rFonts w:ascii="Bookman Old Style" w:hAnsi="Bookman Old Style"/>
          <w:b/>
        </w:rPr>
        <w:t>as</w:t>
      </w:r>
      <w:r w:rsidR="00FA6DAE">
        <w:rPr>
          <w:rFonts w:ascii="Bookman Old Style" w:hAnsi="Bookman Old Style"/>
          <w:b/>
        </w:rPr>
        <w:t xml:space="preserve"> </w:t>
      </w:r>
      <w:r w:rsidRPr="004E2959">
        <w:rPr>
          <w:rFonts w:ascii="Bookman Old Style" w:hAnsi="Bookman Old Style"/>
          <w:b/>
        </w:rPr>
        <w:t xml:space="preserve">para llevar a cabo la comercialización </w:t>
      </w:r>
      <w:r w:rsidR="0037786A">
        <w:rPr>
          <w:rFonts w:ascii="Bookman Old Style" w:hAnsi="Bookman Old Style"/>
          <w:b/>
        </w:rPr>
        <w:t>de GLP de fuentes de precio regulado</w:t>
      </w:r>
      <w:r w:rsidR="00FA6DAE">
        <w:rPr>
          <w:rFonts w:ascii="Bookman Old Style" w:hAnsi="Bookman Old Style"/>
          <w:b/>
        </w:rPr>
        <w:t xml:space="preserve"> durante el segundo semestre de 2020</w:t>
      </w:r>
      <w:r w:rsidRPr="004E2959">
        <w:rPr>
          <w:rFonts w:ascii="Bookman Old Style" w:hAnsi="Bookman Old Style"/>
          <w:b/>
        </w:rPr>
        <w:t>.</w:t>
      </w:r>
      <w:r w:rsidR="0054150D">
        <w:rPr>
          <w:rFonts w:ascii="Bookman Old Style" w:hAnsi="Bookman Old Style"/>
          <w:b/>
        </w:rPr>
        <w:t xml:space="preserve"> </w:t>
      </w:r>
      <w:r w:rsidR="00293A2E">
        <w:rPr>
          <w:rFonts w:ascii="Bookman Old Style" w:hAnsi="Bookman Old Style"/>
        </w:rPr>
        <w:t>Las siguientes disposiciones aplicarán para el GLP, de fuentes de producción nacional de precio regulado, que se suministre durante el segundo semestre de 2020</w:t>
      </w:r>
      <w:r w:rsidR="00E545EB">
        <w:rPr>
          <w:rFonts w:ascii="Bookman Old Style" w:hAnsi="Bookman Old Style"/>
        </w:rPr>
        <w:t>:</w:t>
      </w:r>
    </w:p>
    <w:p w14:paraId="1C5CB09B" w14:textId="174AFE29" w:rsidR="00CE7B91" w:rsidRPr="00AD3ECA" w:rsidRDefault="00CE7B91" w:rsidP="36D5624B">
      <w:pPr>
        <w:ind w:left="0"/>
        <w:contextualSpacing/>
        <w:jc w:val="both"/>
        <w:rPr>
          <w:rFonts w:ascii="Bookman Old Style" w:hAnsi="Bookman Old Style"/>
        </w:rPr>
      </w:pPr>
    </w:p>
    <w:p w14:paraId="1C224523" w14:textId="1ADE5E01" w:rsidR="00AD3ECA" w:rsidRDefault="00AD3ECA" w:rsidP="009B2C4F">
      <w:pPr>
        <w:pStyle w:val="Prrafodelista"/>
        <w:numPr>
          <w:ilvl w:val="0"/>
          <w:numId w:val="27"/>
        </w:numPr>
        <w:ind w:left="426" w:hanging="426"/>
        <w:contextualSpacing/>
        <w:jc w:val="both"/>
        <w:rPr>
          <w:rFonts w:ascii="Bookman Old Style" w:hAnsi="Bookman Old Style"/>
          <w:sz w:val="24"/>
          <w:szCs w:val="24"/>
        </w:rPr>
      </w:pPr>
      <w:r w:rsidRPr="00335D55">
        <w:rPr>
          <w:rFonts w:ascii="Bookman Old Style" w:hAnsi="Bookman Old Style"/>
          <w:sz w:val="24"/>
          <w:szCs w:val="24"/>
        </w:rPr>
        <w:t>Los contratos de suministro de GLP de fuentes de precio regulado resultantes de un proceso de OPC, podrán ser adicionados con cantidades asignadas en una OPC adicional.</w:t>
      </w:r>
    </w:p>
    <w:p w14:paraId="4BA31CD8" w14:textId="7DD75E0F" w:rsidR="00335D55" w:rsidRPr="00335D55" w:rsidRDefault="00335D55" w:rsidP="00335D55">
      <w:pPr>
        <w:ind w:left="0"/>
        <w:contextualSpacing/>
        <w:jc w:val="both"/>
        <w:rPr>
          <w:rFonts w:ascii="Bookman Old Style" w:hAnsi="Bookman Old Style"/>
        </w:rPr>
      </w:pPr>
    </w:p>
    <w:p w14:paraId="172117B4" w14:textId="7CA85DFD" w:rsidR="00335D55" w:rsidRPr="004E6090" w:rsidRDefault="004E6090" w:rsidP="009B2C4F">
      <w:pPr>
        <w:pStyle w:val="Prrafodelista"/>
        <w:numPr>
          <w:ilvl w:val="0"/>
          <w:numId w:val="27"/>
        </w:numPr>
        <w:ind w:left="426" w:hanging="426"/>
        <w:contextualSpacing/>
        <w:jc w:val="both"/>
        <w:rPr>
          <w:rFonts w:ascii="Bookman Old Style" w:hAnsi="Bookman Old Style"/>
          <w:sz w:val="24"/>
          <w:szCs w:val="24"/>
        </w:rPr>
      </w:pPr>
      <w:r w:rsidRPr="004E6090">
        <w:rPr>
          <w:rFonts w:ascii="Bookman Old Style" w:hAnsi="Bookman Old Style"/>
          <w:sz w:val="24"/>
          <w:szCs w:val="24"/>
        </w:rPr>
        <w:t xml:space="preserve">Lo previsto en el último inciso del </w:t>
      </w:r>
      <w:r w:rsidR="00335D55" w:rsidRPr="004E6090">
        <w:rPr>
          <w:rFonts w:ascii="Bookman Old Style" w:hAnsi="Bookman Old Style"/>
          <w:sz w:val="24"/>
          <w:szCs w:val="24"/>
        </w:rPr>
        <w:t>parágrafo 1</w:t>
      </w:r>
      <w:r w:rsidR="00697FC5">
        <w:rPr>
          <w:rFonts w:ascii="Bookman Old Style" w:hAnsi="Bookman Old Style"/>
          <w:sz w:val="24"/>
          <w:szCs w:val="24"/>
        </w:rPr>
        <w:t>,</w:t>
      </w:r>
      <w:r w:rsidR="00335D55" w:rsidRPr="004E6090">
        <w:rPr>
          <w:rFonts w:ascii="Bookman Old Style" w:hAnsi="Bookman Old Style"/>
          <w:sz w:val="24"/>
          <w:szCs w:val="24"/>
        </w:rPr>
        <w:t xml:space="preserve"> del artículo 13 de la Resolución CREG 053 de 2011, modificad</w:t>
      </w:r>
      <w:r w:rsidR="00697FC5">
        <w:rPr>
          <w:rFonts w:ascii="Bookman Old Style" w:hAnsi="Bookman Old Style"/>
          <w:sz w:val="24"/>
          <w:szCs w:val="24"/>
        </w:rPr>
        <w:t>o</w:t>
      </w:r>
      <w:r w:rsidR="00335D55" w:rsidRPr="004E6090">
        <w:rPr>
          <w:rFonts w:ascii="Bookman Old Style" w:hAnsi="Bookman Old Style"/>
          <w:sz w:val="24"/>
          <w:szCs w:val="24"/>
        </w:rPr>
        <w:t xml:space="preserve"> mediante Resolución CREG 064 de 2016, </w:t>
      </w:r>
      <w:r>
        <w:rPr>
          <w:rFonts w:ascii="Bookman Old Style" w:hAnsi="Bookman Old Style"/>
          <w:sz w:val="24"/>
          <w:szCs w:val="24"/>
        </w:rPr>
        <w:t>no será aplicable. En su lugar se dispone lo siguiente:</w:t>
      </w:r>
    </w:p>
    <w:p w14:paraId="7A0E54E7" w14:textId="34A2FA72" w:rsidR="00BD0673" w:rsidRDefault="00BD0673" w:rsidP="00BD0673">
      <w:pPr>
        <w:ind w:left="426"/>
        <w:jc w:val="both"/>
        <w:rPr>
          <w:rFonts w:ascii="Bookman Old Style" w:hAnsi="Bookman Old Style"/>
        </w:rPr>
      </w:pPr>
    </w:p>
    <w:p w14:paraId="5E5D4D89" w14:textId="6BAD0C06" w:rsidR="00BD0673" w:rsidRDefault="00BD0673" w:rsidP="00BD0673">
      <w:pPr>
        <w:ind w:left="426"/>
        <w:jc w:val="both"/>
        <w:rPr>
          <w:rFonts w:ascii="Bookman Old Style" w:hAnsi="Bookman Old Style"/>
        </w:rPr>
      </w:pPr>
      <w:r>
        <w:rPr>
          <w:rFonts w:ascii="Bookman Old Style" w:hAnsi="Bookman Old Style"/>
        </w:rPr>
        <w:t xml:space="preserve">Se aplicará un descuento al GLP </w:t>
      </w:r>
      <w:r w:rsidRPr="00E44A7B">
        <w:rPr>
          <w:rFonts w:ascii="Bookman Old Style" w:hAnsi="Bookman Old Style"/>
        </w:rPr>
        <w:t>de fuentes de producción nacional con precio regulado</w:t>
      </w:r>
      <w:r>
        <w:rPr>
          <w:rFonts w:ascii="Bookman Old Style" w:hAnsi="Bookman Old Style"/>
        </w:rPr>
        <w:t>, calculado a partir de las cantidades ofrecidas en una OPC adicional, así:</w:t>
      </w:r>
    </w:p>
    <w:p w14:paraId="2592B275" w14:textId="1539A71D" w:rsidR="00335D55" w:rsidRPr="00E44A7B" w:rsidRDefault="00335D55" w:rsidP="008F1B2C">
      <w:pPr>
        <w:ind w:left="426"/>
        <w:contextualSpacing/>
        <w:jc w:val="both"/>
        <w:rPr>
          <w:rFonts w:ascii="Bookman Old Style" w:hAnsi="Bookman Old Style"/>
        </w:rPr>
      </w:pPr>
    </w:p>
    <w:p w14:paraId="07D4F1D2" w14:textId="77777777" w:rsidR="00335D55" w:rsidRPr="00E44A7B" w:rsidRDefault="00273FFB" w:rsidP="00335D55">
      <w:pPr>
        <w:contextualSpacing/>
        <w:jc w:val="both"/>
        <w:rPr>
          <w:rFonts w:ascii="Bookman Old Style" w:hAnsi="Bookman Old Style"/>
        </w:rPr>
      </w:pPr>
      <m:oMathPara>
        <m:oMath>
          <m:sSub>
            <m:sSubPr>
              <m:ctrlPr>
                <w:rPr>
                  <w:rFonts w:ascii="Cambria Math" w:hAnsi="Cambria Math"/>
                  <w:i/>
                </w:rPr>
              </m:ctrlPr>
            </m:sSubPr>
            <m:e>
              <m:r>
                <w:rPr>
                  <w:rFonts w:ascii="Cambria Math" w:hAnsi="Cambria Math"/>
                </w:rPr>
                <m:t>D</m:t>
              </m:r>
            </m:e>
            <m:sub>
              <m:r>
                <w:rPr>
                  <w:rFonts w:ascii="Cambria Math" w:hAnsi="Cambria Math"/>
                </w:rPr>
                <m:t>m</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f,d</m:t>
                  </m:r>
                </m:sub>
                <m:sup/>
                <m:e>
                  <m:sSub>
                    <m:sSubPr>
                      <m:ctrlPr>
                        <w:rPr>
                          <w:rFonts w:ascii="Cambria Math" w:hAnsi="Cambria Math"/>
                          <w:i/>
                        </w:rPr>
                      </m:ctrlPr>
                    </m:sSubPr>
                    <m:e>
                      <m:r>
                        <w:rPr>
                          <w:rFonts w:ascii="Cambria Math" w:hAnsi="Cambria Math"/>
                        </w:rPr>
                        <m:t>Q_Ad</m:t>
                      </m:r>
                    </m:e>
                    <m:sub>
                      <m:r>
                        <w:rPr>
                          <w:rFonts w:ascii="Cambria Math" w:hAnsi="Cambria Math"/>
                        </w:rPr>
                        <m:t>f,d,m</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f,m</m:t>
                      </m:r>
                    </m:sub>
                  </m:sSub>
                  <m:r>
                    <w:rPr>
                      <w:rFonts w:ascii="Cambria Math" w:hAnsi="Cambria Math"/>
                    </w:rPr>
                    <m:t>*d</m:t>
                  </m:r>
                </m:e>
              </m:nary>
            </m:num>
            <m:den>
              <m:nary>
                <m:naryPr>
                  <m:chr m:val="∑"/>
                  <m:limLoc m:val="undOvr"/>
                  <m:supHide m:val="1"/>
                  <m:ctrlPr>
                    <w:rPr>
                      <w:rFonts w:ascii="Cambria Math" w:hAnsi="Cambria Math"/>
                      <w:i/>
                    </w:rPr>
                  </m:ctrlPr>
                </m:naryPr>
                <m:sub>
                  <m:r>
                    <w:rPr>
                      <w:rFonts w:ascii="Cambria Math" w:hAnsi="Cambria Math"/>
                    </w:rPr>
                    <m:t>f</m:t>
                  </m:r>
                </m:sub>
                <m:sup/>
                <m:e>
                  <m:sSub>
                    <m:sSubPr>
                      <m:ctrlPr>
                        <w:rPr>
                          <w:rFonts w:ascii="Cambria Math" w:hAnsi="Cambria Math"/>
                          <w:i/>
                        </w:rPr>
                      </m:ctrlPr>
                    </m:sSubPr>
                    <m:e>
                      <m:r>
                        <w:rPr>
                          <w:rFonts w:ascii="Cambria Math" w:hAnsi="Cambria Math"/>
                        </w:rPr>
                        <m:t>Q_OPC</m:t>
                      </m:r>
                    </m:e>
                    <m:sub>
                      <m:r>
                        <w:rPr>
                          <w:rFonts w:ascii="Cambria Math" w:hAnsi="Cambria Math"/>
                        </w:rPr>
                        <m:t>f,m</m:t>
                      </m:r>
                    </m:sub>
                  </m:sSub>
                </m:e>
              </m:nary>
            </m:den>
          </m:f>
        </m:oMath>
      </m:oMathPara>
    </w:p>
    <w:p w14:paraId="0F4DCB6D" w14:textId="77777777" w:rsidR="00335D55" w:rsidRPr="00E44A7B" w:rsidRDefault="00335D55" w:rsidP="00335D55">
      <w:pPr>
        <w:ind w:left="426"/>
        <w:contextualSpacing/>
        <w:jc w:val="both"/>
        <w:rPr>
          <w:rFonts w:ascii="Bookman Old Style" w:hAnsi="Bookman Old Style"/>
        </w:rPr>
      </w:pPr>
    </w:p>
    <w:p w14:paraId="3681C8AC" w14:textId="77777777" w:rsidR="00335D55" w:rsidRPr="00E44A7B" w:rsidRDefault="00335D55" w:rsidP="00335D55">
      <w:pPr>
        <w:ind w:left="426"/>
        <w:contextualSpacing/>
        <w:jc w:val="both"/>
        <w:rPr>
          <w:rFonts w:ascii="Bookman Old Style" w:hAnsi="Bookman Old Style"/>
        </w:rPr>
      </w:pPr>
      <w:r w:rsidRPr="00E44A7B">
        <w:rPr>
          <w:rFonts w:ascii="Bookman Old Style" w:hAnsi="Bookman Old Style"/>
        </w:rPr>
        <w:t>En donde,</w:t>
      </w:r>
    </w:p>
    <w:p w14:paraId="2BFC518B" w14:textId="77777777" w:rsidR="00335D55" w:rsidRPr="00E44A7B" w:rsidRDefault="00335D55" w:rsidP="00335D55">
      <w:pPr>
        <w:ind w:left="426"/>
        <w:contextualSpacing/>
        <w:jc w:val="both"/>
        <w:rPr>
          <w:rFonts w:ascii="Bookman Old Style" w:hAnsi="Bookman Old Style"/>
        </w:rPr>
      </w:pPr>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3"/>
        <w:gridCol w:w="7361"/>
      </w:tblGrid>
      <w:tr w:rsidR="00335D55" w:rsidRPr="00E44A7B" w14:paraId="5F940356" w14:textId="77777777" w:rsidTr="009B2B27">
        <w:trPr>
          <w:trHeight w:val="319"/>
        </w:trPr>
        <w:tc>
          <w:tcPr>
            <w:tcW w:w="1276" w:type="dxa"/>
          </w:tcPr>
          <w:p w14:paraId="09D0F9EC" w14:textId="77777777" w:rsidR="00335D55" w:rsidRPr="00E44A7B" w:rsidRDefault="00273FFB" w:rsidP="009B2C4F">
            <w:pPr>
              <w:ind w:left="0"/>
              <w:contextualSpacing/>
              <w:jc w:val="both"/>
              <w:rPr>
                <w:rFonts w:ascii="Bookman Old Style" w:hAnsi="Bookman Old Style"/>
              </w:rPr>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m</m:t>
                    </m:r>
                  </m:sub>
                </m:sSub>
              </m:oMath>
            </m:oMathPara>
          </w:p>
        </w:tc>
        <w:tc>
          <w:tcPr>
            <w:tcW w:w="293" w:type="dxa"/>
          </w:tcPr>
          <w:p w14:paraId="31107D98"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w:t>
            </w:r>
          </w:p>
        </w:tc>
        <w:tc>
          <w:tcPr>
            <w:tcW w:w="7361" w:type="dxa"/>
          </w:tcPr>
          <w:p w14:paraId="53B7E4B5" w14:textId="191D71E3" w:rsidR="00335D55" w:rsidRDefault="00335D55" w:rsidP="009B2C4F">
            <w:pPr>
              <w:ind w:left="0"/>
              <w:contextualSpacing/>
              <w:jc w:val="both"/>
              <w:rPr>
                <w:rFonts w:ascii="Bookman Old Style" w:hAnsi="Bookman Old Style"/>
              </w:rPr>
            </w:pPr>
            <w:r w:rsidRPr="00E44A7B">
              <w:rPr>
                <w:rFonts w:ascii="Bookman Old Style" w:hAnsi="Bookman Old Style"/>
              </w:rPr>
              <w:t xml:space="preserve">Descuento aplicable al GLP de fuentes de producción nacional con precio regulado, suministrado en el mes </w:t>
            </w:r>
            <w:r w:rsidR="00FF0A7E">
              <w:rPr>
                <w:rFonts w:ascii="Bookman Old Style" w:hAnsi="Bookman Old Style"/>
              </w:rPr>
              <w:t>(</w:t>
            </w:r>
            <w:r w:rsidRPr="00E44A7B">
              <w:rPr>
                <w:rFonts w:ascii="Bookman Old Style" w:hAnsi="Bookman Old Style"/>
                <w:i/>
              </w:rPr>
              <w:t>m</w:t>
            </w:r>
            <w:r w:rsidR="00FF0A7E">
              <w:rPr>
                <w:rFonts w:ascii="Bookman Old Style" w:hAnsi="Bookman Old Style"/>
                <w:i/>
              </w:rPr>
              <w:t>)</w:t>
            </w:r>
            <w:r w:rsidRPr="00E44A7B">
              <w:rPr>
                <w:rFonts w:ascii="Bookman Old Style" w:hAnsi="Bookman Old Style"/>
              </w:rPr>
              <w:t>, expresado en pesos por kilogramo.</w:t>
            </w:r>
          </w:p>
          <w:p w14:paraId="358C39D9" w14:textId="219B0913" w:rsidR="00FF0A7E" w:rsidRPr="00E44A7B" w:rsidRDefault="00FF0A7E" w:rsidP="009B2C4F">
            <w:pPr>
              <w:ind w:left="0"/>
              <w:contextualSpacing/>
              <w:jc w:val="both"/>
              <w:rPr>
                <w:rFonts w:ascii="Bookman Old Style" w:hAnsi="Bookman Old Style"/>
              </w:rPr>
            </w:pPr>
          </w:p>
        </w:tc>
      </w:tr>
      <w:tr w:rsidR="00335D55" w:rsidRPr="00E44A7B" w14:paraId="7BB781A2" w14:textId="77777777" w:rsidTr="009B2B27">
        <w:trPr>
          <w:trHeight w:val="321"/>
        </w:trPr>
        <w:tc>
          <w:tcPr>
            <w:tcW w:w="1276" w:type="dxa"/>
          </w:tcPr>
          <w:p w14:paraId="4C50DB59" w14:textId="77777777" w:rsidR="00335D55" w:rsidRPr="00E44A7B" w:rsidRDefault="00273FFB" w:rsidP="009B2C4F">
            <w:pPr>
              <w:ind w:left="0"/>
              <w:contextualSpacing/>
              <w:jc w:val="both"/>
              <w:rPr>
                <w:rFonts w:ascii="Bookman Old Style" w:hAnsi="Bookman Old Style"/>
              </w:rPr>
            </w:pPr>
            <m:oMathPara>
              <m:oMathParaPr>
                <m:jc m:val="left"/>
              </m:oMathParaPr>
              <m:oMath>
                <m:sSub>
                  <m:sSubPr>
                    <m:ctrlPr>
                      <w:rPr>
                        <w:rFonts w:ascii="Cambria Math" w:hAnsi="Cambria Math"/>
                        <w:i/>
                      </w:rPr>
                    </m:ctrlPr>
                  </m:sSubPr>
                  <m:e>
                    <m:r>
                      <w:rPr>
                        <w:rFonts w:ascii="Cambria Math" w:hAnsi="Cambria Math"/>
                      </w:rPr>
                      <m:t>Q_Ad</m:t>
                    </m:r>
                  </m:e>
                  <m:sub>
                    <m:r>
                      <w:rPr>
                        <w:rFonts w:ascii="Cambria Math" w:hAnsi="Cambria Math"/>
                      </w:rPr>
                      <m:t>f,d,m</m:t>
                    </m:r>
                  </m:sub>
                </m:sSub>
              </m:oMath>
            </m:oMathPara>
          </w:p>
        </w:tc>
        <w:tc>
          <w:tcPr>
            <w:tcW w:w="293" w:type="dxa"/>
          </w:tcPr>
          <w:p w14:paraId="54FBCEC1"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w:t>
            </w:r>
          </w:p>
        </w:tc>
        <w:tc>
          <w:tcPr>
            <w:tcW w:w="7361" w:type="dxa"/>
          </w:tcPr>
          <w:p w14:paraId="5B37B1C1" w14:textId="74F03763" w:rsidR="00335D55" w:rsidRPr="00E44A7B" w:rsidRDefault="00335D55" w:rsidP="009B2C4F">
            <w:pPr>
              <w:ind w:left="0"/>
              <w:contextualSpacing/>
              <w:jc w:val="both"/>
              <w:rPr>
                <w:rFonts w:ascii="Bookman Old Style" w:hAnsi="Bookman Old Style"/>
              </w:rPr>
            </w:pPr>
            <w:r>
              <w:rPr>
                <w:rFonts w:ascii="Bookman Old Style" w:hAnsi="Bookman Old Style"/>
              </w:rPr>
              <w:t>C</w:t>
            </w:r>
            <w:r w:rsidRPr="00E44A7B">
              <w:rPr>
                <w:rFonts w:ascii="Bookman Old Style" w:hAnsi="Bookman Old Style"/>
              </w:rPr>
              <w:t xml:space="preserve">antidades </w:t>
            </w:r>
            <w:r>
              <w:rPr>
                <w:rFonts w:ascii="Bookman Old Style" w:hAnsi="Bookman Old Style"/>
              </w:rPr>
              <w:t xml:space="preserve">que exceden el 10% de lo </w:t>
            </w:r>
            <w:r w:rsidR="00FF0A7E">
              <w:rPr>
                <w:rFonts w:ascii="Bookman Old Style" w:hAnsi="Bookman Old Style"/>
              </w:rPr>
              <w:t>asignado</w:t>
            </w:r>
            <w:r>
              <w:rPr>
                <w:rFonts w:ascii="Bookman Old Style" w:hAnsi="Bookman Old Style"/>
              </w:rPr>
              <w:t xml:space="preserve"> en la OPC original </w:t>
            </w:r>
            <w:r w:rsidR="00FF0A7E">
              <w:rPr>
                <w:rFonts w:ascii="Bookman Old Style" w:hAnsi="Bookman Old Style"/>
              </w:rPr>
              <w:t>en el mes (</w:t>
            </w:r>
            <w:r w:rsidR="00FF0A7E" w:rsidRPr="00FF0A7E">
              <w:rPr>
                <w:rFonts w:ascii="Bookman Old Style" w:hAnsi="Bookman Old Style"/>
                <w:i/>
              </w:rPr>
              <w:t>m</w:t>
            </w:r>
            <w:r w:rsidR="00FF0A7E">
              <w:rPr>
                <w:rFonts w:ascii="Bookman Old Style" w:hAnsi="Bookman Old Style"/>
                <w:i/>
              </w:rPr>
              <w:t>)</w:t>
            </w:r>
            <w:r w:rsidR="00FF0A7E">
              <w:rPr>
                <w:rFonts w:ascii="Bookman Old Style" w:hAnsi="Bookman Old Style"/>
              </w:rPr>
              <w:t xml:space="preserve"> </w:t>
            </w:r>
            <w:r w:rsidRPr="00E44A7B">
              <w:rPr>
                <w:rFonts w:ascii="Bookman Old Style" w:hAnsi="Bookman Old Style"/>
              </w:rPr>
              <w:t xml:space="preserve">y </w:t>
            </w:r>
            <w:r w:rsidR="00FF0A7E">
              <w:rPr>
                <w:rFonts w:ascii="Bookman Old Style" w:hAnsi="Bookman Old Style"/>
              </w:rPr>
              <w:t>la fuente (</w:t>
            </w:r>
            <w:r w:rsidR="00FF0A7E" w:rsidRPr="00FF0A7E">
              <w:rPr>
                <w:rFonts w:ascii="Bookman Old Style" w:hAnsi="Bookman Old Style"/>
                <w:i/>
              </w:rPr>
              <w:t>f</w:t>
            </w:r>
            <w:r w:rsidR="00FF0A7E">
              <w:rPr>
                <w:rFonts w:ascii="Bookman Old Style" w:hAnsi="Bookman Old Style"/>
                <w:i/>
              </w:rPr>
              <w:t>)</w:t>
            </w:r>
            <w:r w:rsidR="00FF0A7E" w:rsidRPr="00FF0A7E">
              <w:rPr>
                <w:rFonts w:ascii="Bookman Old Style" w:hAnsi="Bookman Old Style"/>
                <w:i/>
              </w:rPr>
              <w:t xml:space="preserve"> </w:t>
            </w:r>
            <w:r w:rsidRPr="00E44A7B">
              <w:rPr>
                <w:rFonts w:ascii="Bookman Old Style" w:hAnsi="Bookman Old Style"/>
              </w:rPr>
              <w:t xml:space="preserve">y son ofrecidas para ser suministradas en el mes </w:t>
            </w:r>
            <w:r w:rsidR="00FF0A7E">
              <w:rPr>
                <w:rFonts w:ascii="Bookman Old Style" w:hAnsi="Bookman Old Style"/>
              </w:rPr>
              <w:t>(</w:t>
            </w:r>
            <w:r w:rsidRPr="00E44A7B">
              <w:rPr>
                <w:rFonts w:ascii="Bookman Old Style" w:hAnsi="Bookman Old Style"/>
                <w:i/>
              </w:rPr>
              <w:t>m</w:t>
            </w:r>
            <w:r w:rsidR="00FF0A7E">
              <w:rPr>
                <w:rFonts w:ascii="Bookman Old Style" w:hAnsi="Bookman Old Style"/>
                <w:i/>
              </w:rPr>
              <w:t>)</w:t>
            </w:r>
            <w:r w:rsidRPr="00E44A7B">
              <w:rPr>
                <w:rFonts w:ascii="Bookman Old Style" w:hAnsi="Bookman Old Style"/>
              </w:rPr>
              <w:t>, expresadas en kilogramos.</w:t>
            </w:r>
          </w:p>
          <w:p w14:paraId="02AB2BAF" w14:textId="77777777" w:rsidR="00335D55" w:rsidRPr="00E44A7B" w:rsidRDefault="00335D55" w:rsidP="009B2C4F">
            <w:pPr>
              <w:ind w:left="0"/>
              <w:contextualSpacing/>
              <w:jc w:val="both"/>
              <w:rPr>
                <w:rFonts w:ascii="Bookman Old Style" w:hAnsi="Bookman Old Style"/>
              </w:rPr>
            </w:pPr>
          </w:p>
        </w:tc>
      </w:tr>
      <w:tr w:rsidR="00335D55" w:rsidRPr="00E44A7B" w14:paraId="53F6034B" w14:textId="77777777" w:rsidTr="009B2B27">
        <w:tc>
          <w:tcPr>
            <w:tcW w:w="1276" w:type="dxa"/>
          </w:tcPr>
          <w:p w14:paraId="49F5125F" w14:textId="77777777" w:rsidR="00335D55" w:rsidRPr="00E44A7B" w:rsidRDefault="00273FFB" w:rsidP="009B2C4F">
            <w:pPr>
              <w:ind w:left="0"/>
              <w:contextualSpacing/>
              <w:jc w:val="both"/>
              <w:rPr>
                <w:rFonts w:ascii="Bookman Old Style" w:hAnsi="Bookman Old Style"/>
              </w:rPr>
            </w:pPr>
            <m:oMathPara>
              <m:oMathParaPr>
                <m:jc m:val="left"/>
              </m:oMathParaPr>
              <m:oMath>
                <m:sSub>
                  <m:sSubPr>
                    <m:ctrlPr>
                      <w:rPr>
                        <w:rFonts w:ascii="Cambria Math" w:hAnsi="Cambria Math"/>
                        <w:i/>
                      </w:rPr>
                    </m:ctrlPr>
                  </m:sSubPr>
                  <m:e>
                    <m:r>
                      <w:rPr>
                        <w:rFonts w:ascii="Cambria Math" w:hAnsi="Cambria Math"/>
                      </w:rPr>
                      <m:t>G</m:t>
                    </m:r>
                  </m:e>
                  <m:sub>
                    <m:r>
                      <w:rPr>
                        <w:rFonts w:ascii="Cambria Math" w:hAnsi="Cambria Math"/>
                      </w:rPr>
                      <m:t>f,m</m:t>
                    </m:r>
                  </m:sub>
                </m:sSub>
              </m:oMath>
            </m:oMathPara>
          </w:p>
        </w:tc>
        <w:tc>
          <w:tcPr>
            <w:tcW w:w="293" w:type="dxa"/>
          </w:tcPr>
          <w:p w14:paraId="59CEB448"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w:t>
            </w:r>
          </w:p>
        </w:tc>
        <w:tc>
          <w:tcPr>
            <w:tcW w:w="7361" w:type="dxa"/>
          </w:tcPr>
          <w:p w14:paraId="69E70BF7" w14:textId="79BED91D" w:rsidR="00335D55" w:rsidRPr="00E44A7B" w:rsidRDefault="00335D55" w:rsidP="009B2C4F">
            <w:pPr>
              <w:ind w:left="0"/>
              <w:contextualSpacing/>
              <w:jc w:val="both"/>
              <w:rPr>
                <w:rFonts w:ascii="Bookman Old Style" w:hAnsi="Bookman Old Style"/>
              </w:rPr>
            </w:pPr>
            <w:r w:rsidRPr="00E44A7B">
              <w:rPr>
                <w:rFonts w:ascii="Bookman Old Style" w:hAnsi="Bookman Old Style"/>
              </w:rPr>
              <w:t xml:space="preserve">Precio máximo regulado de suministro de GLP, de la fuente de producción nacional </w:t>
            </w:r>
            <w:r w:rsidR="00FF0A7E">
              <w:rPr>
                <w:rFonts w:ascii="Bookman Old Style" w:hAnsi="Bookman Old Style"/>
              </w:rPr>
              <w:t>(</w:t>
            </w:r>
            <w:r w:rsidRPr="00E44A7B">
              <w:rPr>
                <w:rFonts w:ascii="Bookman Old Style" w:hAnsi="Bookman Old Style"/>
                <w:i/>
              </w:rPr>
              <w:t>f</w:t>
            </w:r>
            <w:r w:rsidR="00FF0A7E">
              <w:rPr>
                <w:rFonts w:ascii="Bookman Old Style" w:hAnsi="Bookman Old Style"/>
                <w:i/>
              </w:rPr>
              <w:t>)</w:t>
            </w:r>
            <w:r w:rsidRPr="00E44A7B">
              <w:rPr>
                <w:rFonts w:ascii="Bookman Old Style" w:hAnsi="Bookman Old Style"/>
              </w:rPr>
              <w:t xml:space="preserve">, aplicable al suministro efectuado en el mes </w:t>
            </w:r>
            <w:r w:rsidR="00FF0A7E">
              <w:rPr>
                <w:rFonts w:ascii="Bookman Old Style" w:hAnsi="Bookman Old Style"/>
              </w:rPr>
              <w:t>(</w:t>
            </w:r>
            <w:r w:rsidRPr="00E44A7B">
              <w:rPr>
                <w:rFonts w:ascii="Bookman Old Style" w:hAnsi="Bookman Old Style"/>
                <w:i/>
              </w:rPr>
              <w:t>m</w:t>
            </w:r>
            <w:r w:rsidR="00FF0A7E">
              <w:rPr>
                <w:rFonts w:ascii="Bookman Old Style" w:hAnsi="Bookman Old Style"/>
                <w:i/>
              </w:rPr>
              <w:t>)</w:t>
            </w:r>
            <w:r w:rsidRPr="00E44A7B">
              <w:rPr>
                <w:rFonts w:ascii="Bookman Old Style" w:hAnsi="Bookman Old Style"/>
              </w:rPr>
              <w:t>, expresado en pesos por kilogramo, según lo definido en la regulación.</w:t>
            </w:r>
          </w:p>
          <w:p w14:paraId="5FC2EC74" w14:textId="77777777" w:rsidR="00335D55" w:rsidRPr="00E44A7B" w:rsidRDefault="00335D55" w:rsidP="009B2C4F">
            <w:pPr>
              <w:ind w:left="0"/>
              <w:contextualSpacing/>
              <w:jc w:val="both"/>
              <w:rPr>
                <w:rFonts w:ascii="Bookman Old Style" w:hAnsi="Bookman Old Style"/>
              </w:rPr>
            </w:pPr>
          </w:p>
        </w:tc>
      </w:tr>
      <w:tr w:rsidR="00335D55" w:rsidRPr="00E44A7B" w14:paraId="361A5340" w14:textId="77777777" w:rsidTr="009B2B27">
        <w:tc>
          <w:tcPr>
            <w:tcW w:w="1276" w:type="dxa"/>
          </w:tcPr>
          <w:p w14:paraId="1FE93654" w14:textId="77777777" w:rsidR="00335D55" w:rsidRPr="00E44A7B" w:rsidRDefault="00273FFB" w:rsidP="009B2C4F">
            <w:pPr>
              <w:ind w:left="0"/>
              <w:contextualSpacing/>
              <w:jc w:val="both"/>
            </w:pPr>
            <m:oMathPara>
              <m:oMathParaPr>
                <m:jc m:val="left"/>
              </m:oMathParaPr>
              <m:oMath>
                <m:sSub>
                  <m:sSubPr>
                    <m:ctrlPr>
                      <w:rPr>
                        <w:rFonts w:ascii="Cambria Math" w:hAnsi="Cambria Math"/>
                        <w:i/>
                      </w:rPr>
                    </m:ctrlPr>
                  </m:sSubPr>
                  <m:e>
                    <m:r>
                      <w:rPr>
                        <w:rFonts w:ascii="Cambria Math" w:hAnsi="Cambria Math"/>
                      </w:rPr>
                      <m:t>Q_OPC</m:t>
                    </m:r>
                  </m:e>
                  <m:sub>
                    <m:r>
                      <w:rPr>
                        <w:rFonts w:ascii="Cambria Math" w:hAnsi="Cambria Math"/>
                      </w:rPr>
                      <m:t>f,m</m:t>
                    </m:r>
                  </m:sub>
                </m:sSub>
              </m:oMath>
            </m:oMathPara>
          </w:p>
        </w:tc>
        <w:tc>
          <w:tcPr>
            <w:tcW w:w="293" w:type="dxa"/>
          </w:tcPr>
          <w:p w14:paraId="50D60570"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w:t>
            </w:r>
          </w:p>
        </w:tc>
        <w:tc>
          <w:tcPr>
            <w:tcW w:w="7361" w:type="dxa"/>
          </w:tcPr>
          <w:p w14:paraId="3D9B7A1F" w14:textId="3CED72D9" w:rsidR="00335D55" w:rsidRPr="00E44A7B" w:rsidRDefault="00335D55" w:rsidP="009B2C4F">
            <w:pPr>
              <w:ind w:left="0"/>
              <w:contextualSpacing/>
              <w:jc w:val="both"/>
              <w:rPr>
                <w:rFonts w:ascii="Bookman Old Style" w:hAnsi="Bookman Old Style"/>
              </w:rPr>
            </w:pPr>
            <w:r w:rsidRPr="00E44A7B">
              <w:rPr>
                <w:rFonts w:ascii="Bookman Old Style" w:hAnsi="Bookman Old Style"/>
              </w:rPr>
              <w:t xml:space="preserve">Cantidades asignadas en OPC </w:t>
            </w:r>
            <w:r w:rsidR="00FF0A7E">
              <w:rPr>
                <w:rFonts w:ascii="Bookman Old Style" w:hAnsi="Bookman Old Style"/>
              </w:rPr>
              <w:t xml:space="preserve">original </w:t>
            </w:r>
            <w:r w:rsidRPr="00E44A7B">
              <w:rPr>
                <w:rFonts w:ascii="Bookman Old Style" w:hAnsi="Bookman Old Style"/>
              </w:rPr>
              <w:t xml:space="preserve">y en OPC adicional de la fuente de producción nacional </w:t>
            </w:r>
            <w:r w:rsidR="00FF0A7E">
              <w:rPr>
                <w:rFonts w:ascii="Bookman Old Style" w:hAnsi="Bookman Old Style"/>
              </w:rPr>
              <w:t>(</w:t>
            </w:r>
            <w:r w:rsidRPr="00E44A7B">
              <w:rPr>
                <w:rFonts w:ascii="Bookman Old Style" w:hAnsi="Bookman Old Style"/>
                <w:i/>
              </w:rPr>
              <w:t>f</w:t>
            </w:r>
            <w:r w:rsidR="00FF0A7E">
              <w:rPr>
                <w:rFonts w:ascii="Bookman Old Style" w:hAnsi="Bookman Old Style"/>
                <w:i/>
              </w:rPr>
              <w:t>)</w:t>
            </w:r>
            <w:r w:rsidRPr="00E44A7B">
              <w:rPr>
                <w:rFonts w:ascii="Bookman Old Style" w:hAnsi="Bookman Old Style"/>
              </w:rPr>
              <w:t xml:space="preserve">, suministradas en el mes </w:t>
            </w:r>
            <w:r w:rsidR="00FF0A7E">
              <w:rPr>
                <w:rFonts w:ascii="Bookman Old Style" w:hAnsi="Bookman Old Style"/>
              </w:rPr>
              <w:t>(</w:t>
            </w:r>
            <w:r w:rsidRPr="00E44A7B">
              <w:rPr>
                <w:rFonts w:ascii="Bookman Old Style" w:hAnsi="Bookman Old Style"/>
                <w:i/>
              </w:rPr>
              <w:t>m</w:t>
            </w:r>
            <w:r w:rsidR="00FF0A7E">
              <w:rPr>
                <w:rFonts w:ascii="Bookman Old Style" w:hAnsi="Bookman Old Style"/>
                <w:i/>
              </w:rPr>
              <w:t>)</w:t>
            </w:r>
            <w:r w:rsidRPr="00E44A7B">
              <w:rPr>
                <w:rFonts w:ascii="Bookman Old Style" w:hAnsi="Bookman Old Style"/>
              </w:rPr>
              <w:t>.</w:t>
            </w:r>
          </w:p>
          <w:p w14:paraId="10A8C856" w14:textId="77777777" w:rsidR="00335D55" w:rsidRPr="00E44A7B" w:rsidRDefault="00335D55" w:rsidP="009B2C4F">
            <w:pPr>
              <w:ind w:left="0"/>
              <w:contextualSpacing/>
              <w:jc w:val="both"/>
              <w:rPr>
                <w:rFonts w:ascii="Bookman Old Style" w:hAnsi="Bookman Old Style"/>
              </w:rPr>
            </w:pPr>
          </w:p>
        </w:tc>
      </w:tr>
      <w:tr w:rsidR="00335D55" w:rsidRPr="00E44A7B" w14:paraId="103AC1B7" w14:textId="77777777" w:rsidTr="009B2B27">
        <w:tc>
          <w:tcPr>
            <w:tcW w:w="1276" w:type="dxa"/>
          </w:tcPr>
          <w:p w14:paraId="2AF88715" w14:textId="77777777" w:rsidR="00335D55" w:rsidRPr="00E44A7B" w:rsidRDefault="00335D55" w:rsidP="009B2C4F">
            <w:pPr>
              <w:ind w:left="0"/>
              <w:contextualSpacing/>
              <w:jc w:val="both"/>
              <w:rPr>
                <w:rFonts w:ascii="Bookman Old Style" w:hAnsi="Bookman Old Style"/>
              </w:rPr>
            </w:pPr>
            <m:oMathPara>
              <m:oMathParaPr>
                <m:jc m:val="left"/>
              </m:oMathParaPr>
              <m:oMath>
                <m:r>
                  <w:rPr>
                    <w:rFonts w:ascii="Cambria Math" w:hAnsi="Cambria Math"/>
                  </w:rPr>
                  <m:t>d</m:t>
                </m:r>
              </m:oMath>
            </m:oMathPara>
          </w:p>
        </w:tc>
        <w:tc>
          <w:tcPr>
            <w:tcW w:w="293" w:type="dxa"/>
          </w:tcPr>
          <w:p w14:paraId="1B62F963"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w:t>
            </w:r>
          </w:p>
        </w:tc>
        <w:tc>
          <w:tcPr>
            <w:tcW w:w="7361" w:type="dxa"/>
          </w:tcPr>
          <w:p w14:paraId="3F060CC1" w14:textId="372088AE" w:rsidR="00335D55" w:rsidRPr="00E44A7B" w:rsidRDefault="00335D55" w:rsidP="009B2C4F">
            <w:pPr>
              <w:ind w:left="0"/>
              <w:contextualSpacing/>
              <w:jc w:val="both"/>
              <w:rPr>
                <w:rFonts w:ascii="Bookman Old Style" w:hAnsi="Bookman Old Style"/>
              </w:rPr>
            </w:pPr>
            <w:r w:rsidRPr="00E44A7B">
              <w:rPr>
                <w:rFonts w:ascii="Bookman Old Style" w:hAnsi="Bookman Old Style"/>
              </w:rPr>
              <w:t xml:space="preserve">Descuento </w:t>
            </w:r>
            <w:r w:rsidR="00752385">
              <w:rPr>
                <w:rFonts w:ascii="Bookman Old Style" w:hAnsi="Bookman Old Style"/>
              </w:rPr>
              <w:t xml:space="preserve">del 50% </w:t>
            </w:r>
            <w:r w:rsidRPr="00E44A7B">
              <w:rPr>
                <w:rFonts w:ascii="Bookman Old Style" w:hAnsi="Bookman Old Style"/>
              </w:rPr>
              <w:t xml:space="preserve">aplicable a cantidades </w:t>
            </w:r>
            <w:r w:rsidR="00757AD6">
              <w:rPr>
                <w:rFonts w:ascii="Bookman Old Style" w:hAnsi="Bookman Old Style"/>
              </w:rPr>
              <w:t>ofrecidas en una OPC adicional y</w:t>
            </w:r>
            <w:r w:rsidR="00752385" w:rsidRPr="00E44A7B">
              <w:rPr>
                <w:rFonts w:ascii="Bookman Old Style" w:hAnsi="Bookman Old Style"/>
              </w:rPr>
              <w:t xml:space="preserve"> </w:t>
            </w:r>
            <w:r w:rsidR="00752385">
              <w:rPr>
                <w:rFonts w:ascii="Bookman Old Style" w:hAnsi="Bookman Old Style"/>
              </w:rPr>
              <w:t>que excedan el 10% de lo asignado en la OPC original</w:t>
            </w:r>
            <w:r w:rsidRPr="00E44A7B">
              <w:rPr>
                <w:rFonts w:ascii="Bookman Old Style" w:hAnsi="Bookman Old Style"/>
              </w:rPr>
              <w:t>.</w:t>
            </w:r>
          </w:p>
          <w:p w14:paraId="66240E05" w14:textId="77777777" w:rsidR="00335D55" w:rsidRPr="00E44A7B" w:rsidRDefault="00335D55" w:rsidP="009B2C4F">
            <w:pPr>
              <w:ind w:left="0"/>
              <w:contextualSpacing/>
              <w:jc w:val="both"/>
              <w:rPr>
                <w:rFonts w:ascii="Bookman Old Style" w:hAnsi="Bookman Old Style"/>
              </w:rPr>
            </w:pPr>
          </w:p>
        </w:tc>
      </w:tr>
      <w:tr w:rsidR="00335D55" w:rsidRPr="00E44A7B" w14:paraId="3124EFFD" w14:textId="77777777" w:rsidTr="009B2B27">
        <w:tc>
          <w:tcPr>
            <w:tcW w:w="1276" w:type="dxa"/>
          </w:tcPr>
          <w:p w14:paraId="39265289" w14:textId="77777777" w:rsidR="00335D55" w:rsidRPr="00E44A7B" w:rsidRDefault="00335D55" w:rsidP="009B2C4F">
            <w:pPr>
              <w:ind w:left="0"/>
              <w:contextualSpacing/>
              <w:jc w:val="both"/>
              <w:rPr>
                <w:rFonts w:ascii="Bookman Old Style" w:hAnsi="Bookman Old Style"/>
              </w:rPr>
            </w:pPr>
            <m:oMathPara>
              <m:oMathParaPr>
                <m:jc m:val="left"/>
              </m:oMathParaPr>
              <m:oMath>
                <m:r>
                  <w:rPr>
                    <w:rFonts w:ascii="Cambria Math" w:hAnsi="Cambria Math"/>
                  </w:rPr>
                  <m:t>f</m:t>
                </m:r>
              </m:oMath>
            </m:oMathPara>
          </w:p>
        </w:tc>
        <w:tc>
          <w:tcPr>
            <w:tcW w:w="293" w:type="dxa"/>
          </w:tcPr>
          <w:p w14:paraId="0E392F6F"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w:t>
            </w:r>
          </w:p>
        </w:tc>
        <w:tc>
          <w:tcPr>
            <w:tcW w:w="7361" w:type="dxa"/>
          </w:tcPr>
          <w:p w14:paraId="42DD6AC0" w14:textId="77777777" w:rsidR="00335D55" w:rsidRPr="00E44A7B" w:rsidRDefault="00335D55" w:rsidP="009B2C4F">
            <w:pPr>
              <w:ind w:left="0"/>
              <w:contextualSpacing/>
              <w:jc w:val="both"/>
              <w:rPr>
                <w:rFonts w:ascii="Bookman Old Style" w:hAnsi="Bookman Old Style"/>
              </w:rPr>
            </w:pPr>
            <w:r w:rsidRPr="00E44A7B">
              <w:rPr>
                <w:rFonts w:ascii="Bookman Old Style" w:hAnsi="Bookman Old Style"/>
              </w:rPr>
              <w:t>Fuentes de producción nacional con precio regulado.</w:t>
            </w:r>
          </w:p>
          <w:p w14:paraId="43550EC8" w14:textId="77777777" w:rsidR="00335D55" w:rsidRPr="00E44A7B" w:rsidRDefault="00335D55" w:rsidP="009B2C4F">
            <w:pPr>
              <w:ind w:left="0"/>
              <w:contextualSpacing/>
              <w:jc w:val="both"/>
              <w:rPr>
                <w:rFonts w:ascii="Bookman Old Style" w:hAnsi="Bookman Old Style"/>
              </w:rPr>
            </w:pPr>
          </w:p>
        </w:tc>
      </w:tr>
    </w:tbl>
    <w:p w14:paraId="25A50A5C" w14:textId="77777777" w:rsidR="00B71927" w:rsidRDefault="00B71927" w:rsidP="00B71927">
      <w:pPr>
        <w:pStyle w:val="Ttulo1"/>
        <w:keepNext w:val="0"/>
        <w:ind w:left="993"/>
        <w:contextualSpacing/>
        <w:jc w:val="both"/>
        <w:rPr>
          <w:rFonts w:ascii="Bookman Old Style" w:hAnsi="Bookman Old Style"/>
          <w:b w:val="0"/>
        </w:rPr>
      </w:pPr>
    </w:p>
    <w:p w14:paraId="711794E0" w14:textId="64D87938" w:rsidR="00335D55" w:rsidRPr="00FD7CC6" w:rsidRDefault="0079538F" w:rsidP="0079538F">
      <w:pPr>
        <w:pStyle w:val="Ttulo1"/>
        <w:keepNext w:val="0"/>
        <w:contextualSpacing/>
        <w:jc w:val="both"/>
        <w:rPr>
          <w:rFonts w:ascii="Bookman Old Style" w:hAnsi="Bookman Old Style"/>
          <w:b w:val="0"/>
        </w:rPr>
      </w:pPr>
      <w:r>
        <w:rPr>
          <w:rFonts w:ascii="Bookman Old Style" w:hAnsi="Bookman Old Style"/>
          <w:b w:val="0"/>
        </w:rPr>
        <w:t>Este</w:t>
      </w:r>
      <w:r w:rsidR="00335D55" w:rsidRPr="00FD7CC6">
        <w:rPr>
          <w:rFonts w:ascii="Bookman Old Style" w:hAnsi="Bookman Old Style"/>
          <w:b w:val="0"/>
        </w:rPr>
        <w:t xml:space="preserve"> descuento </w:t>
      </w:r>
      <w:r>
        <w:rPr>
          <w:rFonts w:ascii="Bookman Old Style" w:hAnsi="Bookman Old Style"/>
          <w:b w:val="0"/>
        </w:rPr>
        <w:t xml:space="preserve">será </w:t>
      </w:r>
      <w:r w:rsidR="00335D55" w:rsidRPr="00FD7CC6">
        <w:rPr>
          <w:rFonts w:ascii="Bookman Old Style" w:hAnsi="Bookman Old Style"/>
          <w:b w:val="0"/>
        </w:rPr>
        <w:t>calculado y publicado por el comercializador mayorista de GLP de fuentes con precio regulado, de manera conjunta con lo dispuesto para la publicación de precios máximos regulados de suministro de GLP, previsto en la Resolución CREG 059 de 2008, o aquellas que la modifiquen o sustituyan.</w:t>
      </w:r>
    </w:p>
    <w:p w14:paraId="6AB49873" w14:textId="676E9837" w:rsidR="00B31B03" w:rsidRPr="004E2959" w:rsidRDefault="00B31B03" w:rsidP="003E2E35">
      <w:pPr>
        <w:ind w:left="0"/>
        <w:contextualSpacing/>
        <w:jc w:val="both"/>
        <w:rPr>
          <w:rFonts w:ascii="Bookman Old Style" w:hAnsi="Bookman Old Style" w:cs="Arial"/>
        </w:rPr>
      </w:pPr>
    </w:p>
    <w:p w14:paraId="4F31A3C8" w14:textId="2D2DAD9B" w:rsidR="004C4C34" w:rsidRPr="004E2959" w:rsidRDefault="00BD7D9C" w:rsidP="003E2E35">
      <w:pPr>
        <w:ind w:left="0"/>
        <w:contextualSpacing/>
        <w:jc w:val="both"/>
        <w:rPr>
          <w:rFonts w:ascii="Bookman Old Style" w:hAnsi="Bookman Old Style"/>
          <w:i/>
        </w:rPr>
      </w:pPr>
      <w:r w:rsidRPr="004E2959">
        <w:rPr>
          <w:rFonts w:ascii="Bookman Old Style" w:hAnsi="Bookman Old Style"/>
          <w:b/>
        </w:rPr>
        <w:t xml:space="preserve">ARTÍCULO </w:t>
      </w:r>
      <w:r w:rsidR="002F6520">
        <w:rPr>
          <w:rFonts w:ascii="Bookman Old Style" w:hAnsi="Bookman Old Style"/>
          <w:b/>
        </w:rPr>
        <w:t>2</w:t>
      </w:r>
      <w:r w:rsidR="004C4C34" w:rsidRPr="004E2959">
        <w:rPr>
          <w:rFonts w:ascii="Bookman Old Style" w:hAnsi="Bookman Old Style"/>
          <w:b/>
        </w:rPr>
        <w:t xml:space="preserve">. </w:t>
      </w:r>
      <w:r w:rsidR="00CD0DE2" w:rsidRPr="004E2959">
        <w:rPr>
          <w:rFonts w:ascii="Bookman Old Style" w:hAnsi="Bookman Old Style"/>
          <w:b/>
        </w:rPr>
        <w:t>Vigencia</w:t>
      </w:r>
      <w:r w:rsidR="004C4C34" w:rsidRPr="004E2959">
        <w:rPr>
          <w:rFonts w:ascii="Bookman Old Style" w:hAnsi="Bookman Old Style"/>
          <w:b/>
        </w:rPr>
        <w:t xml:space="preserve">. </w:t>
      </w:r>
      <w:r w:rsidR="004C4C34" w:rsidRPr="004E2959">
        <w:rPr>
          <w:rFonts w:ascii="Bookman Old Style" w:hAnsi="Bookman Old Style"/>
        </w:rPr>
        <w:t xml:space="preserve">Esta resolución rige a partir de su publicación en el </w:t>
      </w:r>
      <w:r w:rsidR="004C4C34" w:rsidRPr="004E2959">
        <w:rPr>
          <w:rFonts w:ascii="Bookman Old Style" w:hAnsi="Bookman Old Style"/>
          <w:i/>
        </w:rPr>
        <w:t>Diario Oficial</w:t>
      </w:r>
      <w:r w:rsidR="00E545EB">
        <w:rPr>
          <w:rFonts w:ascii="Bookman Old Style" w:hAnsi="Bookman Old Style"/>
          <w:i/>
        </w:rPr>
        <w:t xml:space="preserve"> </w:t>
      </w:r>
      <w:r w:rsidR="00E545EB" w:rsidRPr="009C5D60">
        <w:rPr>
          <w:rFonts w:ascii="Bookman Old Style" w:hAnsi="Bookman Old Style"/>
          <w:iCs/>
        </w:rPr>
        <w:t>y hasta el 31 de diciembre de 2020</w:t>
      </w:r>
      <w:r w:rsidR="004C4C34" w:rsidRPr="00E545EB">
        <w:rPr>
          <w:rFonts w:ascii="Bookman Old Style" w:hAnsi="Bookman Old Style"/>
          <w:iCs/>
        </w:rPr>
        <w:t>.</w:t>
      </w:r>
    </w:p>
    <w:p w14:paraId="2601DCF7" w14:textId="3086BF02" w:rsidR="006732C1" w:rsidRPr="004E2959" w:rsidRDefault="006732C1" w:rsidP="003E2E35">
      <w:pPr>
        <w:ind w:left="0"/>
        <w:contextualSpacing/>
        <w:rPr>
          <w:rFonts w:ascii="Bookman Old Style" w:hAnsi="Bookman Old Style"/>
        </w:rPr>
      </w:pPr>
    </w:p>
    <w:p w14:paraId="40970EDD" w14:textId="77777777" w:rsidR="006732C1" w:rsidRPr="004E2959" w:rsidRDefault="006732C1" w:rsidP="003E2E35">
      <w:pPr>
        <w:ind w:left="0"/>
        <w:contextualSpacing/>
        <w:rPr>
          <w:rFonts w:ascii="Bookman Old Style" w:hAnsi="Bookman Old Style"/>
        </w:rPr>
      </w:pPr>
    </w:p>
    <w:p w14:paraId="47FE7E38" w14:textId="77777777" w:rsidR="004C4C34" w:rsidRPr="004E2959" w:rsidRDefault="004C4C34" w:rsidP="003E2E35">
      <w:pPr>
        <w:contextualSpacing/>
        <w:jc w:val="center"/>
        <w:rPr>
          <w:rFonts w:ascii="Bookman Old Style" w:hAnsi="Bookman Old Style"/>
          <w:b/>
        </w:rPr>
      </w:pPr>
      <w:r w:rsidRPr="004E2959">
        <w:rPr>
          <w:rFonts w:ascii="Bookman Old Style" w:hAnsi="Bookman Old Style"/>
          <w:b/>
        </w:rPr>
        <w:t>PUBLÍQUESE Y CÚMPLASE</w:t>
      </w:r>
    </w:p>
    <w:p w14:paraId="5A018B8B" w14:textId="77777777" w:rsidR="00A9107B" w:rsidRDefault="00A9107B" w:rsidP="003E2E35">
      <w:pPr>
        <w:ind w:left="0"/>
        <w:contextualSpacing/>
        <w:rPr>
          <w:rFonts w:ascii="Bookman Old Style" w:hAnsi="Bookman Old Style"/>
        </w:rPr>
      </w:pPr>
    </w:p>
    <w:p w14:paraId="045D962F" w14:textId="3E0DBACA" w:rsidR="004C4C34" w:rsidRPr="004E2959" w:rsidRDefault="00057B11" w:rsidP="003E2E35">
      <w:pPr>
        <w:ind w:left="0"/>
        <w:contextualSpacing/>
        <w:rPr>
          <w:rFonts w:ascii="Bookman Old Style" w:hAnsi="Bookman Old Style"/>
        </w:rPr>
      </w:pPr>
      <w:r>
        <w:rPr>
          <w:rFonts w:ascii="Bookman Old Style" w:hAnsi="Bookman Old Style"/>
        </w:rPr>
        <w:t>Firma del proyecto</w:t>
      </w:r>
    </w:p>
    <w:p w14:paraId="7F5F58F8" w14:textId="77777777" w:rsidR="00A56691" w:rsidRDefault="00A56691" w:rsidP="003E2E35">
      <w:pPr>
        <w:ind w:left="0"/>
        <w:contextualSpacing/>
        <w:rPr>
          <w:rFonts w:ascii="Bookman Old Style" w:hAnsi="Bookman Old Style"/>
        </w:rPr>
      </w:pPr>
    </w:p>
    <w:p w14:paraId="11A6BF48" w14:textId="77777777" w:rsidR="00210ADE" w:rsidRDefault="00210ADE" w:rsidP="003E2E35">
      <w:pPr>
        <w:ind w:left="0"/>
        <w:contextualSpacing/>
        <w:rPr>
          <w:rFonts w:ascii="Bookman Old Style" w:hAnsi="Bookman Old Style"/>
        </w:rPr>
      </w:pPr>
    </w:p>
    <w:p w14:paraId="2CAA7099" w14:textId="77777777" w:rsidR="00A9107B" w:rsidRDefault="00A9107B" w:rsidP="003E2E35">
      <w:pPr>
        <w:ind w:left="0"/>
        <w:contextualSpacing/>
        <w:rPr>
          <w:rFonts w:ascii="Bookman Old Style" w:hAnsi="Bookman Old Style"/>
        </w:rPr>
      </w:pPr>
    </w:p>
    <w:p w14:paraId="38B30F40" w14:textId="77777777" w:rsidR="00A9107B" w:rsidRDefault="00A9107B" w:rsidP="003E2E35">
      <w:pPr>
        <w:ind w:left="0"/>
        <w:contextualSpacing/>
        <w:rPr>
          <w:rFonts w:ascii="Bookman Old Style" w:hAnsi="Bookman Old Style"/>
        </w:rPr>
      </w:pPr>
    </w:p>
    <w:p w14:paraId="2C8D9036" w14:textId="77777777" w:rsidR="00A9107B" w:rsidRDefault="00A9107B" w:rsidP="003E2E35">
      <w:pPr>
        <w:ind w:left="0"/>
        <w:contextualSpacing/>
        <w:rPr>
          <w:rFonts w:ascii="Bookman Old Style" w:hAnsi="Bookman Old Style"/>
        </w:rPr>
      </w:pPr>
    </w:p>
    <w:tbl>
      <w:tblPr>
        <w:tblW w:w="5304" w:type="pct"/>
        <w:jc w:val="center"/>
        <w:tblCellMar>
          <w:left w:w="70" w:type="dxa"/>
          <w:right w:w="70" w:type="dxa"/>
        </w:tblCellMar>
        <w:tblLook w:val="04A0" w:firstRow="1" w:lastRow="0" w:firstColumn="1" w:lastColumn="0" w:noHBand="0" w:noVBand="1"/>
      </w:tblPr>
      <w:tblGrid>
        <w:gridCol w:w="4961"/>
        <w:gridCol w:w="4964"/>
      </w:tblGrid>
      <w:tr w:rsidR="001462F3" w:rsidRPr="00FD5CA5" w14:paraId="0D85032F" w14:textId="77777777" w:rsidTr="00083295">
        <w:trPr>
          <w:trHeight w:val="302"/>
          <w:jc w:val="center"/>
        </w:trPr>
        <w:tc>
          <w:tcPr>
            <w:tcW w:w="2499" w:type="pct"/>
            <w:hideMark/>
          </w:tcPr>
          <w:p w14:paraId="0F54BB32" w14:textId="77777777" w:rsidR="001462F3" w:rsidRPr="00FD5CA5" w:rsidRDefault="001462F3" w:rsidP="009B2C4F">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501" w:type="pct"/>
            <w:hideMark/>
          </w:tcPr>
          <w:p w14:paraId="409E21D7" w14:textId="77777777" w:rsidR="001462F3" w:rsidRPr="00FD5CA5" w:rsidRDefault="001462F3" w:rsidP="009B2C4F">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1462F3" w:rsidRPr="00FD5CA5" w14:paraId="2994CB6A" w14:textId="77777777" w:rsidTr="00083295">
        <w:trPr>
          <w:trHeight w:val="572"/>
          <w:jc w:val="center"/>
        </w:trPr>
        <w:tc>
          <w:tcPr>
            <w:tcW w:w="2499" w:type="pct"/>
            <w:hideMark/>
          </w:tcPr>
          <w:p w14:paraId="42D7DFE4" w14:textId="77777777" w:rsidR="001462F3" w:rsidRDefault="001462F3" w:rsidP="009B2C4F">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xml:space="preserve">, </w:t>
            </w:r>
            <w:proofErr w:type="gramStart"/>
            <w:r>
              <w:rPr>
                <w:rFonts w:ascii="Bookman Old Style" w:hAnsi="Bookman Old Style" w:cs="Arial"/>
                <w:spacing w:val="-3"/>
              </w:rPr>
              <w:t>Delegado</w:t>
            </w:r>
            <w:proofErr w:type="gramEnd"/>
            <w:r>
              <w:rPr>
                <w:rFonts w:ascii="Bookman Old Style" w:hAnsi="Bookman Old Style" w:cs="Arial"/>
                <w:spacing w:val="-3"/>
              </w:rPr>
              <w:t xml:space="preserve"> de la Ministra de Minas y Energía</w:t>
            </w:r>
          </w:p>
          <w:p w14:paraId="6EB5020C" w14:textId="77777777" w:rsidR="001462F3" w:rsidRPr="00E927A1" w:rsidRDefault="001462F3" w:rsidP="009B2C4F">
            <w:pPr>
              <w:ind w:left="0"/>
              <w:jc w:val="center"/>
              <w:rPr>
                <w:rFonts w:ascii="Bookman Old Style" w:hAnsi="Bookman Old Style" w:cs="Arial"/>
                <w:spacing w:val="-3"/>
              </w:rPr>
            </w:pPr>
            <w:r>
              <w:rPr>
                <w:rFonts w:ascii="Bookman Old Style" w:hAnsi="Bookman Old Style" w:cs="Arial"/>
                <w:spacing w:val="-3"/>
              </w:rPr>
              <w:t>Presidente</w:t>
            </w:r>
          </w:p>
        </w:tc>
        <w:tc>
          <w:tcPr>
            <w:tcW w:w="2501" w:type="pct"/>
            <w:hideMark/>
          </w:tcPr>
          <w:p w14:paraId="311C667E" w14:textId="77777777" w:rsidR="001462F3" w:rsidRPr="00FD5CA5" w:rsidRDefault="001462F3" w:rsidP="009B2C4F">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7C661221" w14:textId="77777777" w:rsidR="00A9107B" w:rsidRDefault="00A9107B" w:rsidP="003E2E35">
      <w:pPr>
        <w:ind w:left="0"/>
        <w:contextualSpacing/>
        <w:rPr>
          <w:rFonts w:ascii="Bookman Old Style" w:hAnsi="Bookman Old Style"/>
        </w:rPr>
      </w:pPr>
    </w:p>
    <w:sectPr w:rsidR="00A9107B" w:rsidSect="005A59EF">
      <w:headerReference w:type="default" r:id="rId15"/>
      <w:headerReference w:type="first" r:id="rId16"/>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F264E" w14:textId="77777777" w:rsidR="004E0577" w:rsidRDefault="004E0577">
      <w:r>
        <w:separator/>
      </w:r>
    </w:p>
  </w:endnote>
  <w:endnote w:type="continuationSeparator" w:id="0">
    <w:p w14:paraId="6F66C220" w14:textId="77777777" w:rsidR="004E0577" w:rsidRDefault="004E0577">
      <w:r>
        <w:continuationSeparator/>
      </w:r>
    </w:p>
  </w:endnote>
  <w:endnote w:type="continuationNotice" w:id="1">
    <w:p w14:paraId="24E1E80B" w14:textId="77777777" w:rsidR="004E0577" w:rsidRDefault="004E0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05F29" w14:textId="77777777" w:rsidR="004E0577" w:rsidRDefault="004E0577">
      <w:r>
        <w:separator/>
      </w:r>
    </w:p>
  </w:footnote>
  <w:footnote w:type="continuationSeparator" w:id="0">
    <w:p w14:paraId="7AC47788" w14:textId="77777777" w:rsidR="004E0577" w:rsidRDefault="004E0577">
      <w:r>
        <w:continuationSeparator/>
      </w:r>
    </w:p>
  </w:footnote>
  <w:footnote w:type="continuationNotice" w:id="1">
    <w:p w14:paraId="21377BE8" w14:textId="77777777" w:rsidR="004E0577" w:rsidRDefault="004E0577"/>
  </w:footnote>
  <w:footnote w:id="2">
    <w:p w14:paraId="3D12738F" w14:textId="77777777" w:rsidR="0079666F" w:rsidRDefault="0079666F" w:rsidP="0079666F">
      <w:pPr>
        <w:pStyle w:val="footnotedescription"/>
        <w:spacing w:line="244" w:lineRule="auto"/>
        <w:ind w:right="15"/>
      </w:pPr>
      <w:r>
        <w:rPr>
          <w:rStyle w:val="footnotemark"/>
        </w:rPr>
        <w:footnoteRef/>
      </w:r>
      <w:r>
        <w:t xml:space="preserve"> Algunas de estas medidas consistente en: i) aislamiento obligatorio que limitan la libre circulación de vehículos y personas en sus territorios; ii) cierres de fronteras terrestres y marítimas; iii) restricción de transporte intermunicipal; y iv) restricción de vuelos nacionales y desde y hacia el exterior. </w:t>
      </w:r>
    </w:p>
  </w:footnote>
  <w:footnote w:id="3">
    <w:p w14:paraId="7A9AD067" w14:textId="77777777" w:rsidR="0079666F" w:rsidRDefault="0079666F" w:rsidP="0079666F">
      <w:pPr>
        <w:pStyle w:val="footnotedescription"/>
        <w:spacing w:after="44" w:line="242" w:lineRule="auto"/>
      </w:pPr>
      <w:r>
        <w:rPr>
          <w:rStyle w:val="footnotemark"/>
        </w:rPr>
        <w:footnoteRef/>
      </w:r>
      <w:r>
        <w:t xml:space="preserve"> Un ejemplo de esta incertidumbre se puede ver en los diferentes escenarios que prevé Fedesarrollo para la recuperación de la economía colombiana. En particular, esta institución estima que la economía podría tener un escenario en “W”, en el cual se </w:t>
      </w:r>
      <w:r>
        <w:rPr>
          <w:i/>
        </w:rPr>
        <w:t>“(…) refleja una recuperación de la economía posterior al levantamiento de la primera cuarentena en mediados de mayo y una caída adicional de la actividad producto de una segunda cuarentena después del mes de mayo”</w:t>
      </w:r>
      <w:r>
        <w:t xml:space="preserve">, lo cual impactaría en el mismo sentido la demanda de combustibles líquidos. Consultar el siguiente documento para más detalles:  </w:t>
      </w:r>
    </w:p>
    <w:p w14:paraId="2039E9BE" w14:textId="77777777" w:rsidR="0079666F" w:rsidRDefault="0079666F" w:rsidP="0079666F">
      <w:pPr>
        <w:pStyle w:val="footnotedescription"/>
        <w:spacing w:line="259" w:lineRule="auto"/>
        <w:ind w:right="0"/>
        <w:jc w:val="left"/>
      </w:pPr>
      <w:r>
        <w:rPr>
          <w:rFonts w:ascii="Calibri" w:eastAsia="Calibri" w:hAnsi="Calibri" w:cs="Calibri"/>
          <w:sz w:val="22"/>
        </w:rPr>
        <w:t xml:space="preserve"> </w:t>
      </w:r>
    </w:p>
  </w:footnote>
  <w:footnote w:id="4">
    <w:p w14:paraId="60E087ED" w14:textId="77777777" w:rsidR="0079666F" w:rsidRDefault="0079666F" w:rsidP="0079666F">
      <w:pPr>
        <w:pStyle w:val="footnotedescription"/>
        <w:ind w:right="20"/>
      </w:pPr>
      <w:r>
        <w:rPr>
          <w:rStyle w:val="footnotemark"/>
        </w:rPr>
        <w:footnoteRef/>
      </w:r>
      <w:r>
        <w:t xml:space="preserve"> Disponibilidad de crudo y gas natural calculada como presupuesto 2020 vs plan suministro junio. Cantidades de GLP calculadas como disponibilidad normal sin eventos y mantenimientos a ventas vs disponible plan de suministro actual. Plan de suministro del mes de junio está pendiente de ser aprobado. </w:t>
      </w:r>
    </w:p>
  </w:footnote>
  <w:footnote w:id="5">
    <w:p w14:paraId="71C30A9E" w14:textId="77777777" w:rsidR="00CD4AD9" w:rsidRDefault="00CD4AD9" w:rsidP="00CD4AD9">
      <w:pPr>
        <w:pStyle w:val="footnotedescription"/>
        <w:spacing w:line="259" w:lineRule="auto"/>
        <w:ind w:right="0"/>
        <w:jc w:val="left"/>
      </w:pPr>
      <w:r>
        <w:rPr>
          <w:rStyle w:val="footnotemark"/>
        </w:rPr>
        <w:footnoteRef/>
      </w:r>
      <w:r>
        <w:t xml:space="preserve"> Plan de suministro del mes de junio está pendiente de aprobación. </w:t>
      </w:r>
    </w:p>
  </w:footnote>
  <w:footnote w:id="6">
    <w:p w14:paraId="39B834FF" w14:textId="77777777" w:rsidR="0079666F" w:rsidRDefault="0079666F" w:rsidP="0079666F">
      <w:pPr>
        <w:pStyle w:val="footnotedescription"/>
        <w:ind w:right="2"/>
      </w:pPr>
      <w:r>
        <w:rPr>
          <w:rStyle w:val="footnotemark"/>
        </w:rPr>
        <w:footnoteRef/>
      </w:r>
      <w:r>
        <w:t xml:space="preserve"> El literal c del artículo 13 establece: </w:t>
      </w:r>
      <w:r>
        <w:rPr>
          <w:i/>
        </w:rPr>
        <w:t xml:space="preserve">“c. La OPC debe hacerse ofreciendo el producto de manera independiente para cada fuente de producción nacional y de manera simultánea para todas ellas, por lo menos un (1) mes antes de comenzar a ejecutarse los Contratos de Suministro resultantes y realizarse entre los días 15 y 30 del mes”.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E782" w14:textId="77777777" w:rsidR="00C91BC0" w:rsidRDefault="00C91BC0" w:rsidP="00951F79">
    <w:pPr>
      <w:pStyle w:val="Ttulo1"/>
      <w:ind w:right="6"/>
      <w:jc w:val="left"/>
      <w:rPr>
        <w:rFonts w:ascii="Bookman Old Style" w:hAnsi="Bookman Old Style" w:cs="Arial"/>
        <w:b w:val="0"/>
        <w:sz w:val="22"/>
        <w:szCs w:val="22"/>
      </w:rPr>
    </w:pPr>
  </w:p>
  <w:p w14:paraId="09291403" w14:textId="1BCCE13F" w:rsidR="00C91BC0" w:rsidRPr="00951F79" w:rsidRDefault="00C91BC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684B80">
      <w:rPr>
        <w:rFonts w:ascii="Bookman Old Style" w:hAnsi="Bookman Old Style" w:cs="Arial"/>
        <w:bCs/>
        <w:szCs w:val="24"/>
        <w:u w:val="single"/>
      </w:rPr>
      <w:t>110</w:t>
    </w:r>
    <w:r w:rsidR="00DB178A" w:rsidRPr="00DB178A">
      <w:rPr>
        <w:rFonts w:ascii="Bookman Old Style" w:hAnsi="Bookman Old Style" w:cs="Arial"/>
        <w:b w:val="0"/>
        <w:sz w:val="22"/>
        <w:szCs w:val="22"/>
        <w:u w:val="single"/>
      </w:rPr>
      <w:t xml:space="preserve">   </w:t>
    </w:r>
    <w:r>
      <w:rPr>
        <w:rFonts w:ascii="Bookman Old Style" w:hAnsi="Bookman Old Style" w:cs="Arial"/>
        <w:b w:val="0"/>
        <w:sz w:val="22"/>
        <w:szCs w:val="22"/>
      </w:rPr>
      <w:t>DE</w:t>
    </w:r>
    <w:r w:rsidR="00DB178A">
      <w:rPr>
        <w:rFonts w:ascii="Bookman Old Style" w:hAnsi="Bookman Old Style" w:cs="Arial"/>
        <w:b w:val="0"/>
        <w:sz w:val="22"/>
        <w:szCs w:val="22"/>
      </w:rPr>
      <w:t xml:space="preserve">    </w:t>
    </w:r>
    <w:r>
      <w:rPr>
        <w:rFonts w:ascii="Bookman Old Style" w:hAnsi="Bookman Old Style" w:cs="Arial"/>
        <w:b w:val="0"/>
        <w:sz w:val="22"/>
        <w:szCs w:val="22"/>
      </w:rPr>
      <w:t xml:space="preserve"> </w:t>
    </w:r>
    <w:r w:rsidR="00684B80">
      <w:rPr>
        <w:rFonts w:ascii="Bookman Old Style" w:hAnsi="Bookman Old Style" w:cs="Arial"/>
        <w:bCs/>
        <w:szCs w:val="24"/>
        <w:u w:val="single"/>
      </w:rPr>
      <w:t>11 JUN.</w:t>
    </w:r>
    <w:r w:rsidR="00DB178A" w:rsidRPr="00DB178A">
      <w:rPr>
        <w:rFonts w:ascii="Bookman Old Style" w:hAnsi="Bookman Old Style" w:cs="Arial"/>
        <w:bCs/>
        <w:szCs w:val="24"/>
        <w:u w:val="single"/>
      </w:rPr>
      <w:t xml:space="preserve"> 2020</w:t>
    </w:r>
    <w:r>
      <w:rPr>
        <w:rFonts w:ascii="Bookman Old Style" w:hAnsi="Bookman Old Style" w:cs="Arial"/>
        <w:b w:val="0"/>
        <w:sz w:val="22"/>
        <w:szCs w:val="22"/>
      </w:rPr>
      <w:tab/>
    </w:r>
    <w:r w:rsidR="00DB178A">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908F3">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73FFB">
      <w:fldChar w:fldCharType="begin"/>
    </w:r>
    <w:r w:rsidR="00273FFB">
      <w:instrText>NUMPAGES  \* MERGEFORMAT</w:instrText>
    </w:r>
    <w:r w:rsidR="00273FFB">
      <w:fldChar w:fldCharType="separate"/>
    </w:r>
    <w:r w:rsidR="00E908F3" w:rsidRPr="00E908F3">
      <w:rPr>
        <w:rFonts w:ascii="Bookman Old Style" w:hAnsi="Bookman Old Style" w:cs="Arial"/>
        <w:b w:val="0"/>
        <w:noProof/>
        <w:sz w:val="22"/>
        <w:szCs w:val="22"/>
      </w:rPr>
      <w:t>13</w:t>
    </w:r>
    <w:r w:rsidR="00273FFB">
      <w:rPr>
        <w:rFonts w:ascii="Bookman Old Style" w:hAnsi="Bookman Old Style" w:cs="Arial"/>
        <w:b w:val="0"/>
        <w:noProof/>
        <w:sz w:val="22"/>
        <w:szCs w:val="22"/>
      </w:rPr>
      <w:fldChar w:fldCharType="end"/>
    </w:r>
  </w:p>
  <w:p w14:paraId="07F169E5" w14:textId="77777777" w:rsidR="00C91BC0" w:rsidRDefault="00C91BC0"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rect w14:anchorId="279ED204"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09123DBC" w14:textId="77777777" w:rsidR="00D83BA5" w:rsidRPr="00D83BA5" w:rsidRDefault="00D83BA5" w:rsidP="00D83BA5">
    <w:pPr>
      <w:ind w:left="0"/>
      <w:contextualSpacing/>
      <w:jc w:val="both"/>
      <w:rPr>
        <w:rFonts w:ascii="Bookman Old Style" w:hAnsi="Bookman Old Style"/>
        <w:sz w:val="22"/>
        <w:szCs w:val="22"/>
      </w:rPr>
    </w:pPr>
    <w:r w:rsidRPr="00D83BA5">
      <w:rPr>
        <w:rFonts w:ascii="Bookman Old Style" w:hAnsi="Bookman Old Style"/>
        <w:sz w:val="22"/>
        <w:szCs w:val="22"/>
      </w:rPr>
      <w:t>Por la cual se ordena hacer público el proyecto de resolución “Por la cual se adoptan medidas regulatorias transitorias para la comercialización de GLP de fuentes de precio regulado para el segundo semestre de 2020”</w:t>
    </w:r>
  </w:p>
  <w:p w14:paraId="44C38CB5" w14:textId="77777777" w:rsidR="00C91BC0" w:rsidRPr="00FB45D9" w:rsidRDefault="00C91BC0" w:rsidP="00FB45D9">
    <w:pPr>
      <w:pBdr>
        <w:bottom w:val="single" w:sz="4" w:space="0" w:color="auto"/>
      </w:pBdr>
      <w:ind w:left="0"/>
      <w:jc w:val="both"/>
      <w:rPr>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13C2" w14:textId="77777777" w:rsidR="00C91BC0" w:rsidRDefault="00C91BC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C91BC0" w:rsidRDefault="00C91BC0">
    <w:pPr>
      <w:pStyle w:val="Encabezado"/>
      <w:jc w:val="center"/>
      <w:rPr>
        <w:rFonts w:ascii="Arial" w:hAnsi="Arial" w:cs="Arial"/>
        <w:spacing w:val="20"/>
        <w:sz w:val="20"/>
      </w:rPr>
    </w:pPr>
  </w:p>
  <w:p w14:paraId="2E967F04" w14:textId="77777777" w:rsidR="00C91BC0" w:rsidRDefault="00C91BC0"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rect w14:anchorId="6F5FA89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73743E"/>
    <w:multiLevelType w:val="hybridMultilevel"/>
    <w:tmpl w:val="9A44A1F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302898"/>
    <w:multiLevelType w:val="hybridMultilevel"/>
    <w:tmpl w:val="2FDA19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D24B01"/>
    <w:multiLevelType w:val="hybridMultilevel"/>
    <w:tmpl w:val="5428053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9" w15:restartNumberingAfterBreak="0">
    <w:nsid w:val="24127429"/>
    <w:multiLevelType w:val="hybridMultilevel"/>
    <w:tmpl w:val="B6C65B16"/>
    <w:lvl w:ilvl="0" w:tplc="815C385A">
      <w:start w:val="1"/>
      <w:numFmt w:val="lowerLetter"/>
      <w:lvlText w:val="%1."/>
      <w:lvlJc w:val="left"/>
      <w:pPr>
        <w:ind w:left="720" w:hanging="360"/>
      </w:pPr>
      <w:rPr>
        <w:rFonts w:ascii="Bookman Old Style" w:hAnsi="Bookman Old Style" w:hint="default"/>
        <w:b w:val="0"/>
        <w:i w:val="0"/>
        <w:caps w:val="0"/>
        <w:strike w:val="0"/>
        <w:dstrike w:val="0"/>
        <w:vanish w:val="0"/>
        <w:color w:val="auto"/>
        <w:sz w:val="24"/>
        <w:szCs w:val="22"/>
        <w:vertAlign w:val="baseline"/>
        <w:lang w:val="es-CO"/>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EF1677"/>
    <w:multiLevelType w:val="hybridMultilevel"/>
    <w:tmpl w:val="FBDA95D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E5062"/>
    <w:multiLevelType w:val="hybridMultilevel"/>
    <w:tmpl w:val="F3B04130"/>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8"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0" w15:restartNumberingAfterBreak="0">
    <w:nsid w:val="4A184BDD"/>
    <w:multiLevelType w:val="hybridMultilevel"/>
    <w:tmpl w:val="EF7CFBA2"/>
    <w:lvl w:ilvl="0" w:tplc="2D5EC726">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23"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599C7D2C"/>
    <w:multiLevelType w:val="hybridMultilevel"/>
    <w:tmpl w:val="A44A33A8"/>
    <w:lvl w:ilvl="0" w:tplc="240A0003">
      <w:start w:val="1"/>
      <w:numFmt w:val="bullet"/>
      <w:lvlText w:val="o"/>
      <w:lvlJc w:val="left"/>
      <w:pPr>
        <w:ind w:left="1647" w:hanging="360"/>
      </w:pPr>
      <w:rPr>
        <w:rFonts w:ascii="Courier New" w:hAnsi="Courier New" w:cs="Courier New"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707CA6"/>
    <w:multiLevelType w:val="hybridMultilevel"/>
    <w:tmpl w:val="B4E43C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D0C656B"/>
    <w:multiLevelType w:val="hybridMultilevel"/>
    <w:tmpl w:val="EB744DF6"/>
    <w:lvl w:ilvl="0" w:tplc="240A0003">
      <w:start w:val="1"/>
      <w:numFmt w:val="bullet"/>
      <w:lvlText w:val="o"/>
      <w:lvlJc w:val="left"/>
      <w:pPr>
        <w:ind w:left="1287" w:hanging="360"/>
      </w:pPr>
      <w:rPr>
        <w:rFonts w:ascii="Courier New" w:hAnsi="Courier New" w:cs="Courier New"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8"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7560A30"/>
    <w:multiLevelType w:val="hybridMultilevel"/>
    <w:tmpl w:val="D654F81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6E614E1F"/>
    <w:multiLevelType w:val="hybridMultilevel"/>
    <w:tmpl w:val="60DA17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6"/>
  </w:num>
  <w:num w:numId="4">
    <w:abstractNumId w:val="10"/>
  </w:num>
  <w:num w:numId="5">
    <w:abstractNumId w:val="25"/>
  </w:num>
  <w:num w:numId="6">
    <w:abstractNumId w:val="5"/>
  </w:num>
  <w:num w:numId="7">
    <w:abstractNumId w:val="4"/>
  </w:num>
  <w:num w:numId="8">
    <w:abstractNumId w:val="29"/>
  </w:num>
  <w:num w:numId="9">
    <w:abstractNumId w:val="28"/>
  </w:num>
  <w:num w:numId="10">
    <w:abstractNumId w:val="18"/>
  </w:num>
  <w:num w:numId="11">
    <w:abstractNumId w:val="37"/>
  </w:num>
  <w:num w:numId="12">
    <w:abstractNumId w:val="34"/>
  </w:num>
  <w:num w:numId="13">
    <w:abstractNumId w:val="15"/>
  </w:num>
  <w:num w:numId="14">
    <w:abstractNumId w:val="3"/>
  </w:num>
  <w:num w:numId="15">
    <w:abstractNumId w:val="19"/>
  </w:num>
  <w:num w:numId="16">
    <w:abstractNumId w:val="1"/>
  </w:num>
  <w:num w:numId="17">
    <w:abstractNumId w:val="13"/>
  </w:num>
  <w:num w:numId="18">
    <w:abstractNumId w:val="0"/>
  </w:num>
  <w:num w:numId="19">
    <w:abstractNumId w:val="32"/>
  </w:num>
  <w:num w:numId="20">
    <w:abstractNumId w:val="23"/>
  </w:num>
  <w:num w:numId="21">
    <w:abstractNumId w:val="11"/>
  </w:num>
  <w:num w:numId="22">
    <w:abstractNumId w:val="12"/>
  </w:num>
  <w:num w:numId="23">
    <w:abstractNumId w:val="35"/>
  </w:num>
  <w:num w:numId="24">
    <w:abstractNumId w:val="22"/>
  </w:num>
  <w:num w:numId="25">
    <w:abstractNumId w:val="31"/>
  </w:num>
  <w:num w:numId="26">
    <w:abstractNumId w:val="21"/>
  </w:num>
  <w:num w:numId="27">
    <w:abstractNumId w:val="26"/>
  </w:num>
  <w:num w:numId="28">
    <w:abstractNumId w:val="20"/>
  </w:num>
  <w:num w:numId="29">
    <w:abstractNumId w:val="8"/>
  </w:num>
  <w:num w:numId="30">
    <w:abstractNumId w:val="14"/>
  </w:num>
  <w:num w:numId="31">
    <w:abstractNumId w:val="27"/>
  </w:num>
  <w:num w:numId="32">
    <w:abstractNumId w:val="24"/>
  </w:num>
  <w:num w:numId="33">
    <w:abstractNumId w:val="2"/>
  </w:num>
  <w:num w:numId="34">
    <w:abstractNumId w:val="16"/>
  </w:num>
  <w:num w:numId="35">
    <w:abstractNumId w:val="30"/>
  </w:num>
  <w:num w:numId="36">
    <w:abstractNumId w:val="33"/>
  </w:num>
  <w:num w:numId="37">
    <w:abstractNumId w:val="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E7"/>
    <w:rsid w:val="00001EFA"/>
    <w:rsid w:val="00004CD1"/>
    <w:rsid w:val="0000503E"/>
    <w:rsid w:val="00006AE2"/>
    <w:rsid w:val="000076A1"/>
    <w:rsid w:val="00012259"/>
    <w:rsid w:val="00012619"/>
    <w:rsid w:val="00013272"/>
    <w:rsid w:val="000160AD"/>
    <w:rsid w:val="00017415"/>
    <w:rsid w:val="000179DE"/>
    <w:rsid w:val="000212FD"/>
    <w:rsid w:val="000231D5"/>
    <w:rsid w:val="00023704"/>
    <w:rsid w:val="00023AEB"/>
    <w:rsid w:val="00025383"/>
    <w:rsid w:val="00025F75"/>
    <w:rsid w:val="00032E45"/>
    <w:rsid w:val="00032FCC"/>
    <w:rsid w:val="00033675"/>
    <w:rsid w:val="00034BC1"/>
    <w:rsid w:val="00035CA7"/>
    <w:rsid w:val="000376DC"/>
    <w:rsid w:val="00042947"/>
    <w:rsid w:val="00044B96"/>
    <w:rsid w:val="00045D3D"/>
    <w:rsid w:val="000514A4"/>
    <w:rsid w:val="000536CF"/>
    <w:rsid w:val="00055CC1"/>
    <w:rsid w:val="00056B3B"/>
    <w:rsid w:val="00057B11"/>
    <w:rsid w:val="00060B1C"/>
    <w:rsid w:val="00062C6F"/>
    <w:rsid w:val="00063657"/>
    <w:rsid w:val="000643E9"/>
    <w:rsid w:val="00066807"/>
    <w:rsid w:val="00070155"/>
    <w:rsid w:val="00070799"/>
    <w:rsid w:val="000711E4"/>
    <w:rsid w:val="000716FC"/>
    <w:rsid w:val="000718DB"/>
    <w:rsid w:val="00076680"/>
    <w:rsid w:val="00076A1D"/>
    <w:rsid w:val="0008073E"/>
    <w:rsid w:val="00081739"/>
    <w:rsid w:val="000831E9"/>
    <w:rsid w:val="00083295"/>
    <w:rsid w:val="00083BD1"/>
    <w:rsid w:val="00091C72"/>
    <w:rsid w:val="00091CDB"/>
    <w:rsid w:val="00097341"/>
    <w:rsid w:val="000A19AC"/>
    <w:rsid w:val="000A26CC"/>
    <w:rsid w:val="000A5655"/>
    <w:rsid w:val="000A7545"/>
    <w:rsid w:val="000B1F9B"/>
    <w:rsid w:val="000B2EC9"/>
    <w:rsid w:val="000B3F5D"/>
    <w:rsid w:val="000B40A7"/>
    <w:rsid w:val="000B5BB2"/>
    <w:rsid w:val="000B5E23"/>
    <w:rsid w:val="000C137E"/>
    <w:rsid w:val="000C14DF"/>
    <w:rsid w:val="000C5161"/>
    <w:rsid w:val="000C554A"/>
    <w:rsid w:val="000C5738"/>
    <w:rsid w:val="000C7728"/>
    <w:rsid w:val="000D237C"/>
    <w:rsid w:val="000D26F8"/>
    <w:rsid w:val="000D2D27"/>
    <w:rsid w:val="000D2E40"/>
    <w:rsid w:val="000D695E"/>
    <w:rsid w:val="000E0E85"/>
    <w:rsid w:val="000E1F18"/>
    <w:rsid w:val="000E2C15"/>
    <w:rsid w:val="000E3F18"/>
    <w:rsid w:val="000E4DFE"/>
    <w:rsid w:val="000E6DD3"/>
    <w:rsid w:val="000E7D0D"/>
    <w:rsid w:val="000F0863"/>
    <w:rsid w:val="000F165C"/>
    <w:rsid w:val="000F3213"/>
    <w:rsid w:val="000F5513"/>
    <w:rsid w:val="0010010D"/>
    <w:rsid w:val="00106654"/>
    <w:rsid w:val="001104F8"/>
    <w:rsid w:val="00115313"/>
    <w:rsid w:val="00117256"/>
    <w:rsid w:val="00120DA9"/>
    <w:rsid w:val="00123030"/>
    <w:rsid w:val="00131027"/>
    <w:rsid w:val="00131804"/>
    <w:rsid w:val="0013392D"/>
    <w:rsid w:val="0013521E"/>
    <w:rsid w:val="0013526C"/>
    <w:rsid w:val="00137C7E"/>
    <w:rsid w:val="001405C6"/>
    <w:rsid w:val="00141013"/>
    <w:rsid w:val="0014109B"/>
    <w:rsid w:val="00141A28"/>
    <w:rsid w:val="0014591C"/>
    <w:rsid w:val="001462F3"/>
    <w:rsid w:val="00146344"/>
    <w:rsid w:val="00147D21"/>
    <w:rsid w:val="001530DC"/>
    <w:rsid w:val="0016115D"/>
    <w:rsid w:val="00161930"/>
    <w:rsid w:val="00162338"/>
    <w:rsid w:val="00164014"/>
    <w:rsid w:val="001651AE"/>
    <w:rsid w:val="001657B3"/>
    <w:rsid w:val="00167F25"/>
    <w:rsid w:val="00170282"/>
    <w:rsid w:val="00170A38"/>
    <w:rsid w:val="00174C23"/>
    <w:rsid w:val="001761E2"/>
    <w:rsid w:val="00181A77"/>
    <w:rsid w:val="001828E3"/>
    <w:rsid w:val="00190ECF"/>
    <w:rsid w:val="00192CBF"/>
    <w:rsid w:val="00192FF1"/>
    <w:rsid w:val="0019374F"/>
    <w:rsid w:val="001940B2"/>
    <w:rsid w:val="001A5F1B"/>
    <w:rsid w:val="001B1C22"/>
    <w:rsid w:val="001B1F38"/>
    <w:rsid w:val="001B316E"/>
    <w:rsid w:val="001B34C6"/>
    <w:rsid w:val="001B601A"/>
    <w:rsid w:val="001B6907"/>
    <w:rsid w:val="001B6EEB"/>
    <w:rsid w:val="001C2130"/>
    <w:rsid w:val="001C66F2"/>
    <w:rsid w:val="001D7832"/>
    <w:rsid w:val="001E0A71"/>
    <w:rsid w:val="001E0ADC"/>
    <w:rsid w:val="001E0D2F"/>
    <w:rsid w:val="001E0D95"/>
    <w:rsid w:val="001E12A7"/>
    <w:rsid w:val="001E25FF"/>
    <w:rsid w:val="001E7F66"/>
    <w:rsid w:val="001F01DF"/>
    <w:rsid w:val="001F08FD"/>
    <w:rsid w:val="001F2D9D"/>
    <w:rsid w:val="001F336C"/>
    <w:rsid w:val="001F3F66"/>
    <w:rsid w:val="001F6046"/>
    <w:rsid w:val="0020053A"/>
    <w:rsid w:val="00201A02"/>
    <w:rsid w:val="00203510"/>
    <w:rsid w:val="00206939"/>
    <w:rsid w:val="00210906"/>
    <w:rsid w:val="00210ADE"/>
    <w:rsid w:val="00210DC1"/>
    <w:rsid w:val="00211D34"/>
    <w:rsid w:val="00214F04"/>
    <w:rsid w:val="00215A52"/>
    <w:rsid w:val="00220BAE"/>
    <w:rsid w:val="0022152E"/>
    <w:rsid w:val="0022168B"/>
    <w:rsid w:val="00224F7B"/>
    <w:rsid w:val="002254FB"/>
    <w:rsid w:val="002255C7"/>
    <w:rsid w:val="00225ECA"/>
    <w:rsid w:val="00226438"/>
    <w:rsid w:val="00230B05"/>
    <w:rsid w:val="00230C28"/>
    <w:rsid w:val="0023102B"/>
    <w:rsid w:val="002331A2"/>
    <w:rsid w:val="002352B9"/>
    <w:rsid w:val="00235447"/>
    <w:rsid w:val="00235768"/>
    <w:rsid w:val="002466F5"/>
    <w:rsid w:val="00251EB7"/>
    <w:rsid w:val="00254E65"/>
    <w:rsid w:val="00257D27"/>
    <w:rsid w:val="00260F6F"/>
    <w:rsid w:val="00261908"/>
    <w:rsid w:val="0026356D"/>
    <w:rsid w:val="00266CD6"/>
    <w:rsid w:val="00266F5A"/>
    <w:rsid w:val="002673AC"/>
    <w:rsid w:val="00267860"/>
    <w:rsid w:val="00272F8D"/>
    <w:rsid w:val="00273FFB"/>
    <w:rsid w:val="00274503"/>
    <w:rsid w:val="00275DAB"/>
    <w:rsid w:val="002818A2"/>
    <w:rsid w:val="002852C0"/>
    <w:rsid w:val="0028531B"/>
    <w:rsid w:val="0028701A"/>
    <w:rsid w:val="002903C0"/>
    <w:rsid w:val="002920A8"/>
    <w:rsid w:val="00293A2E"/>
    <w:rsid w:val="00293BA8"/>
    <w:rsid w:val="0029473A"/>
    <w:rsid w:val="002A23E6"/>
    <w:rsid w:val="002A511E"/>
    <w:rsid w:val="002A5B32"/>
    <w:rsid w:val="002A5C77"/>
    <w:rsid w:val="002A782A"/>
    <w:rsid w:val="002A78CA"/>
    <w:rsid w:val="002A7E18"/>
    <w:rsid w:val="002B11E2"/>
    <w:rsid w:val="002B24B8"/>
    <w:rsid w:val="002B5C43"/>
    <w:rsid w:val="002B67B7"/>
    <w:rsid w:val="002C1B57"/>
    <w:rsid w:val="002C59C6"/>
    <w:rsid w:val="002C6776"/>
    <w:rsid w:val="002D06B1"/>
    <w:rsid w:val="002D3AE9"/>
    <w:rsid w:val="002D42B1"/>
    <w:rsid w:val="002D4510"/>
    <w:rsid w:val="002D54F3"/>
    <w:rsid w:val="002D7DAC"/>
    <w:rsid w:val="002E06A7"/>
    <w:rsid w:val="002E3251"/>
    <w:rsid w:val="002F0734"/>
    <w:rsid w:val="002F260A"/>
    <w:rsid w:val="002F29F3"/>
    <w:rsid w:val="002F46E7"/>
    <w:rsid w:val="002F6520"/>
    <w:rsid w:val="0030152C"/>
    <w:rsid w:val="0030247A"/>
    <w:rsid w:val="0030404C"/>
    <w:rsid w:val="00305FE3"/>
    <w:rsid w:val="00307D2E"/>
    <w:rsid w:val="003101DA"/>
    <w:rsid w:val="003111C3"/>
    <w:rsid w:val="00312FB7"/>
    <w:rsid w:val="003142BA"/>
    <w:rsid w:val="00314757"/>
    <w:rsid w:val="00314DB7"/>
    <w:rsid w:val="00315BA7"/>
    <w:rsid w:val="003163BC"/>
    <w:rsid w:val="0031757A"/>
    <w:rsid w:val="003208F5"/>
    <w:rsid w:val="003211CE"/>
    <w:rsid w:val="003215C0"/>
    <w:rsid w:val="00323F4B"/>
    <w:rsid w:val="003252B5"/>
    <w:rsid w:val="00325FE9"/>
    <w:rsid w:val="003261CD"/>
    <w:rsid w:val="003266F0"/>
    <w:rsid w:val="00332A07"/>
    <w:rsid w:val="00333D81"/>
    <w:rsid w:val="0033459D"/>
    <w:rsid w:val="00335684"/>
    <w:rsid w:val="00335D55"/>
    <w:rsid w:val="00351AFB"/>
    <w:rsid w:val="00352CBF"/>
    <w:rsid w:val="0035403A"/>
    <w:rsid w:val="0035423F"/>
    <w:rsid w:val="00355FEE"/>
    <w:rsid w:val="00356C05"/>
    <w:rsid w:val="003626AA"/>
    <w:rsid w:val="0036394B"/>
    <w:rsid w:val="00363C55"/>
    <w:rsid w:val="00366DB6"/>
    <w:rsid w:val="003677D0"/>
    <w:rsid w:val="003709B5"/>
    <w:rsid w:val="003759C2"/>
    <w:rsid w:val="0037786A"/>
    <w:rsid w:val="00380243"/>
    <w:rsid w:val="003811C5"/>
    <w:rsid w:val="00381CAD"/>
    <w:rsid w:val="003833B8"/>
    <w:rsid w:val="00385A60"/>
    <w:rsid w:val="00386521"/>
    <w:rsid w:val="00397032"/>
    <w:rsid w:val="00397365"/>
    <w:rsid w:val="003977EA"/>
    <w:rsid w:val="003A2BDF"/>
    <w:rsid w:val="003A31F6"/>
    <w:rsid w:val="003A609B"/>
    <w:rsid w:val="003B1076"/>
    <w:rsid w:val="003B38D9"/>
    <w:rsid w:val="003B53FD"/>
    <w:rsid w:val="003B7EA4"/>
    <w:rsid w:val="003B7FC3"/>
    <w:rsid w:val="003C20D4"/>
    <w:rsid w:val="003C3447"/>
    <w:rsid w:val="003C77E3"/>
    <w:rsid w:val="003D076C"/>
    <w:rsid w:val="003D0C7F"/>
    <w:rsid w:val="003D1380"/>
    <w:rsid w:val="003D42B6"/>
    <w:rsid w:val="003D48F2"/>
    <w:rsid w:val="003D4C7A"/>
    <w:rsid w:val="003D78A7"/>
    <w:rsid w:val="003E005D"/>
    <w:rsid w:val="003E29A1"/>
    <w:rsid w:val="003E2E35"/>
    <w:rsid w:val="003E435A"/>
    <w:rsid w:val="003E4823"/>
    <w:rsid w:val="003E6C51"/>
    <w:rsid w:val="003E78B5"/>
    <w:rsid w:val="003E7BF4"/>
    <w:rsid w:val="003F39BA"/>
    <w:rsid w:val="003F5F1C"/>
    <w:rsid w:val="003F6337"/>
    <w:rsid w:val="003F6B65"/>
    <w:rsid w:val="00400920"/>
    <w:rsid w:val="004066B8"/>
    <w:rsid w:val="004105D6"/>
    <w:rsid w:val="00410A36"/>
    <w:rsid w:val="00411398"/>
    <w:rsid w:val="004127EF"/>
    <w:rsid w:val="00415BAB"/>
    <w:rsid w:val="00415ED2"/>
    <w:rsid w:val="00416D31"/>
    <w:rsid w:val="0042068C"/>
    <w:rsid w:val="00421700"/>
    <w:rsid w:val="0042263B"/>
    <w:rsid w:val="00423422"/>
    <w:rsid w:val="00430C0F"/>
    <w:rsid w:val="004315AA"/>
    <w:rsid w:val="0043550D"/>
    <w:rsid w:val="0044318E"/>
    <w:rsid w:val="00443461"/>
    <w:rsid w:val="00443B35"/>
    <w:rsid w:val="00445C43"/>
    <w:rsid w:val="00445E36"/>
    <w:rsid w:val="00447186"/>
    <w:rsid w:val="004566D1"/>
    <w:rsid w:val="00461B16"/>
    <w:rsid w:val="00464AEB"/>
    <w:rsid w:val="0047122B"/>
    <w:rsid w:val="00472A4C"/>
    <w:rsid w:val="00472B61"/>
    <w:rsid w:val="00472E76"/>
    <w:rsid w:val="00473B7A"/>
    <w:rsid w:val="004803A4"/>
    <w:rsid w:val="00483364"/>
    <w:rsid w:val="004842A6"/>
    <w:rsid w:val="004857B2"/>
    <w:rsid w:val="0049005D"/>
    <w:rsid w:val="00490832"/>
    <w:rsid w:val="00493D09"/>
    <w:rsid w:val="004960E9"/>
    <w:rsid w:val="00497DDE"/>
    <w:rsid w:val="00497F82"/>
    <w:rsid w:val="004A2E88"/>
    <w:rsid w:val="004A353B"/>
    <w:rsid w:val="004A5182"/>
    <w:rsid w:val="004A52FE"/>
    <w:rsid w:val="004A5305"/>
    <w:rsid w:val="004A6496"/>
    <w:rsid w:val="004B78D4"/>
    <w:rsid w:val="004C0288"/>
    <w:rsid w:val="004C0BCD"/>
    <w:rsid w:val="004C206E"/>
    <w:rsid w:val="004C4950"/>
    <w:rsid w:val="004C4C34"/>
    <w:rsid w:val="004D2D99"/>
    <w:rsid w:val="004D62F3"/>
    <w:rsid w:val="004D7634"/>
    <w:rsid w:val="004E039C"/>
    <w:rsid w:val="004E0577"/>
    <w:rsid w:val="004E2959"/>
    <w:rsid w:val="004E37B4"/>
    <w:rsid w:val="004E410D"/>
    <w:rsid w:val="004E4A46"/>
    <w:rsid w:val="004E6090"/>
    <w:rsid w:val="004E611A"/>
    <w:rsid w:val="004E64D4"/>
    <w:rsid w:val="004F1699"/>
    <w:rsid w:val="004F3AEC"/>
    <w:rsid w:val="004F6460"/>
    <w:rsid w:val="00500D9A"/>
    <w:rsid w:val="00503764"/>
    <w:rsid w:val="00505D37"/>
    <w:rsid w:val="00505DCC"/>
    <w:rsid w:val="00513775"/>
    <w:rsid w:val="00516196"/>
    <w:rsid w:val="00521518"/>
    <w:rsid w:val="00523AE4"/>
    <w:rsid w:val="00527839"/>
    <w:rsid w:val="005300D3"/>
    <w:rsid w:val="005306EB"/>
    <w:rsid w:val="00531A78"/>
    <w:rsid w:val="005401DA"/>
    <w:rsid w:val="00540F9F"/>
    <w:rsid w:val="00541190"/>
    <w:rsid w:val="0054150D"/>
    <w:rsid w:val="00542A10"/>
    <w:rsid w:val="00543778"/>
    <w:rsid w:val="00544DEC"/>
    <w:rsid w:val="00544F70"/>
    <w:rsid w:val="00544F82"/>
    <w:rsid w:val="00547D77"/>
    <w:rsid w:val="005509D2"/>
    <w:rsid w:val="00553A23"/>
    <w:rsid w:val="005621AA"/>
    <w:rsid w:val="005624EB"/>
    <w:rsid w:val="005648DA"/>
    <w:rsid w:val="00565A32"/>
    <w:rsid w:val="00566119"/>
    <w:rsid w:val="00567B25"/>
    <w:rsid w:val="0057141B"/>
    <w:rsid w:val="00577A09"/>
    <w:rsid w:val="005814BE"/>
    <w:rsid w:val="00581925"/>
    <w:rsid w:val="00581DC0"/>
    <w:rsid w:val="00583700"/>
    <w:rsid w:val="00584D23"/>
    <w:rsid w:val="005910D0"/>
    <w:rsid w:val="005931E6"/>
    <w:rsid w:val="00593C4F"/>
    <w:rsid w:val="005942FD"/>
    <w:rsid w:val="005946A8"/>
    <w:rsid w:val="005952D0"/>
    <w:rsid w:val="005A03B9"/>
    <w:rsid w:val="005A4407"/>
    <w:rsid w:val="005A53A5"/>
    <w:rsid w:val="005A59EF"/>
    <w:rsid w:val="005A61E5"/>
    <w:rsid w:val="005A70AD"/>
    <w:rsid w:val="005B1C7E"/>
    <w:rsid w:val="005B2498"/>
    <w:rsid w:val="005B390F"/>
    <w:rsid w:val="005B4C18"/>
    <w:rsid w:val="005B5401"/>
    <w:rsid w:val="005B6AE9"/>
    <w:rsid w:val="005B7F5D"/>
    <w:rsid w:val="005C664F"/>
    <w:rsid w:val="005C6976"/>
    <w:rsid w:val="005C6C19"/>
    <w:rsid w:val="005C6E73"/>
    <w:rsid w:val="005C767A"/>
    <w:rsid w:val="005D200B"/>
    <w:rsid w:val="005E0CFA"/>
    <w:rsid w:val="005F08C5"/>
    <w:rsid w:val="005F1318"/>
    <w:rsid w:val="005F6E30"/>
    <w:rsid w:val="005F6F41"/>
    <w:rsid w:val="0060144C"/>
    <w:rsid w:val="0060594C"/>
    <w:rsid w:val="006106FA"/>
    <w:rsid w:val="00610DE7"/>
    <w:rsid w:val="00612272"/>
    <w:rsid w:val="00612970"/>
    <w:rsid w:val="00612C6C"/>
    <w:rsid w:val="00621407"/>
    <w:rsid w:val="0062429E"/>
    <w:rsid w:val="0062594C"/>
    <w:rsid w:val="00625DC6"/>
    <w:rsid w:val="00627469"/>
    <w:rsid w:val="00627B63"/>
    <w:rsid w:val="00630022"/>
    <w:rsid w:val="006301B1"/>
    <w:rsid w:val="006301E6"/>
    <w:rsid w:val="00641F96"/>
    <w:rsid w:val="0064273A"/>
    <w:rsid w:val="006428D2"/>
    <w:rsid w:val="00642D8D"/>
    <w:rsid w:val="0064391D"/>
    <w:rsid w:val="0064683A"/>
    <w:rsid w:val="0064719D"/>
    <w:rsid w:val="00647657"/>
    <w:rsid w:val="006503F5"/>
    <w:rsid w:val="00651821"/>
    <w:rsid w:val="006522CA"/>
    <w:rsid w:val="006525B3"/>
    <w:rsid w:val="00653AEB"/>
    <w:rsid w:val="00654384"/>
    <w:rsid w:val="00660DB0"/>
    <w:rsid w:val="00660ECA"/>
    <w:rsid w:val="00661DF3"/>
    <w:rsid w:val="00666455"/>
    <w:rsid w:val="006675CD"/>
    <w:rsid w:val="00672371"/>
    <w:rsid w:val="006732C1"/>
    <w:rsid w:val="00674FEE"/>
    <w:rsid w:val="00676E8D"/>
    <w:rsid w:val="00677845"/>
    <w:rsid w:val="00681278"/>
    <w:rsid w:val="006818AB"/>
    <w:rsid w:val="006822BE"/>
    <w:rsid w:val="00683C2A"/>
    <w:rsid w:val="00684B80"/>
    <w:rsid w:val="00684D9B"/>
    <w:rsid w:val="0068510A"/>
    <w:rsid w:val="006875B4"/>
    <w:rsid w:val="00690DF1"/>
    <w:rsid w:val="006926D9"/>
    <w:rsid w:val="006972FD"/>
    <w:rsid w:val="00697556"/>
    <w:rsid w:val="00697C68"/>
    <w:rsid w:val="00697FC5"/>
    <w:rsid w:val="006A17A1"/>
    <w:rsid w:val="006A1FC0"/>
    <w:rsid w:val="006B0E5F"/>
    <w:rsid w:val="006B12FB"/>
    <w:rsid w:val="006B1E91"/>
    <w:rsid w:val="006B260E"/>
    <w:rsid w:val="006B3A28"/>
    <w:rsid w:val="006B3D69"/>
    <w:rsid w:val="006B4114"/>
    <w:rsid w:val="006B4647"/>
    <w:rsid w:val="006B4C2B"/>
    <w:rsid w:val="006B6194"/>
    <w:rsid w:val="006B6D47"/>
    <w:rsid w:val="006C0249"/>
    <w:rsid w:val="006C548A"/>
    <w:rsid w:val="006C5AFE"/>
    <w:rsid w:val="006D0CA7"/>
    <w:rsid w:val="006D1F23"/>
    <w:rsid w:val="006D5B22"/>
    <w:rsid w:val="006D6887"/>
    <w:rsid w:val="006D6E8E"/>
    <w:rsid w:val="006E0AC3"/>
    <w:rsid w:val="006E4C67"/>
    <w:rsid w:val="006E6CE7"/>
    <w:rsid w:val="006F0143"/>
    <w:rsid w:val="006F0C12"/>
    <w:rsid w:val="006F2EC8"/>
    <w:rsid w:val="006F4941"/>
    <w:rsid w:val="006F564C"/>
    <w:rsid w:val="006F669D"/>
    <w:rsid w:val="006F6D95"/>
    <w:rsid w:val="006F6F53"/>
    <w:rsid w:val="007009F8"/>
    <w:rsid w:val="00706F13"/>
    <w:rsid w:val="007072E8"/>
    <w:rsid w:val="0071618D"/>
    <w:rsid w:val="00720721"/>
    <w:rsid w:val="007234B8"/>
    <w:rsid w:val="0072440E"/>
    <w:rsid w:val="00725FA4"/>
    <w:rsid w:val="00730F03"/>
    <w:rsid w:val="00731266"/>
    <w:rsid w:val="00731A82"/>
    <w:rsid w:val="00734112"/>
    <w:rsid w:val="0073688E"/>
    <w:rsid w:val="00740446"/>
    <w:rsid w:val="007438A9"/>
    <w:rsid w:val="0074491E"/>
    <w:rsid w:val="00745568"/>
    <w:rsid w:val="00746521"/>
    <w:rsid w:val="00747B93"/>
    <w:rsid w:val="00750DD4"/>
    <w:rsid w:val="00752385"/>
    <w:rsid w:val="00757AD6"/>
    <w:rsid w:val="00760CBC"/>
    <w:rsid w:val="00761554"/>
    <w:rsid w:val="0076247A"/>
    <w:rsid w:val="00766064"/>
    <w:rsid w:val="00766C3E"/>
    <w:rsid w:val="00767EC2"/>
    <w:rsid w:val="00771737"/>
    <w:rsid w:val="00771E49"/>
    <w:rsid w:val="00775964"/>
    <w:rsid w:val="007765FE"/>
    <w:rsid w:val="00776F85"/>
    <w:rsid w:val="00777C75"/>
    <w:rsid w:val="00780826"/>
    <w:rsid w:val="007834D3"/>
    <w:rsid w:val="00783769"/>
    <w:rsid w:val="00786CD0"/>
    <w:rsid w:val="00791BFF"/>
    <w:rsid w:val="00794E2E"/>
    <w:rsid w:val="0079538F"/>
    <w:rsid w:val="00795BFB"/>
    <w:rsid w:val="0079619F"/>
    <w:rsid w:val="0079666F"/>
    <w:rsid w:val="007A0C27"/>
    <w:rsid w:val="007A19A9"/>
    <w:rsid w:val="007B2760"/>
    <w:rsid w:val="007B4094"/>
    <w:rsid w:val="007B5838"/>
    <w:rsid w:val="007C19FD"/>
    <w:rsid w:val="007D3E88"/>
    <w:rsid w:val="007D50D8"/>
    <w:rsid w:val="007D60EF"/>
    <w:rsid w:val="007E572C"/>
    <w:rsid w:val="007F0040"/>
    <w:rsid w:val="007F428A"/>
    <w:rsid w:val="007F4E24"/>
    <w:rsid w:val="007F4FC4"/>
    <w:rsid w:val="00801B68"/>
    <w:rsid w:val="00806713"/>
    <w:rsid w:val="00806C01"/>
    <w:rsid w:val="00810B35"/>
    <w:rsid w:val="008120EE"/>
    <w:rsid w:val="00814704"/>
    <w:rsid w:val="008148CC"/>
    <w:rsid w:val="00817A6C"/>
    <w:rsid w:val="00817B9F"/>
    <w:rsid w:val="00820408"/>
    <w:rsid w:val="008211A4"/>
    <w:rsid w:val="00822DDA"/>
    <w:rsid w:val="008238A7"/>
    <w:rsid w:val="00827041"/>
    <w:rsid w:val="0083172E"/>
    <w:rsid w:val="0083410E"/>
    <w:rsid w:val="00836F17"/>
    <w:rsid w:val="00837ECA"/>
    <w:rsid w:val="00841E72"/>
    <w:rsid w:val="00841F4C"/>
    <w:rsid w:val="00843B8C"/>
    <w:rsid w:val="00843F4D"/>
    <w:rsid w:val="00844822"/>
    <w:rsid w:val="0084587D"/>
    <w:rsid w:val="0084693A"/>
    <w:rsid w:val="00846B77"/>
    <w:rsid w:val="00846C96"/>
    <w:rsid w:val="008473E3"/>
    <w:rsid w:val="008514CB"/>
    <w:rsid w:val="00851E26"/>
    <w:rsid w:val="008570D4"/>
    <w:rsid w:val="00860FD3"/>
    <w:rsid w:val="0086280F"/>
    <w:rsid w:val="00863E90"/>
    <w:rsid w:val="008641A7"/>
    <w:rsid w:val="0086726C"/>
    <w:rsid w:val="00870561"/>
    <w:rsid w:val="0087063F"/>
    <w:rsid w:val="008706CA"/>
    <w:rsid w:val="00873150"/>
    <w:rsid w:val="0087473D"/>
    <w:rsid w:val="0087657D"/>
    <w:rsid w:val="00876D92"/>
    <w:rsid w:val="008807D5"/>
    <w:rsid w:val="00880832"/>
    <w:rsid w:val="008820D3"/>
    <w:rsid w:val="008831F3"/>
    <w:rsid w:val="00884136"/>
    <w:rsid w:val="00884D44"/>
    <w:rsid w:val="008868D5"/>
    <w:rsid w:val="00886EE1"/>
    <w:rsid w:val="0088727D"/>
    <w:rsid w:val="008874A7"/>
    <w:rsid w:val="008875B6"/>
    <w:rsid w:val="00893011"/>
    <w:rsid w:val="0089373D"/>
    <w:rsid w:val="00895843"/>
    <w:rsid w:val="00897C75"/>
    <w:rsid w:val="008A485F"/>
    <w:rsid w:val="008A5198"/>
    <w:rsid w:val="008B07B4"/>
    <w:rsid w:val="008B351E"/>
    <w:rsid w:val="008B3616"/>
    <w:rsid w:val="008B5F35"/>
    <w:rsid w:val="008B7183"/>
    <w:rsid w:val="008B7E6F"/>
    <w:rsid w:val="008C1130"/>
    <w:rsid w:val="008C24B8"/>
    <w:rsid w:val="008C2771"/>
    <w:rsid w:val="008C2854"/>
    <w:rsid w:val="008C2CA2"/>
    <w:rsid w:val="008C36F8"/>
    <w:rsid w:val="008C5A29"/>
    <w:rsid w:val="008C5E9F"/>
    <w:rsid w:val="008D18E6"/>
    <w:rsid w:val="008D18ED"/>
    <w:rsid w:val="008D38E5"/>
    <w:rsid w:val="008D3AF6"/>
    <w:rsid w:val="008D6448"/>
    <w:rsid w:val="008D7A9B"/>
    <w:rsid w:val="008E0060"/>
    <w:rsid w:val="008E0A4E"/>
    <w:rsid w:val="008E2AB4"/>
    <w:rsid w:val="008E4652"/>
    <w:rsid w:val="008E4FD0"/>
    <w:rsid w:val="008E54DF"/>
    <w:rsid w:val="008E6626"/>
    <w:rsid w:val="008E69D3"/>
    <w:rsid w:val="008E7091"/>
    <w:rsid w:val="008E76AC"/>
    <w:rsid w:val="008E7998"/>
    <w:rsid w:val="008E79B0"/>
    <w:rsid w:val="008F1B2C"/>
    <w:rsid w:val="008F21F6"/>
    <w:rsid w:val="008F5AC0"/>
    <w:rsid w:val="008F7D3E"/>
    <w:rsid w:val="0090028D"/>
    <w:rsid w:val="00900F8A"/>
    <w:rsid w:val="00903832"/>
    <w:rsid w:val="00904A4D"/>
    <w:rsid w:val="0091022A"/>
    <w:rsid w:val="00911D77"/>
    <w:rsid w:val="00913484"/>
    <w:rsid w:val="009140FD"/>
    <w:rsid w:val="00916267"/>
    <w:rsid w:val="00916E1A"/>
    <w:rsid w:val="0091C3F9"/>
    <w:rsid w:val="00920BEC"/>
    <w:rsid w:val="00920D44"/>
    <w:rsid w:val="009242CC"/>
    <w:rsid w:val="009250A9"/>
    <w:rsid w:val="00927445"/>
    <w:rsid w:val="00930B4C"/>
    <w:rsid w:val="009351FA"/>
    <w:rsid w:val="00937F84"/>
    <w:rsid w:val="009410E8"/>
    <w:rsid w:val="00942D30"/>
    <w:rsid w:val="009443BE"/>
    <w:rsid w:val="009448F0"/>
    <w:rsid w:val="00947F40"/>
    <w:rsid w:val="00951F79"/>
    <w:rsid w:val="009538AC"/>
    <w:rsid w:val="00954306"/>
    <w:rsid w:val="00955B3F"/>
    <w:rsid w:val="00957366"/>
    <w:rsid w:val="0096049A"/>
    <w:rsid w:val="00963185"/>
    <w:rsid w:val="00963AA9"/>
    <w:rsid w:val="009651C2"/>
    <w:rsid w:val="00965FAF"/>
    <w:rsid w:val="009709F6"/>
    <w:rsid w:val="0097123A"/>
    <w:rsid w:val="00974AB5"/>
    <w:rsid w:val="009762E4"/>
    <w:rsid w:val="0097695C"/>
    <w:rsid w:val="00981645"/>
    <w:rsid w:val="00982D72"/>
    <w:rsid w:val="00983B14"/>
    <w:rsid w:val="00985944"/>
    <w:rsid w:val="0098706D"/>
    <w:rsid w:val="0099116C"/>
    <w:rsid w:val="0099331D"/>
    <w:rsid w:val="009935FB"/>
    <w:rsid w:val="00996C6C"/>
    <w:rsid w:val="009A047C"/>
    <w:rsid w:val="009A07A3"/>
    <w:rsid w:val="009A0826"/>
    <w:rsid w:val="009A7527"/>
    <w:rsid w:val="009B0CB7"/>
    <w:rsid w:val="009B2462"/>
    <w:rsid w:val="009B2B27"/>
    <w:rsid w:val="009B2C4F"/>
    <w:rsid w:val="009B5DAE"/>
    <w:rsid w:val="009C163C"/>
    <w:rsid w:val="009C4E55"/>
    <w:rsid w:val="009C5148"/>
    <w:rsid w:val="009C5D60"/>
    <w:rsid w:val="009C636C"/>
    <w:rsid w:val="009D1053"/>
    <w:rsid w:val="009D15B5"/>
    <w:rsid w:val="009D42B2"/>
    <w:rsid w:val="009D6790"/>
    <w:rsid w:val="009E16ED"/>
    <w:rsid w:val="009E46F8"/>
    <w:rsid w:val="009E7757"/>
    <w:rsid w:val="009F4A54"/>
    <w:rsid w:val="009F4BEC"/>
    <w:rsid w:val="009F5874"/>
    <w:rsid w:val="009F5F4B"/>
    <w:rsid w:val="009F63AF"/>
    <w:rsid w:val="009F6992"/>
    <w:rsid w:val="009F7792"/>
    <w:rsid w:val="009F7DFE"/>
    <w:rsid w:val="00A00D24"/>
    <w:rsid w:val="00A03159"/>
    <w:rsid w:val="00A03168"/>
    <w:rsid w:val="00A03EEA"/>
    <w:rsid w:val="00A1378A"/>
    <w:rsid w:val="00A1449A"/>
    <w:rsid w:val="00A1487C"/>
    <w:rsid w:val="00A17967"/>
    <w:rsid w:val="00A209C3"/>
    <w:rsid w:val="00A22420"/>
    <w:rsid w:val="00A25FD7"/>
    <w:rsid w:val="00A30AD8"/>
    <w:rsid w:val="00A361CF"/>
    <w:rsid w:val="00A40E7F"/>
    <w:rsid w:val="00A42277"/>
    <w:rsid w:val="00A42923"/>
    <w:rsid w:val="00A431B1"/>
    <w:rsid w:val="00A43AFF"/>
    <w:rsid w:val="00A44651"/>
    <w:rsid w:val="00A5002F"/>
    <w:rsid w:val="00A50A52"/>
    <w:rsid w:val="00A512B9"/>
    <w:rsid w:val="00A51EFB"/>
    <w:rsid w:val="00A541FE"/>
    <w:rsid w:val="00A54C10"/>
    <w:rsid w:val="00A56691"/>
    <w:rsid w:val="00A57AC1"/>
    <w:rsid w:val="00A60D6B"/>
    <w:rsid w:val="00A61C0B"/>
    <w:rsid w:val="00A61FA5"/>
    <w:rsid w:val="00A62293"/>
    <w:rsid w:val="00A65EBD"/>
    <w:rsid w:val="00A71EFF"/>
    <w:rsid w:val="00A7597D"/>
    <w:rsid w:val="00A7793A"/>
    <w:rsid w:val="00A82E15"/>
    <w:rsid w:val="00A90F8E"/>
    <w:rsid w:val="00A9107B"/>
    <w:rsid w:val="00AA4CC7"/>
    <w:rsid w:val="00AA5E8E"/>
    <w:rsid w:val="00AB29CB"/>
    <w:rsid w:val="00AB2BAD"/>
    <w:rsid w:val="00AB32B3"/>
    <w:rsid w:val="00AB3A14"/>
    <w:rsid w:val="00AB454B"/>
    <w:rsid w:val="00AB471D"/>
    <w:rsid w:val="00AB5828"/>
    <w:rsid w:val="00AB6CA7"/>
    <w:rsid w:val="00AC18A8"/>
    <w:rsid w:val="00AC47A9"/>
    <w:rsid w:val="00AC78CC"/>
    <w:rsid w:val="00AD01E4"/>
    <w:rsid w:val="00AD03AB"/>
    <w:rsid w:val="00AD0858"/>
    <w:rsid w:val="00AD3ECA"/>
    <w:rsid w:val="00AD45EB"/>
    <w:rsid w:val="00AD5D9D"/>
    <w:rsid w:val="00AD6C1D"/>
    <w:rsid w:val="00AE02E3"/>
    <w:rsid w:val="00AE08B3"/>
    <w:rsid w:val="00AE6373"/>
    <w:rsid w:val="00AE7340"/>
    <w:rsid w:val="00AF1BBD"/>
    <w:rsid w:val="00AF2790"/>
    <w:rsid w:val="00AF3448"/>
    <w:rsid w:val="00AF66B3"/>
    <w:rsid w:val="00AF765E"/>
    <w:rsid w:val="00AF7A4A"/>
    <w:rsid w:val="00B0044D"/>
    <w:rsid w:val="00B051B0"/>
    <w:rsid w:val="00B0796B"/>
    <w:rsid w:val="00B10207"/>
    <w:rsid w:val="00B1157B"/>
    <w:rsid w:val="00B11B44"/>
    <w:rsid w:val="00B120BD"/>
    <w:rsid w:val="00B1264B"/>
    <w:rsid w:val="00B138BF"/>
    <w:rsid w:val="00B141E7"/>
    <w:rsid w:val="00B17559"/>
    <w:rsid w:val="00B178A7"/>
    <w:rsid w:val="00B20687"/>
    <w:rsid w:val="00B22839"/>
    <w:rsid w:val="00B2703F"/>
    <w:rsid w:val="00B307BD"/>
    <w:rsid w:val="00B31B03"/>
    <w:rsid w:val="00B32124"/>
    <w:rsid w:val="00B34E2A"/>
    <w:rsid w:val="00B351B4"/>
    <w:rsid w:val="00B37316"/>
    <w:rsid w:val="00B41391"/>
    <w:rsid w:val="00B426AE"/>
    <w:rsid w:val="00B44BC1"/>
    <w:rsid w:val="00B46BCA"/>
    <w:rsid w:val="00B478AA"/>
    <w:rsid w:val="00B47D35"/>
    <w:rsid w:val="00B5172C"/>
    <w:rsid w:val="00B52C53"/>
    <w:rsid w:val="00B53899"/>
    <w:rsid w:val="00B555CC"/>
    <w:rsid w:val="00B576AE"/>
    <w:rsid w:val="00B60168"/>
    <w:rsid w:val="00B679D6"/>
    <w:rsid w:val="00B67A6F"/>
    <w:rsid w:val="00B71927"/>
    <w:rsid w:val="00B7557D"/>
    <w:rsid w:val="00B760F2"/>
    <w:rsid w:val="00B76D43"/>
    <w:rsid w:val="00B8124D"/>
    <w:rsid w:val="00B81932"/>
    <w:rsid w:val="00B826B2"/>
    <w:rsid w:val="00B8286D"/>
    <w:rsid w:val="00B870B4"/>
    <w:rsid w:val="00B87806"/>
    <w:rsid w:val="00B87EC9"/>
    <w:rsid w:val="00B9225F"/>
    <w:rsid w:val="00B96BD5"/>
    <w:rsid w:val="00B97227"/>
    <w:rsid w:val="00BA0475"/>
    <w:rsid w:val="00BA1563"/>
    <w:rsid w:val="00BA223D"/>
    <w:rsid w:val="00BA4B27"/>
    <w:rsid w:val="00BB4199"/>
    <w:rsid w:val="00BB4B53"/>
    <w:rsid w:val="00BC1479"/>
    <w:rsid w:val="00BC38FD"/>
    <w:rsid w:val="00BC5447"/>
    <w:rsid w:val="00BC5BF6"/>
    <w:rsid w:val="00BD0146"/>
    <w:rsid w:val="00BD0673"/>
    <w:rsid w:val="00BD6301"/>
    <w:rsid w:val="00BD6426"/>
    <w:rsid w:val="00BD7733"/>
    <w:rsid w:val="00BD7D9C"/>
    <w:rsid w:val="00BE1AC3"/>
    <w:rsid w:val="00BE4FAA"/>
    <w:rsid w:val="00BE5BBE"/>
    <w:rsid w:val="00BF31F9"/>
    <w:rsid w:val="00BF4F85"/>
    <w:rsid w:val="00BF6B71"/>
    <w:rsid w:val="00C0083E"/>
    <w:rsid w:val="00C00995"/>
    <w:rsid w:val="00C00C5C"/>
    <w:rsid w:val="00C03197"/>
    <w:rsid w:val="00C034CB"/>
    <w:rsid w:val="00C051A8"/>
    <w:rsid w:val="00C054BC"/>
    <w:rsid w:val="00C06414"/>
    <w:rsid w:val="00C06E2A"/>
    <w:rsid w:val="00C07899"/>
    <w:rsid w:val="00C07CCA"/>
    <w:rsid w:val="00C10DD5"/>
    <w:rsid w:val="00C1132B"/>
    <w:rsid w:val="00C1467D"/>
    <w:rsid w:val="00C17897"/>
    <w:rsid w:val="00C21800"/>
    <w:rsid w:val="00C27D36"/>
    <w:rsid w:val="00C30CD5"/>
    <w:rsid w:val="00C313C6"/>
    <w:rsid w:val="00C33A2C"/>
    <w:rsid w:val="00C34679"/>
    <w:rsid w:val="00C35D2A"/>
    <w:rsid w:val="00C37463"/>
    <w:rsid w:val="00C409D5"/>
    <w:rsid w:val="00C41343"/>
    <w:rsid w:val="00C416E0"/>
    <w:rsid w:val="00C42D39"/>
    <w:rsid w:val="00C43597"/>
    <w:rsid w:val="00C435C3"/>
    <w:rsid w:val="00C44E5F"/>
    <w:rsid w:val="00C45E09"/>
    <w:rsid w:val="00C4701D"/>
    <w:rsid w:val="00C51B7C"/>
    <w:rsid w:val="00C55B5E"/>
    <w:rsid w:val="00C55F46"/>
    <w:rsid w:val="00C6234B"/>
    <w:rsid w:val="00C63447"/>
    <w:rsid w:val="00C63C2A"/>
    <w:rsid w:val="00C63EAE"/>
    <w:rsid w:val="00C64A32"/>
    <w:rsid w:val="00C71028"/>
    <w:rsid w:val="00C73226"/>
    <w:rsid w:val="00C73260"/>
    <w:rsid w:val="00C741D0"/>
    <w:rsid w:val="00C74602"/>
    <w:rsid w:val="00C75AB4"/>
    <w:rsid w:val="00C7629F"/>
    <w:rsid w:val="00C8169A"/>
    <w:rsid w:val="00C81A8F"/>
    <w:rsid w:val="00C82533"/>
    <w:rsid w:val="00C82B41"/>
    <w:rsid w:val="00C83182"/>
    <w:rsid w:val="00C84430"/>
    <w:rsid w:val="00C8530F"/>
    <w:rsid w:val="00C8661B"/>
    <w:rsid w:val="00C878FA"/>
    <w:rsid w:val="00C91BC0"/>
    <w:rsid w:val="00C933EF"/>
    <w:rsid w:val="00C93F34"/>
    <w:rsid w:val="00C97B46"/>
    <w:rsid w:val="00CA03C8"/>
    <w:rsid w:val="00CA139A"/>
    <w:rsid w:val="00CA2899"/>
    <w:rsid w:val="00CA3A3D"/>
    <w:rsid w:val="00CA3AA6"/>
    <w:rsid w:val="00CA77FB"/>
    <w:rsid w:val="00CB2A05"/>
    <w:rsid w:val="00CB379B"/>
    <w:rsid w:val="00CB4080"/>
    <w:rsid w:val="00CB4B28"/>
    <w:rsid w:val="00CB5773"/>
    <w:rsid w:val="00CB5DD0"/>
    <w:rsid w:val="00CB768E"/>
    <w:rsid w:val="00CB7711"/>
    <w:rsid w:val="00CC05BF"/>
    <w:rsid w:val="00CC2A9A"/>
    <w:rsid w:val="00CC51D4"/>
    <w:rsid w:val="00CC65DA"/>
    <w:rsid w:val="00CD0DE2"/>
    <w:rsid w:val="00CD4AD9"/>
    <w:rsid w:val="00CD5C25"/>
    <w:rsid w:val="00CE1FFF"/>
    <w:rsid w:val="00CE349A"/>
    <w:rsid w:val="00CE7292"/>
    <w:rsid w:val="00CE791D"/>
    <w:rsid w:val="00CE7B91"/>
    <w:rsid w:val="00CF1894"/>
    <w:rsid w:val="00CF21B9"/>
    <w:rsid w:val="00CF339C"/>
    <w:rsid w:val="00CF6BF9"/>
    <w:rsid w:val="00D01D2F"/>
    <w:rsid w:val="00D03800"/>
    <w:rsid w:val="00D0514F"/>
    <w:rsid w:val="00D065D3"/>
    <w:rsid w:val="00D07DA1"/>
    <w:rsid w:val="00D109A0"/>
    <w:rsid w:val="00D11513"/>
    <w:rsid w:val="00D122D1"/>
    <w:rsid w:val="00D1439F"/>
    <w:rsid w:val="00D14B7D"/>
    <w:rsid w:val="00D14C94"/>
    <w:rsid w:val="00D14DA5"/>
    <w:rsid w:val="00D21B7B"/>
    <w:rsid w:val="00D261A2"/>
    <w:rsid w:val="00D26339"/>
    <w:rsid w:val="00D27586"/>
    <w:rsid w:val="00D31257"/>
    <w:rsid w:val="00D32370"/>
    <w:rsid w:val="00D32484"/>
    <w:rsid w:val="00D326F2"/>
    <w:rsid w:val="00D3390C"/>
    <w:rsid w:val="00D342A6"/>
    <w:rsid w:val="00D356D7"/>
    <w:rsid w:val="00D414D2"/>
    <w:rsid w:val="00D4343E"/>
    <w:rsid w:val="00D45CA6"/>
    <w:rsid w:val="00D464BF"/>
    <w:rsid w:val="00D47303"/>
    <w:rsid w:val="00D51CE2"/>
    <w:rsid w:val="00D532F5"/>
    <w:rsid w:val="00D53E26"/>
    <w:rsid w:val="00D54B59"/>
    <w:rsid w:val="00D54E02"/>
    <w:rsid w:val="00D55282"/>
    <w:rsid w:val="00D607BB"/>
    <w:rsid w:val="00D61613"/>
    <w:rsid w:val="00D62D50"/>
    <w:rsid w:val="00D6344D"/>
    <w:rsid w:val="00D637E0"/>
    <w:rsid w:val="00D66628"/>
    <w:rsid w:val="00D727B8"/>
    <w:rsid w:val="00D74F92"/>
    <w:rsid w:val="00D75808"/>
    <w:rsid w:val="00D75DD7"/>
    <w:rsid w:val="00D77380"/>
    <w:rsid w:val="00D81FA5"/>
    <w:rsid w:val="00D83854"/>
    <w:rsid w:val="00D83BA5"/>
    <w:rsid w:val="00D840C3"/>
    <w:rsid w:val="00D845AC"/>
    <w:rsid w:val="00D875B7"/>
    <w:rsid w:val="00D9070E"/>
    <w:rsid w:val="00D91168"/>
    <w:rsid w:val="00D93333"/>
    <w:rsid w:val="00D9567C"/>
    <w:rsid w:val="00DA58AE"/>
    <w:rsid w:val="00DA5E03"/>
    <w:rsid w:val="00DA64E7"/>
    <w:rsid w:val="00DA69D1"/>
    <w:rsid w:val="00DA7241"/>
    <w:rsid w:val="00DB1524"/>
    <w:rsid w:val="00DB178A"/>
    <w:rsid w:val="00DB182C"/>
    <w:rsid w:val="00DB3BD7"/>
    <w:rsid w:val="00DB6BB4"/>
    <w:rsid w:val="00DB7253"/>
    <w:rsid w:val="00DC2344"/>
    <w:rsid w:val="00DC2D7A"/>
    <w:rsid w:val="00DC47AC"/>
    <w:rsid w:val="00DC6425"/>
    <w:rsid w:val="00DC7E4A"/>
    <w:rsid w:val="00DD1074"/>
    <w:rsid w:val="00DD3999"/>
    <w:rsid w:val="00DD4F0E"/>
    <w:rsid w:val="00DD4FB1"/>
    <w:rsid w:val="00DD6EBB"/>
    <w:rsid w:val="00DD7A55"/>
    <w:rsid w:val="00DE3AF1"/>
    <w:rsid w:val="00DE73BA"/>
    <w:rsid w:val="00DE77C7"/>
    <w:rsid w:val="00DF0BF0"/>
    <w:rsid w:val="00DF2A89"/>
    <w:rsid w:val="00DF3CA2"/>
    <w:rsid w:val="00DF453E"/>
    <w:rsid w:val="00DF5572"/>
    <w:rsid w:val="00DF6526"/>
    <w:rsid w:val="00DF753C"/>
    <w:rsid w:val="00E00182"/>
    <w:rsid w:val="00E01463"/>
    <w:rsid w:val="00E02281"/>
    <w:rsid w:val="00E02E7A"/>
    <w:rsid w:val="00E033F2"/>
    <w:rsid w:val="00E036D8"/>
    <w:rsid w:val="00E037A5"/>
    <w:rsid w:val="00E05E0A"/>
    <w:rsid w:val="00E060BE"/>
    <w:rsid w:val="00E070DF"/>
    <w:rsid w:val="00E106CE"/>
    <w:rsid w:val="00E112CD"/>
    <w:rsid w:val="00E13404"/>
    <w:rsid w:val="00E1416A"/>
    <w:rsid w:val="00E15D95"/>
    <w:rsid w:val="00E17761"/>
    <w:rsid w:val="00E17A32"/>
    <w:rsid w:val="00E24B9D"/>
    <w:rsid w:val="00E2661A"/>
    <w:rsid w:val="00E2694A"/>
    <w:rsid w:val="00E27469"/>
    <w:rsid w:val="00E27D16"/>
    <w:rsid w:val="00E3059A"/>
    <w:rsid w:val="00E3068D"/>
    <w:rsid w:val="00E30ED3"/>
    <w:rsid w:val="00E3261D"/>
    <w:rsid w:val="00E3266E"/>
    <w:rsid w:val="00E37F63"/>
    <w:rsid w:val="00E40414"/>
    <w:rsid w:val="00E41A4A"/>
    <w:rsid w:val="00E41B40"/>
    <w:rsid w:val="00E44800"/>
    <w:rsid w:val="00E44A35"/>
    <w:rsid w:val="00E4553D"/>
    <w:rsid w:val="00E46127"/>
    <w:rsid w:val="00E47A94"/>
    <w:rsid w:val="00E47FEA"/>
    <w:rsid w:val="00E50A35"/>
    <w:rsid w:val="00E50EC6"/>
    <w:rsid w:val="00E534CF"/>
    <w:rsid w:val="00E53AB4"/>
    <w:rsid w:val="00E545EB"/>
    <w:rsid w:val="00E562A9"/>
    <w:rsid w:val="00E56772"/>
    <w:rsid w:val="00E60E9E"/>
    <w:rsid w:val="00E624E9"/>
    <w:rsid w:val="00E63503"/>
    <w:rsid w:val="00E639DE"/>
    <w:rsid w:val="00E63A81"/>
    <w:rsid w:val="00E63ADD"/>
    <w:rsid w:val="00E6423A"/>
    <w:rsid w:val="00E71FA9"/>
    <w:rsid w:val="00E736D3"/>
    <w:rsid w:val="00E74314"/>
    <w:rsid w:val="00E750D2"/>
    <w:rsid w:val="00E80FB0"/>
    <w:rsid w:val="00E81416"/>
    <w:rsid w:val="00E81CB4"/>
    <w:rsid w:val="00E840A5"/>
    <w:rsid w:val="00E8585B"/>
    <w:rsid w:val="00E85F83"/>
    <w:rsid w:val="00E87E3A"/>
    <w:rsid w:val="00E87F41"/>
    <w:rsid w:val="00E908F3"/>
    <w:rsid w:val="00E90BFA"/>
    <w:rsid w:val="00E91FD9"/>
    <w:rsid w:val="00E94152"/>
    <w:rsid w:val="00E95D7A"/>
    <w:rsid w:val="00E96850"/>
    <w:rsid w:val="00E96FF8"/>
    <w:rsid w:val="00E97EF8"/>
    <w:rsid w:val="00EA3F15"/>
    <w:rsid w:val="00EA6CD0"/>
    <w:rsid w:val="00EA7847"/>
    <w:rsid w:val="00EB29EB"/>
    <w:rsid w:val="00EB326D"/>
    <w:rsid w:val="00EB4C2F"/>
    <w:rsid w:val="00EB58A9"/>
    <w:rsid w:val="00EC12D6"/>
    <w:rsid w:val="00EC13BC"/>
    <w:rsid w:val="00EC2898"/>
    <w:rsid w:val="00EC3E16"/>
    <w:rsid w:val="00EC3F9F"/>
    <w:rsid w:val="00EC5413"/>
    <w:rsid w:val="00EC660F"/>
    <w:rsid w:val="00EC6759"/>
    <w:rsid w:val="00ED4CAB"/>
    <w:rsid w:val="00ED5FC3"/>
    <w:rsid w:val="00ED6618"/>
    <w:rsid w:val="00ED72E3"/>
    <w:rsid w:val="00EE0E72"/>
    <w:rsid w:val="00EE2CB5"/>
    <w:rsid w:val="00EE2E6E"/>
    <w:rsid w:val="00EE6A92"/>
    <w:rsid w:val="00EE75F0"/>
    <w:rsid w:val="00EE7805"/>
    <w:rsid w:val="00EF0F91"/>
    <w:rsid w:val="00EF4206"/>
    <w:rsid w:val="00EF63FE"/>
    <w:rsid w:val="00F0367E"/>
    <w:rsid w:val="00F0759E"/>
    <w:rsid w:val="00F10044"/>
    <w:rsid w:val="00F11E68"/>
    <w:rsid w:val="00F16A43"/>
    <w:rsid w:val="00F21A47"/>
    <w:rsid w:val="00F2495F"/>
    <w:rsid w:val="00F34405"/>
    <w:rsid w:val="00F40E27"/>
    <w:rsid w:val="00F43275"/>
    <w:rsid w:val="00F436C7"/>
    <w:rsid w:val="00F46409"/>
    <w:rsid w:val="00F46780"/>
    <w:rsid w:val="00F4680B"/>
    <w:rsid w:val="00F46865"/>
    <w:rsid w:val="00F526B2"/>
    <w:rsid w:val="00F5275B"/>
    <w:rsid w:val="00F60682"/>
    <w:rsid w:val="00F63448"/>
    <w:rsid w:val="00F70BFD"/>
    <w:rsid w:val="00F72CB8"/>
    <w:rsid w:val="00F72D53"/>
    <w:rsid w:val="00F73B93"/>
    <w:rsid w:val="00F7538B"/>
    <w:rsid w:val="00F77159"/>
    <w:rsid w:val="00F779D2"/>
    <w:rsid w:val="00F77BB4"/>
    <w:rsid w:val="00F77D2D"/>
    <w:rsid w:val="00F80E38"/>
    <w:rsid w:val="00F81289"/>
    <w:rsid w:val="00F81605"/>
    <w:rsid w:val="00F821A3"/>
    <w:rsid w:val="00F83849"/>
    <w:rsid w:val="00F871A0"/>
    <w:rsid w:val="00F8760A"/>
    <w:rsid w:val="00F90FB1"/>
    <w:rsid w:val="00F91D23"/>
    <w:rsid w:val="00F92096"/>
    <w:rsid w:val="00F92F07"/>
    <w:rsid w:val="00F9314A"/>
    <w:rsid w:val="00F940AC"/>
    <w:rsid w:val="00F940B2"/>
    <w:rsid w:val="00F951D9"/>
    <w:rsid w:val="00F958F4"/>
    <w:rsid w:val="00F95DA5"/>
    <w:rsid w:val="00FA188D"/>
    <w:rsid w:val="00FA2209"/>
    <w:rsid w:val="00FA2759"/>
    <w:rsid w:val="00FA4463"/>
    <w:rsid w:val="00FA61B6"/>
    <w:rsid w:val="00FA62AF"/>
    <w:rsid w:val="00FA6DAE"/>
    <w:rsid w:val="00FB45D9"/>
    <w:rsid w:val="00FB4745"/>
    <w:rsid w:val="00FB5229"/>
    <w:rsid w:val="00FB70B8"/>
    <w:rsid w:val="00FC2A1D"/>
    <w:rsid w:val="00FC58EF"/>
    <w:rsid w:val="00FC6EE1"/>
    <w:rsid w:val="00FD231B"/>
    <w:rsid w:val="00FD31A7"/>
    <w:rsid w:val="00FD33DF"/>
    <w:rsid w:val="00FD554F"/>
    <w:rsid w:val="00FD7B86"/>
    <w:rsid w:val="00FE39D7"/>
    <w:rsid w:val="00FE4FDD"/>
    <w:rsid w:val="00FE6F28"/>
    <w:rsid w:val="00FF0648"/>
    <w:rsid w:val="00FF0A7E"/>
    <w:rsid w:val="00FF1300"/>
    <w:rsid w:val="00FF3FA1"/>
    <w:rsid w:val="00FF620C"/>
    <w:rsid w:val="00FF640C"/>
    <w:rsid w:val="0BD4E000"/>
    <w:rsid w:val="0DEAA7F0"/>
    <w:rsid w:val="0E1681AD"/>
    <w:rsid w:val="110DDF6E"/>
    <w:rsid w:val="1266EAA6"/>
    <w:rsid w:val="13E2C013"/>
    <w:rsid w:val="140E8C33"/>
    <w:rsid w:val="14BEC395"/>
    <w:rsid w:val="1B9DC482"/>
    <w:rsid w:val="1C22D2B6"/>
    <w:rsid w:val="1CD91B10"/>
    <w:rsid w:val="1DD74A54"/>
    <w:rsid w:val="20AF6525"/>
    <w:rsid w:val="2114E69C"/>
    <w:rsid w:val="21D462D3"/>
    <w:rsid w:val="268A71B6"/>
    <w:rsid w:val="30D37BBC"/>
    <w:rsid w:val="32FEF9D1"/>
    <w:rsid w:val="34C8E655"/>
    <w:rsid w:val="36D5624B"/>
    <w:rsid w:val="3C827B5D"/>
    <w:rsid w:val="3EE5681F"/>
    <w:rsid w:val="40B98626"/>
    <w:rsid w:val="43204FB9"/>
    <w:rsid w:val="4529BD0A"/>
    <w:rsid w:val="4583AED9"/>
    <w:rsid w:val="4591DFF5"/>
    <w:rsid w:val="4769A178"/>
    <w:rsid w:val="4B39014C"/>
    <w:rsid w:val="4CF71E02"/>
    <w:rsid w:val="4F8B1B32"/>
    <w:rsid w:val="4FEE65B4"/>
    <w:rsid w:val="59A52D3F"/>
    <w:rsid w:val="5A08441D"/>
    <w:rsid w:val="5B4BA895"/>
    <w:rsid w:val="5BA39C07"/>
    <w:rsid w:val="5EECA893"/>
    <w:rsid w:val="602E727C"/>
    <w:rsid w:val="6043461E"/>
    <w:rsid w:val="64283168"/>
    <w:rsid w:val="64C10438"/>
    <w:rsid w:val="6C013AE3"/>
    <w:rsid w:val="6D0BD1CB"/>
    <w:rsid w:val="6D3757BD"/>
    <w:rsid w:val="6FAE2E75"/>
    <w:rsid w:val="7BDD06D5"/>
    <w:rsid w:val="7BF0278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DB2DFFC7-408E-4EA0-BD01-E303207E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CD4A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styleId="Hipervnculo">
    <w:name w:val="Hyperlink"/>
    <w:basedOn w:val="Fuentedeprrafopredeter"/>
    <w:uiPriority w:val="99"/>
    <w:unhideWhenUsed/>
    <w:rsid w:val="00F34405"/>
    <w:rPr>
      <w:color w:val="0000FF" w:themeColor="hyperlink"/>
      <w:u w:val="single"/>
    </w:rPr>
  </w:style>
  <w:style w:type="character" w:customStyle="1" w:styleId="Mencinsinresolver1">
    <w:name w:val="Mención sin resolver1"/>
    <w:basedOn w:val="Fuentedeprrafopredeter"/>
    <w:uiPriority w:val="99"/>
    <w:semiHidden/>
    <w:unhideWhenUsed/>
    <w:rsid w:val="00F34405"/>
    <w:rPr>
      <w:color w:val="605E5C"/>
      <w:shd w:val="clear" w:color="auto" w:fill="E1DFDD"/>
    </w:rPr>
  </w:style>
  <w:style w:type="character" w:customStyle="1" w:styleId="Ttulo2Car">
    <w:name w:val="Título 2 Car"/>
    <w:basedOn w:val="Fuentedeprrafopredeter"/>
    <w:link w:val="Ttulo2"/>
    <w:uiPriority w:val="9"/>
    <w:semiHidden/>
    <w:rsid w:val="00CD4AD9"/>
    <w:rPr>
      <w:rFonts w:asciiTheme="majorHAnsi" w:eastAsiaTheme="majorEastAsia" w:hAnsiTheme="majorHAnsi" w:cstheme="majorBidi"/>
      <w:color w:val="365F91" w:themeColor="accent1" w:themeShade="BF"/>
      <w:sz w:val="26"/>
      <w:szCs w:val="26"/>
      <w:lang w:val="es-ES" w:eastAsia="es-ES"/>
    </w:rPr>
  </w:style>
  <w:style w:type="table" w:customStyle="1" w:styleId="TableGrid">
    <w:name w:val="TableGrid"/>
    <w:rsid w:val="00CD4AD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D4AD9"/>
    <w:pPr>
      <w:spacing w:line="249" w:lineRule="auto"/>
      <w:ind w:right="6"/>
      <w:jc w:val="both"/>
    </w:pPr>
    <w:rPr>
      <w:rFonts w:ascii="Verdana" w:eastAsia="Verdana" w:hAnsi="Verdana" w:cs="Verdana"/>
      <w:color w:val="000000"/>
      <w:sz w:val="16"/>
      <w:szCs w:val="22"/>
    </w:rPr>
  </w:style>
  <w:style w:type="character" w:customStyle="1" w:styleId="footnotedescriptionChar">
    <w:name w:val="footnote description Char"/>
    <w:link w:val="footnotedescription"/>
    <w:rsid w:val="00CD4AD9"/>
    <w:rPr>
      <w:rFonts w:ascii="Verdana" w:eastAsia="Verdana" w:hAnsi="Verdana" w:cs="Verdana"/>
      <w:color w:val="000000"/>
      <w:sz w:val="16"/>
      <w:szCs w:val="22"/>
    </w:rPr>
  </w:style>
  <w:style w:type="character" w:customStyle="1" w:styleId="footnotemark">
    <w:name w:val="footnote mark"/>
    <w:hidden/>
    <w:rsid w:val="00CD4AD9"/>
    <w:rPr>
      <w:rFonts w:ascii="Verdana" w:eastAsia="Verdana" w:hAnsi="Verdana" w:cs="Verdana"/>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2" ma:contentTypeDescription="Crear nuevo documento." ma:contentTypeScope="" ma:versionID="db9a6d4052deee2570c253e6c5a6dcd2">
  <xsd:schema xmlns:xsd="http://www.w3.org/2001/XMLSchema" xmlns:xs="http://www.w3.org/2001/XMLSchema" xmlns:p="http://schemas.microsoft.com/office/2006/metadata/properties" xmlns:ns2="52f50d89-700a-49c3-acb1-cc45863f80d1" targetNamespace="http://schemas.microsoft.com/office/2006/metadata/properties" ma:root="true" ma:fieldsID="4b795601ec3ce45db74621e49c9645aa" ns2:_="">
    <xsd:import namespace="52f50d89-700a-49c3-acb1-cc45863f8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AFEF-4C2E-4238-A13C-338D1CA0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3A7B7-73EE-4E0D-A26D-652B423FCCEA}">
  <ds:schemaRefs>
    <ds:schemaRef ds:uri="http://schemas.microsoft.com/sharepoint/v3/contenttype/forms"/>
  </ds:schemaRefs>
</ds:datastoreItem>
</file>

<file path=customXml/itemProps4.xml><?xml version="1.0" encoding="utf-8"?>
<ds:datastoreItem xmlns:ds="http://schemas.openxmlformats.org/officeDocument/2006/customXml" ds:itemID="{6C5E6F6D-20F0-4787-B747-CA423437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12</Pages>
  <Words>4523</Words>
  <Characters>23440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27908</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Luz Stella Rojas Macias</cp:lastModifiedBy>
  <cp:revision>2</cp:revision>
  <cp:lastPrinted>2020-06-16T19:13:00Z</cp:lastPrinted>
  <dcterms:created xsi:type="dcterms:W3CDTF">2020-06-17T17:16:00Z</dcterms:created>
  <dcterms:modified xsi:type="dcterms:W3CDTF">2020-06-17T17:16:00Z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