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2775" w14:textId="31D22C19" w:rsidR="00625DC6" w:rsidRPr="003F7981" w:rsidRDefault="008151C2" w:rsidP="00CF067A">
      <w:pPr>
        <w:pStyle w:val="Encabezado"/>
        <w:ind w:left="284" w:right="6"/>
        <w:contextualSpacing/>
        <w:jc w:val="both"/>
        <w:rPr>
          <w:rFonts w:ascii="Bookman Old Style" w:hAnsi="Bookman Old Style"/>
        </w:rPr>
      </w:pPr>
      <w:r>
        <w:rPr>
          <w:rFonts w:ascii="Bookman Old Style" w:hAnsi="Bookman Old Style"/>
          <w:noProof/>
          <w:szCs w:val="24"/>
        </w:rPr>
        <w:pict w14:anchorId="2063A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9pt;margin-top:-24.85pt;width:52.5pt;height:48.75pt;z-index:251658240;mso-wrap-edited:f" fillcolor="#0c9">
            <v:imagedata r:id="rId11" o:title=""/>
          </v:shape>
        </w:pict>
      </w:r>
    </w:p>
    <w:p w14:paraId="43C69AFB" w14:textId="77777777" w:rsidR="00625DC6" w:rsidRPr="003F7981" w:rsidRDefault="00625DC6" w:rsidP="00CF067A">
      <w:pPr>
        <w:pStyle w:val="Encabezado"/>
        <w:ind w:left="284" w:right="6"/>
        <w:contextualSpacing/>
        <w:jc w:val="both"/>
        <w:rPr>
          <w:rFonts w:ascii="Bookman Old Style" w:hAnsi="Bookman Old Style"/>
          <w:szCs w:val="24"/>
        </w:rPr>
      </w:pPr>
    </w:p>
    <w:p w14:paraId="3534631B" w14:textId="77777777" w:rsidR="00625DC6" w:rsidRPr="003F7981" w:rsidRDefault="00625DC6" w:rsidP="00CF067A">
      <w:pPr>
        <w:pStyle w:val="Encabezado"/>
        <w:ind w:left="284" w:right="6"/>
        <w:contextualSpacing/>
        <w:jc w:val="both"/>
        <w:rPr>
          <w:rFonts w:ascii="Bookman Old Style" w:hAnsi="Bookman Old Style"/>
          <w:szCs w:val="24"/>
        </w:rPr>
      </w:pPr>
    </w:p>
    <w:p w14:paraId="35CAC712" w14:textId="77777777" w:rsidR="00CA77FB" w:rsidRPr="003F7981" w:rsidRDefault="00CA77FB" w:rsidP="00CF067A">
      <w:pPr>
        <w:pStyle w:val="Ttulo4"/>
        <w:ind w:left="284" w:right="6"/>
        <w:contextualSpacing/>
        <w:rPr>
          <w:rFonts w:ascii="Bookman Old Style" w:hAnsi="Bookman Old Style"/>
          <w:b w:val="0"/>
          <w:bCs/>
          <w:noProof/>
          <w:sz w:val="24"/>
          <w:szCs w:val="24"/>
          <w:lang w:val="es-ES"/>
        </w:rPr>
      </w:pPr>
      <w:r w:rsidRPr="003F7981">
        <w:rPr>
          <w:rFonts w:ascii="Bookman Old Style" w:hAnsi="Bookman Old Style"/>
          <w:b w:val="0"/>
          <w:bCs/>
          <w:sz w:val="24"/>
          <w:szCs w:val="24"/>
        </w:rPr>
        <w:t>Ministerio de Minas y Energía</w:t>
      </w:r>
    </w:p>
    <w:p w14:paraId="3F43C339" w14:textId="77777777" w:rsidR="00CA77FB" w:rsidRPr="003F7981" w:rsidRDefault="00CA77FB" w:rsidP="00CF067A">
      <w:pPr>
        <w:pStyle w:val="Ttulo4"/>
        <w:ind w:left="284" w:right="6"/>
        <w:contextualSpacing/>
        <w:rPr>
          <w:rFonts w:ascii="Bookman Old Style" w:hAnsi="Bookman Old Style"/>
          <w:b w:val="0"/>
          <w:bCs/>
          <w:sz w:val="24"/>
          <w:szCs w:val="24"/>
        </w:rPr>
      </w:pPr>
    </w:p>
    <w:p w14:paraId="25A538B3" w14:textId="77777777" w:rsidR="00CA77FB" w:rsidRPr="003F7981" w:rsidRDefault="00CA77FB" w:rsidP="00CF067A">
      <w:pPr>
        <w:pStyle w:val="Ttulo4"/>
        <w:ind w:right="6"/>
        <w:contextualSpacing/>
        <w:rPr>
          <w:rFonts w:ascii="Bookman Old Style" w:hAnsi="Bookman Old Style"/>
          <w:sz w:val="24"/>
          <w:szCs w:val="24"/>
        </w:rPr>
      </w:pPr>
      <w:r w:rsidRPr="003F7981">
        <w:rPr>
          <w:rFonts w:ascii="Bookman Old Style" w:hAnsi="Bookman Old Style"/>
          <w:sz w:val="24"/>
          <w:szCs w:val="24"/>
        </w:rPr>
        <w:t>COMISIÓN DE REGULACIÓN DE ENERGÍA Y GAS</w:t>
      </w:r>
    </w:p>
    <w:p w14:paraId="4E7D0072" w14:textId="77777777" w:rsidR="00CA77FB" w:rsidRPr="003F7981" w:rsidRDefault="00CA77FB" w:rsidP="00CF067A">
      <w:pPr>
        <w:pStyle w:val="Ttulo4"/>
        <w:ind w:right="6"/>
        <w:contextualSpacing/>
        <w:rPr>
          <w:rFonts w:ascii="Bookman Old Style" w:hAnsi="Bookman Old Style"/>
          <w:sz w:val="24"/>
          <w:szCs w:val="24"/>
        </w:rPr>
      </w:pPr>
    </w:p>
    <w:p w14:paraId="4FFCDDA1" w14:textId="031CD4F7" w:rsidR="00CA77FB" w:rsidRPr="003F7981" w:rsidRDefault="00CA77FB" w:rsidP="00CF067A">
      <w:pPr>
        <w:pStyle w:val="Ttulo4"/>
        <w:ind w:right="6"/>
        <w:contextualSpacing/>
        <w:rPr>
          <w:rFonts w:ascii="Bookman Old Style" w:hAnsi="Bookman Old Style"/>
          <w:sz w:val="24"/>
          <w:szCs w:val="24"/>
        </w:rPr>
      </w:pPr>
      <w:r w:rsidRPr="003F7981">
        <w:rPr>
          <w:rFonts w:ascii="Bookman Old Style" w:hAnsi="Bookman Old Style"/>
          <w:sz w:val="24"/>
          <w:szCs w:val="24"/>
        </w:rPr>
        <w:t xml:space="preserve">RESOLUCIÓN </w:t>
      </w:r>
      <w:proofErr w:type="gramStart"/>
      <w:r w:rsidRPr="003F7981">
        <w:rPr>
          <w:rFonts w:ascii="Bookman Old Style" w:hAnsi="Bookman Old Style"/>
          <w:sz w:val="24"/>
          <w:szCs w:val="24"/>
        </w:rPr>
        <w:t>No.</w:t>
      </w:r>
      <w:r w:rsidRPr="003F7981">
        <w:rPr>
          <w:rFonts w:ascii="Bookman Old Style" w:hAnsi="Bookman Old Style"/>
          <w:sz w:val="32"/>
          <w:szCs w:val="32"/>
        </w:rPr>
        <w:t xml:space="preserve"> </w:t>
      </w:r>
      <w:r w:rsidR="00795BFB" w:rsidRPr="003F7981">
        <w:rPr>
          <w:rFonts w:ascii="Bookman Old Style" w:hAnsi="Bookman Old Style"/>
          <w:sz w:val="32"/>
          <w:szCs w:val="32"/>
        </w:rPr>
        <w:t xml:space="preserve"> </w:t>
      </w:r>
      <w:r w:rsidR="00E03E72" w:rsidRPr="003F7981">
        <w:rPr>
          <w:rFonts w:ascii="Bookman Old Style" w:hAnsi="Bookman Old Style"/>
          <w:color w:val="000000" w:themeColor="text1"/>
          <w:sz w:val="32"/>
          <w:szCs w:val="32"/>
        </w:rPr>
        <w:t>501</w:t>
      </w:r>
      <w:proofErr w:type="gramEnd"/>
      <w:r w:rsidR="00795BFB" w:rsidRPr="003F7981">
        <w:rPr>
          <w:rFonts w:ascii="Bookman Old Style" w:hAnsi="Bookman Old Style"/>
          <w:sz w:val="24"/>
          <w:szCs w:val="24"/>
        </w:rPr>
        <w:t xml:space="preserve"> </w:t>
      </w:r>
      <w:r w:rsidR="00BA6E1E">
        <w:rPr>
          <w:rFonts w:ascii="Bookman Old Style" w:hAnsi="Bookman Old Style"/>
          <w:sz w:val="32"/>
          <w:szCs w:val="32"/>
        </w:rPr>
        <w:t>060</w:t>
      </w:r>
      <w:r w:rsidR="00795BFB" w:rsidRPr="003F7981">
        <w:rPr>
          <w:rFonts w:ascii="Bookman Old Style" w:hAnsi="Bookman Old Style"/>
          <w:sz w:val="32"/>
          <w:szCs w:val="32"/>
        </w:rPr>
        <w:t xml:space="preserve"> </w:t>
      </w:r>
      <w:r w:rsidR="00795BFB" w:rsidRPr="003F7981">
        <w:rPr>
          <w:rFonts w:ascii="Bookman Old Style" w:hAnsi="Bookman Old Style"/>
          <w:sz w:val="24"/>
          <w:szCs w:val="24"/>
        </w:rPr>
        <w:t xml:space="preserve">   </w:t>
      </w:r>
      <w:r w:rsidRPr="003F7981">
        <w:rPr>
          <w:rFonts w:ascii="Bookman Old Style" w:hAnsi="Bookman Old Style"/>
          <w:sz w:val="24"/>
          <w:szCs w:val="24"/>
        </w:rPr>
        <w:t xml:space="preserve">DE </w:t>
      </w:r>
      <w:r w:rsidR="00D451C0" w:rsidRPr="003F7981">
        <w:rPr>
          <w:rFonts w:ascii="Bookman Old Style" w:hAnsi="Bookman Old Style"/>
          <w:sz w:val="24"/>
          <w:szCs w:val="24"/>
        </w:rPr>
        <w:t>20</w:t>
      </w:r>
      <w:r w:rsidR="00FD1664" w:rsidRPr="003F7981">
        <w:rPr>
          <w:rFonts w:ascii="Bookman Old Style" w:hAnsi="Bookman Old Style"/>
          <w:sz w:val="24"/>
          <w:szCs w:val="24"/>
        </w:rPr>
        <w:t>2</w:t>
      </w:r>
      <w:r w:rsidR="00F314C2" w:rsidRPr="003F7981">
        <w:rPr>
          <w:rFonts w:ascii="Bookman Old Style" w:hAnsi="Bookman Old Style"/>
          <w:sz w:val="24"/>
          <w:szCs w:val="24"/>
        </w:rPr>
        <w:t>2</w:t>
      </w:r>
    </w:p>
    <w:p w14:paraId="32CF47F9" w14:textId="77777777" w:rsidR="00CA77FB" w:rsidRPr="003F7981" w:rsidRDefault="00CA77FB" w:rsidP="00CF067A">
      <w:pPr>
        <w:pStyle w:val="Ttulo4"/>
        <w:ind w:right="6"/>
        <w:contextualSpacing/>
        <w:rPr>
          <w:rFonts w:ascii="Bookman Old Style" w:hAnsi="Bookman Old Style"/>
          <w:sz w:val="24"/>
          <w:szCs w:val="24"/>
        </w:rPr>
      </w:pPr>
    </w:p>
    <w:p w14:paraId="5508F72B" w14:textId="3DB5B182" w:rsidR="00CA77FB" w:rsidRPr="003F7981" w:rsidRDefault="00CA77FB" w:rsidP="00CF067A">
      <w:pPr>
        <w:pStyle w:val="Ttulo4"/>
        <w:ind w:right="6"/>
        <w:contextualSpacing/>
        <w:rPr>
          <w:rFonts w:ascii="Bookman Old Style" w:hAnsi="Bookman Old Style"/>
          <w:sz w:val="24"/>
          <w:szCs w:val="24"/>
        </w:rPr>
      </w:pPr>
      <w:proofErr w:type="gramStart"/>
      <w:r w:rsidRPr="003F7981">
        <w:rPr>
          <w:rFonts w:ascii="Bookman Old Style" w:hAnsi="Bookman Old Style"/>
          <w:sz w:val="24"/>
          <w:szCs w:val="24"/>
        </w:rPr>
        <w:t xml:space="preserve">( </w:t>
      </w:r>
      <w:r w:rsidR="00BA6E1E" w:rsidRPr="00BA6E1E">
        <w:rPr>
          <w:rFonts w:ascii="Bookman Old Style" w:hAnsi="Bookman Old Style"/>
          <w:sz w:val="32"/>
          <w:szCs w:val="32"/>
        </w:rPr>
        <w:t>6</w:t>
      </w:r>
      <w:proofErr w:type="gramEnd"/>
      <w:r w:rsidR="00AD369B" w:rsidRPr="00BA6E1E">
        <w:rPr>
          <w:rFonts w:ascii="Bookman Old Style" w:hAnsi="Bookman Old Style"/>
          <w:sz w:val="32"/>
          <w:szCs w:val="32"/>
        </w:rPr>
        <w:t xml:space="preserve"> </w:t>
      </w:r>
      <w:r w:rsidR="00BA6E1E" w:rsidRPr="00BA6E1E">
        <w:rPr>
          <w:rFonts w:ascii="Bookman Old Style" w:hAnsi="Bookman Old Style"/>
          <w:sz w:val="32"/>
          <w:szCs w:val="32"/>
        </w:rPr>
        <w:t>AGO</w:t>
      </w:r>
      <w:r w:rsidR="00AD369B" w:rsidRPr="00BA6E1E">
        <w:rPr>
          <w:rFonts w:ascii="Bookman Old Style" w:hAnsi="Bookman Old Style"/>
          <w:sz w:val="32"/>
          <w:szCs w:val="32"/>
        </w:rPr>
        <w:t>. 202</w:t>
      </w:r>
      <w:r w:rsidR="00F314C2" w:rsidRPr="00BA6E1E">
        <w:rPr>
          <w:rFonts w:ascii="Bookman Old Style" w:hAnsi="Bookman Old Style"/>
          <w:sz w:val="32"/>
          <w:szCs w:val="32"/>
        </w:rPr>
        <w:t>2</w:t>
      </w:r>
      <w:r w:rsidRPr="003F7981">
        <w:rPr>
          <w:rFonts w:ascii="Bookman Old Style" w:hAnsi="Bookman Old Style"/>
          <w:sz w:val="24"/>
          <w:szCs w:val="24"/>
        </w:rPr>
        <w:t xml:space="preserve"> )</w:t>
      </w:r>
    </w:p>
    <w:p w14:paraId="53FF130C" w14:textId="77777777" w:rsidR="00CA77FB" w:rsidRPr="003F7981" w:rsidRDefault="00CA77FB" w:rsidP="00CF067A">
      <w:pPr>
        <w:ind w:left="284" w:right="6"/>
        <w:contextualSpacing/>
        <w:jc w:val="center"/>
        <w:rPr>
          <w:rFonts w:ascii="Bookman Old Style" w:hAnsi="Bookman Old Style"/>
          <w:lang w:val="es-ES_tradnl"/>
        </w:rPr>
      </w:pPr>
    </w:p>
    <w:p w14:paraId="1FEF4395" w14:textId="77777777" w:rsidR="00AD369B" w:rsidRPr="003F7981" w:rsidRDefault="00AD369B" w:rsidP="00CF067A">
      <w:pPr>
        <w:pStyle w:val="Textodebloque"/>
        <w:spacing w:after="0"/>
        <w:ind w:left="284" w:right="6"/>
        <w:contextualSpacing/>
        <w:rPr>
          <w:rFonts w:ascii="Bookman Old Style" w:hAnsi="Bookman Old Style"/>
          <w:szCs w:val="24"/>
        </w:rPr>
      </w:pPr>
      <w:bookmarkStart w:id="0" w:name="_Hlk40445094"/>
    </w:p>
    <w:p w14:paraId="4E53C93B" w14:textId="7365F477" w:rsidR="002E5821" w:rsidRPr="00AD369B" w:rsidRDefault="002E5821" w:rsidP="009E0431">
      <w:pPr>
        <w:pStyle w:val="Piedepgina"/>
        <w:tabs>
          <w:tab w:val="clear" w:pos="4252"/>
          <w:tab w:val="clear" w:pos="8504"/>
          <w:tab w:val="center" w:pos="4845"/>
        </w:tabs>
        <w:ind w:left="284" w:right="142"/>
        <w:contextualSpacing/>
        <w:jc w:val="center"/>
        <w:rPr>
          <w:rFonts w:ascii="Bookman Old Style" w:hAnsi="Bookman Old Style"/>
        </w:rPr>
      </w:pPr>
      <w:r w:rsidRPr="4C17CD0A">
        <w:rPr>
          <w:rFonts w:ascii="Bookman Old Style" w:hAnsi="Bookman Old Style"/>
        </w:rPr>
        <w:t xml:space="preserve">Por la cual se determina el cargo máximo para el mercado relevante </w:t>
      </w:r>
      <w:r w:rsidR="009E0431" w:rsidRPr="505A2760">
        <w:rPr>
          <w:rFonts w:ascii="Bookman Old Style" w:hAnsi="Bookman Old Style" w:cs="Arial"/>
        </w:rPr>
        <w:t xml:space="preserve">de comercialización </w:t>
      </w:r>
      <w:r w:rsidR="009E0431">
        <w:rPr>
          <w:rFonts w:ascii="Bookman Old Style" w:hAnsi="Bookman Old Style" w:cs="Arial"/>
        </w:rPr>
        <w:t xml:space="preserve">que atiende el centro poblado de </w:t>
      </w:r>
      <w:r w:rsidR="00FA12E2">
        <w:rPr>
          <w:rFonts w:ascii="Bookman Old Style" w:hAnsi="Bookman Old Style" w:cs="Arial"/>
        </w:rPr>
        <w:t>Casuarito en el</w:t>
      </w:r>
      <w:r w:rsidR="00FA12E2" w:rsidRPr="505A2760">
        <w:rPr>
          <w:rFonts w:ascii="Bookman Old Style" w:hAnsi="Bookman Old Style" w:cs="Arial"/>
        </w:rPr>
        <w:t xml:space="preserve"> municipio de Puerto </w:t>
      </w:r>
      <w:r w:rsidR="00FA12E2">
        <w:rPr>
          <w:rFonts w:ascii="Bookman Old Style" w:hAnsi="Bookman Old Style" w:cs="Arial"/>
        </w:rPr>
        <w:t>Carreño</w:t>
      </w:r>
      <w:r w:rsidR="00FA12E2" w:rsidRPr="505A2760">
        <w:rPr>
          <w:rFonts w:ascii="Bookman Old Style" w:hAnsi="Bookman Old Style" w:cs="Arial"/>
        </w:rPr>
        <w:t xml:space="preserve"> en el Departamento del </w:t>
      </w:r>
      <w:r w:rsidR="00FA12E2">
        <w:rPr>
          <w:rFonts w:ascii="Bookman Old Style" w:hAnsi="Bookman Old Style" w:cs="Arial"/>
        </w:rPr>
        <w:t>Vichada.</w:t>
      </w:r>
    </w:p>
    <w:bookmarkEnd w:id="0"/>
    <w:p w14:paraId="04D65D06" w14:textId="2EBB510C" w:rsidR="002E5821" w:rsidRPr="003F7981" w:rsidRDefault="002E5821" w:rsidP="009E0431">
      <w:pPr>
        <w:pStyle w:val="Textodebloque"/>
        <w:spacing w:after="0"/>
        <w:ind w:left="284" w:right="6"/>
        <w:contextualSpacing/>
        <w:jc w:val="center"/>
        <w:rPr>
          <w:rFonts w:ascii="Bookman Old Style" w:hAnsi="Bookman Old Style" w:cs="Arial"/>
          <w:szCs w:val="24"/>
          <w:highlight w:val="green"/>
        </w:rPr>
      </w:pPr>
    </w:p>
    <w:p w14:paraId="3C8B2E0C" w14:textId="77777777" w:rsidR="00A33177" w:rsidRPr="003F7981" w:rsidRDefault="00A33177" w:rsidP="009E0431">
      <w:pPr>
        <w:pStyle w:val="Textodebloque"/>
        <w:spacing w:after="0"/>
        <w:ind w:left="284" w:right="6"/>
        <w:contextualSpacing/>
        <w:jc w:val="center"/>
        <w:rPr>
          <w:rFonts w:ascii="Bookman Old Style" w:hAnsi="Bookman Old Style" w:cs="Arial"/>
          <w:szCs w:val="24"/>
        </w:rPr>
      </w:pPr>
    </w:p>
    <w:p w14:paraId="427244E5" w14:textId="77777777" w:rsidR="00DE4BF8" w:rsidRPr="003F7981" w:rsidRDefault="00DE4BF8" w:rsidP="00CF067A">
      <w:pPr>
        <w:pStyle w:val="Textoindependiente2"/>
        <w:spacing w:after="0" w:line="240" w:lineRule="auto"/>
        <w:ind w:left="284" w:right="6"/>
        <w:contextualSpacing/>
        <w:jc w:val="center"/>
        <w:rPr>
          <w:rFonts w:ascii="Bookman Old Style" w:hAnsi="Bookman Old Style" w:cs="Arial"/>
          <w:b/>
          <w:bCs/>
        </w:rPr>
      </w:pPr>
      <w:r w:rsidRPr="003F7981">
        <w:rPr>
          <w:rFonts w:ascii="Bookman Old Style" w:hAnsi="Bookman Old Style" w:cs="Arial"/>
          <w:b/>
          <w:bCs/>
        </w:rPr>
        <w:t>LA COMISIÓN DE REGULACIÓN DE ENERGÍA Y GAS</w:t>
      </w:r>
    </w:p>
    <w:p w14:paraId="34C9EA6C" w14:textId="77777777" w:rsidR="00A33177" w:rsidRPr="003F7981" w:rsidRDefault="00A33177" w:rsidP="00CF067A">
      <w:pPr>
        <w:pStyle w:val="Textoindependiente2"/>
        <w:spacing w:after="0" w:line="240" w:lineRule="auto"/>
        <w:ind w:left="284" w:right="6"/>
        <w:contextualSpacing/>
        <w:jc w:val="center"/>
        <w:rPr>
          <w:rFonts w:ascii="Bookman Old Style" w:hAnsi="Bookman Old Style" w:cs="Arial"/>
          <w:b/>
          <w:bCs/>
          <w:lang w:val="es-CO"/>
        </w:rPr>
      </w:pPr>
    </w:p>
    <w:p w14:paraId="4132F3EC" w14:textId="77777777" w:rsidR="005F5CDB" w:rsidRPr="003F7981" w:rsidRDefault="005F5CDB" w:rsidP="00CF067A">
      <w:pPr>
        <w:pStyle w:val="Textoindependiente2"/>
        <w:spacing w:after="0" w:line="240" w:lineRule="auto"/>
        <w:ind w:left="284" w:right="6"/>
        <w:contextualSpacing/>
        <w:jc w:val="center"/>
        <w:rPr>
          <w:rFonts w:ascii="Bookman Old Style" w:hAnsi="Bookman Old Style" w:cs="Arial"/>
          <w:b/>
          <w:bCs/>
          <w:lang w:val="es-CO"/>
        </w:rPr>
      </w:pPr>
    </w:p>
    <w:p w14:paraId="5AC47189" w14:textId="0E35BFE6" w:rsidR="00DE4BF8" w:rsidRPr="003F7981" w:rsidRDefault="00DE4BF8" w:rsidP="00CF067A">
      <w:pPr>
        <w:ind w:left="284" w:right="6"/>
        <w:contextualSpacing/>
        <w:jc w:val="both"/>
        <w:rPr>
          <w:rFonts w:ascii="Bookman Old Style" w:hAnsi="Bookman Old Style" w:cs="Arial"/>
        </w:rPr>
      </w:pPr>
    </w:p>
    <w:p w14:paraId="136F639D" w14:textId="02E15389" w:rsidR="5A4700E7" w:rsidRPr="003F7981" w:rsidRDefault="5A4700E7" w:rsidP="00CF067A">
      <w:pPr>
        <w:ind w:left="284" w:right="6"/>
        <w:jc w:val="both"/>
        <w:rPr>
          <w:rFonts w:ascii="Bookman Old Style" w:eastAsia="Bookman Old Style" w:hAnsi="Bookman Old Style" w:cs="Bookman Old Style"/>
          <w:lang w:val="es"/>
        </w:rPr>
      </w:pPr>
      <w:r w:rsidRPr="003F7981">
        <w:rPr>
          <w:rFonts w:ascii="Bookman Old Style" w:eastAsia="Bookman Old Style" w:hAnsi="Bookman Old Style" w:cs="Bookman Old Style"/>
          <w:lang w:val="es"/>
        </w:rPr>
        <w:t>En ejercicio de sus atribuciones constitucionales y legales, en especial las conferidas por las leyes 142 y 143 de 1994, y los decretos 1524 y 2253 de 1994, 1260 de 2013 y en especial lo dispuesto en el literal d del artículo 22 y el numeral 24.5 del artículo 24 de la Resolución CREG 091 de 2007.</w:t>
      </w:r>
    </w:p>
    <w:p w14:paraId="3D447594" w14:textId="496DA342" w:rsidR="00DE4BF8" w:rsidRPr="003F7981" w:rsidRDefault="00DE4BF8" w:rsidP="00CF067A">
      <w:pPr>
        <w:ind w:left="284" w:right="6"/>
        <w:contextualSpacing/>
        <w:jc w:val="both"/>
        <w:rPr>
          <w:rFonts w:ascii="Bookman Old Style" w:hAnsi="Bookman Old Style" w:cs="Arial"/>
        </w:rPr>
      </w:pPr>
    </w:p>
    <w:p w14:paraId="065F7C52" w14:textId="77777777" w:rsidR="009C209F" w:rsidRPr="003F7981" w:rsidRDefault="009C209F" w:rsidP="00CF067A">
      <w:pPr>
        <w:ind w:left="284" w:right="6"/>
        <w:contextualSpacing/>
        <w:jc w:val="both"/>
        <w:rPr>
          <w:rFonts w:ascii="Bookman Old Style" w:hAnsi="Bookman Old Style" w:cs="Arial"/>
        </w:rPr>
      </w:pPr>
    </w:p>
    <w:p w14:paraId="18310931" w14:textId="77777777" w:rsidR="00DE4BF8" w:rsidRPr="003F7981" w:rsidRDefault="00DE4BF8" w:rsidP="00CF067A">
      <w:pPr>
        <w:ind w:left="284" w:right="6"/>
        <w:contextualSpacing/>
        <w:jc w:val="center"/>
        <w:rPr>
          <w:rFonts w:ascii="Bookman Old Style" w:hAnsi="Bookman Old Style" w:cs="Arial"/>
          <w:b/>
        </w:rPr>
      </w:pPr>
      <w:r w:rsidRPr="003F7981">
        <w:rPr>
          <w:rFonts w:ascii="Bookman Old Style" w:hAnsi="Bookman Old Style" w:cs="Arial"/>
          <w:b/>
          <w:spacing w:val="80"/>
        </w:rPr>
        <w:t>CONSIDERANDO QUE</w:t>
      </w:r>
      <w:r w:rsidRPr="003F7981">
        <w:rPr>
          <w:rFonts w:ascii="Bookman Old Style" w:hAnsi="Bookman Old Style" w:cs="Arial"/>
          <w:b/>
        </w:rPr>
        <w:t>:</w:t>
      </w:r>
    </w:p>
    <w:p w14:paraId="57A19D5F" w14:textId="6E0B0177" w:rsidR="009C209F" w:rsidRPr="003F7981" w:rsidRDefault="009C209F" w:rsidP="00CF067A">
      <w:pPr>
        <w:ind w:left="284" w:right="6"/>
        <w:contextualSpacing/>
        <w:jc w:val="center"/>
        <w:rPr>
          <w:rFonts w:ascii="Bookman Old Style" w:hAnsi="Bookman Old Style" w:cs="Arial"/>
          <w:b/>
          <w:bCs/>
        </w:rPr>
      </w:pPr>
    </w:p>
    <w:p w14:paraId="6E1F39B9" w14:textId="77777777" w:rsidR="00B54D44" w:rsidRPr="003F7981" w:rsidRDefault="00B54D44" w:rsidP="00CF067A">
      <w:pPr>
        <w:ind w:left="284" w:right="6"/>
        <w:contextualSpacing/>
        <w:jc w:val="center"/>
        <w:rPr>
          <w:rFonts w:ascii="Bookman Old Style" w:hAnsi="Bookman Old Style" w:cs="Arial"/>
          <w:b/>
        </w:rPr>
      </w:pPr>
    </w:p>
    <w:p w14:paraId="3EF663D8" w14:textId="766EC096" w:rsidR="005F2B6B" w:rsidRPr="003F7981" w:rsidRDefault="005878BF" w:rsidP="00CF067A">
      <w:pPr>
        <w:numPr>
          <w:ilvl w:val="0"/>
          <w:numId w:val="8"/>
        </w:numPr>
        <w:ind w:right="6"/>
        <w:contextualSpacing/>
        <w:jc w:val="both"/>
        <w:rPr>
          <w:rFonts w:ascii="Bookman Old Style" w:hAnsi="Bookman Old Style" w:cs="Arial"/>
          <w:b/>
        </w:rPr>
      </w:pPr>
      <w:r w:rsidRPr="003F7981">
        <w:rPr>
          <w:rFonts w:ascii="Bookman Old Style" w:hAnsi="Bookman Old Style" w:cs="Arial"/>
          <w:b/>
        </w:rPr>
        <w:t xml:space="preserve"> </w:t>
      </w:r>
      <w:r w:rsidR="005F2B6B" w:rsidRPr="003F7981">
        <w:rPr>
          <w:rFonts w:ascii="Bookman Old Style" w:hAnsi="Bookman Old Style" w:cs="Arial"/>
          <w:b/>
        </w:rPr>
        <w:t>ANTECEDENTES</w:t>
      </w:r>
    </w:p>
    <w:p w14:paraId="0D613634" w14:textId="77777777" w:rsidR="009B5A32" w:rsidRPr="003F7981" w:rsidRDefault="009B5A32" w:rsidP="00CF067A">
      <w:pPr>
        <w:ind w:left="284" w:right="6"/>
        <w:contextualSpacing/>
        <w:jc w:val="both"/>
        <w:rPr>
          <w:rFonts w:ascii="Bookman Old Style" w:hAnsi="Bookman Old Style" w:cs="Arial"/>
        </w:rPr>
      </w:pPr>
    </w:p>
    <w:p w14:paraId="65692F79" w14:textId="75DBC87E" w:rsidR="00941D3F" w:rsidRPr="003F7981" w:rsidRDefault="00941D3F" w:rsidP="00CF067A">
      <w:pPr>
        <w:pStyle w:val="Textoindependiente"/>
        <w:ind w:left="284" w:right="6"/>
        <w:contextualSpacing/>
        <w:jc w:val="both"/>
        <w:rPr>
          <w:rFonts w:ascii="Bookman Old Style" w:hAnsi="Bookman Old Style"/>
          <w:b w:val="0"/>
          <w:bCs w:val="0"/>
          <w:iCs/>
        </w:rPr>
      </w:pPr>
      <w:r w:rsidRPr="003F7981">
        <w:rPr>
          <w:rFonts w:ascii="Bookman Old Style" w:hAnsi="Bookman Old Style"/>
          <w:b w:val="0"/>
          <w:bCs w:val="0"/>
          <w:iCs/>
        </w:rPr>
        <w:t>El artículo 87 de la Ley 142 de 1994 estableció que el régimen tarifario estará orientado por los criterios de eficiencia económica, neutralidad, solidaridad, redistribución, suficiencia financiera, simplicidad y transparencia.</w:t>
      </w:r>
    </w:p>
    <w:p w14:paraId="0F4F12D8" w14:textId="77777777" w:rsidR="00941D3F" w:rsidRPr="003F7981" w:rsidRDefault="00941D3F" w:rsidP="00CF067A">
      <w:pPr>
        <w:pStyle w:val="Textoindependiente"/>
        <w:ind w:left="284" w:right="6"/>
        <w:contextualSpacing/>
        <w:jc w:val="both"/>
        <w:rPr>
          <w:rFonts w:ascii="Bookman Old Style" w:hAnsi="Bookman Old Style"/>
          <w:b w:val="0"/>
          <w:bCs w:val="0"/>
          <w:iCs/>
        </w:rPr>
      </w:pPr>
    </w:p>
    <w:p w14:paraId="6792B2CC" w14:textId="77777777" w:rsidR="00727040" w:rsidRPr="003F7981" w:rsidRDefault="00727040" w:rsidP="00CF067A">
      <w:pPr>
        <w:pStyle w:val="Textoindependiente"/>
        <w:ind w:left="284" w:right="6"/>
        <w:contextualSpacing/>
        <w:jc w:val="both"/>
        <w:rPr>
          <w:rFonts w:ascii="Bookman Old Style" w:hAnsi="Bookman Old Style"/>
          <w:b w:val="0"/>
          <w:bCs w:val="0"/>
          <w:iCs/>
        </w:rPr>
      </w:pPr>
      <w:r w:rsidRPr="003F7981">
        <w:rPr>
          <w:rFonts w:ascii="Bookman Old Style" w:hAnsi="Bookman Old Style"/>
          <w:b w:val="0"/>
          <w:bCs w:val="0"/>
          <w:iCs/>
        </w:rPr>
        <w:t xml:space="preserve">De acuerdo con lo previsto en el </w:t>
      </w:r>
      <w:r w:rsidR="00941D3F" w:rsidRPr="003F7981">
        <w:rPr>
          <w:rFonts w:ascii="Bookman Old Style" w:hAnsi="Bookman Old Style"/>
          <w:b w:val="0"/>
          <w:bCs w:val="0"/>
          <w:iCs/>
        </w:rPr>
        <w:t>literal e)</w:t>
      </w:r>
      <w:r w:rsidR="00941D3F" w:rsidRPr="003F7981">
        <w:rPr>
          <w:rFonts w:ascii="Bookman Old Style" w:hAnsi="Bookman Old Style"/>
          <w:b w:val="0"/>
          <w:bCs w:val="0"/>
          <w:iCs/>
          <w:lang w:val="es-MX"/>
        </w:rPr>
        <w:t xml:space="preserve"> del</w:t>
      </w:r>
      <w:r w:rsidR="00941D3F" w:rsidRPr="003F7981">
        <w:rPr>
          <w:rFonts w:ascii="Bookman Old Style" w:hAnsi="Bookman Old Style"/>
          <w:b w:val="0"/>
          <w:bCs w:val="0"/>
          <w:iCs/>
        </w:rPr>
        <w:t xml:space="preserve"> artículo 23 de </w:t>
      </w:r>
      <w:r w:rsidRPr="003F7981">
        <w:rPr>
          <w:rFonts w:ascii="Bookman Old Style" w:hAnsi="Bookman Old Style"/>
          <w:b w:val="0"/>
          <w:bCs w:val="0"/>
          <w:iCs/>
        </w:rPr>
        <w:t>la Ley 143 de 1994, es función de la Comisión de Regulación de Energía y Gas aprobar las fórmulas tarifarias y las metodologías para el cálculo de las tarifas para usuarios regulados.</w:t>
      </w:r>
    </w:p>
    <w:p w14:paraId="01E21D25" w14:textId="77777777" w:rsidR="000C5DD0" w:rsidRPr="003F7981" w:rsidRDefault="000C5DD0" w:rsidP="00CF067A">
      <w:pPr>
        <w:pStyle w:val="Textoindependiente"/>
        <w:ind w:left="284" w:right="6"/>
        <w:contextualSpacing/>
        <w:jc w:val="both"/>
        <w:rPr>
          <w:rFonts w:ascii="Bookman Old Style" w:hAnsi="Bookman Old Style"/>
          <w:b w:val="0"/>
          <w:bCs w:val="0"/>
          <w:iCs/>
        </w:rPr>
      </w:pPr>
    </w:p>
    <w:p w14:paraId="5A84D088" w14:textId="36748467" w:rsidR="00727040" w:rsidRPr="003F7981" w:rsidRDefault="00727040" w:rsidP="00364930">
      <w:pPr>
        <w:pStyle w:val="Textoindependiente"/>
        <w:ind w:left="284" w:right="6"/>
        <w:contextualSpacing/>
        <w:jc w:val="both"/>
        <w:rPr>
          <w:rFonts w:ascii="Bookman Old Style" w:hAnsi="Bookman Old Style"/>
          <w:b w:val="0"/>
          <w:bCs w:val="0"/>
          <w:iCs/>
        </w:rPr>
      </w:pPr>
      <w:r w:rsidRPr="003F7981">
        <w:rPr>
          <w:rFonts w:ascii="Bookman Old Style" w:hAnsi="Bookman Old Style"/>
          <w:b w:val="0"/>
          <w:bCs w:val="0"/>
          <w:iCs/>
        </w:rPr>
        <w:t>El artículo 6 de la Ley 143 de 1994, entre otros aspectos, establece que las actividades relacionadas con el servicio de electricidad se regirán por el principio de adaptabilidad</w:t>
      </w:r>
      <w:r w:rsidR="003B0A64" w:rsidRPr="003F7981">
        <w:rPr>
          <w:rFonts w:ascii="Bookman Old Style" w:hAnsi="Bookman Old Style"/>
          <w:b w:val="0"/>
          <w:bCs w:val="0"/>
          <w:iCs/>
          <w:lang w:val="es-CO"/>
        </w:rPr>
        <w:t>,</w:t>
      </w:r>
      <w:r w:rsidRPr="003F7981">
        <w:rPr>
          <w:rFonts w:ascii="Bookman Old Style" w:hAnsi="Bookman Old Style"/>
          <w:b w:val="0"/>
          <w:bCs w:val="0"/>
          <w:iCs/>
        </w:rPr>
        <w:t xml:space="preserve"> que conduce a la incorporación de los avances de la ciencia y la tecnología que aporten mayor calidad y eficiencia en la prestación del servicio</w:t>
      </w:r>
      <w:r w:rsidR="003B0A64" w:rsidRPr="003F7981">
        <w:rPr>
          <w:rFonts w:ascii="Bookman Old Style" w:hAnsi="Bookman Old Style"/>
          <w:b w:val="0"/>
          <w:bCs w:val="0"/>
          <w:iCs/>
          <w:lang w:val="es-CO"/>
        </w:rPr>
        <w:t>,</w:t>
      </w:r>
      <w:r w:rsidRPr="003F7981">
        <w:rPr>
          <w:rFonts w:ascii="Bookman Old Style" w:hAnsi="Bookman Old Style"/>
          <w:b w:val="0"/>
          <w:bCs w:val="0"/>
          <w:iCs/>
        </w:rPr>
        <w:t xml:space="preserve"> al menor costo económico;</w:t>
      </w:r>
    </w:p>
    <w:p w14:paraId="3440E52D" w14:textId="77777777" w:rsidR="00727040" w:rsidRPr="003F7981" w:rsidRDefault="00727040" w:rsidP="00CF067A">
      <w:pPr>
        <w:pStyle w:val="Textoindependiente"/>
        <w:ind w:left="284" w:right="6"/>
        <w:contextualSpacing/>
        <w:jc w:val="both"/>
        <w:rPr>
          <w:rFonts w:ascii="Bookman Old Style" w:hAnsi="Bookman Old Style"/>
          <w:b w:val="0"/>
          <w:bCs w:val="0"/>
          <w:iCs/>
        </w:rPr>
      </w:pPr>
    </w:p>
    <w:p w14:paraId="60DDB396" w14:textId="030A9852" w:rsidR="00AD369B" w:rsidRDefault="009B5A32" w:rsidP="00CF067A">
      <w:pPr>
        <w:pStyle w:val="Textoindependiente"/>
        <w:ind w:left="284" w:right="6"/>
        <w:contextualSpacing/>
        <w:jc w:val="both"/>
        <w:rPr>
          <w:rFonts w:ascii="Bookman Old Style" w:hAnsi="Bookman Old Style"/>
          <w:b w:val="0"/>
          <w:bCs w:val="0"/>
          <w:i/>
          <w:iCs/>
          <w:lang w:val="es-CO"/>
        </w:rPr>
      </w:pPr>
      <w:r w:rsidRPr="003F7981">
        <w:rPr>
          <w:rFonts w:ascii="Bookman Old Style" w:hAnsi="Bookman Old Style"/>
          <w:b w:val="0"/>
          <w:bCs w:val="0"/>
        </w:rPr>
        <w:t>La Comisión de Regulación de Energía y Gas, CREG, mediante la Resolución CREG 091 de 2007, estableció las metodologías generales para remunerar las actividades de generación, distribución y comercialización de energía eléctrica, y las fórmulas tarifarias generales para determinar el costo unitario de prestación del servicio p</w:t>
      </w:r>
      <w:r w:rsidR="00F0393C" w:rsidRPr="003F7981">
        <w:rPr>
          <w:rFonts w:ascii="Bookman Old Style" w:hAnsi="Bookman Old Style"/>
          <w:b w:val="0"/>
          <w:bCs w:val="0"/>
        </w:rPr>
        <w:t xml:space="preserve">úblico de energía eléctrica en </w:t>
      </w:r>
      <w:r w:rsidR="00376976" w:rsidRPr="003F7981">
        <w:rPr>
          <w:rFonts w:ascii="Bookman Old Style" w:hAnsi="Bookman Old Style"/>
          <w:b w:val="0"/>
          <w:bCs w:val="0"/>
          <w:lang w:val="es-CO"/>
        </w:rPr>
        <w:t>Zonas</w:t>
      </w:r>
      <w:r w:rsidR="00911656" w:rsidRPr="003F7981">
        <w:rPr>
          <w:rFonts w:ascii="Bookman Old Style" w:hAnsi="Bookman Old Style"/>
          <w:b w:val="0"/>
          <w:bCs w:val="0"/>
          <w:lang w:val="es-MX"/>
        </w:rPr>
        <w:t xml:space="preserve"> </w:t>
      </w:r>
      <w:r w:rsidR="00C21AD5" w:rsidRPr="003F7981">
        <w:rPr>
          <w:rFonts w:ascii="Bookman Old Style" w:hAnsi="Bookman Old Style"/>
          <w:b w:val="0"/>
          <w:bCs w:val="0"/>
          <w:lang w:val="es-CO"/>
        </w:rPr>
        <w:t>N</w:t>
      </w:r>
      <w:r w:rsidR="00C21AD5" w:rsidRPr="003F7981">
        <w:rPr>
          <w:rFonts w:ascii="Bookman Old Style" w:hAnsi="Bookman Old Style"/>
          <w:b w:val="0"/>
          <w:bCs w:val="0"/>
        </w:rPr>
        <w:t xml:space="preserve">o </w:t>
      </w:r>
      <w:r w:rsidR="00376976" w:rsidRPr="003F7981">
        <w:rPr>
          <w:rFonts w:ascii="Bookman Old Style" w:hAnsi="Bookman Old Style"/>
          <w:b w:val="0"/>
          <w:bCs w:val="0"/>
          <w:lang w:val="es-CO"/>
        </w:rPr>
        <w:t>Interconectadas</w:t>
      </w:r>
      <w:r w:rsidRPr="003F7981">
        <w:rPr>
          <w:rFonts w:ascii="Bookman Old Style" w:hAnsi="Bookman Old Style"/>
          <w:b w:val="0"/>
          <w:bCs w:val="0"/>
          <w:i/>
          <w:iCs/>
        </w:rPr>
        <w:t>.</w:t>
      </w:r>
      <w:r w:rsidRPr="003F7981">
        <w:rPr>
          <w:rFonts w:ascii="Bookman Old Style" w:hAnsi="Bookman Old Style"/>
          <w:b w:val="0"/>
          <w:bCs w:val="0"/>
          <w:i/>
          <w:iCs/>
          <w:lang w:val="es-CO"/>
        </w:rPr>
        <w:t xml:space="preserve"> </w:t>
      </w:r>
    </w:p>
    <w:p w14:paraId="48823677" w14:textId="5635D90F" w:rsidR="00890CAB" w:rsidRDefault="00890CAB" w:rsidP="00CF067A">
      <w:pPr>
        <w:pStyle w:val="Textoindependiente"/>
        <w:ind w:left="284" w:right="6"/>
        <w:contextualSpacing/>
        <w:jc w:val="both"/>
        <w:rPr>
          <w:rFonts w:ascii="Bookman Old Style" w:eastAsia="Calibri" w:hAnsi="Bookman Old Style"/>
          <w:b w:val="0"/>
          <w:color w:val="000000"/>
        </w:rPr>
      </w:pPr>
    </w:p>
    <w:p w14:paraId="6AD4F22F" w14:textId="31CDF909" w:rsidR="00D468CC" w:rsidRDefault="00D468CC" w:rsidP="00CF067A">
      <w:pPr>
        <w:pStyle w:val="Textoindependiente"/>
        <w:ind w:left="284" w:right="6"/>
        <w:contextualSpacing/>
        <w:jc w:val="both"/>
        <w:rPr>
          <w:rFonts w:ascii="Bookman Old Style" w:eastAsia="Calibri" w:hAnsi="Bookman Old Style"/>
          <w:b w:val="0"/>
          <w:color w:val="000000"/>
        </w:rPr>
      </w:pPr>
      <w:r w:rsidRPr="00D468CC">
        <w:rPr>
          <w:rFonts w:ascii="Bookman Old Style" w:eastAsia="Calibri" w:hAnsi="Bookman Old Style"/>
          <w:b w:val="0"/>
          <w:color w:val="000000"/>
        </w:rPr>
        <w:lastRenderedPageBreak/>
        <w:t>Para el desarrollo de la actuación administrativa se tuvo en cuenta lo previsto en los artículos 106 y siguientes de la Ley 142 de 1994 y las normas de la parte primera del Código de Procedimiento Administrativo y de lo Contencioso Administrativo.</w:t>
      </w:r>
    </w:p>
    <w:p w14:paraId="5B864884" w14:textId="4998E178" w:rsidR="00890CAB" w:rsidRDefault="00890CAB" w:rsidP="00CF067A">
      <w:pPr>
        <w:pStyle w:val="Textoindependiente"/>
        <w:ind w:left="284" w:right="6"/>
        <w:contextualSpacing/>
        <w:jc w:val="both"/>
        <w:rPr>
          <w:rFonts w:ascii="Bookman Old Style" w:eastAsia="Calibri" w:hAnsi="Bookman Old Style"/>
          <w:b w:val="0"/>
          <w:color w:val="000000"/>
        </w:rPr>
      </w:pPr>
    </w:p>
    <w:p w14:paraId="202640CD" w14:textId="0DFA149A" w:rsidR="00890CAB" w:rsidRPr="00890CAB" w:rsidRDefault="00FF41E1" w:rsidP="00890CAB">
      <w:pPr>
        <w:ind w:left="284" w:right="45"/>
        <w:jc w:val="both"/>
        <w:textAlignment w:val="baseline"/>
        <w:rPr>
          <w:rFonts w:ascii="Bookman Old Style" w:hAnsi="Bookman Old Style" w:cs="Segoe UI"/>
          <w:sz w:val="18"/>
          <w:szCs w:val="18"/>
          <w:lang w:val="es-CO" w:eastAsia="es-CO"/>
        </w:rPr>
      </w:pPr>
      <w:bookmarkStart w:id="1" w:name="_Hlk110264503"/>
      <w:bookmarkStart w:id="2" w:name="_Hlk35354097"/>
      <w:r>
        <w:rPr>
          <w:rFonts w:ascii="Bookman Old Style" w:hAnsi="Bookman Old Style" w:cs="Arial"/>
          <w:lang w:val="es-CO" w:eastAsia="es-CO"/>
        </w:rPr>
        <w:t>M</w:t>
      </w:r>
      <w:r w:rsidR="00D468CC" w:rsidRPr="043B6ADB">
        <w:rPr>
          <w:rFonts w:ascii="Bookman Old Style" w:hAnsi="Bookman Old Style" w:cs="Arial"/>
          <w:lang w:val="es-CO" w:eastAsia="es-CO"/>
        </w:rPr>
        <w:t xml:space="preserve">ediante </w:t>
      </w:r>
      <w:r w:rsidR="00890CAB" w:rsidRPr="043B6ADB">
        <w:rPr>
          <w:rFonts w:ascii="Bookman Old Style" w:hAnsi="Bookman Old Style" w:cs="Arial"/>
          <w:lang w:val="es-CO" w:eastAsia="es-CO"/>
        </w:rPr>
        <w:t xml:space="preserve">Auto con radicado CREG I-2021-002479, proferido el 1 de septiembre de 2021, la Dirección Ejecutiva de la Comisión ordenó la conformación del expediente administrativo 2021-0072, con el objeto de decidir sobre sobre la solicitud de remuneración para un proyecto solar fotovoltaico interconectado a la red de distribución </w:t>
      </w:r>
      <w:r w:rsidR="008F35B0">
        <w:rPr>
          <w:rFonts w:ascii="Bookman Old Style" w:hAnsi="Bookman Old Style" w:cs="Arial"/>
          <w:lang w:val="es-CO" w:eastAsia="es-CO"/>
        </w:rPr>
        <w:t xml:space="preserve">que atiende </w:t>
      </w:r>
      <w:r w:rsidR="00890CAB" w:rsidRPr="043B6ADB">
        <w:rPr>
          <w:rFonts w:ascii="Bookman Old Style" w:hAnsi="Bookman Old Style" w:cs="Arial"/>
          <w:lang w:val="es-CO" w:eastAsia="es-CO"/>
        </w:rPr>
        <w:t xml:space="preserve">el centro poblado de Casuarito, perteneciente al municipio de Puerto Carreño, en el </w:t>
      </w:r>
      <w:r w:rsidR="00B002B1">
        <w:rPr>
          <w:rFonts w:ascii="Bookman Old Style" w:hAnsi="Bookman Old Style" w:cs="Arial"/>
          <w:lang w:val="es-CO" w:eastAsia="es-CO"/>
        </w:rPr>
        <w:t>D</w:t>
      </w:r>
      <w:r w:rsidR="00890CAB" w:rsidRPr="043B6ADB">
        <w:rPr>
          <w:rFonts w:ascii="Bookman Old Style" w:hAnsi="Bookman Old Style" w:cs="Arial"/>
          <w:lang w:val="es-CO" w:eastAsia="es-CO"/>
        </w:rPr>
        <w:t>epartamento del Vichada, con una capacidad de generación de 3</w:t>
      </w:r>
      <w:r w:rsidR="00D069F1">
        <w:rPr>
          <w:rFonts w:ascii="Bookman Old Style" w:hAnsi="Bookman Old Style" w:cs="Arial"/>
          <w:lang w:val="es-CO" w:eastAsia="es-CO"/>
        </w:rPr>
        <w:t>07,5</w:t>
      </w:r>
      <w:r w:rsidR="00890CAB" w:rsidRPr="043B6ADB">
        <w:rPr>
          <w:rFonts w:ascii="Bookman Old Style" w:hAnsi="Bookman Old Style" w:cs="Arial"/>
          <w:lang w:val="es-CO" w:eastAsia="es-CO"/>
        </w:rPr>
        <w:t xml:space="preserve"> kWp con acumulación de 1</w:t>
      </w:r>
      <w:r w:rsidR="00D069F1">
        <w:rPr>
          <w:rFonts w:ascii="Bookman Old Style" w:hAnsi="Bookman Old Style" w:cs="Arial"/>
          <w:lang w:val="es-CO" w:eastAsia="es-CO"/>
        </w:rPr>
        <w:t>40</w:t>
      </w:r>
      <w:r w:rsidR="00890CAB" w:rsidRPr="043B6ADB">
        <w:rPr>
          <w:rFonts w:ascii="Bookman Old Style" w:hAnsi="Bookman Old Style" w:cs="Arial"/>
          <w:lang w:val="es-CO" w:eastAsia="es-CO"/>
        </w:rPr>
        <w:t xml:space="preserve"> kWh, presentada por la empresa DUE CAPITAL AND SERVICES S.A.S.</w:t>
      </w:r>
    </w:p>
    <w:bookmarkEnd w:id="1"/>
    <w:p w14:paraId="6F03353E" w14:textId="7C143A74" w:rsidR="00890CAB" w:rsidRPr="003F7981" w:rsidRDefault="00890CAB" w:rsidP="00D468CC">
      <w:pPr>
        <w:ind w:right="45"/>
        <w:jc w:val="both"/>
        <w:textAlignment w:val="baseline"/>
        <w:rPr>
          <w:rFonts w:ascii="Bookman Old Style" w:hAnsi="Bookman Old Style"/>
        </w:rPr>
      </w:pPr>
      <w:r w:rsidRPr="00890CAB">
        <w:rPr>
          <w:rFonts w:ascii="Bookman Old Style" w:hAnsi="Bookman Old Style" w:cs="Arial"/>
          <w:lang w:val="es-CO" w:eastAsia="es-CO"/>
        </w:rPr>
        <w:t>  </w:t>
      </w:r>
    </w:p>
    <w:bookmarkEnd w:id="2"/>
    <w:p w14:paraId="3447DA0E" w14:textId="131F523B" w:rsidR="00DE4BF8" w:rsidRPr="003F7981" w:rsidRDefault="005878BF" w:rsidP="00CF067A">
      <w:pPr>
        <w:numPr>
          <w:ilvl w:val="0"/>
          <w:numId w:val="8"/>
        </w:numPr>
        <w:ind w:right="6"/>
        <w:contextualSpacing/>
        <w:jc w:val="both"/>
        <w:rPr>
          <w:rFonts w:ascii="Bookman Old Style" w:hAnsi="Bookman Old Style" w:cs="Arial"/>
          <w:b/>
        </w:rPr>
      </w:pPr>
      <w:r w:rsidRPr="003F7981">
        <w:rPr>
          <w:rFonts w:ascii="Bookman Old Style" w:hAnsi="Bookman Old Style" w:cs="Arial"/>
          <w:b/>
        </w:rPr>
        <w:t>LA SOLICITUD</w:t>
      </w:r>
    </w:p>
    <w:p w14:paraId="4385163D" w14:textId="77777777" w:rsidR="005878BF" w:rsidRPr="003F7981" w:rsidRDefault="005878BF" w:rsidP="00CF067A">
      <w:pPr>
        <w:ind w:left="284" w:right="6"/>
        <w:contextualSpacing/>
        <w:jc w:val="both"/>
        <w:rPr>
          <w:rFonts w:ascii="Bookman Old Style" w:hAnsi="Bookman Old Style" w:cs="Arial"/>
        </w:rPr>
      </w:pPr>
    </w:p>
    <w:p w14:paraId="63B3031E" w14:textId="5949B2F8" w:rsidR="00D451C0" w:rsidRPr="003F7981" w:rsidRDefault="00102975" w:rsidP="00CF067A">
      <w:pPr>
        <w:ind w:left="284" w:right="6"/>
        <w:contextualSpacing/>
        <w:jc w:val="both"/>
        <w:rPr>
          <w:rFonts w:ascii="Bookman Old Style" w:hAnsi="Bookman Old Style" w:cs="Arial"/>
        </w:rPr>
      </w:pPr>
      <w:r w:rsidRPr="003F7981">
        <w:rPr>
          <w:rFonts w:ascii="Bookman Old Style" w:hAnsi="Bookman Old Style" w:cs="Arial"/>
        </w:rPr>
        <w:t>El</w:t>
      </w:r>
      <w:r w:rsidR="00F0393C" w:rsidRPr="003F7981">
        <w:rPr>
          <w:rFonts w:ascii="Bookman Old Style" w:hAnsi="Bookman Old Style" w:cs="Arial"/>
        </w:rPr>
        <w:t xml:space="preserve"> representante l</w:t>
      </w:r>
      <w:r w:rsidR="006203BF" w:rsidRPr="003F7981">
        <w:rPr>
          <w:rFonts w:ascii="Bookman Old Style" w:hAnsi="Bookman Old Style" w:cs="Arial"/>
        </w:rPr>
        <w:t>egal de la empresa</w:t>
      </w:r>
      <w:r w:rsidR="00462FFE">
        <w:rPr>
          <w:rFonts w:ascii="Bookman Old Style" w:hAnsi="Bookman Old Style" w:cs="Arial"/>
        </w:rPr>
        <w:t xml:space="preserve"> </w:t>
      </w:r>
      <w:r w:rsidR="00CE79D6">
        <w:rPr>
          <w:rFonts w:ascii="Bookman Old Style" w:hAnsi="Bookman Old Style" w:cs="Arial"/>
        </w:rPr>
        <w:t xml:space="preserve">DUE CAPITAL AND SERVICES </w:t>
      </w:r>
      <w:r w:rsidR="00462FFE">
        <w:rPr>
          <w:rFonts w:ascii="Bookman Old Style" w:hAnsi="Bookman Old Style" w:cs="Arial"/>
        </w:rPr>
        <w:t>S.A.S</w:t>
      </w:r>
      <w:r w:rsidR="005465B3">
        <w:rPr>
          <w:rFonts w:ascii="Bookman Old Style" w:hAnsi="Bookman Old Style"/>
        </w:rPr>
        <w:t>., m</w:t>
      </w:r>
      <w:r w:rsidR="00462FFE" w:rsidRPr="00462FFE">
        <w:rPr>
          <w:rFonts w:ascii="Bookman Old Style" w:hAnsi="Bookman Old Style"/>
        </w:rPr>
        <w:t>ediante comunicación allegada a esta Comisión</w:t>
      </w:r>
      <w:r w:rsidR="004C4B63">
        <w:rPr>
          <w:rFonts w:ascii="Bookman Old Style" w:hAnsi="Bookman Old Style"/>
        </w:rPr>
        <w:t>,</w:t>
      </w:r>
      <w:r w:rsidR="00462FFE" w:rsidRPr="00462FFE">
        <w:rPr>
          <w:rFonts w:ascii="Bookman Old Style" w:hAnsi="Bookman Old Style"/>
        </w:rPr>
        <w:t xml:space="preserve"> con radicado CREG-E-2021-000572, complementada con las comunicaciones con radicado CREG E-2021-006140, </w:t>
      </w:r>
      <w:r w:rsidR="00BB28EE">
        <w:rPr>
          <w:rFonts w:ascii="Bookman Old Style" w:hAnsi="Bookman Old Style"/>
        </w:rPr>
        <w:t>E</w:t>
      </w:r>
      <w:r w:rsidR="00462FFE" w:rsidRPr="00462FFE">
        <w:rPr>
          <w:rFonts w:ascii="Bookman Old Style" w:hAnsi="Bookman Old Style"/>
        </w:rPr>
        <w:t>-2021-006143</w:t>
      </w:r>
      <w:r w:rsidR="004220E7">
        <w:rPr>
          <w:rFonts w:ascii="Bookman Old Style" w:hAnsi="Bookman Old Style"/>
        </w:rPr>
        <w:t xml:space="preserve">, </w:t>
      </w:r>
      <w:r w:rsidR="00462FFE" w:rsidRPr="00462FFE">
        <w:rPr>
          <w:rFonts w:ascii="Bookman Old Style" w:hAnsi="Bookman Old Style"/>
        </w:rPr>
        <w:t xml:space="preserve">E-2021-006145 </w:t>
      </w:r>
      <w:r w:rsidR="004220E7">
        <w:rPr>
          <w:rFonts w:ascii="Bookman Old Style" w:hAnsi="Bookman Old Style"/>
        </w:rPr>
        <w:t xml:space="preserve">y </w:t>
      </w:r>
      <w:r w:rsidR="002A13B2">
        <w:rPr>
          <w:rFonts w:ascii="Bookman Old Style" w:hAnsi="Bookman Old Style"/>
        </w:rPr>
        <w:t>E</w:t>
      </w:r>
      <w:r w:rsidR="004220E7">
        <w:rPr>
          <w:rFonts w:ascii="Bookman Old Style" w:hAnsi="Bookman Old Style"/>
        </w:rPr>
        <w:t>-2022-</w:t>
      </w:r>
      <w:r w:rsidR="008F456E">
        <w:rPr>
          <w:rFonts w:ascii="Bookman Old Style" w:hAnsi="Bookman Old Style"/>
        </w:rPr>
        <w:t xml:space="preserve">005279, </w:t>
      </w:r>
      <w:r w:rsidR="00462FFE" w:rsidRPr="00462FFE">
        <w:rPr>
          <w:rFonts w:ascii="Bookman Old Style" w:hAnsi="Bookman Old Style"/>
        </w:rPr>
        <w:t>presentó</w:t>
      </w:r>
      <w:r w:rsidR="008F456E">
        <w:rPr>
          <w:rFonts w:ascii="Bookman Old Style" w:hAnsi="Bookman Old Style"/>
        </w:rPr>
        <w:t xml:space="preserve"> la</w:t>
      </w:r>
      <w:r w:rsidR="00462FFE" w:rsidRPr="00462FFE">
        <w:rPr>
          <w:rFonts w:ascii="Bookman Old Style" w:hAnsi="Bookman Old Style"/>
        </w:rPr>
        <w:t xml:space="preserve">: “SOLICITUD CARGOS DE REMUNERACIÓN PARA PLANTA FOTOVOLTAICA CON ACUMULACIÓN CASUARITO, VICHADA”. </w:t>
      </w:r>
      <w:r w:rsidR="009302A6" w:rsidRPr="003F7981">
        <w:rPr>
          <w:rFonts w:ascii="Bookman Old Style" w:hAnsi="Bookman Old Style" w:cs="Arial"/>
        </w:rPr>
        <w:t>en los siguientes términos</w:t>
      </w:r>
      <w:r w:rsidR="006203BF" w:rsidRPr="003F7981">
        <w:rPr>
          <w:rFonts w:ascii="Bookman Old Style" w:hAnsi="Bookman Old Style" w:cs="Arial"/>
        </w:rPr>
        <w:t>:</w:t>
      </w:r>
    </w:p>
    <w:p w14:paraId="0DA8114E" w14:textId="687FAC1F" w:rsidR="002E62ED" w:rsidRDefault="002E62ED" w:rsidP="00CF067A">
      <w:pPr>
        <w:ind w:left="284" w:right="6"/>
        <w:contextualSpacing/>
        <w:jc w:val="both"/>
        <w:rPr>
          <w:rFonts w:ascii="Bookman Old Style" w:hAnsi="Bookman Old Style" w:cs="Arial"/>
        </w:rPr>
      </w:pPr>
    </w:p>
    <w:p w14:paraId="284676B5" w14:textId="5485DA6D" w:rsidR="00462FFE" w:rsidRPr="00D82B17" w:rsidRDefault="00462FFE" w:rsidP="00D82B17">
      <w:pPr>
        <w:ind w:left="708" w:right="6"/>
        <w:contextualSpacing/>
        <w:jc w:val="both"/>
        <w:rPr>
          <w:rFonts w:ascii="Bookman Old Style" w:hAnsi="Bookman Old Style" w:cs="Arial"/>
          <w:i/>
          <w:sz w:val="20"/>
          <w:szCs w:val="20"/>
        </w:rPr>
      </w:pPr>
      <w:r w:rsidRPr="00D82B17">
        <w:rPr>
          <w:rFonts w:ascii="Bookman Old Style" w:hAnsi="Bookman Old Style" w:cs="Arial"/>
          <w:i/>
          <w:sz w:val="20"/>
          <w:szCs w:val="20"/>
        </w:rPr>
        <w:t>“Por medio de la (sic) presentamos la solicitud de remuneración para un proyecto solar centralizado con acumulación interconec</w:t>
      </w:r>
      <w:r w:rsidR="00D82B17">
        <w:rPr>
          <w:rFonts w:ascii="Bookman Old Style" w:hAnsi="Bookman Old Style" w:cs="Arial"/>
          <w:i/>
          <w:sz w:val="20"/>
          <w:szCs w:val="20"/>
        </w:rPr>
        <w:t>t</w:t>
      </w:r>
      <w:r w:rsidRPr="00D82B17">
        <w:rPr>
          <w:rFonts w:ascii="Bookman Old Style" w:hAnsi="Bookman Old Style" w:cs="Arial"/>
          <w:i/>
          <w:sz w:val="20"/>
          <w:szCs w:val="20"/>
        </w:rPr>
        <w:t xml:space="preserve">ado al sistema de distribución del municipio de Casuarito, con una capacidad de generación superior a 307.5 kWp con una acumulación de l 40 kWh, con fundamento en el literal dm del artículo 22 de la resolución CREG 091 de 2007. Esto en consideración a que tal resolución considera proyectos de hasta 100 kWp y por consiguiente se hace preciso revisar un esquema de remuneración para un proyecto de mayor envergadura. </w:t>
      </w:r>
    </w:p>
    <w:p w14:paraId="3244D220" w14:textId="77777777" w:rsidR="00462FFE" w:rsidRPr="00D82B17" w:rsidRDefault="00462FFE" w:rsidP="00462FFE">
      <w:pPr>
        <w:ind w:left="284" w:right="6"/>
        <w:contextualSpacing/>
        <w:jc w:val="both"/>
        <w:rPr>
          <w:rFonts w:ascii="Bookman Old Style" w:hAnsi="Bookman Old Style" w:cs="Arial"/>
          <w:i/>
          <w:sz w:val="20"/>
          <w:szCs w:val="20"/>
        </w:rPr>
      </w:pPr>
    </w:p>
    <w:p w14:paraId="7B7952C3" w14:textId="4AC35080" w:rsidR="00462FFE" w:rsidRPr="00D82B17" w:rsidRDefault="00462FFE" w:rsidP="00D82B17">
      <w:pPr>
        <w:ind w:left="708" w:right="6"/>
        <w:contextualSpacing/>
        <w:jc w:val="both"/>
        <w:rPr>
          <w:rFonts w:ascii="Bookman Old Style" w:hAnsi="Bookman Old Style" w:cs="Arial"/>
          <w:i/>
          <w:sz w:val="20"/>
          <w:szCs w:val="20"/>
        </w:rPr>
      </w:pPr>
      <w:r w:rsidRPr="00D82B17">
        <w:rPr>
          <w:rFonts w:ascii="Bookman Old Style" w:hAnsi="Bookman Old Style" w:cs="Arial"/>
          <w:i/>
          <w:sz w:val="20"/>
          <w:szCs w:val="20"/>
        </w:rPr>
        <w:t xml:space="preserve">DUE Capital and Services S.A.S. es un desarrollador de proyectos de FERNC en Colombia con amplia experiencia y capacidad financiera. En la actualidad está desarrollando un portafolio de proyectos en zonas no interconectadas, siendo la Planta Solar Casuarito localizada en el casco urbano de Casuarito. El prestador del servicio </w:t>
      </w:r>
      <w:r w:rsidR="0042106E" w:rsidRPr="00D82B17">
        <w:rPr>
          <w:rFonts w:ascii="Bookman Old Style" w:hAnsi="Bookman Old Style" w:cs="Arial"/>
          <w:i/>
          <w:sz w:val="20"/>
          <w:szCs w:val="20"/>
        </w:rPr>
        <w:t>será</w:t>
      </w:r>
      <w:r w:rsidRPr="00D82B17">
        <w:rPr>
          <w:rFonts w:ascii="Bookman Old Style" w:hAnsi="Bookman Old Style" w:cs="Arial"/>
          <w:i/>
          <w:sz w:val="20"/>
          <w:szCs w:val="20"/>
        </w:rPr>
        <w:t xml:space="preserve"> Casuarito PV S.A. E.S.P., empresa que está en proceso de constitución. </w:t>
      </w:r>
    </w:p>
    <w:p w14:paraId="78690FDA" w14:textId="77777777" w:rsidR="00462FFE" w:rsidRPr="00D82B17" w:rsidRDefault="00462FFE" w:rsidP="00462FFE">
      <w:pPr>
        <w:ind w:left="284" w:right="6"/>
        <w:contextualSpacing/>
        <w:jc w:val="both"/>
        <w:rPr>
          <w:rFonts w:ascii="Bookman Old Style" w:hAnsi="Bookman Old Style" w:cs="Arial"/>
          <w:i/>
          <w:sz w:val="20"/>
          <w:szCs w:val="20"/>
        </w:rPr>
      </w:pPr>
    </w:p>
    <w:p w14:paraId="4B040898" w14:textId="2B730D13" w:rsidR="00462FFE" w:rsidRDefault="00462FFE" w:rsidP="00D82B17">
      <w:pPr>
        <w:ind w:left="708" w:right="6"/>
        <w:contextualSpacing/>
        <w:jc w:val="both"/>
        <w:rPr>
          <w:rFonts w:ascii="Bookman Old Style" w:hAnsi="Bookman Old Style" w:cs="Arial"/>
          <w:i/>
          <w:sz w:val="20"/>
          <w:szCs w:val="20"/>
        </w:rPr>
      </w:pPr>
      <w:r w:rsidRPr="00D82B17">
        <w:rPr>
          <w:rFonts w:ascii="Bookman Old Style" w:hAnsi="Bookman Old Style" w:cs="Arial"/>
          <w:i/>
          <w:sz w:val="20"/>
          <w:szCs w:val="20"/>
        </w:rPr>
        <w:t>Desde el punto de vista de la fuente de generación, hasta el momento en Casuarito se viene utilizando el combustible diésel 2 como energético. No obstante, desde el año 2019 DUE Capital and Services S.A.S.</w:t>
      </w:r>
      <w:r w:rsidR="0042106E" w:rsidRPr="00D82B17">
        <w:rPr>
          <w:rFonts w:ascii="Bookman Old Style" w:hAnsi="Bookman Old Style" w:cs="Arial"/>
          <w:i/>
          <w:sz w:val="20"/>
          <w:szCs w:val="20"/>
        </w:rPr>
        <w:t xml:space="preserve">, </w:t>
      </w:r>
      <w:r w:rsidRPr="00D82B17">
        <w:rPr>
          <w:rFonts w:ascii="Bookman Old Style" w:hAnsi="Bookman Old Style" w:cs="Arial"/>
          <w:i/>
          <w:sz w:val="20"/>
          <w:szCs w:val="20"/>
        </w:rPr>
        <w:t xml:space="preserve">viene estructurando un proyecto de generación de energía con tecnología solar el cual espera producir de prácticamente el l 00% (68.5% de generación solar directa y 31.5% de producción por baterías) de la energía que el municipio de Casuarito consumiría, convirtiéndose en una alternativa de generación con las siguientes características: </w:t>
      </w:r>
    </w:p>
    <w:p w14:paraId="77C954F6" w14:textId="77777777" w:rsidR="008F456E" w:rsidRPr="00D82B17" w:rsidRDefault="008F456E" w:rsidP="00D82B17">
      <w:pPr>
        <w:ind w:left="708" w:right="6"/>
        <w:contextualSpacing/>
        <w:jc w:val="both"/>
        <w:rPr>
          <w:rFonts w:ascii="Bookman Old Style" w:hAnsi="Bookman Old Style" w:cs="Arial"/>
          <w:i/>
          <w:sz w:val="20"/>
          <w:szCs w:val="20"/>
        </w:rPr>
      </w:pPr>
    </w:p>
    <w:p w14:paraId="67FBE617" w14:textId="0569016F"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Renovable no convencional </w:t>
      </w:r>
    </w:p>
    <w:p w14:paraId="45B6E8E1" w14:textId="77777777" w:rsidR="00462FFE" w:rsidRPr="00D82B17" w:rsidRDefault="00462FFE" w:rsidP="008F456E">
      <w:pPr>
        <w:ind w:left="993" w:right="6"/>
        <w:contextualSpacing/>
        <w:jc w:val="both"/>
        <w:rPr>
          <w:rFonts w:ascii="Bookman Old Style" w:hAnsi="Bookman Old Style" w:cs="Arial"/>
          <w:i/>
          <w:sz w:val="20"/>
          <w:szCs w:val="20"/>
        </w:rPr>
      </w:pPr>
    </w:p>
    <w:p w14:paraId="1510E87E" w14:textId="3C7E59B9"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Inagotable </w:t>
      </w:r>
    </w:p>
    <w:p w14:paraId="44B3DAB4" w14:textId="77777777" w:rsidR="00462FFE" w:rsidRPr="00D82B17" w:rsidRDefault="00462FFE" w:rsidP="008F456E">
      <w:pPr>
        <w:ind w:left="993" w:right="6"/>
        <w:contextualSpacing/>
        <w:jc w:val="both"/>
        <w:rPr>
          <w:rFonts w:ascii="Bookman Old Style" w:hAnsi="Bookman Old Style" w:cs="Arial"/>
          <w:i/>
          <w:sz w:val="20"/>
          <w:szCs w:val="20"/>
        </w:rPr>
      </w:pPr>
    </w:p>
    <w:p w14:paraId="42D9F652" w14:textId="76423288"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No contaminante </w:t>
      </w:r>
    </w:p>
    <w:p w14:paraId="3ECB73D7" w14:textId="77777777" w:rsidR="00462FFE" w:rsidRPr="00D82B17" w:rsidRDefault="00462FFE" w:rsidP="008F456E">
      <w:pPr>
        <w:ind w:left="993" w:right="6"/>
        <w:contextualSpacing/>
        <w:jc w:val="both"/>
        <w:rPr>
          <w:rFonts w:ascii="Bookman Old Style" w:hAnsi="Bookman Old Style" w:cs="Arial"/>
          <w:i/>
          <w:sz w:val="20"/>
          <w:szCs w:val="20"/>
        </w:rPr>
      </w:pPr>
    </w:p>
    <w:p w14:paraId="2F86F329" w14:textId="6CFE968E"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Evita la generación de gases efectos invernadero causantes del           </w:t>
      </w:r>
    </w:p>
    <w:p w14:paraId="1E27E6F5" w14:textId="53A97E52" w:rsidR="00462FFE" w:rsidRPr="008F456E" w:rsidRDefault="00462FFE" w:rsidP="008F456E">
      <w:pPr>
        <w:pStyle w:val="Prrafodelista"/>
        <w:ind w:left="993" w:right="6"/>
        <w:contextualSpacing/>
        <w:jc w:val="both"/>
        <w:rPr>
          <w:rFonts w:ascii="Bookman Old Style" w:hAnsi="Bookman Old Style" w:cs="Arial"/>
          <w:i/>
        </w:rPr>
      </w:pPr>
      <w:r w:rsidRPr="008F456E">
        <w:rPr>
          <w:rFonts w:ascii="Bookman Old Style" w:hAnsi="Bookman Old Style" w:cs="Arial"/>
          <w:i/>
        </w:rPr>
        <w:t xml:space="preserve">calentamiento global </w:t>
      </w:r>
    </w:p>
    <w:p w14:paraId="7BD41566" w14:textId="77777777" w:rsidR="00462FFE" w:rsidRPr="00D82B17" w:rsidRDefault="00462FFE" w:rsidP="008F456E">
      <w:pPr>
        <w:ind w:left="993" w:right="6"/>
        <w:contextualSpacing/>
        <w:jc w:val="both"/>
        <w:rPr>
          <w:rFonts w:ascii="Bookman Old Style" w:hAnsi="Bookman Old Style" w:cs="Arial"/>
          <w:i/>
          <w:sz w:val="20"/>
          <w:szCs w:val="20"/>
        </w:rPr>
      </w:pPr>
    </w:p>
    <w:p w14:paraId="1245E670" w14:textId="7C7D39DF"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Reduce el uso de combustible fósiles </w:t>
      </w:r>
    </w:p>
    <w:p w14:paraId="1EA61E3F" w14:textId="77777777" w:rsidR="00462FFE" w:rsidRPr="00D82B17" w:rsidRDefault="00462FFE" w:rsidP="008F456E">
      <w:pPr>
        <w:ind w:left="993" w:right="6"/>
        <w:contextualSpacing/>
        <w:jc w:val="both"/>
        <w:rPr>
          <w:rFonts w:ascii="Bookman Old Style" w:hAnsi="Bookman Old Style" w:cs="Arial"/>
          <w:i/>
          <w:sz w:val="20"/>
          <w:szCs w:val="20"/>
        </w:rPr>
      </w:pPr>
    </w:p>
    <w:p w14:paraId="65E31C45" w14:textId="72AEFB25"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Reduce la generación de residuos peligrosos derivado de la </w:t>
      </w:r>
      <w:r w:rsidR="00D82B17" w:rsidRPr="008F456E">
        <w:rPr>
          <w:rFonts w:ascii="Bookman Old Style" w:hAnsi="Bookman Old Style" w:cs="Arial"/>
          <w:i/>
        </w:rPr>
        <w:t>generación diésel</w:t>
      </w:r>
      <w:r w:rsidRPr="008F456E">
        <w:rPr>
          <w:rFonts w:ascii="Bookman Old Style" w:hAnsi="Bookman Old Style" w:cs="Arial"/>
          <w:i/>
        </w:rPr>
        <w:t xml:space="preserve"> </w:t>
      </w:r>
    </w:p>
    <w:p w14:paraId="54C0648C" w14:textId="77777777" w:rsidR="00462FFE" w:rsidRPr="00D82B17" w:rsidRDefault="00462FFE" w:rsidP="008F456E">
      <w:pPr>
        <w:ind w:left="993" w:right="6"/>
        <w:contextualSpacing/>
        <w:jc w:val="both"/>
        <w:rPr>
          <w:rFonts w:ascii="Bookman Old Style" w:hAnsi="Bookman Old Style" w:cs="Arial"/>
          <w:i/>
          <w:sz w:val="20"/>
          <w:szCs w:val="20"/>
        </w:rPr>
      </w:pPr>
    </w:p>
    <w:p w14:paraId="73DE34C2" w14:textId="68BFDFC1"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Contribuye al desarrollo sostenible </w:t>
      </w:r>
    </w:p>
    <w:p w14:paraId="2E9AF7E1" w14:textId="77777777" w:rsidR="00462FFE" w:rsidRPr="00D82B17" w:rsidRDefault="00462FFE" w:rsidP="008F456E">
      <w:pPr>
        <w:ind w:left="993" w:right="6"/>
        <w:contextualSpacing/>
        <w:jc w:val="both"/>
        <w:rPr>
          <w:rFonts w:ascii="Bookman Old Style" w:hAnsi="Bookman Old Style" w:cs="Arial"/>
          <w:i/>
          <w:sz w:val="20"/>
          <w:szCs w:val="20"/>
        </w:rPr>
      </w:pPr>
    </w:p>
    <w:p w14:paraId="0A2440E4" w14:textId="22D4AE29" w:rsidR="00462FFE" w:rsidRPr="008F456E" w:rsidRDefault="00462FFE" w:rsidP="008F456E">
      <w:pPr>
        <w:pStyle w:val="Prrafodelista"/>
        <w:numPr>
          <w:ilvl w:val="0"/>
          <w:numId w:val="48"/>
        </w:numPr>
        <w:ind w:left="993" w:right="6"/>
        <w:contextualSpacing/>
        <w:jc w:val="both"/>
        <w:rPr>
          <w:rFonts w:ascii="Bookman Old Style" w:hAnsi="Bookman Old Style" w:cs="Arial"/>
          <w:i/>
        </w:rPr>
      </w:pPr>
      <w:r w:rsidRPr="008F456E">
        <w:rPr>
          <w:rFonts w:ascii="Bookman Old Style" w:hAnsi="Bookman Old Style" w:cs="Arial"/>
          <w:i/>
        </w:rPr>
        <w:t xml:space="preserve">Es modular y muy versátil, adaptable a diferentes situaciones y </w:t>
      </w:r>
      <w:r w:rsidR="00D82B17" w:rsidRPr="008F456E">
        <w:rPr>
          <w:rFonts w:ascii="Bookman Old Style" w:hAnsi="Bookman Old Style" w:cs="Arial"/>
          <w:i/>
        </w:rPr>
        <w:t xml:space="preserve">     </w:t>
      </w:r>
      <w:r w:rsidRPr="008F456E">
        <w:rPr>
          <w:rFonts w:ascii="Bookman Old Style" w:hAnsi="Bookman Old Style" w:cs="Arial"/>
          <w:i/>
        </w:rPr>
        <w:t xml:space="preserve">necesidades de generación </w:t>
      </w:r>
    </w:p>
    <w:p w14:paraId="70317ADB" w14:textId="77777777" w:rsidR="00462FFE" w:rsidRPr="00D82B17" w:rsidRDefault="00462FFE" w:rsidP="00462FFE">
      <w:pPr>
        <w:ind w:left="284" w:right="6"/>
        <w:contextualSpacing/>
        <w:jc w:val="both"/>
        <w:rPr>
          <w:rFonts w:ascii="Bookman Old Style" w:hAnsi="Bookman Old Style" w:cs="Arial"/>
          <w:i/>
          <w:sz w:val="20"/>
          <w:szCs w:val="20"/>
        </w:rPr>
      </w:pPr>
    </w:p>
    <w:p w14:paraId="354321F7" w14:textId="326271A6" w:rsidR="00462FFE" w:rsidRPr="00D82B17" w:rsidRDefault="00462FFE" w:rsidP="00D82B17">
      <w:pPr>
        <w:ind w:left="708" w:right="6"/>
        <w:contextualSpacing/>
        <w:jc w:val="both"/>
        <w:rPr>
          <w:rFonts w:ascii="Bookman Old Style" w:hAnsi="Bookman Old Style" w:cs="Arial"/>
          <w:i/>
          <w:sz w:val="20"/>
          <w:szCs w:val="20"/>
        </w:rPr>
      </w:pPr>
      <w:r w:rsidRPr="00D82B17">
        <w:rPr>
          <w:rFonts w:ascii="Bookman Old Style" w:hAnsi="Bookman Old Style" w:cs="Arial"/>
          <w:i/>
          <w:sz w:val="20"/>
          <w:szCs w:val="20"/>
        </w:rPr>
        <w:t xml:space="preserve">Con esto se logra uno de los fundamentos de la Ley 1715 de 2014 que es la sustitución de combustibles fósiles por fuentes renovables no convencionales ya que en el municipio de Casuarito en la actualidad la energía producida proviene (sic) de los grupos electrógenos Diésel 2. Con Centenario dicho consumo bajara al 91.8% lográndose ahorros y aumento de la disponibilidad de energía en el municipio. </w:t>
      </w:r>
    </w:p>
    <w:p w14:paraId="11452B96" w14:textId="77777777" w:rsidR="00462FFE" w:rsidRPr="00D82B17" w:rsidRDefault="00462FFE" w:rsidP="00462FFE">
      <w:pPr>
        <w:ind w:left="284" w:right="6"/>
        <w:contextualSpacing/>
        <w:jc w:val="both"/>
        <w:rPr>
          <w:rFonts w:ascii="Bookman Old Style" w:hAnsi="Bookman Old Style" w:cs="Arial"/>
          <w:i/>
          <w:sz w:val="20"/>
          <w:szCs w:val="20"/>
        </w:rPr>
      </w:pPr>
    </w:p>
    <w:p w14:paraId="04FB0B37" w14:textId="46000737" w:rsidR="00462FFE" w:rsidRDefault="00462FFE" w:rsidP="00D82B17">
      <w:pPr>
        <w:ind w:left="644" w:right="6"/>
        <w:contextualSpacing/>
        <w:jc w:val="both"/>
        <w:rPr>
          <w:rFonts w:ascii="Bookman Old Style" w:hAnsi="Bookman Old Style" w:cs="Arial"/>
          <w:i/>
          <w:sz w:val="20"/>
          <w:szCs w:val="20"/>
        </w:rPr>
      </w:pPr>
      <w:r w:rsidRPr="00D82B17">
        <w:rPr>
          <w:rFonts w:ascii="Bookman Old Style" w:hAnsi="Bookman Old Style" w:cs="Arial"/>
          <w:i/>
          <w:sz w:val="20"/>
          <w:szCs w:val="20"/>
        </w:rPr>
        <w:t>Como se puede constatar en la información adjunta en la actualidad el fisco nacional tiene que erogar a través de subsidios hasta $2,500 / kWh, ya que por cuenta del esquema legal actual se cancelan costos reales y no eficientes. La solución, petición de cargo, es de un valor de remuneración para la actividad de generación de energía eléctrica a partir de un sistema híbrido como es descrito en este documento a valores de diciembre de 2020, corresponde a COP $833.11 por kWh para la solución solar fotovoltaica con alimentación directa a la red y acumulación de recurso solar fotovoltaico de COP $2,023.17; lo que significa un ahorro promedio del 48% a costos de hoy. Dicho cargo se sustenta en la operación combinada de la planta solar y el sistema de almacenamiento requerido para atender la demanda creciente de la zona”.</w:t>
      </w:r>
    </w:p>
    <w:p w14:paraId="0A21AF69" w14:textId="77777777" w:rsidR="007D2FC5" w:rsidRPr="00D82B17" w:rsidRDefault="007D2FC5" w:rsidP="00D82B17">
      <w:pPr>
        <w:ind w:left="644" w:right="6"/>
        <w:contextualSpacing/>
        <w:jc w:val="both"/>
        <w:rPr>
          <w:rFonts w:ascii="Bookman Old Style" w:hAnsi="Bookman Old Style" w:cs="Arial"/>
          <w:i/>
          <w:sz w:val="20"/>
          <w:szCs w:val="20"/>
        </w:rPr>
      </w:pPr>
    </w:p>
    <w:p w14:paraId="07A90BAE" w14:textId="36CF28D0" w:rsidR="00C65126" w:rsidRDefault="007D2FC5" w:rsidP="006250B0">
      <w:pPr>
        <w:ind w:left="284" w:right="6"/>
        <w:contextualSpacing/>
        <w:jc w:val="both"/>
        <w:rPr>
          <w:rFonts w:ascii="Bookman Old Style" w:hAnsi="Bookman Old Style" w:cs="Arial"/>
          <w:iCs/>
        </w:rPr>
      </w:pPr>
      <w:r w:rsidRPr="007D2FC5">
        <w:rPr>
          <w:rFonts w:ascii="Bookman Old Style" w:hAnsi="Bookman Old Style" w:cs="Arial"/>
          <w:iCs/>
        </w:rPr>
        <w:t xml:space="preserve">La petición de </w:t>
      </w:r>
      <w:r w:rsidR="006250B0" w:rsidRPr="007D2FC5">
        <w:rPr>
          <w:rFonts w:ascii="Bookman Old Style" w:hAnsi="Bookman Old Style" w:cs="Arial"/>
          <w:iCs/>
        </w:rPr>
        <w:t>cargo</w:t>
      </w:r>
      <w:r w:rsidRPr="007D2FC5">
        <w:rPr>
          <w:rFonts w:ascii="Bookman Old Style" w:hAnsi="Bookman Old Style" w:cs="Arial"/>
          <w:iCs/>
        </w:rPr>
        <w:t xml:space="preserve"> es de $1.217 / kWh a precios de noviembre de 2021</w:t>
      </w:r>
      <w:r>
        <w:rPr>
          <w:rFonts w:ascii="Bookman Old Style" w:hAnsi="Bookman Old Style" w:cs="Arial"/>
          <w:iCs/>
        </w:rPr>
        <w:t>.</w:t>
      </w:r>
    </w:p>
    <w:p w14:paraId="7693C7ED" w14:textId="77777777" w:rsidR="007D2FC5" w:rsidRPr="007D2FC5" w:rsidRDefault="007D2FC5" w:rsidP="006250B0">
      <w:pPr>
        <w:ind w:left="284" w:right="6"/>
        <w:contextualSpacing/>
        <w:jc w:val="both"/>
        <w:rPr>
          <w:rFonts w:ascii="Bookman Old Style" w:hAnsi="Bookman Old Style" w:cs="Arial"/>
          <w:iCs/>
        </w:rPr>
      </w:pPr>
    </w:p>
    <w:p w14:paraId="5D7A82A6" w14:textId="04E19159" w:rsidR="001A74A7" w:rsidRPr="003F7981" w:rsidRDefault="001A74A7" w:rsidP="00CF067A">
      <w:pPr>
        <w:pStyle w:val="Prrafodelista"/>
        <w:numPr>
          <w:ilvl w:val="0"/>
          <w:numId w:val="8"/>
        </w:numPr>
        <w:ind w:right="6"/>
        <w:contextualSpacing/>
        <w:jc w:val="both"/>
        <w:rPr>
          <w:rFonts w:ascii="Bookman Old Style" w:hAnsi="Bookman Old Style" w:cs="Arial"/>
          <w:b/>
          <w:sz w:val="24"/>
          <w:szCs w:val="24"/>
        </w:rPr>
      </w:pPr>
      <w:r w:rsidRPr="003F7981">
        <w:rPr>
          <w:rFonts w:ascii="Bookman Old Style" w:hAnsi="Bookman Old Style" w:cs="Arial"/>
          <w:b/>
          <w:sz w:val="24"/>
          <w:szCs w:val="24"/>
        </w:rPr>
        <w:t>EL</w:t>
      </w:r>
      <w:r w:rsidR="005F2B6B" w:rsidRPr="003F7981">
        <w:rPr>
          <w:rFonts w:ascii="Bookman Old Style" w:hAnsi="Bookman Old Style" w:cs="Arial"/>
          <w:b/>
          <w:sz w:val="24"/>
          <w:szCs w:val="24"/>
        </w:rPr>
        <w:t xml:space="preserve"> </w:t>
      </w:r>
      <w:r w:rsidRPr="003F7981">
        <w:rPr>
          <w:rFonts w:ascii="Bookman Old Style" w:hAnsi="Bookman Old Style" w:cs="Arial"/>
          <w:b/>
          <w:sz w:val="24"/>
          <w:szCs w:val="24"/>
        </w:rPr>
        <w:t>TRÁMITE ADELANTADO</w:t>
      </w:r>
    </w:p>
    <w:p w14:paraId="3FF2FDCF" w14:textId="77777777" w:rsidR="00D127D0" w:rsidRPr="003F7981" w:rsidRDefault="00D127D0" w:rsidP="00CF067A">
      <w:pPr>
        <w:ind w:left="284" w:right="6"/>
        <w:contextualSpacing/>
        <w:jc w:val="both"/>
        <w:rPr>
          <w:rFonts w:ascii="Bookman Old Style" w:hAnsi="Bookman Old Style" w:cs="Arial"/>
          <w:b/>
        </w:rPr>
      </w:pPr>
    </w:p>
    <w:p w14:paraId="3C6506BE" w14:textId="3D20FCCB" w:rsidR="5A4700E7" w:rsidRDefault="00073C59" w:rsidP="00CF067A">
      <w:pPr>
        <w:ind w:left="284" w:right="6"/>
        <w:contextualSpacing/>
        <w:jc w:val="both"/>
        <w:rPr>
          <w:rFonts w:ascii="Bookman Old Style" w:eastAsia="Arial" w:hAnsi="Bookman Old Style" w:cs="Arial"/>
          <w:color w:val="000000" w:themeColor="text1"/>
          <w:lang w:val="es-MX"/>
        </w:rPr>
      </w:pPr>
      <w:r w:rsidRPr="043B6ADB">
        <w:rPr>
          <w:rFonts w:ascii="Bookman Old Style" w:eastAsia="Arial" w:hAnsi="Bookman Old Style" w:cs="Arial"/>
          <w:color w:val="000000" w:themeColor="text1"/>
          <w:lang w:val="es-MX"/>
        </w:rPr>
        <w:t>Se da inicio al trámite administrativo, mediante Auto con radicado CREG I</w:t>
      </w:r>
      <w:r w:rsidR="0085218D">
        <w:rPr>
          <w:rFonts w:ascii="Bookman Old Style" w:eastAsia="Arial" w:hAnsi="Bookman Old Style" w:cs="Arial"/>
          <w:color w:val="000000" w:themeColor="text1"/>
          <w:lang w:val="es-MX"/>
        </w:rPr>
        <w:noBreakHyphen/>
      </w:r>
      <w:r w:rsidRPr="043B6ADB">
        <w:rPr>
          <w:rFonts w:ascii="Bookman Old Style" w:eastAsia="Arial" w:hAnsi="Bookman Old Style" w:cs="Arial"/>
          <w:color w:val="000000" w:themeColor="text1"/>
          <w:lang w:val="es-MX"/>
        </w:rPr>
        <w:t>2021-002479, proferido el 1 de septiembre de 2021</w:t>
      </w:r>
      <w:r w:rsidR="0085218D">
        <w:rPr>
          <w:rFonts w:ascii="Bookman Old Style" w:eastAsia="Arial" w:hAnsi="Bookman Old Style" w:cs="Arial"/>
          <w:color w:val="000000" w:themeColor="text1"/>
          <w:lang w:val="es-MX"/>
        </w:rPr>
        <w:t>. L</w:t>
      </w:r>
      <w:r w:rsidRPr="043B6ADB">
        <w:rPr>
          <w:rFonts w:ascii="Bookman Old Style" w:eastAsia="Arial" w:hAnsi="Bookman Old Style" w:cs="Arial"/>
          <w:color w:val="000000" w:themeColor="text1"/>
          <w:lang w:val="es-MX"/>
        </w:rPr>
        <w:t xml:space="preserve">a Dirección Ejecutiva de la Comisión ordenó la conformación del expediente administrativo 2021-0072, con el objeto de decidir sobre sobre la solicitud de remuneración para un proyecto solar fotovoltaico interconectado a la red de distribución del </w:t>
      </w:r>
      <w:r w:rsidR="00E11C62">
        <w:rPr>
          <w:rFonts w:ascii="Bookman Old Style" w:eastAsia="Arial" w:hAnsi="Bookman Old Style" w:cs="Arial"/>
          <w:color w:val="000000" w:themeColor="text1"/>
          <w:lang w:val="es-MX"/>
        </w:rPr>
        <w:t>centro poblado</w:t>
      </w:r>
      <w:r w:rsidRPr="043B6ADB">
        <w:rPr>
          <w:rFonts w:ascii="Bookman Old Style" w:eastAsia="Arial" w:hAnsi="Bookman Old Style" w:cs="Arial"/>
          <w:color w:val="000000" w:themeColor="text1"/>
          <w:lang w:val="es-MX"/>
        </w:rPr>
        <w:t xml:space="preserve"> de Casuarito, </w:t>
      </w:r>
      <w:r w:rsidR="00E11C62">
        <w:rPr>
          <w:rFonts w:ascii="Bookman Old Style" w:eastAsia="Arial" w:hAnsi="Bookman Old Style" w:cs="Arial"/>
          <w:color w:val="000000" w:themeColor="text1"/>
          <w:lang w:val="es-MX"/>
        </w:rPr>
        <w:t>en el</w:t>
      </w:r>
      <w:r w:rsidRPr="043B6ADB">
        <w:rPr>
          <w:rFonts w:ascii="Bookman Old Style" w:eastAsia="Arial" w:hAnsi="Bookman Old Style" w:cs="Arial"/>
          <w:color w:val="000000" w:themeColor="text1"/>
          <w:lang w:val="es-MX"/>
        </w:rPr>
        <w:t xml:space="preserve"> municipio de Puerto Carreño, en el </w:t>
      </w:r>
      <w:r w:rsidR="00FD76B6">
        <w:rPr>
          <w:rFonts w:ascii="Bookman Old Style" w:eastAsia="Arial" w:hAnsi="Bookman Old Style" w:cs="Arial"/>
          <w:color w:val="000000" w:themeColor="text1"/>
          <w:lang w:val="es-MX"/>
        </w:rPr>
        <w:t>D</w:t>
      </w:r>
      <w:r w:rsidRPr="043B6ADB">
        <w:rPr>
          <w:rFonts w:ascii="Bookman Old Style" w:eastAsia="Arial" w:hAnsi="Bookman Old Style" w:cs="Arial"/>
          <w:color w:val="000000" w:themeColor="text1"/>
          <w:lang w:val="es-MX"/>
        </w:rPr>
        <w:t>epartamento del Vichada, con una capacidad de generación de 3</w:t>
      </w:r>
      <w:r w:rsidR="00E067F0">
        <w:rPr>
          <w:rFonts w:ascii="Bookman Old Style" w:eastAsia="Arial" w:hAnsi="Bookman Old Style" w:cs="Arial"/>
          <w:color w:val="000000" w:themeColor="text1"/>
          <w:lang w:val="es-MX"/>
        </w:rPr>
        <w:t>07</w:t>
      </w:r>
      <w:r w:rsidR="00D22498">
        <w:rPr>
          <w:rFonts w:ascii="Bookman Old Style" w:eastAsia="Arial" w:hAnsi="Bookman Old Style" w:cs="Arial"/>
          <w:color w:val="000000" w:themeColor="text1"/>
          <w:lang w:val="es-MX"/>
        </w:rPr>
        <w:t>,5</w:t>
      </w:r>
      <w:r w:rsidRPr="043B6ADB">
        <w:rPr>
          <w:rFonts w:ascii="Bookman Old Style" w:eastAsia="Arial" w:hAnsi="Bookman Old Style" w:cs="Arial"/>
          <w:color w:val="000000" w:themeColor="text1"/>
          <w:lang w:val="es-MX"/>
        </w:rPr>
        <w:t xml:space="preserve"> kWp con acumulación de 1</w:t>
      </w:r>
      <w:r w:rsidR="00E067F0">
        <w:rPr>
          <w:rFonts w:ascii="Bookman Old Style" w:eastAsia="Arial" w:hAnsi="Bookman Old Style" w:cs="Arial"/>
          <w:color w:val="000000" w:themeColor="text1"/>
          <w:lang w:val="es-MX"/>
        </w:rPr>
        <w:t>40</w:t>
      </w:r>
      <w:r w:rsidRPr="043B6ADB">
        <w:rPr>
          <w:rFonts w:ascii="Bookman Old Style" w:eastAsia="Arial" w:hAnsi="Bookman Old Style" w:cs="Arial"/>
          <w:color w:val="000000" w:themeColor="text1"/>
          <w:lang w:val="es-MX"/>
        </w:rPr>
        <w:t xml:space="preserve"> kWh, presentada por la empresa DUE CAPITAL AND </w:t>
      </w:r>
      <w:r w:rsidR="003E0633" w:rsidRPr="043B6ADB">
        <w:rPr>
          <w:rFonts w:ascii="Bookman Old Style" w:eastAsia="Arial" w:hAnsi="Bookman Old Style" w:cs="Arial"/>
          <w:color w:val="000000" w:themeColor="text1"/>
          <w:lang w:val="es-MX"/>
        </w:rPr>
        <w:t>S</w:t>
      </w:r>
      <w:r w:rsidRPr="043B6ADB">
        <w:rPr>
          <w:rFonts w:ascii="Bookman Old Style" w:eastAsia="Arial" w:hAnsi="Bookman Old Style" w:cs="Arial"/>
          <w:color w:val="000000" w:themeColor="text1"/>
          <w:lang w:val="es-MX"/>
        </w:rPr>
        <w:t>ERVICES S.A.S.</w:t>
      </w:r>
    </w:p>
    <w:p w14:paraId="15F54E56" w14:textId="77777777" w:rsidR="003E0633" w:rsidRDefault="003E0633" w:rsidP="00C15CB4">
      <w:pPr>
        <w:ind w:left="284" w:right="6"/>
        <w:contextualSpacing/>
        <w:jc w:val="both"/>
        <w:rPr>
          <w:rFonts w:ascii="Bookman Old Style" w:eastAsia="Arial" w:hAnsi="Bookman Old Style" w:cs="Arial"/>
          <w:color w:val="000000" w:themeColor="text1"/>
          <w:lang w:val="es-MX"/>
        </w:rPr>
      </w:pPr>
    </w:p>
    <w:p w14:paraId="73FFE417" w14:textId="7EBEAADB" w:rsidR="00C15CB4" w:rsidRPr="00C15CB4" w:rsidRDefault="003E0633" w:rsidP="00C15CB4">
      <w:pPr>
        <w:ind w:left="284"/>
        <w:jc w:val="both"/>
        <w:rPr>
          <w:rFonts w:ascii="Bookman Old Style" w:eastAsia="Arial" w:hAnsi="Bookman Old Style" w:cs="Arial"/>
          <w:color w:val="000000" w:themeColor="text1"/>
          <w:lang w:val="es-MX"/>
        </w:rPr>
      </w:pPr>
      <w:r>
        <w:rPr>
          <w:rFonts w:ascii="Bookman Old Style" w:eastAsia="Arial" w:hAnsi="Bookman Old Style" w:cs="Arial"/>
          <w:color w:val="000000" w:themeColor="text1"/>
          <w:lang w:val="es-MX"/>
        </w:rPr>
        <w:t>Mediante aviso No</w:t>
      </w:r>
      <w:r w:rsidR="0085218D">
        <w:rPr>
          <w:rFonts w:ascii="Bookman Old Style" w:eastAsia="Arial" w:hAnsi="Bookman Old Style" w:cs="Arial"/>
          <w:color w:val="000000" w:themeColor="text1"/>
          <w:lang w:val="es-MX"/>
        </w:rPr>
        <w:t>.</w:t>
      </w:r>
      <w:r>
        <w:rPr>
          <w:rFonts w:ascii="Bookman Old Style" w:eastAsia="Arial" w:hAnsi="Bookman Old Style" w:cs="Arial"/>
          <w:color w:val="000000" w:themeColor="text1"/>
          <w:lang w:val="es-MX"/>
        </w:rPr>
        <w:t xml:space="preserve"> 118 del 1 de septiembre de 202</w:t>
      </w:r>
      <w:r w:rsidR="000A023E">
        <w:rPr>
          <w:rFonts w:ascii="Bookman Old Style" w:eastAsia="Arial" w:hAnsi="Bookman Old Style" w:cs="Arial"/>
          <w:color w:val="000000" w:themeColor="text1"/>
          <w:lang w:val="es-MX"/>
        </w:rPr>
        <w:t>1</w:t>
      </w:r>
      <w:r>
        <w:rPr>
          <w:rFonts w:ascii="Bookman Old Style" w:eastAsia="Arial" w:hAnsi="Bookman Old Style" w:cs="Arial"/>
          <w:color w:val="000000" w:themeColor="text1"/>
          <w:lang w:val="es-MX"/>
        </w:rPr>
        <w:t xml:space="preserve">, se informa sobre el </w:t>
      </w:r>
      <w:r w:rsidR="000A023E">
        <w:rPr>
          <w:rFonts w:ascii="Bookman Old Style" w:eastAsia="Arial" w:hAnsi="Bookman Old Style" w:cs="Arial"/>
          <w:color w:val="000000" w:themeColor="text1"/>
          <w:lang w:val="es-MX"/>
        </w:rPr>
        <w:t>A</w:t>
      </w:r>
      <w:r>
        <w:rPr>
          <w:rFonts w:ascii="Bookman Old Style" w:eastAsia="Arial" w:hAnsi="Bookman Old Style" w:cs="Arial"/>
          <w:color w:val="000000" w:themeColor="text1"/>
          <w:lang w:val="es-MX"/>
        </w:rPr>
        <w:t xml:space="preserve">uto de apertura de </w:t>
      </w:r>
      <w:r w:rsidR="0085218D">
        <w:rPr>
          <w:rFonts w:ascii="Bookman Old Style" w:eastAsia="Arial" w:hAnsi="Bookman Old Style" w:cs="Arial"/>
          <w:color w:val="000000" w:themeColor="text1"/>
          <w:lang w:val="es-MX"/>
        </w:rPr>
        <w:t xml:space="preserve">la </w:t>
      </w:r>
      <w:r>
        <w:rPr>
          <w:rFonts w:ascii="Bookman Old Style" w:eastAsia="Arial" w:hAnsi="Bookman Old Style" w:cs="Arial"/>
          <w:color w:val="000000" w:themeColor="text1"/>
          <w:lang w:val="es-MX"/>
        </w:rPr>
        <w:t xml:space="preserve">actuación administrativa CREG I-2021-002479, dentro del expediente CREG 2021-0072, el cual se </w:t>
      </w:r>
      <w:r w:rsidR="00624803">
        <w:rPr>
          <w:rFonts w:ascii="Bookman Old Style" w:eastAsia="Arial" w:hAnsi="Bookman Old Style" w:cs="Arial"/>
          <w:color w:val="000000" w:themeColor="text1"/>
          <w:lang w:val="es-MX"/>
        </w:rPr>
        <w:t>remitió</w:t>
      </w:r>
      <w:r>
        <w:rPr>
          <w:rFonts w:ascii="Bookman Old Style" w:eastAsia="Arial" w:hAnsi="Bookman Old Style" w:cs="Arial"/>
          <w:color w:val="000000" w:themeColor="text1"/>
          <w:lang w:val="es-MX"/>
        </w:rPr>
        <w:t xml:space="preserve"> a la </w:t>
      </w:r>
      <w:r w:rsidR="00624803">
        <w:rPr>
          <w:rFonts w:ascii="Bookman Old Style" w:eastAsia="Arial" w:hAnsi="Bookman Old Style" w:cs="Arial"/>
          <w:color w:val="000000" w:themeColor="text1"/>
          <w:lang w:val="es-MX"/>
        </w:rPr>
        <w:t>Alcaldía de Puerto Carreño con comunicación CREG- S-2021-003800 el 1 de septiembre del mismo año</w:t>
      </w:r>
      <w:r w:rsidR="00C15CB4">
        <w:rPr>
          <w:rFonts w:ascii="Bookman Old Style" w:eastAsia="Arial" w:hAnsi="Bookman Old Style" w:cs="Arial"/>
          <w:color w:val="000000" w:themeColor="text1"/>
          <w:lang w:val="es-MX"/>
        </w:rPr>
        <w:t>,</w:t>
      </w:r>
      <w:r w:rsidR="00624803">
        <w:rPr>
          <w:rFonts w:ascii="Bookman Old Style" w:eastAsia="Arial" w:hAnsi="Bookman Old Style" w:cs="Arial"/>
          <w:color w:val="000000" w:themeColor="text1"/>
          <w:lang w:val="es-MX"/>
        </w:rPr>
        <w:t xml:space="preserve"> </w:t>
      </w:r>
      <w:r w:rsidR="00C15CB4" w:rsidRPr="00C15CB4">
        <w:rPr>
          <w:rFonts w:ascii="Bookman Old Style" w:eastAsia="Arial" w:hAnsi="Bookman Old Style" w:cs="Arial"/>
          <w:color w:val="000000" w:themeColor="text1"/>
          <w:lang w:val="es-MX"/>
        </w:rPr>
        <w:t>para los fines previstos en el artículo 37 del Código de Procedimiento Administrativo y de lo Contencioso Administrativo.</w:t>
      </w:r>
    </w:p>
    <w:p w14:paraId="281A9FDD" w14:textId="77777777" w:rsidR="003E0633" w:rsidRDefault="003E0633" w:rsidP="00CF067A">
      <w:pPr>
        <w:ind w:left="284" w:right="6"/>
        <w:contextualSpacing/>
        <w:jc w:val="both"/>
        <w:rPr>
          <w:rFonts w:ascii="Bookman Old Style" w:eastAsia="Arial" w:hAnsi="Bookman Old Style" w:cs="Arial"/>
          <w:color w:val="000000" w:themeColor="text1"/>
          <w:lang w:val="es-MX"/>
        </w:rPr>
      </w:pPr>
    </w:p>
    <w:p w14:paraId="05BC131F" w14:textId="2185EF3D" w:rsidR="003E0633" w:rsidRDefault="003E0633" w:rsidP="00CF067A">
      <w:pPr>
        <w:ind w:left="284" w:right="6"/>
        <w:contextualSpacing/>
        <w:jc w:val="both"/>
        <w:rPr>
          <w:rFonts w:ascii="Bookman Old Style" w:eastAsia="Arial" w:hAnsi="Bookman Old Style" w:cs="Arial"/>
          <w:color w:val="000000" w:themeColor="text1"/>
          <w:lang w:val="es-MX"/>
        </w:rPr>
      </w:pPr>
      <w:r>
        <w:rPr>
          <w:rFonts w:ascii="Bookman Old Style" w:eastAsia="Arial" w:hAnsi="Bookman Old Style" w:cs="Arial"/>
          <w:color w:val="000000" w:themeColor="text1"/>
          <w:lang w:val="es-MX"/>
        </w:rPr>
        <w:t xml:space="preserve">El precitado </w:t>
      </w:r>
      <w:r w:rsidR="000A023E">
        <w:rPr>
          <w:rFonts w:ascii="Bookman Old Style" w:eastAsia="Arial" w:hAnsi="Bookman Old Style" w:cs="Arial"/>
          <w:color w:val="000000" w:themeColor="text1"/>
          <w:lang w:val="es-MX"/>
        </w:rPr>
        <w:t>A</w:t>
      </w:r>
      <w:r>
        <w:rPr>
          <w:rFonts w:ascii="Bookman Old Style" w:eastAsia="Arial" w:hAnsi="Bookman Old Style" w:cs="Arial"/>
          <w:color w:val="000000" w:themeColor="text1"/>
          <w:lang w:val="es-MX"/>
        </w:rPr>
        <w:t xml:space="preserve">uto se notificó al representante legal de la empresa </w:t>
      </w:r>
      <w:r w:rsidR="00E2797D" w:rsidRPr="043B6ADB">
        <w:rPr>
          <w:rFonts w:ascii="Bookman Old Style" w:hAnsi="Bookman Old Style" w:cs="Arial"/>
          <w:lang w:val="es-CO" w:eastAsia="es-CO"/>
        </w:rPr>
        <w:t>DUE CAPITAL AND SERVICES S.A.S.</w:t>
      </w:r>
      <w:r>
        <w:rPr>
          <w:rFonts w:ascii="Bookman Old Style" w:eastAsia="Arial" w:hAnsi="Bookman Old Style" w:cs="Arial"/>
          <w:color w:val="000000" w:themeColor="text1"/>
          <w:lang w:val="es-MX"/>
        </w:rPr>
        <w:t xml:space="preserve">, mediante comunicación CREG S-2021-003799 el 02 de septiembre de 2021. </w:t>
      </w:r>
    </w:p>
    <w:p w14:paraId="156456BB" w14:textId="456012C2" w:rsidR="00624803" w:rsidRDefault="00624803" w:rsidP="00CF067A">
      <w:pPr>
        <w:ind w:left="284" w:right="6"/>
        <w:contextualSpacing/>
        <w:jc w:val="both"/>
        <w:rPr>
          <w:rFonts w:ascii="Bookman Old Style" w:eastAsia="Arial" w:hAnsi="Bookman Old Style" w:cs="Arial"/>
          <w:color w:val="000000" w:themeColor="text1"/>
          <w:lang w:val="es-MX"/>
        </w:rPr>
      </w:pPr>
    </w:p>
    <w:p w14:paraId="2FD3B57B" w14:textId="62284CA4" w:rsidR="00624803" w:rsidRDefault="00624803" w:rsidP="00CF067A">
      <w:pPr>
        <w:ind w:left="284" w:right="6"/>
        <w:contextualSpacing/>
        <w:jc w:val="both"/>
        <w:rPr>
          <w:rFonts w:ascii="Bookman Old Style" w:eastAsia="Arial" w:hAnsi="Bookman Old Style" w:cs="Arial"/>
          <w:color w:val="000000" w:themeColor="text1"/>
          <w:lang w:val="es-MX"/>
        </w:rPr>
      </w:pPr>
      <w:r>
        <w:rPr>
          <w:rFonts w:ascii="Bookman Old Style" w:eastAsia="Arial" w:hAnsi="Bookman Old Style" w:cs="Arial"/>
          <w:color w:val="000000" w:themeColor="text1"/>
          <w:lang w:val="es-MX"/>
        </w:rPr>
        <w:t xml:space="preserve">Una vez </w:t>
      </w:r>
      <w:r w:rsidR="000A023E">
        <w:rPr>
          <w:rFonts w:ascii="Bookman Old Style" w:eastAsia="Arial" w:hAnsi="Bookman Old Style" w:cs="Arial"/>
          <w:color w:val="000000" w:themeColor="text1"/>
          <w:lang w:val="es-MX"/>
        </w:rPr>
        <w:t xml:space="preserve">incorporado dentro del expediente la solicitud y los </w:t>
      </w:r>
      <w:proofErr w:type="gramStart"/>
      <w:r w:rsidR="000A023E">
        <w:rPr>
          <w:rFonts w:ascii="Bookman Old Style" w:eastAsia="Arial" w:hAnsi="Bookman Old Style" w:cs="Arial"/>
          <w:color w:val="000000" w:themeColor="text1"/>
          <w:lang w:val="es-MX"/>
        </w:rPr>
        <w:t>documentos soportes</w:t>
      </w:r>
      <w:proofErr w:type="gramEnd"/>
      <w:r w:rsidR="000A023E">
        <w:rPr>
          <w:rFonts w:ascii="Bookman Old Style" w:eastAsia="Arial" w:hAnsi="Bookman Old Style" w:cs="Arial"/>
          <w:color w:val="000000" w:themeColor="text1"/>
          <w:lang w:val="es-MX"/>
        </w:rPr>
        <w:t xml:space="preserve">, con el fin de obtener mayor información y de una manera detallada </w:t>
      </w:r>
      <w:r w:rsidR="000A023E">
        <w:rPr>
          <w:rFonts w:ascii="Bookman Old Style" w:eastAsia="Arial" w:hAnsi="Bookman Old Style" w:cs="Arial"/>
          <w:color w:val="000000" w:themeColor="text1"/>
          <w:lang w:val="es-MX"/>
        </w:rPr>
        <w:lastRenderedPageBreak/>
        <w:t>para poder dar trámite al mismo</w:t>
      </w:r>
      <w:r>
        <w:rPr>
          <w:rFonts w:ascii="Bookman Old Style" w:eastAsia="Arial" w:hAnsi="Bookman Old Style" w:cs="Arial"/>
          <w:color w:val="000000" w:themeColor="text1"/>
          <w:lang w:val="es-MX"/>
        </w:rPr>
        <w:t xml:space="preserve">, se dicta dentro del expediente, el </w:t>
      </w:r>
      <w:r w:rsidR="000A023E">
        <w:rPr>
          <w:rFonts w:ascii="Bookman Old Style" w:eastAsia="Arial" w:hAnsi="Bookman Old Style" w:cs="Arial"/>
          <w:color w:val="000000" w:themeColor="text1"/>
          <w:lang w:val="es-MX"/>
        </w:rPr>
        <w:t>A</w:t>
      </w:r>
      <w:r>
        <w:rPr>
          <w:rFonts w:ascii="Bookman Old Style" w:eastAsia="Arial" w:hAnsi="Bookman Old Style" w:cs="Arial"/>
          <w:color w:val="000000" w:themeColor="text1"/>
          <w:lang w:val="es-MX"/>
        </w:rPr>
        <w:t>uto de pruebas I-2021-003542 el 24 de diciembre de 2021. Por medio el cual se solicita al peticionario la remisión de los soportes, archivos de manera independiente y asimismo el detalle de las variables en cantidades unitarias y costos de los equipos, materiales y equipos de medida, entre otros</w:t>
      </w:r>
      <w:r w:rsidR="00C15CB4">
        <w:rPr>
          <w:rFonts w:ascii="Bookman Old Style" w:eastAsia="Arial" w:hAnsi="Bookman Old Style" w:cs="Arial"/>
          <w:color w:val="000000" w:themeColor="text1"/>
          <w:lang w:val="es-MX"/>
        </w:rPr>
        <w:t>,</w:t>
      </w:r>
      <w:r w:rsidR="00C15CB4" w:rsidRPr="00C15CB4">
        <w:t xml:space="preserve"> </w:t>
      </w:r>
      <w:r w:rsidR="00C15CB4" w:rsidRPr="00C15CB4">
        <w:rPr>
          <w:rFonts w:ascii="Bookman Old Style" w:eastAsia="Arial" w:hAnsi="Bookman Old Style" w:cs="Arial"/>
          <w:color w:val="000000" w:themeColor="text1"/>
          <w:lang w:val="es-MX"/>
        </w:rPr>
        <w:t>tendientes a aclarar y complementar la información</w:t>
      </w:r>
      <w:r w:rsidR="000A023E">
        <w:rPr>
          <w:rFonts w:ascii="Bookman Old Style" w:eastAsia="Arial" w:hAnsi="Bookman Old Style" w:cs="Arial"/>
          <w:color w:val="000000" w:themeColor="text1"/>
          <w:lang w:val="es-MX"/>
        </w:rPr>
        <w:t>.</w:t>
      </w:r>
      <w:r w:rsidR="00C15CB4">
        <w:rPr>
          <w:rFonts w:ascii="Bookman Old Style" w:eastAsia="Arial" w:hAnsi="Bookman Old Style" w:cs="Arial"/>
          <w:color w:val="000000" w:themeColor="text1"/>
          <w:lang w:val="es-MX"/>
        </w:rPr>
        <w:t xml:space="preserve"> </w:t>
      </w:r>
    </w:p>
    <w:p w14:paraId="14CA8C1A" w14:textId="77777777" w:rsidR="00C15CB4" w:rsidRDefault="00C15CB4" w:rsidP="00CF067A">
      <w:pPr>
        <w:ind w:left="284" w:right="6"/>
        <w:contextualSpacing/>
        <w:jc w:val="both"/>
        <w:rPr>
          <w:rFonts w:ascii="Bookman Old Style" w:eastAsia="Arial" w:hAnsi="Bookman Old Style" w:cs="Arial"/>
          <w:color w:val="000000" w:themeColor="text1"/>
          <w:lang w:val="es-MX"/>
        </w:rPr>
      </w:pPr>
    </w:p>
    <w:p w14:paraId="11E64C25" w14:textId="41CDAF8B" w:rsidR="00017E6A" w:rsidRDefault="00624803" w:rsidP="00CF067A">
      <w:pPr>
        <w:ind w:left="284" w:right="6"/>
        <w:contextualSpacing/>
        <w:jc w:val="both"/>
        <w:rPr>
          <w:rFonts w:ascii="Bookman Old Style" w:eastAsia="Arial" w:hAnsi="Bookman Old Style" w:cs="Arial"/>
          <w:color w:val="000000" w:themeColor="text1"/>
          <w:lang w:val="es-MX"/>
        </w:rPr>
      </w:pPr>
      <w:r>
        <w:rPr>
          <w:rFonts w:ascii="Bookman Old Style" w:eastAsia="Arial" w:hAnsi="Bookman Old Style" w:cs="Arial"/>
          <w:color w:val="000000" w:themeColor="text1"/>
          <w:lang w:val="es-MX"/>
        </w:rPr>
        <w:t xml:space="preserve">El anterior </w:t>
      </w:r>
      <w:r w:rsidR="00384EEE">
        <w:rPr>
          <w:rFonts w:ascii="Bookman Old Style" w:eastAsia="Arial" w:hAnsi="Bookman Old Style" w:cs="Arial"/>
          <w:color w:val="000000" w:themeColor="text1"/>
          <w:lang w:val="es-MX"/>
        </w:rPr>
        <w:t>A</w:t>
      </w:r>
      <w:r>
        <w:rPr>
          <w:rFonts w:ascii="Bookman Old Style" w:eastAsia="Arial" w:hAnsi="Bookman Old Style" w:cs="Arial"/>
          <w:color w:val="000000" w:themeColor="text1"/>
          <w:lang w:val="es-MX"/>
        </w:rPr>
        <w:t xml:space="preserve">uto se notifica al representante legal de </w:t>
      </w:r>
      <w:r w:rsidR="00E2797D" w:rsidRPr="043B6ADB">
        <w:rPr>
          <w:rFonts w:ascii="Bookman Old Style" w:hAnsi="Bookman Old Style" w:cs="Arial"/>
          <w:lang w:val="es-CO" w:eastAsia="es-CO"/>
        </w:rPr>
        <w:t>DUE CAPITAL AND SERVICES S.A.S.</w:t>
      </w:r>
      <w:r>
        <w:rPr>
          <w:rFonts w:ascii="Bookman Old Style" w:eastAsia="Arial" w:hAnsi="Bookman Old Style" w:cs="Arial"/>
          <w:color w:val="000000" w:themeColor="text1"/>
          <w:lang w:val="es-MX"/>
        </w:rPr>
        <w:t>, el 24 de diciembre de 2021, mediante comunicación CREG- S-2021-005519</w:t>
      </w:r>
      <w:r w:rsidR="00017E6A">
        <w:rPr>
          <w:rFonts w:ascii="Bookman Old Style" w:eastAsia="Arial" w:hAnsi="Bookman Old Style" w:cs="Arial"/>
          <w:color w:val="000000" w:themeColor="text1"/>
          <w:lang w:val="es-MX"/>
        </w:rPr>
        <w:t>.</w:t>
      </w:r>
    </w:p>
    <w:p w14:paraId="70CF3A10" w14:textId="77777777" w:rsidR="00017E6A" w:rsidRDefault="00017E6A" w:rsidP="00CF067A">
      <w:pPr>
        <w:ind w:left="284" w:right="6"/>
        <w:contextualSpacing/>
        <w:jc w:val="both"/>
        <w:rPr>
          <w:rFonts w:ascii="Bookman Old Style" w:eastAsia="Arial" w:hAnsi="Bookman Old Style" w:cs="Arial"/>
          <w:color w:val="000000" w:themeColor="text1"/>
          <w:lang w:val="es-MX"/>
        </w:rPr>
      </w:pPr>
    </w:p>
    <w:p w14:paraId="03D4FF55" w14:textId="3748F03A" w:rsidR="00017E6A" w:rsidRDefault="00017E6A" w:rsidP="00CF067A">
      <w:pPr>
        <w:ind w:left="284" w:right="6"/>
        <w:contextualSpacing/>
        <w:jc w:val="both"/>
        <w:rPr>
          <w:rFonts w:ascii="Bookman Old Style" w:eastAsia="Arial" w:hAnsi="Bookman Old Style" w:cs="Arial"/>
          <w:color w:val="000000" w:themeColor="text1"/>
          <w:lang w:val="es-MX"/>
        </w:rPr>
      </w:pPr>
      <w:r>
        <w:rPr>
          <w:rFonts w:ascii="Bookman Old Style" w:eastAsia="Arial" w:hAnsi="Bookman Old Style" w:cs="Arial"/>
          <w:color w:val="000000" w:themeColor="text1"/>
          <w:lang w:val="es-MX"/>
        </w:rPr>
        <w:t xml:space="preserve">Igualmente se notifica del </w:t>
      </w:r>
      <w:r w:rsidR="00384EEE">
        <w:rPr>
          <w:rFonts w:ascii="Bookman Old Style" w:eastAsia="Arial" w:hAnsi="Bookman Old Style" w:cs="Arial"/>
          <w:color w:val="000000" w:themeColor="text1"/>
          <w:lang w:val="es-MX"/>
        </w:rPr>
        <w:t>A</w:t>
      </w:r>
      <w:r>
        <w:rPr>
          <w:rFonts w:ascii="Bookman Old Style" w:eastAsia="Arial" w:hAnsi="Bookman Old Style" w:cs="Arial"/>
          <w:color w:val="000000" w:themeColor="text1"/>
          <w:lang w:val="es-MX"/>
        </w:rPr>
        <w:t xml:space="preserve">uto de pruebas a </w:t>
      </w:r>
      <w:r w:rsidR="00CB07DB">
        <w:rPr>
          <w:rFonts w:ascii="Bookman Old Style" w:eastAsia="Arial" w:hAnsi="Bookman Old Style" w:cs="Arial"/>
          <w:color w:val="000000" w:themeColor="text1"/>
          <w:lang w:val="es-MX"/>
        </w:rPr>
        <w:t>ELECTROVICHADA E.S.P.</w:t>
      </w:r>
      <w:r>
        <w:rPr>
          <w:rFonts w:ascii="Bookman Old Style" w:eastAsia="Arial" w:hAnsi="Bookman Old Style" w:cs="Arial"/>
          <w:color w:val="000000" w:themeColor="text1"/>
          <w:lang w:val="es-MX"/>
        </w:rPr>
        <w:t>, para lo de su competencia, mediante comunicación CREG-S-2021-005520 el 24 de diciembre de 2021.</w:t>
      </w:r>
    </w:p>
    <w:p w14:paraId="0434AC27" w14:textId="77777777" w:rsidR="00962664" w:rsidRDefault="00962664" w:rsidP="00CF067A">
      <w:pPr>
        <w:ind w:left="284" w:right="6"/>
        <w:contextualSpacing/>
        <w:jc w:val="both"/>
        <w:rPr>
          <w:rFonts w:ascii="Bookman Old Style" w:eastAsia="Arial" w:hAnsi="Bookman Old Style" w:cs="Arial"/>
          <w:color w:val="000000" w:themeColor="text1"/>
          <w:lang w:val="es-MX"/>
        </w:rPr>
      </w:pPr>
    </w:p>
    <w:p w14:paraId="33737659" w14:textId="7B3185FC" w:rsidR="00017E6A" w:rsidRDefault="001A24B0" w:rsidP="00123BE9">
      <w:pPr>
        <w:ind w:left="284" w:right="6"/>
        <w:contextualSpacing/>
        <w:jc w:val="both"/>
        <w:rPr>
          <w:rFonts w:ascii="Bookman Old Style" w:eastAsia="Arial" w:hAnsi="Bookman Old Style" w:cs="Arial"/>
          <w:color w:val="000000" w:themeColor="text1"/>
          <w:lang w:val="es-MX"/>
        </w:rPr>
      </w:pPr>
      <w:r>
        <w:rPr>
          <w:rFonts w:ascii="Bookman Old Style" w:eastAsia="Arial" w:hAnsi="Bookman Old Style" w:cs="Arial"/>
          <w:color w:val="000000" w:themeColor="text1"/>
          <w:lang w:val="es-MX"/>
        </w:rPr>
        <w:t xml:space="preserve">Por medio de los radicados CREG </w:t>
      </w:r>
      <w:r w:rsidR="00962664" w:rsidRPr="00962664">
        <w:rPr>
          <w:rFonts w:ascii="Bookman Old Style" w:eastAsia="Arial" w:hAnsi="Bookman Old Style" w:cs="Arial"/>
          <w:color w:val="000000" w:themeColor="text1"/>
          <w:lang w:val="es-MX"/>
        </w:rPr>
        <w:t xml:space="preserve">E-2022 000334-000335-000411-000462-00463 </w:t>
      </w:r>
      <w:r>
        <w:rPr>
          <w:rFonts w:ascii="Bookman Old Style" w:eastAsia="Arial" w:hAnsi="Bookman Old Style" w:cs="Arial"/>
          <w:color w:val="000000" w:themeColor="text1"/>
          <w:lang w:val="es-MX"/>
        </w:rPr>
        <w:t xml:space="preserve">del 6 de enero de 2022, </w:t>
      </w:r>
      <w:r w:rsidR="00E2797D" w:rsidRPr="043B6ADB">
        <w:rPr>
          <w:rFonts w:ascii="Bookman Old Style" w:hAnsi="Bookman Old Style" w:cs="Arial"/>
          <w:lang w:val="es-CO" w:eastAsia="es-CO"/>
        </w:rPr>
        <w:t>DUE CAPITAL AND SERVICES S.A.S.</w:t>
      </w:r>
      <w:r>
        <w:rPr>
          <w:rFonts w:ascii="Bookman Old Style" w:eastAsia="Arial" w:hAnsi="Bookman Old Style" w:cs="Arial"/>
          <w:color w:val="000000" w:themeColor="text1"/>
          <w:lang w:val="es-MX"/>
        </w:rPr>
        <w:t>, remite res</w:t>
      </w:r>
      <w:r w:rsidR="00680ED3">
        <w:rPr>
          <w:rFonts w:ascii="Bookman Old Style" w:eastAsia="Arial" w:hAnsi="Bookman Old Style" w:cs="Arial"/>
          <w:color w:val="000000" w:themeColor="text1"/>
          <w:lang w:val="es-MX"/>
        </w:rPr>
        <w:t>p</w:t>
      </w:r>
      <w:r>
        <w:rPr>
          <w:rFonts w:ascii="Bookman Old Style" w:eastAsia="Arial" w:hAnsi="Bookman Old Style" w:cs="Arial"/>
          <w:color w:val="000000" w:themeColor="text1"/>
          <w:lang w:val="es-MX"/>
        </w:rPr>
        <w:t>uesta al Auto I-2021-003542</w:t>
      </w:r>
      <w:r w:rsidR="00C97F47">
        <w:rPr>
          <w:rFonts w:ascii="Bookman Old Style" w:eastAsia="Arial" w:hAnsi="Bookman Old Style" w:cs="Arial"/>
          <w:color w:val="000000" w:themeColor="text1"/>
          <w:lang w:val="es-MX"/>
        </w:rPr>
        <w:t>, mediante el envío de documentacion a través de enlaces</w:t>
      </w:r>
      <w:r w:rsidR="003B097E">
        <w:rPr>
          <w:rFonts w:ascii="Bookman Old Style" w:eastAsia="Arial" w:hAnsi="Bookman Old Style" w:cs="Arial"/>
          <w:color w:val="000000" w:themeColor="text1"/>
          <w:lang w:val="es-MX"/>
        </w:rPr>
        <w:t xml:space="preserve"> electrónicos</w:t>
      </w:r>
      <w:r w:rsidR="00123BE9">
        <w:rPr>
          <w:rFonts w:ascii="Bookman Old Style" w:eastAsia="Arial" w:hAnsi="Bookman Old Style" w:cs="Arial"/>
          <w:color w:val="000000" w:themeColor="text1"/>
          <w:lang w:val="es-MX"/>
        </w:rPr>
        <w:t xml:space="preserve">, con lo cual esta Comisión a partir de la comunicación </w:t>
      </w:r>
      <w:r w:rsidR="00017E6A">
        <w:rPr>
          <w:rFonts w:ascii="Bookman Old Style" w:eastAsia="Arial" w:hAnsi="Bookman Old Style" w:cs="Arial"/>
          <w:color w:val="000000" w:themeColor="text1"/>
          <w:lang w:val="es-MX"/>
        </w:rPr>
        <w:t xml:space="preserve">CREG- S-2022-001619 del 10 de mayo de 2022, </w:t>
      </w:r>
      <w:r w:rsidR="00984D72">
        <w:rPr>
          <w:rFonts w:ascii="Bookman Old Style" w:eastAsia="Arial" w:hAnsi="Bookman Old Style" w:cs="Arial"/>
          <w:color w:val="000000" w:themeColor="text1"/>
          <w:lang w:val="es-MX"/>
        </w:rPr>
        <w:t>le</w:t>
      </w:r>
      <w:r w:rsidR="00017E6A">
        <w:rPr>
          <w:rFonts w:ascii="Bookman Old Style" w:eastAsia="Arial" w:hAnsi="Bookman Old Style" w:cs="Arial"/>
          <w:color w:val="000000" w:themeColor="text1"/>
          <w:lang w:val="es-MX"/>
        </w:rPr>
        <w:t xml:space="preserve"> solicita a </w:t>
      </w:r>
      <w:r w:rsidR="00E2797D" w:rsidRPr="043B6ADB">
        <w:rPr>
          <w:rFonts w:ascii="Bookman Old Style" w:hAnsi="Bookman Old Style" w:cs="Arial"/>
          <w:lang w:val="es-CO" w:eastAsia="es-CO"/>
        </w:rPr>
        <w:t>DUE CAPITAL AND SERVICES S.A.S.</w:t>
      </w:r>
      <w:r w:rsidR="00E2797D">
        <w:rPr>
          <w:rFonts w:ascii="Bookman Old Style" w:hAnsi="Bookman Old Style" w:cs="Arial"/>
          <w:lang w:val="es-CO" w:eastAsia="es-CO"/>
        </w:rPr>
        <w:t>,</w:t>
      </w:r>
      <w:r w:rsidR="00CB07DB">
        <w:rPr>
          <w:rFonts w:ascii="Bookman Old Style" w:eastAsia="Arial" w:hAnsi="Bookman Old Style" w:cs="Arial"/>
          <w:color w:val="000000" w:themeColor="text1"/>
          <w:lang w:val="es-MX"/>
        </w:rPr>
        <w:t xml:space="preserve"> </w:t>
      </w:r>
      <w:r w:rsidR="00123BE9">
        <w:rPr>
          <w:rFonts w:ascii="Bookman Old Style" w:eastAsia="Arial" w:hAnsi="Bookman Old Style" w:cs="Arial"/>
          <w:color w:val="000000" w:themeColor="text1"/>
          <w:lang w:val="es-MX"/>
        </w:rPr>
        <w:t>corregir el medio de envío de la información allegada.</w:t>
      </w:r>
    </w:p>
    <w:p w14:paraId="02D312CD" w14:textId="77777777" w:rsidR="00017E6A" w:rsidRDefault="00017E6A" w:rsidP="00CF067A">
      <w:pPr>
        <w:ind w:left="284" w:right="6"/>
        <w:contextualSpacing/>
        <w:jc w:val="both"/>
        <w:rPr>
          <w:rFonts w:ascii="Bookman Old Style" w:eastAsia="Arial" w:hAnsi="Bookman Old Style" w:cs="Arial"/>
          <w:color w:val="000000" w:themeColor="text1"/>
          <w:lang w:val="es-MX"/>
        </w:rPr>
      </w:pPr>
    </w:p>
    <w:p w14:paraId="28BFD386" w14:textId="46D1B287" w:rsidR="00C15CB4" w:rsidRDefault="00017E6A" w:rsidP="00CF067A">
      <w:pPr>
        <w:ind w:left="284" w:right="6"/>
        <w:contextualSpacing/>
        <w:jc w:val="both"/>
        <w:rPr>
          <w:rFonts w:ascii="Bookman Old Style" w:eastAsia="Arial" w:hAnsi="Bookman Old Style" w:cs="Arial"/>
          <w:color w:val="000000" w:themeColor="text1"/>
          <w:lang w:val="es-MX"/>
        </w:rPr>
      </w:pPr>
      <w:r>
        <w:rPr>
          <w:rFonts w:ascii="Bookman Old Style" w:eastAsia="Arial" w:hAnsi="Bookman Old Style" w:cs="Arial"/>
          <w:color w:val="000000" w:themeColor="text1"/>
          <w:lang w:val="es-MX"/>
        </w:rPr>
        <w:t xml:space="preserve">La empresa </w:t>
      </w:r>
      <w:r w:rsidR="00E2797D" w:rsidRPr="043B6ADB">
        <w:rPr>
          <w:rFonts w:ascii="Bookman Old Style" w:hAnsi="Bookman Old Style" w:cs="Arial"/>
          <w:lang w:val="es-CO" w:eastAsia="es-CO"/>
        </w:rPr>
        <w:t>DUE CAPITAL AND SERVICES S.A.S.</w:t>
      </w:r>
      <w:r>
        <w:rPr>
          <w:rFonts w:ascii="Bookman Old Style" w:eastAsia="Arial" w:hAnsi="Bookman Old Style" w:cs="Arial"/>
          <w:color w:val="000000" w:themeColor="text1"/>
          <w:lang w:val="es-MX"/>
        </w:rPr>
        <w:t>, responde mediante</w:t>
      </w:r>
      <w:r w:rsidR="00C15CB4">
        <w:rPr>
          <w:rFonts w:ascii="Bookman Old Style" w:eastAsia="Arial" w:hAnsi="Bookman Old Style" w:cs="Arial"/>
          <w:color w:val="000000" w:themeColor="text1"/>
          <w:lang w:val="es-MX"/>
        </w:rPr>
        <w:t xml:space="preserve"> comunicación CREG- E-2022-005274 el 12 de mayo de 2022, </w:t>
      </w:r>
      <w:r w:rsidR="006209E5">
        <w:rPr>
          <w:rFonts w:ascii="Bookman Old Style" w:eastAsia="Arial" w:hAnsi="Bookman Old Style" w:cs="Arial"/>
          <w:color w:val="000000" w:themeColor="text1"/>
          <w:lang w:val="es-MX"/>
        </w:rPr>
        <w:t>remitiendo</w:t>
      </w:r>
      <w:r w:rsidR="00C15CB4">
        <w:rPr>
          <w:rFonts w:ascii="Bookman Old Style" w:eastAsia="Arial" w:hAnsi="Bookman Old Style" w:cs="Arial"/>
          <w:color w:val="000000" w:themeColor="text1"/>
          <w:lang w:val="es-MX"/>
        </w:rPr>
        <w:t xml:space="preserve"> </w:t>
      </w:r>
      <w:r w:rsidR="00F11E48">
        <w:rPr>
          <w:rFonts w:ascii="Bookman Old Style" w:eastAsia="Arial" w:hAnsi="Bookman Old Style" w:cs="Arial"/>
          <w:color w:val="000000" w:themeColor="text1"/>
          <w:lang w:val="es-MX"/>
        </w:rPr>
        <w:t xml:space="preserve">los </w:t>
      </w:r>
      <w:r w:rsidR="00C15CB4">
        <w:rPr>
          <w:rFonts w:ascii="Bookman Old Style" w:eastAsia="Arial" w:hAnsi="Bookman Old Style" w:cs="Arial"/>
          <w:color w:val="000000" w:themeColor="text1"/>
          <w:lang w:val="es-MX"/>
        </w:rPr>
        <w:t xml:space="preserve">documentos solicitados por </w:t>
      </w:r>
      <w:r w:rsidR="004844E9">
        <w:rPr>
          <w:rFonts w:ascii="Bookman Old Style" w:eastAsia="Arial" w:hAnsi="Bookman Old Style" w:cs="Arial"/>
          <w:color w:val="000000" w:themeColor="text1"/>
          <w:lang w:val="es-MX"/>
        </w:rPr>
        <w:t>esta Comisión</w:t>
      </w:r>
      <w:r w:rsidR="00463F32">
        <w:rPr>
          <w:rFonts w:ascii="Bookman Old Style" w:eastAsia="Arial" w:hAnsi="Bookman Old Style" w:cs="Arial"/>
          <w:color w:val="000000" w:themeColor="text1"/>
          <w:lang w:val="es-MX"/>
        </w:rPr>
        <w:t>. En la</w:t>
      </w:r>
      <w:r w:rsidR="00384F36">
        <w:rPr>
          <w:rFonts w:ascii="Bookman Old Style" w:eastAsia="Arial" w:hAnsi="Bookman Old Style" w:cs="Arial"/>
          <w:color w:val="000000" w:themeColor="text1"/>
          <w:lang w:val="es-MX"/>
        </w:rPr>
        <w:t xml:space="preserve"> </w:t>
      </w:r>
      <w:r w:rsidR="007445A0">
        <w:rPr>
          <w:rFonts w:ascii="Bookman Old Style" w:eastAsia="Arial" w:hAnsi="Bookman Old Style" w:cs="Arial"/>
          <w:color w:val="000000" w:themeColor="text1"/>
          <w:lang w:val="es-MX"/>
        </w:rPr>
        <w:t>mencionada</w:t>
      </w:r>
      <w:r w:rsidR="00384F36">
        <w:rPr>
          <w:rFonts w:ascii="Bookman Old Style" w:eastAsia="Arial" w:hAnsi="Bookman Old Style" w:cs="Arial"/>
          <w:color w:val="000000" w:themeColor="text1"/>
          <w:lang w:val="es-MX"/>
        </w:rPr>
        <w:t xml:space="preserve"> comunicación, </w:t>
      </w:r>
      <w:r w:rsidR="001F2339" w:rsidRPr="043B6ADB">
        <w:rPr>
          <w:rFonts w:ascii="Bookman Old Style" w:hAnsi="Bookman Old Style" w:cs="Arial"/>
          <w:lang w:val="es-CO" w:eastAsia="es-CO"/>
        </w:rPr>
        <w:t>DUE CAPITAL AND SERVICES S.A.S.</w:t>
      </w:r>
      <w:r w:rsidR="00544210">
        <w:rPr>
          <w:rFonts w:ascii="Bookman Old Style" w:hAnsi="Bookman Old Style" w:cs="Arial"/>
          <w:lang w:val="es-CO" w:eastAsia="es-CO"/>
        </w:rPr>
        <w:t xml:space="preserve">, </w:t>
      </w:r>
      <w:r w:rsidR="007D060A">
        <w:rPr>
          <w:rFonts w:ascii="Bookman Old Style" w:eastAsia="Arial" w:hAnsi="Bookman Old Style" w:cs="Arial"/>
          <w:color w:val="000000" w:themeColor="text1"/>
          <w:lang w:val="es-MX"/>
        </w:rPr>
        <w:t xml:space="preserve">además </w:t>
      </w:r>
      <w:r w:rsidR="001B2830">
        <w:rPr>
          <w:rFonts w:ascii="Bookman Old Style" w:eastAsia="Arial" w:hAnsi="Bookman Old Style" w:cs="Arial"/>
          <w:color w:val="000000" w:themeColor="text1"/>
          <w:lang w:val="es-MX"/>
        </w:rPr>
        <w:t xml:space="preserve">de la remisión de archivos </w:t>
      </w:r>
      <w:r w:rsidR="003B421B">
        <w:rPr>
          <w:rFonts w:ascii="Bookman Old Style" w:eastAsia="Arial" w:hAnsi="Bookman Old Style" w:cs="Arial"/>
          <w:color w:val="000000" w:themeColor="text1"/>
          <w:lang w:val="es-MX"/>
        </w:rPr>
        <w:t>modificados</w:t>
      </w:r>
      <w:r w:rsidR="001B2830">
        <w:rPr>
          <w:rFonts w:ascii="Bookman Old Style" w:eastAsia="Arial" w:hAnsi="Bookman Old Style" w:cs="Arial"/>
          <w:color w:val="000000" w:themeColor="text1"/>
          <w:lang w:val="es-MX"/>
        </w:rPr>
        <w:t xml:space="preserve">, informa </w:t>
      </w:r>
      <w:r w:rsidR="007D060A">
        <w:rPr>
          <w:rFonts w:ascii="Bookman Old Style" w:eastAsia="Arial" w:hAnsi="Bookman Old Style" w:cs="Arial"/>
          <w:color w:val="000000" w:themeColor="text1"/>
          <w:lang w:val="es-MX"/>
        </w:rPr>
        <w:t xml:space="preserve">de la actualización de los parámetros de generación del proyecto de referencia presentado, </w:t>
      </w:r>
      <w:r w:rsidR="00FE60A3">
        <w:rPr>
          <w:rFonts w:ascii="Bookman Old Style" w:eastAsia="Arial" w:hAnsi="Bookman Old Style" w:cs="Arial"/>
          <w:color w:val="000000" w:themeColor="text1"/>
          <w:lang w:val="es-MX"/>
        </w:rPr>
        <w:t>lo cuales</w:t>
      </w:r>
      <w:r w:rsidR="00FE60A3" w:rsidRPr="00FE60A3">
        <w:rPr>
          <w:rFonts w:ascii="Bookman Old Style" w:eastAsia="Arial" w:hAnsi="Bookman Old Style" w:cs="Arial"/>
          <w:color w:val="000000" w:themeColor="text1"/>
          <w:lang w:val="es-MX"/>
        </w:rPr>
        <w:t xml:space="preserve"> pas</w:t>
      </w:r>
      <w:r w:rsidR="00FE60A3">
        <w:rPr>
          <w:rFonts w:ascii="Bookman Old Style" w:eastAsia="Arial" w:hAnsi="Bookman Old Style" w:cs="Arial"/>
          <w:color w:val="000000" w:themeColor="text1"/>
          <w:lang w:val="es-MX"/>
        </w:rPr>
        <w:t>aron</w:t>
      </w:r>
      <w:r w:rsidR="00FE60A3" w:rsidRPr="00FE60A3">
        <w:rPr>
          <w:rFonts w:ascii="Bookman Old Style" w:eastAsia="Arial" w:hAnsi="Bookman Old Style" w:cs="Arial"/>
          <w:color w:val="000000" w:themeColor="text1"/>
          <w:lang w:val="es-MX"/>
        </w:rPr>
        <w:t xml:space="preserve"> de un tamaño original de 307,5 kWp</w:t>
      </w:r>
      <w:r w:rsidR="00FE60A3">
        <w:rPr>
          <w:rFonts w:ascii="Bookman Old Style" w:eastAsia="Arial" w:hAnsi="Bookman Old Style" w:cs="Arial"/>
          <w:color w:val="000000" w:themeColor="text1"/>
          <w:lang w:val="es-MX"/>
        </w:rPr>
        <w:t xml:space="preserve"> </w:t>
      </w:r>
      <w:r w:rsidR="00FE60A3" w:rsidRPr="00FE60A3">
        <w:rPr>
          <w:rFonts w:ascii="Bookman Old Style" w:eastAsia="Arial" w:hAnsi="Bookman Old Style" w:cs="Arial"/>
          <w:color w:val="000000" w:themeColor="text1"/>
          <w:lang w:val="es-MX"/>
        </w:rPr>
        <w:t xml:space="preserve">a 372,6 kWp </w:t>
      </w:r>
      <w:r w:rsidR="00A40CD9">
        <w:rPr>
          <w:rFonts w:ascii="Bookman Old Style" w:eastAsia="Arial" w:hAnsi="Bookman Old Style" w:cs="Arial"/>
          <w:color w:val="000000" w:themeColor="text1"/>
          <w:lang w:val="es-MX"/>
        </w:rPr>
        <w:t>para el sistema fotovoltaico</w:t>
      </w:r>
      <w:r w:rsidR="00FB4DF5">
        <w:rPr>
          <w:rFonts w:ascii="Bookman Old Style" w:eastAsia="Arial" w:hAnsi="Bookman Old Style" w:cs="Arial"/>
          <w:color w:val="000000" w:themeColor="text1"/>
          <w:lang w:val="es-MX"/>
        </w:rPr>
        <w:t>,</w:t>
      </w:r>
      <w:r w:rsidR="00A40CD9" w:rsidRPr="00FE60A3">
        <w:rPr>
          <w:rFonts w:ascii="Bookman Old Style" w:eastAsia="Arial" w:hAnsi="Bookman Old Style" w:cs="Arial"/>
          <w:color w:val="000000" w:themeColor="text1"/>
          <w:lang w:val="es-MX"/>
        </w:rPr>
        <w:t xml:space="preserve"> </w:t>
      </w:r>
      <w:r w:rsidR="00A40CD9">
        <w:rPr>
          <w:rFonts w:ascii="Bookman Old Style" w:eastAsia="Arial" w:hAnsi="Bookman Old Style" w:cs="Arial"/>
          <w:color w:val="000000" w:themeColor="text1"/>
          <w:lang w:val="es-MX"/>
        </w:rPr>
        <w:t xml:space="preserve">y </w:t>
      </w:r>
      <w:r w:rsidR="00FE60A3" w:rsidRPr="00FE60A3">
        <w:rPr>
          <w:rFonts w:ascii="Bookman Old Style" w:eastAsia="Arial" w:hAnsi="Bookman Old Style" w:cs="Arial"/>
          <w:color w:val="000000" w:themeColor="text1"/>
          <w:lang w:val="es-MX"/>
        </w:rPr>
        <w:t>una acumulación de 1,183 kWh en vez de 140 kWh</w:t>
      </w:r>
      <w:r w:rsidR="0099356D">
        <w:rPr>
          <w:rFonts w:ascii="Bookman Old Style" w:eastAsia="Arial" w:hAnsi="Bookman Old Style" w:cs="Arial"/>
          <w:color w:val="000000" w:themeColor="text1"/>
          <w:lang w:val="es-MX"/>
        </w:rPr>
        <w:t>.</w:t>
      </w:r>
    </w:p>
    <w:p w14:paraId="72A3782B" w14:textId="18F471F4" w:rsidR="28A26C74" w:rsidRDefault="28A26C74" w:rsidP="00604901">
      <w:pPr>
        <w:contextualSpacing/>
        <w:jc w:val="both"/>
        <w:rPr>
          <w:rFonts w:ascii="Bookman Old Style" w:hAnsi="Bookman Old Style" w:cs="Arial"/>
        </w:rPr>
      </w:pPr>
    </w:p>
    <w:p w14:paraId="611933DC" w14:textId="51982BB9" w:rsidR="007A5599" w:rsidRPr="003F7981" w:rsidRDefault="009A5949" w:rsidP="00CF067A">
      <w:pPr>
        <w:ind w:left="284" w:right="6"/>
        <w:contextualSpacing/>
        <w:jc w:val="both"/>
        <w:rPr>
          <w:rFonts w:ascii="Bookman Old Style" w:eastAsia="Arial Nova" w:hAnsi="Bookman Old Style" w:cs="Arial Nova"/>
          <w:lang w:val="es"/>
        </w:rPr>
      </w:pPr>
      <w:r>
        <w:rPr>
          <w:rFonts w:ascii="Bookman Old Style" w:eastAsia="Arial Nova" w:hAnsi="Bookman Old Style" w:cs="Arial Nova"/>
          <w:lang w:val="es"/>
        </w:rPr>
        <w:t>La anterior</w:t>
      </w:r>
      <w:r w:rsidR="2290A195" w:rsidRPr="003F7981">
        <w:rPr>
          <w:rFonts w:ascii="Bookman Old Style" w:eastAsia="Arial Nova" w:hAnsi="Bookman Old Style" w:cs="Arial Nova"/>
          <w:lang w:val="es"/>
        </w:rPr>
        <w:t xml:space="preserve"> información</w:t>
      </w:r>
      <w:r>
        <w:rPr>
          <w:rFonts w:ascii="Bookman Old Style" w:eastAsia="Arial Nova" w:hAnsi="Bookman Old Style" w:cs="Arial Nova"/>
          <w:lang w:val="es"/>
        </w:rPr>
        <w:t>,</w:t>
      </w:r>
      <w:r w:rsidR="2290A195" w:rsidRPr="003F7981">
        <w:rPr>
          <w:rFonts w:ascii="Bookman Old Style" w:eastAsia="Arial Nova" w:hAnsi="Bookman Old Style" w:cs="Arial Nova"/>
          <w:lang w:val="es"/>
        </w:rPr>
        <w:t xml:space="preserve"> hace parte de los expedientes administrativos dentro del trámite de la actuación administrativa en el marco del debido proceso y el derecho de defensa.</w:t>
      </w:r>
    </w:p>
    <w:p w14:paraId="4F24B7B1" w14:textId="74978B3C" w:rsidR="007A5599" w:rsidRPr="003F7981" w:rsidRDefault="007A5599" w:rsidP="00CF067A">
      <w:pPr>
        <w:pStyle w:val="Textoindependiente2"/>
        <w:spacing w:after="0" w:line="240" w:lineRule="auto"/>
        <w:ind w:left="284" w:right="6"/>
        <w:contextualSpacing/>
        <w:jc w:val="both"/>
        <w:rPr>
          <w:rFonts w:ascii="Bookman Old Style" w:hAnsi="Bookman Old Style" w:cs="Arial"/>
          <w:lang w:val="es-MX"/>
        </w:rPr>
      </w:pPr>
    </w:p>
    <w:p w14:paraId="4812C1C0" w14:textId="42533097" w:rsidR="001A74A7" w:rsidRPr="003F7981" w:rsidRDefault="001A74A7" w:rsidP="00CF067A">
      <w:pPr>
        <w:numPr>
          <w:ilvl w:val="0"/>
          <w:numId w:val="8"/>
        </w:numPr>
        <w:ind w:right="6"/>
        <w:contextualSpacing/>
        <w:jc w:val="both"/>
        <w:rPr>
          <w:rFonts w:ascii="Bookman Old Style" w:hAnsi="Bookman Old Style" w:cs="Arial"/>
          <w:b/>
        </w:rPr>
      </w:pPr>
      <w:r w:rsidRPr="003F7981">
        <w:rPr>
          <w:rFonts w:ascii="Bookman Old Style" w:hAnsi="Bookman Old Style" w:cs="Arial"/>
          <w:b/>
        </w:rPr>
        <w:t>ANÁLISIS DE LA SOLICITUD</w:t>
      </w:r>
    </w:p>
    <w:p w14:paraId="129FB39A" w14:textId="77777777" w:rsidR="005F2B6B" w:rsidRPr="003F7981" w:rsidRDefault="005F2B6B" w:rsidP="00CF067A">
      <w:pPr>
        <w:ind w:left="284" w:right="6"/>
        <w:contextualSpacing/>
        <w:jc w:val="both"/>
        <w:rPr>
          <w:rFonts w:ascii="Bookman Old Style" w:hAnsi="Bookman Old Style" w:cs="Arial"/>
          <w:b/>
        </w:rPr>
      </w:pPr>
    </w:p>
    <w:p w14:paraId="13B9CE0D" w14:textId="77777777" w:rsidR="00D451C0" w:rsidRPr="003F7981" w:rsidRDefault="00D451C0" w:rsidP="00CF067A">
      <w:pPr>
        <w:pStyle w:val="Prrafodelista"/>
        <w:numPr>
          <w:ilvl w:val="1"/>
          <w:numId w:val="8"/>
        </w:numPr>
        <w:ind w:right="6"/>
        <w:contextualSpacing/>
        <w:jc w:val="both"/>
        <w:rPr>
          <w:rFonts w:ascii="Bookman Old Style" w:hAnsi="Bookman Old Style"/>
          <w:b/>
          <w:sz w:val="24"/>
          <w:szCs w:val="24"/>
        </w:rPr>
      </w:pPr>
      <w:r w:rsidRPr="003F7981">
        <w:rPr>
          <w:rFonts w:ascii="Bookman Old Style" w:hAnsi="Bookman Old Style"/>
          <w:b/>
          <w:sz w:val="24"/>
          <w:szCs w:val="24"/>
        </w:rPr>
        <w:t>CONSIDERACIÓN JURÍDICA</w:t>
      </w:r>
    </w:p>
    <w:p w14:paraId="5A22778D" w14:textId="77777777" w:rsidR="0007678D" w:rsidRPr="003F7981" w:rsidRDefault="0007678D" w:rsidP="00CF067A">
      <w:pPr>
        <w:ind w:left="284" w:right="6"/>
        <w:contextualSpacing/>
        <w:jc w:val="both"/>
        <w:rPr>
          <w:rFonts w:ascii="Bookman Old Style" w:hAnsi="Bookman Old Style"/>
          <w:b/>
        </w:rPr>
      </w:pPr>
    </w:p>
    <w:p w14:paraId="77514A37" w14:textId="59EAA43C" w:rsidR="00727040" w:rsidRPr="003F7981" w:rsidRDefault="00727040" w:rsidP="00CF067A">
      <w:pPr>
        <w:ind w:left="284" w:right="6"/>
        <w:contextualSpacing/>
        <w:jc w:val="both"/>
        <w:rPr>
          <w:rFonts w:ascii="Bookman Old Style" w:hAnsi="Bookman Old Style" w:cs="Arial"/>
        </w:rPr>
      </w:pPr>
      <w:r w:rsidRPr="003F7981">
        <w:rPr>
          <w:rFonts w:ascii="Bookman Old Style" w:hAnsi="Bookman Old Style" w:cs="Arial"/>
        </w:rPr>
        <w:t xml:space="preserve">Mediante la Resolución CREG 091 de 2007 se establecen las metodologías generales para remunerar las actividades de generación, distribución y comercialización de energía eléctrica, y las fórmulas tarifarias generales para establecer el costo unitario de prestación del servicio público de energía eléctrica en </w:t>
      </w:r>
      <w:r w:rsidR="00C21AD5" w:rsidRPr="003F7981">
        <w:rPr>
          <w:rFonts w:ascii="Bookman Old Style" w:hAnsi="Bookman Old Style" w:cs="Arial"/>
        </w:rPr>
        <w:t>Zonas No Interconectadas</w:t>
      </w:r>
      <w:r w:rsidRPr="003F7981">
        <w:rPr>
          <w:rFonts w:ascii="Bookman Old Style" w:hAnsi="Bookman Old Style" w:cs="Arial"/>
        </w:rPr>
        <w:t>.</w:t>
      </w:r>
    </w:p>
    <w:p w14:paraId="049912B3" w14:textId="77777777" w:rsidR="00A0381B" w:rsidRPr="003F7981" w:rsidRDefault="00A0381B" w:rsidP="00CF067A">
      <w:pPr>
        <w:ind w:left="284" w:right="6"/>
        <w:contextualSpacing/>
        <w:jc w:val="both"/>
        <w:rPr>
          <w:rFonts w:ascii="Bookman Old Style" w:hAnsi="Bookman Old Style" w:cs="Arial"/>
        </w:rPr>
      </w:pPr>
    </w:p>
    <w:p w14:paraId="7F6F1419" w14:textId="1B6D058A" w:rsidR="00727040" w:rsidRPr="003F7981" w:rsidRDefault="00727040" w:rsidP="00CF067A">
      <w:pPr>
        <w:ind w:left="284" w:right="6"/>
        <w:contextualSpacing/>
        <w:jc w:val="both"/>
        <w:rPr>
          <w:rFonts w:ascii="Bookman Old Style" w:hAnsi="Bookman Old Style" w:cs="Arial"/>
        </w:rPr>
      </w:pPr>
      <w:r w:rsidRPr="003F7981">
        <w:rPr>
          <w:rFonts w:ascii="Bookman Old Style" w:hAnsi="Bookman Old Style" w:cs="Arial"/>
        </w:rPr>
        <w:t>Mediante las Resoluciones CREG 161 de 2008, 057, 074, 097 de 2009 y 072 de 2013</w:t>
      </w:r>
      <w:r w:rsidR="00C21AD5" w:rsidRPr="003F7981">
        <w:rPr>
          <w:rFonts w:ascii="Bookman Old Style" w:hAnsi="Bookman Old Style" w:cs="Arial"/>
        </w:rPr>
        <w:t>,</w:t>
      </w:r>
      <w:r w:rsidRPr="003F7981">
        <w:rPr>
          <w:rFonts w:ascii="Bookman Old Style" w:hAnsi="Bookman Old Style" w:cs="Arial"/>
        </w:rPr>
        <w:t xml:space="preserve"> se modificó la Resolución CREG 091 de 2007.</w:t>
      </w:r>
    </w:p>
    <w:p w14:paraId="7D9DAAF0" w14:textId="77777777" w:rsidR="00834F8E" w:rsidRPr="003F7981" w:rsidRDefault="00834F8E" w:rsidP="00CF067A">
      <w:pPr>
        <w:ind w:right="6"/>
        <w:jc w:val="both"/>
        <w:rPr>
          <w:rFonts w:ascii="Bookman Old Style" w:hAnsi="Bookman Old Style"/>
          <w:lang w:val="es-MX"/>
        </w:rPr>
      </w:pPr>
    </w:p>
    <w:p w14:paraId="24B3A3AA" w14:textId="449F1011" w:rsidR="00834F8E" w:rsidRPr="003F7981" w:rsidRDefault="00834F8E" w:rsidP="00CF067A">
      <w:pPr>
        <w:tabs>
          <w:tab w:val="left" w:pos="1477"/>
        </w:tabs>
        <w:spacing w:after="160" w:line="259" w:lineRule="auto"/>
        <w:ind w:left="284" w:right="6"/>
        <w:jc w:val="both"/>
        <w:rPr>
          <w:rFonts w:ascii="Bookman Old Style" w:hAnsi="Bookman Old Style"/>
          <w:lang w:val="es-CO"/>
        </w:rPr>
      </w:pPr>
      <w:r w:rsidRPr="003F7981">
        <w:rPr>
          <w:rFonts w:ascii="Bookman Old Style" w:hAnsi="Bookman Old Style"/>
        </w:rPr>
        <w:lastRenderedPageBreak/>
        <w:t xml:space="preserve">Debe resaltarse que </w:t>
      </w:r>
      <w:r w:rsidRPr="003F7981">
        <w:rPr>
          <w:rFonts w:ascii="Bookman Old Style" w:hAnsi="Bookman Old Style"/>
          <w:lang w:val="es-CO"/>
        </w:rPr>
        <w:t xml:space="preserve">el municipio de </w:t>
      </w:r>
      <w:r w:rsidR="000D3C37" w:rsidRPr="003F7981">
        <w:rPr>
          <w:rFonts w:ascii="Bookman Old Style" w:hAnsi="Bookman Old Style"/>
          <w:lang w:val="es-CO"/>
        </w:rPr>
        <w:t>Puerto Carreño</w:t>
      </w:r>
      <w:r w:rsidRPr="003F7981">
        <w:rPr>
          <w:rFonts w:ascii="Bookman Old Style" w:hAnsi="Bookman Old Style"/>
          <w:lang w:val="es-CO"/>
        </w:rPr>
        <w:t xml:space="preserve">, </w:t>
      </w:r>
      <w:r w:rsidR="000D3C37" w:rsidRPr="003F7981">
        <w:rPr>
          <w:rFonts w:ascii="Bookman Old Style" w:hAnsi="Bookman Old Style"/>
          <w:lang w:val="es-CO"/>
        </w:rPr>
        <w:t>Vichada</w:t>
      </w:r>
      <w:r w:rsidRPr="003F7981">
        <w:rPr>
          <w:rFonts w:ascii="Bookman Old Style" w:hAnsi="Bookman Old Style"/>
          <w:lang w:val="es-CO"/>
        </w:rPr>
        <w:t>, no hace parte de ninguna área de servicio exclusivo</w:t>
      </w:r>
      <w:r w:rsidRPr="003F7981">
        <w:rPr>
          <w:rFonts w:ascii="Bookman Old Style" w:hAnsi="Bookman Old Style"/>
          <w:vertAlign w:val="superscript"/>
        </w:rPr>
        <w:t xml:space="preserve"> </w:t>
      </w:r>
      <w:r w:rsidRPr="003F7981">
        <w:rPr>
          <w:rFonts w:ascii="Bookman Old Style" w:hAnsi="Bookman Old Style"/>
          <w:lang w:val="es-CO"/>
        </w:rPr>
        <w:t>para la prestación del servicio público domiciliario de energía eléctrica o sus actividades complementarias</w:t>
      </w:r>
      <w:r w:rsidRPr="003F7981">
        <w:rPr>
          <w:rFonts w:ascii="Bookman Old Style" w:hAnsi="Bookman Old Style"/>
        </w:rPr>
        <w:t xml:space="preserve">, en los términos del artículo 40 de la </w:t>
      </w:r>
      <w:r w:rsidR="006C40CE" w:rsidRPr="003F7981">
        <w:rPr>
          <w:rFonts w:ascii="Bookman Old Style" w:hAnsi="Bookman Old Style"/>
        </w:rPr>
        <w:t>L</w:t>
      </w:r>
      <w:r w:rsidRPr="003F7981">
        <w:rPr>
          <w:rFonts w:ascii="Bookman Old Style" w:hAnsi="Bookman Old Style"/>
        </w:rPr>
        <w:t xml:space="preserve">ey 142 de 1994 </w:t>
      </w:r>
      <w:r w:rsidRPr="003F7981">
        <w:rPr>
          <w:rFonts w:ascii="Bookman Old Style" w:hAnsi="Bookman Old Style"/>
          <w:lang w:val="es-CO"/>
        </w:rPr>
        <w:t>y</w:t>
      </w:r>
      <w:r w:rsidR="00EB5E0B" w:rsidRPr="003F7981">
        <w:rPr>
          <w:rFonts w:ascii="Bookman Old Style" w:hAnsi="Bookman Old Style"/>
          <w:lang w:val="es-CO"/>
        </w:rPr>
        <w:t>,</w:t>
      </w:r>
      <w:r w:rsidRPr="003F7981">
        <w:rPr>
          <w:rFonts w:ascii="Bookman Old Style" w:hAnsi="Bookman Old Style"/>
          <w:lang w:val="es-CO"/>
        </w:rPr>
        <w:t xml:space="preserve"> por tanto</w:t>
      </w:r>
      <w:r w:rsidR="00EB5E0B" w:rsidRPr="003F7981">
        <w:rPr>
          <w:rFonts w:ascii="Bookman Old Style" w:hAnsi="Bookman Old Style"/>
          <w:lang w:val="es-CO"/>
        </w:rPr>
        <w:t>,</w:t>
      </w:r>
      <w:r w:rsidRPr="003F7981">
        <w:rPr>
          <w:rFonts w:ascii="Bookman Old Style" w:hAnsi="Bookman Old Style"/>
        </w:rPr>
        <w:t xml:space="preserve"> </w:t>
      </w:r>
      <w:r w:rsidRPr="003F7981">
        <w:rPr>
          <w:rFonts w:ascii="Bookman Old Style" w:hAnsi="Bookman Old Style"/>
          <w:lang w:val="es-CO"/>
        </w:rPr>
        <w:t xml:space="preserve">en dicha área geográfica no existe exclusividad en la prestación del servicio público de energía eléctrica o sus actividades complementarías. </w:t>
      </w:r>
    </w:p>
    <w:p w14:paraId="65607592" w14:textId="344F6A14" w:rsidR="00B404D2" w:rsidRPr="003F7981" w:rsidRDefault="00B404D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En el artículo 2 de la Resolución CREG 091 de 2007 </w:t>
      </w:r>
      <w:r w:rsidR="00EB5E0B" w:rsidRPr="003F7981">
        <w:rPr>
          <w:rFonts w:ascii="Bookman Old Style" w:hAnsi="Bookman Old Style"/>
          <w:sz w:val="24"/>
          <w:szCs w:val="24"/>
        </w:rPr>
        <w:t xml:space="preserve">se </w:t>
      </w:r>
      <w:r w:rsidR="00E25C2E" w:rsidRPr="003F7981">
        <w:rPr>
          <w:rFonts w:ascii="Bookman Old Style" w:hAnsi="Bookman Old Style"/>
          <w:sz w:val="24"/>
          <w:szCs w:val="24"/>
        </w:rPr>
        <w:t>define</w:t>
      </w:r>
      <w:r w:rsidR="00DA1850" w:rsidRPr="003F7981">
        <w:rPr>
          <w:rFonts w:ascii="Bookman Old Style" w:hAnsi="Bookman Old Style"/>
          <w:sz w:val="24"/>
          <w:szCs w:val="24"/>
        </w:rPr>
        <w:t xml:space="preserve"> </w:t>
      </w:r>
      <w:r w:rsidR="009C0229" w:rsidRPr="003F7981">
        <w:rPr>
          <w:rFonts w:ascii="Bookman Old Style" w:hAnsi="Bookman Old Style"/>
          <w:sz w:val="24"/>
          <w:szCs w:val="24"/>
        </w:rPr>
        <w:t>el mercado de relevante de comercialización y el parque de generación de la siguiente manera</w:t>
      </w:r>
      <w:r w:rsidRPr="003F7981">
        <w:rPr>
          <w:rFonts w:ascii="Bookman Old Style" w:hAnsi="Bookman Old Style"/>
          <w:sz w:val="24"/>
          <w:szCs w:val="24"/>
        </w:rPr>
        <w:t>:</w:t>
      </w:r>
    </w:p>
    <w:p w14:paraId="408B58F3" w14:textId="77777777" w:rsidR="00B404D2" w:rsidRPr="003F7981" w:rsidRDefault="00B404D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2F32B1E" w14:textId="1D0FB801" w:rsidR="00B404D2" w:rsidRPr="003F7981" w:rsidRDefault="0086143A" w:rsidP="00A40CD9">
      <w:pPr>
        <w:pStyle w:val="Style2"/>
        <w:spacing w:before="0" w:line="240" w:lineRule="auto"/>
        <w:ind w:left="567" w:right="6" w:firstLine="0"/>
        <w:contextualSpacing/>
        <w:jc w:val="both"/>
        <w:rPr>
          <w:rFonts w:ascii="Bookman Old Style" w:hAnsi="Bookman Old Style"/>
          <w:i/>
          <w:iCs/>
          <w:sz w:val="22"/>
          <w:szCs w:val="22"/>
        </w:rPr>
      </w:pPr>
      <w:r w:rsidRPr="003F7981">
        <w:rPr>
          <w:rFonts w:ascii="Bookman Old Style" w:hAnsi="Bookman Old Style"/>
          <w:i/>
          <w:iCs/>
          <w:sz w:val="22"/>
          <w:szCs w:val="22"/>
        </w:rPr>
        <w:t>“Artículo</w:t>
      </w:r>
      <w:r w:rsidR="00B404D2" w:rsidRPr="003F7981">
        <w:rPr>
          <w:rFonts w:ascii="Bookman Old Style" w:hAnsi="Bookman Old Style"/>
          <w:b/>
          <w:bCs/>
          <w:i/>
          <w:iCs/>
          <w:sz w:val="22"/>
          <w:szCs w:val="22"/>
        </w:rPr>
        <w:t xml:space="preserve"> 2. Definiciones.</w:t>
      </w:r>
      <w:r w:rsidR="00B404D2" w:rsidRPr="003F7981">
        <w:rPr>
          <w:rFonts w:ascii="Bookman Old Style" w:hAnsi="Bookman Old Style"/>
          <w:i/>
          <w:iCs/>
          <w:sz w:val="22"/>
          <w:szCs w:val="22"/>
        </w:rPr>
        <w:t xml:space="preserve"> Para la interpretación y aplicación de esta Resolución se tendrán en cuenta, además de las definiciones contenidas en las Leyes 142 y 143 de 1994 y en las resoluciones vigentes de la CREG, las siguientes: (…)</w:t>
      </w:r>
    </w:p>
    <w:p w14:paraId="3B1514EF" w14:textId="77777777" w:rsidR="00AD369B" w:rsidRPr="003F7981" w:rsidRDefault="00AD369B" w:rsidP="00A40CD9">
      <w:pPr>
        <w:pStyle w:val="Style2"/>
        <w:spacing w:before="0" w:line="240" w:lineRule="auto"/>
        <w:ind w:left="567" w:right="6" w:firstLine="0"/>
        <w:contextualSpacing/>
        <w:jc w:val="both"/>
        <w:rPr>
          <w:rFonts w:ascii="Bookman Old Style" w:hAnsi="Bookman Old Style"/>
          <w:i/>
          <w:iCs/>
          <w:sz w:val="22"/>
          <w:szCs w:val="22"/>
        </w:rPr>
      </w:pPr>
    </w:p>
    <w:p w14:paraId="45C9BDAB" w14:textId="3B1CD56F" w:rsidR="00B404D2" w:rsidRPr="003F7981" w:rsidRDefault="00B404D2" w:rsidP="00A40CD9">
      <w:pPr>
        <w:pStyle w:val="Style2"/>
        <w:spacing w:before="0" w:line="240" w:lineRule="auto"/>
        <w:ind w:left="567" w:right="6" w:firstLine="0"/>
        <w:contextualSpacing/>
        <w:jc w:val="both"/>
        <w:rPr>
          <w:rFonts w:ascii="Bookman Old Style" w:hAnsi="Bookman Old Style"/>
          <w:i/>
          <w:iCs/>
          <w:sz w:val="22"/>
          <w:szCs w:val="22"/>
        </w:rPr>
      </w:pPr>
      <w:r w:rsidRPr="003F7981">
        <w:rPr>
          <w:rFonts w:ascii="Bookman Old Style" w:hAnsi="Bookman Old Style"/>
          <w:b/>
          <w:bCs/>
          <w:i/>
          <w:iCs/>
          <w:sz w:val="22"/>
          <w:szCs w:val="22"/>
        </w:rPr>
        <w:t>Mercado Relevante de Comercialización:</w:t>
      </w:r>
      <w:r w:rsidRPr="003F7981">
        <w:rPr>
          <w:rFonts w:ascii="Bookman Old Style" w:hAnsi="Bookman Old Style"/>
          <w:i/>
          <w:iCs/>
          <w:sz w:val="22"/>
          <w:szCs w:val="22"/>
        </w:rPr>
        <w:t xml:space="preserve"> Conjunto de usuarios conectados a un</w:t>
      </w:r>
      <w:r w:rsidRPr="003F7981">
        <w:rPr>
          <w:rFonts w:ascii="Bookman Old Style" w:hAnsi="Bookman Old Style"/>
          <w:i/>
          <w:sz w:val="22"/>
          <w:szCs w:val="22"/>
        </w:rPr>
        <w:t xml:space="preserve"> mismo</w:t>
      </w:r>
      <w:r w:rsidRPr="003F7981">
        <w:rPr>
          <w:rFonts w:ascii="Bookman Old Style" w:hAnsi="Bookman Old Style"/>
          <w:i/>
          <w:iCs/>
          <w:sz w:val="22"/>
          <w:szCs w:val="22"/>
        </w:rPr>
        <w:t xml:space="preserve"> Sistema de Distribución Local o atendido sin red física por un Distribuidor. (…)”</w:t>
      </w:r>
    </w:p>
    <w:p w14:paraId="2ACD3310" w14:textId="77777777" w:rsidR="00053032" w:rsidRPr="003F7981" w:rsidRDefault="00053032" w:rsidP="00A40CD9">
      <w:pPr>
        <w:pStyle w:val="Style2"/>
        <w:spacing w:before="0" w:line="240" w:lineRule="auto"/>
        <w:ind w:left="567" w:right="6" w:firstLine="0"/>
        <w:contextualSpacing/>
        <w:jc w:val="both"/>
        <w:rPr>
          <w:rFonts w:ascii="Bookman Old Style" w:hAnsi="Bookman Old Style"/>
          <w:b/>
          <w:bCs/>
          <w:i/>
          <w:iCs/>
          <w:sz w:val="22"/>
          <w:szCs w:val="22"/>
        </w:rPr>
      </w:pPr>
    </w:p>
    <w:p w14:paraId="5C34C928" w14:textId="5A8B3DC2" w:rsidR="00053032" w:rsidRPr="003F7981" w:rsidRDefault="00053032" w:rsidP="00A40CD9">
      <w:pPr>
        <w:pStyle w:val="Style2"/>
        <w:spacing w:before="0" w:line="240" w:lineRule="auto"/>
        <w:ind w:left="567" w:right="6" w:firstLine="0"/>
        <w:contextualSpacing/>
        <w:jc w:val="both"/>
        <w:rPr>
          <w:rFonts w:ascii="Bookman Old Style" w:hAnsi="Bookman Old Style"/>
          <w:i/>
          <w:iCs/>
          <w:sz w:val="22"/>
          <w:szCs w:val="22"/>
        </w:rPr>
      </w:pPr>
      <w:r w:rsidRPr="003F7981">
        <w:rPr>
          <w:rFonts w:ascii="Bookman Old Style" w:hAnsi="Bookman Old Style"/>
          <w:b/>
          <w:bCs/>
          <w:i/>
          <w:iCs/>
          <w:sz w:val="22"/>
          <w:szCs w:val="22"/>
        </w:rPr>
        <w:t>Parque de Generación: </w:t>
      </w:r>
      <w:r w:rsidRPr="003F7981">
        <w:rPr>
          <w:rFonts w:ascii="Bookman Old Style" w:hAnsi="Bookman Old Style"/>
          <w:i/>
          <w:iCs/>
          <w:sz w:val="22"/>
          <w:szCs w:val="22"/>
        </w:rPr>
        <w:t>Conjunto de unidades de generación con el que se atiende un Mercado Relevante de Comercialización.</w:t>
      </w:r>
    </w:p>
    <w:p w14:paraId="1383C40C" w14:textId="4104B76F" w:rsidR="00053032" w:rsidRPr="003F7981" w:rsidRDefault="00053032" w:rsidP="00A40CD9">
      <w:pPr>
        <w:pStyle w:val="Style2"/>
        <w:spacing w:before="0" w:line="240" w:lineRule="auto"/>
        <w:ind w:left="567" w:right="6" w:firstLine="0"/>
        <w:contextualSpacing/>
        <w:jc w:val="both"/>
        <w:rPr>
          <w:rFonts w:ascii="Bookman Old Style" w:hAnsi="Bookman Old Style"/>
          <w:i/>
          <w:iCs/>
          <w:sz w:val="24"/>
          <w:szCs w:val="24"/>
          <w:highlight w:val="yellow"/>
        </w:rPr>
      </w:pPr>
    </w:p>
    <w:p w14:paraId="65AA9A0F" w14:textId="556E4EA2" w:rsidR="005006B9" w:rsidRPr="003F7981" w:rsidRDefault="005006B9"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El</w:t>
      </w:r>
      <w:r w:rsidR="00A0381B" w:rsidRPr="003F7981">
        <w:rPr>
          <w:rFonts w:ascii="Bookman Old Style" w:hAnsi="Bookman Old Style"/>
          <w:sz w:val="24"/>
          <w:szCs w:val="24"/>
        </w:rPr>
        <w:t xml:space="preserve"> literal d</w:t>
      </w:r>
      <w:r w:rsidR="00C06FD4" w:rsidRPr="003F7981">
        <w:rPr>
          <w:rFonts w:ascii="Bookman Old Style" w:hAnsi="Bookman Old Style"/>
          <w:sz w:val="24"/>
          <w:szCs w:val="24"/>
        </w:rPr>
        <w:t>)</w:t>
      </w:r>
      <w:r w:rsidR="00A0381B" w:rsidRPr="003F7981">
        <w:rPr>
          <w:rFonts w:ascii="Bookman Old Style" w:hAnsi="Bookman Old Style"/>
          <w:sz w:val="24"/>
          <w:szCs w:val="24"/>
        </w:rPr>
        <w:t xml:space="preserve"> del</w:t>
      </w:r>
      <w:r w:rsidRPr="003F7981">
        <w:rPr>
          <w:rFonts w:ascii="Bookman Old Style" w:hAnsi="Bookman Old Style"/>
          <w:sz w:val="24"/>
          <w:szCs w:val="24"/>
        </w:rPr>
        <w:t xml:space="preserve"> art</w:t>
      </w:r>
      <w:r w:rsidR="00967D8F" w:rsidRPr="003F7981">
        <w:rPr>
          <w:rFonts w:ascii="Bookman Old Style" w:hAnsi="Bookman Old Style"/>
          <w:sz w:val="24"/>
          <w:szCs w:val="24"/>
        </w:rPr>
        <w:t xml:space="preserve">ículo </w:t>
      </w:r>
      <w:r w:rsidR="00A0381B" w:rsidRPr="003F7981">
        <w:rPr>
          <w:rFonts w:ascii="Bookman Old Style" w:hAnsi="Bookman Old Style"/>
          <w:sz w:val="24"/>
          <w:szCs w:val="24"/>
        </w:rPr>
        <w:t>22</w:t>
      </w:r>
      <w:r w:rsidR="00967D8F" w:rsidRPr="003F7981">
        <w:rPr>
          <w:rFonts w:ascii="Bookman Old Style" w:hAnsi="Bookman Old Style"/>
          <w:sz w:val="24"/>
          <w:szCs w:val="24"/>
        </w:rPr>
        <w:t xml:space="preserve"> de la </w:t>
      </w:r>
      <w:r w:rsidR="00A0381B" w:rsidRPr="003F7981">
        <w:rPr>
          <w:rFonts w:ascii="Bookman Old Style" w:hAnsi="Bookman Old Style"/>
          <w:sz w:val="24"/>
          <w:szCs w:val="24"/>
        </w:rPr>
        <w:t>Resolución CREG 091 de 2007</w:t>
      </w:r>
      <w:r w:rsidR="00967D8F" w:rsidRPr="003F7981">
        <w:rPr>
          <w:rFonts w:ascii="Bookman Old Style" w:hAnsi="Bookman Old Style"/>
          <w:sz w:val="24"/>
          <w:szCs w:val="24"/>
        </w:rPr>
        <w:t xml:space="preserve">, invocado como fundamento de la solicitud, </w:t>
      </w:r>
      <w:r w:rsidR="006926AA" w:rsidRPr="003F7981">
        <w:rPr>
          <w:rFonts w:ascii="Bookman Old Style" w:hAnsi="Bookman Old Style"/>
          <w:sz w:val="24"/>
          <w:szCs w:val="24"/>
        </w:rPr>
        <w:t>señala lo siguiente</w:t>
      </w:r>
      <w:r w:rsidR="00967D8F" w:rsidRPr="003F7981">
        <w:rPr>
          <w:rFonts w:ascii="Bookman Old Style" w:hAnsi="Bookman Old Style"/>
          <w:sz w:val="24"/>
          <w:szCs w:val="24"/>
        </w:rPr>
        <w:t xml:space="preserve">: </w:t>
      </w:r>
    </w:p>
    <w:p w14:paraId="5CE51F98" w14:textId="77777777" w:rsidR="005006B9" w:rsidRPr="003F7981" w:rsidRDefault="005006B9"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5B3F2AFE" w14:textId="2996525C" w:rsidR="00A0381B" w:rsidRPr="003F7981" w:rsidRDefault="005A522D" w:rsidP="00CF067A">
      <w:pPr>
        <w:ind w:left="567" w:right="6"/>
        <w:contextualSpacing/>
        <w:jc w:val="both"/>
        <w:rPr>
          <w:rFonts w:ascii="Bookman Old Style" w:hAnsi="Bookman Old Style" w:cs="Arial"/>
          <w:i/>
          <w:sz w:val="22"/>
          <w:szCs w:val="22"/>
          <w:lang w:eastAsia="es-CO"/>
        </w:rPr>
      </w:pPr>
      <w:r w:rsidRPr="003F7981">
        <w:rPr>
          <w:rFonts w:ascii="Bookman Old Style" w:hAnsi="Bookman Old Style" w:cs="Arial"/>
          <w:i/>
          <w:sz w:val="22"/>
          <w:szCs w:val="22"/>
          <w:lang w:eastAsia="es-CO"/>
        </w:rPr>
        <w:t>“</w:t>
      </w:r>
      <w:r w:rsidR="00A0381B" w:rsidRPr="003F7981">
        <w:rPr>
          <w:rFonts w:ascii="Bookman Old Style" w:hAnsi="Bookman Old Style" w:cs="Arial"/>
          <w:b/>
          <w:bCs/>
          <w:i/>
          <w:sz w:val="22"/>
          <w:szCs w:val="22"/>
          <w:lang w:eastAsia="es-CO"/>
        </w:rPr>
        <w:t>Artículo 22. Remuneración de la componente de inversión y mantenimiento de tecnologías de Generación</w:t>
      </w:r>
      <w:r w:rsidR="00A0381B" w:rsidRPr="003F7981">
        <w:rPr>
          <w:rFonts w:ascii="Bookman Old Style" w:hAnsi="Bookman Old Style" w:cs="Arial"/>
          <w:i/>
          <w:sz w:val="22"/>
          <w:szCs w:val="22"/>
          <w:lang w:eastAsia="es-CO"/>
        </w:rPr>
        <w:t xml:space="preserve">. La componente de inversión de los Cargos Regulados de Generación, expresada en ($/kWh), incluye los costos de adquisición, transporte, instalación, diseños, permisos ambientales, almacenamiento de combustible, transformadores elevadores, equipos de telemedida y los necesarios para la puesta en operación de una central de generación, y dependerá del tamaño, tecnología, horas de prestación del servicio y el tipo de combustible de cada unidad de generación, </w:t>
      </w:r>
      <w:r w:rsidR="005E673E" w:rsidRPr="003F7981">
        <w:rPr>
          <w:rFonts w:ascii="Bookman Old Style" w:hAnsi="Bookman Old Style" w:cs="Arial"/>
          <w:i/>
          <w:sz w:val="22"/>
          <w:szCs w:val="22"/>
          <w:lang w:eastAsia="es-CO"/>
        </w:rPr>
        <w:t>como se muestra a continuación:</w:t>
      </w:r>
      <w:r w:rsidR="00D70AC1" w:rsidRPr="003F7981">
        <w:rPr>
          <w:rFonts w:ascii="Bookman Old Style" w:hAnsi="Bookman Old Style" w:cs="Arial"/>
          <w:i/>
          <w:sz w:val="22"/>
          <w:szCs w:val="22"/>
          <w:lang w:eastAsia="es-CO"/>
        </w:rPr>
        <w:t xml:space="preserve"> </w:t>
      </w:r>
      <w:r w:rsidR="00A0381B" w:rsidRPr="003F7981">
        <w:rPr>
          <w:rFonts w:ascii="Bookman Old Style" w:hAnsi="Bookman Old Style" w:cs="Arial"/>
          <w:i/>
          <w:sz w:val="22"/>
          <w:szCs w:val="22"/>
          <w:lang w:eastAsia="es-CO"/>
        </w:rPr>
        <w:t>(…)</w:t>
      </w:r>
    </w:p>
    <w:p w14:paraId="21614930" w14:textId="77777777" w:rsidR="00A0381B" w:rsidRPr="003F7981" w:rsidRDefault="00A0381B" w:rsidP="00CF067A">
      <w:pPr>
        <w:ind w:left="567" w:right="6"/>
        <w:contextualSpacing/>
        <w:jc w:val="both"/>
        <w:rPr>
          <w:rFonts w:ascii="Bookman Old Style" w:hAnsi="Bookman Old Style" w:cs="Arial"/>
          <w:i/>
          <w:sz w:val="22"/>
          <w:szCs w:val="22"/>
          <w:lang w:eastAsia="es-CO"/>
        </w:rPr>
      </w:pPr>
    </w:p>
    <w:p w14:paraId="2C417408" w14:textId="77777777" w:rsidR="005E673E" w:rsidRPr="003F7981" w:rsidRDefault="00A0381B" w:rsidP="00CF067A">
      <w:pPr>
        <w:ind w:left="567" w:right="6"/>
        <w:contextualSpacing/>
        <w:jc w:val="both"/>
        <w:rPr>
          <w:rFonts w:ascii="Bookman Old Style" w:hAnsi="Bookman Old Style" w:cs="Arial"/>
          <w:b/>
          <w:bCs/>
          <w:i/>
          <w:sz w:val="22"/>
          <w:szCs w:val="22"/>
          <w:lang w:eastAsia="es-CO"/>
        </w:rPr>
      </w:pPr>
      <w:r w:rsidRPr="003F7981">
        <w:rPr>
          <w:rFonts w:ascii="Bookman Old Style" w:hAnsi="Bookman Old Style" w:cs="Arial"/>
          <w:b/>
          <w:bCs/>
          <w:i/>
          <w:sz w:val="22"/>
          <w:szCs w:val="22"/>
          <w:lang w:eastAsia="es-CO"/>
        </w:rPr>
        <w:t>d) Costo de inversión de sistemas híbridos y otras tecnologías de generación</w:t>
      </w:r>
    </w:p>
    <w:p w14:paraId="660D1638" w14:textId="77777777" w:rsidR="005E673E" w:rsidRPr="003F7981" w:rsidRDefault="005E673E" w:rsidP="00CF067A">
      <w:pPr>
        <w:ind w:left="567" w:right="6"/>
        <w:contextualSpacing/>
        <w:jc w:val="both"/>
        <w:rPr>
          <w:rFonts w:ascii="Bookman Old Style" w:hAnsi="Bookman Old Style" w:cs="Arial"/>
          <w:i/>
          <w:sz w:val="22"/>
          <w:szCs w:val="22"/>
          <w:lang w:eastAsia="es-CO"/>
        </w:rPr>
      </w:pPr>
    </w:p>
    <w:p w14:paraId="1F1A4ED8" w14:textId="77777777" w:rsidR="00A0381B" w:rsidRPr="003F7981" w:rsidRDefault="00A0381B" w:rsidP="00CF067A">
      <w:pPr>
        <w:ind w:left="567" w:right="6"/>
        <w:contextualSpacing/>
        <w:jc w:val="both"/>
        <w:rPr>
          <w:rFonts w:ascii="Bookman Old Style" w:hAnsi="Bookman Old Style" w:cs="Arial"/>
          <w:i/>
          <w:sz w:val="22"/>
          <w:szCs w:val="22"/>
          <w:lang w:eastAsia="es-CO"/>
        </w:rPr>
      </w:pPr>
      <w:r w:rsidRPr="003F7981">
        <w:rPr>
          <w:rFonts w:ascii="Bookman Old Style" w:hAnsi="Bookman Old Style" w:cs="Arial"/>
          <w:i/>
          <w:sz w:val="22"/>
          <w:szCs w:val="22"/>
          <w:lang w:eastAsia="es-CO"/>
        </w:rPr>
        <w:t>Los costos unitarios de inversión para sistemas híbridos y otras tecnologías de generación no definidos en la presente resolución, podrán proponerse a la Comisión quién definirá en Resolución particula</w:t>
      </w:r>
      <w:r w:rsidR="005E673E" w:rsidRPr="003F7981">
        <w:rPr>
          <w:rFonts w:ascii="Bookman Old Style" w:hAnsi="Bookman Old Style" w:cs="Arial"/>
          <w:i/>
          <w:sz w:val="22"/>
          <w:szCs w:val="22"/>
          <w:lang w:eastAsia="es-CO"/>
        </w:rPr>
        <w:t>r los costos correspondientes.”</w:t>
      </w:r>
    </w:p>
    <w:p w14:paraId="4F4F688B" w14:textId="77777777" w:rsidR="005E673E" w:rsidRPr="003F7981" w:rsidRDefault="005E673E"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346A7F8D" w14:textId="5986D733"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En el artículo 22 se define la remuneración de la componente de inversión y mantenimiento de tecnologías de generación, componente expresada en pesos por kilovatio hora ($/kWh), la cual incluye los costos de adquisición, transporte, instalación, diseños, permisos ambientales, almacenamiento de combustible, transformadores elevadores, equipos de telemedida</w:t>
      </w:r>
      <w:r w:rsidR="00A93715" w:rsidRPr="003F7981">
        <w:rPr>
          <w:rFonts w:ascii="Bookman Old Style" w:hAnsi="Bookman Old Style"/>
          <w:sz w:val="24"/>
          <w:szCs w:val="24"/>
        </w:rPr>
        <w:t>,</w:t>
      </w:r>
      <w:r w:rsidRPr="003F7981">
        <w:rPr>
          <w:rFonts w:ascii="Bookman Old Style" w:hAnsi="Bookman Old Style"/>
          <w:sz w:val="24"/>
          <w:szCs w:val="24"/>
        </w:rPr>
        <w:t xml:space="preserve"> y los necesarios para la puesta en operación de una central de generación.</w:t>
      </w:r>
    </w:p>
    <w:p w14:paraId="74AC2301"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AC7D4F4" w14:textId="77777777" w:rsidR="00E63E5A" w:rsidRPr="003F7981" w:rsidRDefault="00660EA5"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w:t>
      </w:r>
      <w:r w:rsidR="00E63E5A" w:rsidRPr="003F7981">
        <w:rPr>
          <w:rFonts w:ascii="Bookman Old Style" w:hAnsi="Bookman Old Style"/>
          <w:sz w:val="24"/>
          <w:szCs w:val="24"/>
        </w:rPr>
        <w:t>n dicho artículo se establecen las metodologías para determinar:</w:t>
      </w:r>
    </w:p>
    <w:p w14:paraId="2F414439"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75E2FF4B" w14:textId="77777777" w:rsidR="00E63E5A" w:rsidRPr="003F7981" w:rsidRDefault="00E63E5A" w:rsidP="00CF067A">
      <w:pPr>
        <w:pStyle w:val="Style2"/>
        <w:shd w:val="clear" w:color="auto" w:fill="auto"/>
        <w:spacing w:before="0" w:line="240" w:lineRule="auto"/>
        <w:ind w:left="567" w:right="6" w:hanging="283"/>
        <w:contextualSpacing/>
        <w:jc w:val="both"/>
        <w:rPr>
          <w:rFonts w:ascii="Bookman Old Style" w:hAnsi="Bookman Old Style"/>
          <w:sz w:val="24"/>
          <w:szCs w:val="24"/>
        </w:rPr>
      </w:pPr>
      <w:r w:rsidRPr="003F7981">
        <w:rPr>
          <w:rFonts w:ascii="Bookman Old Style" w:hAnsi="Bookman Old Style"/>
          <w:sz w:val="24"/>
          <w:szCs w:val="24"/>
        </w:rPr>
        <w:t>a) Costos de inversión y mantenimiento de generadores diésel operando con ACPM.</w:t>
      </w:r>
    </w:p>
    <w:p w14:paraId="2068D01E"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b) Costo de inversión de centrales hidroeléctricas a pequeña escala.</w:t>
      </w:r>
    </w:p>
    <w:p w14:paraId="7004C9B7"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lastRenderedPageBreak/>
        <w:t>c) Costo de inversión para soluciones individuales.</w:t>
      </w:r>
    </w:p>
    <w:p w14:paraId="02BB61E1"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d) Costo de inversión de sistemas híbridos y otras tecnologías de generación.</w:t>
      </w:r>
    </w:p>
    <w:p w14:paraId="69A69388"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3676BB59"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En el literal d) se determina: </w:t>
      </w:r>
      <w:r w:rsidRPr="003F7981">
        <w:rPr>
          <w:rFonts w:ascii="Bookman Old Style" w:hAnsi="Bookman Old Style"/>
          <w:i/>
          <w:sz w:val="24"/>
          <w:szCs w:val="24"/>
        </w:rPr>
        <w:t>“</w:t>
      </w:r>
      <w:r w:rsidR="00BE466D" w:rsidRPr="003F7981">
        <w:rPr>
          <w:rFonts w:ascii="Bookman Old Style" w:hAnsi="Bookman Old Style"/>
          <w:i/>
          <w:sz w:val="24"/>
          <w:szCs w:val="24"/>
        </w:rPr>
        <w:t>l</w:t>
      </w:r>
      <w:r w:rsidRPr="003F7981">
        <w:rPr>
          <w:rFonts w:ascii="Bookman Old Style" w:hAnsi="Bookman Old Style"/>
          <w:i/>
          <w:sz w:val="24"/>
          <w:szCs w:val="24"/>
        </w:rPr>
        <w:t xml:space="preserve">os costos unitarios de inversión para sistemas híbridos y otras tecnologías de generación no definidos en la presente resolución, podrán proponerse a la Comisión quién definirá en </w:t>
      </w:r>
      <w:r w:rsidR="00ED7F05" w:rsidRPr="003F7981">
        <w:rPr>
          <w:rFonts w:ascii="Bookman Old Style" w:hAnsi="Bookman Old Style"/>
          <w:i/>
          <w:sz w:val="24"/>
          <w:szCs w:val="24"/>
        </w:rPr>
        <w:t>r</w:t>
      </w:r>
      <w:r w:rsidRPr="003F7981">
        <w:rPr>
          <w:rFonts w:ascii="Bookman Old Style" w:hAnsi="Bookman Old Style"/>
          <w:i/>
          <w:sz w:val="24"/>
          <w:szCs w:val="24"/>
        </w:rPr>
        <w:t>esolución particular los costos correspondientes”</w:t>
      </w:r>
      <w:r w:rsidR="004D28B1" w:rsidRPr="003F7981">
        <w:rPr>
          <w:rFonts w:ascii="Bookman Old Style" w:hAnsi="Bookman Old Style"/>
          <w:i/>
          <w:sz w:val="24"/>
          <w:szCs w:val="24"/>
        </w:rPr>
        <w:t>.</w:t>
      </w:r>
    </w:p>
    <w:p w14:paraId="03FE283E" w14:textId="77777777" w:rsidR="00BE466D" w:rsidRPr="003F7981" w:rsidRDefault="00BE466D"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485A7D02" w14:textId="5B78C621" w:rsidR="00B85F36" w:rsidRPr="003F7981" w:rsidRDefault="005F39B6"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43B6ADB">
        <w:rPr>
          <w:rFonts w:ascii="Bookman Old Style" w:hAnsi="Bookman Old Style"/>
          <w:sz w:val="24"/>
          <w:szCs w:val="24"/>
        </w:rPr>
        <w:t xml:space="preserve">Dado </w:t>
      </w:r>
      <w:r w:rsidR="00E63E5A" w:rsidRPr="043B6ADB">
        <w:rPr>
          <w:rFonts w:ascii="Bookman Old Style" w:hAnsi="Bookman Old Style"/>
          <w:sz w:val="24"/>
          <w:szCs w:val="24"/>
        </w:rPr>
        <w:t xml:space="preserve">que </w:t>
      </w:r>
      <w:r w:rsidR="00ED2AF3" w:rsidRPr="043B6ADB">
        <w:rPr>
          <w:rFonts w:ascii="Bookman Old Style" w:hAnsi="Bookman Old Style"/>
          <w:sz w:val="24"/>
          <w:szCs w:val="24"/>
        </w:rPr>
        <w:t>la solicitud presentada</w:t>
      </w:r>
      <w:r w:rsidR="00E63E5A" w:rsidRPr="043B6ADB">
        <w:rPr>
          <w:rFonts w:ascii="Bookman Old Style" w:hAnsi="Bookman Old Style"/>
          <w:sz w:val="24"/>
          <w:szCs w:val="24"/>
        </w:rPr>
        <w:t xml:space="preserve"> por </w:t>
      </w:r>
      <w:r w:rsidR="00E2797D" w:rsidRPr="00E2797D">
        <w:rPr>
          <w:rFonts w:ascii="Bookman Old Style" w:hAnsi="Bookman Old Style"/>
          <w:sz w:val="24"/>
          <w:szCs w:val="24"/>
        </w:rPr>
        <w:t>DUE CAPITAL AND SERVICES S.A.S</w:t>
      </w:r>
      <w:r w:rsidR="3F7C9B25" w:rsidRPr="043B6ADB">
        <w:rPr>
          <w:rFonts w:ascii="Bookman Old Style" w:hAnsi="Bookman Old Style"/>
          <w:sz w:val="24"/>
          <w:szCs w:val="24"/>
        </w:rPr>
        <w:t>.</w:t>
      </w:r>
      <w:r w:rsidR="00E2797D">
        <w:rPr>
          <w:rFonts w:ascii="Bookman Old Style" w:hAnsi="Bookman Old Style"/>
          <w:sz w:val="24"/>
          <w:szCs w:val="24"/>
        </w:rPr>
        <w:t>,</w:t>
      </w:r>
      <w:r w:rsidR="006C40CE" w:rsidRPr="043B6ADB">
        <w:rPr>
          <w:rFonts w:ascii="Bookman Old Style" w:hAnsi="Bookman Old Style"/>
          <w:sz w:val="24"/>
          <w:szCs w:val="24"/>
        </w:rPr>
        <w:t xml:space="preserve"> </w:t>
      </w:r>
      <w:r w:rsidR="00ED2AF3" w:rsidRPr="043B6ADB">
        <w:rPr>
          <w:rFonts w:ascii="Bookman Old Style" w:hAnsi="Bookman Old Style"/>
          <w:sz w:val="24"/>
          <w:szCs w:val="24"/>
        </w:rPr>
        <w:t xml:space="preserve">se refiere a la definición de un cargo de comercialización para </w:t>
      </w:r>
      <w:r w:rsidR="00C6049E" w:rsidRPr="043B6ADB">
        <w:rPr>
          <w:rFonts w:ascii="Bookman Old Style" w:hAnsi="Bookman Old Style"/>
          <w:sz w:val="24"/>
          <w:szCs w:val="24"/>
        </w:rPr>
        <w:t>un sistema h</w:t>
      </w:r>
      <w:r w:rsidR="007A5599" w:rsidRPr="043B6ADB">
        <w:rPr>
          <w:rFonts w:ascii="Bookman Old Style" w:hAnsi="Bookman Old Style"/>
          <w:sz w:val="24"/>
          <w:szCs w:val="24"/>
        </w:rPr>
        <w:t>í</w:t>
      </w:r>
      <w:r w:rsidR="00C6049E" w:rsidRPr="043B6ADB">
        <w:rPr>
          <w:rFonts w:ascii="Bookman Old Style" w:hAnsi="Bookman Old Style"/>
          <w:sz w:val="24"/>
          <w:szCs w:val="24"/>
        </w:rPr>
        <w:t xml:space="preserve">brido </w:t>
      </w:r>
      <w:r w:rsidR="00A33D94" w:rsidRPr="043B6ADB">
        <w:rPr>
          <w:rFonts w:ascii="Bookman Old Style" w:hAnsi="Bookman Old Style"/>
          <w:sz w:val="24"/>
          <w:szCs w:val="24"/>
        </w:rPr>
        <w:t>DIÉSEL - SOLAR FOTOVOLTAIC</w:t>
      </w:r>
      <w:r w:rsidR="00B27DE8">
        <w:rPr>
          <w:rFonts w:ascii="Bookman Old Style" w:hAnsi="Bookman Old Style"/>
          <w:sz w:val="24"/>
          <w:szCs w:val="24"/>
        </w:rPr>
        <w:t>O</w:t>
      </w:r>
      <w:r w:rsidR="00A33D94" w:rsidRPr="043B6ADB">
        <w:rPr>
          <w:rFonts w:ascii="Bookman Old Style" w:hAnsi="Bookman Old Style"/>
          <w:sz w:val="24"/>
          <w:szCs w:val="24"/>
        </w:rPr>
        <w:t xml:space="preserve"> </w:t>
      </w:r>
      <w:r w:rsidR="00ED2AF3" w:rsidRPr="043B6ADB">
        <w:rPr>
          <w:rFonts w:ascii="Bookman Old Style" w:hAnsi="Bookman Old Style"/>
          <w:sz w:val="24"/>
          <w:szCs w:val="24"/>
        </w:rPr>
        <w:t>ubicado en el centro poblado de Casuarito en el municipio de Puerto Carreño</w:t>
      </w:r>
      <w:r w:rsidR="005E673E" w:rsidRPr="043B6ADB">
        <w:rPr>
          <w:rFonts w:ascii="Bookman Old Style" w:hAnsi="Bookman Old Style"/>
          <w:sz w:val="24"/>
          <w:szCs w:val="24"/>
        </w:rPr>
        <w:t>,</w:t>
      </w:r>
      <w:r w:rsidR="00ED2AF3" w:rsidRPr="043B6ADB">
        <w:rPr>
          <w:rFonts w:ascii="Bookman Old Style" w:hAnsi="Bookman Old Style"/>
          <w:sz w:val="24"/>
          <w:szCs w:val="24"/>
        </w:rPr>
        <w:t xml:space="preserve"> y que </w:t>
      </w:r>
      <w:r w:rsidR="00B031BD" w:rsidRPr="043B6ADB">
        <w:rPr>
          <w:rFonts w:ascii="Bookman Old Style" w:hAnsi="Bookman Old Style"/>
          <w:sz w:val="24"/>
          <w:szCs w:val="24"/>
        </w:rPr>
        <w:t>el mismo</w:t>
      </w:r>
      <w:r w:rsidR="00ED2AF3" w:rsidRPr="043B6ADB">
        <w:rPr>
          <w:rFonts w:ascii="Bookman Old Style" w:hAnsi="Bookman Old Style"/>
          <w:sz w:val="24"/>
          <w:szCs w:val="24"/>
        </w:rPr>
        <w:t xml:space="preserve"> </w:t>
      </w:r>
      <w:r w:rsidR="00E63E5A" w:rsidRPr="043B6ADB">
        <w:rPr>
          <w:rFonts w:ascii="Bookman Old Style" w:hAnsi="Bookman Old Style"/>
          <w:sz w:val="24"/>
          <w:szCs w:val="24"/>
        </w:rPr>
        <w:t xml:space="preserve">no corresponde a ninguno de los casos previstos en los literales a, b o c del precitado artículo, encuentra </w:t>
      </w:r>
      <w:r w:rsidR="00B85F36" w:rsidRPr="043B6ADB">
        <w:rPr>
          <w:rFonts w:ascii="Bookman Old Style" w:hAnsi="Bookman Old Style"/>
          <w:sz w:val="24"/>
          <w:szCs w:val="24"/>
        </w:rPr>
        <w:t xml:space="preserve">esta Comisión </w:t>
      </w:r>
      <w:r w:rsidR="00E63E5A" w:rsidRPr="043B6ADB">
        <w:rPr>
          <w:rFonts w:ascii="Bookman Old Style" w:hAnsi="Bookman Old Style"/>
          <w:sz w:val="24"/>
          <w:szCs w:val="24"/>
        </w:rPr>
        <w:t xml:space="preserve">que </w:t>
      </w:r>
      <w:r w:rsidR="00B85F36" w:rsidRPr="043B6ADB">
        <w:rPr>
          <w:rFonts w:ascii="Bookman Old Style" w:hAnsi="Bookman Old Style"/>
          <w:sz w:val="24"/>
          <w:szCs w:val="24"/>
        </w:rPr>
        <w:t>tiene la competencia para definir</w:t>
      </w:r>
      <w:r w:rsidR="00A93715" w:rsidRPr="043B6ADB">
        <w:rPr>
          <w:rFonts w:ascii="Bookman Old Style" w:hAnsi="Bookman Old Style"/>
          <w:sz w:val="24"/>
          <w:szCs w:val="24"/>
        </w:rPr>
        <w:t>,</w:t>
      </w:r>
      <w:r w:rsidR="00B85F36" w:rsidRPr="043B6ADB">
        <w:rPr>
          <w:rFonts w:ascii="Bookman Old Style" w:hAnsi="Bookman Old Style"/>
          <w:sz w:val="24"/>
          <w:szCs w:val="24"/>
        </w:rPr>
        <w:t xml:space="preserve"> mediante resolución particular</w:t>
      </w:r>
      <w:r w:rsidR="00A93715" w:rsidRPr="043B6ADB">
        <w:rPr>
          <w:rFonts w:ascii="Bookman Old Style" w:hAnsi="Bookman Old Style"/>
          <w:sz w:val="24"/>
          <w:szCs w:val="24"/>
        </w:rPr>
        <w:t>,</w:t>
      </w:r>
      <w:r w:rsidR="00B85F36" w:rsidRPr="043B6ADB">
        <w:rPr>
          <w:rFonts w:ascii="Bookman Old Style" w:hAnsi="Bookman Old Style"/>
          <w:sz w:val="24"/>
          <w:szCs w:val="24"/>
        </w:rPr>
        <w:t xml:space="preserve"> los costos unitarios de inversión para sistemas híbridos y otras tecnologías de generación que no se encuentren definidos en la Resolución CREG 091 de 2007.</w:t>
      </w:r>
    </w:p>
    <w:p w14:paraId="527A8F31" w14:textId="77777777" w:rsidR="000C5DD0" w:rsidRPr="003F7981" w:rsidRDefault="000C5DD0"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42D41FFF" w14:textId="0BBB9C8B"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Así mismo, con respecto a los gastos de administración, operación y mantenimiento, en el artículo 24 de la Resolución CREG 091 de 2007 se establece lo siguiente:</w:t>
      </w:r>
    </w:p>
    <w:p w14:paraId="414A93FA" w14:textId="77777777" w:rsidR="00CB22F6" w:rsidRPr="003F7981" w:rsidRDefault="00CB22F6"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42C0C06B" w14:textId="77777777" w:rsidR="00E63E5A" w:rsidRPr="00560ACC" w:rsidRDefault="00E63E5A"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560ACC">
        <w:rPr>
          <w:rFonts w:ascii="Bookman Old Style" w:hAnsi="Bookman Old Style"/>
          <w:b/>
          <w:bCs/>
          <w:i/>
          <w:sz w:val="22"/>
          <w:szCs w:val="22"/>
        </w:rPr>
        <w:t>“Artículo 24. Remuneración de Gastos de Administración, Operación y Mantenimiento (AOM) para diferentes tecnologías de generación.</w:t>
      </w:r>
      <w:r w:rsidRPr="00560ACC">
        <w:rPr>
          <w:rFonts w:ascii="Bookman Old Style" w:hAnsi="Bookman Old Style"/>
          <w:i/>
          <w:sz w:val="22"/>
          <w:szCs w:val="22"/>
        </w:rPr>
        <w:t xml:space="preserve"> Los gastos de administración, operación y mantenimiento (AOM) para cada tecnología de generación se determinarán como se indica a continuación:</w:t>
      </w:r>
    </w:p>
    <w:p w14:paraId="77A2A63B" w14:textId="77777777" w:rsidR="00E63E5A" w:rsidRPr="00560ACC" w:rsidRDefault="00E63E5A"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p>
    <w:p w14:paraId="35D00BB6"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24.1 Gastos de administración y operación de generadores diésel operando con ACPM.</w:t>
      </w:r>
    </w:p>
    <w:p w14:paraId="095E1CB6"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24.2 Gastos de administración y operación de generadores diésel operando con fuel oil No. 6.</w:t>
      </w:r>
    </w:p>
    <w:p w14:paraId="7A80328D"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24.3 Gastos de administración, operación y mantenimiento de centrales hidroeléctricas a pequeña escala</w:t>
      </w:r>
    </w:p>
    <w:p w14:paraId="23205385"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24.4 Gastos de Administración, Operación y Mantenimiento de Sistemas Solares Fotovoltaicos.</w:t>
      </w:r>
    </w:p>
    <w:p w14:paraId="2A30D861" w14:textId="20CB4969"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24.5 Gastos de Administración, Operación y Mantenimiento para otras tecnologías de conversión”.</w:t>
      </w:r>
    </w:p>
    <w:p w14:paraId="0041FFD8" w14:textId="77777777" w:rsidR="00CB22F6" w:rsidRPr="003F7981" w:rsidRDefault="00CB22F6"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5A0B1C84" w14:textId="03376C4A" w:rsidR="00E63E5A" w:rsidRPr="003F7981" w:rsidRDefault="00ED7F05"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De acuerdo con</w:t>
      </w:r>
      <w:r w:rsidR="00E63E5A" w:rsidRPr="003F7981">
        <w:rPr>
          <w:rFonts w:ascii="Bookman Old Style" w:hAnsi="Bookman Old Style"/>
          <w:sz w:val="24"/>
          <w:szCs w:val="24"/>
        </w:rPr>
        <w:t xml:space="preserve"> el numeral 24.5</w:t>
      </w:r>
      <w:r w:rsidRPr="003F7981">
        <w:rPr>
          <w:rFonts w:ascii="Bookman Old Style" w:hAnsi="Bookman Old Style"/>
          <w:sz w:val="24"/>
          <w:szCs w:val="24"/>
        </w:rPr>
        <w:t xml:space="preserve"> “</w:t>
      </w:r>
      <w:r w:rsidRPr="003F7981">
        <w:rPr>
          <w:rFonts w:ascii="Bookman Old Style" w:hAnsi="Bookman Old Style"/>
          <w:i/>
          <w:iCs/>
          <w:sz w:val="24"/>
          <w:szCs w:val="24"/>
        </w:rPr>
        <w:t>l</w:t>
      </w:r>
      <w:r w:rsidR="00E63E5A" w:rsidRPr="003F7981">
        <w:rPr>
          <w:rFonts w:ascii="Bookman Old Style" w:hAnsi="Bookman Old Style"/>
          <w:i/>
          <w:iCs/>
          <w:sz w:val="24"/>
          <w:szCs w:val="24"/>
        </w:rPr>
        <w:t xml:space="preserve">os costos unitarios de </w:t>
      </w:r>
      <w:r w:rsidRPr="003F7981">
        <w:rPr>
          <w:rFonts w:ascii="Bookman Old Style" w:hAnsi="Bookman Old Style"/>
          <w:i/>
          <w:iCs/>
          <w:sz w:val="24"/>
          <w:szCs w:val="24"/>
        </w:rPr>
        <w:t>a</w:t>
      </w:r>
      <w:r w:rsidR="00E63E5A" w:rsidRPr="003F7981">
        <w:rPr>
          <w:rFonts w:ascii="Bookman Old Style" w:hAnsi="Bookman Old Style"/>
          <w:i/>
          <w:iCs/>
          <w:sz w:val="24"/>
          <w:szCs w:val="24"/>
        </w:rPr>
        <w:t xml:space="preserve">dministración, </w:t>
      </w:r>
      <w:r w:rsidRPr="003F7981">
        <w:rPr>
          <w:rFonts w:ascii="Bookman Old Style" w:hAnsi="Bookman Old Style"/>
          <w:i/>
          <w:iCs/>
          <w:sz w:val="24"/>
          <w:szCs w:val="24"/>
        </w:rPr>
        <w:t>o</w:t>
      </w:r>
      <w:r w:rsidR="00E63E5A" w:rsidRPr="003F7981">
        <w:rPr>
          <w:rFonts w:ascii="Bookman Old Style" w:hAnsi="Bookman Old Style"/>
          <w:i/>
          <w:iCs/>
          <w:sz w:val="24"/>
          <w:szCs w:val="24"/>
        </w:rPr>
        <w:t xml:space="preserve">peración y </w:t>
      </w:r>
      <w:r w:rsidRPr="003F7981">
        <w:rPr>
          <w:rFonts w:ascii="Bookman Old Style" w:hAnsi="Bookman Old Style"/>
          <w:i/>
          <w:iCs/>
          <w:sz w:val="24"/>
          <w:szCs w:val="24"/>
        </w:rPr>
        <w:t>m</w:t>
      </w:r>
      <w:r w:rsidR="00E63E5A" w:rsidRPr="003F7981">
        <w:rPr>
          <w:rFonts w:ascii="Bookman Old Style" w:hAnsi="Bookman Old Style"/>
          <w:i/>
          <w:iCs/>
          <w:sz w:val="24"/>
          <w:szCs w:val="24"/>
        </w:rPr>
        <w:t xml:space="preserve">antenimiento para tecnologías de generación no definidos en la presente </w:t>
      </w:r>
      <w:r w:rsidR="000360EB" w:rsidRPr="003F7981">
        <w:rPr>
          <w:rFonts w:ascii="Bookman Old Style" w:hAnsi="Bookman Old Style"/>
          <w:i/>
          <w:iCs/>
          <w:sz w:val="24"/>
          <w:szCs w:val="24"/>
        </w:rPr>
        <w:t>resolución</w:t>
      </w:r>
      <w:r w:rsidR="00E63E5A" w:rsidRPr="003F7981">
        <w:rPr>
          <w:rFonts w:ascii="Bookman Old Style" w:hAnsi="Bookman Old Style"/>
          <w:i/>
          <w:iCs/>
          <w:sz w:val="24"/>
          <w:szCs w:val="24"/>
        </w:rPr>
        <w:t xml:space="preserve"> podrán solicitarse a la Comisión, quien los definirá en Resolución particular</w:t>
      </w:r>
      <w:r w:rsidR="00E63E5A" w:rsidRPr="003F7981">
        <w:rPr>
          <w:rFonts w:ascii="Bookman Old Style" w:hAnsi="Bookman Old Style"/>
          <w:sz w:val="24"/>
          <w:szCs w:val="24"/>
        </w:rPr>
        <w:t>”</w:t>
      </w:r>
      <w:r w:rsidR="004D28B1" w:rsidRPr="003F7981">
        <w:rPr>
          <w:rFonts w:ascii="Bookman Old Style" w:hAnsi="Bookman Old Style"/>
          <w:sz w:val="24"/>
          <w:szCs w:val="24"/>
        </w:rPr>
        <w:t>.</w:t>
      </w:r>
    </w:p>
    <w:p w14:paraId="180B498E" w14:textId="77777777"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4119412" w14:textId="4FF4BAEB"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Por otra parte, la precitada resolución</w:t>
      </w:r>
      <w:r w:rsidR="00A93715" w:rsidRPr="003F7981">
        <w:rPr>
          <w:rFonts w:ascii="Bookman Old Style" w:hAnsi="Bookman Old Style"/>
          <w:sz w:val="24"/>
          <w:szCs w:val="24"/>
        </w:rPr>
        <w:t>,</w:t>
      </w:r>
      <w:r w:rsidRPr="003F7981">
        <w:rPr>
          <w:rFonts w:ascii="Bookman Old Style" w:hAnsi="Bookman Old Style"/>
          <w:sz w:val="24"/>
          <w:szCs w:val="24"/>
        </w:rPr>
        <w:t xml:space="preserve"> en su artículo 25</w:t>
      </w:r>
      <w:r w:rsidR="00A93715" w:rsidRPr="003F7981">
        <w:rPr>
          <w:rFonts w:ascii="Bookman Old Style" w:hAnsi="Bookman Old Style"/>
          <w:sz w:val="24"/>
          <w:szCs w:val="24"/>
        </w:rPr>
        <w:t>,</w:t>
      </w:r>
      <w:r w:rsidRPr="003F7981">
        <w:rPr>
          <w:rFonts w:ascii="Bookman Old Style" w:hAnsi="Bookman Old Style"/>
          <w:sz w:val="24"/>
          <w:szCs w:val="24"/>
        </w:rPr>
        <w:t xml:space="preserve"> establece lo siguiente:</w:t>
      </w:r>
    </w:p>
    <w:p w14:paraId="316A34F5" w14:textId="77777777"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527E5A3E" w14:textId="77777777" w:rsidR="00065952"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t>“</w:t>
      </w:r>
      <w:r w:rsidRPr="003F7981">
        <w:rPr>
          <w:rFonts w:ascii="Bookman Old Style" w:hAnsi="Bookman Old Style"/>
          <w:b/>
          <w:bCs/>
          <w:i/>
          <w:sz w:val="22"/>
          <w:szCs w:val="22"/>
        </w:rPr>
        <w:t>Artículo 25. Fórmula de Actualización de Cargos Máximos de Generación.</w:t>
      </w:r>
      <w:r w:rsidRPr="003F7981">
        <w:rPr>
          <w:rFonts w:ascii="Bookman Old Style" w:hAnsi="Bookman Old Style"/>
          <w:i/>
          <w:sz w:val="22"/>
          <w:szCs w:val="22"/>
        </w:rPr>
        <w:t> Los Cargos Máximos de Generación expresados en pesos de la Fecha Base, se actualizarán con las siguientes fórmulas generales:</w:t>
      </w:r>
    </w:p>
    <w:p w14:paraId="5458E20D" w14:textId="77777777" w:rsidR="00593565" w:rsidRPr="003F7981" w:rsidRDefault="00593565"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p>
    <w:p w14:paraId="70E4EB48" w14:textId="77777777" w:rsidR="00065952"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t>a) Fórmula de Actualización de Cargos Máximos para Generación Diésel</w:t>
      </w:r>
    </w:p>
    <w:p w14:paraId="531F75C5" w14:textId="4CA3DA7B" w:rsidR="00AD369B"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t>b) Fórmula de Actualización de Cargos Máximos de Generación para Centrales Hidroeléctricas a Pequeña Escala</w:t>
      </w:r>
    </w:p>
    <w:p w14:paraId="7089F31F" w14:textId="77777777" w:rsidR="00065952"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t>c) Fórmula de Actualización de Cargos Máximos de Generación para Soluciones Fotovoltaicas Individuales”</w:t>
      </w:r>
      <w:r w:rsidR="004D28B1" w:rsidRPr="003F7981">
        <w:rPr>
          <w:rFonts w:ascii="Bookman Old Style" w:hAnsi="Bookman Old Style"/>
          <w:i/>
          <w:sz w:val="22"/>
          <w:szCs w:val="22"/>
        </w:rPr>
        <w:t>.</w:t>
      </w:r>
    </w:p>
    <w:p w14:paraId="7740D90E" w14:textId="77777777"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i/>
          <w:sz w:val="24"/>
          <w:szCs w:val="24"/>
        </w:rPr>
      </w:pPr>
    </w:p>
    <w:p w14:paraId="0DD3E467" w14:textId="3DE8619C"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7D2FC5">
        <w:rPr>
          <w:rFonts w:ascii="Bookman Old Style" w:hAnsi="Bookman Old Style"/>
          <w:sz w:val="24"/>
          <w:szCs w:val="24"/>
        </w:rPr>
        <w:t>En este contexto</w:t>
      </w:r>
      <w:r w:rsidR="00A93715" w:rsidRPr="007D2FC5">
        <w:rPr>
          <w:rFonts w:ascii="Bookman Old Style" w:hAnsi="Bookman Old Style"/>
          <w:sz w:val="24"/>
          <w:szCs w:val="24"/>
        </w:rPr>
        <w:t>,</w:t>
      </w:r>
      <w:r w:rsidRPr="007D2FC5">
        <w:rPr>
          <w:rFonts w:ascii="Bookman Old Style" w:hAnsi="Bookman Old Style"/>
          <w:sz w:val="24"/>
          <w:szCs w:val="24"/>
        </w:rPr>
        <w:t xml:space="preserve"> se identifica que las fórmulas de actualización de cargos máximos de generación definidas en el artículo 25, tampoco considera</w:t>
      </w:r>
      <w:r w:rsidR="00ED2AF3" w:rsidRPr="007D2FC5">
        <w:rPr>
          <w:rFonts w:ascii="Bookman Old Style" w:hAnsi="Bookman Old Style"/>
          <w:sz w:val="24"/>
          <w:szCs w:val="24"/>
        </w:rPr>
        <w:t>n</w:t>
      </w:r>
      <w:r w:rsidRPr="007D2FC5">
        <w:rPr>
          <w:rFonts w:ascii="Bookman Old Style" w:hAnsi="Bookman Old Style"/>
          <w:sz w:val="24"/>
          <w:szCs w:val="24"/>
        </w:rPr>
        <w:t xml:space="preserve"> una f</w:t>
      </w:r>
      <w:r w:rsidR="00660EA5" w:rsidRPr="007D2FC5">
        <w:rPr>
          <w:rFonts w:ascii="Bookman Old Style" w:hAnsi="Bookman Old Style"/>
          <w:sz w:val="24"/>
          <w:szCs w:val="24"/>
        </w:rPr>
        <w:t>orma</w:t>
      </w:r>
      <w:r w:rsidRPr="007D2FC5">
        <w:rPr>
          <w:rFonts w:ascii="Bookman Old Style" w:hAnsi="Bookman Old Style"/>
          <w:sz w:val="24"/>
          <w:szCs w:val="24"/>
        </w:rPr>
        <w:t xml:space="preserve"> de actualización para el tipo </w:t>
      </w:r>
      <w:r w:rsidR="00ED2AF3" w:rsidRPr="007D2FC5">
        <w:rPr>
          <w:rFonts w:ascii="Bookman Old Style" w:hAnsi="Bookman Old Style"/>
          <w:sz w:val="24"/>
          <w:szCs w:val="24"/>
        </w:rPr>
        <w:t xml:space="preserve">de generación </w:t>
      </w:r>
      <w:r w:rsidR="000973AA" w:rsidRPr="007D2FC5">
        <w:rPr>
          <w:rFonts w:ascii="Bookman Old Style" w:hAnsi="Bookman Old Style"/>
          <w:sz w:val="24"/>
          <w:szCs w:val="24"/>
        </w:rPr>
        <w:t>enunciada</w:t>
      </w:r>
      <w:r w:rsidR="00ED2AF3" w:rsidRPr="007D2FC5">
        <w:rPr>
          <w:rFonts w:ascii="Bookman Old Style" w:hAnsi="Bookman Old Style"/>
          <w:sz w:val="24"/>
          <w:szCs w:val="24"/>
        </w:rPr>
        <w:t xml:space="preserve"> en la solicitud </w:t>
      </w:r>
      <w:r w:rsidR="000973AA" w:rsidRPr="007D2FC5">
        <w:rPr>
          <w:rFonts w:ascii="Bookman Old Style" w:hAnsi="Bookman Old Style"/>
          <w:sz w:val="24"/>
          <w:szCs w:val="24"/>
        </w:rPr>
        <w:t xml:space="preserve">presentada por </w:t>
      </w:r>
      <w:r w:rsidR="00645584" w:rsidRPr="00645584">
        <w:rPr>
          <w:rFonts w:ascii="Bookman Old Style" w:hAnsi="Bookman Old Style"/>
          <w:sz w:val="24"/>
          <w:szCs w:val="24"/>
        </w:rPr>
        <w:t>DUE CAPITAL AND SERVICES S.A.S.</w:t>
      </w:r>
      <w:r w:rsidR="528F7846" w:rsidRPr="007D2FC5">
        <w:rPr>
          <w:rFonts w:ascii="Bookman Old Style" w:hAnsi="Bookman Old Style"/>
          <w:sz w:val="24"/>
          <w:szCs w:val="24"/>
        </w:rPr>
        <w:t>,</w:t>
      </w:r>
      <w:r w:rsidRPr="007D2FC5">
        <w:rPr>
          <w:rFonts w:ascii="Bookman Old Style" w:hAnsi="Bookman Old Style"/>
          <w:sz w:val="24"/>
          <w:szCs w:val="24"/>
        </w:rPr>
        <w:t xml:space="preserve"> lo cual será objeto de análisis en la presente resolución.</w:t>
      </w:r>
      <w:r w:rsidRPr="003F7981">
        <w:rPr>
          <w:rFonts w:ascii="Bookman Old Style" w:hAnsi="Bookman Old Style"/>
          <w:sz w:val="24"/>
          <w:szCs w:val="24"/>
        </w:rPr>
        <w:t xml:space="preserve"> </w:t>
      </w:r>
    </w:p>
    <w:p w14:paraId="39942309" w14:textId="77777777" w:rsidR="00A558DD" w:rsidRPr="003F7981" w:rsidRDefault="00A558DD"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16315E4D" w14:textId="3511B808" w:rsidR="004175D5" w:rsidRPr="003F7981" w:rsidRDefault="009871F8"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D</w:t>
      </w:r>
      <w:r w:rsidR="004175D5" w:rsidRPr="003F7981">
        <w:rPr>
          <w:rFonts w:ascii="Bookman Old Style" w:hAnsi="Bookman Old Style"/>
          <w:sz w:val="24"/>
          <w:szCs w:val="24"/>
        </w:rPr>
        <w:t>e acuerdo con las competencias de esta Comisión</w:t>
      </w:r>
      <w:r w:rsidR="00EE5170" w:rsidRPr="003F7981">
        <w:rPr>
          <w:rFonts w:ascii="Bookman Old Style" w:hAnsi="Bookman Old Style"/>
          <w:sz w:val="24"/>
          <w:szCs w:val="24"/>
        </w:rPr>
        <w:t>,</w:t>
      </w:r>
      <w:r w:rsidR="004175D5" w:rsidRPr="003F7981">
        <w:rPr>
          <w:rFonts w:ascii="Bookman Old Style" w:hAnsi="Bookman Old Style"/>
          <w:sz w:val="24"/>
          <w:szCs w:val="24"/>
        </w:rPr>
        <w:t xml:space="preserve"> </w:t>
      </w:r>
      <w:r w:rsidR="00A366C7" w:rsidRPr="003F7981">
        <w:rPr>
          <w:rFonts w:ascii="Bookman Old Style" w:hAnsi="Bookman Old Style"/>
          <w:sz w:val="24"/>
          <w:szCs w:val="24"/>
        </w:rPr>
        <w:t xml:space="preserve">y teniendo en cuenta los criterios tarifarios definidos en el artículo 87 de la Ley 142 de 1994, en particular </w:t>
      </w:r>
      <w:r w:rsidR="000973AA" w:rsidRPr="003F7981">
        <w:rPr>
          <w:rFonts w:ascii="Bookman Old Style" w:hAnsi="Bookman Old Style"/>
          <w:sz w:val="24"/>
          <w:szCs w:val="24"/>
        </w:rPr>
        <w:t xml:space="preserve">los </w:t>
      </w:r>
      <w:r w:rsidR="00A366C7" w:rsidRPr="003F7981">
        <w:rPr>
          <w:rFonts w:ascii="Bookman Old Style" w:hAnsi="Bookman Old Style"/>
          <w:sz w:val="24"/>
          <w:szCs w:val="24"/>
        </w:rPr>
        <w:t>de eficiencia económica</w:t>
      </w:r>
      <w:r w:rsidR="000973AA" w:rsidRPr="003F7981">
        <w:rPr>
          <w:rFonts w:ascii="Bookman Old Style" w:hAnsi="Bookman Old Style"/>
          <w:sz w:val="24"/>
          <w:szCs w:val="24"/>
        </w:rPr>
        <w:t xml:space="preserve"> y suficiencia financiera</w:t>
      </w:r>
      <w:r w:rsidR="00A366C7" w:rsidRPr="003F7981">
        <w:rPr>
          <w:rFonts w:ascii="Bookman Old Style" w:hAnsi="Bookman Old Style"/>
          <w:sz w:val="24"/>
          <w:szCs w:val="24"/>
        </w:rPr>
        <w:t xml:space="preserve">, </w:t>
      </w:r>
      <w:r w:rsidR="0037544D" w:rsidRPr="003F7981">
        <w:rPr>
          <w:rFonts w:ascii="Bookman Old Style" w:hAnsi="Bookman Old Style"/>
          <w:sz w:val="24"/>
          <w:szCs w:val="24"/>
        </w:rPr>
        <w:t>en</w:t>
      </w:r>
      <w:r w:rsidR="00A366C7" w:rsidRPr="003F7981">
        <w:rPr>
          <w:rFonts w:ascii="Bookman Old Style" w:hAnsi="Bookman Old Style"/>
          <w:sz w:val="24"/>
          <w:szCs w:val="24"/>
        </w:rPr>
        <w:t xml:space="preserve"> esta actuación administrativa</w:t>
      </w:r>
      <w:r w:rsidR="000973AA" w:rsidRPr="003F7981">
        <w:rPr>
          <w:rFonts w:ascii="Bookman Old Style" w:hAnsi="Bookman Old Style"/>
          <w:sz w:val="24"/>
          <w:szCs w:val="24"/>
        </w:rPr>
        <w:t xml:space="preserve"> se definirá</w:t>
      </w:r>
      <w:r w:rsidR="00A366C7" w:rsidRPr="003F7981">
        <w:rPr>
          <w:rFonts w:ascii="Bookman Old Style" w:hAnsi="Bookman Old Style"/>
          <w:sz w:val="24"/>
          <w:szCs w:val="24"/>
        </w:rPr>
        <w:t xml:space="preserve"> el cargo de </w:t>
      </w:r>
      <w:r w:rsidR="00B80D7E">
        <w:rPr>
          <w:rFonts w:ascii="Bookman Old Style" w:hAnsi="Bookman Old Style"/>
          <w:sz w:val="24"/>
          <w:szCs w:val="24"/>
        </w:rPr>
        <w:t>comercialización</w:t>
      </w:r>
      <w:r w:rsidR="00A366C7" w:rsidRPr="003F7981">
        <w:rPr>
          <w:rFonts w:ascii="Bookman Old Style" w:hAnsi="Bookman Old Style"/>
          <w:sz w:val="24"/>
          <w:szCs w:val="24"/>
        </w:rPr>
        <w:t xml:space="preserve"> en su totalidad, incluyendo el costo de inversión y </w:t>
      </w:r>
      <w:r w:rsidR="00A93715" w:rsidRPr="003F7981">
        <w:rPr>
          <w:rFonts w:ascii="Bookman Old Style" w:hAnsi="Bookman Old Style"/>
          <w:sz w:val="24"/>
          <w:szCs w:val="24"/>
        </w:rPr>
        <w:t xml:space="preserve">los </w:t>
      </w:r>
      <w:r w:rsidR="00A366C7" w:rsidRPr="003F7981">
        <w:rPr>
          <w:rFonts w:ascii="Bookman Old Style" w:hAnsi="Bookman Old Style"/>
          <w:sz w:val="24"/>
          <w:szCs w:val="24"/>
        </w:rPr>
        <w:t>gastos de</w:t>
      </w:r>
      <w:r w:rsidR="00643867" w:rsidRPr="003F7981">
        <w:rPr>
          <w:rFonts w:ascii="Bookman Old Style" w:hAnsi="Bookman Old Style"/>
          <w:sz w:val="24"/>
          <w:szCs w:val="24"/>
        </w:rPr>
        <w:t xml:space="preserve"> administración, operación y mantenimiento</w:t>
      </w:r>
      <w:r w:rsidR="00A93715" w:rsidRPr="003F7981">
        <w:rPr>
          <w:rFonts w:ascii="Bookman Old Style" w:hAnsi="Bookman Old Style"/>
          <w:sz w:val="24"/>
          <w:szCs w:val="24"/>
        </w:rPr>
        <w:t>,</w:t>
      </w:r>
      <w:r w:rsidR="0029263A" w:rsidRPr="003F7981">
        <w:rPr>
          <w:rFonts w:ascii="Bookman Old Style" w:hAnsi="Bookman Old Style"/>
          <w:sz w:val="24"/>
          <w:szCs w:val="24"/>
        </w:rPr>
        <w:t xml:space="preserve"> aplicable para el cálculo de costo unitario de prestación del servicio de los usuarios ubicados en el mercado </w:t>
      </w:r>
      <w:r w:rsidR="002A193A" w:rsidRPr="003F7981">
        <w:rPr>
          <w:rFonts w:ascii="Bookman Old Style" w:hAnsi="Bookman Old Style"/>
          <w:sz w:val="24"/>
          <w:szCs w:val="24"/>
        </w:rPr>
        <w:t>relevante</w:t>
      </w:r>
      <w:r w:rsidR="0029263A" w:rsidRPr="003F7981">
        <w:rPr>
          <w:rFonts w:ascii="Bookman Old Style" w:hAnsi="Bookman Old Style"/>
          <w:sz w:val="24"/>
          <w:szCs w:val="24"/>
        </w:rPr>
        <w:t xml:space="preserve"> </w:t>
      </w:r>
      <w:r w:rsidR="0003185B" w:rsidRPr="003F7981">
        <w:rPr>
          <w:rFonts w:ascii="Bookman Old Style" w:hAnsi="Bookman Old Style"/>
          <w:sz w:val="24"/>
          <w:szCs w:val="24"/>
        </w:rPr>
        <w:t>de comercialización</w:t>
      </w:r>
      <w:r w:rsidR="0003185B">
        <w:rPr>
          <w:rFonts w:ascii="Bookman Old Style" w:hAnsi="Bookman Old Style"/>
          <w:sz w:val="24"/>
          <w:szCs w:val="24"/>
        </w:rPr>
        <w:t xml:space="preserve"> que atiende el </w:t>
      </w:r>
      <w:r w:rsidR="00B80D7E">
        <w:rPr>
          <w:rFonts w:ascii="Bookman Old Style" w:hAnsi="Bookman Old Style"/>
          <w:sz w:val="24"/>
          <w:szCs w:val="24"/>
        </w:rPr>
        <w:t>centro poblado de Casuarito en el municipio</w:t>
      </w:r>
      <w:r w:rsidR="002A193A" w:rsidRPr="003F7981">
        <w:rPr>
          <w:rFonts w:ascii="Bookman Old Style" w:hAnsi="Bookman Old Style"/>
          <w:sz w:val="24"/>
          <w:szCs w:val="24"/>
        </w:rPr>
        <w:t xml:space="preserve"> de </w:t>
      </w:r>
      <w:r w:rsidR="000D3C37" w:rsidRPr="003F7981">
        <w:rPr>
          <w:rFonts w:ascii="Bookman Old Style" w:hAnsi="Bookman Old Style"/>
          <w:sz w:val="24"/>
          <w:szCs w:val="24"/>
        </w:rPr>
        <w:t>Puerto Carreño</w:t>
      </w:r>
      <w:r w:rsidR="0029263A" w:rsidRPr="003F7981">
        <w:rPr>
          <w:rFonts w:ascii="Bookman Old Style" w:hAnsi="Bookman Old Style"/>
          <w:sz w:val="24"/>
          <w:szCs w:val="24"/>
        </w:rPr>
        <w:t>,</w:t>
      </w:r>
      <w:r w:rsidR="006B25AF" w:rsidRPr="003F7981">
        <w:rPr>
          <w:rFonts w:ascii="Bookman Old Style" w:hAnsi="Bookman Old Style"/>
          <w:sz w:val="24"/>
          <w:szCs w:val="24"/>
        </w:rPr>
        <w:t xml:space="preserve"> a partir de la mejor información disponible</w:t>
      </w:r>
      <w:r w:rsidR="00A366C7" w:rsidRPr="003F7981">
        <w:rPr>
          <w:rFonts w:ascii="Bookman Old Style" w:hAnsi="Bookman Old Style"/>
          <w:sz w:val="24"/>
          <w:szCs w:val="24"/>
        </w:rPr>
        <w:t xml:space="preserve">, con el fin de dar señales adecuadas que </w:t>
      </w:r>
      <w:r w:rsidR="00D24427" w:rsidRPr="003F7981">
        <w:rPr>
          <w:rFonts w:ascii="Bookman Old Style" w:hAnsi="Bookman Old Style"/>
          <w:sz w:val="24"/>
          <w:szCs w:val="24"/>
        </w:rPr>
        <w:t>reflejen la estructura de costos económicos que acarrea la prestación del servicio</w:t>
      </w:r>
      <w:r w:rsidR="004A0B3B" w:rsidRPr="003F7981">
        <w:rPr>
          <w:rFonts w:ascii="Bookman Old Style" w:hAnsi="Bookman Old Style"/>
          <w:sz w:val="24"/>
          <w:szCs w:val="24"/>
        </w:rPr>
        <w:t xml:space="preserve">, </w:t>
      </w:r>
      <w:r w:rsidR="00E768EC">
        <w:rPr>
          <w:rFonts w:ascii="Bookman Old Style" w:hAnsi="Bookman Old Style"/>
          <w:sz w:val="24"/>
          <w:szCs w:val="24"/>
        </w:rPr>
        <w:t>adicionalmente que</w:t>
      </w:r>
      <w:r w:rsidR="00EE3EA3" w:rsidRPr="003F7981">
        <w:rPr>
          <w:rFonts w:ascii="Bookman Old Style" w:hAnsi="Bookman Old Style"/>
          <w:sz w:val="24"/>
          <w:szCs w:val="24"/>
        </w:rPr>
        <w:t xml:space="preserve"> permita utilizar las tecnologías y sistemas administrativos que garanticen la mejor calidad, continuidad y seguridad a los usuarios</w:t>
      </w:r>
      <w:r w:rsidR="00D24427" w:rsidRPr="003F7981">
        <w:rPr>
          <w:rFonts w:ascii="Bookman Old Style" w:hAnsi="Bookman Old Style"/>
          <w:sz w:val="24"/>
          <w:szCs w:val="24"/>
        </w:rPr>
        <w:t>.</w:t>
      </w:r>
    </w:p>
    <w:p w14:paraId="6E172DD2" w14:textId="1276D0FE" w:rsidR="2CB5FD44" w:rsidRPr="003F7981" w:rsidRDefault="2CB5FD44" w:rsidP="004D377E">
      <w:pPr>
        <w:pStyle w:val="Style2"/>
        <w:shd w:val="clear" w:color="auto" w:fill="auto"/>
        <w:spacing w:before="0" w:line="240" w:lineRule="auto"/>
        <w:ind w:right="6" w:firstLine="0"/>
        <w:contextualSpacing/>
        <w:jc w:val="both"/>
        <w:rPr>
          <w:rFonts w:ascii="Bookman Old Style" w:hAnsi="Bookman Old Style"/>
          <w:sz w:val="24"/>
          <w:szCs w:val="24"/>
        </w:rPr>
      </w:pPr>
    </w:p>
    <w:p w14:paraId="3737A44B" w14:textId="59FDE853" w:rsidR="2CB5FD44" w:rsidRPr="003F7981" w:rsidRDefault="2CB5FD44" w:rsidP="2CB5FD44">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Por otra parte, es importante resaltar que un cargo de </w:t>
      </w:r>
      <w:r w:rsidR="00B80D7E">
        <w:rPr>
          <w:rFonts w:ascii="Bookman Old Style" w:hAnsi="Bookman Old Style"/>
          <w:sz w:val="24"/>
          <w:szCs w:val="24"/>
        </w:rPr>
        <w:t>comercialización</w:t>
      </w:r>
      <w:r w:rsidRPr="003F7981">
        <w:rPr>
          <w:rFonts w:ascii="Bookman Old Style" w:hAnsi="Bookman Old Style"/>
          <w:sz w:val="24"/>
          <w:szCs w:val="24"/>
        </w:rPr>
        <w:t xml:space="preserve"> es simplemente la aplicabilidad de la metodología tarifaria de carácter general que fija un precio máximo dirigido a los usuarios y</w:t>
      </w:r>
      <w:r w:rsidR="00E500F4">
        <w:rPr>
          <w:rFonts w:ascii="Bookman Old Style" w:hAnsi="Bookman Old Style"/>
          <w:sz w:val="24"/>
          <w:szCs w:val="24"/>
        </w:rPr>
        <w:t>,</w:t>
      </w:r>
      <w:r w:rsidRPr="003F7981">
        <w:rPr>
          <w:rFonts w:ascii="Bookman Old Style" w:hAnsi="Bookman Old Style"/>
          <w:sz w:val="24"/>
          <w:szCs w:val="24"/>
        </w:rPr>
        <w:t xml:space="preserve"> por tanto</w:t>
      </w:r>
      <w:r w:rsidR="00E500F4">
        <w:rPr>
          <w:rFonts w:ascii="Bookman Old Style" w:hAnsi="Bookman Old Style"/>
          <w:sz w:val="24"/>
          <w:szCs w:val="24"/>
        </w:rPr>
        <w:t>,</w:t>
      </w:r>
      <w:r w:rsidRPr="003F7981">
        <w:rPr>
          <w:rFonts w:ascii="Bookman Old Style" w:hAnsi="Bookman Old Style"/>
          <w:sz w:val="24"/>
          <w:szCs w:val="24"/>
        </w:rPr>
        <w:t xml:space="preserve"> no se constituye en un derecho adquirido</w:t>
      </w:r>
      <w:r w:rsidR="00044A6F">
        <w:rPr>
          <w:rFonts w:ascii="Bookman Old Style" w:hAnsi="Bookman Old Style"/>
          <w:sz w:val="24"/>
          <w:szCs w:val="24"/>
        </w:rPr>
        <w:t>.</w:t>
      </w:r>
      <w:r w:rsidRPr="003F7981">
        <w:rPr>
          <w:rFonts w:ascii="Bookman Old Style" w:hAnsi="Bookman Old Style"/>
          <w:sz w:val="24"/>
          <w:szCs w:val="24"/>
        </w:rPr>
        <w:t xml:space="preserve"> En este mismo sentido</w:t>
      </w:r>
      <w:r w:rsidR="00044A6F">
        <w:rPr>
          <w:rFonts w:ascii="Bookman Old Style" w:hAnsi="Bookman Old Style"/>
          <w:sz w:val="24"/>
          <w:szCs w:val="24"/>
        </w:rPr>
        <w:t>,</w:t>
      </w:r>
      <w:r w:rsidRPr="003F7981">
        <w:rPr>
          <w:rFonts w:ascii="Bookman Old Style" w:hAnsi="Bookman Old Style"/>
          <w:sz w:val="24"/>
          <w:szCs w:val="24"/>
        </w:rPr>
        <w:t xml:space="preserve"> se señala que la elección del prestador del servicio es libre y de escogencia en el mercado, por cuanto la zona solicitada no corresponde a un área de servicio exclusivo, tal y como se mencionó anteriormente.</w:t>
      </w:r>
    </w:p>
    <w:p w14:paraId="10D447E5" w14:textId="31D9BCE4" w:rsidR="2CB5FD44" w:rsidRPr="003F7981" w:rsidRDefault="2CB5FD44" w:rsidP="2CB5FD44">
      <w:pPr>
        <w:pStyle w:val="Style2"/>
        <w:shd w:val="clear" w:color="auto" w:fill="auto"/>
        <w:spacing w:before="0" w:line="240" w:lineRule="auto"/>
        <w:ind w:left="284" w:right="6" w:firstLine="0"/>
        <w:contextualSpacing/>
        <w:jc w:val="both"/>
        <w:rPr>
          <w:rFonts w:ascii="Bookman Old Style" w:hAnsi="Bookman Old Style"/>
          <w:sz w:val="24"/>
          <w:szCs w:val="24"/>
        </w:rPr>
      </w:pPr>
    </w:p>
    <w:p w14:paraId="254F2C6F" w14:textId="77585616" w:rsidR="00536BD9" w:rsidRPr="003F7981" w:rsidRDefault="00031A48" w:rsidP="00CF067A">
      <w:pPr>
        <w:pStyle w:val="Style2"/>
        <w:shd w:val="clear" w:color="auto" w:fill="auto"/>
        <w:spacing w:before="0" w:line="240" w:lineRule="auto"/>
        <w:ind w:left="284" w:right="6" w:firstLine="0"/>
        <w:contextualSpacing/>
        <w:jc w:val="both"/>
        <w:rPr>
          <w:rFonts w:ascii="Bookman Old Style" w:hAnsi="Bookman Old Style"/>
          <w:sz w:val="24"/>
          <w:szCs w:val="24"/>
          <w:lang w:val="es-MX"/>
        </w:rPr>
      </w:pPr>
      <w:r w:rsidRPr="003F7981">
        <w:rPr>
          <w:rFonts w:ascii="Bookman Old Style" w:hAnsi="Bookman Old Style"/>
          <w:sz w:val="24"/>
          <w:szCs w:val="24"/>
          <w:lang w:val="es-MX"/>
        </w:rPr>
        <w:t xml:space="preserve">Así las cosas, el </w:t>
      </w:r>
      <w:r w:rsidR="00536BD9" w:rsidRPr="003F7981">
        <w:rPr>
          <w:rFonts w:ascii="Bookman Old Style" w:hAnsi="Bookman Old Style"/>
          <w:sz w:val="24"/>
          <w:szCs w:val="24"/>
          <w:lang w:val="es-MX"/>
        </w:rPr>
        <w:t>cargo</w:t>
      </w:r>
      <w:r w:rsidR="00801F28" w:rsidRPr="003F7981">
        <w:rPr>
          <w:rFonts w:ascii="Bookman Old Style" w:hAnsi="Bookman Old Style"/>
          <w:sz w:val="24"/>
          <w:szCs w:val="24"/>
          <w:lang w:val="es-MX"/>
        </w:rPr>
        <w:t xml:space="preserve"> de </w:t>
      </w:r>
      <w:r w:rsidR="00B80D7E">
        <w:rPr>
          <w:rFonts w:ascii="Bookman Old Style" w:hAnsi="Bookman Old Style"/>
          <w:sz w:val="24"/>
          <w:szCs w:val="24"/>
          <w:lang w:val="es-MX"/>
        </w:rPr>
        <w:t>comercialización</w:t>
      </w:r>
      <w:r w:rsidR="00536BD9" w:rsidRPr="003F7981">
        <w:rPr>
          <w:rFonts w:ascii="Bookman Old Style" w:hAnsi="Bookman Old Style"/>
          <w:sz w:val="24"/>
          <w:szCs w:val="24"/>
          <w:lang w:val="es-MX"/>
        </w:rPr>
        <w:t xml:space="preserve"> aprobado</w:t>
      </w:r>
      <w:r w:rsidR="00707C70" w:rsidRPr="003F7981">
        <w:rPr>
          <w:rFonts w:ascii="Bookman Old Style" w:hAnsi="Bookman Old Style"/>
          <w:sz w:val="24"/>
          <w:szCs w:val="24"/>
          <w:lang w:val="es-MX"/>
        </w:rPr>
        <w:t xml:space="preserve"> en el presente acto administrativo</w:t>
      </w:r>
      <w:r w:rsidR="00536BD9" w:rsidRPr="003F7981">
        <w:rPr>
          <w:rFonts w:ascii="Bookman Old Style" w:hAnsi="Bookman Old Style"/>
          <w:sz w:val="24"/>
          <w:szCs w:val="24"/>
          <w:lang w:val="es-MX"/>
        </w:rPr>
        <w:t xml:space="preserve"> </w:t>
      </w:r>
      <w:r w:rsidR="00DE0C57" w:rsidRPr="003F7981">
        <w:rPr>
          <w:rFonts w:ascii="Bookman Old Style" w:hAnsi="Bookman Old Style"/>
          <w:sz w:val="24"/>
          <w:szCs w:val="24"/>
          <w:lang w:val="es-MX"/>
        </w:rPr>
        <w:t xml:space="preserve">corresponde al precio máximo que puede trasladar un prestador del servicio a los usuarios finales, sin importar a cuál generador le compra la energía para </w:t>
      </w:r>
      <w:r w:rsidR="00536BD9" w:rsidRPr="003F7981">
        <w:rPr>
          <w:rFonts w:ascii="Bookman Old Style" w:hAnsi="Bookman Old Style"/>
          <w:sz w:val="24"/>
          <w:szCs w:val="24"/>
          <w:lang w:val="es-MX"/>
        </w:rPr>
        <w:t xml:space="preserve">prestar el servicio en el mercado </w:t>
      </w:r>
      <w:r w:rsidR="00DA5A0E" w:rsidRPr="003F7981">
        <w:rPr>
          <w:rFonts w:ascii="Bookman Old Style" w:hAnsi="Bookman Old Style"/>
          <w:sz w:val="24"/>
          <w:szCs w:val="24"/>
          <w:lang w:val="es-MX"/>
        </w:rPr>
        <w:t>de</w:t>
      </w:r>
      <w:r w:rsidR="00B80D7E" w:rsidRPr="00B80D7E">
        <w:rPr>
          <w:rFonts w:ascii="Bookman Old Style" w:hAnsi="Bookman Old Style"/>
          <w:sz w:val="24"/>
          <w:szCs w:val="24"/>
          <w:lang w:val="es-MX"/>
        </w:rPr>
        <w:t>l centro poblado de Casuarito en el municipio de Puerto Carreño</w:t>
      </w:r>
      <w:r w:rsidR="00DE0C57" w:rsidRPr="003F7981">
        <w:rPr>
          <w:rFonts w:ascii="Bookman Old Style" w:hAnsi="Bookman Old Style"/>
          <w:sz w:val="24"/>
          <w:szCs w:val="24"/>
          <w:lang w:val="es-MX"/>
        </w:rPr>
        <w:t xml:space="preserve">. Tanto el prestador del servicio, como los generadores a los que compre la energía, deben estar debidamente </w:t>
      </w:r>
      <w:r w:rsidR="00FD3F8F" w:rsidRPr="003F7981">
        <w:rPr>
          <w:rFonts w:ascii="Bookman Old Style" w:hAnsi="Bookman Old Style"/>
          <w:sz w:val="24"/>
          <w:szCs w:val="24"/>
          <w:lang w:val="es-MX"/>
        </w:rPr>
        <w:t>registrado</w:t>
      </w:r>
      <w:r w:rsidR="00DE0C57" w:rsidRPr="003F7981">
        <w:rPr>
          <w:rFonts w:ascii="Bookman Old Style" w:hAnsi="Bookman Old Style"/>
          <w:sz w:val="24"/>
          <w:szCs w:val="24"/>
          <w:lang w:val="es-MX"/>
        </w:rPr>
        <w:t>s</w:t>
      </w:r>
      <w:r w:rsidR="00FD3F8F" w:rsidRPr="003F7981">
        <w:rPr>
          <w:rFonts w:ascii="Bookman Old Style" w:hAnsi="Bookman Old Style"/>
          <w:sz w:val="24"/>
          <w:szCs w:val="24"/>
          <w:lang w:val="es-MX"/>
        </w:rPr>
        <w:t xml:space="preserve"> como prestador</w:t>
      </w:r>
      <w:r w:rsidR="00DE0C57" w:rsidRPr="003F7981">
        <w:rPr>
          <w:rFonts w:ascii="Bookman Old Style" w:hAnsi="Bookman Old Style"/>
          <w:sz w:val="24"/>
          <w:szCs w:val="24"/>
          <w:lang w:val="es-MX"/>
        </w:rPr>
        <w:t>es</w:t>
      </w:r>
      <w:r w:rsidR="00FD3F8F" w:rsidRPr="003F7981">
        <w:rPr>
          <w:rFonts w:ascii="Bookman Old Style" w:hAnsi="Bookman Old Style"/>
          <w:sz w:val="24"/>
          <w:szCs w:val="24"/>
          <w:lang w:val="es-MX"/>
        </w:rPr>
        <w:t xml:space="preserve"> del servicio </w:t>
      </w:r>
      <w:r w:rsidR="00727B77" w:rsidRPr="003F7981">
        <w:rPr>
          <w:rFonts w:ascii="Bookman Old Style" w:hAnsi="Bookman Old Style"/>
          <w:sz w:val="24"/>
          <w:szCs w:val="24"/>
          <w:lang w:val="es-MX"/>
        </w:rPr>
        <w:t>en el Registro Único de Prestadores</w:t>
      </w:r>
      <w:r w:rsidR="0052432E" w:rsidRPr="003F7981">
        <w:rPr>
          <w:rFonts w:ascii="Bookman Old Style" w:hAnsi="Bookman Old Style"/>
          <w:sz w:val="24"/>
          <w:szCs w:val="24"/>
          <w:lang w:val="es-MX"/>
        </w:rPr>
        <w:t>, RUPS,</w:t>
      </w:r>
      <w:r w:rsidR="00727B77" w:rsidRPr="003F7981">
        <w:rPr>
          <w:rFonts w:ascii="Bookman Old Style" w:hAnsi="Bookman Old Style"/>
          <w:sz w:val="24"/>
          <w:szCs w:val="24"/>
          <w:lang w:val="es-MX"/>
        </w:rPr>
        <w:t xml:space="preserve"> a cargo de la Superintendencia de Servicios Públicos Domiciliarios, </w:t>
      </w:r>
      <w:r w:rsidR="0043541E" w:rsidRPr="003F7981">
        <w:rPr>
          <w:rFonts w:ascii="Bookman Old Style" w:hAnsi="Bookman Old Style"/>
          <w:sz w:val="24"/>
          <w:szCs w:val="24"/>
          <w:lang w:val="es-MX"/>
        </w:rPr>
        <w:t>cumpl</w:t>
      </w:r>
      <w:r w:rsidR="00727B77" w:rsidRPr="003F7981">
        <w:rPr>
          <w:rFonts w:ascii="Bookman Old Style" w:hAnsi="Bookman Old Style"/>
          <w:sz w:val="24"/>
          <w:szCs w:val="24"/>
          <w:lang w:val="es-MX"/>
        </w:rPr>
        <w:t>iendo</w:t>
      </w:r>
      <w:r w:rsidR="0043541E" w:rsidRPr="003F7981">
        <w:rPr>
          <w:rFonts w:ascii="Bookman Old Style" w:hAnsi="Bookman Old Style"/>
          <w:sz w:val="24"/>
          <w:szCs w:val="24"/>
          <w:lang w:val="es-MX"/>
        </w:rPr>
        <w:t xml:space="preserve"> con </w:t>
      </w:r>
      <w:r w:rsidR="0052432E" w:rsidRPr="003F7981">
        <w:rPr>
          <w:rFonts w:ascii="Bookman Old Style" w:hAnsi="Bookman Old Style"/>
          <w:sz w:val="24"/>
          <w:szCs w:val="24"/>
          <w:lang w:val="es-MX"/>
        </w:rPr>
        <w:t xml:space="preserve">lo previsto en los </w:t>
      </w:r>
      <w:r w:rsidR="0043541E" w:rsidRPr="003F7981">
        <w:rPr>
          <w:rFonts w:ascii="Bookman Old Style" w:hAnsi="Bookman Old Style"/>
          <w:sz w:val="24"/>
          <w:szCs w:val="24"/>
          <w:lang w:val="es-MX"/>
        </w:rPr>
        <w:t>artículo</w:t>
      </w:r>
      <w:r w:rsidR="0052432E" w:rsidRPr="003F7981">
        <w:rPr>
          <w:rFonts w:ascii="Bookman Old Style" w:hAnsi="Bookman Old Style"/>
          <w:sz w:val="24"/>
          <w:szCs w:val="24"/>
          <w:lang w:val="es-MX"/>
        </w:rPr>
        <w:t>s 15, 17, 18 y 26</w:t>
      </w:r>
      <w:r w:rsidR="0093232B" w:rsidRPr="003F7981">
        <w:rPr>
          <w:rFonts w:ascii="Bookman Old Style" w:hAnsi="Bookman Old Style"/>
          <w:sz w:val="24"/>
          <w:szCs w:val="24"/>
          <w:lang w:val="es-MX"/>
        </w:rPr>
        <w:t xml:space="preserve"> </w:t>
      </w:r>
      <w:r w:rsidR="0043541E" w:rsidRPr="003F7981">
        <w:rPr>
          <w:rFonts w:ascii="Bookman Old Style" w:hAnsi="Bookman Old Style"/>
          <w:sz w:val="24"/>
          <w:szCs w:val="24"/>
          <w:lang w:val="es-MX"/>
        </w:rPr>
        <w:t>de la Ley 142 de 1994</w:t>
      </w:r>
      <w:r w:rsidR="00801F28" w:rsidRPr="003F7981">
        <w:rPr>
          <w:rFonts w:ascii="Bookman Old Style" w:hAnsi="Bookman Old Style"/>
          <w:sz w:val="24"/>
          <w:szCs w:val="24"/>
          <w:lang w:val="es-MX"/>
        </w:rPr>
        <w:t>.</w:t>
      </w:r>
      <w:r w:rsidR="00EB7106" w:rsidRPr="003F7981">
        <w:rPr>
          <w:rFonts w:ascii="Bookman Old Style" w:hAnsi="Bookman Old Style"/>
          <w:sz w:val="24"/>
          <w:szCs w:val="24"/>
          <w:lang w:val="es-MX"/>
        </w:rPr>
        <w:t xml:space="preserve"> </w:t>
      </w:r>
      <w:r w:rsidR="00E500F4">
        <w:rPr>
          <w:rFonts w:ascii="Bookman Old Style" w:hAnsi="Bookman Old Style"/>
          <w:sz w:val="24"/>
          <w:szCs w:val="24"/>
          <w:lang w:val="es-MX"/>
        </w:rPr>
        <w:t xml:space="preserve">Adicionalmente, dar cumplimiento a lo establecido en la resolución CREG 101 021 de 2022, </w:t>
      </w:r>
      <w:r w:rsidR="00E500F4" w:rsidRPr="00E500F4">
        <w:rPr>
          <w:rFonts w:ascii="Bookman Old Style" w:hAnsi="Bookman Old Style"/>
          <w:sz w:val="24"/>
          <w:szCs w:val="24"/>
          <w:lang w:val="es-MX"/>
        </w:rPr>
        <w:t>Por la cual se definen los principios y procedimientos que deben cumplir los comercializadores para la celebración de contratos de energía eléctrica destinados a atender usuarios en Zonas No Interconectadas</w:t>
      </w:r>
      <w:r w:rsidR="00E500F4">
        <w:rPr>
          <w:rFonts w:ascii="Bookman Old Style" w:hAnsi="Bookman Old Style"/>
          <w:sz w:val="24"/>
          <w:szCs w:val="24"/>
          <w:lang w:val="es-MX"/>
        </w:rPr>
        <w:t xml:space="preserve">. </w:t>
      </w:r>
    </w:p>
    <w:p w14:paraId="1D7DC037" w14:textId="77777777" w:rsidR="00536BD9" w:rsidRPr="003F7981" w:rsidRDefault="00536BD9" w:rsidP="00CF067A">
      <w:pPr>
        <w:pStyle w:val="Style2"/>
        <w:shd w:val="clear" w:color="auto" w:fill="auto"/>
        <w:spacing w:before="0" w:line="240" w:lineRule="auto"/>
        <w:ind w:left="284" w:right="6" w:firstLine="0"/>
        <w:contextualSpacing/>
        <w:jc w:val="both"/>
        <w:rPr>
          <w:rFonts w:ascii="Bookman Old Style" w:hAnsi="Bookman Old Style"/>
          <w:sz w:val="24"/>
          <w:szCs w:val="24"/>
          <w:lang w:val="es-MX"/>
        </w:rPr>
      </w:pPr>
    </w:p>
    <w:p w14:paraId="0D25E453" w14:textId="79E8F3BE" w:rsidR="00D24427" w:rsidRPr="003F7981" w:rsidRDefault="00D24427"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En el capítulo VII de la Resolución CREG 091 de 2007 se establecen las fórmulas tarifarias generales para usuarios regulados del servicio público de energía eléctrica en las </w:t>
      </w:r>
      <w:r w:rsidR="00A93715" w:rsidRPr="003F7981">
        <w:rPr>
          <w:rFonts w:ascii="Bookman Old Style" w:hAnsi="Bookman Old Style"/>
          <w:sz w:val="24"/>
          <w:szCs w:val="24"/>
        </w:rPr>
        <w:t>Zonas No Interconectadas</w:t>
      </w:r>
      <w:r w:rsidRPr="003F7981">
        <w:rPr>
          <w:rFonts w:ascii="Bookman Old Style" w:hAnsi="Bookman Old Style"/>
          <w:sz w:val="24"/>
          <w:szCs w:val="24"/>
        </w:rPr>
        <w:t>, diferenciando entre la aplicable a usuarios regulados del servicio de energía eléctrica con red y sin red, artículos 40 y 41 de la precitada resolución</w:t>
      </w:r>
      <w:r w:rsidR="00A93715" w:rsidRPr="003F7981">
        <w:rPr>
          <w:rFonts w:ascii="Bookman Old Style" w:hAnsi="Bookman Old Style"/>
          <w:sz w:val="24"/>
          <w:szCs w:val="24"/>
        </w:rPr>
        <w:t>,</w:t>
      </w:r>
      <w:r w:rsidRPr="003F7981">
        <w:rPr>
          <w:rFonts w:ascii="Bookman Old Style" w:hAnsi="Bookman Old Style"/>
          <w:sz w:val="24"/>
          <w:szCs w:val="24"/>
        </w:rPr>
        <w:t xml:space="preserve"> respectivamente. </w:t>
      </w:r>
    </w:p>
    <w:p w14:paraId="01B4F323" w14:textId="77777777" w:rsidR="00D24427" w:rsidRPr="003F7981" w:rsidRDefault="00D24427"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15E034EC" w14:textId="1ACD62B2" w:rsidR="00873392" w:rsidRPr="003F7981" w:rsidRDefault="0000214C"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Bajo el entendido </w:t>
      </w:r>
      <w:r w:rsidR="00E133A6" w:rsidRPr="003F7981">
        <w:rPr>
          <w:rFonts w:ascii="Bookman Old Style" w:hAnsi="Bookman Old Style"/>
          <w:sz w:val="24"/>
          <w:szCs w:val="24"/>
        </w:rPr>
        <w:t xml:space="preserve">de </w:t>
      </w:r>
      <w:r w:rsidRPr="003F7981">
        <w:rPr>
          <w:rFonts w:ascii="Bookman Old Style" w:hAnsi="Bookman Old Style"/>
          <w:sz w:val="24"/>
          <w:szCs w:val="24"/>
        </w:rPr>
        <w:t xml:space="preserve">que </w:t>
      </w:r>
      <w:r w:rsidR="00F4192E" w:rsidRPr="003F7981">
        <w:rPr>
          <w:rFonts w:ascii="Bookman Old Style" w:hAnsi="Bookman Old Style"/>
          <w:sz w:val="24"/>
          <w:szCs w:val="24"/>
        </w:rPr>
        <w:t xml:space="preserve">el mercado relevante </w:t>
      </w:r>
      <w:r w:rsidR="0072306A" w:rsidRPr="003F7981">
        <w:rPr>
          <w:rFonts w:ascii="Bookman Old Style" w:hAnsi="Bookman Old Style"/>
          <w:sz w:val="24"/>
          <w:szCs w:val="24"/>
        </w:rPr>
        <w:t>de comercialización</w:t>
      </w:r>
      <w:r w:rsidR="00BA36A1" w:rsidRPr="003F7981">
        <w:rPr>
          <w:rFonts w:ascii="Bookman Old Style" w:hAnsi="Bookman Old Style"/>
          <w:sz w:val="24"/>
          <w:szCs w:val="24"/>
        </w:rPr>
        <w:t xml:space="preserve"> de</w:t>
      </w:r>
      <w:r w:rsidR="00B80D7E" w:rsidRPr="00B80D7E">
        <w:rPr>
          <w:rFonts w:ascii="Bookman Old Style" w:hAnsi="Bookman Old Style"/>
          <w:sz w:val="24"/>
          <w:szCs w:val="24"/>
        </w:rPr>
        <w:t>l centro poblado de Casuarito en el municipio de Puerto Carreño</w:t>
      </w:r>
      <w:r w:rsidR="00B80D7E">
        <w:rPr>
          <w:rFonts w:ascii="Bookman Old Style" w:hAnsi="Bookman Old Style"/>
          <w:sz w:val="24"/>
          <w:szCs w:val="24"/>
        </w:rPr>
        <w:t>,</w:t>
      </w:r>
      <w:r w:rsidR="009D2EC9" w:rsidRPr="003F7981">
        <w:rPr>
          <w:rFonts w:ascii="Bookman Old Style" w:hAnsi="Bookman Old Style"/>
          <w:sz w:val="24"/>
          <w:szCs w:val="24"/>
        </w:rPr>
        <w:t xml:space="preserve"> es atendido mediante el uso de redes, </w:t>
      </w:r>
      <w:r w:rsidR="004C39CF" w:rsidRPr="003F7981">
        <w:rPr>
          <w:rFonts w:ascii="Bookman Old Style" w:hAnsi="Bookman Old Style"/>
          <w:sz w:val="24"/>
          <w:szCs w:val="24"/>
        </w:rPr>
        <w:t xml:space="preserve">dentro de la presente actuación administrativa se considerará </w:t>
      </w:r>
      <w:r w:rsidR="00F767B8" w:rsidRPr="003F7981">
        <w:rPr>
          <w:rFonts w:ascii="Bookman Old Style" w:hAnsi="Bookman Old Style"/>
          <w:sz w:val="24"/>
          <w:szCs w:val="24"/>
        </w:rPr>
        <w:t xml:space="preserve">que </w:t>
      </w:r>
      <w:r w:rsidR="00E41921" w:rsidRPr="003F7981">
        <w:rPr>
          <w:rFonts w:ascii="Bookman Old Style" w:hAnsi="Bookman Old Style"/>
          <w:sz w:val="24"/>
          <w:szCs w:val="24"/>
        </w:rPr>
        <w:t xml:space="preserve">la fórmula tarifaria </w:t>
      </w:r>
      <w:r w:rsidR="008B415B" w:rsidRPr="003F7981">
        <w:rPr>
          <w:rFonts w:ascii="Bookman Old Style" w:hAnsi="Bookman Old Style"/>
          <w:sz w:val="24"/>
          <w:szCs w:val="24"/>
        </w:rPr>
        <w:t xml:space="preserve">aplicable </w:t>
      </w:r>
      <w:r w:rsidR="001758F9" w:rsidRPr="003F7981">
        <w:rPr>
          <w:rFonts w:ascii="Bookman Old Style" w:hAnsi="Bookman Old Style"/>
          <w:sz w:val="24"/>
          <w:szCs w:val="24"/>
        </w:rPr>
        <w:t>para</w:t>
      </w:r>
      <w:r w:rsidR="008954AA" w:rsidRPr="003F7981">
        <w:rPr>
          <w:rFonts w:ascii="Bookman Old Style" w:hAnsi="Bookman Old Style"/>
          <w:sz w:val="24"/>
          <w:szCs w:val="24"/>
        </w:rPr>
        <w:t xml:space="preserve"> el cálculo del costo del servicio de energía eléctrica</w:t>
      </w:r>
      <w:r w:rsidR="008B415B" w:rsidRPr="003F7981">
        <w:rPr>
          <w:rFonts w:ascii="Bookman Old Style" w:hAnsi="Bookman Old Style"/>
          <w:sz w:val="24"/>
          <w:szCs w:val="24"/>
        </w:rPr>
        <w:t xml:space="preserve"> de </w:t>
      </w:r>
      <w:r w:rsidR="001758F9" w:rsidRPr="003F7981">
        <w:rPr>
          <w:rFonts w:ascii="Bookman Old Style" w:hAnsi="Bookman Old Style"/>
          <w:sz w:val="24"/>
          <w:szCs w:val="24"/>
        </w:rPr>
        <w:t xml:space="preserve">usuarios regulados </w:t>
      </w:r>
      <w:r w:rsidR="00E41921" w:rsidRPr="003F7981">
        <w:rPr>
          <w:rFonts w:ascii="Bookman Old Style" w:hAnsi="Bookman Old Style"/>
          <w:sz w:val="24"/>
          <w:szCs w:val="24"/>
        </w:rPr>
        <w:t xml:space="preserve">corresponde a la </w:t>
      </w:r>
      <w:r w:rsidR="00F767B8" w:rsidRPr="003F7981">
        <w:rPr>
          <w:rFonts w:ascii="Bookman Old Style" w:hAnsi="Bookman Old Style"/>
          <w:sz w:val="24"/>
          <w:szCs w:val="24"/>
        </w:rPr>
        <w:t xml:space="preserve">prevista en el </w:t>
      </w:r>
      <w:r w:rsidR="00E41921" w:rsidRPr="003F7981">
        <w:rPr>
          <w:rFonts w:ascii="Bookman Old Style" w:hAnsi="Bookman Old Style"/>
          <w:sz w:val="24"/>
          <w:szCs w:val="24"/>
        </w:rPr>
        <w:t>artículo 40</w:t>
      </w:r>
      <w:r w:rsidR="00E929F5" w:rsidRPr="003F7981">
        <w:rPr>
          <w:rFonts w:ascii="Bookman Old Style" w:hAnsi="Bookman Old Style"/>
          <w:sz w:val="24"/>
          <w:szCs w:val="24"/>
        </w:rPr>
        <w:t xml:space="preserve"> de la </w:t>
      </w:r>
      <w:r w:rsidR="00A6610A" w:rsidRPr="003F7981">
        <w:rPr>
          <w:rFonts w:ascii="Bookman Old Style" w:hAnsi="Bookman Old Style"/>
          <w:sz w:val="24"/>
          <w:szCs w:val="24"/>
        </w:rPr>
        <w:t>Resolución CREG 091 de 2007</w:t>
      </w:r>
      <w:r w:rsidR="00E41921" w:rsidRPr="003F7981">
        <w:rPr>
          <w:rFonts w:ascii="Bookman Old Style" w:hAnsi="Bookman Old Style"/>
          <w:sz w:val="24"/>
          <w:szCs w:val="24"/>
        </w:rPr>
        <w:t xml:space="preserve">. </w:t>
      </w:r>
    </w:p>
    <w:p w14:paraId="555B05D8" w14:textId="77777777" w:rsidR="00873392" w:rsidRPr="003F7981" w:rsidRDefault="0087339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268769E" w14:textId="6A95CE47" w:rsidR="008840AA" w:rsidRPr="006D6500" w:rsidRDefault="00D24427" w:rsidP="006D6500">
      <w:pPr>
        <w:pStyle w:val="Style2"/>
        <w:shd w:val="clear" w:color="auto" w:fill="auto"/>
        <w:spacing w:before="0" w:line="240" w:lineRule="auto"/>
        <w:ind w:left="284" w:right="6" w:firstLine="0"/>
        <w:contextualSpacing/>
        <w:jc w:val="both"/>
        <w:rPr>
          <w:rFonts w:ascii="Bookman Old Style" w:eastAsia="Calibri" w:hAnsi="Bookman Old Style"/>
          <w:sz w:val="24"/>
          <w:szCs w:val="24"/>
        </w:rPr>
      </w:pPr>
      <w:r w:rsidRPr="003F7981">
        <w:rPr>
          <w:rFonts w:ascii="Bookman Old Style" w:hAnsi="Bookman Old Style"/>
          <w:sz w:val="24"/>
          <w:szCs w:val="24"/>
        </w:rPr>
        <w:t>Así las cosas, t</w:t>
      </w:r>
      <w:r w:rsidR="00BB0F1B" w:rsidRPr="003F7981">
        <w:rPr>
          <w:rFonts w:ascii="Bookman Old Style" w:hAnsi="Bookman Old Style"/>
          <w:sz w:val="24"/>
          <w:szCs w:val="24"/>
        </w:rPr>
        <w:t>eniendo en cuenta que en la regulación vigente</w:t>
      </w:r>
      <w:r w:rsidR="00873392" w:rsidRPr="003F7981">
        <w:rPr>
          <w:rFonts w:ascii="Bookman Old Style" w:hAnsi="Bookman Old Style"/>
          <w:sz w:val="24"/>
          <w:szCs w:val="24"/>
        </w:rPr>
        <w:t xml:space="preserve"> </w:t>
      </w:r>
      <w:r w:rsidR="00E41921" w:rsidRPr="003F7981">
        <w:rPr>
          <w:rFonts w:ascii="Bookman Old Style" w:hAnsi="Bookman Old Style"/>
          <w:sz w:val="24"/>
          <w:szCs w:val="24"/>
        </w:rPr>
        <w:t>no se encuentran tipificados los costos</w:t>
      </w:r>
      <w:r w:rsidR="00BB0F1B" w:rsidRPr="003F7981">
        <w:rPr>
          <w:rFonts w:ascii="Bookman Old Style" w:hAnsi="Bookman Old Style"/>
          <w:sz w:val="24"/>
          <w:szCs w:val="24"/>
        </w:rPr>
        <w:t xml:space="preserve"> de generación</w:t>
      </w:r>
      <w:r w:rsidR="00E41921" w:rsidRPr="003F7981">
        <w:rPr>
          <w:rFonts w:ascii="Bookman Old Style" w:hAnsi="Bookman Old Style"/>
          <w:sz w:val="24"/>
          <w:szCs w:val="24"/>
        </w:rPr>
        <w:t xml:space="preserve"> para </w:t>
      </w:r>
      <w:r w:rsidR="007915E0" w:rsidRPr="003F7981">
        <w:rPr>
          <w:rFonts w:ascii="Bookman Old Style" w:hAnsi="Bookman Old Style"/>
          <w:sz w:val="24"/>
          <w:szCs w:val="24"/>
        </w:rPr>
        <w:t xml:space="preserve">sistemas </w:t>
      </w:r>
      <w:r w:rsidR="00A33D94" w:rsidRPr="003F7981">
        <w:rPr>
          <w:rFonts w:ascii="Bookman Old Style" w:hAnsi="Bookman Old Style"/>
          <w:sz w:val="24"/>
          <w:szCs w:val="24"/>
        </w:rPr>
        <w:t xml:space="preserve">híbridos de generación diésel </w:t>
      </w:r>
      <w:r w:rsidR="00B80D7E">
        <w:rPr>
          <w:rFonts w:ascii="Bookman Old Style" w:hAnsi="Bookman Old Style"/>
          <w:sz w:val="24"/>
          <w:szCs w:val="24"/>
        </w:rPr>
        <w:t>–</w:t>
      </w:r>
      <w:r w:rsidR="00A33D94" w:rsidRPr="003F7981">
        <w:rPr>
          <w:rFonts w:ascii="Bookman Old Style" w:hAnsi="Bookman Old Style"/>
          <w:sz w:val="24"/>
          <w:szCs w:val="24"/>
        </w:rPr>
        <w:t xml:space="preserve"> </w:t>
      </w:r>
      <w:r w:rsidR="00B80D7E">
        <w:rPr>
          <w:rFonts w:ascii="Bookman Old Style" w:hAnsi="Bookman Old Style"/>
          <w:sz w:val="24"/>
          <w:szCs w:val="24"/>
        </w:rPr>
        <w:t>solar fotovoltaicos</w:t>
      </w:r>
      <w:r w:rsidR="005B7B83" w:rsidRPr="003F7981">
        <w:rPr>
          <w:rFonts w:ascii="Bookman Old Style" w:hAnsi="Bookman Old Style"/>
          <w:sz w:val="24"/>
          <w:szCs w:val="24"/>
        </w:rPr>
        <w:t xml:space="preserve">, </w:t>
      </w:r>
      <w:r w:rsidR="007915E0" w:rsidRPr="003F7981">
        <w:rPr>
          <w:rFonts w:ascii="Bookman Old Style" w:hAnsi="Bookman Old Style"/>
          <w:sz w:val="24"/>
          <w:szCs w:val="24"/>
        </w:rPr>
        <w:t>como</w:t>
      </w:r>
      <w:r w:rsidR="00E41921" w:rsidRPr="003F7981">
        <w:rPr>
          <w:rFonts w:ascii="Bookman Old Style" w:hAnsi="Bookman Old Style"/>
          <w:sz w:val="24"/>
          <w:szCs w:val="24"/>
        </w:rPr>
        <w:t xml:space="preserve"> e</w:t>
      </w:r>
      <w:r w:rsidR="00873392" w:rsidRPr="003F7981">
        <w:rPr>
          <w:rFonts w:ascii="Bookman Old Style" w:hAnsi="Bookman Old Style"/>
          <w:sz w:val="24"/>
          <w:szCs w:val="24"/>
        </w:rPr>
        <w:t xml:space="preserve">l presentado </w:t>
      </w:r>
      <w:r w:rsidR="007915E0" w:rsidRPr="003F7981">
        <w:rPr>
          <w:rFonts w:ascii="Bookman Old Style" w:hAnsi="Bookman Old Style"/>
          <w:sz w:val="24"/>
          <w:szCs w:val="24"/>
        </w:rPr>
        <w:t xml:space="preserve">por </w:t>
      </w:r>
      <w:r w:rsidR="00645584" w:rsidRPr="00645584">
        <w:rPr>
          <w:rFonts w:ascii="Bookman Old Style" w:hAnsi="Bookman Old Style"/>
          <w:sz w:val="24"/>
          <w:szCs w:val="24"/>
        </w:rPr>
        <w:t>DUE CAPITAL AND SERVICES S.A.S.</w:t>
      </w:r>
      <w:r w:rsidR="00B80D7E">
        <w:rPr>
          <w:rFonts w:ascii="Bookman Old Style" w:hAnsi="Bookman Old Style"/>
          <w:sz w:val="24"/>
          <w:szCs w:val="24"/>
        </w:rPr>
        <w:t>,</w:t>
      </w:r>
      <w:r w:rsidR="005B7B83" w:rsidRPr="003F7981">
        <w:rPr>
          <w:rFonts w:ascii="Bookman Old Style" w:hAnsi="Bookman Old Style"/>
          <w:sz w:val="24"/>
          <w:szCs w:val="24"/>
        </w:rPr>
        <w:t xml:space="preserve"> </w:t>
      </w:r>
      <w:r w:rsidR="00BB0F1B" w:rsidRPr="003F7981">
        <w:rPr>
          <w:rFonts w:ascii="Bookman Old Style" w:hAnsi="Bookman Old Style"/>
          <w:sz w:val="24"/>
          <w:szCs w:val="24"/>
        </w:rPr>
        <w:t>en su solicitud</w:t>
      </w:r>
      <w:r w:rsidR="00E41921" w:rsidRPr="003F7981">
        <w:rPr>
          <w:rFonts w:ascii="Bookman Old Style" w:hAnsi="Bookman Old Style"/>
          <w:sz w:val="24"/>
          <w:szCs w:val="24"/>
        </w:rPr>
        <w:t xml:space="preserve">, </w:t>
      </w:r>
      <w:r w:rsidRPr="003F7981">
        <w:rPr>
          <w:rFonts w:ascii="Bookman Old Style" w:hAnsi="Bookman Old Style"/>
          <w:sz w:val="24"/>
          <w:szCs w:val="24"/>
        </w:rPr>
        <w:t>procede</w:t>
      </w:r>
      <w:r w:rsidR="00A6610A" w:rsidRPr="003F7981">
        <w:rPr>
          <w:rFonts w:ascii="Bookman Old Style" w:hAnsi="Bookman Old Style"/>
          <w:sz w:val="24"/>
          <w:szCs w:val="24"/>
        </w:rPr>
        <w:t xml:space="preserve"> la</w:t>
      </w:r>
      <w:r w:rsidRPr="003F7981">
        <w:rPr>
          <w:rFonts w:ascii="Bookman Old Style" w:hAnsi="Bookman Old Style"/>
          <w:sz w:val="24"/>
          <w:szCs w:val="24"/>
        </w:rPr>
        <w:t xml:space="preserve"> </w:t>
      </w:r>
      <w:r w:rsidR="00A6610A" w:rsidRPr="003F7981">
        <w:rPr>
          <w:rFonts w:ascii="Bookman Old Style" w:hAnsi="Bookman Old Style"/>
          <w:sz w:val="24"/>
          <w:szCs w:val="24"/>
        </w:rPr>
        <w:t>determinación d</w:t>
      </w:r>
      <w:r w:rsidR="00E41921" w:rsidRPr="003F7981">
        <w:rPr>
          <w:rFonts w:ascii="Bookman Old Style" w:hAnsi="Bookman Old Style"/>
          <w:sz w:val="24"/>
          <w:szCs w:val="24"/>
        </w:rPr>
        <w:t xml:space="preserve">el costo de inversión </w:t>
      </w:r>
      <w:r w:rsidR="00873392" w:rsidRPr="003F7981">
        <w:rPr>
          <w:rFonts w:ascii="Bookman Old Style" w:hAnsi="Bookman Old Style"/>
          <w:sz w:val="24"/>
          <w:szCs w:val="24"/>
        </w:rPr>
        <w:t>y los gastos de administración, operación y mantenimiento</w:t>
      </w:r>
      <w:r w:rsidR="00A93715" w:rsidRPr="003F7981">
        <w:rPr>
          <w:rFonts w:ascii="Bookman Old Style" w:hAnsi="Bookman Old Style"/>
          <w:sz w:val="24"/>
          <w:szCs w:val="24"/>
        </w:rPr>
        <w:t>,</w:t>
      </w:r>
      <w:r w:rsidR="00873392" w:rsidRPr="003F7981">
        <w:rPr>
          <w:rFonts w:ascii="Bookman Old Style" w:hAnsi="Bookman Old Style"/>
          <w:sz w:val="24"/>
          <w:szCs w:val="24"/>
        </w:rPr>
        <w:t xml:space="preserve"> </w:t>
      </w:r>
      <w:r w:rsidR="00E41921" w:rsidRPr="003F7981">
        <w:rPr>
          <w:rFonts w:ascii="Bookman Old Style" w:hAnsi="Bookman Old Style"/>
          <w:sz w:val="24"/>
          <w:szCs w:val="24"/>
        </w:rPr>
        <w:t>en los términos definidos en la fórmula aplicable, esto es, en pesos por kilovatio hora ($/kWh)</w:t>
      </w:r>
      <w:r w:rsidR="004843D0" w:rsidRPr="003F7981">
        <w:rPr>
          <w:rFonts w:ascii="Bookman Old Style" w:hAnsi="Bookman Old Style"/>
          <w:sz w:val="24"/>
          <w:szCs w:val="24"/>
        </w:rPr>
        <w:t xml:space="preserve"> para el mercado</w:t>
      </w:r>
      <w:r w:rsidR="00A14495" w:rsidRPr="003F7981">
        <w:rPr>
          <w:rFonts w:ascii="Bookman Old Style" w:hAnsi="Bookman Old Style"/>
          <w:sz w:val="24"/>
          <w:szCs w:val="24"/>
        </w:rPr>
        <w:t xml:space="preserve"> </w:t>
      </w:r>
      <w:r w:rsidR="00E56928">
        <w:rPr>
          <w:rFonts w:ascii="Bookman Old Style" w:hAnsi="Bookman Old Style"/>
          <w:sz w:val="24"/>
          <w:szCs w:val="24"/>
        </w:rPr>
        <w:t xml:space="preserve">relevante </w:t>
      </w:r>
      <w:r w:rsidR="00A14495" w:rsidRPr="003F7981">
        <w:rPr>
          <w:rFonts w:ascii="Bookman Old Style" w:hAnsi="Bookman Old Style"/>
          <w:sz w:val="24"/>
          <w:szCs w:val="24"/>
        </w:rPr>
        <w:t>de comercialización de la cabecera municipal</w:t>
      </w:r>
      <w:r w:rsidR="004843D0" w:rsidRPr="003F7981">
        <w:rPr>
          <w:rFonts w:ascii="Bookman Old Style" w:hAnsi="Bookman Old Style"/>
          <w:sz w:val="24"/>
          <w:szCs w:val="24"/>
        </w:rPr>
        <w:t xml:space="preserve"> d</w:t>
      </w:r>
      <w:r w:rsidR="00495AC1" w:rsidRPr="00495AC1">
        <w:rPr>
          <w:rFonts w:ascii="Bookman Old Style" w:hAnsi="Bookman Old Style"/>
          <w:sz w:val="24"/>
          <w:szCs w:val="24"/>
        </w:rPr>
        <w:t>el centro poblado de Casuarito en el municipio de Puerto Carreño</w:t>
      </w:r>
      <w:r w:rsidR="00495AC1">
        <w:rPr>
          <w:rFonts w:ascii="Bookman Old Style" w:hAnsi="Bookman Old Style"/>
          <w:sz w:val="24"/>
          <w:szCs w:val="24"/>
        </w:rPr>
        <w:t>.</w:t>
      </w:r>
      <w:r w:rsidR="00E41921" w:rsidRPr="003F7981">
        <w:rPr>
          <w:rFonts w:ascii="Bookman Old Style" w:hAnsi="Bookman Old Style"/>
          <w:sz w:val="24"/>
          <w:szCs w:val="24"/>
        </w:rPr>
        <w:t xml:space="preserve"> </w:t>
      </w:r>
    </w:p>
    <w:p w14:paraId="065697C7" w14:textId="6F52EE3A" w:rsidR="00AD369B" w:rsidRPr="003F7981" w:rsidRDefault="00AD369B" w:rsidP="00CF067A">
      <w:pPr>
        <w:pStyle w:val="Style2"/>
        <w:shd w:val="clear" w:color="auto" w:fill="auto"/>
        <w:spacing w:before="0" w:line="240" w:lineRule="auto"/>
        <w:ind w:left="284" w:right="6" w:firstLine="0"/>
        <w:contextualSpacing/>
        <w:jc w:val="both"/>
        <w:rPr>
          <w:rFonts w:ascii="Bookman Old Style" w:eastAsia="Calibri" w:hAnsi="Bookman Old Style"/>
          <w:sz w:val="24"/>
          <w:szCs w:val="24"/>
          <w:lang w:eastAsia="en-US"/>
        </w:rPr>
      </w:pPr>
    </w:p>
    <w:p w14:paraId="4EA6BF1A" w14:textId="04B6FC13" w:rsidR="00D451C0" w:rsidRPr="003F7981" w:rsidRDefault="411BDD15" w:rsidP="00CF067A">
      <w:pPr>
        <w:pStyle w:val="Textoindependiente"/>
        <w:ind w:left="284" w:right="6"/>
        <w:contextualSpacing/>
        <w:jc w:val="both"/>
        <w:rPr>
          <w:rFonts w:ascii="Bookman Old Style" w:hAnsi="Bookman Old Style"/>
        </w:rPr>
      </w:pPr>
      <w:r w:rsidRPr="003F7981">
        <w:rPr>
          <w:rFonts w:ascii="Bookman Old Style" w:hAnsi="Bookman Old Style"/>
          <w:lang w:val="es-ES"/>
        </w:rPr>
        <w:t>4</w:t>
      </w:r>
      <w:r w:rsidR="6610E320" w:rsidRPr="003F7981">
        <w:rPr>
          <w:rFonts w:ascii="Bookman Old Style" w:hAnsi="Bookman Old Style"/>
        </w:rPr>
        <w:t>.2</w:t>
      </w:r>
      <w:r w:rsidR="00C06FD4" w:rsidRPr="003F7981">
        <w:rPr>
          <w:rFonts w:ascii="Bookman Old Style" w:hAnsi="Bookman Old Style"/>
        </w:rPr>
        <w:tab/>
      </w:r>
      <w:r w:rsidR="6610E320" w:rsidRPr="003F7981">
        <w:rPr>
          <w:rFonts w:ascii="Bookman Old Style" w:hAnsi="Bookman Old Style"/>
          <w:lang w:val="es-CO"/>
        </w:rPr>
        <w:t xml:space="preserve"> </w:t>
      </w:r>
      <w:r w:rsidR="6610E320" w:rsidRPr="003F7981">
        <w:rPr>
          <w:rFonts w:ascii="Bookman Old Style" w:hAnsi="Bookman Old Style"/>
        </w:rPr>
        <w:t>ANÁLISIS TÉCNICO</w:t>
      </w:r>
    </w:p>
    <w:p w14:paraId="6DFE2BF3" w14:textId="77777777" w:rsidR="00D238B3" w:rsidRPr="003F7981" w:rsidRDefault="00D238B3" w:rsidP="00CF067A">
      <w:pPr>
        <w:pStyle w:val="Textoindependiente21"/>
        <w:ind w:left="284" w:right="6"/>
        <w:contextualSpacing/>
        <w:rPr>
          <w:rFonts w:ascii="Bookman Old Style" w:hAnsi="Bookman Old Style" w:cs="Arial"/>
          <w:sz w:val="24"/>
          <w:szCs w:val="24"/>
        </w:rPr>
      </w:pPr>
    </w:p>
    <w:p w14:paraId="7E520756" w14:textId="1FEBAFBD" w:rsidR="009E3606" w:rsidRPr="003F7981" w:rsidRDefault="009E3606" w:rsidP="00EB2450">
      <w:pPr>
        <w:pStyle w:val="Textoindependiente21"/>
        <w:ind w:left="284" w:right="6"/>
        <w:rPr>
          <w:rFonts w:ascii="Bookman Old Style" w:hAnsi="Bookman Old Style" w:cs="Arial"/>
          <w:sz w:val="24"/>
          <w:szCs w:val="24"/>
        </w:rPr>
      </w:pPr>
      <w:r w:rsidRPr="003F7981">
        <w:rPr>
          <w:rFonts w:ascii="Bookman Old Style" w:hAnsi="Bookman Old Style" w:cs="Arial"/>
          <w:sz w:val="24"/>
          <w:szCs w:val="24"/>
        </w:rPr>
        <w:t xml:space="preserve">Teniendo en cuenta lo previsto en los artículos 22, 24, 25 y 40 de la Resolución CREG 091 de 2007, se procede a revisar la información allegada por </w:t>
      </w:r>
      <w:r w:rsidR="00645584" w:rsidRPr="00645584">
        <w:rPr>
          <w:rFonts w:ascii="Bookman Old Style" w:hAnsi="Bookman Old Style" w:cs="Arial"/>
          <w:sz w:val="24"/>
          <w:szCs w:val="24"/>
          <w:lang w:val="es-CO" w:eastAsia="es-CO"/>
        </w:rPr>
        <w:t>DUE CAPITAL AND SERVICES S.A.S.</w:t>
      </w:r>
      <w:r w:rsidR="034A1D7C" w:rsidRPr="00645584">
        <w:rPr>
          <w:rFonts w:ascii="Bookman Old Style" w:hAnsi="Bookman Old Style" w:cs="Arial"/>
          <w:sz w:val="24"/>
          <w:szCs w:val="24"/>
        </w:rPr>
        <w:t>,</w:t>
      </w:r>
      <w:r w:rsidRPr="00645584">
        <w:rPr>
          <w:rFonts w:ascii="Bookman Old Style" w:hAnsi="Bookman Old Style" w:cs="Arial"/>
          <w:sz w:val="24"/>
          <w:szCs w:val="24"/>
        </w:rPr>
        <w:t xml:space="preserve"> en términos de costos de inversión y gastos administración, operación y mantenimiento, así como también se analizan</w:t>
      </w:r>
      <w:r w:rsidRPr="003F7981">
        <w:rPr>
          <w:rFonts w:ascii="Bookman Old Style" w:hAnsi="Bookman Old Style" w:cs="Arial"/>
          <w:sz w:val="24"/>
          <w:szCs w:val="24"/>
        </w:rPr>
        <w:t xml:space="preserve"> los datos de proyección de energía a generar y de la demanda a atender, presentados en la solicitud.</w:t>
      </w:r>
    </w:p>
    <w:p w14:paraId="5188D939" w14:textId="1BB374AF" w:rsidR="00C33F5F" w:rsidRPr="003F7981" w:rsidRDefault="00C33F5F" w:rsidP="00C06FD4">
      <w:pPr>
        <w:pStyle w:val="Textoindependiente21"/>
        <w:ind w:left="284" w:right="6"/>
        <w:contextualSpacing/>
        <w:rPr>
          <w:rFonts w:ascii="Bookman Old Style" w:hAnsi="Bookman Old Style" w:cs="Arial"/>
          <w:sz w:val="24"/>
          <w:szCs w:val="24"/>
        </w:rPr>
      </w:pPr>
    </w:p>
    <w:p w14:paraId="7F7198D5" w14:textId="450C2F77" w:rsidR="5B095192" w:rsidRDefault="00495AC1" w:rsidP="00A73738">
      <w:pPr>
        <w:pStyle w:val="Textoindependiente21"/>
        <w:ind w:left="284" w:right="6"/>
        <w:contextualSpacing/>
        <w:rPr>
          <w:rFonts w:ascii="Bookman Old Style" w:hAnsi="Bookman Old Style" w:cs="Arial"/>
          <w:sz w:val="24"/>
          <w:szCs w:val="24"/>
        </w:rPr>
      </w:pPr>
      <w:r w:rsidRPr="00495AC1">
        <w:rPr>
          <w:rFonts w:ascii="Bookman Old Style" w:hAnsi="Bookman Old Style" w:cs="Arial"/>
          <w:sz w:val="24"/>
          <w:szCs w:val="24"/>
        </w:rPr>
        <w:t xml:space="preserve">Atendiendo los criterios tarifarios de eficiencia económica y suficiencia financiera, esta Comisión resuelve la solicitud definiendo la remuneración a partir de costos eficientes de referencia y de la mejor información disponible, ajustados a las condiciones de prestación del servicio en el mercado de comercialización que atiende el centro poblado de Casuarito en el municipio de Puerto Carreño.  El documento de soporte de la presente </w:t>
      </w:r>
      <w:proofErr w:type="gramStart"/>
      <w:r w:rsidRPr="00495AC1">
        <w:rPr>
          <w:rFonts w:ascii="Bookman Old Style" w:hAnsi="Bookman Old Style" w:cs="Arial"/>
          <w:sz w:val="24"/>
          <w:szCs w:val="24"/>
        </w:rPr>
        <w:t>resolución,</w:t>
      </w:r>
      <w:proofErr w:type="gramEnd"/>
      <w:r w:rsidRPr="00495AC1">
        <w:rPr>
          <w:rFonts w:ascii="Bookman Old Style" w:hAnsi="Bookman Old Style" w:cs="Arial"/>
          <w:sz w:val="24"/>
          <w:szCs w:val="24"/>
        </w:rPr>
        <w:t xml:space="preserve"> detalla el análisis técnico realizado para resolver la solicitud de la empresa en cuestión.</w:t>
      </w:r>
    </w:p>
    <w:p w14:paraId="7F85B720" w14:textId="428E1677" w:rsidR="00A73738" w:rsidRPr="00A73738" w:rsidRDefault="00984975" w:rsidP="00A73738">
      <w:pPr>
        <w:pStyle w:val="Textoindependiente21"/>
        <w:ind w:left="284" w:right="6"/>
        <w:contextualSpacing/>
        <w:rPr>
          <w:rFonts w:ascii="Bookman Old Style" w:hAnsi="Bookman Old Style" w:cs="Arial"/>
          <w:sz w:val="24"/>
          <w:szCs w:val="24"/>
        </w:rPr>
      </w:pPr>
      <w:r>
        <w:rPr>
          <w:rFonts w:ascii="Bookman Old Style" w:hAnsi="Bookman Old Style" w:cs="Arial"/>
          <w:sz w:val="24"/>
          <w:szCs w:val="24"/>
        </w:rPr>
        <w:tab/>
      </w:r>
    </w:p>
    <w:p w14:paraId="19D1A2B0" w14:textId="03C4A67A" w:rsidR="2290A195" w:rsidRPr="003F7981" w:rsidRDefault="2290A195" w:rsidP="0038102C">
      <w:pPr>
        <w:ind w:left="284"/>
        <w:contextualSpacing/>
        <w:jc w:val="both"/>
        <w:rPr>
          <w:rFonts w:ascii="Bookman Old Style" w:eastAsia="Bookman Old Style" w:hAnsi="Bookman Old Style" w:cs="Bookman Old Style"/>
        </w:rPr>
      </w:pPr>
      <w:r w:rsidRPr="043B6ADB">
        <w:rPr>
          <w:rFonts w:ascii="Bookman Old Style" w:hAnsi="Bookman Old Style" w:cs="Arial"/>
        </w:rPr>
        <w:t xml:space="preserve">Para efectos de la notificación se debe </w:t>
      </w:r>
      <w:r w:rsidR="00E72598">
        <w:rPr>
          <w:rFonts w:ascii="Bookman Old Style" w:hAnsi="Bookman Old Style" w:cs="Arial"/>
        </w:rPr>
        <w:t>comunicar</w:t>
      </w:r>
      <w:r w:rsidR="7E21A36A" w:rsidRPr="043B6ADB">
        <w:rPr>
          <w:rFonts w:ascii="Bookman Old Style" w:eastAsia="Bookman Old Style" w:hAnsi="Bookman Old Style" w:cs="Bookman Old Style"/>
          <w:lang w:val=""/>
        </w:rPr>
        <w:t xml:space="preserve"> al representante legal de </w:t>
      </w:r>
      <w:r w:rsidR="00645584" w:rsidRPr="043B6ADB">
        <w:rPr>
          <w:rFonts w:ascii="Bookman Old Style" w:hAnsi="Bookman Old Style" w:cs="Arial"/>
          <w:lang w:val="es-CO" w:eastAsia="es-CO"/>
        </w:rPr>
        <w:t>DUE CAPITAL AND SERVICES S.A.S.</w:t>
      </w:r>
      <w:r w:rsidR="7E21A36A" w:rsidRPr="043B6ADB">
        <w:rPr>
          <w:rFonts w:ascii="Bookman Old Style" w:eastAsia="Bookman Old Style" w:hAnsi="Bookman Old Style" w:cs="Bookman Old Style"/>
          <w:lang w:val=""/>
        </w:rPr>
        <w:t xml:space="preserve">, el contenido de </w:t>
      </w:r>
      <w:r w:rsidR="7E21A36A" w:rsidRPr="043B6ADB">
        <w:rPr>
          <w:rFonts w:ascii="Bookman Old Style" w:eastAsia="Bookman Old Style" w:hAnsi="Bookman Old Style" w:cs="Bookman Old Style"/>
        </w:rPr>
        <w:t xml:space="preserve">la presente resolución la cual deberá </w:t>
      </w:r>
      <w:r w:rsidR="7E21A36A" w:rsidRPr="043B6ADB">
        <w:rPr>
          <w:rFonts w:ascii="Bookman Old Style" w:eastAsia="Bookman Old Style" w:hAnsi="Bookman Old Style" w:cs="Bookman Old Style"/>
          <w:lang w:val=""/>
        </w:rPr>
        <w:t xml:space="preserve">notificarse </w:t>
      </w:r>
      <w:r w:rsidR="7E21A36A" w:rsidRPr="043B6ADB">
        <w:rPr>
          <w:rFonts w:ascii="Bookman Old Style" w:eastAsia="Bookman Old Style" w:hAnsi="Bookman Old Style" w:cs="Bookman Old Style"/>
        </w:rPr>
        <w:t xml:space="preserve">según lo estipulado por la empresa al correo electrónico señalado en su solicitud, </w:t>
      </w:r>
      <w:r w:rsidR="007F196E" w:rsidRPr="043B6ADB">
        <w:rPr>
          <w:rFonts w:ascii="Bookman Old Style" w:eastAsia="Bookman Old Style" w:hAnsi="Bookman Old Style" w:cs="Bookman Old Style"/>
        </w:rPr>
        <w:t>de acuerdo con</w:t>
      </w:r>
      <w:r w:rsidR="7E21A36A" w:rsidRPr="043B6ADB">
        <w:rPr>
          <w:rFonts w:ascii="Bookman Old Style" w:eastAsia="Bookman Old Style" w:hAnsi="Bookman Old Style" w:cs="Bookman Old Style"/>
        </w:rPr>
        <w:t xml:space="preserve"> lo estipulado en el artículo 8 de la Ley 2080 del año 2021, que introduce el artículo 53A del CPACA y el artículo 56 de la misma.</w:t>
      </w:r>
    </w:p>
    <w:p w14:paraId="1D7B716C" w14:textId="7797D2A4" w:rsidR="2290A195" w:rsidRDefault="7E21A36A" w:rsidP="7E21A36A">
      <w:pPr>
        <w:contextualSpacing/>
        <w:jc w:val="both"/>
        <w:rPr>
          <w:rFonts w:ascii="Bookman Old Style" w:eastAsia="Bookman Old Style" w:hAnsi="Bookman Old Style" w:cs="Bookman Old Style"/>
        </w:rPr>
      </w:pPr>
      <w:r w:rsidRPr="003F7981">
        <w:rPr>
          <w:rFonts w:ascii="Bookman Old Style" w:eastAsia="Bookman Old Style" w:hAnsi="Bookman Old Style" w:cs="Bookman Old Style"/>
        </w:rPr>
        <w:t xml:space="preserve"> </w:t>
      </w:r>
    </w:p>
    <w:p w14:paraId="373FC3A0" w14:textId="77777777" w:rsidR="00A73738" w:rsidRDefault="00A73738" w:rsidP="00A73738">
      <w:pPr>
        <w:ind w:left="284"/>
        <w:jc w:val="both"/>
        <w:rPr>
          <w:rFonts w:ascii="Bookman Old Style" w:eastAsia="Bookman Old Style" w:hAnsi="Bookman Old Style" w:cs="Bookman Old Style"/>
        </w:rPr>
      </w:pPr>
      <w:r w:rsidRPr="5B095192">
        <w:rPr>
          <w:rFonts w:ascii="Bookman Old Style" w:eastAsia="Bookman Old Style" w:hAnsi="Bookman Old Style" w:cs="Bookman Old Style"/>
        </w:rPr>
        <w:t xml:space="preserve">Por último, por tratarse de </w:t>
      </w:r>
      <w:r>
        <w:rPr>
          <w:rFonts w:ascii="Bookman Old Style" w:eastAsia="Bookman Old Style" w:hAnsi="Bookman Old Style" w:cs="Bookman Old Style"/>
        </w:rPr>
        <w:t>la</w:t>
      </w:r>
      <w:r w:rsidRPr="5B095192">
        <w:rPr>
          <w:rFonts w:ascii="Bookman Old Style" w:eastAsia="Bookman Old Style" w:hAnsi="Bookman Old Style" w:cs="Bookman Old Style"/>
        </w:rPr>
        <w:t xml:space="preserve"> aplicación de una metodología, la presente</w:t>
      </w:r>
      <w:r>
        <w:rPr>
          <w:rFonts w:ascii="Bookman Old Style" w:eastAsia="Bookman Old Style" w:hAnsi="Bookman Old Style" w:cs="Bookman Old Style"/>
        </w:rPr>
        <w:t xml:space="preserve"> </w:t>
      </w:r>
      <w:r w:rsidRPr="5B095192">
        <w:rPr>
          <w:rFonts w:ascii="Bookman Old Style" w:eastAsia="Bookman Old Style" w:hAnsi="Bookman Old Style" w:cs="Bookman Old Style"/>
        </w:rPr>
        <w:t xml:space="preserve">resolución no se remite a la Superintendencia de Industria y Comercio, para el ejercicio de la Abogacía de la Competencia, con fundamento en las disposiciones del Decreto 1074 de 2015. </w:t>
      </w:r>
    </w:p>
    <w:p w14:paraId="1678E6ED" w14:textId="77777777" w:rsidR="00A73738" w:rsidRPr="003F7981" w:rsidRDefault="00A73738" w:rsidP="7E21A36A">
      <w:pPr>
        <w:contextualSpacing/>
        <w:jc w:val="both"/>
        <w:rPr>
          <w:rFonts w:ascii="Bookman Old Style" w:hAnsi="Bookman Old Style"/>
        </w:rPr>
      </w:pPr>
    </w:p>
    <w:p w14:paraId="5CE1E72D" w14:textId="789451C6" w:rsidR="00BA4EAA" w:rsidRDefault="00BA4EAA" w:rsidP="5B095192">
      <w:pPr>
        <w:pStyle w:val="Textoindependiente21"/>
        <w:ind w:left="284" w:right="6"/>
        <w:contextualSpacing/>
        <w:rPr>
          <w:rFonts w:ascii="Bookman Old Style" w:hAnsi="Bookman Old Style" w:cs="Arial"/>
          <w:sz w:val="24"/>
          <w:szCs w:val="24"/>
        </w:rPr>
      </w:pPr>
      <w:r w:rsidRPr="5B095192">
        <w:rPr>
          <w:rFonts w:ascii="Bookman Old Style" w:hAnsi="Bookman Old Style" w:cs="Arial"/>
          <w:sz w:val="24"/>
          <w:szCs w:val="24"/>
        </w:rPr>
        <w:t>En sesión No. 118</w:t>
      </w:r>
      <w:r w:rsidR="00BA6E1E">
        <w:rPr>
          <w:rFonts w:ascii="Bookman Old Style" w:hAnsi="Bookman Old Style" w:cs="Arial"/>
          <w:sz w:val="24"/>
          <w:szCs w:val="24"/>
        </w:rPr>
        <w:t>8</w:t>
      </w:r>
      <w:r w:rsidRPr="5B095192">
        <w:rPr>
          <w:rFonts w:ascii="Bookman Old Style" w:hAnsi="Bookman Old Style" w:cs="Arial"/>
          <w:sz w:val="24"/>
          <w:szCs w:val="24"/>
        </w:rPr>
        <w:t xml:space="preserve"> del </w:t>
      </w:r>
      <w:r w:rsidR="00BA6E1E">
        <w:rPr>
          <w:rFonts w:ascii="Bookman Old Style" w:hAnsi="Bookman Old Style" w:cs="Arial"/>
          <w:sz w:val="24"/>
          <w:szCs w:val="24"/>
        </w:rPr>
        <w:t>6</w:t>
      </w:r>
      <w:r w:rsidRPr="5B095192">
        <w:rPr>
          <w:rFonts w:ascii="Bookman Old Style" w:hAnsi="Bookman Old Style" w:cs="Arial"/>
          <w:sz w:val="24"/>
          <w:szCs w:val="24"/>
        </w:rPr>
        <w:t xml:space="preserve"> de </w:t>
      </w:r>
      <w:r w:rsidR="00BA6E1E">
        <w:rPr>
          <w:rFonts w:ascii="Bookman Old Style" w:hAnsi="Bookman Old Style" w:cs="Arial"/>
          <w:sz w:val="24"/>
          <w:szCs w:val="24"/>
        </w:rPr>
        <w:t>agosto</w:t>
      </w:r>
      <w:r w:rsidRPr="5B095192">
        <w:rPr>
          <w:rFonts w:ascii="Bookman Old Style" w:hAnsi="Bookman Old Style" w:cs="Arial"/>
          <w:sz w:val="24"/>
          <w:szCs w:val="24"/>
        </w:rPr>
        <w:t xml:space="preserve"> de 2022, la Comisión de Regulación de Energía y Gas analizó la presente actuación administrativa</w:t>
      </w:r>
      <w:r w:rsidR="00B30AAB">
        <w:rPr>
          <w:rFonts w:ascii="Bookman Old Style" w:hAnsi="Bookman Old Style" w:cs="Arial"/>
          <w:sz w:val="24"/>
          <w:szCs w:val="24"/>
        </w:rPr>
        <w:t>.</w:t>
      </w:r>
    </w:p>
    <w:p w14:paraId="4199C568" w14:textId="77777777" w:rsidR="00B30AAB" w:rsidRPr="003F7981" w:rsidRDefault="00B30AAB" w:rsidP="5B095192">
      <w:pPr>
        <w:pStyle w:val="Textoindependiente21"/>
        <w:ind w:left="284" w:right="6"/>
        <w:contextualSpacing/>
        <w:rPr>
          <w:rFonts w:ascii="Bookman Old Style" w:hAnsi="Bookman Old Style" w:cs="Arial"/>
          <w:sz w:val="24"/>
          <w:szCs w:val="24"/>
        </w:rPr>
      </w:pPr>
    </w:p>
    <w:p w14:paraId="3D29EA62" w14:textId="77777777" w:rsidR="008B6CE5" w:rsidRPr="003F7981" w:rsidRDefault="00FB483F" w:rsidP="5B095192">
      <w:pPr>
        <w:pStyle w:val="Textoindependiente21"/>
        <w:ind w:left="284" w:right="6"/>
        <w:contextualSpacing/>
        <w:rPr>
          <w:rFonts w:ascii="Bookman Old Style" w:hAnsi="Bookman Old Style" w:cs="Arial"/>
          <w:sz w:val="24"/>
          <w:szCs w:val="24"/>
        </w:rPr>
      </w:pPr>
      <w:r w:rsidRPr="5B095192">
        <w:rPr>
          <w:rFonts w:ascii="Bookman Old Style" w:hAnsi="Bookman Old Style" w:cs="Arial"/>
          <w:sz w:val="24"/>
          <w:szCs w:val="24"/>
        </w:rPr>
        <w:t>P</w:t>
      </w:r>
      <w:r w:rsidR="008B6CE5" w:rsidRPr="5B095192">
        <w:rPr>
          <w:rFonts w:ascii="Bookman Old Style" w:hAnsi="Bookman Old Style" w:cs="Arial"/>
          <w:sz w:val="24"/>
          <w:szCs w:val="24"/>
        </w:rPr>
        <w:t>or lo anteriormente expuesto,</w:t>
      </w:r>
    </w:p>
    <w:p w14:paraId="0C117890" w14:textId="752A6993" w:rsidR="00ED514A" w:rsidRPr="003F7981" w:rsidRDefault="00ED514A" w:rsidP="5B095192">
      <w:pPr>
        <w:pStyle w:val="Textoindependiente21"/>
        <w:ind w:left="284" w:right="6"/>
        <w:contextualSpacing/>
        <w:rPr>
          <w:rFonts w:ascii="Bookman Old Style" w:hAnsi="Bookman Old Style" w:cs="Arial"/>
          <w:sz w:val="24"/>
          <w:szCs w:val="24"/>
        </w:rPr>
      </w:pPr>
    </w:p>
    <w:p w14:paraId="154AE051" w14:textId="77777777" w:rsidR="009E6611" w:rsidRPr="003F7981" w:rsidRDefault="009E6611" w:rsidP="5B095192">
      <w:pPr>
        <w:pStyle w:val="Textoindependiente21"/>
        <w:ind w:left="284" w:right="6"/>
        <w:contextualSpacing/>
        <w:rPr>
          <w:rFonts w:ascii="Bookman Old Style" w:hAnsi="Bookman Old Style" w:cs="Arial"/>
          <w:sz w:val="24"/>
          <w:szCs w:val="24"/>
        </w:rPr>
      </w:pPr>
    </w:p>
    <w:p w14:paraId="748C3926" w14:textId="77777777" w:rsidR="00903C58" w:rsidRPr="003F7981" w:rsidRDefault="00903C58" w:rsidP="00CF067A">
      <w:pPr>
        <w:keepNext/>
        <w:ind w:left="284" w:right="6"/>
        <w:contextualSpacing/>
        <w:jc w:val="center"/>
        <w:rPr>
          <w:rFonts w:ascii="Bookman Old Style" w:hAnsi="Bookman Old Style" w:cs="Arial"/>
          <w:b/>
        </w:rPr>
      </w:pPr>
      <w:r w:rsidRPr="003F7981">
        <w:rPr>
          <w:rFonts w:ascii="Bookman Old Style" w:hAnsi="Bookman Old Style" w:cs="Arial"/>
          <w:b/>
        </w:rPr>
        <w:t>R E S U E L V E:</w:t>
      </w:r>
    </w:p>
    <w:p w14:paraId="427949B6" w14:textId="2527B0C7" w:rsidR="00903C58" w:rsidRPr="003F7981" w:rsidRDefault="00903C58" w:rsidP="00CF067A">
      <w:pPr>
        <w:keepNext/>
        <w:ind w:left="284" w:right="6"/>
        <w:contextualSpacing/>
        <w:jc w:val="center"/>
        <w:rPr>
          <w:rFonts w:ascii="Bookman Old Style" w:hAnsi="Bookman Old Style" w:cs="Arial"/>
          <w:b/>
        </w:rPr>
      </w:pPr>
    </w:p>
    <w:p w14:paraId="7EB58235" w14:textId="77777777" w:rsidR="00AD369B" w:rsidRPr="003F7981" w:rsidRDefault="00AD369B" w:rsidP="00CF067A">
      <w:pPr>
        <w:keepNext/>
        <w:ind w:left="284" w:right="6"/>
        <w:contextualSpacing/>
        <w:jc w:val="center"/>
        <w:rPr>
          <w:rFonts w:ascii="Bookman Old Style" w:hAnsi="Bookman Old Style" w:cs="Arial"/>
          <w:b/>
        </w:rPr>
      </w:pPr>
    </w:p>
    <w:p w14:paraId="6ADB5678" w14:textId="2288D2DB" w:rsidR="00495AC1" w:rsidRDefault="00565C93" w:rsidP="00495AC1">
      <w:pPr>
        <w:pStyle w:val="Piedepgina"/>
        <w:tabs>
          <w:tab w:val="center" w:pos="4845"/>
        </w:tabs>
        <w:ind w:left="284" w:right="6"/>
        <w:contextualSpacing/>
        <w:jc w:val="both"/>
        <w:rPr>
          <w:rFonts w:ascii="Bookman Old Style" w:hAnsi="Bookman Old Style" w:cs="Arial"/>
          <w:bCs/>
        </w:rPr>
      </w:pPr>
      <w:r w:rsidRPr="003F7981">
        <w:rPr>
          <w:rFonts w:ascii="Bookman Old Style" w:hAnsi="Bookman Old Style" w:cs="Arial"/>
          <w:b/>
        </w:rPr>
        <w:t>ARTÍCULO 1</w:t>
      </w:r>
      <w:r w:rsidR="00B50937" w:rsidRPr="003F7981">
        <w:rPr>
          <w:rFonts w:ascii="Bookman Old Style" w:hAnsi="Bookman Old Style" w:cs="Arial"/>
          <w:b/>
          <w:bCs/>
        </w:rPr>
        <w:t xml:space="preserve">. </w:t>
      </w:r>
      <w:r w:rsidR="00495AC1" w:rsidRPr="00495AC1">
        <w:rPr>
          <w:rFonts w:ascii="Bookman Old Style" w:hAnsi="Bookman Old Style" w:cs="Arial"/>
          <w:bCs/>
        </w:rPr>
        <w:t>Remuneración de las componentes de inversión, de administración, operación y mantenimiento para sistemas híbridos diésel solar fotovoltaicos con acumulación en el mercado relevante de comercialización que atiende el centro poblado de Casuarito en el municipio de Puerto Carreño en el Departamento del Vichada, y usuarios atendidos con el mismo sistema de distribución. Las componentes que remuneran los costos de inversión y de administración, operación y mantenimiento son las siguientes:</w:t>
      </w:r>
    </w:p>
    <w:p w14:paraId="737E0E85" w14:textId="77777777" w:rsidR="007D2FC5" w:rsidRDefault="007D2FC5" w:rsidP="0086143A">
      <w:pPr>
        <w:pStyle w:val="Piedepgina"/>
        <w:tabs>
          <w:tab w:val="clear" w:pos="4252"/>
          <w:tab w:val="clear" w:pos="8504"/>
          <w:tab w:val="center" w:pos="4845"/>
        </w:tabs>
        <w:ind w:left="284" w:right="142"/>
        <w:contextualSpacing/>
        <w:jc w:val="center"/>
        <w:rPr>
          <w:rFonts w:ascii="Bookman Old Style" w:hAnsi="Bookman Old Style" w:cs="Arial"/>
          <w:b/>
        </w:rPr>
      </w:pPr>
    </w:p>
    <w:p w14:paraId="2E99D3D6" w14:textId="5462F5D7" w:rsidR="0086143A" w:rsidRPr="00AD369B" w:rsidRDefault="0086143A" w:rsidP="0086143A">
      <w:pPr>
        <w:pStyle w:val="Piedepgina"/>
        <w:tabs>
          <w:tab w:val="clear" w:pos="4252"/>
          <w:tab w:val="clear" w:pos="8504"/>
          <w:tab w:val="center" w:pos="4845"/>
        </w:tabs>
        <w:ind w:left="284" w:right="142"/>
        <w:contextualSpacing/>
        <w:jc w:val="center"/>
        <w:rPr>
          <w:rFonts w:ascii="Bookman Old Style" w:hAnsi="Bookman Old Style" w:cs="Arial"/>
          <w:b/>
        </w:rPr>
      </w:pPr>
      <w:r w:rsidRPr="00AD369B">
        <w:rPr>
          <w:rFonts w:ascii="Bookman Old Style" w:hAnsi="Bookman Old Style" w:cs="Arial"/>
          <w:b/>
        </w:rPr>
        <w:t>Tabla 1. Componentes de remuneración de costos de inversión y de administración,</w:t>
      </w:r>
      <w:r w:rsidRPr="00AD369B">
        <w:rPr>
          <w:rFonts w:ascii="Bookman Old Style" w:hAnsi="Bookman Old Style" w:cs="Arial"/>
          <w:b/>
          <w:bCs/>
        </w:rPr>
        <w:t xml:space="preserve"> operación y mantenimiento para sistemas</w:t>
      </w:r>
      <w:r>
        <w:rPr>
          <w:rFonts w:ascii="Bookman Old Style" w:hAnsi="Bookman Old Style" w:cs="Arial"/>
          <w:b/>
          <w:bCs/>
        </w:rPr>
        <w:t xml:space="preserve"> híbridos</w:t>
      </w:r>
      <w:r w:rsidRPr="00AD369B">
        <w:rPr>
          <w:rFonts w:ascii="Bookman Old Style" w:hAnsi="Bookman Old Style" w:cs="Arial"/>
          <w:b/>
          <w:bCs/>
        </w:rPr>
        <w:t xml:space="preserve"> </w:t>
      </w:r>
      <w:r>
        <w:rPr>
          <w:rFonts w:ascii="Bookman Old Style" w:hAnsi="Bookman Old Style" w:cs="Arial"/>
          <w:b/>
          <w:bCs/>
        </w:rPr>
        <w:t xml:space="preserve">diésel - </w:t>
      </w:r>
      <w:r w:rsidRPr="00AD369B">
        <w:rPr>
          <w:rFonts w:ascii="Bookman Old Style" w:hAnsi="Bookman Old Style" w:cs="Arial"/>
          <w:b/>
        </w:rPr>
        <w:t>solar fotovoltaico con acumulación</w:t>
      </w:r>
    </w:p>
    <w:p w14:paraId="5E608E62" w14:textId="77777777" w:rsidR="0086143A" w:rsidRPr="00AD369B" w:rsidRDefault="0086143A" w:rsidP="0086143A">
      <w:pPr>
        <w:pStyle w:val="Piedepgina"/>
        <w:tabs>
          <w:tab w:val="clear" w:pos="4252"/>
          <w:tab w:val="clear" w:pos="8504"/>
          <w:tab w:val="center" w:pos="4845"/>
        </w:tabs>
        <w:ind w:left="284" w:right="142"/>
        <w:contextualSpacing/>
        <w:jc w:val="center"/>
        <w:rPr>
          <w:rFonts w:ascii="Bookman Old Style" w:hAnsi="Bookman Old Style" w:cs="Arial"/>
          <w:b/>
        </w:rPr>
      </w:pPr>
      <w:r w:rsidRPr="00AD369B">
        <w:rPr>
          <w:rFonts w:ascii="Bookman Old Style" w:hAnsi="Bookman Old Style" w:cs="Arial"/>
          <w:b/>
        </w:rPr>
        <w:t>(pesos de diciembre de 2006)</w:t>
      </w:r>
    </w:p>
    <w:p w14:paraId="3943370B" w14:textId="77777777" w:rsidR="0086143A" w:rsidRPr="00AD369B" w:rsidRDefault="0086143A" w:rsidP="0086143A">
      <w:pPr>
        <w:pStyle w:val="Piedepgina"/>
        <w:tabs>
          <w:tab w:val="clear" w:pos="4252"/>
          <w:tab w:val="clear" w:pos="8504"/>
          <w:tab w:val="center" w:pos="4845"/>
        </w:tabs>
        <w:ind w:left="284" w:right="142"/>
        <w:contextualSpacing/>
        <w:jc w:val="both"/>
        <w:rPr>
          <w:rFonts w:ascii="Bookman Old Style" w:hAnsi="Bookman Old Style" w:cs="Arial"/>
        </w:rPr>
      </w:pPr>
    </w:p>
    <w:tbl>
      <w:tblPr>
        <w:tblStyle w:val="Tablaconcuadrcula"/>
        <w:tblW w:w="9127" w:type="dxa"/>
        <w:tblInd w:w="279" w:type="dxa"/>
        <w:tblLayout w:type="fixed"/>
        <w:tblLook w:val="04A0" w:firstRow="1" w:lastRow="0" w:firstColumn="1" w:lastColumn="0" w:noHBand="0" w:noVBand="1"/>
      </w:tblPr>
      <w:tblGrid>
        <w:gridCol w:w="3005"/>
        <w:gridCol w:w="3061"/>
        <w:gridCol w:w="3061"/>
      </w:tblGrid>
      <w:tr w:rsidR="0086143A" w:rsidRPr="00327D2B" w14:paraId="212A5AF0" w14:textId="77777777" w:rsidTr="006E45AE">
        <w:trPr>
          <w:trHeight w:val="1120"/>
        </w:trPr>
        <w:tc>
          <w:tcPr>
            <w:tcW w:w="3005" w:type="dxa"/>
            <w:vAlign w:val="center"/>
          </w:tcPr>
          <w:p w14:paraId="62A37AFC"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b/>
                <w:sz w:val="22"/>
                <w:szCs w:val="22"/>
              </w:rPr>
            </w:pPr>
            <w:r w:rsidRPr="00327D2B">
              <w:rPr>
                <w:rFonts w:ascii="Bookman Old Style" w:hAnsi="Bookman Old Style" w:cs="Arial"/>
                <w:b/>
                <w:sz w:val="22"/>
                <w:szCs w:val="22"/>
              </w:rPr>
              <w:t>Tipo de recurso energético</w:t>
            </w:r>
          </w:p>
        </w:tc>
        <w:tc>
          <w:tcPr>
            <w:tcW w:w="3061" w:type="dxa"/>
            <w:vAlign w:val="center"/>
          </w:tcPr>
          <w:p w14:paraId="34B1F528"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b/>
                <w:sz w:val="22"/>
                <w:szCs w:val="22"/>
                <w:vertAlign w:val="subscript"/>
              </w:rPr>
            </w:pPr>
            <w:r w:rsidRPr="00327D2B">
              <w:rPr>
                <w:rFonts w:ascii="Bookman Old Style" w:hAnsi="Bookman Old Style" w:cs="Arial"/>
                <w:b/>
                <w:sz w:val="22"/>
                <w:szCs w:val="22"/>
              </w:rPr>
              <w:t xml:space="preserve">Costo de inversión, </w:t>
            </w:r>
            <w:r w:rsidRPr="00327D2B">
              <w:rPr>
                <w:rFonts w:ascii="Bookman Old Style" w:hAnsi="Bookman Old Style" w:cs="Arial"/>
                <w:b/>
                <w:i/>
                <w:sz w:val="22"/>
                <w:szCs w:val="22"/>
              </w:rPr>
              <w:t>CI</w:t>
            </w:r>
            <w:r w:rsidRPr="00327D2B">
              <w:rPr>
                <w:rFonts w:ascii="Bookman Old Style" w:hAnsi="Bookman Old Style" w:cs="Arial"/>
                <w:b/>
                <w:i/>
                <w:sz w:val="22"/>
                <w:szCs w:val="22"/>
                <w:vertAlign w:val="subscript"/>
              </w:rPr>
              <w:t>j,0</w:t>
            </w:r>
          </w:p>
          <w:p w14:paraId="2A16D0AE"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b/>
                <w:sz w:val="22"/>
                <w:szCs w:val="22"/>
              </w:rPr>
            </w:pPr>
            <w:r w:rsidRPr="00327D2B">
              <w:rPr>
                <w:rFonts w:ascii="Bookman Old Style" w:hAnsi="Bookman Old Style" w:cs="Arial"/>
                <w:b/>
                <w:sz w:val="22"/>
                <w:szCs w:val="22"/>
              </w:rPr>
              <w:t>($/kWh)</w:t>
            </w:r>
          </w:p>
        </w:tc>
        <w:tc>
          <w:tcPr>
            <w:tcW w:w="3061" w:type="dxa"/>
            <w:vAlign w:val="center"/>
          </w:tcPr>
          <w:p w14:paraId="4850722F"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b/>
                <w:sz w:val="22"/>
                <w:szCs w:val="22"/>
              </w:rPr>
            </w:pPr>
            <w:r w:rsidRPr="00327D2B">
              <w:rPr>
                <w:rFonts w:ascii="Bookman Old Style" w:hAnsi="Bookman Old Style" w:cs="Arial"/>
                <w:b/>
                <w:sz w:val="22"/>
                <w:szCs w:val="22"/>
              </w:rPr>
              <w:t>Costos de administración, operación y mantenimiento,</w:t>
            </w:r>
          </w:p>
          <w:p w14:paraId="51396025"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b/>
                <w:sz w:val="22"/>
                <w:szCs w:val="22"/>
              </w:rPr>
            </w:pPr>
            <w:r w:rsidRPr="00327D2B">
              <w:rPr>
                <w:rFonts w:ascii="Bookman Old Style" w:hAnsi="Bookman Old Style" w:cs="Arial"/>
                <w:b/>
                <w:i/>
                <w:sz w:val="22"/>
                <w:szCs w:val="22"/>
              </w:rPr>
              <w:t>CM</w:t>
            </w:r>
            <w:r w:rsidRPr="00327D2B">
              <w:rPr>
                <w:rFonts w:ascii="Bookman Old Style" w:hAnsi="Bookman Old Style" w:cs="Arial"/>
                <w:b/>
                <w:i/>
                <w:sz w:val="22"/>
                <w:szCs w:val="22"/>
                <w:vertAlign w:val="subscript"/>
              </w:rPr>
              <w:t>j,0</w:t>
            </w:r>
            <w:r w:rsidRPr="00327D2B">
              <w:rPr>
                <w:rFonts w:ascii="Bookman Old Style" w:hAnsi="Bookman Old Style" w:cs="Arial"/>
                <w:b/>
                <w:sz w:val="22"/>
                <w:szCs w:val="22"/>
              </w:rPr>
              <w:t xml:space="preserve"> ($/kWh)</w:t>
            </w:r>
          </w:p>
        </w:tc>
      </w:tr>
      <w:tr w:rsidR="0086143A" w:rsidRPr="00327D2B" w14:paraId="3E4FB7DC" w14:textId="77777777" w:rsidTr="006E45AE">
        <w:trPr>
          <w:trHeight w:val="846"/>
        </w:trPr>
        <w:tc>
          <w:tcPr>
            <w:tcW w:w="3005" w:type="dxa"/>
            <w:vAlign w:val="center"/>
          </w:tcPr>
          <w:p w14:paraId="70EF6773" w14:textId="77777777" w:rsidR="0086143A" w:rsidRPr="00BE14E0" w:rsidRDefault="0086143A" w:rsidP="006E45AE">
            <w:pPr>
              <w:pStyle w:val="Piedepgina"/>
              <w:tabs>
                <w:tab w:val="clear" w:pos="4252"/>
                <w:tab w:val="clear" w:pos="8504"/>
                <w:tab w:val="center" w:pos="4845"/>
              </w:tabs>
              <w:ind w:right="142"/>
              <w:contextualSpacing/>
              <w:rPr>
                <w:rFonts w:ascii="Bookman Old Style" w:hAnsi="Bookman Old Style" w:cs="Arial"/>
                <w:sz w:val="20"/>
                <w:szCs w:val="20"/>
              </w:rPr>
            </w:pPr>
            <w:r w:rsidRPr="00BE14E0">
              <w:rPr>
                <w:rFonts w:ascii="Bookman Old Style" w:hAnsi="Bookman Old Style" w:cs="Arial"/>
                <w:sz w:val="20"/>
                <w:szCs w:val="20"/>
              </w:rPr>
              <w:t>Solar fotovoltaico con alimentación directa a red.</w:t>
            </w:r>
          </w:p>
        </w:tc>
        <w:tc>
          <w:tcPr>
            <w:tcW w:w="3061" w:type="dxa"/>
            <w:vAlign w:val="center"/>
          </w:tcPr>
          <w:p w14:paraId="2B60A4CF" w14:textId="77777777" w:rsidR="0086143A" w:rsidRPr="00327D2B" w:rsidRDefault="0086143A" w:rsidP="006E45AE">
            <w:pPr>
              <w:pStyle w:val="Piedepgina"/>
              <w:tabs>
                <w:tab w:val="center" w:pos="4845"/>
              </w:tabs>
              <w:ind w:right="142"/>
              <w:contextualSpacing/>
              <w:jc w:val="center"/>
              <w:rPr>
                <w:rFonts w:ascii="Bookman Old Style" w:hAnsi="Bookman Old Style" w:cs="Arial"/>
                <w:sz w:val="22"/>
                <w:szCs w:val="22"/>
                <w:lang w:val="es-MX"/>
              </w:rPr>
            </w:pPr>
            <w:r>
              <w:rPr>
                <w:rFonts w:ascii="Bookman Old Style" w:hAnsi="Bookman Old Style" w:cs="Arial"/>
                <w:sz w:val="22"/>
                <w:szCs w:val="22"/>
                <w:lang w:val="es-CO"/>
              </w:rPr>
              <w:t>323,20</w:t>
            </w:r>
          </w:p>
        </w:tc>
        <w:tc>
          <w:tcPr>
            <w:tcW w:w="3061" w:type="dxa"/>
            <w:vAlign w:val="center"/>
          </w:tcPr>
          <w:p w14:paraId="359F60C2"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sz w:val="22"/>
                <w:szCs w:val="22"/>
              </w:rPr>
            </w:pPr>
            <w:r>
              <w:rPr>
                <w:rFonts w:ascii="Bookman Old Style" w:hAnsi="Bookman Old Style" w:cs="Arial"/>
                <w:sz w:val="22"/>
                <w:szCs w:val="22"/>
              </w:rPr>
              <w:t>68,91</w:t>
            </w:r>
          </w:p>
        </w:tc>
      </w:tr>
      <w:tr w:rsidR="0086143A" w:rsidRPr="00327D2B" w14:paraId="53C90817" w14:textId="77777777" w:rsidTr="006E45AE">
        <w:trPr>
          <w:trHeight w:val="846"/>
        </w:trPr>
        <w:tc>
          <w:tcPr>
            <w:tcW w:w="3005" w:type="dxa"/>
            <w:vAlign w:val="center"/>
          </w:tcPr>
          <w:p w14:paraId="134D5468" w14:textId="77777777" w:rsidR="0086143A" w:rsidRPr="00BE14E0" w:rsidRDefault="0086143A" w:rsidP="006E45AE">
            <w:pPr>
              <w:pStyle w:val="Piedepgina"/>
              <w:tabs>
                <w:tab w:val="clear" w:pos="4252"/>
                <w:tab w:val="clear" w:pos="8504"/>
                <w:tab w:val="center" w:pos="4845"/>
              </w:tabs>
              <w:ind w:right="142"/>
              <w:contextualSpacing/>
              <w:jc w:val="both"/>
              <w:rPr>
                <w:rFonts w:ascii="Bookman Old Style" w:hAnsi="Bookman Old Style" w:cs="Arial"/>
                <w:sz w:val="20"/>
                <w:szCs w:val="20"/>
              </w:rPr>
            </w:pPr>
            <w:r w:rsidRPr="00BE14E0">
              <w:rPr>
                <w:rFonts w:ascii="Bookman Old Style" w:hAnsi="Bookman Old Style" w:cs="Arial"/>
                <w:sz w:val="20"/>
                <w:szCs w:val="20"/>
              </w:rPr>
              <w:t>Acumulación de recurso solar fotovoltaico.</w:t>
            </w:r>
          </w:p>
        </w:tc>
        <w:tc>
          <w:tcPr>
            <w:tcW w:w="3061" w:type="dxa"/>
            <w:vAlign w:val="center"/>
          </w:tcPr>
          <w:p w14:paraId="18ABD953"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sz w:val="22"/>
                <w:szCs w:val="22"/>
              </w:rPr>
            </w:pPr>
            <w:r w:rsidRPr="00327D2B">
              <w:rPr>
                <w:rFonts w:ascii="Bookman Old Style" w:hAnsi="Bookman Old Style" w:cs="Arial"/>
                <w:sz w:val="22"/>
                <w:szCs w:val="22"/>
              </w:rPr>
              <w:t>1.</w:t>
            </w:r>
            <w:r>
              <w:rPr>
                <w:rFonts w:ascii="Bookman Old Style" w:hAnsi="Bookman Old Style" w:cs="Arial"/>
                <w:sz w:val="22"/>
                <w:szCs w:val="22"/>
              </w:rPr>
              <w:t>460,81</w:t>
            </w:r>
          </w:p>
        </w:tc>
        <w:tc>
          <w:tcPr>
            <w:tcW w:w="3061" w:type="dxa"/>
            <w:vAlign w:val="center"/>
          </w:tcPr>
          <w:p w14:paraId="13BCF9D4"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sz w:val="22"/>
                <w:szCs w:val="22"/>
              </w:rPr>
            </w:pPr>
            <w:r>
              <w:rPr>
                <w:rFonts w:ascii="Bookman Old Style" w:hAnsi="Bookman Old Style" w:cs="Arial"/>
                <w:sz w:val="22"/>
                <w:szCs w:val="22"/>
              </w:rPr>
              <w:t>142,91</w:t>
            </w:r>
          </w:p>
        </w:tc>
      </w:tr>
      <w:tr w:rsidR="0086143A" w:rsidRPr="00327D2B" w14:paraId="2C51870B" w14:textId="77777777" w:rsidTr="006E45AE">
        <w:trPr>
          <w:trHeight w:val="846"/>
        </w:trPr>
        <w:tc>
          <w:tcPr>
            <w:tcW w:w="3005" w:type="dxa"/>
            <w:vAlign w:val="center"/>
          </w:tcPr>
          <w:p w14:paraId="62483E88" w14:textId="77777777" w:rsidR="0086143A" w:rsidRPr="00BE14E0" w:rsidRDefault="0086143A" w:rsidP="006E45AE">
            <w:pPr>
              <w:pStyle w:val="Piedepgina"/>
              <w:tabs>
                <w:tab w:val="clear" w:pos="4252"/>
                <w:tab w:val="clear" w:pos="8504"/>
                <w:tab w:val="center" w:pos="4845"/>
              </w:tabs>
              <w:ind w:right="142"/>
              <w:contextualSpacing/>
              <w:jc w:val="both"/>
              <w:rPr>
                <w:rFonts w:ascii="Bookman Old Style" w:hAnsi="Bookman Old Style" w:cs="Arial"/>
                <w:sz w:val="20"/>
                <w:szCs w:val="20"/>
              </w:rPr>
            </w:pPr>
            <w:r w:rsidRPr="00BE14E0">
              <w:rPr>
                <w:rFonts w:ascii="Bookman Old Style" w:hAnsi="Bookman Old Style" w:cs="Arial"/>
                <w:sz w:val="20"/>
                <w:szCs w:val="20"/>
              </w:rPr>
              <w:t>Diésel.</w:t>
            </w:r>
          </w:p>
        </w:tc>
        <w:tc>
          <w:tcPr>
            <w:tcW w:w="6122" w:type="dxa"/>
            <w:gridSpan w:val="2"/>
            <w:vAlign w:val="center"/>
          </w:tcPr>
          <w:p w14:paraId="0893E1FE" w14:textId="77777777" w:rsidR="0086143A" w:rsidRPr="00327D2B" w:rsidRDefault="0086143A" w:rsidP="006E45AE">
            <w:pPr>
              <w:pStyle w:val="Piedepgina"/>
              <w:tabs>
                <w:tab w:val="clear" w:pos="4252"/>
                <w:tab w:val="clear" w:pos="8504"/>
                <w:tab w:val="center" w:pos="4845"/>
              </w:tabs>
              <w:ind w:right="142"/>
              <w:contextualSpacing/>
              <w:jc w:val="center"/>
              <w:rPr>
                <w:rFonts w:ascii="Bookman Old Style" w:hAnsi="Bookman Old Style" w:cs="Arial"/>
                <w:sz w:val="22"/>
                <w:szCs w:val="22"/>
              </w:rPr>
            </w:pPr>
            <w:r>
              <w:rPr>
                <w:rFonts w:ascii="Bookman Old Style" w:hAnsi="Bookman Old Style" w:cs="Arial"/>
                <w:sz w:val="20"/>
                <w:szCs w:val="20"/>
              </w:rPr>
              <w:t>Según lo previsto en el literal a), del artículo 22, de la Resolución CREG 091 de 2007, modificada mediante Resolución CREG 057 de 2009.</w:t>
            </w:r>
          </w:p>
        </w:tc>
      </w:tr>
    </w:tbl>
    <w:p w14:paraId="4EB68C8F" w14:textId="77777777" w:rsidR="0086143A" w:rsidRPr="00AD369B" w:rsidRDefault="0086143A" w:rsidP="0086143A">
      <w:pPr>
        <w:pStyle w:val="Piedepgina"/>
        <w:tabs>
          <w:tab w:val="clear" w:pos="4252"/>
          <w:tab w:val="clear" w:pos="8504"/>
          <w:tab w:val="center" w:pos="4845"/>
        </w:tabs>
        <w:ind w:left="284" w:right="142"/>
        <w:contextualSpacing/>
        <w:jc w:val="both"/>
        <w:rPr>
          <w:rFonts w:ascii="Bookman Old Style" w:hAnsi="Bookman Old Style" w:cs="Arial"/>
        </w:rPr>
      </w:pPr>
    </w:p>
    <w:p w14:paraId="4C3B2270" w14:textId="77777777" w:rsidR="0086143A" w:rsidRDefault="0086143A" w:rsidP="0086143A">
      <w:pPr>
        <w:pStyle w:val="Piedepgina"/>
        <w:tabs>
          <w:tab w:val="clear" w:pos="4252"/>
          <w:tab w:val="clear" w:pos="8504"/>
          <w:tab w:val="center" w:pos="4845"/>
        </w:tabs>
        <w:ind w:left="284" w:right="142"/>
        <w:contextualSpacing/>
        <w:jc w:val="both"/>
        <w:rPr>
          <w:rFonts w:ascii="Bookman Old Style" w:hAnsi="Bookman Old Style" w:cs="Arial"/>
        </w:rPr>
      </w:pPr>
      <w:r w:rsidRPr="00AD369B">
        <w:rPr>
          <w:rFonts w:ascii="Bookman Old Style" w:hAnsi="Bookman Old Style" w:cs="Arial"/>
        </w:rPr>
        <w:t>En donde:</w:t>
      </w:r>
    </w:p>
    <w:p w14:paraId="13A51063" w14:textId="77777777" w:rsidR="0086143A" w:rsidRPr="00AD369B" w:rsidRDefault="0086143A" w:rsidP="0086143A">
      <w:pPr>
        <w:pStyle w:val="Piedepgina"/>
        <w:tabs>
          <w:tab w:val="clear" w:pos="4252"/>
          <w:tab w:val="clear" w:pos="8504"/>
          <w:tab w:val="center" w:pos="4845"/>
        </w:tabs>
        <w:ind w:left="284" w:right="142"/>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435"/>
        <w:gridCol w:w="7584"/>
      </w:tblGrid>
      <w:tr w:rsidR="0086143A" w:rsidRPr="00AD369B" w14:paraId="132A2432" w14:textId="77777777" w:rsidTr="043B6ADB">
        <w:tc>
          <w:tcPr>
            <w:tcW w:w="1059" w:type="dxa"/>
          </w:tcPr>
          <w:p w14:paraId="3E725672" w14:textId="77777777" w:rsidR="0086143A" w:rsidRPr="00AD369B" w:rsidRDefault="0086143A" w:rsidP="006E45AE">
            <w:pPr>
              <w:ind w:right="142"/>
              <w:contextualSpacing/>
              <w:rPr>
                <w:rFonts w:ascii="Bookman Old Style" w:hAnsi="Bookman Old Style" w:cs="Arial"/>
                <w:bCs/>
              </w:rPr>
            </w:pPr>
            <w:r w:rsidRPr="00AD369B">
              <w:rPr>
                <w:rFonts w:ascii="Bookman Old Style" w:hAnsi="Bookman Old Style" w:cs="Arial"/>
                <w:i/>
              </w:rPr>
              <w:t>CI</w:t>
            </w:r>
            <w:r w:rsidRPr="00AD369B">
              <w:rPr>
                <w:rFonts w:ascii="Bookman Old Style" w:hAnsi="Bookman Old Style" w:cs="Arial"/>
                <w:i/>
                <w:vertAlign w:val="subscript"/>
              </w:rPr>
              <w:t>j,0</w:t>
            </w:r>
          </w:p>
        </w:tc>
        <w:tc>
          <w:tcPr>
            <w:tcW w:w="236" w:type="dxa"/>
          </w:tcPr>
          <w:p w14:paraId="436B1AE5" w14:textId="77777777" w:rsidR="0086143A" w:rsidRPr="00AD369B" w:rsidRDefault="0086143A" w:rsidP="006E45AE">
            <w:pPr>
              <w:ind w:right="142"/>
              <w:contextualSpacing/>
              <w:jc w:val="both"/>
              <w:rPr>
                <w:rFonts w:ascii="Bookman Old Style" w:hAnsi="Bookman Old Style" w:cs="Arial"/>
                <w:bCs/>
              </w:rPr>
            </w:pPr>
            <w:r w:rsidRPr="00AD369B">
              <w:rPr>
                <w:rFonts w:ascii="Bookman Old Style" w:hAnsi="Bookman Old Style" w:cs="Arial"/>
                <w:bCs/>
              </w:rPr>
              <w:t>:</w:t>
            </w:r>
          </w:p>
        </w:tc>
        <w:tc>
          <w:tcPr>
            <w:tcW w:w="8060" w:type="dxa"/>
          </w:tcPr>
          <w:p w14:paraId="7EF3A7F7" w14:textId="77777777" w:rsidR="0086143A" w:rsidRPr="00AD369B" w:rsidRDefault="0086143A" w:rsidP="006E45AE">
            <w:pPr>
              <w:ind w:right="142"/>
              <w:contextualSpacing/>
              <w:jc w:val="both"/>
              <w:rPr>
                <w:rFonts w:ascii="Bookman Old Style" w:hAnsi="Bookman Old Style" w:cs="Arial"/>
              </w:rPr>
            </w:pPr>
            <w:r w:rsidRPr="00AD369B">
              <w:rPr>
                <w:rFonts w:ascii="Bookman Old Style" w:hAnsi="Bookman Old Style" w:cs="Arial"/>
              </w:rPr>
              <w:t xml:space="preserve">Componente de remuneración de los costos de inversión del recurso energético </w:t>
            </w:r>
            <w:r w:rsidRPr="00AD369B">
              <w:rPr>
                <w:rFonts w:ascii="Bookman Old Style" w:hAnsi="Bookman Old Style" w:cs="Arial"/>
                <w:i/>
              </w:rPr>
              <w:t>j</w:t>
            </w:r>
            <w:r w:rsidRPr="00AD369B">
              <w:rPr>
                <w:rFonts w:ascii="Bookman Old Style" w:hAnsi="Bookman Old Style" w:cs="Arial"/>
              </w:rPr>
              <w:t xml:space="preserve">, del mercado relevante de comercialización </w:t>
            </w:r>
            <w:r>
              <w:rPr>
                <w:rFonts w:ascii="Bookman Old Style" w:hAnsi="Bookman Old Style" w:cs="Arial"/>
              </w:rPr>
              <w:t>que</w:t>
            </w:r>
            <w:r w:rsidRPr="00AD369B">
              <w:rPr>
                <w:rFonts w:ascii="Bookman Old Style" w:hAnsi="Bookman Old Style" w:cs="Arial"/>
              </w:rPr>
              <w:t xml:space="preserve"> </w:t>
            </w:r>
            <w:r>
              <w:rPr>
                <w:rFonts w:ascii="Bookman Old Style" w:hAnsi="Bookman Old Style" w:cs="Arial"/>
              </w:rPr>
              <w:t>atiende el centro poblado de Casuarito en el municipio</w:t>
            </w:r>
            <w:r w:rsidRPr="00AD369B">
              <w:rPr>
                <w:rFonts w:ascii="Bookman Old Style" w:hAnsi="Bookman Old Style" w:cs="Arial"/>
              </w:rPr>
              <w:t xml:space="preserve"> de </w:t>
            </w:r>
            <w:r>
              <w:rPr>
                <w:rFonts w:ascii="Bookman Old Style" w:hAnsi="Bookman Old Style" w:cs="Arial"/>
              </w:rPr>
              <w:t>Puerto Carreño</w:t>
            </w:r>
            <w:r w:rsidRPr="00AD369B">
              <w:rPr>
                <w:rFonts w:ascii="Bookman Old Style" w:hAnsi="Bookman Old Style" w:cs="Arial"/>
              </w:rPr>
              <w:t>, expresado en pesos constantes de la fecha base.</w:t>
            </w:r>
          </w:p>
          <w:p w14:paraId="647FBAB2" w14:textId="77777777" w:rsidR="0086143A" w:rsidRPr="00AD369B" w:rsidRDefault="0086143A" w:rsidP="006E45AE">
            <w:pPr>
              <w:ind w:right="142"/>
              <w:contextualSpacing/>
              <w:jc w:val="both"/>
              <w:rPr>
                <w:rFonts w:ascii="Bookman Old Style" w:hAnsi="Bookman Old Style" w:cs="Arial"/>
                <w:bCs/>
              </w:rPr>
            </w:pPr>
          </w:p>
        </w:tc>
      </w:tr>
      <w:tr w:rsidR="0086143A" w:rsidRPr="00AD369B" w14:paraId="0C5225D7" w14:textId="77777777" w:rsidTr="043B6ADB">
        <w:tc>
          <w:tcPr>
            <w:tcW w:w="1059" w:type="dxa"/>
          </w:tcPr>
          <w:p w14:paraId="52BB4A5C" w14:textId="77777777" w:rsidR="0086143A" w:rsidRPr="00AD369B" w:rsidRDefault="0086143A" w:rsidP="006E45AE">
            <w:pPr>
              <w:ind w:right="142"/>
              <w:contextualSpacing/>
              <w:rPr>
                <w:rFonts w:ascii="Bookman Old Style" w:hAnsi="Bookman Old Style" w:cs="Arial"/>
                <w:i/>
              </w:rPr>
            </w:pPr>
            <w:r w:rsidRPr="00AD369B">
              <w:rPr>
                <w:rFonts w:ascii="Bookman Old Style" w:hAnsi="Bookman Old Style" w:cs="Arial"/>
                <w:i/>
              </w:rPr>
              <w:t>CM</w:t>
            </w:r>
            <w:r w:rsidRPr="00AD369B">
              <w:rPr>
                <w:rFonts w:ascii="Bookman Old Style" w:hAnsi="Bookman Old Style" w:cs="Arial"/>
                <w:i/>
                <w:vertAlign w:val="subscript"/>
              </w:rPr>
              <w:t>j,0</w:t>
            </w:r>
          </w:p>
        </w:tc>
        <w:tc>
          <w:tcPr>
            <w:tcW w:w="236" w:type="dxa"/>
          </w:tcPr>
          <w:p w14:paraId="76208E19" w14:textId="77777777" w:rsidR="0086143A" w:rsidRPr="00AD369B" w:rsidRDefault="0086143A" w:rsidP="006E45AE">
            <w:pPr>
              <w:ind w:right="142"/>
              <w:contextualSpacing/>
              <w:jc w:val="both"/>
              <w:rPr>
                <w:rFonts w:ascii="Bookman Old Style" w:hAnsi="Bookman Old Style" w:cs="Arial"/>
                <w:bCs/>
              </w:rPr>
            </w:pPr>
            <w:r w:rsidRPr="00AD369B">
              <w:rPr>
                <w:rFonts w:ascii="Bookman Old Style" w:hAnsi="Bookman Old Style" w:cs="Arial"/>
                <w:bCs/>
              </w:rPr>
              <w:t>:</w:t>
            </w:r>
          </w:p>
        </w:tc>
        <w:tc>
          <w:tcPr>
            <w:tcW w:w="8060" w:type="dxa"/>
          </w:tcPr>
          <w:p w14:paraId="59F85DC0" w14:textId="77777777" w:rsidR="0086143A" w:rsidRPr="00AD369B" w:rsidRDefault="0086143A" w:rsidP="006E45AE">
            <w:pPr>
              <w:ind w:right="142"/>
              <w:contextualSpacing/>
              <w:jc w:val="both"/>
              <w:rPr>
                <w:rFonts w:ascii="Bookman Old Style" w:hAnsi="Bookman Old Style" w:cs="Arial"/>
              </w:rPr>
            </w:pPr>
            <w:r w:rsidRPr="00AD369B">
              <w:rPr>
                <w:rFonts w:ascii="Bookman Old Style" w:hAnsi="Bookman Old Style" w:cs="Arial"/>
              </w:rPr>
              <w:t xml:space="preserve">Componente de remuneración de los costos de administración operación y mantenimiento del recurso energético </w:t>
            </w:r>
            <w:r w:rsidRPr="00AD369B">
              <w:rPr>
                <w:rFonts w:ascii="Bookman Old Style" w:hAnsi="Bookman Old Style" w:cs="Arial"/>
                <w:i/>
              </w:rPr>
              <w:t>j</w:t>
            </w:r>
            <w:r w:rsidRPr="00AD369B">
              <w:rPr>
                <w:rFonts w:ascii="Bookman Old Style" w:hAnsi="Bookman Old Style" w:cs="Arial"/>
              </w:rPr>
              <w:t xml:space="preserve">, del mercado relevante de comercialización </w:t>
            </w:r>
            <w:r>
              <w:rPr>
                <w:rFonts w:ascii="Bookman Old Style" w:hAnsi="Bookman Old Style" w:cs="Arial"/>
              </w:rPr>
              <w:t>que</w:t>
            </w:r>
            <w:r w:rsidRPr="00AD369B">
              <w:rPr>
                <w:rFonts w:ascii="Bookman Old Style" w:hAnsi="Bookman Old Style" w:cs="Arial"/>
              </w:rPr>
              <w:t xml:space="preserve"> </w:t>
            </w:r>
            <w:r>
              <w:rPr>
                <w:rFonts w:ascii="Bookman Old Style" w:hAnsi="Bookman Old Style" w:cs="Arial"/>
              </w:rPr>
              <w:t>atiende el centro poblado de Casuarito en el municipio</w:t>
            </w:r>
            <w:r w:rsidRPr="00AD369B">
              <w:rPr>
                <w:rFonts w:ascii="Bookman Old Style" w:hAnsi="Bookman Old Style" w:cs="Arial"/>
              </w:rPr>
              <w:t xml:space="preserve"> de </w:t>
            </w:r>
            <w:r>
              <w:rPr>
                <w:rFonts w:ascii="Bookman Old Style" w:hAnsi="Bookman Old Style" w:cs="Arial"/>
              </w:rPr>
              <w:t>Puerto Carreño</w:t>
            </w:r>
            <w:r w:rsidRPr="00AD369B">
              <w:rPr>
                <w:rFonts w:ascii="Bookman Old Style" w:hAnsi="Bookman Old Style" w:cs="Arial"/>
              </w:rPr>
              <w:t>, expresado en pesos constantes de la fecha base.</w:t>
            </w:r>
          </w:p>
          <w:p w14:paraId="28317494" w14:textId="77777777" w:rsidR="0086143A" w:rsidRPr="00AD369B" w:rsidRDefault="0086143A" w:rsidP="006E45AE">
            <w:pPr>
              <w:ind w:right="142"/>
              <w:contextualSpacing/>
              <w:jc w:val="both"/>
              <w:rPr>
                <w:rFonts w:ascii="Bookman Old Style" w:hAnsi="Bookman Old Style" w:cs="Arial"/>
              </w:rPr>
            </w:pPr>
          </w:p>
        </w:tc>
      </w:tr>
      <w:tr w:rsidR="0086143A" w:rsidRPr="00AD369B" w14:paraId="550C07DB" w14:textId="77777777" w:rsidTr="043B6ADB">
        <w:tc>
          <w:tcPr>
            <w:tcW w:w="1059" w:type="dxa"/>
          </w:tcPr>
          <w:p w14:paraId="468254F0" w14:textId="77777777" w:rsidR="0086143A" w:rsidRPr="00AD369B" w:rsidRDefault="0086143A" w:rsidP="006E45AE">
            <w:pPr>
              <w:ind w:right="142"/>
              <w:contextualSpacing/>
              <w:rPr>
                <w:rFonts w:ascii="Bookman Old Style" w:hAnsi="Bookman Old Style" w:cs="Arial"/>
              </w:rPr>
            </w:pPr>
            <w:r w:rsidRPr="00AD369B">
              <w:rPr>
                <w:rFonts w:ascii="Bookman Old Style" w:hAnsi="Bookman Old Style" w:cs="Arial"/>
              </w:rPr>
              <w:t>Fecha base</w:t>
            </w:r>
          </w:p>
        </w:tc>
        <w:tc>
          <w:tcPr>
            <w:tcW w:w="236" w:type="dxa"/>
          </w:tcPr>
          <w:p w14:paraId="11015EFF" w14:textId="77777777" w:rsidR="0086143A" w:rsidRPr="00AD369B" w:rsidRDefault="0086143A" w:rsidP="006E45AE">
            <w:pPr>
              <w:ind w:right="142"/>
              <w:contextualSpacing/>
              <w:jc w:val="both"/>
              <w:rPr>
                <w:rFonts w:ascii="Bookman Old Style" w:hAnsi="Bookman Old Style" w:cs="Arial"/>
                <w:bCs/>
              </w:rPr>
            </w:pPr>
            <w:r w:rsidRPr="00AD369B">
              <w:rPr>
                <w:rFonts w:ascii="Bookman Old Style" w:hAnsi="Bookman Old Style" w:cs="Arial"/>
                <w:bCs/>
              </w:rPr>
              <w:t>:</w:t>
            </w:r>
          </w:p>
        </w:tc>
        <w:tc>
          <w:tcPr>
            <w:tcW w:w="8060" w:type="dxa"/>
          </w:tcPr>
          <w:p w14:paraId="7CA60E03" w14:textId="77777777" w:rsidR="0086143A" w:rsidRPr="00AD369B" w:rsidRDefault="0086143A" w:rsidP="006E45AE">
            <w:pPr>
              <w:ind w:right="142"/>
              <w:contextualSpacing/>
              <w:jc w:val="both"/>
              <w:rPr>
                <w:rFonts w:ascii="Bookman Old Style" w:hAnsi="Bookman Old Style" w:cs="Arial"/>
              </w:rPr>
            </w:pPr>
            <w:r w:rsidRPr="00AD369B">
              <w:rPr>
                <w:rFonts w:ascii="Bookman Old Style" w:hAnsi="Bookman Old Style" w:cs="Arial"/>
              </w:rPr>
              <w:t>31 de diciembre de 2006.</w:t>
            </w:r>
          </w:p>
          <w:p w14:paraId="09747DD5" w14:textId="77777777" w:rsidR="0086143A" w:rsidRPr="00AD369B" w:rsidRDefault="0086143A" w:rsidP="006E45AE">
            <w:pPr>
              <w:ind w:right="142"/>
              <w:contextualSpacing/>
              <w:jc w:val="both"/>
              <w:rPr>
                <w:rFonts w:ascii="Bookman Old Style" w:hAnsi="Bookman Old Style" w:cs="Arial"/>
              </w:rPr>
            </w:pPr>
          </w:p>
        </w:tc>
      </w:tr>
    </w:tbl>
    <w:p w14:paraId="49962E3B" w14:textId="77777777" w:rsidR="0086143A" w:rsidRPr="00AD369B" w:rsidRDefault="0086143A" w:rsidP="0086143A">
      <w:pPr>
        <w:ind w:right="142"/>
        <w:contextualSpacing/>
        <w:jc w:val="both"/>
        <w:rPr>
          <w:rFonts w:ascii="Bookman Old Style" w:hAnsi="Bookman Old Style" w:cs="Arial"/>
          <w:b/>
        </w:rPr>
      </w:pPr>
    </w:p>
    <w:p w14:paraId="217866D3" w14:textId="77777777" w:rsidR="0086143A" w:rsidRPr="00AD369B" w:rsidRDefault="0086143A" w:rsidP="0086143A">
      <w:pPr>
        <w:ind w:left="284" w:right="142"/>
        <w:contextualSpacing/>
        <w:jc w:val="both"/>
        <w:rPr>
          <w:rFonts w:ascii="Bookman Old Style" w:hAnsi="Bookman Old Style" w:cs="Arial"/>
        </w:rPr>
      </w:pPr>
      <w:r w:rsidRPr="00AD369B">
        <w:rPr>
          <w:rFonts w:ascii="Bookman Old Style" w:hAnsi="Bookman Old Style" w:cs="Arial"/>
          <w:b/>
        </w:rPr>
        <w:t>ARTÍCULO 2</w:t>
      </w:r>
      <w:r w:rsidRPr="00AD369B">
        <w:rPr>
          <w:rFonts w:ascii="Bookman Old Style" w:hAnsi="Bookman Old Style" w:cs="Arial"/>
          <w:b/>
          <w:bCs/>
        </w:rPr>
        <w:t xml:space="preserve">. Fórmula de Actualización de Cargos Máximos de Generación para sistemas </w:t>
      </w:r>
      <w:r w:rsidRPr="0098008F">
        <w:rPr>
          <w:rFonts w:ascii="Bookman Old Style" w:hAnsi="Bookman Old Style" w:cs="Arial"/>
          <w:b/>
          <w:bCs/>
        </w:rPr>
        <w:t xml:space="preserve">híbridos diésel - solar fotovoltaicos con acumulación en el mercado relevante de comercialización </w:t>
      </w:r>
      <w:r>
        <w:rPr>
          <w:rFonts w:ascii="Bookman Old Style" w:hAnsi="Bookman Old Style" w:cs="Arial"/>
          <w:b/>
          <w:bCs/>
        </w:rPr>
        <w:t>que</w:t>
      </w:r>
      <w:r w:rsidRPr="0098008F">
        <w:rPr>
          <w:rFonts w:ascii="Bookman Old Style" w:hAnsi="Bookman Old Style" w:cs="Arial"/>
          <w:b/>
          <w:bCs/>
        </w:rPr>
        <w:t xml:space="preserve"> atiende el centro poblado de Casuarito en el municipio de Puerto Carreño, </w:t>
      </w:r>
      <w:r>
        <w:rPr>
          <w:rFonts w:ascii="Bookman Old Style" w:hAnsi="Bookman Old Style" w:cs="Arial"/>
          <w:b/>
          <w:bCs/>
        </w:rPr>
        <w:t>Vichada</w:t>
      </w:r>
      <w:r w:rsidRPr="0098008F">
        <w:rPr>
          <w:rFonts w:ascii="Bookman Old Style" w:hAnsi="Bookman Old Style" w:cs="Arial"/>
          <w:b/>
          <w:bCs/>
        </w:rPr>
        <w:t xml:space="preserve"> y usuarios</w:t>
      </w:r>
      <w:r w:rsidRPr="0019727B">
        <w:rPr>
          <w:rFonts w:ascii="Bookman Old Style" w:hAnsi="Bookman Old Style" w:cs="Arial"/>
          <w:b/>
        </w:rPr>
        <w:t xml:space="preserve"> atendidos con el mismo sistema de distribución</w:t>
      </w:r>
      <w:r w:rsidRPr="00AD369B">
        <w:rPr>
          <w:rFonts w:ascii="Bookman Old Style" w:hAnsi="Bookman Old Style" w:cs="Arial"/>
          <w:b/>
          <w:bCs/>
        </w:rPr>
        <w:t>.</w:t>
      </w:r>
      <w:r w:rsidRPr="00AD369B">
        <w:rPr>
          <w:rFonts w:ascii="Bookman Old Style" w:hAnsi="Bookman Old Style" w:cs="Arial"/>
          <w:bCs/>
        </w:rPr>
        <w:t xml:space="preserve"> Los cargos máximos de generación expresados en pesos de la fecha base, se actualizarán con las siguientes fórmulas generales:</w:t>
      </w:r>
    </w:p>
    <w:p w14:paraId="230D7AE1" w14:textId="77777777" w:rsidR="0086143A" w:rsidRDefault="0086143A" w:rsidP="0086143A">
      <w:pPr>
        <w:ind w:left="284" w:right="142"/>
        <w:jc w:val="both"/>
        <w:rPr>
          <w:rFonts w:ascii="Bookman Old Style" w:hAnsi="Bookman Old Style" w:cs="Arial"/>
        </w:rPr>
      </w:pPr>
    </w:p>
    <w:p w14:paraId="572FD57D" w14:textId="77777777" w:rsidR="0086143A" w:rsidRPr="00D96D73" w:rsidRDefault="008151C2" w:rsidP="0086143A">
      <w:pPr>
        <w:ind w:left="284" w:right="142"/>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U,m</m:t>
              </m:r>
            </m:sub>
          </m:sSub>
          <m:r>
            <w:rPr>
              <w:rFonts w:ascii="Cambria Math" w:hAnsi="Cambria Math" w:cs="Arial"/>
            </w:rPr>
            <m:t>=</m:t>
          </m:r>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r>
                <w:rPr>
                  <w:rFonts w:ascii="Cambria Math" w:hAnsi="Cambria Math" w:cs="Arial"/>
                </w:rPr>
                <m:t>G</m:t>
              </m:r>
            </m:e>
            <m:sub>
              <m:r>
                <w:rPr>
                  <w:rFonts w:ascii="Cambria Math" w:hAnsi="Cambria Math" w:cs="Arial"/>
                </w:rPr>
                <m:t>m,D</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e>
          </m:d>
          <m:r>
            <w:rPr>
              <w:rFonts w:ascii="Cambria Math" w:hAnsi="Cambria Math" w:cs="Arial"/>
            </w:rPr>
            <m:t>β</m:t>
          </m:r>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r>
            <w:rPr>
              <w:rFonts w:ascii="Cambria Math" w:hAnsi="Cambria Math" w:cs="Arial"/>
            </w:rPr>
            <m:t>+</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e>
          </m:d>
          <m:d>
            <m:dPr>
              <m:ctrlPr>
                <w:rPr>
                  <w:rFonts w:ascii="Cambria Math" w:hAnsi="Cambria Math" w:cs="Arial"/>
                  <w:i/>
                </w:rPr>
              </m:ctrlPr>
            </m:dPr>
            <m:e>
              <m:r>
                <w:rPr>
                  <w:rFonts w:ascii="Cambria Math" w:hAnsi="Cambria Math" w:cs="Arial"/>
                </w:rPr>
                <m:t>1-β</m:t>
              </m:r>
            </m:e>
          </m:d>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p w14:paraId="611E0EC0" w14:textId="77777777" w:rsidR="0086143A" w:rsidRDefault="0086143A" w:rsidP="0086143A">
      <w:pPr>
        <w:ind w:left="284" w:right="142"/>
        <w:jc w:val="both"/>
        <w:rPr>
          <w:rFonts w:ascii="Bookman Old Style" w:hAnsi="Bookman Old Style" w:cs="Arial"/>
        </w:rPr>
      </w:pPr>
    </w:p>
    <w:p w14:paraId="5928BCA2" w14:textId="77777777" w:rsidR="0086143A" w:rsidRDefault="0086143A" w:rsidP="0086143A">
      <w:pPr>
        <w:ind w:left="284" w:right="142"/>
        <w:jc w:val="both"/>
        <w:rPr>
          <w:rFonts w:ascii="Bookman Old Style" w:hAnsi="Bookman Old Style" w:cs="Arial"/>
        </w:rPr>
      </w:pPr>
      <w:r>
        <w:rPr>
          <w:rFonts w:ascii="Bookman Old Style" w:hAnsi="Bookman Old Style" w:cs="Arial"/>
        </w:rPr>
        <w:t>En donde,</w:t>
      </w:r>
    </w:p>
    <w:p w14:paraId="0AD96760" w14:textId="77777777" w:rsidR="0086143A" w:rsidRDefault="0086143A" w:rsidP="0086143A">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435"/>
        <w:gridCol w:w="7732"/>
      </w:tblGrid>
      <w:tr w:rsidR="0086143A" w14:paraId="51690283" w14:textId="77777777" w:rsidTr="043B6ADB">
        <w:tc>
          <w:tcPr>
            <w:tcW w:w="912" w:type="dxa"/>
          </w:tcPr>
          <w:p w14:paraId="515F7D27"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U,m</m:t>
                    </m:r>
                  </m:sub>
                </m:sSub>
              </m:oMath>
            </m:oMathPara>
          </w:p>
        </w:tc>
        <w:tc>
          <w:tcPr>
            <w:tcW w:w="435" w:type="dxa"/>
          </w:tcPr>
          <w:p w14:paraId="5751329C"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08" w:type="dxa"/>
          </w:tcPr>
          <w:p w14:paraId="610F64A9" w14:textId="77777777" w:rsidR="0086143A" w:rsidRDefault="0086143A" w:rsidP="006E45AE">
            <w:pPr>
              <w:ind w:right="142"/>
              <w:jc w:val="both"/>
              <w:rPr>
                <w:rFonts w:ascii="Bookman Old Style" w:hAnsi="Bookman Old Style" w:cs="Arial"/>
                <w:bCs/>
              </w:rPr>
            </w:pPr>
            <w:r w:rsidRPr="00F7441B">
              <w:rPr>
                <w:rFonts w:ascii="Bookman Old Style" w:hAnsi="Bookman Old Style" w:cs="Arial"/>
                <w:bCs/>
              </w:rPr>
              <w:t xml:space="preserve">Cargo </w:t>
            </w:r>
            <w:r>
              <w:rPr>
                <w:rFonts w:ascii="Bookman Old Style" w:hAnsi="Bookman Old Style" w:cs="Arial"/>
                <w:bCs/>
              </w:rPr>
              <w:t>m</w:t>
            </w:r>
            <w:r w:rsidRPr="00F7441B">
              <w:rPr>
                <w:rFonts w:ascii="Bookman Old Style" w:hAnsi="Bookman Old Style" w:cs="Arial"/>
                <w:bCs/>
              </w:rPr>
              <w:t xml:space="preserve">áximo de </w:t>
            </w:r>
            <w:r>
              <w:rPr>
                <w:rFonts w:ascii="Bookman Old Style" w:hAnsi="Bookman Old Style" w:cs="Arial"/>
                <w:bCs/>
              </w:rPr>
              <w:t>g</w:t>
            </w:r>
            <w:r w:rsidRPr="00F7441B">
              <w:rPr>
                <w:rFonts w:ascii="Bookman Old Style" w:hAnsi="Bookman Old Style" w:cs="Arial"/>
                <w:bCs/>
              </w:rPr>
              <w:t>eneración</w:t>
            </w:r>
            <w:r>
              <w:rPr>
                <w:rFonts w:ascii="Bookman Old Style" w:hAnsi="Bookman Old Style" w:cs="Arial"/>
                <w:bCs/>
              </w:rPr>
              <w:t xml:space="preserve"> para e</w:t>
            </w:r>
            <w:r>
              <w:rPr>
                <w:rFonts w:ascii="Bookman Old Style" w:hAnsi="Bookman Old Style" w:cs="Arial"/>
              </w:rPr>
              <w:t xml:space="preserve">l mercado relevante de comercialización señalado en este artículo, </w:t>
            </w:r>
            <w:r w:rsidRPr="00F7441B">
              <w:rPr>
                <w:rFonts w:ascii="Bookman Old Style" w:hAnsi="Bookman Old Style" w:cs="Arial"/>
                <w:bCs/>
              </w:rPr>
              <w:t xml:space="preserve">correspondiente al mes </w:t>
            </w:r>
            <w:r w:rsidRPr="00AE5CC6">
              <w:rPr>
                <w:rFonts w:ascii="Bookman Old Style" w:hAnsi="Bookman Old Style" w:cs="Arial"/>
                <w:bCs/>
                <w:i/>
              </w:rPr>
              <w:t>m</w:t>
            </w:r>
            <w:r w:rsidRPr="00F7441B">
              <w:rPr>
                <w:rFonts w:ascii="Bookman Old Style" w:hAnsi="Bookman Old Style" w:cs="Arial"/>
                <w:bCs/>
              </w:rPr>
              <w:t xml:space="preserve"> de prestación del servicio</w:t>
            </w:r>
            <w:r>
              <w:rPr>
                <w:rFonts w:ascii="Bookman Old Style" w:hAnsi="Bookman Old Style" w:cs="Arial"/>
                <w:bCs/>
              </w:rPr>
              <w:t>, expresado en pesos por kilovatio hora</w:t>
            </w:r>
            <w:r w:rsidRPr="00F7441B">
              <w:rPr>
                <w:rFonts w:ascii="Bookman Old Style" w:hAnsi="Bookman Old Style" w:cs="Arial"/>
                <w:bCs/>
              </w:rPr>
              <w:t xml:space="preserve"> ($/kWh).</w:t>
            </w:r>
          </w:p>
          <w:p w14:paraId="26958701" w14:textId="77777777" w:rsidR="0086143A" w:rsidRDefault="0086143A" w:rsidP="006E45AE">
            <w:pPr>
              <w:ind w:right="142"/>
              <w:jc w:val="both"/>
              <w:rPr>
                <w:rFonts w:ascii="Bookman Old Style" w:hAnsi="Bookman Old Style" w:cs="Arial"/>
                <w:bCs/>
              </w:rPr>
            </w:pPr>
          </w:p>
        </w:tc>
      </w:tr>
      <w:tr w:rsidR="0086143A" w14:paraId="62D732FF" w14:textId="77777777" w:rsidTr="043B6ADB">
        <w:tc>
          <w:tcPr>
            <w:tcW w:w="912" w:type="dxa"/>
          </w:tcPr>
          <w:p w14:paraId="44922A90" w14:textId="77777777" w:rsidR="0086143A" w:rsidRPr="0046501D" w:rsidRDefault="008151C2" w:rsidP="006E45AE">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m:oMathPara>
          </w:p>
        </w:tc>
        <w:tc>
          <w:tcPr>
            <w:tcW w:w="435" w:type="dxa"/>
          </w:tcPr>
          <w:p w14:paraId="3677C163"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08" w:type="dxa"/>
          </w:tcPr>
          <w:p w14:paraId="2B42BC19" w14:textId="77777777" w:rsidR="0086143A" w:rsidRDefault="0086143A" w:rsidP="006E45AE">
            <w:pPr>
              <w:ind w:right="142"/>
              <w:jc w:val="both"/>
              <w:rPr>
                <w:rFonts w:ascii="Bookman Old Style" w:hAnsi="Bookman Old Style" w:cs="Arial"/>
                <w:bCs/>
              </w:rPr>
            </w:pPr>
            <w:r>
              <w:rPr>
                <w:rFonts w:ascii="Bookman Old Style" w:hAnsi="Bookman Old Style" w:cs="Arial"/>
                <w:bCs/>
              </w:rPr>
              <w:t xml:space="preserve">Cargo máximo de generación para energía suministrada a partir de recursos energéticos diésel,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($/kWh)</w:t>
            </w:r>
            <w:r>
              <w:rPr>
                <w:rFonts w:ascii="Bookman Old Style" w:hAnsi="Bookman Old Style" w:cs="Arial"/>
                <w:bCs/>
              </w:rPr>
              <w:t>.</w:t>
            </w:r>
          </w:p>
          <w:p w14:paraId="3A36C959" w14:textId="77777777" w:rsidR="0086143A" w:rsidRPr="00F7441B" w:rsidRDefault="0086143A" w:rsidP="006E45AE">
            <w:pPr>
              <w:ind w:right="142"/>
              <w:jc w:val="both"/>
              <w:rPr>
                <w:rFonts w:ascii="Bookman Old Style" w:hAnsi="Bookman Old Style" w:cs="Arial"/>
                <w:bCs/>
              </w:rPr>
            </w:pPr>
          </w:p>
        </w:tc>
      </w:tr>
      <w:tr w:rsidR="0086143A" w14:paraId="05F6EA75" w14:textId="77777777" w:rsidTr="043B6ADB">
        <w:tc>
          <w:tcPr>
            <w:tcW w:w="912" w:type="dxa"/>
          </w:tcPr>
          <w:p w14:paraId="74CC4E67" w14:textId="77777777" w:rsidR="0086143A" w:rsidRPr="0046501D" w:rsidRDefault="008151C2" w:rsidP="006E45AE">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oMath>
            </m:oMathPara>
          </w:p>
        </w:tc>
        <w:tc>
          <w:tcPr>
            <w:tcW w:w="435" w:type="dxa"/>
          </w:tcPr>
          <w:p w14:paraId="5CE8C997"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08" w:type="dxa"/>
          </w:tcPr>
          <w:p w14:paraId="698A8F94" w14:textId="77777777" w:rsidR="0086143A" w:rsidRDefault="0086143A" w:rsidP="006E45AE">
            <w:pPr>
              <w:ind w:right="142"/>
              <w:jc w:val="both"/>
              <w:rPr>
                <w:rFonts w:ascii="Bookman Old Style" w:hAnsi="Bookman Old Style" w:cs="Arial"/>
                <w:bCs/>
              </w:rPr>
            </w:pPr>
            <w:r>
              <w:rPr>
                <w:rFonts w:ascii="Bookman Old Style" w:hAnsi="Bookman Old Style" w:cs="Arial"/>
                <w:bCs/>
              </w:rPr>
              <w:t>Cargo máximo de generación para energía suministrada a partir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($/kWh)</w:t>
            </w:r>
            <w:r>
              <w:rPr>
                <w:rFonts w:ascii="Bookman Old Style" w:hAnsi="Bookman Old Style" w:cs="Arial"/>
                <w:bCs/>
              </w:rPr>
              <w:t>.</w:t>
            </w:r>
          </w:p>
          <w:p w14:paraId="03B305EC" w14:textId="77777777" w:rsidR="0086143A" w:rsidRPr="00F7441B" w:rsidRDefault="0086143A" w:rsidP="006E45AE">
            <w:pPr>
              <w:ind w:right="142"/>
              <w:jc w:val="both"/>
              <w:rPr>
                <w:rFonts w:ascii="Bookman Old Style" w:hAnsi="Bookman Old Style" w:cs="Arial"/>
                <w:bCs/>
              </w:rPr>
            </w:pPr>
          </w:p>
        </w:tc>
      </w:tr>
      <w:tr w:rsidR="0086143A" w14:paraId="31F640FC" w14:textId="77777777" w:rsidTr="043B6ADB">
        <w:tc>
          <w:tcPr>
            <w:tcW w:w="912" w:type="dxa"/>
          </w:tcPr>
          <w:p w14:paraId="6C8D3510" w14:textId="77777777" w:rsidR="0086143A" w:rsidRPr="0046501D" w:rsidRDefault="008151C2" w:rsidP="006E45AE">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oMath>
            </m:oMathPara>
          </w:p>
        </w:tc>
        <w:tc>
          <w:tcPr>
            <w:tcW w:w="435" w:type="dxa"/>
          </w:tcPr>
          <w:p w14:paraId="00398740" w14:textId="77777777" w:rsidR="0086143A" w:rsidRDefault="0086143A" w:rsidP="006E45AE">
            <w:pPr>
              <w:ind w:right="142"/>
              <w:jc w:val="both"/>
              <w:rPr>
                <w:rFonts w:ascii="Bookman Old Style" w:hAnsi="Bookman Old Style" w:cs="Arial"/>
                <w:bCs/>
              </w:rPr>
            </w:pPr>
          </w:p>
        </w:tc>
        <w:tc>
          <w:tcPr>
            <w:tcW w:w="8008" w:type="dxa"/>
          </w:tcPr>
          <w:p w14:paraId="3A064D09" w14:textId="77777777" w:rsidR="0086143A" w:rsidRDefault="0086143A" w:rsidP="006E45AE">
            <w:pPr>
              <w:ind w:right="142"/>
              <w:jc w:val="both"/>
              <w:rPr>
                <w:rFonts w:ascii="Bookman Old Style" w:hAnsi="Bookman Old Style" w:cs="Arial"/>
                <w:bCs/>
              </w:rPr>
            </w:pPr>
            <w:r>
              <w:rPr>
                <w:rFonts w:ascii="Bookman Old Style" w:hAnsi="Bookman Old Style" w:cs="Arial"/>
                <w:bCs/>
              </w:rPr>
              <w:t>Cargo máximo de generación para energía suministrada a partir de acumuladores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 xml:space="preserve">s, para el mes </w:t>
            </w:r>
            <w:r w:rsidRPr="004F0E39">
              <w:rPr>
                <w:rFonts w:ascii="Bookman Old Style" w:hAnsi="Bookman Old Style" w:cs="Arial"/>
                <w:bCs/>
                <w:i/>
              </w:rPr>
              <w:t>m</w:t>
            </w:r>
            <w:r>
              <w:rPr>
                <w:rFonts w:ascii="Bookman Old Style" w:hAnsi="Bookman Old Style" w:cs="Arial"/>
                <w:bCs/>
              </w:rPr>
              <w:t>, expresado en pesos por kilovatio hora</w:t>
            </w:r>
            <w:r w:rsidRPr="00F7441B">
              <w:rPr>
                <w:rFonts w:ascii="Bookman Old Style" w:hAnsi="Bookman Old Style" w:cs="Arial"/>
                <w:bCs/>
              </w:rPr>
              <w:t xml:space="preserve"> ($/kWh)</w:t>
            </w:r>
            <w:r>
              <w:rPr>
                <w:rFonts w:ascii="Bookman Old Style" w:hAnsi="Bookman Old Style" w:cs="Arial"/>
                <w:bCs/>
              </w:rPr>
              <w:t>.</w:t>
            </w:r>
          </w:p>
          <w:p w14:paraId="1EC6213F" w14:textId="77777777" w:rsidR="0086143A" w:rsidRPr="00F7441B" w:rsidRDefault="0086143A" w:rsidP="006E45AE">
            <w:pPr>
              <w:ind w:right="142"/>
              <w:jc w:val="both"/>
              <w:rPr>
                <w:rFonts w:ascii="Bookman Old Style" w:hAnsi="Bookman Old Style" w:cs="Arial"/>
                <w:bCs/>
              </w:rPr>
            </w:pPr>
          </w:p>
        </w:tc>
      </w:tr>
      <w:tr w:rsidR="0086143A" w14:paraId="01816EA0" w14:textId="77777777" w:rsidTr="043B6ADB">
        <w:tc>
          <w:tcPr>
            <w:tcW w:w="912" w:type="dxa"/>
          </w:tcPr>
          <w:p w14:paraId="4F27C7E2" w14:textId="77777777" w:rsidR="0086143A" w:rsidRPr="008F6C07" w:rsidRDefault="008151C2" w:rsidP="006E45AE">
            <w:pPr>
              <w:ind w:right="142"/>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oMath>
            </m:oMathPara>
          </w:p>
        </w:tc>
        <w:tc>
          <w:tcPr>
            <w:tcW w:w="435" w:type="dxa"/>
          </w:tcPr>
          <w:p w14:paraId="442BF5C1"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08" w:type="dxa"/>
          </w:tcPr>
          <w:p w14:paraId="657FBFFB" w14:textId="77777777" w:rsidR="0086143A" w:rsidRDefault="0086143A" w:rsidP="006E45AE">
            <w:pPr>
              <w:ind w:right="142"/>
              <w:jc w:val="both"/>
              <w:rPr>
                <w:rFonts w:ascii="Bookman Old Style" w:hAnsi="Bookman Old Style" w:cs="Arial"/>
              </w:rPr>
            </w:pPr>
            <w:r w:rsidRPr="58E57430">
              <w:rPr>
                <w:rFonts w:ascii="Bookman Old Style" w:hAnsi="Bookman Old Style" w:cs="Arial"/>
              </w:rPr>
              <w:t xml:space="preserve">Proporción de la generación de recursos energéticos diésel como parte de la generación del parque de generación del mercado relevante de comercialización señalado en este artículo, para el mes </w:t>
            </w:r>
            <w:r w:rsidRPr="58E57430">
              <w:rPr>
                <w:rFonts w:ascii="Bookman Old Style" w:hAnsi="Bookman Old Style" w:cs="Arial"/>
                <w:i/>
                <w:iCs/>
              </w:rPr>
              <w:t>m</w:t>
            </w:r>
            <w:r w:rsidRPr="58E57430">
              <w:rPr>
                <w:rFonts w:ascii="Bookman Old Style" w:hAnsi="Bookman Old Style" w:cs="Arial"/>
              </w:rPr>
              <w:t>.</w:t>
            </w:r>
          </w:p>
          <w:p w14:paraId="70F4FC56" w14:textId="77777777" w:rsidR="0086143A" w:rsidRPr="00F7441B" w:rsidRDefault="0086143A" w:rsidP="006E45AE">
            <w:pPr>
              <w:ind w:right="142"/>
              <w:jc w:val="both"/>
              <w:rPr>
                <w:rFonts w:ascii="Bookman Old Style" w:hAnsi="Bookman Old Style" w:cs="Arial"/>
              </w:rPr>
            </w:pPr>
          </w:p>
        </w:tc>
      </w:tr>
      <w:tr w:rsidR="0086143A" w14:paraId="4D3442D8" w14:textId="77777777" w:rsidTr="043B6ADB">
        <w:tc>
          <w:tcPr>
            <w:tcW w:w="912" w:type="dxa"/>
          </w:tcPr>
          <w:p w14:paraId="5D7D9B82" w14:textId="77777777" w:rsidR="0086143A" w:rsidRPr="00F3786E" w:rsidRDefault="0086143A" w:rsidP="006E45AE">
            <w:pPr>
              <w:ind w:right="142"/>
              <w:rPr>
                <w:rFonts w:ascii="Bookman Old Style" w:hAnsi="Bookman Old Style" w:cs="Arial"/>
                <w:bCs/>
              </w:rPr>
            </w:pPr>
            <m:oMathPara>
              <m:oMathParaPr>
                <m:jc m:val="left"/>
              </m:oMathParaPr>
              <m:oMath>
                <m:r>
                  <w:rPr>
                    <w:rFonts w:ascii="Cambria Math" w:hAnsi="Cambria Math" w:cs="Arial"/>
                  </w:rPr>
                  <m:t>β</m:t>
                </m:r>
              </m:oMath>
            </m:oMathPara>
          </w:p>
        </w:tc>
        <w:tc>
          <w:tcPr>
            <w:tcW w:w="435" w:type="dxa"/>
          </w:tcPr>
          <w:p w14:paraId="36C3AA96"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08" w:type="dxa"/>
          </w:tcPr>
          <w:p w14:paraId="0B741210" w14:textId="37C5B63C" w:rsidR="0086143A" w:rsidRDefault="0086143A" w:rsidP="006E45AE">
            <w:pPr>
              <w:ind w:right="142"/>
              <w:jc w:val="both"/>
              <w:rPr>
                <w:rFonts w:ascii="Bookman Old Style" w:hAnsi="Bookman Old Style" w:cs="Arial"/>
              </w:rPr>
            </w:pPr>
            <w:r w:rsidRPr="58E57430">
              <w:rPr>
                <w:rFonts w:ascii="Bookman Old Style" w:eastAsia="Bookman Old Style" w:hAnsi="Bookman Old Style" w:cs="Bookman Old Style"/>
                <w:lang w:val="es"/>
              </w:rPr>
              <w:t xml:space="preserve">Proporción de la generación de recursos solares fotovoltaicos con alimentación directa a red, como parte de la generación de sistemas solares fotovoltaicos con acumulación, dentro del parque de generación del mercado relevante de comercialización señalado en este artículo, para el mes </w:t>
            </w:r>
            <w:r w:rsidRPr="58E57430">
              <w:rPr>
                <w:rFonts w:ascii="Bookman Old Style" w:eastAsia="Bookman Old Style" w:hAnsi="Bookman Old Style" w:cs="Bookman Old Style"/>
                <w:i/>
                <w:iCs/>
                <w:lang w:val="es"/>
              </w:rPr>
              <w:t>m</w:t>
            </w:r>
            <w:r w:rsidRPr="58E57430">
              <w:rPr>
                <w:rFonts w:ascii="Bookman Old Style" w:eastAsia="Bookman Old Style" w:hAnsi="Bookman Old Style" w:cs="Bookman Old Style"/>
                <w:lang w:val="es"/>
              </w:rPr>
              <w:t xml:space="preserve">. El valor mínimo de este parámetro será de </w:t>
            </w:r>
            <w:r w:rsidRPr="58E57430">
              <w:rPr>
                <w:rFonts w:ascii="Bookman Old Style" w:hAnsi="Bookman Old Style" w:cs="Arial"/>
              </w:rPr>
              <w:t>0,</w:t>
            </w:r>
            <w:r w:rsidR="00E660BD">
              <w:rPr>
                <w:rFonts w:ascii="Bookman Old Style" w:hAnsi="Bookman Old Style" w:cs="Arial"/>
              </w:rPr>
              <w:t>854</w:t>
            </w:r>
            <w:r w:rsidRPr="58E57430">
              <w:rPr>
                <w:rFonts w:ascii="Bookman Old Style" w:hAnsi="Bookman Old Style" w:cs="Arial"/>
              </w:rPr>
              <w:t>.</w:t>
            </w:r>
          </w:p>
          <w:p w14:paraId="7EE5B3EB" w14:textId="77777777" w:rsidR="0086143A" w:rsidRDefault="0086143A" w:rsidP="006E45AE">
            <w:pPr>
              <w:ind w:right="142"/>
              <w:jc w:val="both"/>
              <w:rPr>
                <w:rFonts w:ascii="Bookman Old Style" w:hAnsi="Bookman Old Style" w:cs="Arial"/>
              </w:rPr>
            </w:pPr>
          </w:p>
        </w:tc>
      </w:tr>
      <w:tr w:rsidR="0086143A" w14:paraId="2E5CBCC3" w14:textId="77777777" w:rsidTr="043B6ADB">
        <w:tc>
          <w:tcPr>
            <w:tcW w:w="912" w:type="dxa"/>
          </w:tcPr>
          <w:p w14:paraId="68F537B3" w14:textId="77777777" w:rsidR="0086143A" w:rsidRPr="00672E15"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tc>
        <w:tc>
          <w:tcPr>
            <w:tcW w:w="435" w:type="dxa"/>
          </w:tcPr>
          <w:p w14:paraId="2266C910"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08" w:type="dxa"/>
          </w:tcPr>
          <w:p w14:paraId="5C3C2807" w14:textId="77777777" w:rsidR="0086143A" w:rsidRDefault="0086143A" w:rsidP="006E45AE">
            <w:pPr>
              <w:ind w:right="142"/>
              <w:jc w:val="both"/>
              <w:rPr>
                <w:rFonts w:ascii="Bookman Old Style" w:hAnsi="Bookman Old Style" w:cs="Arial"/>
              </w:rPr>
            </w:pPr>
            <w:r w:rsidRPr="00672E15">
              <w:rPr>
                <w:rFonts w:ascii="Bookman Old Style" w:hAnsi="Bookman Old Style" w:cs="Arial"/>
              </w:rPr>
              <w:t xml:space="preserve">Cargo </w:t>
            </w:r>
            <w:r>
              <w:rPr>
                <w:rFonts w:ascii="Bookman Old Style" w:hAnsi="Bookman Old Style" w:cs="Arial"/>
              </w:rPr>
              <w:t xml:space="preserve">máximo </w:t>
            </w:r>
            <w:r w:rsidRPr="00672E15">
              <w:rPr>
                <w:rFonts w:ascii="Bookman Old Style" w:hAnsi="Bookman Old Style" w:cs="Arial"/>
              </w:rPr>
              <w:t xml:space="preserve">que remunera la </w:t>
            </w:r>
            <w:r>
              <w:rPr>
                <w:rFonts w:ascii="Bookman Old Style" w:hAnsi="Bookman Old Style" w:cs="Arial"/>
              </w:rPr>
              <w:t>a</w:t>
            </w:r>
            <w:r w:rsidRPr="00672E15">
              <w:rPr>
                <w:rFonts w:ascii="Bookman Old Style" w:hAnsi="Bookman Old Style" w:cs="Arial"/>
              </w:rPr>
              <w:t xml:space="preserve">ctividad de </w:t>
            </w:r>
            <w:r>
              <w:rPr>
                <w:rFonts w:ascii="Bookman Old Style" w:hAnsi="Bookman Old Style" w:cs="Arial"/>
              </w:rPr>
              <w:t>m</w:t>
            </w:r>
            <w:r w:rsidRPr="00672E15">
              <w:rPr>
                <w:rFonts w:ascii="Bookman Old Style" w:hAnsi="Bookman Old Style" w:cs="Arial"/>
              </w:rPr>
              <w:t xml:space="preserve">onitoreo, expresado </w:t>
            </w:r>
            <w:r>
              <w:rPr>
                <w:rFonts w:ascii="Bookman Old Style" w:hAnsi="Bookman Old Style" w:cs="Arial"/>
                <w:bCs/>
              </w:rPr>
              <w:t>en pesos por kilovatio hora</w:t>
            </w:r>
            <w:r w:rsidRPr="00F7441B">
              <w:rPr>
                <w:rFonts w:ascii="Bookman Old Style" w:hAnsi="Bookman Old Style" w:cs="Arial"/>
                <w:bCs/>
              </w:rPr>
              <w:t xml:space="preserve"> ($/kWh)</w:t>
            </w:r>
            <w:r>
              <w:rPr>
                <w:rFonts w:ascii="Bookman Old Style" w:hAnsi="Bookman Old Style" w:cs="Arial"/>
                <w:bCs/>
              </w:rPr>
              <w:t xml:space="preserve">. Para los efectos de esta resolución el valor reconocido será igual a cero (0). La </w:t>
            </w:r>
            <w:r w:rsidRPr="00672E15">
              <w:rPr>
                <w:rFonts w:ascii="Bookman Old Style" w:hAnsi="Bookman Old Style" w:cs="Arial"/>
              </w:rPr>
              <w:t xml:space="preserve">CREG </w:t>
            </w:r>
            <w:r>
              <w:rPr>
                <w:rFonts w:ascii="Bookman Old Style" w:hAnsi="Bookman Old Style" w:cs="Arial"/>
              </w:rPr>
              <w:t xml:space="preserve">podrá revisar este valor, de oficio o por solicitud del prestador del servicio, </w:t>
            </w:r>
            <w:r w:rsidRPr="00672E15">
              <w:rPr>
                <w:rFonts w:ascii="Bookman Old Style" w:hAnsi="Bookman Old Style" w:cs="Arial"/>
              </w:rPr>
              <w:t xml:space="preserve">en </w:t>
            </w:r>
            <w:r>
              <w:rPr>
                <w:rFonts w:ascii="Bookman Old Style" w:hAnsi="Bookman Old Style" w:cs="Arial"/>
              </w:rPr>
              <w:t>r</w:t>
            </w:r>
            <w:r w:rsidRPr="00672E15">
              <w:rPr>
                <w:rFonts w:ascii="Bookman Old Style" w:hAnsi="Bookman Old Style" w:cs="Arial"/>
              </w:rPr>
              <w:t>esolución posterior.</w:t>
            </w:r>
          </w:p>
          <w:p w14:paraId="0AD87DBF" w14:textId="77777777" w:rsidR="0086143A" w:rsidRDefault="0086143A" w:rsidP="006E45AE">
            <w:pPr>
              <w:ind w:right="142"/>
              <w:jc w:val="both"/>
              <w:rPr>
                <w:rFonts w:ascii="Bookman Old Style" w:hAnsi="Bookman Old Style" w:cs="Arial"/>
              </w:rPr>
            </w:pPr>
          </w:p>
        </w:tc>
      </w:tr>
      <w:tr w:rsidR="0086143A" w14:paraId="152D4F7C" w14:textId="77777777" w:rsidTr="043B6ADB">
        <w:tc>
          <w:tcPr>
            <w:tcW w:w="912" w:type="dxa"/>
          </w:tcPr>
          <w:p w14:paraId="36C25D68" w14:textId="15BA0093" w:rsidR="0086143A" w:rsidRPr="00FA14D6" w:rsidRDefault="0086143A" w:rsidP="006E45AE">
            <w:pPr>
              <w:ind w:right="142"/>
              <w:rPr>
                <w:i/>
              </w:rPr>
            </w:pPr>
            <w:r>
              <w:rPr>
                <w:i/>
              </w:rPr>
              <w:t>M</w:t>
            </w:r>
          </w:p>
        </w:tc>
        <w:tc>
          <w:tcPr>
            <w:tcW w:w="435" w:type="dxa"/>
          </w:tcPr>
          <w:p w14:paraId="59862D15"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08" w:type="dxa"/>
          </w:tcPr>
          <w:p w14:paraId="0B7C515A" w14:textId="77777777" w:rsidR="0086143A" w:rsidRDefault="0086143A" w:rsidP="006E45AE">
            <w:pPr>
              <w:ind w:right="142"/>
              <w:jc w:val="both"/>
              <w:rPr>
                <w:rFonts w:ascii="Bookman Old Style" w:hAnsi="Bookman Old Style" w:cs="Arial"/>
              </w:rPr>
            </w:pPr>
            <w:r>
              <w:rPr>
                <w:rFonts w:ascii="Bookman Old Style" w:hAnsi="Bookman Old Style" w:cs="Arial"/>
              </w:rPr>
              <w:t>Mes de cálculo de la tarifa.</w:t>
            </w:r>
          </w:p>
          <w:p w14:paraId="3B49B18D" w14:textId="77777777" w:rsidR="0086143A" w:rsidRDefault="0086143A" w:rsidP="006E45AE">
            <w:pPr>
              <w:ind w:right="142"/>
              <w:jc w:val="both"/>
              <w:rPr>
                <w:rFonts w:ascii="Bookman Old Style" w:hAnsi="Bookman Old Style" w:cs="Arial"/>
              </w:rPr>
            </w:pPr>
          </w:p>
        </w:tc>
      </w:tr>
    </w:tbl>
    <w:p w14:paraId="1DC0E49D" w14:textId="77777777" w:rsidR="0086143A" w:rsidRDefault="0086143A" w:rsidP="001C6E57">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oMath>
      <w:r>
        <w:rPr>
          <w:rFonts w:ascii="Bookman Old Style" w:hAnsi="Bookman Old Style" w:cs="Arial"/>
        </w:rPr>
        <w:t xml:space="preserve"> se obtiene a partir de la siguiente fórmula:</w:t>
      </w:r>
    </w:p>
    <w:p w14:paraId="0C0F27FD" w14:textId="77777777" w:rsidR="0086143A" w:rsidRDefault="0086143A" w:rsidP="0086143A">
      <w:pPr>
        <w:ind w:left="284" w:right="142"/>
        <w:jc w:val="both"/>
        <w:rPr>
          <w:rFonts w:ascii="Bookman Old Style" w:hAnsi="Bookman Old Style" w:cs="Arial"/>
        </w:rPr>
      </w:pPr>
    </w:p>
    <w:p w14:paraId="439F4B8E" w14:textId="5D22A868" w:rsidR="0086143A" w:rsidRDefault="008151C2" w:rsidP="00CF56F7">
      <w:pPr>
        <w:ind w:left="284" w:right="142"/>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α</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ED</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oMath>
      </m:oMathPara>
    </w:p>
    <w:p w14:paraId="51226119" w14:textId="77777777" w:rsidR="0086143A" w:rsidRDefault="0086143A" w:rsidP="0086143A">
      <w:pPr>
        <w:ind w:left="284" w:right="142"/>
        <w:jc w:val="both"/>
        <w:rPr>
          <w:rFonts w:ascii="Bookman Old Style" w:hAnsi="Bookman Old Style" w:cs="Arial"/>
        </w:rPr>
      </w:pPr>
      <w:r>
        <w:rPr>
          <w:rFonts w:ascii="Bookman Old Style" w:hAnsi="Bookman Old Style" w:cs="Arial"/>
        </w:rPr>
        <w:t>En donde,</w:t>
      </w:r>
    </w:p>
    <w:p w14:paraId="2EF3E61B" w14:textId="77777777" w:rsidR="0086143A" w:rsidRDefault="0086143A" w:rsidP="0086143A">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423"/>
        <w:gridCol w:w="7743"/>
      </w:tblGrid>
      <w:tr w:rsidR="0086143A" w14:paraId="0A3434E7" w14:textId="77777777" w:rsidTr="043B6ADB">
        <w:tc>
          <w:tcPr>
            <w:tcW w:w="912" w:type="dxa"/>
          </w:tcPr>
          <w:p w14:paraId="5DCF7478"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ED</m:t>
                    </m:r>
                  </m:e>
                  <m:sub>
                    <m:r>
                      <w:rPr>
                        <w:rFonts w:ascii="Cambria Math" w:hAnsi="Cambria Math" w:cs="Arial"/>
                      </w:rPr>
                      <m:t>m-1</m:t>
                    </m:r>
                  </m:sub>
                </m:sSub>
              </m:oMath>
            </m:oMathPara>
          </w:p>
        </w:tc>
        <w:tc>
          <w:tcPr>
            <w:tcW w:w="433" w:type="dxa"/>
          </w:tcPr>
          <w:p w14:paraId="7AB4178D" w14:textId="77777777" w:rsidR="0086143A" w:rsidRDefault="0086143A" w:rsidP="006E45AE">
            <w:pPr>
              <w:ind w:right="142"/>
              <w:jc w:val="both"/>
              <w:rPr>
                <w:rFonts w:ascii="Bookman Old Style" w:hAnsi="Bookman Old Style" w:cs="Arial"/>
                <w:bCs/>
              </w:rPr>
            </w:pPr>
          </w:p>
        </w:tc>
        <w:tc>
          <w:tcPr>
            <w:tcW w:w="8010" w:type="dxa"/>
          </w:tcPr>
          <w:p w14:paraId="69F87501"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Energía total entregada al sistema de distribución del mercado relevante de comercialización señalado en este artículo, por los recursos energéticos diésel del parque de generación,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w:t>
            </w:r>
          </w:p>
          <w:p w14:paraId="7BADA012" w14:textId="77777777" w:rsidR="0086143A" w:rsidRDefault="0086143A" w:rsidP="006E45AE">
            <w:pPr>
              <w:ind w:right="142"/>
              <w:jc w:val="both"/>
              <w:rPr>
                <w:rFonts w:ascii="Bookman Old Style" w:hAnsi="Bookman Old Style" w:cs="Arial"/>
              </w:rPr>
            </w:pPr>
          </w:p>
          <w:p w14:paraId="4EE2C448"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A partir de la </w:t>
            </w:r>
            <w:proofErr w:type="gramStart"/>
            <w:r>
              <w:rPr>
                <w:rFonts w:ascii="Bookman Old Style" w:hAnsi="Bookman Old Style" w:cs="Arial"/>
              </w:rPr>
              <w:t>entrada en vigencia</w:t>
            </w:r>
            <w:proofErr w:type="gramEnd"/>
            <w:r>
              <w:rPr>
                <w:rFonts w:ascii="Bookman Old Style" w:hAnsi="Bookman Old Style" w:cs="Arial"/>
              </w:rPr>
              <w:t xml:space="preserve"> de esta resolución, según lo previsto en el artículo 3 de esta resolución y hasta contar con un histórico de 12 meses, se tomará la información acumulada de los meses que hayan transcurrido.</w:t>
            </w:r>
          </w:p>
          <w:p w14:paraId="6C90CDCD" w14:textId="77777777" w:rsidR="0086143A" w:rsidRDefault="0086143A" w:rsidP="006E45AE">
            <w:pPr>
              <w:ind w:right="142"/>
              <w:jc w:val="both"/>
              <w:rPr>
                <w:rFonts w:ascii="Bookman Old Style" w:hAnsi="Bookman Old Style" w:cs="Arial"/>
              </w:rPr>
            </w:pPr>
          </w:p>
        </w:tc>
      </w:tr>
      <w:tr w:rsidR="0086143A" w14:paraId="7B723E97" w14:textId="77777777" w:rsidTr="043B6ADB">
        <w:tc>
          <w:tcPr>
            <w:tcW w:w="912" w:type="dxa"/>
          </w:tcPr>
          <w:p w14:paraId="0FDE261D"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m:oMathPara>
          </w:p>
        </w:tc>
        <w:tc>
          <w:tcPr>
            <w:tcW w:w="433" w:type="dxa"/>
          </w:tcPr>
          <w:p w14:paraId="5868CFBF" w14:textId="77777777" w:rsidR="0086143A" w:rsidRDefault="0086143A" w:rsidP="006E45AE">
            <w:pPr>
              <w:ind w:right="142"/>
              <w:jc w:val="both"/>
              <w:rPr>
                <w:rFonts w:ascii="Bookman Old Style" w:hAnsi="Bookman Old Style" w:cs="Arial"/>
                <w:bCs/>
              </w:rPr>
            </w:pPr>
          </w:p>
        </w:tc>
        <w:tc>
          <w:tcPr>
            <w:tcW w:w="8010" w:type="dxa"/>
          </w:tcPr>
          <w:p w14:paraId="47F6A87B"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Energía total entregada al sistema de distribución del mercado relevante de comercialización señalado en este artículo, por el parque de generación,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 xml:space="preserve">. </w:t>
            </w:r>
          </w:p>
          <w:p w14:paraId="5CAA4535" w14:textId="77777777" w:rsidR="0086143A" w:rsidRDefault="0086143A" w:rsidP="006E45AE">
            <w:pPr>
              <w:ind w:right="142"/>
              <w:jc w:val="both"/>
              <w:rPr>
                <w:rFonts w:ascii="Bookman Old Style" w:hAnsi="Bookman Old Style" w:cs="Arial"/>
              </w:rPr>
            </w:pPr>
          </w:p>
          <w:p w14:paraId="0B2DE9E2" w14:textId="77777777" w:rsidR="0086143A" w:rsidRDefault="0086143A" w:rsidP="006E45AE">
            <w:pPr>
              <w:ind w:right="142"/>
              <w:jc w:val="both"/>
              <w:rPr>
                <w:rFonts w:ascii="Bookman Old Style" w:hAnsi="Bookman Old Style" w:cs="Arial"/>
              </w:rPr>
            </w:pPr>
            <w:r w:rsidRPr="505A2760">
              <w:rPr>
                <w:rFonts w:ascii="Bookman Old Style" w:hAnsi="Bookman Old Style" w:cs="Arial"/>
              </w:rPr>
              <w:t xml:space="preserve">A partir de la </w:t>
            </w:r>
            <w:proofErr w:type="gramStart"/>
            <w:r w:rsidRPr="505A2760">
              <w:rPr>
                <w:rFonts w:ascii="Bookman Old Style" w:hAnsi="Bookman Old Style" w:cs="Arial"/>
              </w:rPr>
              <w:t>entrada en vigencia</w:t>
            </w:r>
            <w:proofErr w:type="gramEnd"/>
            <w:r w:rsidRPr="505A2760">
              <w:rPr>
                <w:rFonts w:ascii="Bookman Old Style" w:hAnsi="Bookman Old Style" w:cs="Arial"/>
              </w:rPr>
              <w:t xml:space="preserve"> de esta resolución, según lo previsto en el artículo 3 de esta resolución y hasta contar con un histórico de 12 meses, se tomará la información acumulada de los meses que hayan transcurrido.</w:t>
            </w:r>
          </w:p>
        </w:tc>
      </w:tr>
    </w:tbl>
    <w:p w14:paraId="4D0D5B7A" w14:textId="63316B9B" w:rsidR="043B6ADB" w:rsidRDefault="043B6ADB"/>
    <w:p w14:paraId="68D82F99" w14:textId="77777777" w:rsidR="0086143A" w:rsidRDefault="0086143A" w:rsidP="0086143A">
      <w:pPr>
        <w:ind w:left="284" w:right="142"/>
        <w:jc w:val="both"/>
        <w:rPr>
          <w:rFonts w:ascii="Bookman Old Style" w:hAnsi="Bookman Old Style" w:cs="Arial"/>
        </w:rPr>
      </w:pPr>
    </w:p>
    <w:p w14:paraId="48A6ED74" w14:textId="77777777" w:rsidR="0086143A" w:rsidRDefault="0086143A" w:rsidP="0086143A">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m</m:t>
            </m:r>
          </m:sub>
        </m:sSub>
      </m:oMath>
      <w:r>
        <w:rPr>
          <w:rFonts w:ascii="Bookman Old Style" w:hAnsi="Bookman Old Style" w:cs="Arial"/>
        </w:rPr>
        <w:t xml:space="preserve"> se obtiene a partir de la siguiente fórmula:</w:t>
      </w:r>
    </w:p>
    <w:p w14:paraId="46F0520F" w14:textId="77777777" w:rsidR="0086143A" w:rsidRDefault="0086143A" w:rsidP="0086143A">
      <w:pPr>
        <w:ind w:left="284" w:right="142"/>
        <w:jc w:val="both"/>
        <w:rPr>
          <w:rFonts w:ascii="Bookman Old Style" w:hAnsi="Bookman Old Style" w:cs="Arial"/>
        </w:rPr>
      </w:pPr>
    </w:p>
    <w:p w14:paraId="78CF7336" w14:textId="0EA0C939" w:rsidR="0086143A" w:rsidRDefault="008151C2" w:rsidP="00F44731">
      <w:pPr>
        <w:ind w:left="284" w:right="142"/>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β</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ESFV</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ESFV</m:t>
                  </m:r>
                </m:e>
                <m:sub>
                  <m:r>
                    <w:rPr>
                      <w:rFonts w:ascii="Cambria Math" w:hAnsi="Cambria Math" w:cs="Arial"/>
                    </w:rPr>
                    <m:t>m-1</m:t>
                  </m:r>
                </m:sub>
              </m:sSub>
              <m:r>
                <w:rPr>
                  <w:rFonts w:ascii="Cambria Math" w:hAnsi="Cambria Math" w:cs="Arial"/>
                </w:rPr>
                <m:t>+</m:t>
              </m:r>
              <m:sSub>
                <m:sSubPr>
                  <m:ctrlPr>
                    <w:rPr>
                      <w:rFonts w:ascii="Cambria Math" w:hAnsi="Cambria Math" w:cs="Arial"/>
                      <w:i/>
                    </w:rPr>
                  </m:ctrlPr>
                </m:sSubPr>
                <m:e>
                  <m:r>
                    <w:rPr>
                      <w:rFonts w:ascii="Cambria Math" w:hAnsi="Cambria Math" w:cs="Arial"/>
                    </w:rPr>
                    <m:t>EA</m:t>
                  </m:r>
                </m:e>
                <m:sub>
                  <m:r>
                    <w:rPr>
                      <w:rFonts w:ascii="Cambria Math" w:hAnsi="Cambria Math" w:cs="Arial"/>
                    </w:rPr>
                    <m:t>m-1</m:t>
                  </m:r>
                </m:sub>
              </m:sSub>
            </m:den>
          </m:f>
        </m:oMath>
      </m:oMathPara>
    </w:p>
    <w:p w14:paraId="4983C498" w14:textId="77777777" w:rsidR="0086143A" w:rsidRDefault="0086143A" w:rsidP="0086143A">
      <w:pPr>
        <w:ind w:left="284" w:right="142"/>
        <w:jc w:val="both"/>
        <w:rPr>
          <w:rFonts w:ascii="Bookman Old Style" w:hAnsi="Bookman Old Style" w:cs="Arial"/>
        </w:rPr>
      </w:pPr>
      <w:r>
        <w:rPr>
          <w:rFonts w:ascii="Bookman Old Style" w:hAnsi="Bookman Old Style" w:cs="Arial"/>
        </w:rPr>
        <w:t>En donde,</w:t>
      </w:r>
    </w:p>
    <w:p w14:paraId="5F19DD4C" w14:textId="77777777" w:rsidR="0086143A" w:rsidRDefault="0086143A" w:rsidP="0086143A">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415"/>
        <w:gridCol w:w="7511"/>
      </w:tblGrid>
      <w:tr w:rsidR="0086143A" w14:paraId="55AB6D8C" w14:textId="77777777" w:rsidTr="043B6ADB">
        <w:tc>
          <w:tcPr>
            <w:tcW w:w="912" w:type="dxa"/>
          </w:tcPr>
          <w:p w14:paraId="7E4BA3E4"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ESFV</m:t>
                    </m:r>
                  </m:e>
                  <m:sub>
                    <m:r>
                      <w:rPr>
                        <w:rFonts w:ascii="Cambria Math" w:hAnsi="Cambria Math" w:cs="Arial"/>
                      </w:rPr>
                      <m:t>m-1</m:t>
                    </m:r>
                  </m:sub>
                </m:sSub>
              </m:oMath>
            </m:oMathPara>
          </w:p>
        </w:tc>
        <w:tc>
          <w:tcPr>
            <w:tcW w:w="433" w:type="dxa"/>
          </w:tcPr>
          <w:p w14:paraId="36DB68A0" w14:textId="77777777" w:rsidR="0086143A" w:rsidRDefault="0086143A" w:rsidP="006E45AE">
            <w:pPr>
              <w:ind w:right="142"/>
              <w:jc w:val="both"/>
              <w:rPr>
                <w:rFonts w:ascii="Bookman Old Style" w:hAnsi="Bookman Old Style" w:cs="Arial"/>
                <w:bCs/>
              </w:rPr>
            </w:pPr>
          </w:p>
        </w:tc>
        <w:tc>
          <w:tcPr>
            <w:tcW w:w="8010" w:type="dxa"/>
          </w:tcPr>
          <w:p w14:paraId="1A499346" w14:textId="77777777" w:rsidR="0086143A" w:rsidRDefault="0086143A" w:rsidP="006E45AE">
            <w:pPr>
              <w:ind w:right="142"/>
              <w:jc w:val="both"/>
              <w:rPr>
                <w:rFonts w:ascii="Bookman Old Style" w:hAnsi="Bookman Old Style" w:cs="Arial"/>
              </w:rPr>
            </w:pPr>
            <w:r>
              <w:rPr>
                <w:rFonts w:ascii="Bookman Old Style" w:hAnsi="Bookman Old Style" w:cs="Arial"/>
              </w:rPr>
              <w:t>Energía total entregada al sistema de distribución del mercado relevante de comercialización respectivo, por los recursos s</w:t>
            </w:r>
            <w:r w:rsidRPr="004F2711">
              <w:rPr>
                <w:rFonts w:ascii="Bookman Old Style" w:hAnsi="Bookman Old Style" w:cs="Arial"/>
              </w:rPr>
              <w:t>olar</w:t>
            </w:r>
            <w:r>
              <w:rPr>
                <w:rFonts w:ascii="Bookman Old Style" w:hAnsi="Bookman Old Style" w:cs="Arial"/>
              </w:rPr>
              <w:t>es</w:t>
            </w:r>
            <w:r w:rsidRPr="004F2711">
              <w:rPr>
                <w:rFonts w:ascii="Bookman Old Style" w:hAnsi="Bookman Old Style" w:cs="Arial"/>
              </w:rPr>
              <w:t xml:space="preserve"> fotovoltaico</w:t>
            </w:r>
            <w:r>
              <w:rPr>
                <w:rFonts w:ascii="Bookman Old Style" w:hAnsi="Bookman Old Style" w:cs="Arial"/>
              </w:rPr>
              <w:t>s</w:t>
            </w:r>
            <w:r w:rsidRPr="004F2711">
              <w:rPr>
                <w:rFonts w:ascii="Bookman Old Style" w:hAnsi="Bookman Old Style" w:cs="Arial"/>
              </w:rPr>
              <w:t xml:space="preserve"> con alimentación directa a red</w:t>
            </w:r>
            <w:r>
              <w:rPr>
                <w:rFonts w:ascii="Bookman Old Style" w:hAnsi="Bookman Old Style" w:cs="Arial"/>
              </w:rPr>
              <w:t>,</w:t>
            </w:r>
            <w:r w:rsidRPr="004F2711">
              <w:rPr>
                <w:rFonts w:ascii="Bookman Old Style" w:hAnsi="Bookman Old Style" w:cs="Arial"/>
              </w:rPr>
              <w:t xml:space="preserve"> </w:t>
            </w:r>
            <w:r>
              <w:rPr>
                <w:rFonts w:ascii="Bookman Old Style" w:hAnsi="Bookman Old Style" w:cs="Arial"/>
              </w:rPr>
              <w:t xml:space="preserve">del parque de generación conectado a dicho sistema de distribución,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w:t>
            </w:r>
          </w:p>
          <w:p w14:paraId="13A3B368" w14:textId="77777777" w:rsidR="0086143A" w:rsidRDefault="0086143A" w:rsidP="006E45AE">
            <w:pPr>
              <w:ind w:right="142"/>
              <w:jc w:val="both"/>
              <w:rPr>
                <w:rFonts w:ascii="Bookman Old Style" w:hAnsi="Bookman Old Style" w:cs="Arial"/>
              </w:rPr>
            </w:pPr>
          </w:p>
          <w:p w14:paraId="0A26617E"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A partir de la </w:t>
            </w:r>
            <w:proofErr w:type="gramStart"/>
            <w:r>
              <w:rPr>
                <w:rFonts w:ascii="Bookman Old Style" w:hAnsi="Bookman Old Style" w:cs="Arial"/>
              </w:rPr>
              <w:t>entrada en vigencia</w:t>
            </w:r>
            <w:proofErr w:type="gramEnd"/>
            <w:r>
              <w:rPr>
                <w:rFonts w:ascii="Bookman Old Style" w:hAnsi="Bookman Old Style" w:cs="Arial"/>
              </w:rPr>
              <w:t xml:space="preserve"> de esta resolución, según lo </w:t>
            </w:r>
            <w:r w:rsidRPr="00FE027C">
              <w:rPr>
                <w:rFonts w:ascii="Bookman Old Style" w:hAnsi="Bookman Old Style" w:cs="Arial"/>
              </w:rPr>
              <w:t>previsto en el artículo 3 de esta resolución</w:t>
            </w:r>
            <w:r>
              <w:rPr>
                <w:rFonts w:ascii="Bookman Old Style" w:hAnsi="Bookman Old Style" w:cs="Arial"/>
              </w:rPr>
              <w:t>, y hasta contar con un histórico de 12 meses, se tomará la información acumulada de los meses que hayan transcurrido.</w:t>
            </w:r>
          </w:p>
          <w:p w14:paraId="7D76E7E6" w14:textId="77777777" w:rsidR="0086143A" w:rsidRDefault="0086143A" w:rsidP="006E45AE">
            <w:pPr>
              <w:ind w:right="142"/>
              <w:jc w:val="both"/>
              <w:rPr>
                <w:rFonts w:ascii="Bookman Old Style" w:hAnsi="Bookman Old Style" w:cs="Arial"/>
              </w:rPr>
            </w:pPr>
          </w:p>
        </w:tc>
      </w:tr>
      <w:tr w:rsidR="0086143A" w14:paraId="6B5F2A66" w14:textId="77777777" w:rsidTr="043B6ADB">
        <w:tc>
          <w:tcPr>
            <w:tcW w:w="912" w:type="dxa"/>
          </w:tcPr>
          <w:p w14:paraId="2C966B9A"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EA</m:t>
                    </m:r>
                  </m:e>
                  <m:sub>
                    <m:r>
                      <w:rPr>
                        <w:rFonts w:ascii="Cambria Math" w:hAnsi="Cambria Math" w:cs="Arial"/>
                      </w:rPr>
                      <m:t>m-1</m:t>
                    </m:r>
                  </m:sub>
                </m:sSub>
              </m:oMath>
            </m:oMathPara>
          </w:p>
        </w:tc>
        <w:tc>
          <w:tcPr>
            <w:tcW w:w="433" w:type="dxa"/>
          </w:tcPr>
          <w:p w14:paraId="21AAC153" w14:textId="77777777" w:rsidR="0086143A" w:rsidRDefault="0086143A" w:rsidP="006E45AE">
            <w:pPr>
              <w:ind w:right="142"/>
              <w:jc w:val="both"/>
              <w:rPr>
                <w:rFonts w:ascii="Bookman Old Style" w:hAnsi="Bookman Old Style" w:cs="Arial"/>
                <w:bCs/>
              </w:rPr>
            </w:pPr>
          </w:p>
        </w:tc>
        <w:tc>
          <w:tcPr>
            <w:tcW w:w="8010" w:type="dxa"/>
          </w:tcPr>
          <w:p w14:paraId="2EC7407B" w14:textId="77777777" w:rsidR="0086143A" w:rsidRDefault="0086143A" w:rsidP="006E45AE">
            <w:pPr>
              <w:ind w:right="142"/>
              <w:jc w:val="both"/>
              <w:rPr>
                <w:rFonts w:ascii="Bookman Old Style" w:hAnsi="Bookman Old Style" w:cs="Arial"/>
              </w:rPr>
            </w:pPr>
            <w:r>
              <w:rPr>
                <w:rFonts w:ascii="Bookman Old Style" w:hAnsi="Bookman Old Style" w:cs="Arial"/>
              </w:rPr>
              <w:t>Energía total entregada al sistema de distribución del mercado relevante de comercialización respectivo, desde equipos de a</w:t>
            </w:r>
            <w:r w:rsidRPr="004F2711">
              <w:rPr>
                <w:rFonts w:ascii="Bookman Old Style" w:hAnsi="Bookman Old Style" w:cs="Arial"/>
              </w:rPr>
              <w:t>cumulación de recurso</w:t>
            </w:r>
            <w:r>
              <w:rPr>
                <w:rFonts w:ascii="Bookman Old Style" w:hAnsi="Bookman Old Style" w:cs="Arial"/>
              </w:rPr>
              <w:t>s</w:t>
            </w:r>
            <w:r w:rsidRPr="004F2711">
              <w:rPr>
                <w:rFonts w:ascii="Bookman Old Style" w:hAnsi="Bookman Old Style" w:cs="Arial"/>
              </w:rPr>
              <w:t xml:space="preserve"> solar</w:t>
            </w:r>
            <w:r>
              <w:rPr>
                <w:rFonts w:ascii="Bookman Old Style" w:hAnsi="Bookman Old Style" w:cs="Arial"/>
              </w:rPr>
              <w:t>es</w:t>
            </w:r>
            <w:r w:rsidRPr="004F2711">
              <w:rPr>
                <w:rFonts w:ascii="Bookman Old Style" w:hAnsi="Bookman Old Style" w:cs="Arial"/>
              </w:rPr>
              <w:t xml:space="preserve"> fotovoltaico</w:t>
            </w:r>
            <w:r>
              <w:rPr>
                <w:rFonts w:ascii="Bookman Old Style" w:hAnsi="Bookman Old Style" w:cs="Arial"/>
              </w:rPr>
              <w:t>s,</w:t>
            </w:r>
            <w:r w:rsidRPr="004F2711">
              <w:rPr>
                <w:rFonts w:ascii="Bookman Old Style" w:hAnsi="Bookman Old Style" w:cs="Arial"/>
              </w:rPr>
              <w:t xml:space="preserve"> </w:t>
            </w:r>
            <w:r>
              <w:rPr>
                <w:rFonts w:ascii="Bookman Old Style" w:hAnsi="Bookman Old Style" w:cs="Arial"/>
              </w:rPr>
              <w:t xml:space="preserve">del parque de generación conectados a dicho sistema de distribución, durante los últimos doce meses contados a partir del mes </w:t>
            </w:r>
            <w:r w:rsidRPr="00FB562A">
              <w:rPr>
                <w:rFonts w:ascii="Bookman Old Style" w:hAnsi="Bookman Old Style" w:cs="Arial"/>
                <w:i/>
              </w:rPr>
              <w:t>m</w:t>
            </w:r>
            <w:r>
              <w:rPr>
                <w:rFonts w:ascii="Bookman Old Style" w:hAnsi="Bookman Old Style" w:cs="Arial"/>
                <w:i/>
              </w:rPr>
              <w:t>-1</w:t>
            </w:r>
            <w:r>
              <w:rPr>
                <w:rFonts w:ascii="Bookman Old Style" w:hAnsi="Bookman Old Style" w:cs="Arial"/>
              </w:rPr>
              <w:t>.</w:t>
            </w:r>
          </w:p>
          <w:p w14:paraId="2D01726C" w14:textId="77777777" w:rsidR="0086143A" w:rsidRDefault="0086143A" w:rsidP="006E45AE">
            <w:pPr>
              <w:ind w:right="142"/>
              <w:jc w:val="both"/>
              <w:rPr>
                <w:rFonts w:ascii="Bookman Old Style" w:hAnsi="Bookman Old Style" w:cs="Arial"/>
              </w:rPr>
            </w:pPr>
          </w:p>
          <w:p w14:paraId="2B8F5481"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A partir de la </w:t>
            </w:r>
            <w:proofErr w:type="gramStart"/>
            <w:r>
              <w:rPr>
                <w:rFonts w:ascii="Bookman Old Style" w:hAnsi="Bookman Old Style" w:cs="Arial"/>
              </w:rPr>
              <w:t>entrada en vigencia</w:t>
            </w:r>
            <w:proofErr w:type="gramEnd"/>
            <w:r>
              <w:rPr>
                <w:rFonts w:ascii="Bookman Old Style" w:hAnsi="Bookman Old Style" w:cs="Arial"/>
              </w:rPr>
              <w:t xml:space="preserve"> de esta resolución, según lo </w:t>
            </w:r>
            <w:r w:rsidRPr="00FE027C">
              <w:rPr>
                <w:rFonts w:ascii="Bookman Old Style" w:hAnsi="Bookman Old Style" w:cs="Arial"/>
              </w:rPr>
              <w:t>previsto en el artículo 3 de esta resolución</w:t>
            </w:r>
            <w:r>
              <w:rPr>
                <w:rFonts w:ascii="Bookman Old Style" w:hAnsi="Bookman Old Style" w:cs="Arial"/>
              </w:rPr>
              <w:t>, y hasta contar con un histórico de 12 meses, se tomará la información acumulada de los meses que hayan transcurrido.</w:t>
            </w:r>
          </w:p>
          <w:p w14:paraId="34A9A657" w14:textId="77777777" w:rsidR="0086143A" w:rsidRDefault="0086143A" w:rsidP="006E45AE">
            <w:pPr>
              <w:ind w:right="142"/>
              <w:jc w:val="both"/>
              <w:rPr>
                <w:rFonts w:ascii="Bookman Old Style" w:hAnsi="Bookman Old Style" w:cs="Arial"/>
              </w:rPr>
            </w:pPr>
          </w:p>
        </w:tc>
      </w:tr>
    </w:tbl>
    <w:p w14:paraId="3CEA803E" w14:textId="77777777" w:rsidR="0086143A" w:rsidRDefault="0086143A" w:rsidP="005B25CE">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w:r>
        <w:rPr>
          <w:rFonts w:ascii="Bookman Old Style" w:hAnsi="Bookman Old Style" w:cs="Arial"/>
        </w:rPr>
        <w:t xml:space="preserve"> se obtiene a partir de la siguiente fórmula:</w:t>
      </w:r>
    </w:p>
    <w:p w14:paraId="0B46A7AA" w14:textId="77777777" w:rsidR="0086143A" w:rsidRDefault="0086143A" w:rsidP="0086143A">
      <w:pPr>
        <w:ind w:left="284" w:right="142"/>
        <w:jc w:val="both"/>
        <w:rPr>
          <w:rFonts w:ascii="Bookman Old Style" w:hAnsi="Bookman Old Style" w:cs="Arial"/>
        </w:rPr>
      </w:pPr>
    </w:p>
    <w:p w14:paraId="309ACFC5" w14:textId="77777777" w:rsidR="0086143A" w:rsidRDefault="008151C2" w:rsidP="0086143A">
      <w:pPr>
        <w:ind w:left="284" w:right="142"/>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r>
            <w:rPr>
              <w:rFonts w:ascii="Cambria Math" w:hAnsi="Cambria Math" w:cs="Arial"/>
            </w:rPr>
            <m:t>=</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0,D</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0,D</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+1,1</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e>
              </m:d>
            </m:e>
          </m:d>
          <m:r>
            <w:rPr>
              <w:rFonts w:ascii="Cambria Math" w:hAnsi="Cambria Math" w:cs="Arial"/>
            </w:rPr>
            <m:t>*</m:t>
          </m:r>
          <m:d>
            <m:dPr>
              <m:ctrlPr>
                <w:rPr>
                  <w:rFonts w:ascii="Cambria Math" w:hAnsi="Cambria Math" w:cs="Arial"/>
                  <w:i/>
                </w:rPr>
              </m:ctrlPr>
            </m:dPr>
            <m:e>
              <m:r>
                <w:rPr>
                  <w:rFonts w:ascii="Cambria Math" w:hAnsi="Cambria Math" w:cs="Arial"/>
                </w:rPr>
                <m:t>1+PT</m:t>
              </m:r>
            </m:e>
          </m:d>
        </m:oMath>
      </m:oMathPara>
    </w:p>
    <w:p w14:paraId="3E217615" w14:textId="77777777" w:rsidR="0086143A" w:rsidRDefault="0086143A" w:rsidP="0086143A">
      <w:pPr>
        <w:ind w:left="284" w:right="142"/>
        <w:jc w:val="both"/>
        <w:rPr>
          <w:rFonts w:ascii="Bookman Old Style" w:hAnsi="Bookman Old Style" w:cs="Arial"/>
        </w:rPr>
      </w:pPr>
    </w:p>
    <w:p w14:paraId="24BBE257" w14:textId="77777777" w:rsidR="0086143A" w:rsidRDefault="0086143A" w:rsidP="0086143A">
      <w:pPr>
        <w:ind w:left="284" w:right="142"/>
        <w:jc w:val="both"/>
        <w:rPr>
          <w:rFonts w:ascii="Bookman Old Style" w:hAnsi="Bookman Old Style" w:cs="Arial"/>
        </w:rPr>
      </w:pPr>
      <w:r>
        <w:rPr>
          <w:rFonts w:ascii="Bookman Old Style" w:hAnsi="Bookman Old Style" w:cs="Arial"/>
        </w:rPr>
        <w:t>En donde,</w:t>
      </w:r>
    </w:p>
    <w:p w14:paraId="56E6EDDC" w14:textId="77777777" w:rsidR="0086143A" w:rsidRDefault="0086143A" w:rsidP="0086143A">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435"/>
        <w:gridCol w:w="7670"/>
      </w:tblGrid>
      <w:tr w:rsidR="0086143A" w14:paraId="44005CE5" w14:textId="77777777" w:rsidTr="043B6ADB">
        <w:tc>
          <w:tcPr>
            <w:tcW w:w="973" w:type="dxa"/>
          </w:tcPr>
          <w:p w14:paraId="743FEAFC"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0,D</m:t>
                    </m:r>
                  </m:sub>
                </m:sSub>
              </m:oMath>
            </m:oMathPara>
          </w:p>
        </w:tc>
        <w:tc>
          <w:tcPr>
            <w:tcW w:w="435" w:type="dxa"/>
          </w:tcPr>
          <w:p w14:paraId="5326AC1F"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7947" w:type="dxa"/>
          </w:tcPr>
          <w:p w14:paraId="0DA614BB" w14:textId="77777777" w:rsidR="0086143A" w:rsidRDefault="0086143A" w:rsidP="006E45AE">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generada, de los recursos energéticos </w:t>
            </w:r>
            <w:r w:rsidRPr="007C7DC8">
              <w:rPr>
                <w:rFonts w:ascii="Bookman Old Style" w:hAnsi="Bookman Old Style" w:cs="Arial"/>
              </w:rPr>
              <w:t>diés</w:t>
            </w:r>
            <w:r>
              <w:rPr>
                <w:rFonts w:ascii="Bookman Old Style" w:hAnsi="Bookman Old Style" w:cs="Arial"/>
              </w:rPr>
              <w:t xml:space="preserve">el,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eg</w:t>
            </w:r>
            <w:r>
              <w:rPr>
                <w:rFonts w:ascii="Bookman Old Style" w:hAnsi="Bookman Old Style" w:cs="Arial"/>
              </w:rPr>
              <w:t xml:space="preserve">ún lo previsto en el literal a) del artículo 22 </w:t>
            </w:r>
            <w:r w:rsidRPr="0008083F">
              <w:rPr>
                <w:rFonts w:ascii="Bookman Old Style" w:hAnsi="Bookman Old Style" w:cs="Arial"/>
              </w:rPr>
              <w:t xml:space="preserve">de la Resolución CREG 091 de 2007, modificada </w:t>
            </w:r>
            <w:r w:rsidRPr="00C367F8">
              <w:rPr>
                <w:rFonts w:ascii="Bookman Old Style" w:hAnsi="Bookman Old Style" w:cs="Arial"/>
              </w:rPr>
              <w:t xml:space="preserve">mediante </w:t>
            </w:r>
            <w:r>
              <w:rPr>
                <w:rFonts w:ascii="Bookman Old Style" w:hAnsi="Bookman Old Style" w:cs="Arial"/>
              </w:rPr>
              <w:t xml:space="preserve">la </w:t>
            </w:r>
            <w:r w:rsidRPr="00C367F8">
              <w:rPr>
                <w:rFonts w:ascii="Bookman Old Style" w:hAnsi="Bookman Old Style" w:cs="Arial"/>
              </w:rPr>
              <w:t>Resolución CREG 057 de 2009.</w:t>
            </w:r>
          </w:p>
          <w:p w14:paraId="3775F9E3" w14:textId="77777777" w:rsidR="0086143A" w:rsidRDefault="0086143A" w:rsidP="006E45AE">
            <w:pPr>
              <w:ind w:right="142"/>
              <w:jc w:val="both"/>
              <w:rPr>
                <w:rFonts w:ascii="Bookman Old Style" w:hAnsi="Bookman Old Style" w:cs="Arial"/>
                <w:bCs/>
              </w:rPr>
            </w:pPr>
          </w:p>
        </w:tc>
      </w:tr>
      <w:tr w:rsidR="0086143A" w14:paraId="2EFBD03E" w14:textId="77777777" w:rsidTr="043B6ADB">
        <w:tc>
          <w:tcPr>
            <w:tcW w:w="973" w:type="dxa"/>
          </w:tcPr>
          <w:p w14:paraId="5CF89874" w14:textId="77777777" w:rsidR="0086143A" w:rsidRDefault="008151C2" w:rsidP="006E45AE">
            <w:pPr>
              <w:ind w:right="142"/>
              <w:rPr>
                <w:rFonts w:ascii="Bookman Old Style" w:hAnsi="Bookman Old Style" w:cs="Arial"/>
                <w:bCs/>
              </w:rPr>
            </w:pPr>
            <m:oMathPara>
              <m:oMath>
                <m:sSub>
                  <m:sSubPr>
                    <m:ctrlPr>
                      <w:rPr>
                        <w:rFonts w:ascii="Cambria Math" w:hAnsi="Cambria Math" w:cs="Arial"/>
                        <w:i/>
                      </w:rPr>
                    </m:ctrlPr>
                  </m:sSubPr>
                  <m:e>
                    <m:r>
                      <w:rPr>
                        <w:rFonts w:ascii="Cambria Math" w:hAnsi="Cambria Math" w:cs="Arial"/>
                      </w:rPr>
                      <m:t>CM</m:t>
                    </m:r>
                  </m:e>
                  <m:sub>
                    <m:r>
                      <w:rPr>
                        <w:rFonts w:ascii="Cambria Math" w:hAnsi="Cambria Math" w:cs="Arial"/>
                      </w:rPr>
                      <m:t>0,D</m:t>
                    </m:r>
                  </m:sub>
                </m:sSub>
              </m:oMath>
            </m:oMathPara>
          </w:p>
        </w:tc>
        <w:tc>
          <w:tcPr>
            <w:tcW w:w="435" w:type="dxa"/>
          </w:tcPr>
          <w:p w14:paraId="47FD7D1F"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7947" w:type="dxa"/>
          </w:tcPr>
          <w:p w14:paraId="62B5E613"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Componente de remuneración del </w:t>
            </w:r>
            <w:r w:rsidRPr="00920F21">
              <w:rPr>
                <w:rFonts w:ascii="Bookman Old Style" w:hAnsi="Bookman Old Style" w:cs="Arial"/>
              </w:rPr>
              <w:t>costo</w:t>
            </w:r>
            <w:r>
              <w:rPr>
                <w:rFonts w:ascii="Bookman Old Style" w:hAnsi="Bookman Old Style" w:cs="Arial"/>
              </w:rPr>
              <w:t xml:space="preserve"> promedio ponderado </w:t>
            </w:r>
            <w:r w:rsidRPr="00920F21">
              <w:rPr>
                <w:rFonts w:ascii="Bookman Old Style" w:hAnsi="Bookman Old Style" w:cs="Arial"/>
              </w:rPr>
              <w:t xml:space="preserve">de </w:t>
            </w:r>
            <w:r>
              <w:rPr>
                <w:rFonts w:ascii="Bookman Old Style" w:hAnsi="Bookman Old Style" w:cs="Arial"/>
              </w:rPr>
              <w:t xml:space="preserve">mantenimiento, por energía generada, de los recursos energéticos </w:t>
            </w:r>
            <w:r w:rsidRPr="007C7DC8">
              <w:rPr>
                <w:rFonts w:ascii="Bookman Old Style" w:hAnsi="Bookman Old Style" w:cs="Arial"/>
              </w:rPr>
              <w:t>diés</w:t>
            </w:r>
            <w:r>
              <w:rPr>
                <w:rFonts w:ascii="Bookman Old Style" w:hAnsi="Bookman Old Style" w:cs="Arial"/>
              </w:rPr>
              <w:t xml:space="preserve">el,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egún lo previst</w:t>
            </w:r>
            <w:r>
              <w:rPr>
                <w:rFonts w:ascii="Bookman Old Style" w:hAnsi="Bookman Old Style" w:cs="Arial"/>
              </w:rPr>
              <w:t>o en el literal a) del artículo 22</w:t>
            </w:r>
            <w:r w:rsidRPr="0008083F">
              <w:rPr>
                <w:rFonts w:ascii="Bookman Old Style" w:hAnsi="Bookman Old Style" w:cs="Arial"/>
              </w:rPr>
              <w:t xml:space="preserve"> de la Resolución CREG 091 de 2007, modificada </w:t>
            </w:r>
            <w:r w:rsidRPr="00C367F8">
              <w:rPr>
                <w:rFonts w:ascii="Bookman Old Style" w:hAnsi="Bookman Old Style" w:cs="Arial"/>
              </w:rPr>
              <w:t>mediante</w:t>
            </w:r>
            <w:r>
              <w:rPr>
                <w:rFonts w:ascii="Bookman Old Style" w:hAnsi="Bookman Old Style" w:cs="Arial"/>
              </w:rPr>
              <w:t xml:space="preserve"> la</w:t>
            </w:r>
            <w:r w:rsidRPr="00C367F8">
              <w:rPr>
                <w:rFonts w:ascii="Bookman Old Style" w:hAnsi="Bookman Old Style" w:cs="Arial"/>
              </w:rPr>
              <w:t xml:space="preserve"> Resolución CREG 057 de 2009.</w:t>
            </w:r>
          </w:p>
          <w:p w14:paraId="7748629B" w14:textId="77777777" w:rsidR="0086143A" w:rsidRDefault="0086143A" w:rsidP="006E45AE">
            <w:pPr>
              <w:ind w:right="142"/>
              <w:jc w:val="both"/>
              <w:rPr>
                <w:rFonts w:ascii="Bookman Old Style" w:hAnsi="Bookman Old Style" w:cs="Arial"/>
              </w:rPr>
            </w:pPr>
          </w:p>
        </w:tc>
      </w:tr>
      <w:tr w:rsidR="0086143A" w14:paraId="6F16AF5A" w14:textId="77777777" w:rsidTr="043B6ADB">
        <w:tc>
          <w:tcPr>
            <w:tcW w:w="973" w:type="dxa"/>
          </w:tcPr>
          <w:p w14:paraId="0D709EC9"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oMath>
            </m:oMathPara>
          </w:p>
        </w:tc>
        <w:tc>
          <w:tcPr>
            <w:tcW w:w="435" w:type="dxa"/>
          </w:tcPr>
          <w:p w14:paraId="34884AB4"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7947" w:type="dxa"/>
          </w:tcPr>
          <w:p w14:paraId="6BA6B261" w14:textId="77777777" w:rsidR="0086143A" w:rsidRDefault="0086143A" w:rsidP="006E45AE">
            <w:pPr>
              <w:ind w:right="142"/>
              <w:jc w:val="both"/>
              <w:rPr>
                <w:rFonts w:ascii="Bookman Old Style" w:hAnsi="Bookman Old Style" w:cs="Arial"/>
              </w:rPr>
            </w:pPr>
            <w:r>
              <w:rPr>
                <w:rFonts w:ascii="Bookman Old Style" w:hAnsi="Bookman Old Style" w:cs="Arial"/>
              </w:rPr>
              <w:t>Componente de remuneración del co</w:t>
            </w:r>
            <w:r w:rsidRPr="009F7F82">
              <w:rPr>
                <w:rFonts w:ascii="Bookman Old Style" w:hAnsi="Bookman Old Style" w:cs="Arial"/>
              </w:rPr>
              <w:t xml:space="preserve">sto </w:t>
            </w:r>
            <w:r>
              <w:rPr>
                <w:rFonts w:ascii="Bookman Old Style" w:hAnsi="Bookman Old Style" w:cs="Arial"/>
              </w:rPr>
              <w:t>pro</w:t>
            </w:r>
            <w:r w:rsidRPr="009F7F82">
              <w:rPr>
                <w:rFonts w:ascii="Bookman Old Style" w:hAnsi="Bookman Old Style" w:cs="Arial"/>
              </w:rPr>
              <w:t>medio de combustible</w:t>
            </w:r>
            <w:r>
              <w:rPr>
                <w:rFonts w:ascii="Bookman Old Style" w:hAnsi="Bookman Old Style" w:cs="Arial"/>
              </w:rPr>
              <w:t>, por energía generada,</w:t>
            </w:r>
            <w:r w:rsidRPr="009F7F82">
              <w:rPr>
                <w:rFonts w:ascii="Bookman Old Style" w:hAnsi="Bookman Old Style" w:cs="Arial"/>
              </w:rPr>
              <w:t xml:space="preserve"> </w:t>
            </w:r>
            <w:r>
              <w:rPr>
                <w:rFonts w:ascii="Bookman Old Style" w:hAnsi="Bookman Old Style" w:cs="Arial"/>
              </w:rPr>
              <w:t xml:space="preserve">de los recursos energéticos diésel, </w:t>
            </w:r>
            <w:r w:rsidRPr="00920F21">
              <w:rPr>
                <w:rFonts w:ascii="Bookman Old Style" w:hAnsi="Bookman Old Style" w:cs="Arial"/>
              </w:rPr>
              <w:t>de</w:t>
            </w:r>
            <w:r>
              <w:rPr>
                <w:rFonts w:ascii="Bookman Old Style" w:hAnsi="Bookman Old Style" w:cs="Arial"/>
              </w:rPr>
              <w:t xml:space="preserve">l mercado relevante de comercialización señalado en este artículo, para el mes </w:t>
            </w:r>
            <w:r w:rsidRPr="00B16C28">
              <w:rPr>
                <w:rFonts w:ascii="Bookman Old Style" w:hAnsi="Bookman Old Style" w:cs="Arial"/>
                <w:i/>
              </w:rPr>
              <w:t>m</w:t>
            </w:r>
            <w:r>
              <w:rPr>
                <w:rFonts w:ascii="Bookman Old Style" w:hAnsi="Bookman Old Style" w:cs="Arial"/>
              </w:rPr>
              <w:t>, expresado en pesos por kilovatio hora ($/kwh), s</w:t>
            </w:r>
            <w:r w:rsidRPr="009F7F82">
              <w:rPr>
                <w:rFonts w:ascii="Bookman Old Style" w:hAnsi="Bookman Old Style" w:cs="Arial"/>
              </w:rPr>
              <w:t>egún</w:t>
            </w:r>
            <w:r>
              <w:rPr>
                <w:rFonts w:ascii="Bookman Old Style" w:hAnsi="Bookman Old Style" w:cs="Arial"/>
              </w:rPr>
              <w:t xml:space="preserve"> lo previsto en el numeral 24.1 del artículo 24</w:t>
            </w:r>
            <w:r w:rsidRPr="009F7F82">
              <w:rPr>
                <w:rFonts w:ascii="Bookman Old Style" w:hAnsi="Bookman Old Style" w:cs="Arial"/>
              </w:rPr>
              <w:t xml:space="preserve"> de la Resolución CREG 091 de 2007</w:t>
            </w:r>
            <w:r>
              <w:rPr>
                <w:rFonts w:ascii="Bookman Old Style" w:hAnsi="Bookman Old Style" w:cs="Arial"/>
              </w:rPr>
              <w:t>.</w:t>
            </w:r>
          </w:p>
          <w:p w14:paraId="75162F04" w14:textId="77777777" w:rsidR="0086143A" w:rsidRDefault="0086143A" w:rsidP="006E45AE">
            <w:pPr>
              <w:ind w:right="142"/>
              <w:jc w:val="both"/>
              <w:rPr>
                <w:rFonts w:ascii="Bookman Old Style" w:hAnsi="Bookman Old Style" w:cs="Arial"/>
              </w:rPr>
            </w:pPr>
          </w:p>
        </w:tc>
      </w:tr>
      <w:tr w:rsidR="0086143A" w14:paraId="16A3BCBE" w14:textId="77777777" w:rsidTr="043B6ADB">
        <w:tc>
          <w:tcPr>
            <w:tcW w:w="973" w:type="dxa"/>
          </w:tcPr>
          <w:p w14:paraId="5451F61F"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oMath>
            </m:oMathPara>
          </w:p>
        </w:tc>
        <w:tc>
          <w:tcPr>
            <w:tcW w:w="435" w:type="dxa"/>
          </w:tcPr>
          <w:p w14:paraId="675BE8CA"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7947" w:type="dxa"/>
          </w:tcPr>
          <w:p w14:paraId="4BFE6BF1" w14:textId="77777777" w:rsidR="0086143A" w:rsidRDefault="0086143A" w:rsidP="006E45AE">
            <w:pPr>
              <w:ind w:right="142"/>
              <w:jc w:val="both"/>
              <w:rPr>
                <w:rFonts w:ascii="Bookman Old Style" w:hAnsi="Bookman Old Style" w:cs="Arial"/>
              </w:rPr>
            </w:pPr>
            <w:r>
              <w:rPr>
                <w:rFonts w:ascii="Bookman Old Style" w:hAnsi="Bookman Old Style" w:cs="Arial"/>
              </w:rPr>
              <w:t>Componente de remuneración del co</w:t>
            </w:r>
            <w:r w:rsidRPr="009F7F82">
              <w:rPr>
                <w:rFonts w:ascii="Bookman Old Style" w:hAnsi="Bookman Old Style" w:cs="Arial"/>
              </w:rPr>
              <w:t xml:space="preserve">sto </w:t>
            </w:r>
            <w:r>
              <w:rPr>
                <w:rFonts w:ascii="Bookman Old Style" w:hAnsi="Bookman Old Style" w:cs="Arial"/>
              </w:rPr>
              <w:t>pro</w:t>
            </w:r>
            <w:r w:rsidRPr="009F7F82">
              <w:rPr>
                <w:rFonts w:ascii="Bookman Old Style" w:hAnsi="Bookman Old Style" w:cs="Arial"/>
              </w:rPr>
              <w:t xml:space="preserve">medio de </w:t>
            </w:r>
            <w:r>
              <w:rPr>
                <w:rFonts w:ascii="Bookman Old Style" w:hAnsi="Bookman Old Style" w:cs="Arial"/>
              </w:rPr>
              <w:t>lubricante, por energía generada,</w:t>
            </w:r>
            <w:r w:rsidRPr="009F7F82">
              <w:rPr>
                <w:rFonts w:ascii="Bookman Old Style" w:hAnsi="Bookman Old Style" w:cs="Arial"/>
              </w:rPr>
              <w:t xml:space="preserve"> </w:t>
            </w:r>
            <w:r>
              <w:rPr>
                <w:rFonts w:ascii="Bookman Old Style" w:hAnsi="Bookman Old Style" w:cs="Arial"/>
              </w:rPr>
              <w:t xml:space="preserve">de los recursos energéticos diésel, </w:t>
            </w:r>
            <w:r w:rsidRPr="00920F21">
              <w:rPr>
                <w:rFonts w:ascii="Bookman Old Style" w:hAnsi="Bookman Old Style" w:cs="Arial"/>
              </w:rPr>
              <w:t>de</w:t>
            </w:r>
            <w:r>
              <w:rPr>
                <w:rFonts w:ascii="Bookman Old Style" w:hAnsi="Bookman Old Style" w:cs="Arial"/>
              </w:rPr>
              <w:t xml:space="preserve">l mercado relevante de comercialización señalado en este artículo, para el mes </w:t>
            </w:r>
            <w:r w:rsidRPr="00B16C28">
              <w:rPr>
                <w:rFonts w:ascii="Bookman Old Style" w:hAnsi="Bookman Old Style" w:cs="Arial"/>
                <w:i/>
              </w:rPr>
              <w:t>m</w:t>
            </w:r>
            <w:r>
              <w:rPr>
                <w:rFonts w:ascii="Bookman Old Style" w:hAnsi="Bookman Old Style" w:cs="Arial"/>
              </w:rPr>
              <w:t>, expresado en pesos por kilovatio hora ($/kwh), s</w:t>
            </w:r>
            <w:r w:rsidRPr="009F7F82">
              <w:rPr>
                <w:rFonts w:ascii="Bookman Old Style" w:hAnsi="Bookman Old Style" w:cs="Arial"/>
              </w:rPr>
              <w:t>egún</w:t>
            </w:r>
            <w:r>
              <w:rPr>
                <w:rFonts w:ascii="Bookman Old Style" w:hAnsi="Bookman Old Style" w:cs="Arial"/>
              </w:rPr>
              <w:t xml:space="preserve"> lo previsto en el numeral 24.1 del artículo 24</w:t>
            </w:r>
            <w:r w:rsidRPr="009F7F82">
              <w:rPr>
                <w:rFonts w:ascii="Bookman Old Style" w:hAnsi="Bookman Old Style" w:cs="Arial"/>
              </w:rPr>
              <w:t xml:space="preserve"> de la Resolución CREG 091 de 2007</w:t>
            </w:r>
            <w:r>
              <w:rPr>
                <w:rFonts w:ascii="Bookman Old Style" w:hAnsi="Bookman Old Style" w:cs="Arial"/>
              </w:rPr>
              <w:t>.</w:t>
            </w:r>
          </w:p>
          <w:p w14:paraId="7A7FDF3A" w14:textId="77777777" w:rsidR="0086143A" w:rsidRDefault="0086143A" w:rsidP="006E45AE">
            <w:pPr>
              <w:ind w:right="142"/>
              <w:jc w:val="both"/>
              <w:rPr>
                <w:rFonts w:ascii="Bookman Old Style" w:hAnsi="Bookman Old Style" w:cs="Arial"/>
              </w:rPr>
            </w:pPr>
          </w:p>
        </w:tc>
      </w:tr>
      <w:tr w:rsidR="0086143A" w14:paraId="4E04CA3D" w14:textId="77777777" w:rsidTr="043B6ADB">
        <w:tc>
          <w:tcPr>
            <w:tcW w:w="973" w:type="dxa"/>
          </w:tcPr>
          <w:p w14:paraId="228C847D" w14:textId="77777777" w:rsidR="0086143A" w:rsidRPr="00F37126" w:rsidRDefault="0086143A" w:rsidP="006E45AE">
            <w:pPr>
              <w:ind w:right="142"/>
            </w:pPr>
            <m:oMathPara>
              <m:oMathParaPr>
                <m:jc m:val="left"/>
              </m:oMathParaPr>
              <m:oMath>
                <m:r>
                  <w:rPr>
                    <w:rFonts w:ascii="Cambria Math" w:hAnsi="Cambria Math" w:cs="Arial"/>
                  </w:rPr>
                  <m:t>PT</m:t>
                </m:r>
              </m:oMath>
            </m:oMathPara>
          </w:p>
        </w:tc>
        <w:tc>
          <w:tcPr>
            <w:tcW w:w="435" w:type="dxa"/>
          </w:tcPr>
          <w:p w14:paraId="03C3837C"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7947" w:type="dxa"/>
          </w:tcPr>
          <w:p w14:paraId="7E97D7E0"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Porcentaje de </w:t>
            </w:r>
            <w:r w:rsidRPr="00AD252D">
              <w:rPr>
                <w:rFonts w:ascii="Bookman Old Style" w:hAnsi="Bookman Old Style" w:cs="Arial"/>
              </w:rPr>
              <w:t xml:space="preserve">pérdidas </w:t>
            </w:r>
            <w:r>
              <w:rPr>
                <w:rFonts w:ascii="Bookman Old Style" w:hAnsi="Bookman Old Style" w:cs="Arial"/>
              </w:rPr>
              <w:t xml:space="preserve">promedio </w:t>
            </w:r>
            <w:r w:rsidRPr="00AD252D">
              <w:rPr>
                <w:rFonts w:ascii="Bookman Old Style" w:hAnsi="Bookman Old Style" w:cs="Arial"/>
              </w:rPr>
              <w:t>de transformación</w:t>
            </w:r>
            <w:r>
              <w:rPr>
                <w:rFonts w:ascii="Bookman Old Style" w:hAnsi="Bookman Old Style" w:cs="Arial"/>
              </w:rPr>
              <w:t xml:space="preserve">, </w:t>
            </w:r>
            <w:r w:rsidRPr="00AD252D">
              <w:rPr>
                <w:rFonts w:ascii="Bookman Old Style" w:hAnsi="Bookman Old Style" w:cs="Arial"/>
              </w:rPr>
              <w:t>de la conexión de</w:t>
            </w:r>
            <w:r>
              <w:rPr>
                <w:rFonts w:ascii="Bookman Old Style" w:hAnsi="Bookman Old Style" w:cs="Arial"/>
              </w:rPr>
              <w:t xml:space="preserve"> </w:t>
            </w:r>
            <w:r w:rsidRPr="00AD252D">
              <w:rPr>
                <w:rFonts w:ascii="Bookman Old Style" w:hAnsi="Bookman Old Style" w:cs="Arial"/>
              </w:rPr>
              <w:t>l</w:t>
            </w:r>
            <w:r>
              <w:rPr>
                <w:rFonts w:ascii="Bookman Old Style" w:hAnsi="Bookman Old Style" w:cs="Arial"/>
              </w:rPr>
              <w:t xml:space="preserve">os recursos energéticos diésel </w:t>
            </w:r>
            <w:r w:rsidRPr="00AD252D">
              <w:rPr>
                <w:rFonts w:ascii="Bookman Old Style" w:hAnsi="Bookman Old Style" w:cs="Arial"/>
              </w:rPr>
              <w:t>al sistema de distribución</w:t>
            </w:r>
            <w:r>
              <w:rPr>
                <w:rFonts w:ascii="Bookman Old Style" w:hAnsi="Bookman Old Style" w:cs="Arial"/>
              </w:rPr>
              <w:t>,</w:t>
            </w:r>
            <w:r w:rsidRPr="009F7F82">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l mercado relevante de comercialización señalado en este artículo, s</w:t>
            </w:r>
            <w:r w:rsidRPr="009F7F82">
              <w:rPr>
                <w:rFonts w:ascii="Bookman Old Style" w:hAnsi="Bookman Old Style" w:cs="Arial"/>
              </w:rPr>
              <w:t>egún</w:t>
            </w:r>
            <w:r>
              <w:rPr>
                <w:rFonts w:ascii="Bookman Old Style" w:hAnsi="Bookman Old Style" w:cs="Arial"/>
              </w:rPr>
              <w:t xml:space="preserve"> lo previsto en el numeral 24.1 del artículo 24</w:t>
            </w:r>
            <w:r w:rsidRPr="009F7F82">
              <w:rPr>
                <w:rFonts w:ascii="Bookman Old Style" w:hAnsi="Bookman Old Style" w:cs="Arial"/>
              </w:rPr>
              <w:t xml:space="preserve"> de la Resolución CREG 091 de 2007</w:t>
            </w:r>
            <w:r>
              <w:rPr>
                <w:rFonts w:ascii="Bookman Old Style" w:hAnsi="Bookman Old Style" w:cs="Arial"/>
              </w:rPr>
              <w:t>.</w:t>
            </w:r>
          </w:p>
          <w:p w14:paraId="2241B68B" w14:textId="77777777" w:rsidR="0086143A" w:rsidRDefault="0086143A" w:rsidP="006E45AE">
            <w:pPr>
              <w:ind w:right="142"/>
              <w:jc w:val="both"/>
              <w:rPr>
                <w:rFonts w:ascii="Bookman Old Style" w:hAnsi="Bookman Old Style" w:cs="Arial"/>
              </w:rPr>
            </w:pPr>
          </w:p>
        </w:tc>
      </w:tr>
      <w:tr w:rsidR="0086143A" w14:paraId="6B20F73D" w14:textId="77777777" w:rsidTr="043B6ADB">
        <w:tc>
          <w:tcPr>
            <w:tcW w:w="973" w:type="dxa"/>
          </w:tcPr>
          <w:p w14:paraId="28CF5489"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m:oMathPara>
          </w:p>
        </w:tc>
        <w:tc>
          <w:tcPr>
            <w:tcW w:w="435" w:type="dxa"/>
          </w:tcPr>
          <w:p w14:paraId="34EAE576"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7947" w:type="dxa"/>
          </w:tcPr>
          <w:p w14:paraId="3271A39B" w14:textId="77777777" w:rsidR="0086143A" w:rsidRDefault="0086143A" w:rsidP="006E45AE">
            <w:pPr>
              <w:ind w:right="142"/>
              <w:jc w:val="both"/>
              <w:rPr>
                <w:rFonts w:ascii="Bookman Old Style" w:hAnsi="Bookman Old Style" w:cs="Arial"/>
              </w:rPr>
            </w:pPr>
            <w:r>
              <w:rPr>
                <w:rFonts w:ascii="Bookman Old Style" w:hAnsi="Bookman Old Style" w:cs="Arial"/>
              </w:rPr>
              <w:t xml:space="preserve">Índice de precios al productor, Oferta Interna, del mes </w:t>
            </w:r>
            <w:r w:rsidRPr="00260FB2">
              <w:rPr>
                <w:rFonts w:ascii="Bookman Old Style" w:hAnsi="Bookman Old Style" w:cs="Arial"/>
                <w:i/>
              </w:rPr>
              <w:t>m-1</w:t>
            </w:r>
            <w:r>
              <w:rPr>
                <w:rFonts w:ascii="Bookman Old Style" w:hAnsi="Bookman Old Style" w:cs="Arial"/>
              </w:rPr>
              <w:t>.</w:t>
            </w:r>
          </w:p>
          <w:p w14:paraId="4C9E2C94" w14:textId="77777777" w:rsidR="0086143A" w:rsidRDefault="0086143A" w:rsidP="006E45AE">
            <w:pPr>
              <w:ind w:right="142"/>
              <w:jc w:val="both"/>
              <w:rPr>
                <w:rFonts w:ascii="Bookman Old Style" w:hAnsi="Bookman Old Style" w:cs="Arial"/>
              </w:rPr>
            </w:pPr>
          </w:p>
        </w:tc>
      </w:tr>
      <w:tr w:rsidR="0086143A" w14:paraId="714F5023" w14:textId="77777777" w:rsidTr="043B6ADB">
        <w:tc>
          <w:tcPr>
            <w:tcW w:w="973" w:type="dxa"/>
          </w:tcPr>
          <w:p w14:paraId="6AB9D851" w14:textId="77777777" w:rsidR="0086143A" w:rsidRPr="00AF7C27"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m:oMathPara>
          </w:p>
        </w:tc>
        <w:tc>
          <w:tcPr>
            <w:tcW w:w="435" w:type="dxa"/>
          </w:tcPr>
          <w:p w14:paraId="76AC90AF"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7947" w:type="dxa"/>
          </w:tcPr>
          <w:p w14:paraId="5537940A" w14:textId="77777777" w:rsidR="0086143A" w:rsidRDefault="0086143A" w:rsidP="006E45AE">
            <w:pPr>
              <w:ind w:right="142"/>
              <w:jc w:val="both"/>
              <w:rPr>
                <w:rFonts w:ascii="Bookman Old Style" w:hAnsi="Bookman Old Style" w:cs="Arial"/>
              </w:rPr>
            </w:pPr>
            <w:r>
              <w:rPr>
                <w:rFonts w:ascii="Bookman Old Style" w:hAnsi="Bookman Old Style" w:cs="Arial"/>
              </w:rPr>
              <w:t>Índice de precios al productor, Oferta Interna, de la fecha base.</w:t>
            </w:r>
          </w:p>
          <w:p w14:paraId="5037373F" w14:textId="77777777" w:rsidR="0086143A" w:rsidRDefault="0086143A" w:rsidP="006E45AE">
            <w:pPr>
              <w:ind w:right="142"/>
              <w:jc w:val="both"/>
              <w:rPr>
                <w:rFonts w:ascii="Bookman Old Style" w:hAnsi="Bookman Old Style" w:cs="Arial"/>
              </w:rPr>
            </w:pPr>
          </w:p>
        </w:tc>
      </w:tr>
    </w:tbl>
    <w:p w14:paraId="0AC25045" w14:textId="77777777" w:rsidR="0086143A" w:rsidRDefault="0086143A" w:rsidP="00871F56">
      <w:pPr>
        <w:ind w:right="142"/>
        <w:jc w:val="both"/>
        <w:rPr>
          <w:rFonts w:ascii="Bookman Old Style" w:hAnsi="Bookman Old Style" w:cs="Arial"/>
        </w:rPr>
      </w:pPr>
    </w:p>
    <w:p w14:paraId="5B8E1CCA" w14:textId="77777777" w:rsidR="0086143A" w:rsidRDefault="0086143A" w:rsidP="0086143A">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oMath>
      <w:r>
        <w:rPr>
          <w:rFonts w:ascii="Bookman Old Style" w:hAnsi="Bookman Old Style" w:cs="Arial"/>
        </w:rPr>
        <w:t xml:space="preserve"> se obtiene a partir de la siguiente fórmula:</w:t>
      </w:r>
    </w:p>
    <w:p w14:paraId="75F35449" w14:textId="77777777" w:rsidR="0086143A" w:rsidRDefault="0086143A" w:rsidP="0086143A">
      <w:pPr>
        <w:ind w:left="284" w:right="142"/>
        <w:jc w:val="both"/>
        <w:rPr>
          <w:rFonts w:ascii="Bookman Old Style" w:hAnsi="Bookman Old Style" w:cs="Arial"/>
        </w:rPr>
      </w:pPr>
    </w:p>
    <w:p w14:paraId="6C32BE78" w14:textId="5653492A" w:rsidR="0086143A" w:rsidRDefault="008151C2" w:rsidP="00871F56">
      <w:pPr>
        <w:ind w:left="284" w:right="142"/>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m,SFV</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0,SFV</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0,SFV</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14:paraId="71C2041E" w14:textId="77777777" w:rsidR="0086143A" w:rsidRDefault="0086143A" w:rsidP="0086143A">
      <w:pPr>
        <w:ind w:left="284" w:right="142"/>
        <w:jc w:val="both"/>
        <w:rPr>
          <w:rFonts w:ascii="Bookman Old Style" w:hAnsi="Bookman Old Style" w:cs="Arial"/>
        </w:rPr>
      </w:pPr>
      <w:r>
        <w:rPr>
          <w:rFonts w:ascii="Bookman Old Style" w:hAnsi="Bookman Old Style" w:cs="Arial"/>
        </w:rPr>
        <w:t>En donde,</w:t>
      </w:r>
    </w:p>
    <w:p w14:paraId="3B24DCEC" w14:textId="77777777" w:rsidR="0086143A" w:rsidRDefault="0086143A" w:rsidP="0086143A">
      <w:pPr>
        <w:ind w:left="284" w:right="142"/>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435"/>
        <w:gridCol w:w="7634"/>
      </w:tblGrid>
      <w:tr w:rsidR="0086143A" w14:paraId="672A7702" w14:textId="77777777" w:rsidTr="043B6ADB">
        <w:tc>
          <w:tcPr>
            <w:tcW w:w="907" w:type="dxa"/>
          </w:tcPr>
          <w:p w14:paraId="103C247A"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0,SFV</m:t>
                    </m:r>
                  </m:sub>
                </m:sSub>
              </m:oMath>
            </m:oMathPara>
          </w:p>
        </w:tc>
        <w:tc>
          <w:tcPr>
            <w:tcW w:w="433" w:type="dxa"/>
          </w:tcPr>
          <w:p w14:paraId="6E500E85"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15" w:type="dxa"/>
          </w:tcPr>
          <w:p w14:paraId="1049F8FC" w14:textId="77777777" w:rsidR="0086143A" w:rsidRDefault="0086143A" w:rsidP="006E45AE">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suministrada, de los recursos energéticos </w:t>
            </w:r>
            <w:r>
              <w:rPr>
                <w:rFonts w:ascii="Bookman Old Style" w:hAnsi="Bookman Old Style" w:cs="Arial"/>
                <w:bCs/>
              </w:rPr>
              <w:t>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p w14:paraId="00E187FC" w14:textId="77777777" w:rsidR="0086143A" w:rsidRDefault="0086143A" w:rsidP="006E45AE">
            <w:pPr>
              <w:ind w:right="142"/>
              <w:jc w:val="both"/>
              <w:rPr>
                <w:rFonts w:ascii="Bookman Old Style" w:hAnsi="Bookman Old Style" w:cs="Arial"/>
                <w:bCs/>
              </w:rPr>
            </w:pPr>
          </w:p>
        </w:tc>
      </w:tr>
      <w:tr w:rsidR="0086143A" w14:paraId="632A4055" w14:textId="77777777" w:rsidTr="043B6ADB">
        <w:tc>
          <w:tcPr>
            <w:tcW w:w="907" w:type="dxa"/>
          </w:tcPr>
          <w:p w14:paraId="632464DD" w14:textId="77777777" w:rsidR="0086143A" w:rsidRPr="0072683D"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0,SFV</m:t>
                    </m:r>
                  </m:sub>
                </m:sSub>
              </m:oMath>
            </m:oMathPara>
          </w:p>
        </w:tc>
        <w:tc>
          <w:tcPr>
            <w:tcW w:w="433" w:type="dxa"/>
          </w:tcPr>
          <w:p w14:paraId="063E4F20"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15" w:type="dxa"/>
          </w:tcPr>
          <w:p w14:paraId="1F6E3420" w14:textId="77777777" w:rsidR="0086143A" w:rsidRDefault="0086143A" w:rsidP="006E45AE">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 los costos promedios ponderados de </w:t>
            </w:r>
            <w:r w:rsidRPr="00B628FB">
              <w:rPr>
                <w:rFonts w:ascii="Bookman Old Style" w:hAnsi="Bookman Old Style" w:cs="Arial"/>
              </w:rPr>
              <w:t>administración, operación y mantenimiento</w:t>
            </w:r>
            <w:r>
              <w:rPr>
                <w:rFonts w:ascii="Bookman Old Style" w:hAnsi="Bookman Old Style" w:cs="Arial"/>
              </w:rPr>
              <w:t xml:space="preserve">, por energía suministrada, de los recursos energéticos </w:t>
            </w:r>
            <w:r>
              <w:rPr>
                <w:rFonts w:ascii="Bookman Old Style" w:hAnsi="Bookman Old Style" w:cs="Arial"/>
                <w:bCs/>
              </w:rPr>
              <w:t>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sidRPr="004F0E39">
              <w:rPr>
                <w:rFonts w:ascii="Bookman Old Style" w:hAnsi="Bookman Old Style" w:cs="Arial"/>
                <w:bCs/>
              </w:rPr>
              <w:t xml:space="preserve"> </w:t>
            </w:r>
            <w:r>
              <w:rPr>
                <w:rFonts w:ascii="Bookman Old Style" w:hAnsi="Bookman Old Style" w:cs="Arial"/>
                <w:bCs/>
              </w:rPr>
              <w:t xml:space="preserve">con </w:t>
            </w:r>
            <w:r w:rsidRPr="004F0E39">
              <w:rPr>
                <w:rFonts w:ascii="Bookman Old Style" w:hAnsi="Bookman Old Style" w:cs="Arial"/>
                <w:bCs/>
              </w:rPr>
              <w:t xml:space="preserve">alimentación directa a </w:t>
            </w:r>
            <w:r>
              <w:rPr>
                <w:rFonts w:ascii="Bookman Old Style" w:hAnsi="Bookman Old Style" w:cs="Arial"/>
                <w:bCs/>
              </w:rPr>
              <w:t xml:space="preserve">la </w:t>
            </w:r>
            <w:r w:rsidRPr="004F0E39">
              <w:rPr>
                <w:rFonts w:ascii="Bookman Old Style" w:hAnsi="Bookman Old Style" w:cs="Arial"/>
                <w:bCs/>
              </w:rPr>
              <w:t>red</w:t>
            </w:r>
            <w:r>
              <w:rPr>
                <w:rFonts w:ascii="Bookman Old Style" w:hAnsi="Bookman Old Style" w:cs="Arial"/>
                <w:bCs/>
              </w:rPr>
              <w:t xml:space="preserve"> de distribución</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p w14:paraId="61D27DA0" w14:textId="77777777" w:rsidR="0086143A" w:rsidRDefault="0086143A" w:rsidP="006E45AE">
            <w:pPr>
              <w:ind w:right="142"/>
              <w:jc w:val="both"/>
              <w:rPr>
                <w:rFonts w:ascii="Bookman Old Style" w:hAnsi="Bookman Old Style" w:cs="Arial"/>
              </w:rPr>
            </w:pPr>
          </w:p>
        </w:tc>
      </w:tr>
    </w:tbl>
    <w:p w14:paraId="66F2FB95" w14:textId="77777777" w:rsidR="0086143A" w:rsidRDefault="0086143A" w:rsidP="00CF56F7">
      <w:pPr>
        <w:ind w:right="142"/>
        <w:jc w:val="both"/>
        <w:rPr>
          <w:rFonts w:ascii="Bookman Old Style" w:hAnsi="Bookman Old Style" w:cs="Arial"/>
        </w:rPr>
      </w:pPr>
    </w:p>
    <w:p w14:paraId="12AA62E4" w14:textId="77777777" w:rsidR="0086143A" w:rsidRDefault="0086143A" w:rsidP="0086143A">
      <w:pPr>
        <w:ind w:left="284" w:right="142"/>
        <w:jc w:val="both"/>
        <w:rPr>
          <w:rFonts w:ascii="Bookman Old Style" w:hAnsi="Bookman Old Style" w:cs="Arial"/>
        </w:rPr>
      </w:pPr>
      <w:r>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oMath>
      <w:r>
        <w:rPr>
          <w:rFonts w:ascii="Bookman Old Style" w:hAnsi="Bookman Old Style" w:cs="Arial"/>
        </w:rPr>
        <w:t xml:space="preserve"> se obtiene a partir de la siguiente fórmula:</w:t>
      </w:r>
    </w:p>
    <w:p w14:paraId="2DA07D8D" w14:textId="77777777" w:rsidR="0086143A" w:rsidRDefault="0086143A" w:rsidP="0086143A">
      <w:pPr>
        <w:ind w:left="284" w:right="142"/>
        <w:jc w:val="both"/>
        <w:rPr>
          <w:rFonts w:ascii="Bookman Old Style" w:hAnsi="Bookman Old Style" w:cs="Arial"/>
        </w:rPr>
      </w:pPr>
    </w:p>
    <w:p w14:paraId="00FD50F6" w14:textId="77777777" w:rsidR="0086143A" w:rsidRDefault="008151C2" w:rsidP="0086143A">
      <w:pPr>
        <w:ind w:left="284" w:right="142"/>
        <w:jc w:val="center"/>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0,A</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0,A</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oMath>
      </m:oMathPara>
    </w:p>
    <w:p w14:paraId="11178C77" w14:textId="77777777" w:rsidR="0086143A" w:rsidRDefault="0086143A" w:rsidP="0086143A">
      <w:pPr>
        <w:ind w:left="284" w:right="142"/>
        <w:jc w:val="both"/>
        <w:rPr>
          <w:rFonts w:ascii="Bookman Old Style" w:hAnsi="Bookman Old Style" w:cs="Arial"/>
        </w:rPr>
      </w:pPr>
      <w:r>
        <w:rPr>
          <w:rFonts w:ascii="Bookman Old Style" w:hAnsi="Bookman Old Style" w:cs="Arial"/>
        </w:rPr>
        <w:t>En donde,</w:t>
      </w:r>
    </w:p>
    <w:p w14:paraId="4F747351" w14:textId="77777777" w:rsidR="0086143A" w:rsidRDefault="0086143A" w:rsidP="0086143A">
      <w:pPr>
        <w:ind w:left="284" w:right="142"/>
        <w:jc w:val="both"/>
        <w:rPr>
          <w:rFonts w:ascii="Bookman Old Style" w:hAnsi="Bookman Old Style" w:cs="Arial"/>
          <w:bCs/>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435"/>
        <w:gridCol w:w="7741"/>
      </w:tblGrid>
      <w:tr w:rsidR="0086143A" w14:paraId="2F145EB8" w14:textId="77777777" w:rsidTr="043B6ADB">
        <w:tc>
          <w:tcPr>
            <w:tcW w:w="907" w:type="dxa"/>
          </w:tcPr>
          <w:p w14:paraId="4178D7B5" w14:textId="77777777" w:rsidR="0086143A" w:rsidRPr="00FA14D6"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0,A</m:t>
                    </m:r>
                  </m:sub>
                </m:sSub>
              </m:oMath>
            </m:oMathPara>
          </w:p>
        </w:tc>
        <w:tc>
          <w:tcPr>
            <w:tcW w:w="433" w:type="dxa"/>
          </w:tcPr>
          <w:p w14:paraId="53F824DA"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15" w:type="dxa"/>
          </w:tcPr>
          <w:p w14:paraId="71AAA0D3" w14:textId="77777777" w:rsidR="0086143A" w:rsidRDefault="0086143A" w:rsidP="006E45AE">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del costo promedio ponderado de inversión, por energía suministrada, </w:t>
            </w:r>
            <w:r>
              <w:rPr>
                <w:rFonts w:ascii="Bookman Old Style" w:hAnsi="Bookman Old Style" w:cs="Arial"/>
                <w:bCs/>
              </w:rPr>
              <w:t>a partir de acumuladores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p w14:paraId="39E8B27E" w14:textId="77777777" w:rsidR="0086143A" w:rsidRDefault="0086143A" w:rsidP="006E45AE">
            <w:pPr>
              <w:ind w:right="142"/>
              <w:jc w:val="both"/>
              <w:rPr>
                <w:rFonts w:ascii="Bookman Old Style" w:hAnsi="Bookman Old Style" w:cs="Arial"/>
                <w:bCs/>
              </w:rPr>
            </w:pPr>
          </w:p>
        </w:tc>
      </w:tr>
      <w:tr w:rsidR="0086143A" w14:paraId="1D3008EE" w14:textId="77777777" w:rsidTr="043B6ADB">
        <w:tc>
          <w:tcPr>
            <w:tcW w:w="907" w:type="dxa"/>
          </w:tcPr>
          <w:p w14:paraId="3B82959B" w14:textId="77777777" w:rsidR="0086143A" w:rsidRPr="0072683D" w:rsidRDefault="008151C2" w:rsidP="006E45AE">
            <w:pPr>
              <w:ind w:right="142"/>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0,A</m:t>
                    </m:r>
                  </m:sub>
                </m:sSub>
              </m:oMath>
            </m:oMathPara>
          </w:p>
        </w:tc>
        <w:tc>
          <w:tcPr>
            <w:tcW w:w="433" w:type="dxa"/>
          </w:tcPr>
          <w:p w14:paraId="1BB23034" w14:textId="77777777" w:rsidR="0086143A" w:rsidRDefault="0086143A" w:rsidP="006E45AE">
            <w:pPr>
              <w:ind w:right="142"/>
              <w:jc w:val="both"/>
              <w:rPr>
                <w:rFonts w:ascii="Bookman Old Style" w:hAnsi="Bookman Old Style" w:cs="Arial"/>
                <w:bCs/>
              </w:rPr>
            </w:pPr>
            <w:r>
              <w:rPr>
                <w:rFonts w:ascii="Bookman Old Style" w:hAnsi="Bookman Old Style" w:cs="Arial"/>
                <w:bCs/>
              </w:rPr>
              <w:t>:</w:t>
            </w:r>
          </w:p>
        </w:tc>
        <w:tc>
          <w:tcPr>
            <w:tcW w:w="8015" w:type="dxa"/>
          </w:tcPr>
          <w:p w14:paraId="1DF00D04" w14:textId="77777777" w:rsidR="0086143A" w:rsidRPr="00BE14E0" w:rsidRDefault="0086143A" w:rsidP="006E45AE">
            <w:pPr>
              <w:ind w:right="142"/>
              <w:jc w:val="both"/>
              <w:rPr>
                <w:rFonts w:ascii="Bookman Old Style" w:hAnsi="Bookman Old Style" w:cs="Arial"/>
                <w:bCs/>
              </w:rPr>
            </w:pPr>
            <w:r>
              <w:rPr>
                <w:rFonts w:ascii="Bookman Old Style" w:hAnsi="Bookman Old Style" w:cs="Arial"/>
              </w:rPr>
              <w:t>Componente</w:t>
            </w:r>
            <w:r w:rsidRPr="00920F21">
              <w:rPr>
                <w:rFonts w:ascii="Bookman Old Style" w:hAnsi="Bookman Old Style" w:cs="Arial"/>
              </w:rPr>
              <w:t xml:space="preserve"> de remuneración </w:t>
            </w:r>
            <w:r>
              <w:rPr>
                <w:rFonts w:ascii="Bookman Old Style" w:hAnsi="Bookman Old Style" w:cs="Arial"/>
              </w:rPr>
              <w:t xml:space="preserve">de los costos promedios ponderados de </w:t>
            </w:r>
            <w:r w:rsidRPr="00B628FB">
              <w:rPr>
                <w:rFonts w:ascii="Bookman Old Style" w:hAnsi="Bookman Old Style" w:cs="Arial"/>
              </w:rPr>
              <w:t>administración, operación y mantenimiento</w:t>
            </w:r>
            <w:r>
              <w:rPr>
                <w:rFonts w:ascii="Bookman Old Style" w:hAnsi="Bookman Old Style" w:cs="Arial"/>
              </w:rPr>
              <w:t xml:space="preserve">, por energía suministrada, </w:t>
            </w:r>
            <w:r>
              <w:rPr>
                <w:rFonts w:ascii="Bookman Old Style" w:hAnsi="Bookman Old Style" w:cs="Arial"/>
                <w:bCs/>
              </w:rPr>
              <w:t>a partir de acumuladores de recursos energéticos s</w:t>
            </w:r>
            <w:r w:rsidRPr="004F0E39">
              <w:rPr>
                <w:rFonts w:ascii="Bookman Old Style" w:hAnsi="Bookman Old Style" w:cs="Arial"/>
                <w:bCs/>
              </w:rPr>
              <w:t>olar</w:t>
            </w:r>
            <w:r>
              <w:rPr>
                <w:rFonts w:ascii="Bookman Old Style" w:hAnsi="Bookman Old Style" w:cs="Arial"/>
                <w:bCs/>
              </w:rPr>
              <w:t>es</w:t>
            </w:r>
            <w:r w:rsidRPr="004F0E39">
              <w:rPr>
                <w:rFonts w:ascii="Bookman Old Style" w:hAnsi="Bookman Old Style" w:cs="Arial"/>
                <w:bCs/>
              </w:rPr>
              <w:t xml:space="preserve"> fotovoltaico</w:t>
            </w:r>
            <w:r>
              <w:rPr>
                <w:rFonts w:ascii="Bookman Old Style" w:hAnsi="Bookman Old Style" w:cs="Arial"/>
                <w:bCs/>
              </w:rPr>
              <w:t>s</w:t>
            </w:r>
            <w:r>
              <w:rPr>
                <w:rFonts w:ascii="Bookman Old Style" w:hAnsi="Bookman Old Style" w:cs="Arial"/>
              </w:rPr>
              <w:t xml:space="preserve">, </w:t>
            </w:r>
            <w:r w:rsidRPr="00920F21">
              <w:rPr>
                <w:rFonts w:ascii="Bookman Old Style" w:hAnsi="Bookman Old Style" w:cs="Arial"/>
              </w:rPr>
              <w:t>de</w:t>
            </w:r>
            <w:r>
              <w:rPr>
                <w:rFonts w:ascii="Bookman Old Style" w:hAnsi="Bookman Old Style" w:cs="Arial"/>
              </w:rPr>
              <w:t>l mercado relevante de comercialización señalado en este artículo, expresado en pesos constantes de la fecha base, s</w:t>
            </w:r>
            <w:r w:rsidRPr="0008083F">
              <w:rPr>
                <w:rFonts w:ascii="Bookman Old Style" w:hAnsi="Bookman Old Style" w:cs="Arial"/>
              </w:rPr>
              <w:t xml:space="preserve">egún lo previsto en el </w:t>
            </w:r>
            <w:r>
              <w:rPr>
                <w:rFonts w:ascii="Bookman Old Style" w:hAnsi="Bookman Old Style" w:cs="Arial"/>
              </w:rPr>
              <w:t>artículo 1 de esta resolución.</w:t>
            </w:r>
          </w:p>
        </w:tc>
      </w:tr>
    </w:tbl>
    <w:p w14:paraId="56D347F5" w14:textId="77777777" w:rsidR="0086143A" w:rsidRDefault="0086143A" w:rsidP="0086143A">
      <w:pPr>
        <w:ind w:right="142"/>
        <w:jc w:val="both"/>
        <w:rPr>
          <w:rFonts w:ascii="Bookman Old Style" w:hAnsi="Bookman Old Style" w:cs="Arial"/>
        </w:rPr>
      </w:pPr>
    </w:p>
    <w:p w14:paraId="027C765F" w14:textId="77777777" w:rsidR="0086143A" w:rsidRDefault="0086143A" w:rsidP="0086143A">
      <w:pPr>
        <w:ind w:left="284" w:right="142"/>
        <w:jc w:val="both"/>
        <w:rPr>
          <w:rFonts w:ascii="Bookman Old Style" w:hAnsi="Bookman Old Style" w:cs="Arial"/>
        </w:rPr>
      </w:pPr>
      <w:r w:rsidRPr="0035560A">
        <w:rPr>
          <w:rFonts w:ascii="Bookman Old Style" w:hAnsi="Bookman Old Style" w:cs="Arial"/>
          <w:b/>
        </w:rPr>
        <w:t>Parágrafo.</w:t>
      </w:r>
      <w:r>
        <w:rPr>
          <w:rFonts w:ascii="Bookman Old Style" w:hAnsi="Bookman Old Style" w:cs="Arial"/>
        </w:rPr>
        <w:t xml:space="preserve"> El valor máximo aplicable a </w:t>
      </w:r>
      <m:oMath>
        <m:sSub>
          <m:sSubPr>
            <m:ctrlPr>
              <w:rPr>
                <w:rFonts w:ascii="Cambria Math" w:hAnsi="Cambria Math" w:cs="Arial"/>
                <w:i/>
              </w:rPr>
            </m:ctrlPr>
          </m:sSubPr>
          <m:e>
            <m:r>
              <w:rPr>
                <w:rFonts w:ascii="Cambria Math" w:hAnsi="Cambria Math" w:cs="Arial"/>
              </w:rPr>
              <m:t>G</m:t>
            </m:r>
          </m:e>
          <m:sub>
            <m:r>
              <w:rPr>
                <w:rFonts w:ascii="Cambria Math" w:hAnsi="Cambria Math" w:cs="Arial"/>
              </w:rPr>
              <m:t>U,m</m:t>
            </m:r>
          </m:sub>
        </m:sSub>
      </m:oMath>
      <w:r>
        <w:rPr>
          <w:rFonts w:ascii="Bookman Old Style" w:hAnsi="Bookman Old Style" w:cs="Arial"/>
        </w:rPr>
        <w:t xml:space="preserve"> será el calculado para </w:t>
      </w:r>
      <m:oMath>
        <m:sSub>
          <m:sSubPr>
            <m:ctrlPr>
              <w:rPr>
                <w:rFonts w:ascii="Cambria Math" w:hAnsi="Cambria Math" w:cs="Arial"/>
                <w:i/>
              </w:rPr>
            </m:ctrlPr>
          </m:sSubPr>
          <m:e>
            <m:r>
              <w:rPr>
                <w:rFonts w:ascii="Cambria Math" w:hAnsi="Cambria Math" w:cs="Arial"/>
              </w:rPr>
              <m:t>G</m:t>
            </m:r>
          </m:e>
          <m:sub>
            <m:r>
              <w:rPr>
                <w:rFonts w:ascii="Cambria Math" w:hAnsi="Cambria Math" w:cs="Arial"/>
              </w:rPr>
              <m:t>m,D</m:t>
            </m:r>
          </m:sub>
        </m:sSub>
      </m:oMath>
      <w:r>
        <w:rPr>
          <w:rFonts w:ascii="Bookman Old Style" w:hAnsi="Bookman Old Style" w:cs="Arial"/>
        </w:rPr>
        <w:t>.</w:t>
      </w:r>
    </w:p>
    <w:p w14:paraId="7BD5D15B" w14:textId="77777777" w:rsidR="0086143A" w:rsidRDefault="0086143A" w:rsidP="0086143A">
      <w:pPr>
        <w:ind w:left="284" w:right="142"/>
        <w:contextualSpacing/>
        <w:jc w:val="both"/>
        <w:rPr>
          <w:rFonts w:ascii="Bookman Old Style" w:hAnsi="Bookman Old Style" w:cs="Arial"/>
          <w:b/>
        </w:rPr>
      </w:pPr>
    </w:p>
    <w:p w14:paraId="54CD8EC4" w14:textId="77777777" w:rsidR="0086143A" w:rsidRDefault="0086143A" w:rsidP="0086143A">
      <w:pPr>
        <w:ind w:left="284" w:right="142"/>
        <w:contextualSpacing/>
        <w:jc w:val="both"/>
        <w:rPr>
          <w:rFonts w:ascii="Bookman Old Style" w:hAnsi="Bookman Old Style" w:cs="Arial"/>
        </w:rPr>
      </w:pPr>
      <w:r w:rsidRPr="00AD369B">
        <w:rPr>
          <w:rFonts w:ascii="Bookman Old Style" w:hAnsi="Bookman Old Style" w:cs="Arial"/>
          <w:b/>
        </w:rPr>
        <w:t xml:space="preserve">ARTÍCULO 3. Principios y Reglas de despacho de recursos energéticos y mecanismos de comercialización de energía. </w:t>
      </w:r>
      <w:r w:rsidRPr="00AD369B">
        <w:rPr>
          <w:rFonts w:ascii="Bookman Old Style" w:hAnsi="Bookman Old Style" w:cs="Arial"/>
        </w:rPr>
        <w:t>En resolución posterior de carácter general, esta Comisión definirá los principios y reglas aplicables para la coordinación del despacho y operación de recursos energéticos, así como los mecanismos de comercialización de energía eléctrica en las Zonas No Interconectadas.</w:t>
      </w:r>
    </w:p>
    <w:p w14:paraId="6CEAC599" w14:textId="77777777" w:rsidR="0086143A" w:rsidRPr="00AD369B" w:rsidRDefault="0086143A" w:rsidP="0086143A">
      <w:pPr>
        <w:ind w:left="284" w:right="142"/>
        <w:contextualSpacing/>
        <w:jc w:val="both"/>
        <w:rPr>
          <w:rFonts w:ascii="Bookman Old Style" w:hAnsi="Bookman Old Style" w:cs="Arial"/>
          <w:bCs/>
        </w:rPr>
      </w:pPr>
    </w:p>
    <w:p w14:paraId="05AB7AF8" w14:textId="77777777" w:rsidR="0086143A" w:rsidRPr="00AD369B" w:rsidRDefault="0086143A" w:rsidP="0086143A">
      <w:pPr>
        <w:ind w:left="284" w:right="142"/>
        <w:contextualSpacing/>
        <w:jc w:val="both"/>
        <w:rPr>
          <w:rFonts w:ascii="Bookman Old Style" w:hAnsi="Bookman Old Style" w:cs="Arial"/>
          <w:b/>
        </w:rPr>
      </w:pPr>
      <w:r w:rsidRPr="00AD369B">
        <w:rPr>
          <w:rFonts w:ascii="Bookman Old Style" w:hAnsi="Bookman Old Style" w:cs="Arial"/>
          <w:b/>
        </w:rPr>
        <w:t xml:space="preserve">ARTÍCULO </w:t>
      </w:r>
      <w:r>
        <w:rPr>
          <w:rFonts w:ascii="Bookman Old Style" w:hAnsi="Bookman Old Style" w:cs="Arial"/>
          <w:b/>
        </w:rPr>
        <w:t>4</w:t>
      </w:r>
      <w:r w:rsidRPr="00AD369B">
        <w:rPr>
          <w:rFonts w:ascii="Bookman Old Style" w:hAnsi="Bookman Old Style" w:cs="Arial"/>
          <w:b/>
        </w:rPr>
        <w:t>. Vigencia de los cargos máximos de generación para el mercado relevante</w:t>
      </w:r>
      <w:r>
        <w:rPr>
          <w:rFonts w:ascii="Bookman Old Style" w:hAnsi="Bookman Old Style" w:cs="Arial"/>
          <w:b/>
        </w:rPr>
        <w:t xml:space="preserve"> de </w:t>
      </w:r>
      <w:r w:rsidRPr="0098008F">
        <w:rPr>
          <w:rFonts w:ascii="Bookman Old Style" w:hAnsi="Bookman Old Style" w:cs="Arial"/>
          <w:b/>
          <w:bCs/>
        </w:rPr>
        <w:t xml:space="preserve">comercialización </w:t>
      </w:r>
      <w:r>
        <w:rPr>
          <w:rFonts w:ascii="Bookman Old Style" w:hAnsi="Bookman Old Style" w:cs="Arial"/>
          <w:b/>
          <w:bCs/>
        </w:rPr>
        <w:t>que</w:t>
      </w:r>
      <w:r w:rsidRPr="0098008F">
        <w:rPr>
          <w:rFonts w:ascii="Bookman Old Style" w:hAnsi="Bookman Old Style" w:cs="Arial"/>
          <w:b/>
          <w:bCs/>
        </w:rPr>
        <w:t xml:space="preserve"> atiende el centro poblado de Casuarito en el municipio de Puerto Carreño.</w:t>
      </w:r>
      <w:r w:rsidRPr="00AD369B">
        <w:rPr>
          <w:rFonts w:ascii="Bookman Old Style" w:hAnsi="Bookman Old Style" w:cs="Arial"/>
        </w:rPr>
        <w:t xml:space="preserve"> Las componentes de inversión y de administración, operación y mantenimiento, y la fórmula de actualización de cargos máximos, señalados en los artículos 1 y 2 de la presente resolución, serán aplicables para el mercado relevante de comercialización </w:t>
      </w:r>
      <w:r>
        <w:rPr>
          <w:rFonts w:ascii="Bookman Old Style" w:hAnsi="Bookman Old Style" w:cs="Arial"/>
        </w:rPr>
        <w:t>que</w:t>
      </w:r>
      <w:r w:rsidRPr="00AD369B">
        <w:rPr>
          <w:rFonts w:ascii="Bookman Old Style" w:hAnsi="Bookman Old Style" w:cs="Arial"/>
        </w:rPr>
        <w:t xml:space="preserve"> </w:t>
      </w:r>
      <w:r>
        <w:rPr>
          <w:rFonts w:ascii="Bookman Old Style" w:hAnsi="Bookman Old Style" w:cs="Arial"/>
        </w:rPr>
        <w:t>atiende el centro poblado de Casuarito en el municipio</w:t>
      </w:r>
      <w:r w:rsidRPr="00AD369B">
        <w:rPr>
          <w:rFonts w:ascii="Bookman Old Style" w:hAnsi="Bookman Old Style" w:cs="Arial"/>
        </w:rPr>
        <w:t xml:space="preserve"> de </w:t>
      </w:r>
      <w:r>
        <w:rPr>
          <w:rFonts w:ascii="Bookman Old Style" w:hAnsi="Bookman Old Style" w:cs="Arial"/>
        </w:rPr>
        <w:t>Puerto Carreño</w:t>
      </w:r>
      <w:r w:rsidRPr="00AD369B">
        <w:rPr>
          <w:rFonts w:ascii="Bookman Old Style" w:hAnsi="Bookman Old Style" w:cs="Arial"/>
        </w:rPr>
        <w:t>, a partir de la fecha en que quede en firme la presente resolución y hasta la entrada en vigencia de la resolución que modifique o sustituya a la Resolución CREG 091 de 2007</w:t>
      </w:r>
      <w:r w:rsidRPr="00AD369B">
        <w:rPr>
          <w:rFonts w:ascii="Bookman Old Style" w:hAnsi="Bookman Old Style" w:cs="Arial"/>
          <w:bCs/>
        </w:rPr>
        <w:t>.</w:t>
      </w:r>
    </w:p>
    <w:p w14:paraId="1E991D4A" w14:textId="77777777" w:rsidR="0086143A" w:rsidRPr="00AD369B" w:rsidRDefault="0086143A" w:rsidP="0086143A">
      <w:pPr>
        <w:ind w:left="284" w:right="142"/>
        <w:contextualSpacing/>
        <w:jc w:val="both"/>
        <w:rPr>
          <w:rFonts w:ascii="Bookman Old Style" w:hAnsi="Bookman Old Style" w:cs="Arial"/>
          <w:b/>
        </w:rPr>
      </w:pPr>
    </w:p>
    <w:p w14:paraId="73056543" w14:textId="0D92AC45" w:rsidR="0086143A" w:rsidRPr="00AD369B" w:rsidRDefault="0086143A" w:rsidP="0086143A">
      <w:pPr>
        <w:ind w:left="284" w:right="142"/>
        <w:contextualSpacing/>
        <w:jc w:val="both"/>
        <w:rPr>
          <w:rFonts w:ascii="Bookman Old Style" w:hAnsi="Bookman Old Style" w:cs="Arial"/>
          <w:b/>
          <w:bCs/>
        </w:rPr>
      </w:pPr>
      <w:r w:rsidRPr="546F304C">
        <w:rPr>
          <w:rFonts w:ascii="Bookman Old Style" w:hAnsi="Bookman Old Style" w:cs="Arial"/>
          <w:b/>
          <w:bCs/>
        </w:rPr>
        <w:t xml:space="preserve">ARTÍCULO 5. Notificación. </w:t>
      </w:r>
      <w:r w:rsidRPr="546F304C">
        <w:rPr>
          <w:rFonts w:ascii="Bookman Old Style" w:hAnsi="Bookman Old Style" w:cs="Arial"/>
        </w:rPr>
        <w:t xml:space="preserve">Notificar a los representantes legales de las </w:t>
      </w:r>
      <w:r w:rsidRPr="546F304C">
        <w:rPr>
          <w:rFonts w:ascii="Bookman Old Style" w:hAnsi="Bookman Old Style"/>
        </w:rPr>
        <w:t xml:space="preserve">empresas </w:t>
      </w:r>
      <w:r w:rsidR="001C6E57" w:rsidRPr="546F304C">
        <w:rPr>
          <w:rFonts w:ascii="Bookman Old Style" w:hAnsi="Bookman Old Style"/>
        </w:rPr>
        <w:t xml:space="preserve">DUE CAPITAL AND SERVICES </w:t>
      </w:r>
      <w:r w:rsidRPr="546F304C">
        <w:rPr>
          <w:rFonts w:ascii="Bookman Old Style" w:hAnsi="Bookman Old Style"/>
        </w:rPr>
        <w:t xml:space="preserve">S.A.S. y </w:t>
      </w:r>
      <w:r>
        <w:rPr>
          <w:rFonts w:ascii="Bookman Old Style" w:hAnsi="Bookman Old Style"/>
        </w:rPr>
        <w:t>ELECTROVICHADA</w:t>
      </w:r>
      <w:r w:rsidRPr="546F304C">
        <w:rPr>
          <w:rFonts w:ascii="Bookman Old Style" w:hAnsi="Bookman Old Style"/>
        </w:rPr>
        <w:t xml:space="preserve"> S.A. E.S.P. </w:t>
      </w:r>
      <w:r w:rsidRPr="546F304C">
        <w:rPr>
          <w:rFonts w:ascii="Bookman Old Style" w:hAnsi="Bookman Old Style" w:cs="Arial"/>
        </w:rPr>
        <w:t>el contenido de esta resolución. Contra lo dispuesto en la presente resolución procede recurso de reposición, el cual deberá interponerse ante la Dirección Ejecutiva de la CREG dentro de los cinco (5) días hábiles siguientes a su notificación.</w:t>
      </w:r>
    </w:p>
    <w:p w14:paraId="310AC330" w14:textId="77777777" w:rsidR="0086143A" w:rsidRPr="00AD369B" w:rsidRDefault="0086143A" w:rsidP="0086143A">
      <w:pPr>
        <w:ind w:left="284" w:right="142"/>
        <w:contextualSpacing/>
        <w:jc w:val="both"/>
        <w:rPr>
          <w:rFonts w:ascii="Bookman Old Style" w:hAnsi="Bookman Old Style" w:cs="Arial"/>
        </w:rPr>
      </w:pPr>
    </w:p>
    <w:p w14:paraId="04EEC80E" w14:textId="77777777" w:rsidR="0086143A" w:rsidRPr="00AD369B" w:rsidRDefault="0086143A" w:rsidP="0086143A">
      <w:pPr>
        <w:ind w:left="284" w:right="142"/>
        <w:contextualSpacing/>
        <w:jc w:val="center"/>
        <w:rPr>
          <w:rFonts w:ascii="Bookman Old Style" w:hAnsi="Bookman Old Style" w:cs="Arial"/>
          <w:b/>
        </w:rPr>
      </w:pPr>
      <w:r w:rsidRPr="00AD369B">
        <w:rPr>
          <w:rFonts w:ascii="Bookman Old Style" w:hAnsi="Bookman Old Style" w:cs="Arial"/>
          <w:b/>
        </w:rPr>
        <w:t>NOTIFÍQUESE, PUBLÍQUESE Y CÚMPLASE</w:t>
      </w:r>
    </w:p>
    <w:p w14:paraId="577D7CBA" w14:textId="77777777" w:rsidR="0086143A" w:rsidRPr="00AD369B" w:rsidRDefault="0086143A" w:rsidP="0086143A">
      <w:pPr>
        <w:ind w:left="284" w:right="142"/>
        <w:contextualSpacing/>
        <w:rPr>
          <w:rFonts w:ascii="Bookman Old Style" w:hAnsi="Bookman Old Style" w:cs="Arial"/>
        </w:rPr>
      </w:pPr>
    </w:p>
    <w:p w14:paraId="1E13A45D" w14:textId="05B0D3C5" w:rsidR="0086143A" w:rsidRDefault="0086143A" w:rsidP="0086143A">
      <w:pPr>
        <w:ind w:left="284"/>
        <w:contextualSpacing/>
        <w:rPr>
          <w:rFonts w:ascii="Bookman Old Style" w:hAnsi="Bookman Old Style" w:cs="Arial"/>
          <w:bCs/>
        </w:rPr>
      </w:pPr>
      <w:r w:rsidRPr="0F01B6B5">
        <w:rPr>
          <w:rFonts w:ascii="Bookman Old Style" w:hAnsi="Bookman Old Style"/>
        </w:rPr>
        <w:t xml:space="preserve">Dada en Bogotá. D. C., </w:t>
      </w:r>
      <w:r w:rsidR="00BA6E1E" w:rsidRPr="00BA6E1E">
        <w:rPr>
          <w:rFonts w:ascii="Bookman Old Style" w:hAnsi="Bookman Old Style"/>
          <w:b/>
          <w:bCs/>
        </w:rPr>
        <w:t>06 AGO. 2022</w:t>
      </w:r>
    </w:p>
    <w:p w14:paraId="78C28EE4" w14:textId="5AF0B3EB" w:rsidR="0086143A" w:rsidRDefault="0086143A" w:rsidP="0086143A">
      <w:pPr>
        <w:pStyle w:val="Piedepgina"/>
        <w:tabs>
          <w:tab w:val="center" w:pos="4845"/>
        </w:tabs>
        <w:ind w:left="284" w:right="6"/>
        <w:contextualSpacing/>
        <w:jc w:val="both"/>
        <w:rPr>
          <w:rFonts w:ascii="Bookman Old Style" w:hAnsi="Bookman Old Style" w:cs="Arial"/>
          <w:bCs/>
        </w:rPr>
      </w:pPr>
    </w:p>
    <w:p w14:paraId="66C9AAF9" w14:textId="018023BF" w:rsidR="00854E71" w:rsidRDefault="00854E71" w:rsidP="00CF067A">
      <w:pPr>
        <w:ind w:right="6"/>
        <w:contextualSpacing/>
        <w:rPr>
          <w:rFonts w:ascii="Bookman Old Style" w:hAnsi="Bookman Old Style"/>
        </w:rPr>
      </w:pPr>
    </w:p>
    <w:p w14:paraId="2BE81687" w14:textId="77777777" w:rsidR="0086143A" w:rsidRPr="003F7981" w:rsidRDefault="0086143A" w:rsidP="00CF067A">
      <w:pPr>
        <w:ind w:right="6"/>
        <w:contextualSpacing/>
        <w:rPr>
          <w:rFonts w:ascii="Bookman Old Style" w:hAnsi="Bookman Old Style"/>
        </w:rPr>
      </w:pPr>
    </w:p>
    <w:p w14:paraId="37984174" w14:textId="77777777" w:rsidR="00D238B3" w:rsidRPr="003F7981" w:rsidRDefault="00D238B3" w:rsidP="00CF067A">
      <w:pPr>
        <w:ind w:right="6"/>
        <w:contextualSpacing/>
        <w:rPr>
          <w:rFonts w:ascii="Bookman Old Style" w:hAnsi="Bookman Old Style"/>
        </w:rPr>
      </w:pPr>
    </w:p>
    <w:tbl>
      <w:tblPr>
        <w:tblW w:w="9781" w:type="dxa"/>
        <w:tblCellSpacing w:w="0" w:type="dxa"/>
        <w:tblCellMar>
          <w:left w:w="0" w:type="dxa"/>
          <w:right w:w="0" w:type="dxa"/>
        </w:tblCellMar>
        <w:tblLook w:val="04A0" w:firstRow="1" w:lastRow="0" w:firstColumn="1" w:lastColumn="0" w:noHBand="0" w:noVBand="1"/>
      </w:tblPr>
      <w:tblGrid>
        <w:gridCol w:w="4962"/>
        <w:gridCol w:w="4819"/>
      </w:tblGrid>
      <w:tr w:rsidR="00D238B3" w:rsidRPr="003F7981" w14:paraId="41C605C2" w14:textId="77777777" w:rsidTr="043B6ADB">
        <w:trPr>
          <w:tblCellSpacing w:w="0" w:type="dxa"/>
        </w:trPr>
        <w:tc>
          <w:tcPr>
            <w:tcW w:w="4962" w:type="dxa"/>
          </w:tcPr>
          <w:p w14:paraId="6713D5AE" w14:textId="40A36CFB" w:rsidR="00D238B3" w:rsidRPr="003F7981" w:rsidRDefault="005B5C99" w:rsidP="00CF067A">
            <w:pPr>
              <w:ind w:left="66" w:right="6"/>
              <w:contextualSpacing/>
              <w:jc w:val="center"/>
              <w:rPr>
                <w:rFonts w:ascii="Bookman Old Style" w:hAnsi="Bookman Old Style" w:cs="Arial"/>
                <w:b/>
                <w:spacing w:val="-3"/>
              </w:rPr>
            </w:pPr>
            <w:r w:rsidRPr="003F7981">
              <w:rPr>
                <w:rFonts w:ascii="Bookman Old Style" w:hAnsi="Bookman Old Style" w:cs="Arial"/>
                <w:b/>
              </w:rPr>
              <w:t>DIEGO MESA PUYO</w:t>
            </w:r>
          </w:p>
        </w:tc>
        <w:tc>
          <w:tcPr>
            <w:tcW w:w="4819" w:type="dxa"/>
          </w:tcPr>
          <w:p w14:paraId="7EF96C8B" w14:textId="59B9D816" w:rsidR="00D238B3" w:rsidRPr="003F7981" w:rsidRDefault="27981787" w:rsidP="27981787">
            <w:pPr>
              <w:ind w:left="89" w:right="6"/>
              <w:contextualSpacing/>
              <w:jc w:val="center"/>
              <w:rPr>
                <w:rFonts w:ascii="Bookman Old Style" w:hAnsi="Bookman Old Style" w:cs="Arial"/>
                <w:b/>
                <w:bCs/>
                <w:spacing w:val="-3"/>
              </w:rPr>
            </w:pPr>
            <w:r w:rsidRPr="003F7981">
              <w:rPr>
                <w:rFonts w:ascii="Bookman Old Style" w:hAnsi="Bookman Old Style" w:cs="Arial"/>
                <w:b/>
                <w:bCs/>
                <w:spacing w:val="-3"/>
              </w:rPr>
              <w:t xml:space="preserve">JORGE </w:t>
            </w:r>
            <w:r w:rsidR="00BA395B">
              <w:rPr>
                <w:rFonts w:ascii="Bookman Old Style" w:hAnsi="Bookman Old Style" w:cs="Arial"/>
                <w:b/>
                <w:bCs/>
                <w:spacing w:val="-3"/>
              </w:rPr>
              <w:t xml:space="preserve">ALBERTO </w:t>
            </w:r>
            <w:r w:rsidRPr="003F7981">
              <w:rPr>
                <w:rFonts w:ascii="Bookman Old Style" w:hAnsi="Bookman Old Style" w:cs="Arial"/>
                <w:b/>
                <w:bCs/>
                <w:spacing w:val="-3"/>
              </w:rPr>
              <w:t>VALENCIA MARIN</w:t>
            </w:r>
          </w:p>
        </w:tc>
      </w:tr>
      <w:tr w:rsidR="00D238B3" w:rsidRPr="003F7981" w14:paraId="10611363" w14:textId="77777777" w:rsidTr="043B6ADB">
        <w:trPr>
          <w:trHeight w:val="699"/>
          <w:tblCellSpacing w:w="0" w:type="dxa"/>
        </w:trPr>
        <w:tc>
          <w:tcPr>
            <w:tcW w:w="4962" w:type="dxa"/>
            <w:hideMark/>
          </w:tcPr>
          <w:p w14:paraId="05A25E5E" w14:textId="2FD0C826" w:rsidR="0086143A" w:rsidRDefault="00843746" w:rsidP="0086143A">
            <w:pPr>
              <w:ind w:left="66" w:right="6"/>
              <w:contextualSpacing/>
              <w:jc w:val="center"/>
              <w:rPr>
                <w:rFonts w:ascii="Bookman Old Style" w:hAnsi="Bookman Old Style" w:cs="Arial"/>
                <w:spacing w:val="-3"/>
              </w:rPr>
            </w:pPr>
            <w:r w:rsidRPr="003F7981">
              <w:rPr>
                <w:rFonts w:ascii="Bookman Old Style" w:hAnsi="Bookman Old Style" w:cs="Arial"/>
                <w:spacing w:val="-3"/>
              </w:rPr>
              <w:t>M</w:t>
            </w:r>
            <w:r w:rsidR="0D2E9003" w:rsidRPr="003F7981">
              <w:rPr>
                <w:rFonts w:ascii="Bookman Old Style" w:hAnsi="Bookman Old Style" w:cs="Arial"/>
                <w:spacing w:val="-3"/>
              </w:rPr>
              <w:t>inistro</w:t>
            </w:r>
            <w:r w:rsidR="3D6E5315" w:rsidRPr="003F7981">
              <w:rPr>
                <w:rFonts w:ascii="Bookman Old Style" w:hAnsi="Bookman Old Style" w:cs="Arial"/>
                <w:spacing w:val="-3"/>
              </w:rPr>
              <w:t xml:space="preserve"> de </w:t>
            </w:r>
            <w:r w:rsidR="0086143A">
              <w:rPr>
                <w:rFonts w:ascii="Bookman Old Style" w:hAnsi="Bookman Old Style" w:cs="Arial"/>
                <w:spacing w:val="-3"/>
              </w:rPr>
              <w:t>Minas y Energía</w:t>
            </w:r>
          </w:p>
          <w:p w14:paraId="779B3789" w14:textId="779A78E2" w:rsidR="00BA6E1E" w:rsidRPr="003F7981" w:rsidRDefault="00BA6E1E" w:rsidP="0086143A">
            <w:pPr>
              <w:ind w:left="66" w:right="6"/>
              <w:contextualSpacing/>
              <w:jc w:val="center"/>
              <w:rPr>
                <w:rFonts w:ascii="Bookman Old Style" w:eastAsia="Arial Unicode MS" w:hAnsi="Bookman Old Style" w:cs="Arial"/>
                <w:color w:val="000000"/>
              </w:rPr>
            </w:pPr>
            <w:r>
              <w:rPr>
                <w:rFonts w:ascii="Bookman Old Style" w:eastAsia="Arial Unicode MS" w:hAnsi="Bookman Old Style" w:cs="Arial"/>
                <w:color w:val="000000"/>
              </w:rPr>
              <w:t>Presidente</w:t>
            </w:r>
          </w:p>
          <w:p w14:paraId="64D7C7A7" w14:textId="01B4FF1B" w:rsidR="00854E71" w:rsidRPr="003F7981" w:rsidRDefault="00854E71" w:rsidP="00CF067A">
            <w:pPr>
              <w:ind w:left="66" w:right="6"/>
              <w:contextualSpacing/>
              <w:jc w:val="center"/>
              <w:rPr>
                <w:rFonts w:ascii="Bookman Old Style" w:eastAsia="Arial Unicode MS" w:hAnsi="Bookman Old Style" w:cs="Arial"/>
                <w:color w:val="000000"/>
              </w:rPr>
            </w:pPr>
          </w:p>
        </w:tc>
        <w:tc>
          <w:tcPr>
            <w:tcW w:w="4819" w:type="dxa"/>
            <w:hideMark/>
          </w:tcPr>
          <w:p w14:paraId="45134C40" w14:textId="0C99254C" w:rsidR="00D238B3" w:rsidRPr="003F7981" w:rsidRDefault="61393BDB" w:rsidP="27981787">
            <w:pPr>
              <w:ind w:right="6"/>
              <w:contextualSpacing/>
              <w:jc w:val="center"/>
              <w:rPr>
                <w:rFonts w:ascii="Bookman Old Style" w:hAnsi="Bookman Old Style" w:cs="Arial"/>
              </w:rPr>
            </w:pPr>
            <w:r w:rsidRPr="003F7981">
              <w:rPr>
                <w:rFonts w:ascii="Bookman Old Style" w:hAnsi="Bookman Old Style" w:cs="Arial"/>
                <w:spacing w:val="-3"/>
              </w:rPr>
              <w:t>Director Ejecutivo</w:t>
            </w:r>
          </w:p>
        </w:tc>
      </w:tr>
    </w:tbl>
    <w:p w14:paraId="284DA02B" w14:textId="4A3F4DA0" w:rsidR="043B6ADB" w:rsidRDefault="043B6ADB"/>
    <w:p w14:paraId="0EFDCA58" w14:textId="77777777" w:rsidR="004D28B1" w:rsidRPr="003F7981" w:rsidRDefault="004D28B1" w:rsidP="00560ACC">
      <w:pPr>
        <w:ind w:right="6"/>
        <w:contextualSpacing/>
        <w:rPr>
          <w:rFonts w:ascii="Bookman Old Style" w:hAnsi="Bookman Old Style"/>
        </w:rPr>
      </w:pPr>
    </w:p>
    <w:sectPr w:rsidR="004D28B1" w:rsidRPr="003F7981" w:rsidSect="00CF067A">
      <w:headerReference w:type="default" r:id="rId12"/>
      <w:headerReference w:type="first" r:id="rId13"/>
      <w:type w:val="continuous"/>
      <w:pgSz w:w="12242" w:h="18722" w:code="123"/>
      <w:pgMar w:top="1440" w:right="1440" w:bottom="167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6BF9" w14:textId="77777777" w:rsidR="003D24B0" w:rsidRDefault="003D24B0">
      <w:r>
        <w:separator/>
      </w:r>
    </w:p>
  </w:endnote>
  <w:endnote w:type="continuationSeparator" w:id="0">
    <w:p w14:paraId="4C3D9662" w14:textId="77777777" w:rsidR="003D24B0" w:rsidRDefault="003D24B0">
      <w:r>
        <w:continuationSeparator/>
      </w:r>
    </w:p>
  </w:endnote>
  <w:endnote w:type="continuationNotice" w:id="1">
    <w:p w14:paraId="4BF44489" w14:textId="77777777" w:rsidR="003D24B0" w:rsidRDefault="003D2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BBF2" w14:textId="77777777" w:rsidR="003D24B0" w:rsidRDefault="003D24B0">
      <w:r>
        <w:separator/>
      </w:r>
    </w:p>
  </w:footnote>
  <w:footnote w:type="continuationSeparator" w:id="0">
    <w:p w14:paraId="2DA659FD" w14:textId="77777777" w:rsidR="003D24B0" w:rsidRDefault="003D24B0">
      <w:r>
        <w:continuationSeparator/>
      </w:r>
    </w:p>
  </w:footnote>
  <w:footnote w:type="continuationNotice" w:id="1">
    <w:p w14:paraId="125940E2" w14:textId="77777777" w:rsidR="003D24B0" w:rsidRDefault="003D2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A9C5" w14:textId="77777777" w:rsidR="00624803" w:rsidRDefault="00624803" w:rsidP="00951F79">
    <w:pPr>
      <w:pStyle w:val="Ttulo1"/>
      <w:ind w:right="6"/>
      <w:jc w:val="left"/>
      <w:rPr>
        <w:rFonts w:ascii="Bookman Old Style" w:hAnsi="Bookman Old Style" w:cs="Arial"/>
        <w:b w:val="0"/>
        <w:sz w:val="22"/>
        <w:szCs w:val="22"/>
      </w:rPr>
    </w:pPr>
  </w:p>
  <w:p w14:paraId="36B1EA65" w14:textId="1D077FF6" w:rsidR="00624803" w:rsidRPr="00951F79" w:rsidRDefault="00624803"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D369B">
      <w:rPr>
        <w:rFonts w:ascii="Bookman Old Style" w:hAnsi="Bookman Old Style" w:cs="Arial"/>
        <w:b w:val="0"/>
        <w:szCs w:val="24"/>
      </w:rPr>
      <w:t>.</w:t>
    </w:r>
    <w:r w:rsidRPr="00AD369B">
      <w:rPr>
        <w:rFonts w:ascii="Bookman Old Style" w:hAnsi="Bookman Old Style" w:cs="Arial"/>
        <w:bCs/>
        <w:szCs w:val="24"/>
        <w:u w:val="single"/>
      </w:rPr>
      <w:t xml:space="preserve"> </w:t>
    </w:r>
    <w:r>
      <w:rPr>
        <w:rFonts w:ascii="Bookman Old Style" w:hAnsi="Bookman Old Style" w:cs="Arial"/>
        <w:bCs/>
        <w:szCs w:val="24"/>
        <w:u w:val="single"/>
      </w:rPr>
      <w:t xml:space="preserve">501 </w:t>
    </w:r>
    <w:proofErr w:type="gramStart"/>
    <w:r w:rsidR="00BA6E1E">
      <w:rPr>
        <w:rFonts w:ascii="Bookman Old Style" w:hAnsi="Bookman Old Style" w:cs="Arial"/>
        <w:bCs/>
        <w:szCs w:val="24"/>
        <w:u w:val="single"/>
      </w:rPr>
      <w:t>060</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proofErr w:type="gramEnd"/>
    <w:r>
      <w:rPr>
        <w:rFonts w:ascii="Bookman Old Style" w:hAnsi="Bookman Old Style" w:cs="Arial"/>
        <w:b w:val="0"/>
        <w:sz w:val="22"/>
        <w:szCs w:val="22"/>
      </w:rPr>
      <w:t xml:space="preserve">DE  </w:t>
    </w:r>
    <w:r w:rsidRPr="00AD369B">
      <w:rPr>
        <w:rFonts w:ascii="Bookman Old Style" w:hAnsi="Bookman Old Style" w:cs="Arial"/>
        <w:b w:val="0"/>
        <w:sz w:val="22"/>
        <w:szCs w:val="22"/>
        <w:u w:val="single"/>
      </w:rPr>
      <w:t xml:space="preserve"> </w:t>
    </w:r>
    <w:r w:rsidR="00BA6E1E">
      <w:rPr>
        <w:rFonts w:ascii="Bookman Old Style" w:hAnsi="Bookman Old Style" w:cs="Arial"/>
        <w:bCs/>
        <w:szCs w:val="24"/>
        <w:u w:val="single"/>
      </w:rPr>
      <w:t>06</w:t>
    </w:r>
    <w:r w:rsidRPr="00AD369B">
      <w:rPr>
        <w:rFonts w:ascii="Bookman Old Style" w:hAnsi="Bookman Old Style" w:cs="Arial"/>
        <w:bCs/>
        <w:szCs w:val="24"/>
        <w:u w:val="single"/>
      </w:rPr>
      <w:t xml:space="preserve"> </w:t>
    </w:r>
    <w:r w:rsidR="00BA6E1E">
      <w:rPr>
        <w:rFonts w:ascii="Bookman Old Style" w:hAnsi="Bookman Old Style" w:cs="Arial"/>
        <w:bCs/>
        <w:szCs w:val="24"/>
        <w:u w:val="single"/>
      </w:rPr>
      <w:t>AGO</w:t>
    </w:r>
    <w:r w:rsidRPr="00AD369B">
      <w:rPr>
        <w:rFonts w:ascii="Bookman Old Style" w:hAnsi="Bookman Old Style" w:cs="Arial"/>
        <w:bCs/>
        <w:szCs w:val="24"/>
        <w:u w:val="single"/>
      </w:rPr>
      <w:t>. 202</w:t>
    </w:r>
    <w:r>
      <w:rPr>
        <w:rFonts w:ascii="Bookman Old Style" w:hAnsi="Bookman Old Style" w:cs="Arial"/>
        <w:bCs/>
        <w:szCs w:val="24"/>
        <w:u w:val="single"/>
      </w:rPr>
      <w:t>2</w:t>
    </w:r>
    <w:r w:rsidRPr="00AD369B">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Pr>
        <w:rFonts w:ascii="Bookman Old Style" w:hAnsi="Bookman Old Style" w:cs="Arial"/>
        <w:b w:val="0"/>
        <w:noProof/>
        <w:sz w:val="22"/>
        <w:szCs w:val="22"/>
      </w:rPr>
      <w:t>17</w:t>
    </w:r>
    <w:r>
      <w:rPr>
        <w:rFonts w:ascii="Bookman Old Style" w:hAnsi="Bookman Old Style" w:cs="Arial"/>
        <w:b w:val="0"/>
        <w:sz w:val="22"/>
        <w:szCs w:val="22"/>
      </w:rPr>
      <w:fldChar w:fldCharType="end"/>
    </w:r>
  </w:p>
  <w:p w14:paraId="6279FA08" w14:textId="77777777" w:rsidR="00624803" w:rsidRDefault="00624803" w:rsidP="00053032">
    <w:pPr>
      <w:pStyle w:val="Textodebloque"/>
      <w:ind w:left="0" w:right="142"/>
      <w:rPr>
        <w:rFonts w:ascii="Bookman Old Style" w:hAnsi="Bookman Old Style" w:cs="Arial"/>
        <w:szCs w:val="24"/>
      </w:rPr>
    </w:pPr>
    <w:r>
      <w:rPr>
        <w:noProof/>
        <w:lang w:val="en-US" w:eastAsia="en-US"/>
      </w:rPr>
      <mc:AlternateContent>
        <mc:Choice Requires="wps">
          <w:drawing>
            <wp:anchor distT="0" distB="0" distL="114300" distR="114300" simplePos="0" relativeHeight="251658240" behindDoc="0" locked="0" layoutInCell="1" allowOverlap="1" wp14:anchorId="4489AA18" wp14:editId="196FE827">
              <wp:simplePos x="0" y="0"/>
              <wp:positionH relativeFrom="column">
                <wp:posOffset>-9525</wp:posOffset>
              </wp:positionH>
              <wp:positionV relativeFrom="paragraph">
                <wp:posOffset>144145</wp:posOffset>
              </wp:positionV>
              <wp:extent cx="6342380" cy="9939600"/>
              <wp:effectExtent l="12700" t="12700" r="7620" b="177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60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FEC44F1" id="Rectangle 4" o:spid="_x0000_s1026" style="position:absolute;margin-left:-.75pt;margin-top:11.35pt;width:499.4pt;height:78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" filled="f" strokeweight="1.5pt"/>
          </w:pict>
        </mc:Fallback>
      </mc:AlternateContent>
    </w:r>
    <w:r w:rsidRPr="00507115">
      <w:rPr>
        <w:rFonts w:ascii="Bookman Old Style" w:hAnsi="Bookman Old Style" w:cs="Arial"/>
        <w:szCs w:val="24"/>
      </w:rPr>
      <w:t xml:space="preserve"> </w:t>
    </w:r>
  </w:p>
  <w:p w14:paraId="31D7C0BF" w14:textId="0EA581F0" w:rsidR="000A023E" w:rsidRPr="000A023E" w:rsidRDefault="00624803" w:rsidP="008367E9">
    <w:pPr>
      <w:ind w:left="284"/>
      <w:jc w:val="both"/>
      <w:rPr>
        <w:rFonts w:ascii="Bookman Old Style" w:hAnsi="Bookman Old Style"/>
        <w:spacing w:val="-3"/>
        <w:szCs w:val="20"/>
        <w:lang w:val="es-ES_tradnl"/>
      </w:rPr>
    </w:pPr>
    <w:r w:rsidRPr="00053032">
      <w:rPr>
        <w:rFonts w:ascii="Bookman Old Style" w:hAnsi="Bookman Old Style"/>
      </w:rPr>
      <w:t xml:space="preserve">Por la cual se determina el cargo máximo de </w:t>
    </w:r>
    <w:r w:rsidR="000A023E">
      <w:rPr>
        <w:rFonts w:ascii="Bookman Old Style" w:hAnsi="Bookman Old Style"/>
      </w:rPr>
      <w:t xml:space="preserve">comercialización </w:t>
    </w:r>
    <w:r w:rsidR="000A023E" w:rsidRPr="000A023E">
      <w:rPr>
        <w:rFonts w:ascii="Bookman Old Style" w:hAnsi="Bookman Old Style"/>
        <w:spacing w:val="-3"/>
        <w:szCs w:val="20"/>
        <w:lang w:val="es-ES_tradnl"/>
      </w:rPr>
      <w:t xml:space="preserve">para el mercado relevante que atiende el centro poblado de Casuarito en el </w:t>
    </w:r>
    <w:r w:rsidR="00222E08">
      <w:rPr>
        <w:rFonts w:ascii="Bookman Old Style" w:hAnsi="Bookman Old Style"/>
        <w:spacing w:val="-3"/>
        <w:szCs w:val="20"/>
        <w:lang w:val="es-ES_tradnl"/>
      </w:rPr>
      <w:t>M</w:t>
    </w:r>
    <w:r w:rsidR="000A023E" w:rsidRPr="000A023E">
      <w:rPr>
        <w:rFonts w:ascii="Bookman Old Style" w:hAnsi="Bookman Old Style"/>
        <w:spacing w:val="-3"/>
        <w:szCs w:val="20"/>
        <w:lang w:val="es-ES_tradnl"/>
      </w:rPr>
      <w:t>unicipio de Puerto Carreño en el Departamento del Vichada.</w:t>
    </w:r>
  </w:p>
  <w:p w14:paraId="28F3F09E" w14:textId="0D17716A" w:rsidR="00624803" w:rsidRPr="00053032" w:rsidRDefault="00624803" w:rsidP="00AD369B">
    <w:pPr>
      <w:pStyle w:val="Textodebloque"/>
      <w:spacing w:after="0"/>
      <w:ind w:left="283" w:right="142"/>
      <w:rPr>
        <w:rFonts w:ascii="Bookman Old Style" w:hAnsi="Bookman Old Style"/>
      </w:rPr>
    </w:pPr>
    <w:r>
      <w:rPr>
        <w:rFonts w:ascii="Bookman Old Style" w:hAnsi="Bookman Old Style"/>
      </w:rPr>
      <w:t>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45D" w14:textId="77777777" w:rsidR="00624803" w:rsidRDefault="00624803">
    <w:pPr>
      <w:pStyle w:val="Encabezado"/>
      <w:jc w:val="center"/>
      <w:rPr>
        <w:rFonts w:ascii="Arial" w:hAnsi="Arial" w:cs="Arial"/>
        <w:spacing w:val="20"/>
        <w:sz w:val="20"/>
      </w:rPr>
    </w:pPr>
    <w:r>
      <w:rPr>
        <w:rFonts w:ascii="Arial" w:hAnsi="Arial" w:cs="Arial"/>
        <w:spacing w:val="20"/>
        <w:sz w:val="20"/>
      </w:rPr>
      <w:t>República de Colombia</w:t>
    </w:r>
  </w:p>
  <w:p w14:paraId="1DEBF43A" w14:textId="77777777" w:rsidR="00624803" w:rsidRDefault="00624803">
    <w:pPr>
      <w:pStyle w:val="Encabezado"/>
      <w:jc w:val="center"/>
      <w:rPr>
        <w:rFonts w:ascii="Arial" w:hAnsi="Arial" w:cs="Arial"/>
        <w:spacing w:val="20"/>
        <w:sz w:val="20"/>
      </w:rPr>
    </w:pPr>
  </w:p>
  <w:p w14:paraId="000510A4" w14:textId="77777777" w:rsidR="00624803" w:rsidRDefault="00624803" w:rsidP="00CA77FB">
    <w:pPr>
      <w:pStyle w:val="Encabezado"/>
      <w:jc w:val="center"/>
    </w:pPr>
    <w:r>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2B7A6E49" wp14:editId="12E5A430">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EF8B460">
            <v:rect id="Rectangle 5" style="position:absolute;margin-left:-.7pt;margin-top:17.7pt;width:496.7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5F70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sN4NImkaYycL" int2:id="s4Vj5Ba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7655057"/>
    <w:multiLevelType w:val="hybridMultilevel"/>
    <w:tmpl w:val="A828BA4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7" w15:restartNumberingAfterBreak="0">
    <w:nsid w:val="09901A1E"/>
    <w:multiLevelType w:val="hybridMultilevel"/>
    <w:tmpl w:val="49EEC4E2"/>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4D793F"/>
    <w:multiLevelType w:val="hybridMultilevel"/>
    <w:tmpl w:val="61706B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1CF63874"/>
    <w:multiLevelType w:val="hybridMultilevel"/>
    <w:tmpl w:val="D7964F3C"/>
    <w:lvl w:ilvl="0" w:tplc="06F077C6">
      <w:start w:val="1"/>
      <w:numFmt w:val="decimal"/>
      <w:lvlText w:val="%1."/>
      <w:lvlJc w:val="left"/>
      <w:pPr>
        <w:ind w:left="720" w:hanging="360"/>
      </w:pPr>
    </w:lvl>
    <w:lvl w:ilvl="1" w:tplc="50100124">
      <w:start w:val="1"/>
      <w:numFmt w:val="lowerLetter"/>
      <w:lvlText w:val="%2."/>
      <w:lvlJc w:val="left"/>
      <w:pPr>
        <w:ind w:left="1440" w:hanging="360"/>
      </w:pPr>
    </w:lvl>
    <w:lvl w:ilvl="2" w:tplc="0AEA1D8A">
      <w:start w:val="1"/>
      <w:numFmt w:val="lowerRoman"/>
      <w:lvlText w:val="%3."/>
      <w:lvlJc w:val="right"/>
      <w:pPr>
        <w:ind w:left="2160" w:hanging="180"/>
      </w:pPr>
    </w:lvl>
    <w:lvl w:ilvl="3" w:tplc="B9B010B8">
      <w:start w:val="1"/>
      <w:numFmt w:val="decimal"/>
      <w:lvlText w:val="%4."/>
      <w:lvlJc w:val="left"/>
      <w:pPr>
        <w:ind w:left="2880" w:hanging="360"/>
      </w:pPr>
    </w:lvl>
    <w:lvl w:ilvl="4" w:tplc="D93A292C">
      <w:start w:val="1"/>
      <w:numFmt w:val="lowerLetter"/>
      <w:lvlText w:val="%5."/>
      <w:lvlJc w:val="left"/>
      <w:pPr>
        <w:ind w:left="3600" w:hanging="360"/>
      </w:pPr>
    </w:lvl>
    <w:lvl w:ilvl="5" w:tplc="F02C69A8">
      <w:start w:val="1"/>
      <w:numFmt w:val="lowerRoman"/>
      <w:lvlText w:val="%6."/>
      <w:lvlJc w:val="right"/>
      <w:pPr>
        <w:ind w:left="4320" w:hanging="180"/>
      </w:pPr>
    </w:lvl>
    <w:lvl w:ilvl="6" w:tplc="F26CB838">
      <w:start w:val="1"/>
      <w:numFmt w:val="decimal"/>
      <w:lvlText w:val="%7."/>
      <w:lvlJc w:val="left"/>
      <w:pPr>
        <w:ind w:left="5040" w:hanging="360"/>
      </w:pPr>
    </w:lvl>
    <w:lvl w:ilvl="7" w:tplc="EC32E44A">
      <w:start w:val="1"/>
      <w:numFmt w:val="lowerLetter"/>
      <w:lvlText w:val="%8."/>
      <w:lvlJc w:val="left"/>
      <w:pPr>
        <w:ind w:left="5760" w:hanging="360"/>
      </w:pPr>
    </w:lvl>
    <w:lvl w:ilvl="8" w:tplc="74BE00FC">
      <w:start w:val="1"/>
      <w:numFmt w:val="lowerRoman"/>
      <w:lvlText w:val="%9."/>
      <w:lvlJc w:val="right"/>
      <w:pPr>
        <w:ind w:left="6480" w:hanging="180"/>
      </w:pPr>
    </w:lvl>
  </w:abstractNum>
  <w:abstractNum w:abstractNumId="13"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B23CC3"/>
    <w:multiLevelType w:val="hybridMultilevel"/>
    <w:tmpl w:val="8A9C2C42"/>
    <w:lvl w:ilvl="0" w:tplc="24067DDC">
      <w:start w:val="1"/>
      <w:numFmt w:val="bullet"/>
      <w:lvlText w:val="•"/>
      <w:lvlJc w:val="left"/>
      <w:pPr>
        <w:tabs>
          <w:tab w:val="num" w:pos="720"/>
        </w:tabs>
        <w:ind w:left="720" w:hanging="360"/>
      </w:pPr>
      <w:rPr>
        <w:rFonts w:ascii="Times New Roman" w:hAnsi="Times New Roman" w:hint="default"/>
      </w:rPr>
    </w:lvl>
    <w:lvl w:ilvl="1" w:tplc="077EA892" w:tentative="1">
      <w:start w:val="1"/>
      <w:numFmt w:val="bullet"/>
      <w:lvlText w:val="•"/>
      <w:lvlJc w:val="left"/>
      <w:pPr>
        <w:tabs>
          <w:tab w:val="num" w:pos="1440"/>
        </w:tabs>
        <w:ind w:left="1440" w:hanging="360"/>
      </w:pPr>
      <w:rPr>
        <w:rFonts w:ascii="Times New Roman" w:hAnsi="Times New Roman" w:hint="default"/>
      </w:rPr>
    </w:lvl>
    <w:lvl w:ilvl="2" w:tplc="8356FBC6" w:tentative="1">
      <w:start w:val="1"/>
      <w:numFmt w:val="bullet"/>
      <w:lvlText w:val="•"/>
      <w:lvlJc w:val="left"/>
      <w:pPr>
        <w:tabs>
          <w:tab w:val="num" w:pos="2160"/>
        </w:tabs>
        <w:ind w:left="2160" w:hanging="360"/>
      </w:pPr>
      <w:rPr>
        <w:rFonts w:ascii="Times New Roman" w:hAnsi="Times New Roman" w:hint="default"/>
      </w:rPr>
    </w:lvl>
    <w:lvl w:ilvl="3" w:tplc="5FBE7D7C" w:tentative="1">
      <w:start w:val="1"/>
      <w:numFmt w:val="bullet"/>
      <w:lvlText w:val="•"/>
      <w:lvlJc w:val="left"/>
      <w:pPr>
        <w:tabs>
          <w:tab w:val="num" w:pos="2880"/>
        </w:tabs>
        <w:ind w:left="2880" w:hanging="360"/>
      </w:pPr>
      <w:rPr>
        <w:rFonts w:ascii="Times New Roman" w:hAnsi="Times New Roman" w:hint="default"/>
      </w:rPr>
    </w:lvl>
    <w:lvl w:ilvl="4" w:tplc="95320D2E" w:tentative="1">
      <w:start w:val="1"/>
      <w:numFmt w:val="bullet"/>
      <w:lvlText w:val="•"/>
      <w:lvlJc w:val="left"/>
      <w:pPr>
        <w:tabs>
          <w:tab w:val="num" w:pos="3600"/>
        </w:tabs>
        <w:ind w:left="3600" w:hanging="360"/>
      </w:pPr>
      <w:rPr>
        <w:rFonts w:ascii="Times New Roman" w:hAnsi="Times New Roman" w:hint="default"/>
      </w:rPr>
    </w:lvl>
    <w:lvl w:ilvl="5" w:tplc="1A1893EC" w:tentative="1">
      <w:start w:val="1"/>
      <w:numFmt w:val="bullet"/>
      <w:lvlText w:val="•"/>
      <w:lvlJc w:val="left"/>
      <w:pPr>
        <w:tabs>
          <w:tab w:val="num" w:pos="4320"/>
        </w:tabs>
        <w:ind w:left="4320" w:hanging="360"/>
      </w:pPr>
      <w:rPr>
        <w:rFonts w:ascii="Times New Roman" w:hAnsi="Times New Roman" w:hint="default"/>
      </w:rPr>
    </w:lvl>
    <w:lvl w:ilvl="6" w:tplc="5FAE00A4" w:tentative="1">
      <w:start w:val="1"/>
      <w:numFmt w:val="bullet"/>
      <w:lvlText w:val="•"/>
      <w:lvlJc w:val="left"/>
      <w:pPr>
        <w:tabs>
          <w:tab w:val="num" w:pos="5040"/>
        </w:tabs>
        <w:ind w:left="5040" w:hanging="360"/>
      </w:pPr>
      <w:rPr>
        <w:rFonts w:ascii="Times New Roman" w:hAnsi="Times New Roman" w:hint="default"/>
      </w:rPr>
    </w:lvl>
    <w:lvl w:ilvl="7" w:tplc="FC8C1D00" w:tentative="1">
      <w:start w:val="1"/>
      <w:numFmt w:val="bullet"/>
      <w:lvlText w:val="•"/>
      <w:lvlJc w:val="left"/>
      <w:pPr>
        <w:tabs>
          <w:tab w:val="num" w:pos="5760"/>
        </w:tabs>
        <w:ind w:left="5760" w:hanging="360"/>
      </w:pPr>
      <w:rPr>
        <w:rFonts w:ascii="Times New Roman" w:hAnsi="Times New Roman" w:hint="default"/>
      </w:rPr>
    </w:lvl>
    <w:lvl w:ilvl="8" w:tplc="EECEE5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7" w15:restartNumberingAfterBreak="0">
    <w:nsid w:val="286854D8"/>
    <w:multiLevelType w:val="hybridMultilevel"/>
    <w:tmpl w:val="AF5255C0"/>
    <w:lvl w:ilvl="0" w:tplc="10B422F0">
      <w:numFmt w:val="bullet"/>
      <w:lvlText w:val="•"/>
      <w:lvlJc w:val="left"/>
      <w:pPr>
        <w:ind w:left="1068" w:hanging="360"/>
      </w:pPr>
      <w:rPr>
        <w:rFonts w:ascii="Bookman Old Style" w:eastAsia="Times New Roman" w:hAnsi="Bookman Old Style"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299626C3"/>
    <w:multiLevelType w:val="hybridMultilevel"/>
    <w:tmpl w:val="9F143E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2F9E6ECA"/>
    <w:multiLevelType w:val="hybridMultilevel"/>
    <w:tmpl w:val="254E9A9E"/>
    <w:lvl w:ilvl="0" w:tplc="07FCB602">
      <w:start w:val="1"/>
      <w:numFmt w:val="bullet"/>
      <w:lvlText w:val="•"/>
      <w:lvlJc w:val="left"/>
      <w:pPr>
        <w:tabs>
          <w:tab w:val="num" w:pos="720"/>
        </w:tabs>
        <w:ind w:left="720" w:hanging="360"/>
      </w:pPr>
      <w:rPr>
        <w:rFonts w:ascii="Times New Roman" w:hAnsi="Times New Roman" w:hint="default"/>
      </w:rPr>
    </w:lvl>
    <w:lvl w:ilvl="1" w:tplc="DA08F9F2" w:tentative="1">
      <w:start w:val="1"/>
      <w:numFmt w:val="bullet"/>
      <w:lvlText w:val="•"/>
      <w:lvlJc w:val="left"/>
      <w:pPr>
        <w:tabs>
          <w:tab w:val="num" w:pos="1440"/>
        </w:tabs>
        <w:ind w:left="1440" w:hanging="360"/>
      </w:pPr>
      <w:rPr>
        <w:rFonts w:ascii="Times New Roman" w:hAnsi="Times New Roman" w:hint="default"/>
      </w:rPr>
    </w:lvl>
    <w:lvl w:ilvl="2" w:tplc="4482A9F8" w:tentative="1">
      <w:start w:val="1"/>
      <w:numFmt w:val="bullet"/>
      <w:lvlText w:val="•"/>
      <w:lvlJc w:val="left"/>
      <w:pPr>
        <w:tabs>
          <w:tab w:val="num" w:pos="2160"/>
        </w:tabs>
        <w:ind w:left="2160" w:hanging="360"/>
      </w:pPr>
      <w:rPr>
        <w:rFonts w:ascii="Times New Roman" w:hAnsi="Times New Roman" w:hint="default"/>
      </w:rPr>
    </w:lvl>
    <w:lvl w:ilvl="3" w:tplc="38709DCA" w:tentative="1">
      <w:start w:val="1"/>
      <w:numFmt w:val="bullet"/>
      <w:lvlText w:val="•"/>
      <w:lvlJc w:val="left"/>
      <w:pPr>
        <w:tabs>
          <w:tab w:val="num" w:pos="2880"/>
        </w:tabs>
        <w:ind w:left="2880" w:hanging="360"/>
      </w:pPr>
      <w:rPr>
        <w:rFonts w:ascii="Times New Roman" w:hAnsi="Times New Roman" w:hint="default"/>
      </w:rPr>
    </w:lvl>
    <w:lvl w:ilvl="4" w:tplc="CFF21244" w:tentative="1">
      <w:start w:val="1"/>
      <w:numFmt w:val="bullet"/>
      <w:lvlText w:val="•"/>
      <w:lvlJc w:val="left"/>
      <w:pPr>
        <w:tabs>
          <w:tab w:val="num" w:pos="3600"/>
        </w:tabs>
        <w:ind w:left="3600" w:hanging="360"/>
      </w:pPr>
      <w:rPr>
        <w:rFonts w:ascii="Times New Roman" w:hAnsi="Times New Roman" w:hint="default"/>
      </w:rPr>
    </w:lvl>
    <w:lvl w:ilvl="5" w:tplc="2FD2D818" w:tentative="1">
      <w:start w:val="1"/>
      <w:numFmt w:val="bullet"/>
      <w:lvlText w:val="•"/>
      <w:lvlJc w:val="left"/>
      <w:pPr>
        <w:tabs>
          <w:tab w:val="num" w:pos="4320"/>
        </w:tabs>
        <w:ind w:left="4320" w:hanging="360"/>
      </w:pPr>
      <w:rPr>
        <w:rFonts w:ascii="Times New Roman" w:hAnsi="Times New Roman" w:hint="default"/>
      </w:rPr>
    </w:lvl>
    <w:lvl w:ilvl="6" w:tplc="87F090F0" w:tentative="1">
      <w:start w:val="1"/>
      <w:numFmt w:val="bullet"/>
      <w:lvlText w:val="•"/>
      <w:lvlJc w:val="left"/>
      <w:pPr>
        <w:tabs>
          <w:tab w:val="num" w:pos="5040"/>
        </w:tabs>
        <w:ind w:left="5040" w:hanging="360"/>
      </w:pPr>
      <w:rPr>
        <w:rFonts w:ascii="Times New Roman" w:hAnsi="Times New Roman" w:hint="default"/>
      </w:rPr>
    </w:lvl>
    <w:lvl w:ilvl="7" w:tplc="BC660A64" w:tentative="1">
      <w:start w:val="1"/>
      <w:numFmt w:val="bullet"/>
      <w:lvlText w:val="•"/>
      <w:lvlJc w:val="left"/>
      <w:pPr>
        <w:tabs>
          <w:tab w:val="num" w:pos="5760"/>
        </w:tabs>
        <w:ind w:left="5760" w:hanging="360"/>
      </w:pPr>
      <w:rPr>
        <w:rFonts w:ascii="Times New Roman" w:hAnsi="Times New Roman" w:hint="default"/>
      </w:rPr>
    </w:lvl>
    <w:lvl w:ilvl="8" w:tplc="0C10170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7283257"/>
    <w:multiLevelType w:val="multilevel"/>
    <w:tmpl w:val="745434BA"/>
    <w:lvl w:ilvl="0">
      <w:start w:val="1"/>
      <w:numFmt w:val="decimal"/>
      <w:lvlText w:val="%1."/>
      <w:lvlJc w:val="left"/>
      <w:pPr>
        <w:ind w:left="644" w:hanging="360"/>
      </w:pPr>
      <w:rPr>
        <w:b/>
      </w:rPr>
    </w:lvl>
    <w:lvl w:ilvl="1">
      <w:start w:val="1"/>
      <w:numFmt w:val="decimal"/>
      <w:lvlText w:val="%1.%2"/>
      <w:lvlJc w:val="left"/>
      <w:pPr>
        <w:ind w:left="1004" w:hanging="720"/>
      </w:pPr>
      <w:rPr>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3"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D97D28"/>
    <w:multiLevelType w:val="hybridMultilevel"/>
    <w:tmpl w:val="56A67378"/>
    <w:lvl w:ilvl="0" w:tplc="DF1858F6">
      <w:start w:val="1"/>
      <w:numFmt w:val="decimal"/>
      <w:lvlText w:val="%1."/>
      <w:lvlJc w:val="left"/>
      <w:pPr>
        <w:ind w:left="1004" w:hanging="360"/>
      </w:pPr>
      <w:rPr>
        <w:rFonts w:hint="default"/>
        <w:color w:val="4F81BD" w:themeColor="accent1"/>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7"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8"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9"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693B4E"/>
    <w:multiLevelType w:val="hybridMultilevel"/>
    <w:tmpl w:val="D188D578"/>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54481A6B"/>
    <w:multiLevelType w:val="hybridMultilevel"/>
    <w:tmpl w:val="6F66159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36" w15:restartNumberingAfterBreak="0">
    <w:nsid w:val="5F63119C"/>
    <w:multiLevelType w:val="hybridMultilevel"/>
    <w:tmpl w:val="67E2BF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8"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15:restartNumberingAfterBreak="0">
    <w:nsid w:val="663144B8"/>
    <w:multiLevelType w:val="hybridMultilevel"/>
    <w:tmpl w:val="D868BFC8"/>
    <w:lvl w:ilvl="0" w:tplc="FFFFFFFF">
      <w:start w:val="1"/>
      <w:numFmt w:val="upp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0"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1"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2" w15:restartNumberingAfterBreak="0">
    <w:nsid w:val="6A493F7D"/>
    <w:multiLevelType w:val="hybridMultilevel"/>
    <w:tmpl w:val="D1D0A3BE"/>
    <w:lvl w:ilvl="0" w:tplc="3398B6A6">
      <w:start w:val="1"/>
      <w:numFmt w:val="upperLetter"/>
      <w:lvlText w:val="%1."/>
      <w:lvlJc w:val="left"/>
      <w:pPr>
        <w:ind w:left="1004" w:hanging="360"/>
      </w:pPr>
    </w:lvl>
    <w:lvl w:ilvl="1" w:tplc="A8540F8E">
      <w:start w:val="1"/>
      <w:numFmt w:val="lowerLetter"/>
      <w:lvlText w:val="%2."/>
      <w:lvlJc w:val="left"/>
      <w:pPr>
        <w:ind w:left="1440" w:hanging="360"/>
      </w:pPr>
    </w:lvl>
    <w:lvl w:ilvl="2" w:tplc="27CE8052">
      <w:start w:val="1"/>
      <w:numFmt w:val="lowerRoman"/>
      <w:lvlText w:val="%3."/>
      <w:lvlJc w:val="right"/>
      <w:pPr>
        <w:ind w:left="2160" w:hanging="180"/>
      </w:pPr>
    </w:lvl>
    <w:lvl w:ilvl="3" w:tplc="3AC6194E">
      <w:start w:val="1"/>
      <w:numFmt w:val="decimal"/>
      <w:lvlText w:val="%4."/>
      <w:lvlJc w:val="left"/>
      <w:pPr>
        <w:ind w:left="2880" w:hanging="360"/>
      </w:pPr>
    </w:lvl>
    <w:lvl w:ilvl="4" w:tplc="0A9A0C80">
      <w:start w:val="1"/>
      <w:numFmt w:val="lowerLetter"/>
      <w:lvlText w:val="%5."/>
      <w:lvlJc w:val="left"/>
      <w:pPr>
        <w:ind w:left="3600" w:hanging="360"/>
      </w:pPr>
    </w:lvl>
    <w:lvl w:ilvl="5" w:tplc="F848745E">
      <w:start w:val="1"/>
      <w:numFmt w:val="lowerRoman"/>
      <w:lvlText w:val="%6."/>
      <w:lvlJc w:val="right"/>
      <w:pPr>
        <w:ind w:left="4320" w:hanging="180"/>
      </w:pPr>
    </w:lvl>
    <w:lvl w:ilvl="6" w:tplc="C65432CE">
      <w:start w:val="1"/>
      <w:numFmt w:val="decimal"/>
      <w:lvlText w:val="%7."/>
      <w:lvlJc w:val="left"/>
      <w:pPr>
        <w:ind w:left="5040" w:hanging="360"/>
      </w:pPr>
    </w:lvl>
    <w:lvl w:ilvl="7" w:tplc="5D10CC56">
      <w:start w:val="1"/>
      <w:numFmt w:val="lowerLetter"/>
      <w:lvlText w:val="%8."/>
      <w:lvlJc w:val="left"/>
      <w:pPr>
        <w:ind w:left="5760" w:hanging="360"/>
      </w:pPr>
    </w:lvl>
    <w:lvl w:ilvl="8" w:tplc="899A5182">
      <w:start w:val="1"/>
      <w:numFmt w:val="lowerRoman"/>
      <w:lvlText w:val="%9."/>
      <w:lvlJc w:val="right"/>
      <w:pPr>
        <w:ind w:left="6480" w:hanging="180"/>
      </w:pPr>
    </w:lvl>
  </w:abstractNum>
  <w:abstractNum w:abstractNumId="43"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6"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7"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58285261">
    <w:abstractNumId w:val="25"/>
  </w:num>
  <w:num w:numId="2" w16cid:durableId="1906453995">
    <w:abstractNumId w:val="9"/>
  </w:num>
  <w:num w:numId="3" w16cid:durableId="1265722022">
    <w:abstractNumId w:val="47"/>
  </w:num>
  <w:num w:numId="4" w16cid:durableId="1149709039">
    <w:abstractNumId w:val="14"/>
  </w:num>
  <w:num w:numId="5" w16cid:durableId="1101611350">
    <w:abstractNumId w:val="33"/>
  </w:num>
  <w:num w:numId="6" w16cid:durableId="1276407392">
    <w:abstractNumId w:val="3"/>
  </w:num>
  <w:num w:numId="7" w16cid:durableId="527986070">
    <w:abstractNumId w:val="0"/>
  </w:num>
  <w:num w:numId="8" w16cid:durableId="1936670747">
    <w:abstractNumId w:val="21"/>
  </w:num>
  <w:num w:numId="9" w16cid:durableId="316419537">
    <w:abstractNumId w:val="34"/>
  </w:num>
  <w:num w:numId="10" w16cid:durableId="1652633301">
    <w:abstractNumId w:val="6"/>
  </w:num>
  <w:num w:numId="11" w16cid:durableId="1823421566">
    <w:abstractNumId w:val="20"/>
  </w:num>
  <w:num w:numId="12" w16cid:durableId="2125691218">
    <w:abstractNumId w:val="4"/>
  </w:num>
  <w:num w:numId="13" w16cid:durableId="379985941">
    <w:abstractNumId w:val="13"/>
  </w:num>
  <w:num w:numId="14" w16cid:durableId="1816139654">
    <w:abstractNumId w:val="32"/>
  </w:num>
  <w:num w:numId="15" w16cid:durableId="492183094">
    <w:abstractNumId w:val="48"/>
  </w:num>
  <w:num w:numId="16" w16cid:durableId="681590268">
    <w:abstractNumId w:val="11"/>
  </w:num>
  <w:num w:numId="17" w16cid:durableId="736166873">
    <w:abstractNumId w:val="37"/>
  </w:num>
  <w:num w:numId="18" w16cid:durableId="1568033670">
    <w:abstractNumId w:val="41"/>
  </w:num>
  <w:num w:numId="19" w16cid:durableId="441537070">
    <w:abstractNumId w:val="38"/>
  </w:num>
  <w:num w:numId="20" w16cid:durableId="2003771513">
    <w:abstractNumId w:val="2"/>
  </w:num>
  <w:num w:numId="21" w16cid:durableId="38170135">
    <w:abstractNumId w:val="27"/>
  </w:num>
  <w:num w:numId="22" w16cid:durableId="942222401">
    <w:abstractNumId w:val="29"/>
  </w:num>
  <w:num w:numId="23" w16cid:durableId="2046056875">
    <w:abstractNumId w:val="23"/>
  </w:num>
  <w:num w:numId="24" w16cid:durableId="1122766362">
    <w:abstractNumId w:val="46"/>
  </w:num>
  <w:num w:numId="25" w16cid:durableId="700935817">
    <w:abstractNumId w:val="44"/>
  </w:num>
  <w:num w:numId="26" w16cid:durableId="1595018438">
    <w:abstractNumId w:val="1"/>
  </w:num>
  <w:num w:numId="27" w16cid:durableId="815759104">
    <w:abstractNumId w:val="22"/>
  </w:num>
  <w:num w:numId="28" w16cid:durableId="93131965">
    <w:abstractNumId w:val="43"/>
  </w:num>
  <w:num w:numId="29" w16cid:durableId="1016929754">
    <w:abstractNumId w:val="40"/>
  </w:num>
  <w:num w:numId="30" w16cid:durableId="1545672756">
    <w:abstractNumId w:val="35"/>
  </w:num>
  <w:num w:numId="31" w16cid:durableId="986981579">
    <w:abstractNumId w:val="8"/>
  </w:num>
  <w:num w:numId="32" w16cid:durableId="1234781818">
    <w:abstractNumId w:val="26"/>
  </w:num>
  <w:num w:numId="33" w16cid:durableId="41752798">
    <w:abstractNumId w:val="28"/>
  </w:num>
  <w:num w:numId="34" w16cid:durableId="844520197">
    <w:abstractNumId w:val="16"/>
  </w:num>
  <w:num w:numId="35" w16cid:durableId="100683930">
    <w:abstractNumId w:val="45"/>
  </w:num>
  <w:num w:numId="36" w16cid:durableId="1960912225">
    <w:abstractNumId w:val="15"/>
  </w:num>
  <w:num w:numId="37" w16cid:durableId="767310568">
    <w:abstractNumId w:val="19"/>
  </w:num>
  <w:num w:numId="38" w16cid:durableId="487088067">
    <w:abstractNumId w:val="36"/>
  </w:num>
  <w:num w:numId="39" w16cid:durableId="119302277">
    <w:abstractNumId w:val="5"/>
  </w:num>
  <w:num w:numId="40" w16cid:durableId="307368904">
    <w:abstractNumId w:val="24"/>
  </w:num>
  <w:num w:numId="41" w16cid:durableId="136916352">
    <w:abstractNumId w:val="39"/>
  </w:num>
  <w:num w:numId="42" w16cid:durableId="1245724152">
    <w:abstractNumId w:val="12"/>
  </w:num>
  <w:num w:numId="43" w16cid:durableId="471215872">
    <w:abstractNumId w:val="42"/>
  </w:num>
  <w:num w:numId="44" w16cid:durableId="1045523722">
    <w:abstractNumId w:val="18"/>
  </w:num>
  <w:num w:numId="45" w16cid:durableId="1506359013">
    <w:abstractNumId w:val="10"/>
  </w:num>
  <w:num w:numId="46" w16cid:durableId="469830598">
    <w:abstractNumId w:val="30"/>
  </w:num>
  <w:num w:numId="47" w16cid:durableId="1348632433">
    <w:abstractNumId w:val="7"/>
  </w:num>
  <w:num w:numId="48" w16cid:durableId="1726491200">
    <w:abstractNumId w:val="31"/>
  </w:num>
  <w:num w:numId="49" w16cid:durableId="588125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B8"/>
    <w:rsid w:val="0000214C"/>
    <w:rsid w:val="00004A66"/>
    <w:rsid w:val="00005B58"/>
    <w:rsid w:val="000061AB"/>
    <w:rsid w:val="00006DEB"/>
    <w:rsid w:val="00007785"/>
    <w:rsid w:val="00007CB3"/>
    <w:rsid w:val="000105DB"/>
    <w:rsid w:val="000109EE"/>
    <w:rsid w:val="00011C16"/>
    <w:rsid w:val="00011D74"/>
    <w:rsid w:val="000127F4"/>
    <w:rsid w:val="000139E1"/>
    <w:rsid w:val="00013AAC"/>
    <w:rsid w:val="00013BBD"/>
    <w:rsid w:val="000146C9"/>
    <w:rsid w:val="0001567C"/>
    <w:rsid w:val="00015797"/>
    <w:rsid w:val="00015A2B"/>
    <w:rsid w:val="00017089"/>
    <w:rsid w:val="00017703"/>
    <w:rsid w:val="00017E6A"/>
    <w:rsid w:val="00023F19"/>
    <w:rsid w:val="000240F0"/>
    <w:rsid w:val="0002667C"/>
    <w:rsid w:val="0002753E"/>
    <w:rsid w:val="00030FA5"/>
    <w:rsid w:val="0003185B"/>
    <w:rsid w:val="00031A48"/>
    <w:rsid w:val="00032331"/>
    <w:rsid w:val="00033FB9"/>
    <w:rsid w:val="00034B56"/>
    <w:rsid w:val="00035ED8"/>
    <w:rsid w:val="000360EB"/>
    <w:rsid w:val="00037C6F"/>
    <w:rsid w:val="00040619"/>
    <w:rsid w:val="0004143C"/>
    <w:rsid w:val="0004144B"/>
    <w:rsid w:val="00042EF3"/>
    <w:rsid w:val="00044955"/>
    <w:rsid w:val="00044A6F"/>
    <w:rsid w:val="00045170"/>
    <w:rsid w:val="000463FE"/>
    <w:rsid w:val="00046C38"/>
    <w:rsid w:val="00052EC4"/>
    <w:rsid w:val="00053032"/>
    <w:rsid w:val="00055B77"/>
    <w:rsid w:val="00055F0D"/>
    <w:rsid w:val="00055F92"/>
    <w:rsid w:val="00061839"/>
    <w:rsid w:val="0006277F"/>
    <w:rsid w:val="00065952"/>
    <w:rsid w:val="000666B3"/>
    <w:rsid w:val="00073C59"/>
    <w:rsid w:val="000758BB"/>
    <w:rsid w:val="0007678D"/>
    <w:rsid w:val="00076D43"/>
    <w:rsid w:val="00077365"/>
    <w:rsid w:val="0008073E"/>
    <w:rsid w:val="00084FD1"/>
    <w:rsid w:val="00085854"/>
    <w:rsid w:val="00091CDB"/>
    <w:rsid w:val="00094181"/>
    <w:rsid w:val="00095E30"/>
    <w:rsid w:val="00096303"/>
    <w:rsid w:val="00096D77"/>
    <w:rsid w:val="000973AA"/>
    <w:rsid w:val="000A023E"/>
    <w:rsid w:val="000A0304"/>
    <w:rsid w:val="000A0A80"/>
    <w:rsid w:val="000A19AC"/>
    <w:rsid w:val="000A2F2D"/>
    <w:rsid w:val="000A4E13"/>
    <w:rsid w:val="000A5DC6"/>
    <w:rsid w:val="000B22B8"/>
    <w:rsid w:val="000B23C4"/>
    <w:rsid w:val="000B24D7"/>
    <w:rsid w:val="000B28DE"/>
    <w:rsid w:val="000B2B65"/>
    <w:rsid w:val="000B3908"/>
    <w:rsid w:val="000B4CFD"/>
    <w:rsid w:val="000B7263"/>
    <w:rsid w:val="000C28F8"/>
    <w:rsid w:val="000C41F8"/>
    <w:rsid w:val="000C529B"/>
    <w:rsid w:val="000C5DD0"/>
    <w:rsid w:val="000C7E0E"/>
    <w:rsid w:val="000D137F"/>
    <w:rsid w:val="000D1646"/>
    <w:rsid w:val="000D190A"/>
    <w:rsid w:val="000D194E"/>
    <w:rsid w:val="000D20E4"/>
    <w:rsid w:val="000D26F8"/>
    <w:rsid w:val="000D2CC9"/>
    <w:rsid w:val="000D3C37"/>
    <w:rsid w:val="000D3D2A"/>
    <w:rsid w:val="000D40FF"/>
    <w:rsid w:val="000D54B6"/>
    <w:rsid w:val="000D6F69"/>
    <w:rsid w:val="000D71CD"/>
    <w:rsid w:val="000E1096"/>
    <w:rsid w:val="000E3B38"/>
    <w:rsid w:val="000F0A11"/>
    <w:rsid w:val="000F0C5F"/>
    <w:rsid w:val="000F3415"/>
    <w:rsid w:val="000F4276"/>
    <w:rsid w:val="000F4DCB"/>
    <w:rsid w:val="000F6002"/>
    <w:rsid w:val="000F69F2"/>
    <w:rsid w:val="001007E9"/>
    <w:rsid w:val="00100A81"/>
    <w:rsid w:val="00100FEA"/>
    <w:rsid w:val="00102975"/>
    <w:rsid w:val="00105549"/>
    <w:rsid w:val="001058F5"/>
    <w:rsid w:val="00105C5E"/>
    <w:rsid w:val="001076A5"/>
    <w:rsid w:val="00110A41"/>
    <w:rsid w:val="00111860"/>
    <w:rsid w:val="00113916"/>
    <w:rsid w:val="001148AC"/>
    <w:rsid w:val="00115547"/>
    <w:rsid w:val="001163CB"/>
    <w:rsid w:val="00117147"/>
    <w:rsid w:val="00121224"/>
    <w:rsid w:val="0012155C"/>
    <w:rsid w:val="00121840"/>
    <w:rsid w:val="00122CD7"/>
    <w:rsid w:val="0012349B"/>
    <w:rsid w:val="00123BE9"/>
    <w:rsid w:val="001244AE"/>
    <w:rsid w:val="00125180"/>
    <w:rsid w:val="0012591E"/>
    <w:rsid w:val="00125FAF"/>
    <w:rsid w:val="00126027"/>
    <w:rsid w:val="00126B7E"/>
    <w:rsid w:val="00127064"/>
    <w:rsid w:val="0013398E"/>
    <w:rsid w:val="00133B0C"/>
    <w:rsid w:val="001342BA"/>
    <w:rsid w:val="001354FE"/>
    <w:rsid w:val="00135FEE"/>
    <w:rsid w:val="00137D54"/>
    <w:rsid w:val="001405C6"/>
    <w:rsid w:val="00140684"/>
    <w:rsid w:val="00140ABF"/>
    <w:rsid w:val="00141013"/>
    <w:rsid w:val="00141079"/>
    <w:rsid w:val="001429E1"/>
    <w:rsid w:val="00143FD6"/>
    <w:rsid w:val="001459AA"/>
    <w:rsid w:val="00145DE8"/>
    <w:rsid w:val="00146954"/>
    <w:rsid w:val="00147ADF"/>
    <w:rsid w:val="00147DF0"/>
    <w:rsid w:val="00150140"/>
    <w:rsid w:val="001503F7"/>
    <w:rsid w:val="00151C17"/>
    <w:rsid w:val="00152200"/>
    <w:rsid w:val="00152B46"/>
    <w:rsid w:val="00153FF0"/>
    <w:rsid w:val="00155143"/>
    <w:rsid w:val="00155936"/>
    <w:rsid w:val="00155D32"/>
    <w:rsid w:val="00160009"/>
    <w:rsid w:val="0016198F"/>
    <w:rsid w:val="00162AEA"/>
    <w:rsid w:val="00163E02"/>
    <w:rsid w:val="00166694"/>
    <w:rsid w:val="001670A2"/>
    <w:rsid w:val="00171024"/>
    <w:rsid w:val="00175142"/>
    <w:rsid w:val="001758F9"/>
    <w:rsid w:val="00176E35"/>
    <w:rsid w:val="0018001E"/>
    <w:rsid w:val="00181860"/>
    <w:rsid w:val="0018468A"/>
    <w:rsid w:val="00185968"/>
    <w:rsid w:val="00187850"/>
    <w:rsid w:val="00191128"/>
    <w:rsid w:val="00192CBF"/>
    <w:rsid w:val="00192FF1"/>
    <w:rsid w:val="00194496"/>
    <w:rsid w:val="001948E0"/>
    <w:rsid w:val="00194943"/>
    <w:rsid w:val="00196853"/>
    <w:rsid w:val="001A10CF"/>
    <w:rsid w:val="001A1A80"/>
    <w:rsid w:val="001A1D88"/>
    <w:rsid w:val="001A24B0"/>
    <w:rsid w:val="001A35DF"/>
    <w:rsid w:val="001A3C92"/>
    <w:rsid w:val="001A5475"/>
    <w:rsid w:val="001A5AE8"/>
    <w:rsid w:val="001A5F1B"/>
    <w:rsid w:val="001A6946"/>
    <w:rsid w:val="001A74A7"/>
    <w:rsid w:val="001B0B2E"/>
    <w:rsid w:val="001B0D4D"/>
    <w:rsid w:val="001B2830"/>
    <w:rsid w:val="001B2EBB"/>
    <w:rsid w:val="001B458E"/>
    <w:rsid w:val="001B6785"/>
    <w:rsid w:val="001B74BD"/>
    <w:rsid w:val="001C1D1F"/>
    <w:rsid w:val="001C2B80"/>
    <w:rsid w:val="001C2CE9"/>
    <w:rsid w:val="001C4A9D"/>
    <w:rsid w:val="001C6E57"/>
    <w:rsid w:val="001C6F22"/>
    <w:rsid w:val="001D042A"/>
    <w:rsid w:val="001D374C"/>
    <w:rsid w:val="001D3BC6"/>
    <w:rsid w:val="001D5903"/>
    <w:rsid w:val="001D716C"/>
    <w:rsid w:val="001E04D1"/>
    <w:rsid w:val="001E18D3"/>
    <w:rsid w:val="001E379A"/>
    <w:rsid w:val="001E41FF"/>
    <w:rsid w:val="001E4D38"/>
    <w:rsid w:val="001E59E6"/>
    <w:rsid w:val="001E64AF"/>
    <w:rsid w:val="001F0119"/>
    <w:rsid w:val="001F02FE"/>
    <w:rsid w:val="001F184C"/>
    <w:rsid w:val="001F2339"/>
    <w:rsid w:val="001F35A9"/>
    <w:rsid w:val="001F6751"/>
    <w:rsid w:val="001F6946"/>
    <w:rsid w:val="001F6995"/>
    <w:rsid w:val="001F7DBA"/>
    <w:rsid w:val="002006AB"/>
    <w:rsid w:val="0020138C"/>
    <w:rsid w:val="00202AC1"/>
    <w:rsid w:val="00202B60"/>
    <w:rsid w:val="002050FA"/>
    <w:rsid w:val="00210345"/>
    <w:rsid w:val="00210C04"/>
    <w:rsid w:val="00211F9F"/>
    <w:rsid w:val="00211FFE"/>
    <w:rsid w:val="002166F4"/>
    <w:rsid w:val="00216F51"/>
    <w:rsid w:val="0022157F"/>
    <w:rsid w:val="00222E08"/>
    <w:rsid w:val="00223319"/>
    <w:rsid w:val="00223B1C"/>
    <w:rsid w:val="00223FC8"/>
    <w:rsid w:val="00225188"/>
    <w:rsid w:val="00230DFD"/>
    <w:rsid w:val="00233BE1"/>
    <w:rsid w:val="00237BA8"/>
    <w:rsid w:val="00240149"/>
    <w:rsid w:val="0024250F"/>
    <w:rsid w:val="002467E6"/>
    <w:rsid w:val="00255AA6"/>
    <w:rsid w:val="00264637"/>
    <w:rsid w:val="00265543"/>
    <w:rsid w:val="00265A84"/>
    <w:rsid w:val="00270541"/>
    <w:rsid w:val="0027254B"/>
    <w:rsid w:val="002728B7"/>
    <w:rsid w:val="00272D34"/>
    <w:rsid w:val="002739C6"/>
    <w:rsid w:val="002762AC"/>
    <w:rsid w:val="00280716"/>
    <w:rsid w:val="002809FC"/>
    <w:rsid w:val="00282A59"/>
    <w:rsid w:val="00282EF7"/>
    <w:rsid w:val="00283DEE"/>
    <w:rsid w:val="00290B43"/>
    <w:rsid w:val="00291A1D"/>
    <w:rsid w:val="0029263A"/>
    <w:rsid w:val="00292C7C"/>
    <w:rsid w:val="00293801"/>
    <w:rsid w:val="002950E0"/>
    <w:rsid w:val="002955EC"/>
    <w:rsid w:val="00297326"/>
    <w:rsid w:val="002A0135"/>
    <w:rsid w:val="002A13B2"/>
    <w:rsid w:val="002A193A"/>
    <w:rsid w:val="002A4D8E"/>
    <w:rsid w:val="002A6844"/>
    <w:rsid w:val="002A76A4"/>
    <w:rsid w:val="002A7D05"/>
    <w:rsid w:val="002B0059"/>
    <w:rsid w:val="002B0AA1"/>
    <w:rsid w:val="002B24B8"/>
    <w:rsid w:val="002B2E01"/>
    <w:rsid w:val="002B4F2E"/>
    <w:rsid w:val="002B6FC0"/>
    <w:rsid w:val="002C0E42"/>
    <w:rsid w:val="002C1CA4"/>
    <w:rsid w:val="002C2D45"/>
    <w:rsid w:val="002C4385"/>
    <w:rsid w:val="002C5C1E"/>
    <w:rsid w:val="002C7E0E"/>
    <w:rsid w:val="002D1BC1"/>
    <w:rsid w:val="002D3809"/>
    <w:rsid w:val="002D3AE9"/>
    <w:rsid w:val="002D4D69"/>
    <w:rsid w:val="002D5856"/>
    <w:rsid w:val="002D609B"/>
    <w:rsid w:val="002E02FD"/>
    <w:rsid w:val="002E408A"/>
    <w:rsid w:val="002E4D97"/>
    <w:rsid w:val="002E5175"/>
    <w:rsid w:val="002E55A2"/>
    <w:rsid w:val="002E5821"/>
    <w:rsid w:val="002E62ED"/>
    <w:rsid w:val="002E7B6D"/>
    <w:rsid w:val="002F1691"/>
    <w:rsid w:val="002F3AD7"/>
    <w:rsid w:val="002F46E7"/>
    <w:rsid w:val="002F4D96"/>
    <w:rsid w:val="002F5054"/>
    <w:rsid w:val="002F59F8"/>
    <w:rsid w:val="002F5AD6"/>
    <w:rsid w:val="002F6B4B"/>
    <w:rsid w:val="002F6CFD"/>
    <w:rsid w:val="0030069E"/>
    <w:rsid w:val="00301011"/>
    <w:rsid w:val="003016E9"/>
    <w:rsid w:val="00301A2D"/>
    <w:rsid w:val="0030354E"/>
    <w:rsid w:val="00306F4C"/>
    <w:rsid w:val="00307E90"/>
    <w:rsid w:val="003107A9"/>
    <w:rsid w:val="00312493"/>
    <w:rsid w:val="00312B4F"/>
    <w:rsid w:val="00315CA8"/>
    <w:rsid w:val="00315E05"/>
    <w:rsid w:val="00316197"/>
    <w:rsid w:val="003211CE"/>
    <w:rsid w:val="00321605"/>
    <w:rsid w:val="00322AC4"/>
    <w:rsid w:val="003235DA"/>
    <w:rsid w:val="00324744"/>
    <w:rsid w:val="00324E00"/>
    <w:rsid w:val="00325347"/>
    <w:rsid w:val="0032687B"/>
    <w:rsid w:val="003338CE"/>
    <w:rsid w:val="003348F8"/>
    <w:rsid w:val="003359BE"/>
    <w:rsid w:val="00336938"/>
    <w:rsid w:val="00336D2A"/>
    <w:rsid w:val="003410A6"/>
    <w:rsid w:val="0034326F"/>
    <w:rsid w:val="00343AB6"/>
    <w:rsid w:val="003450E2"/>
    <w:rsid w:val="003464F3"/>
    <w:rsid w:val="003479EF"/>
    <w:rsid w:val="003500C4"/>
    <w:rsid w:val="00354029"/>
    <w:rsid w:val="00354C4D"/>
    <w:rsid w:val="00356115"/>
    <w:rsid w:val="00356A02"/>
    <w:rsid w:val="0035705F"/>
    <w:rsid w:val="00357197"/>
    <w:rsid w:val="00357959"/>
    <w:rsid w:val="00357EC2"/>
    <w:rsid w:val="00360F8B"/>
    <w:rsid w:val="00361BF0"/>
    <w:rsid w:val="0036240D"/>
    <w:rsid w:val="00362799"/>
    <w:rsid w:val="00364930"/>
    <w:rsid w:val="00366AF5"/>
    <w:rsid w:val="003673AC"/>
    <w:rsid w:val="003701BA"/>
    <w:rsid w:val="003709B5"/>
    <w:rsid w:val="00370BFA"/>
    <w:rsid w:val="0037538B"/>
    <w:rsid w:val="0037544D"/>
    <w:rsid w:val="003759C2"/>
    <w:rsid w:val="00376976"/>
    <w:rsid w:val="003775DA"/>
    <w:rsid w:val="00380489"/>
    <w:rsid w:val="00380808"/>
    <w:rsid w:val="0038102C"/>
    <w:rsid w:val="003824C1"/>
    <w:rsid w:val="00384EEE"/>
    <w:rsid w:val="00384F36"/>
    <w:rsid w:val="00385CAA"/>
    <w:rsid w:val="00386703"/>
    <w:rsid w:val="00393321"/>
    <w:rsid w:val="003A03E1"/>
    <w:rsid w:val="003A0E9E"/>
    <w:rsid w:val="003A1891"/>
    <w:rsid w:val="003A2F9E"/>
    <w:rsid w:val="003A3D9D"/>
    <w:rsid w:val="003A424A"/>
    <w:rsid w:val="003A60FF"/>
    <w:rsid w:val="003A6955"/>
    <w:rsid w:val="003A7BD2"/>
    <w:rsid w:val="003B097E"/>
    <w:rsid w:val="003B0A64"/>
    <w:rsid w:val="003B2192"/>
    <w:rsid w:val="003B2F1F"/>
    <w:rsid w:val="003B421B"/>
    <w:rsid w:val="003B57F4"/>
    <w:rsid w:val="003B6A9D"/>
    <w:rsid w:val="003C07DA"/>
    <w:rsid w:val="003C0A53"/>
    <w:rsid w:val="003C2F9A"/>
    <w:rsid w:val="003C3447"/>
    <w:rsid w:val="003C5490"/>
    <w:rsid w:val="003C59FA"/>
    <w:rsid w:val="003D076C"/>
    <w:rsid w:val="003D21D8"/>
    <w:rsid w:val="003D24B0"/>
    <w:rsid w:val="003D3571"/>
    <w:rsid w:val="003D4B93"/>
    <w:rsid w:val="003D56DD"/>
    <w:rsid w:val="003D7230"/>
    <w:rsid w:val="003D7604"/>
    <w:rsid w:val="003E0633"/>
    <w:rsid w:val="003E0E08"/>
    <w:rsid w:val="003E105D"/>
    <w:rsid w:val="003E1858"/>
    <w:rsid w:val="003E6138"/>
    <w:rsid w:val="003F0220"/>
    <w:rsid w:val="003F1A81"/>
    <w:rsid w:val="003F337F"/>
    <w:rsid w:val="003F5157"/>
    <w:rsid w:val="003F5F33"/>
    <w:rsid w:val="003F7981"/>
    <w:rsid w:val="00400015"/>
    <w:rsid w:val="00401E97"/>
    <w:rsid w:val="00404054"/>
    <w:rsid w:val="00404E84"/>
    <w:rsid w:val="0041000E"/>
    <w:rsid w:val="0041082F"/>
    <w:rsid w:val="00414998"/>
    <w:rsid w:val="004175D5"/>
    <w:rsid w:val="0042106E"/>
    <w:rsid w:val="00421D58"/>
    <w:rsid w:val="004220E7"/>
    <w:rsid w:val="00422ADD"/>
    <w:rsid w:val="00422D43"/>
    <w:rsid w:val="004237DF"/>
    <w:rsid w:val="00423A53"/>
    <w:rsid w:val="004256BB"/>
    <w:rsid w:val="00431EF4"/>
    <w:rsid w:val="0043541E"/>
    <w:rsid w:val="004408A8"/>
    <w:rsid w:val="00442E69"/>
    <w:rsid w:val="00442E88"/>
    <w:rsid w:val="00446675"/>
    <w:rsid w:val="00450A30"/>
    <w:rsid w:val="00451919"/>
    <w:rsid w:val="00452530"/>
    <w:rsid w:val="004526B2"/>
    <w:rsid w:val="00452BCD"/>
    <w:rsid w:val="00453AF5"/>
    <w:rsid w:val="00456BE7"/>
    <w:rsid w:val="00456F94"/>
    <w:rsid w:val="00460059"/>
    <w:rsid w:val="004604AC"/>
    <w:rsid w:val="00462FFE"/>
    <w:rsid w:val="004635BE"/>
    <w:rsid w:val="00463F32"/>
    <w:rsid w:val="00465269"/>
    <w:rsid w:val="00466DD5"/>
    <w:rsid w:val="004708D8"/>
    <w:rsid w:val="0047122B"/>
    <w:rsid w:val="00471DB5"/>
    <w:rsid w:val="00473244"/>
    <w:rsid w:val="00473B7A"/>
    <w:rsid w:val="0047432C"/>
    <w:rsid w:val="004765C2"/>
    <w:rsid w:val="00476652"/>
    <w:rsid w:val="0047793A"/>
    <w:rsid w:val="00480A11"/>
    <w:rsid w:val="0048195A"/>
    <w:rsid w:val="0048396A"/>
    <w:rsid w:val="004843D0"/>
    <w:rsid w:val="004844A1"/>
    <w:rsid w:val="004844E9"/>
    <w:rsid w:val="00484BC3"/>
    <w:rsid w:val="00485B06"/>
    <w:rsid w:val="00487875"/>
    <w:rsid w:val="0049047A"/>
    <w:rsid w:val="00493613"/>
    <w:rsid w:val="00493B41"/>
    <w:rsid w:val="004951D8"/>
    <w:rsid w:val="00495AC1"/>
    <w:rsid w:val="00497CDF"/>
    <w:rsid w:val="004A0B3B"/>
    <w:rsid w:val="004A1D1E"/>
    <w:rsid w:val="004A2373"/>
    <w:rsid w:val="004A2E88"/>
    <w:rsid w:val="004A3942"/>
    <w:rsid w:val="004A3E62"/>
    <w:rsid w:val="004A49B0"/>
    <w:rsid w:val="004A5305"/>
    <w:rsid w:val="004A5999"/>
    <w:rsid w:val="004B03D3"/>
    <w:rsid w:val="004B0B28"/>
    <w:rsid w:val="004B15B5"/>
    <w:rsid w:val="004B2B06"/>
    <w:rsid w:val="004B4F2F"/>
    <w:rsid w:val="004B6F15"/>
    <w:rsid w:val="004C1E0B"/>
    <w:rsid w:val="004C285C"/>
    <w:rsid w:val="004C2B0A"/>
    <w:rsid w:val="004C3986"/>
    <w:rsid w:val="004C39CF"/>
    <w:rsid w:val="004C3C03"/>
    <w:rsid w:val="004C4AFE"/>
    <w:rsid w:val="004C4B63"/>
    <w:rsid w:val="004C63CD"/>
    <w:rsid w:val="004D071B"/>
    <w:rsid w:val="004D0BF2"/>
    <w:rsid w:val="004D17CE"/>
    <w:rsid w:val="004D1B09"/>
    <w:rsid w:val="004D28B1"/>
    <w:rsid w:val="004D2AB8"/>
    <w:rsid w:val="004D335B"/>
    <w:rsid w:val="004D377E"/>
    <w:rsid w:val="004D4433"/>
    <w:rsid w:val="004D6DF9"/>
    <w:rsid w:val="004E2FCE"/>
    <w:rsid w:val="004E4C5A"/>
    <w:rsid w:val="004E5151"/>
    <w:rsid w:val="004E5E63"/>
    <w:rsid w:val="004E7878"/>
    <w:rsid w:val="004E7BB9"/>
    <w:rsid w:val="004F2711"/>
    <w:rsid w:val="004F5BE4"/>
    <w:rsid w:val="004F6050"/>
    <w:rsid w:val="004F60C9"/>
    <w:rsid w:val="004F639C"/>
    <w:rsid w:val="005006B9"/>
    <w:rsid w:val="00500A77"/>
    <w:rsid w:val="0050330A"/>
    <w:rsid w:val="0050336E"/>
    <w:rsid w:val="005047B4"/>
    <w:rsid w:val="00504EB9"/>
    <w:rsid w:val="0050594C"/>
    <w:rsid w:val="00507115"/>
    <w:rsid w:val="00510513"/>
    <w:rsid w:val="005110EB"/>
    <w:rsid w:val="0051388A"/>
    <w:rsid w:val="00517BED"/>
    <w:rsid w:val="00520BB1"/>
    <w:rsid w:val="0052240C"/>
    <w:rsid w:val="005235E4"/>
    <w:rsid w:val="0052418F"/>
    <w:rsid w:val="0052432E"/>
    <w:rsid w:val="0052468A"/>
    <w:rsid w:val="00525937"/>
    <w:rsid w:val="00526CEA"/>
    <w:rsid w:val="00527D9B"/>
    <w:rsid w:val="00527F6E"/>
    <w:rsid w:val="005300D3"/>
    <w:rsid w:val="0053063C"/>
    <w:rsid w:val="00530B8D"/>
    <w:rsid w:val="00530CDD"/>
    <w:rsid w:val="0053254A"/>
    <w:rsid w:val="0053257C"/>
    <w:rsid w:val="00532C17"/>
    <w:rsid w:val="005330B4"/>
    <w:rsid w:val="00533124"/>
    <w:rsid w:val="00534EB4"/>
    <w:rsid w:val="00535608"/>
    <w:rsid w:val="00535847"/>
    <w:rsid w:val="0053585B"/>
    <w:rsid w:val="00535E68"/>
    <w:rsid w:val="00536BD9"/>
    <w:rsid w:val="0054083F"/>
    <w:rsid w:val="00542B7F"/>
    <w:rsid w:val="00544210"/>
    <w:rsid w:val="005451E8"/>
    <w:rsid w:val="005465B3"/>
    <w:rsid w:val="005472FB"/>
    <w:rsid w:val="00547C4A"/>
    <w:rsid w:val="005506E8"/>
    <w:rsid w:val="00552D58"/>
    <w:rsid w:val="00552F05"/>
    <w:rsid w:val="00554656"/>
    <w:rsid w:val="00555B02"/>
    <w:rsid w:val="005571EA"/>
    <w:rsid w:val="00557359"/>
    <w:rsid w:val="00557672"/>
    <w:rsid w:val="00560ACC"/>
    <w:rsid w:val="00560C9C"/>
    <w:rsid w:val="00561ED5"/>
    <w:rsid w:val="005627CF"/>
    <w:rsid w:val="00562E5B"/>
    <w:rsid w:val="005632EE"/>
    <w:rsid w:val="005641D8"/>
    <w:rsid w:val="00565C93"/>
    <w:rsid w:val="00567500"/>
    <w:rsid w:val="00567755"/>
    <w:rsid w:val="00570AC3"/>
    <w:rsid w:val="00572A4F"/>
    <w:rsid w:val="00573344"/>
    <w:rsid w:val="005741F8"/>
    <w:rsid w:val="00574750"/>
    <w:rsid w:val="00577F61"/>
    <w:rsid w:val="005800E7"/>
    <w:rsid w:val="00581CA0"/>
    <w:rsid w:val="00581F4D"/>
    <w:rsid w:val="00582F13"/>
    <w:rsid w:val="00583A43"/>
    <w:rsid w:val="005843EA"/>
    <w:rsid w:val="00584E17"/>
    <w:rsid w:val="00584F15"/>
    <w:rsid w:val="00585F7F"/>
    <w:rsid w:val="00586737"/>
    <w:rsid w:val="00587735"/>
    <w:rsid w:val="005878BF"/>
    <w:rsid w:val="00587A21"/>
    <w:rsid w:val="005927DD"/>
    <w:rsid w:val="00593085"/>
    <w:rsid w:val="00593176"/>
    <w:rsid w:val="00593565"/>
    <w:rsid w:val="005936BD"/>
    <w:rsid w:val="00593C4F"/>
    <w:rsid w:val="005946A8"/>
    <w:rsid w:val="005947EA"/>
    <w:rsid w:val="00594B18"/>
    <w:rsid w:val="005960EB"/>
    <w:rsid w:val="005A083E"/>
    <w:rsid w:val="005A08DA"/>
    <w:rsid w:val="005A14C7"/>
    <w:rsid w:val="005A1576"/>
    <w:rsid w:val="005A1B43"/>
    <w:rsid w:val="005A1B5E"/>
    <w:rsid w:val="005A1E93"/>
    <w:rsid w:val="005A1EF8"/>
    <w:rsid w:val="005A2D18"/>
    <w:rsid w:val="005A4407"/>
    <w:rsid w:val="005A522D"/>
    <w:rsid w:val="005A5693"/>
    <w:rsid w:val="005A6B00"/>
    <w:rsid w:val="005B04DE"/>
    <w:rsid w:val="005B1122"/>
    <w:rsid w:val="005B18A5"/>
    <w:rsid w:val="005B25CE"/>
    <w:rsid w:val="005B32F8"/>
    <w:rsid w:val="005B3476"/>
    <w:rsid w:val="005B4DC5"/>
    <w:rsid w:val="005B53C3"/>
    <w:rsid w:val="005B5C99"/>
    <w:rsid w:val="005B7B83"/>
    <w:rsid w:val="005C06A9"/>
    <w:rsid w:val="005C0E8C"/>
    <w:rsid w:val="005C1FC1"/>
    <w:rsid w:val="005C64D6"/>
    <w:rsid w:val="005D0AE3"/>
    <w:rsid w:val="005D1310"/>
    <w:rsid w:val="005D1C3A"/>
    <w:rsid w:val="005D3BAF"/>
    <w:rsid w:val="005D5315"/>
    <w:rsid w:val="005D6BB7"/>
    <w:rsid w:val="005E0857"/>
    <w:rsid w:val="005E0A4E"/>
    <w:rsid w:val="005E22FC"/>
    <w:rsid w:val="005E28E4"/>
    <w:rsid w:val="005E42A5"/>
    <w:rsid w:val="005E565B"/>
    <w:rsid w:val="005E6450"/>
    <w:rsid w:val="005E673E"/>
    <w:rsid w:val="005E7460"/>
    <w:rsid w:val="005F01FC"/>
    <w:rsid w:val="005F1628"/>
    <w:rsid w:val="005F1A19"/>
    <w:rsid w:val="005F2B6B"/>
    <w:rsid w:val="005F39B6"/>
    <w:rsid w:val="005F4D82"/>
    <w:rsid w:val="005F5CDB"/>
    <w:rsid w:val="005F7A74"/>
    <w:rsid w:val="006018D9"/>
    <w:rsid w:val="00601B13"/>
    <w:rsid w:val="00604859"/>
    <w:rsid w:val="00604901"/>
    <w:rsid w:val="00604DC6"/>
    <w:rsid w:val="006125DF"/>
    <w:rsid w:val="00613AB6"/>
    <w:rsid w:val="006203BF"/>
    <w:rsid w:val="006207C7"/>
    <w:rsid w:val="006209E5"/>
    <w:rsid w:val="00620A2D"/>
    <w:rsid w:val="00620B94"/>
    <w:rsid w:val="0062226A"/>
    <w:rsid w:val="00623A39"/>
    <w:rsid w:val="00624803"/>
    <w:rsid w:val="00624DCE"/>
    <w:rsid w:val="006250B0"/>
    <w:rsid w:val="0062540E"/>
    <w:rsid w:val="006259F6"/>
    <w:rsid w:val="00625DC6"/>
    <w:rsid w:val="006276AB"/>
    <w:rsid w:val="0062781E"/>
    <w:rsid w:val="0063061A"/>
    <w:rsid w:val="006314FC"/>
    <w:rsid w:val="0063150A"/>
    <w:rsid w:val="0063486C"/>
    <w:rsid w:val="00640B96"/>
    <w:rsid w:val="0064377C"/>
    <w:rsid w:val="00643867"/>
    <w:rsid w:val="00645584"/>
    <w:rsid w:val="006466F2"/>
    <w:rsid w:val="00646FAB"/>
    <w:rsid w:val="00647724"/>
    <w:rsid w:val="00647E76"/>
    <w:rsid w:val="00651821"/>
    <w:rsid w:val="00651A0C"/>
    <w:rsid w:val="0065201C"/>
    <w:rsid w:val="00652EA9"/>
    <w:rsid w:val="00652F47"/>
    <w:rsid w:val="00653337"/>
    <w:rsid w:val="00653931"/>
    <w:rsid w:val="00653A16"/>
    <w:rsid w:val="006540B8"/>
    <w:rsid w:val="006542BA"/>
    <w:rsid w:val="006542DE"/>
    <w:rsid w:val="00654370"/>
    <w:rsid w:val="00654384"/>
    <w:rsid w:val="0066037F"/>
    <w:rsid w:val="00660803"/>
    <w:rsid w:val="00660B17"/>
    <w:rsid w:val="00660B18"/>
    <w:rsid w:val="00660EA5"/>
    <w:rsid w:val="006631A6"/>
    <w:rsid w:val="0066466E"/>
    <w:rsid w:val="00664C39"/>
    <w:rsid w:val="0066683A"/>
    <w:rsid w:val="00670669"/>
    <w:rsid w:val="006713D4"/>
    <w:rsid w:val="0067162D"/>
    <w:rsid w:val="00671F53"/>
    <w:rsid w:val="00673D40"/>
    <w:rsid w:val="006748D2"/>
    <w:rsid w:val="0067647F"/>
    <w:rsid w:val="00676EF8"/>
    <w:rsid w:val="0067736B"/>
    <w:rsid w:val="00677DD7"/>
    <w:rsid w:val="00680ED3"/>
    <w:rsid w:val="00681486"/>
    <w:rsid w:val="006824DC"/>
    <w:rsid w:val="00684435"/>
    <w:rsid w:val="00684D9B"/>
    <w:rsid w:val="00690836"/>
    <w:rsid w:val="0069185E"/>
    <w:rsid w:val="006926AA"/>
    <w:rsid w:val="006931CD"/>
    <w:rsid w:val="006947F4"/>
    <w:rsid w:val="006957EA"/>
    <w:rsid w:val="00695859"/>
    <w:rsid w:val="00695F53"/>
    <w:rsid w:val="00696AA5"/>
    <w:rsid w:val="00697556"/>
    <w:rsid w:val="006A1E31"/>
    <w:rsid w:val="006A43C7"/>
    <w:rsid w:val="006A472D"/>
    <w:rsid w:val="006A6F79"/>
    <w:rsid w:val="006A7A24"/>
    <w:rsid w:val="006B25AF"/>
    <w:rsid w:val="006B2E8F"/>
    <w:rsid w:val="006B2F13"/>
    <w:rsid w:val="006B464D"/>
    <w:rsid w:val="006B4C2B"/>
    <w:rsid w:val="006B5201"/>
    <w:rsid w:val="006B52BF"/>
    <w:rsid w:val="006B5F58"/>
    <w:rsid w:val="006C1C25"/>
    <w:rsid w:val="006C28B8"/>
    <w:rsid w:val="006C2A6B"/>
    <w:rsid w:val="006C40CE"/>
    <w:rsid w:val="006C5C08"/>
    <w:rsid w:val="006D1E68"/>
    <w:rsid w:val="006D301C"/>
    <w:rsid w:val="006D49F9"/>
    <w:rsid w:val="006D6500"/>
    <w:rsid w:val="006D6D78"/>
    <w:rsid w:val="006D790B"/>
    <w:rsid w:val="006D7D8C"/>
    <w:rsid w:val="006E1DB3"/>
    <w:rsid w:val="006E2DC4"/>
    <w:rsid w:val="006E45AE"/>
    <w:rsid w:val="006E5595"/>
    <w:rsid w:val="006E5F1D"/>
    <w:rsid w:val="006E691E"/>
    <w:rsid w:val="006E75B7"/>
    <w:rsid w:val="006F04B9"/>
    <w:rsid w:val="006F105C"/>
    <w:rsid w:val="006F3167"/>
    <w:rsid w:val="006F6BFF"/>
    <w:rsid w:val="006F6D95"/>
    <w:rsid w:val="006F7BCD"/>
    <w:rsid w:val="007008EC"/>
    <w:rsid w:val="00702434"/>
    <w:rsid w:val="00702AB8"/>
    <w:rsid w:val="00705245"/>
    <w:rsid w:val="00706F13"/>
    <w:rsid w:val="00707C70"/>
    <w:rsid w:val="007140CF"/>
    <w:rsid w:val="00715697"/>
    <w:rsid w:val="007208AF"/>
    <w:rsid w:val="0072306A"/>
    <w:rsid w:val="007231E6"/>
    <w:rsid w:val="00723BBC"/>
    <w:rsid w:val="00725C0F"/>
    <w:rsid w:val="00725FA4"/>
    <w:rsid w:val="00727040"/>
    <w:rsid w:val="007279FA"/>
    <w:rsid w:val="00727B77"/>
    <w:rsid w:val="00730C82"/>
    <w:rsid w:val="0073119B"/>
    <w:rsid w:val="0074106E"/>
    <w:rsid w:val="007414F7"/>
    <w:rsid w:val="00741663"/>
    <w:rsid w:val="00741818"/>
    <w:rsid w:val="00742F35"/>
    <w:rsid w:val="007438A9"/>
    <w:rsid w:val="007445A0"/>
    <w:rsid w:val="0074491E"/>
    <w:rsid w:val="007478A7"/>
    <w:rsid w:val="0075003D"/>
    <w:rsid w:val="00750E2C"/>
    <w:rsid w:val="00751007"/>
    <w:rsid w:val="007542EF"/>
    <w:rsid w:val="00754DE5"/>
    <w:rsid w:val="00756894"/>
    <w:rsid w:val="00760146"/>
    <w:rsid w:val="00763D60"/>
    <w:rsid w:val="0076507A"/>
    <w:rsid w:val="00765C62"/>
    <w:rsid w:val="00771027"/>
    <w:rsid w:val="00771386"/>
    <w:rsid w:val="00773605"/>
    <w:rsid w:val="0077400A"/>
    <w:rsid w:val="0077427C"/>
    <w:rsid w:val="00776F52"/>
    <w:rsid w:val="00777F7B"/>
    <w:rsid w:val="00780F5E"/>
    <w:rsid w:val="00780FD1"/>
    <w:rsid w:val="00781E26"/>
    <w:rsid w:val="00784693"/>
    <w:rsid w:val="00785B93"/>
    <w:rsid w:val="007860CA"/>
    <w:rsid w:val="0079059D"/>
    <w:rsid w:val="007915E0"/>
    <w:rsid w:val="00791CA1"/>
    <w:rsid w:val="00793B66"/>
    <w:rsid w:val="00793F52"/>
    <w:rsid w:val="00794BB4"/>
    <w:rsid w:val="0079518C"/>
    <w:rsid w:val="00795BFB"/>
    <w:rsid w:val="007A04FA"/>
    <w:rsid w:val="007A1624"/>
    <w:rsid w:val="007A2ABF"/>
    <w:rsid w:val="007A5599"/>
    <w:rsid w:val="007A78D6"/>
    <w:rsid w:val="007B001D"/>
    <w:rsid w:val="007B005B"/>
    <w:rsid w:val="007B04CB"/>
    <w:rsid w:val="007B21C8"/>
    <w:rsid w:val="007B2528"/>
    <w:rsid w:val="007B6561"/>
    <w:rsid w:val="007C7355"/>
    <w:rsid w:val="007C7AF7"/>
    <w:rsid w:val="007D060A"/>
    <w:rsid w:val="007D1C65"/>
    <w:rsid w:val="007D2A2F"/>
    <w:rsid w:val="007D2E75"/>
    <w:rsid w:val="007D2FC5"/>
    <w:rsid w:val="007D31E0"/>
    <w:rsid w:val="007D3224"/>
    <w:rsid w:val="007D336B"/>
    <w:rsid w:val="007D337E"/>
    <w:rsid w:val="007D63FF"/>
    <w:rsid w:val="007E07AC"/>
    <w:rsid w:val="007E0C35"/>
    <w:rsid w:val="007E0EF6"/>
    <w:rsid w:val="007E458F"/>
    <w:rsid w:val="007E601E"/>
    <w:rsid w:val="007E72DF"/>
    <w:rsid w:val="007F04C8"/>
    <w:rsid w:val="007F0FF2"/>
    <w:rsid w:val="007F196E"/>
    <w:rsid w:val="007F390C"/>
    <w:rsid w:val="00800BF7"/>
    <w:rsid w:val="00800DC3"/>
    <w:rsid w:val="008019DD"/>
    <w:rsid w:val="00801AC6"/>
    <w:rsid w:val="00801F28"/>
    <w:rsid w:val="0080272D"/>
    <w:rsid w:val="00803499"/>
    <w:rsid w:val="008039E9"/>
    <w:rsid w:val="00805205"/>
    <w:rsid w:val="008058F6"/>
    <w:rsid w:val="008078F9"/>
    <w:rsid w:val="0081111F"/>
    <w:rsid w:val="00812AE1"/>
    <w:rsid w:val="008146D5"/>
    <w:rsid w:val="008148CC"/>
    <w:rsid w:val="00814CEC"/>
    <w:rsid w:val="008151C2"/>
    <w:rsid w:val="0081753C"/>
    <w:rsid w:val="00820F61"/>
    <w:rsid w:val="008211A4"/>
    <w:rsid w:val="008233F8"/>
    <w:rsid w:val="00823D51"/>
    <w:rsid w:val="00826D87"/>
    <w:rsid w:val="0083085F"/>
    <w:rsid w:val="00830923"/>
    <w:rsid w:val="008326AB"/>
    <w:rsid w:val="0083324C"/>
    <w:rsid w:val="0083380E"/>
    <w:rsid w:val="00834F8E"/>
    <w:rsid w:val="008363B7"/>
    <w:rsid w:val="008367E9"/>
    <w:rsid w:val="008374D0"/>
    <w:rsid w:val="00840725"/>
    <w:rsid w:val="00841735"/>
    <w:rsid w:val="00841C21"/>
    <w:rsid w:val="00843746"/>
    <w:rsid w:val="0084642C"/>
    <w:rsid w:val="00846692"/>
    <w:rsid w:val="008505B9"/>
    <w:rsid w:val="00850762"/>
    <w:rsid w:val="00851448"/>
    <w:rsid w:val="0085218D"/>
    <w:rsid w:val="00854309"/>
    <w:rsid w:val="008544CC"/>
    <w:rsid w:val="00854E71"/>
    <w:rsid w:val="0085510C"/>
    <w:rsid w:val="00855549"/>
    <w:rsid w:val="008568DC"/>
    <w:rsid w:val="0086078E"/>
    <w:rsid w:val="0086143A"/>
    <w:rsid w:val="008621FD"/>
    <w:rsid w:val="00863268"/>
    <w:rsid w:val="0086440A"/>
    <w:rsid w:val="0086545E"/>
    <w:rsid w:val="008656D1"/>
    <w:rsid w:val="00865C62"/>
    <w:rsid w:val="008667ED"/>
    <w:rsid w:val="0086719C"/>
    <w:rsid w:val="008671C2"/>
    <w:rsid w:val="00871F56"/>
    <w:rsid w:val="00873150"/>
    <w:rsid w:val="00873392"/>
    <w:rsid w:val="00873E56"/>
    <w:rsid w:val="00874016"/>
    <w:rsid w:val="0087642E"/>
    <w:rsid w:val="0087657D"/>
    <w:rsid w:val="00877C77"/>
    <w:rsid w:val="00877D07"/>
    <w:rsid w:val="00880832"/>
    <w:rsid w:val="00881DFA"/>
    <w:rsid w:val="00882C4A"/>
    <w:rsid w:val="008837B7"/>
    <w:rsid w:val="00883A56"/>
    <w:rsid w:val="008840AA"/>
    <w:rsid w:val="00884A97"/>
    <w:rsid w:val="008862CF"/>
    <w:rsid w:val="00886EE1"/>
    <w:rsid w:val="00890A22"/>
    <w:rsid w:val="00890CAB"/>
    <w:rsid w:val="00894C55"/>
    <w:rsid w:val="00894D64"/>
    <w:rsid w:val="00895107"/>
    <w:rsid w:val="0089544B"/>
    <w:rsid w:val="008954AA"/>
    <w:rsid w:val="0089727F"/>
    <w:rsid w:val="00897C75"/>
    <w:rsid w:val="008A0A45"/>
    <w:rsid w:val="008A1E0F"/>
    <w:rsid w:val="008A26EE"/>
    <w:rsid w:val="008A2DA0"/>
    <w:rsid w:val="008A2F9A"/>
    <w:rsid w:val="008A3715"/>
    <w:rsid w:val="008A3DAF"/>
    <w:rsid w:val="008A452B"/>
    <w:rsid w:val="008A56BA"/>
    <w:rsid w:val="008A738D"/>
    <w:rsid w:val="008A7BC4"/>
    <w:rsid w:val="008B0485"/>
    <w:rsid w:val="008B0E5D"/>
    <w:rsid w:val="008B128B"/>
    <w:rsid w:val="008B16B3"/>
    <w:rsid w:val="008B2C31"/>
    <w:rsid w:val="008B3548"/>
    <w:rsid w:val="008B35A8"/>
    <w:rsid w:val="008B415B"/>
    <w:rsid w:val="008B4609"/>
    <w:rsid w:val="008B4B35"/>
    <w:rsid w:val="008B5755"/>
    <w:rsid w:val="008B6CE5"/>
    <w:rsid w:val="008C1B94"/>
    <w:rsid w:val="008C20B4"/>
    <w:rsid w:val="008D04DD"/>
    <w:rsid w:val="008D14D1"/>
    <w:rsid w:val="008D18E6"/>
    <w:rsid w:val="008D2A93"/>
    <w:rsid w:val="008D3118"/>
    <w:rsid w:val="008D38DF"/>
    <w:rsid w:val="008D491B"/>
    <w:rsid w:val="008D6849"/>
    <w:rsid w:val="008D6A5A"/>
    <w:rsid w:val="008E0D6D"/>
    <w:rsid w:val="008E0E1A"/>
    <w:rsid w:val="008E2D1E"/>
    <w:rsid w:val="008E5A9F"/>
    <w:rsid w:val="008E7755"/>
    <w:rsid w:val="008F0710"/>
    <w:rsid w:val="008F195F"/>
    <w:rsid w:val="008F21F6"/>
    <w:rsid w:val="008F35B0"/>
    <w:rsid w:val="008F38CF"/>
    <w:rsid w:val="008F456E"/>
    <w:rsid w:val="008F4E99"/>
    <w:rsid w:val="008F66C9"/>
    <w:rsid w:val="008F790D"/>
    <w:rsid w:val="008F7DEA"/>
    <w:rsid w:val="00900C2A"/>
    <w:rsid w:val="00902875"/>
    <w:rsid w:val="009031F4"/>
    <w:rsid w:val="00903C58"/>
    <w:rsid w:val="00907189"/>
    <w:rsid w:val="009076B4"/>
    <w:rsid w:val="00911122"/>
    <w:rsid w:val="00911656"/>
    <w:rsid w:val="0091185C"/>
    <w:rsid w:val="00912E57"/>
    <w:rsid w:val="00916275"/>
    <w:rsid w:val="00920178"/>
    <w:rsid w:val="009208D2"/>
    <w:rsid w:val="00921267"/>
    <w:rsid w:val="00921B91"/>
    <w:rsid w:val="00921CF1"/>
    <w:rsid w:val="009221E1"/>
    <w:rsid w:val="0092503E"/>
    <w:rsid w:val="009273A3"/>
    <w:rsid w:val="0093026D"/>
    <w:rsid w:val="009302A6"/>
    <w:rsid w:val="009305B2"/>
    <w:rsid w:val="00930B31"/>
    <w:rsid w:val="0093232B"/>
    <w:rsid w:val="00932F07"/>
    <w:rsid w:val="0093745B"/>
    <w:rsid w:val="009409E1"/>
    <w:rsid w:val="00941D3F"/>
    <w:rsid w:val="00942419"/>
    <w:rsid w:val="00945715"/>
    <w:rsid w:val="00945B72"/>
    <w:rsid w:val="00947F5A"/>
    <w:rsid w:val="009501AF"/>
    <w:rsid w:val="00951F79"/>
    <w:rsid w:val="00952440"/>
    <w:rsid w:val="0095303A"/>
    <w:rsid w:val="00954164"/>
    <w:rsid w:val="009542F7"/>
    <w:rsid w:val="00957B92"/>
    <w:rsid w:val="0096017C"/>
    <w:rsid w:val="00962664"/>
    <w:rsid w:val="009632EE"/>
    <w:rsid w:val="0096351A"/>
    <w:rsid w:val="00963EBB"/>
    <w:rsid w:val="009664B3"/>
    <w:rsid w:val="00966CA8"/>
    <w:rsid w:val="00967A25"/>
    <w:rsid w:val="00967D8F"/>
    <w:rsid w:val="00971BFA"/>
    <w:rsid w:val="00973840"/>
    <w:rsid w:val="00974FFD"/>
    <w:rsid w:val="00975EDB"/>
    <w:rsid w:val="009763C7"/>
    <w:rsid w:val="00976901"/>
    <w:rsid w:val="009802B3"/>
    <w:rsid w:val="009811C0"/>
    <w:rsid w:val="00982AA8"/>
    <w:rsid w:val="0098394C"/>
    <w:rsid w:val="00984975"/>
    <w:rsid w:val="00984D72"/>
    <w:rsid w:val="009851D8"/>
    <w:rsid w:val="00986A69"/>
    <w:rsid w:val="00986AA1"/>
    <w:rsid w:val="0098706D"/>
    <w:rsid w:val="009871F8"/>
    <w:rsid w:val="009900EE"/>
    <w:rsid w:val="0099194A"/>
    <w:rsid w:val="0099264B"/>
    <w:rsid w:val="00992E17"/>
    <w:rsid w:val="0099356D"/>
    <w:rsid w:val="009935FB"/>
    <w:rsid w:val="00994621"/>
    <w:rsid w:val="0099606D"/>
    <w:rsid w:val="00996A27"/>
    <w:rsid w:val="00997188"/>
    <w:rsid w:val="009A0F0B"/>
    <w:rsid w:val="009A0F14"/>
    <w:rsid w:val="009A1556"/>
    <w:rsid w:val="009A3E1B"/>
    <w:rsid w:val="009A5703"/>
    <w:rsid w:val="009A5949"/>
    <w:rsid w:val="009A59BD"/>
    <w:rsid w:val="009A720B"/>
    <w:rsid w:val="009B28EA"/>
    <w:rsid w:val="009B4CF6"/>
    <w:rsid w:val="009B5A32"/>
    <w:rsid w:val="009B5B01"/>
    <w:rsid w:val="009B6038"/>
    <w:rsid w:val="009B6146"/>
    <w:rsid w:val="009B62AD"/>
    <w:rsid w:val="009B6719"/>
    <w:rsid w:val="009B6906"/>
    <w:rsid w:val="009B7376"/>
    <w:rsid w:val="009C01B3"/>
    <w:rsid w:val="009C0229"/>
    <w:rsid w:val="009C209F"/>
    <w:rsid w:val="009C20DE"/>
    <w:rsid w:val="009C21F8"/>
    <w:rsid w:val="009C3B99"/>
    <w:rsid w:val="009C5484"/>
    <w:rsid w:val="009D0297"/>
    <w:rsid w:val="009D02D6"/>
    <w:rsid w:val="009D0964"/>
    <w:rsid w:val="009D0AF6"/>
    <w:rsid w:val="009D215B"/>
    <w:rsid w:val="009D2EC9"/>
    <w:rsid w:val="009D2EF3"/>
    <w:rsid w:val="009D4221"/>
    <w:rsid w:val="009D47D0"/>
    <w:rsid w:val="009D61ED"/>
    <w:rsid w:val="009E032A"/>
    <w:rsid w:val="009E0431"/>
    <w:rsid w:val="009E3606"/>
    <w:rsid w:val="009E427F"/>
    <w:rsid w:val="009E4C05"/>
    <w:rsid w:val="009E5874"/>
    <w:rsid w:val="009E5F56"/>
    <w:rsid w:val="009E6611"/>
    <w:rsid w:val="009F048B"/>
    <w:rsid w:val="009F0D9A"/>
    <w:rsid w:val="009F45B7"/>
    <w:rsid w:val="009F5267"/>
    <w:rsid w:val="009F572E"/>
    <w:rsid w:val="009F74C4"/>
    <w:rsid w:val="009F78C3"/>
    <w:rsid w:val="00A01416"/>
    <w:rsid w:val="00A0321E"/>
    <w:rsid w:val="00A0381B"/>
    <w:rsid w:val="00A05048"/>
    <w:rsid w:val="00A11049"/>
    <w:rsid w:val="00A118B0"/>
    <w:rsid w:val="00A11BAC"/>
    <w:rsid w:val="00A11EB4"/>
    <w:rsid w:val="00A125DE"/>
    <w:rsid w:val="00A129E5"/>
    <w:rsid w:val="00A13421"/>
    <w:rsid w:val="00A13E29"/>
    <w:rsid w:val="00A14495"/>
    <w:rsid w:val="00A147D1"/>
    <w:rsid w:val="00A16576"/>
    <w:rsid w:val="00A16E16"/>
    <w:rsid w:val="00A1702A"/>
    <w:rsid w:val="00A171CF"/>
    <w:rsid w:val="00A17B23"/>
    <w:rsid w:val="00A20C67"/>
    <w:rsid w:val="00A21CF7"/>
    <w:rsid w:val="00A22713"/>
    <w:rsid w:val="00A250F5"/>
    <w:rsid w:val="00A25FD7"/>
    <w:rsid w:val="00A261EC"/>
    <w:rsid w:val="00A3160F"/>
    <w:rsid w:val="00A31AD1"/>
    <w:rsid w:val="00A31C0A"/>
    <w:rsid w:val="00A3212C"/>
    <w:rsid w:val="00A32969"/>
    <w:rsid w:val="00A33177"/>
    <w:rsid w:val="00A337D7"/>
    <w:rsid w:val="00A33D94"/>
    <w:rsid w:val="00A3466A"/>
    <w:rsid w:val="00A354D5"/>
    <w:rsid w:val="00A35829"/>
    <w:rsid w:val="00A35B97"/>
    <w:rsid w:val="00A366C7"/>
    <w:rsid w:val="00A36D37"/>
    <w:rsid w:val="00A409E1"/>
    <w:rsid w:val="00A40CD9"/>
    <w:rsid w:val="00A43AFF"/>
    <w:rsid w:val="00A4498B"/>
    <w:rsid w:val="00A45AE1"/>
    <w:rsid w:val="00A50E58"/>
    <w:rsid w:val="00A513FC"/>
    <w:rsid w:val="00A5293C"/>
    <w:rsid w:val="00A53A88"/>
    <w:rsid w:val="00A54473"/>
    <w:rsid w:val="00A5529C"/>
    <w:rsid w:val="00A558DD"/>
    <w:rsid w:val="00A572B7"/>
    <w:rsid w:val="00A657D1"/>
    <w:rsid w:val="00A660CC"/>
    <w:rsid w:val="00A6610A"/>
    <w:rsid w:val="00A7155A"/>
    <w:rsid w:val="00A72B18"/>
    <w:rsid w:val="00A73738"/>
    <w:rsid w:val="00A73E8C"/>
    <w:rsid w:val="00A74E66"/>
    <w:rsid w:val="00A75B2F"/>
    <w:rsid w:val="00A7659E"/>
    <w:rsid w:val="00A777EC"/>
    <w:rsid w:val="00A7793A"/>
    <w:rsid w:val="00A77C6C"/>
    <w:rsid w:val="00A82818"/>
    <w:rsid w:val="00A85D08"/>
    <w:rsid w:val="00A87024"/>
    <w:rsid w:val="00A90D98"/>
    <w:rsid w:val="00A91C7A"/>
    <w:rsid w:val="00A930EC"/>
    <w:rsid w:val="00A936BE"/>
    <w:rsid w:val="00A93715"/>
    <w:rsid w:val="00A93746"/>
    <w:rsid w:val="00A93C29"/>
    <w:rsid w:val="00A93D8C"/>
    <w:rsid w:val="00A9562B"/>
    <w:rsid w:val="00A974B8"/>
    <w:rsid w:val="00AA1FBA"/>
    <w:rsid w:val="00AA27B0"/>
    <w:rsid w:val="00AA45AF"/>
    <w:rsid w:val="00AA6396"/>
    <w:rsid w:val="00AA6A88"/>
    <w:rsid w:val="00AB13BC"/>
    <w:rsid w:val="00AB1559"/>
    <w:rsid w:val="00AB4A76"/>
    <w:rsid w:val="00AB5871"/>
    <w:rsid w:val="00AB662D"/>
    <w:rsid w:val="00AC12B1"/>
    <w:rsid w:val="00AC1C8A"/>
    <w:rsid w:val="00AC249B"/>
    <w:rsid w:val="00AC2ADA"/>
    <w:rsid w:val="00AC5973"/>
    <w:rsid w:val="00AD01E4"/>
    <w:rsid w:val="00AD14CA"/>
    <w:rsid w:val="00AD369B"/>
    <w:rsid w:val="00AE4237"/>
    <w:rsid w:val="00AE5F8E"/>
    <w:rsid w:val="00AE7398"/>
    <w:rsid w:val="00AF0298"/>
    <w:rsid w:val="00AF0358"/>
    <w:rsid w:val="00AF1D01"/>
    <w:rsid w:val="00AF5E1C"/>
    <w:rsid w:val="00AF7CBD"/>
    <w:rsid w:val="00B002B1"/>
    <w:rsid w:val="00B00E37"/>
    <w:rsid w:val="00B031BD"/>
    <w:rsid w:val="00B0451B"/>
    <w:rsid w:val="00B04F9A"/>
    <w:rsid w:val="00B050BA"/>
    <w:rsid w:val="00B051D8"/>
    <w:rsid w:val="00B0563E"/>
    <w:rsid w:val="00B069E4"/>
    <w:rsid w:val="00B11990"/>
    <w:rsid w:val="00B12818"/>
    <w:rsid w:val="00B141E7"/>
    <w:rsid w:val="00B14CDD"/>
    <w:rsid w:val="00B15031"/>
    <w:rsid w:val="00B1619C"/>
    <w:rsid w:val="00B16669"/>
    <w:rsid w:val="00B168E1"/>
    <w:rsid w:val="00B17070"/>
    <w:rsid w:val="00B20BAA"/>
    <w:rsid w:val="00B2123C"/>
    <w:rsid w:val="00B213F2"/>
    <w:rsid w:val="00B22053"/>
    <w:rsid w:val="00B22F4F"/>
    <w:rsid w:val="00B27DE8"/>
    <w:rsid w:val="00B306D7"/>
    <w:rsid w:val="00B30AAB"/>
    <w:rsid w:val="00B327EF"/>
    <w:rsid w:val="00B33CEC"/>
    <w:rsid w:val="00B33E8E"/>
    <w:rsid w:val="00B404D2"/>
    <w:rsid w:val="00B44709"/>
    <w:rsid w:val="00B46BCA"/>
    <w:rsid w:val="00B50937"/>
    <w:rsid w:val="00B51E41"/>
    <w:rsid w:val="00B53ABF"/>
    <w:rsid w:val="00B54D44"/>
    <w:rsid w:val="00B60158"/>
    <w:rsid w:val="00B606A2"/>
    <w:rsid w:val="00B612C4"/>
    <w:rsid w:val="00B61BCF"/>
    <w:rsid w:val="00B63A12"/>
    <w:rsid w:val="00B65828"/>
    <w:rsid w:val="00B6595A"/>
    <w:rsid w:val="00B66162"/>
    <w:rsid w:val="00B67034"/>
    <w:rsid w:val="00B6724D"/>
    <w:rsid w:val="00B67FCA"/>
    <w:rsid w:val="00B7425B"/>
    <w:rsid w:val="00B7657E"/>
    <w:rsid w:val="00B77BD3"/>
    <w:rsid w:val="00B80510"/>
    <w:rsid w:val="00B80D7E"/>
    <w:rsid w:val="00B83992"/>
    <w:rsid w:val="00B8578B"/>
    <w:rsid w:val="00B85ABA"/>
    <w:rsid w:val="00B85F36"/>
    <w:rsid w:val="00B868A2"/>
    <w:rsid w:val="00B87806"/>
    <w:rsid w:val="00B87EC9"/>
    <w:rsid w:val="00B90174"/>
    <w:rsid w:val="00B90E7B"/>
    <w:rsid w:val="00B91141"/>
    <w:rsid w:val="00B92512"/>
    <w:rsid w:val="00B954ED"/>
    <w:rsid w:val="00B96102"/>
    <w:rsid w:val="00B9788F"/>
    <w:rsid w:val="00B97A53"/>
    <w:rsid w:val="00BA0719"/>
    <w:rsid w:val="00BA0B36"/>
    <w:rsid w:val="00BA2676"/>
    <w:rsid w:val="00BA2B65"/>
    <w:rsid w:val="00BA2DAB"/>
    <w:rsid w:val="00BA36A1"/>
    <w:rsid w:val="00BA395B"/>
    <w:rsid w:val="00BA49A9"/>
    <w:rsid w:val="00BA4EAA"/>
    <w:rsid w:val="00BA4FF0"/>
    <w:rsid w:val="00BA582B"/>
    <w:rsid w:val="00BA5A27"/>
    <w:rsid w:val="00BA5E47"/>
    <w:rsid w:val="00BA6E1E"/>
    <w:rsid w:val="00BB0F1B"/>
    <w:rsid w:val="00BB28EE"/>
    <w:rsid w:val="00BB36D6"/>
    <w:rsid w:val="00BB38E6"/>
    <w:rsid w:val="00BB6425"/>
    <w:rsid w:val="00BB6E8F"/>
    <w:rsid w:val="00BB7FDF"/>
    <w:rsid w:val="00BC3758"/>
    <w:rsid w:val="00BC38FD"/>
    <w:rsid w:val="00BC3B67"/>
    <w:rsid w:val="00BD11B5"/>
    <w:rsid w:val="00BD1C99"/>
    <w:rsid w:val="00BD21FA"/>
    <w:rsid w:val="00BD2964"/>
    <w:rsid w:val="00BD2A6B"/>
    <w:rsid w:val="00BD75DA"/>
    <w:rsid w:val="00BD76A2"/>
    <w:rsid w:val="00BE199A"/>
    <w:rsid w:val="00BE31BB"/>
    <w:rsid w:val="00BE466D"/>
    <w:rsid w:val="00BE5DDF"/>
    <w:rsid w:val="00BE5FE4"/>
    <w:rsid w:val="00BE614E"/>
    <w:rsid w:val="00BE631D"/>
    <w:rsid w:val="00BE64A0"/>
    <w:rsid w:val="00BE66D6"/>
    <w:rsid w:val="00BF0A9B"/>
    <w:rsid w:val="00BF1B50"/>
    <w:rsid w:val="00BF278D"/>
    <w:rsid w:val="00BF2F63"/>
    <w:rsid w:val="00C00D6C"/>
    <w:rsid w:val="00C01043"/>
    <w:rsid w:val="00C015E9"/>
    <w:rsid w:val="00C0359A"/>
    <w:rsid w:val="00C0434A"/>
    <w:rsid w:val="00C0440A"/>
    <w:rsid w:val="00C054BC"/>
    <w:rsid w:val="00C060C0"/>
    <w:rsid w:val="00C06E13"/>
    <w:rsid w:val="00C06FD4"/>
    <w:rsid w:val="00C07BB0"/>
    <w:rsid w:val="00C10464"/>
    <w:rsid w:val="00C14C5E"/>
    <w:rsid w:val="00C14EB5"/>
    <w:rsid w:val="00C15CB4"/>
    <w:rsid w:val="00C16273"/>
    <w:rsid w:val="00C1757B"/>
    <w:rsid w:val="00C1760D"/>
    <w:rsid w:val="00C17897"/>
    <w:rsid w:val="00C17CFC"/>
    <w:rsid w:val="00C21AD5"/>
    <w:rsid w:val="00C2251E"/>
    <w:rsid w:val="00C270D7"/>
    <w:rsid w:val="00C27B6D"/>
    <w:rsid w:val="00C27DF0"/>
    <w:rsid w:val="00C301DF"/>
    <w:rsid w:val="00C31898"/>
    <w:rsid w:val="00C32FBD"/>
    <w:rsid w:val="00C33809"/>
    <w:rsid w:val="00C33F5F"/>
    <w:rsid w:val="00C33FDD"/>
    <w:rsid w:val="00C3491B"/>
    <w:rsid w:val="00C369F9"/>
    <w:rsid w:val="00C409D5"/>
    <w:rsid w:val="00C40CC2"/>
    <w:rsid w:val="00C42D86"/>
    <w:rsid w:val="00C43318"/>
    <w:rsid w:val="00C455F0"/>
    <w:rsid w:val="00C47510"/>
    <w:rsid w:val="00C501F3"/>
    <w:rsid w:val="00C52178"/>
    <w:rsid w:val="00C52C13"/>
    <w:rsid w:val="00C535CA"/>
    <w:rsid w:val="00C54862"/>
    <w:rsid w:val="00C6049E"/>
    <w:rsid w:val="00C6234B"/>
    <w:rsid w:val="00C6300C"/>
    <w:rsid w:val="00C63EAE"/>
    <w:rsid w:val="00C64263"/>
    <w:rsid w:val="00C65126"/>
    <w:rsid w:val="00C66836"/>
    <w:rsid w:val="00C67BD3"/>
    <w:rsid w:val="00C67E29"/>
    <w:rsid w:val="00C72142"/>
    <w:rsid w:val="00C726ED"/>
    <w:rsid w:val="00C73359"/>
    <w:rsid w:val="00C74E84"/>
    <w:rsid w:val="00C753EA"/>
    <w:rsid w:val="00C75571"/>
    <w:rsid w:val="00C75A03"/>
    <w:rsid w:val="00C76004"/>
    <w:rsid w:val="00C7629F"/>
    <w:rsid w:val="00C76CD4"/>
    <w:rsid w:val="00C77D37"/>
    <w:rsid w:val="00C805CB"/>
    <w:rsid w:val="00C80A55"/>
    <w:rsid w:val="00C81620"/>
    <w:rsid w:val="00C8181C"/>
    <w:rsid w:val="00C8322D"/>
    <w:rsid w:val="00C83821"/>
    <w:rsid w:val="00C838F9"/>
    <w:rsid w:val="00C85ED4"/>
    <w:rsid w:val="00C8661B"/>
    <w:rsid w:val="00C873D6"/>
    <w:rsid w:val="00C87CFD"/>
    <w:rsid w:val="00C910EB"/>
    <w:rsid w:val="00C93A1A"/>
    <w:rsid w:val="00C93D0A"/>
    <w:rsid w:val="00C93DF5"/>
    <w:rsid w:val="00C94BD9"/>
    <w:rsid w:val="00C94CE2"/>
    <w:rsid w:val="00C94F1A"/>
    <w:rsid w:val="00C94FA3"/>
    <w:rsid w:val="00C958E7"/>
    <w:rsid w:val="00C964B0"/>
    <w:rsid w:val="00C97F47"/>
    <w:rsid w:val="00CA0209"/>
    <w:rsid w:val="00CA04B7"/>
    <w:rsid w:val="00CA04E8"/>
    <w:rsid w:val="00CA10DA"/>
    <w:rsid w:val="00CA1931"/>
    <w:rsid w:val="00CA1D22"/>
    <w:rsid w:val="00CA28A5"/>
    <w:rsid w:val="00CA4542"/>
    <w:rsid w:val="00CA4A4B"/>
    <w:rsid w:val="00CA4AA2"/>
    <w:rsid w:val="00CA5ED8"/>
    <w:rsid w:val="00CA6681"/>
    <w:rsid w:val="00CA77FB"/>
    <w:rsid w:val="00CB07DB"/>
    <w:rsid w:val="00CB087A"/>
    <w:rsid w:val="00CB22F6"/>
    <w:rsid w:val="00CB2DEE"/>
    <w:rsid w:val="00CB3143"/>
    <w:rsid w:val="00CB379B"/>
    <w:rsid w:val="00CB4C66"/>
    <w:rsid w:val="00CB5751"/>
    <w:rsid w:val="00CB5B20"/>
    <w:rsid w:val="00CB5CD7"/>
    <w:rsid w:val="00CB5DD0"/>
    <w:rsid w:val="00CC03B7"/>
    <w:rsid w:val="00CC2A6F"/>
    <w:rsid w:val="00CC3CE0"/>
    <w:rsid w:val="00CC453F"/>
    <w:rsid w:val="00CC4B91"/>
    <w:rsid w:val="00CC51D4"/>
    <w:rsid w:val="00CC65DA"/>
    <w:rsid w:val="00CC6B86"/>
    <w:rsid w:val="00CD0063"/>
    <w:rsid w:val="00CD0B63"/>
    <w:rsid w:val="00CD195F"/>
    <w:rsid w:val="00CD5970"/>
    <w:rsid w:val="00CE0142"/>
    <w:rsid w:val="00CE020E"/>
    <w:rsid w:val="00CE09DF"/>
    <w:rsid w:val="00CE13EF"/>
    <w:rsid w:val="00CE1CA3"/>
    <w:rsid w:val="00CE38C0"/>
    <w:rsid w:val="00CE6FEE"/>
    <w:rsid w:val="00CE79D6"/>
    <w:rsid w:val="00CF067A"/>
    <w:rsid w:val="00CF21B9"/>
    <w:rsid w:val="00CF22CD"/>
    <w:rsid w:val="00CF3683"/>
    <w:rsid w:val="00CF403A"/>
    <w:rsid w:val="00CF56F7"/>
    <w:rsid w:val="00CF62A3"/>
    <w:rsid w:val="00CF6BF9"/>
    <w:rsid w:val="00CF6EFD"/>
    <w:rsid w:val="00CF79A2"/>
    <w:rsid w:val="00CF7EC3"/>
    <w:rsid w:val="00D0056C"/>
    <w:rsid w:val="00D01587"/>
    <w:rsid w:val="00D02570"/>
    <w:rsid w:val="00D02A10"/>
    <w:rsid w:val="00D032B5"/>
    <w:rsid w:val="00D03800"/>
    <w:rsid w:val="00D045C7"/>
    <w:rsid w:val="00D04EAE"/>
    <w:rsid w:val="00D04F90"/>
    <w:rsid w:val="00D065D3"/>
    <w:rsid w:val="00D069F1"/>
    <w:rsid w:val="00D06E77"/>
    <w:rsid w:val="00D0765E"/>
    <w:rsid w:val="00D07C16"/>
    <w:rsid w:val="00D11908"/>
    <w:rsid w:val="00D11B4E"/>
    <w:rsid w:val="00D127D0"/>
    <w:rsid w:val="00D13138"/>
    <w:rsid w:val="00D13297"/>
    <w:rsid w:val="00D1752C"/>
    <w:rsid w:val="00D20B1E"/>
    <w:rsid w:val="00D2185A"/>
    <w:rsid w:val="00D22498"/>
    <w:rsid w:val="00D23527"/>
    <w:rsid w:val="00D238B3"/>
    <w:rsid w:val="00D24427"/>
    <w:rsid w:val="00D26683"/>
    <w:rsid w:val="00D26AFB"/>
    <w:rsid w:val="00D26B33"/>
    <w:rsid w:val="00D26BBC"/>
    <w:rsid w:val="00D300DD"/>
    <w:rsid w:val="00D30C66"/>
    <w:rsid w:val="00D3145F"/>
    <w:rsid w:val="00D335B0"/>
    <w:rsid w:val="00D36033"/>
    <w:rsid w:val="00D369C3"/>
    <w:rsid w:val="00D37C84"/>
    <w:rsid w:val="00D4024D"/>
    <w:rsid w:val="00D451C0"/>
    <w:rsid w:val="00D45E9A"/>
    <w:rsid w:val="00D4648D"/>
    <w:rsid w:val="00D464BF"/>
    <w:rsid w:val="00D468CC"/>
    <w:rsid w:val="00D472BE"/>
    <w:rsid w:val="00D47DE8"/>
    <w:rsid w:val="00D50A58"/>
    <w:rsid w:val="00D52B00"/>
    <w:rsid w:val="00D52FBD"/>
    <w:rsid w:val="00D53E26"/>
    <w:rsid w:val="00D5401E"/>
    <w:rsid w:val="00D547EF"/>
    <w:rsid w:val="00D57F49"/>
    <w:rsid w:val="00D6311E"/>
    <w:rsid w:val="00D6752E"/>
    <w:rsid w:val="00D70AC1"/>
    <w:rsid w:val="00D726F0"/>
    <w:rsid w:val="00D728D6"/>
    <w:rsid w:val="00D7748E"/>
    <w:rsid w:val="00D77988"/>
    <w:rsid w:val="00D80AC5"/>
    <w:rsid w:val="00D80BE3"/>
    <w:rsid w:val="00D80E82"/>
    <w:rsid w:val="00D82A48"/>
    <w:rsid w:val="00D82B17"/>
    <w:rsid w:val="00D82E7F"/>
    <w:rsid w:val="00D83874"/>
    <w:rsid w:val="00D8394C"/>
    <w:rsid w:val="00D83C2C"/>
    <w:rsid w:val="00D8403F"/>
    <w:rsid w:val="00D84855"/>
    <w:rsid w:val="00D8713F"/>
    <w:rsid w:val="00D90497"/>
    <w:rsid w:val="00D90679"/>
    <w:rsid w:val="00D9085E"/>
    <w:rsid w:val="00D90B73"/>
    <w:rsid w:val="00D915C5"/>
    <w:rsid w:val="00D927B0"/>
    <w:rsid w:val="00D92849"/>
    <w:rsid w:val="00D93573"/>
    <w:rsid w:val="00D93779"/>
    <w:rsid w:val="00D94920"/>
    <w:rsid w:val="00D96F67"/>
    <w:rsid w:val="00D96F6B"/>
    <w:rsid w:val="00D9795B"/>
    <w:rsid w:val="00D97A7D"/>
    <w:rsid w:val="00D97B4A"/>
    <w:rsid w:val="00DA0B6E"/>
    <w:rsid w:val="00DA1407"/>
    <w:rsid w:val="00DA17AA"/>
    <w:rsid w:val="00DA1850"/>
    <w:rsid w:val="00DA1F9B"/>
    <w:rsid w:val="00DA3A45"/>
    <w:rsid w:val="00DA494F"/>
    <w:rsid w:val="00DA5A0E"/>
    <w:rsid w:val="00DA79F7"/>
    <w:rsid w:val="00DB0425"/>
    <w:rsid w:val="00DB230D"/>
    <w:rsid w:val="00DB3870"/>
    <w:rsid w:val="00DB4B44"/>
    <w:rsid w:val="00DB5492"/>
    <w:rsid w:val="00DB559B"/>
    <w:rsid w:val="00DB68ED"/>
    <w:rsid w:val="00DB6D76"/>
    <w:rsid w:val="00DB73DD"/>
    <w:rsid w:val="00DB7CC5"/>
    <w:rsid w:val="00DB7DC3"/>
    <w:rsid w:val="00DC0975"/>
    <w:rsid w:val="00DC1227"/>
    <w:rsid w:val="00DC30AC"/>
    <w:rsid w:val="00DC6BF6"/>
    <w:rsid w:val="00DC6FA9"/>
    <w:rsid w:val="00DC7233"/>
    <w:rsid w:val="00DD1B49"/>
    <w:rsid w:val="00DD2CBE"/>
    <w:rsid w:val="00DD38E6"/>
    <w:rsid w:val="00DD4D31"/>
    <w:rsid w:val="00DD4F0E"/>
    <w:rsid w:val="00DD6567"/>
    <w:rsid w:val="00DD7E68"/>
    <w:rsid w:val="00DE056C"/>
    <w:rsid w:val="00DE0C57"/>
    <w:rsid w:val="00DE3E92"/>
    <w:rsid w:val="00DE41F3"/>
    <w:rsid w:val="00DE4BF8"/>
    <w:rsid w:val="00DE4C18"/>
    <w:rsid w:val="00DE4FB0"/>
    <w:rsid w:val="00DE5B4F"/>
    <w:rsid w:val="00DE6A3B"/>
    <w:rsid w:val="00DE79A3"/>
    <w:rsid w:val="00DF06C5"/>
    <w:rsid w:val="00DF0A30"/>
    <w:rsid w:val="00DF2957"/>
    <w:rsid w:val="00DF5013"/>
    <w:rsid w:val="00DF55E0"/>
    <w:rsid w:val="00DF650B"/>
    <w:rsid w:val="00DF6BB4"/>
    <w:rsid w:val="00DF763D"/>
    <w:rsid w:val="00DF7A28"/>
    <w:rsid w:val="00E00E80"/>
    <w:rsid w:val="00E032EF"/>
    <w:rsid w:val="00E03E72"/>
    <w:rsid w:val="00E044A7"/>
    <w:rsid w:val="00E04C05"/>
    <w:rsid w:val="00E067F0"/>
    <w:rsid w:val="00E11573"/>
    <w:rsid w:val="00E11C62"/>
    <w:rsid w:val="00E1243F"/>
    <w:rsid w:val="00E12509"/>
    <w:rsid w:val="00E133A6"/>
    <w:rsid w:val="00E14D72"/>
    <w:rsid w:val="00E1539D"/>
    <w:rsid w:val="00E225DE"/>
    <w:rsid w:val="00E25C2E"/>
    <w:rsid w:val="00E26D62"/>
    <w:rsid w:val="00E2797D"/>
    <w:rsid w:val="00E3315D"/>
    <w:rsid w:val="00E35581"/>
    <w:rsid w:val="00E41921"/>
    <w:rsid w:val="00E42852"/>
    <w:rsid w:val="00E44B45"/>
    <w:rsid w:val="00E47C5A"/>
    <w:rsid w:val="00E500F4"/>
    <w:rsid w:val="00E506A9"/>
    <w:rsid w:val="00E5157E"/>
    <w:rsid w:val="00E52792"/>
    <w:rsid w:val="00E52A7D"/>
    <w:rsid w:val="00E52BDA"/>
    <w:rsid w:val="00E530FF"/>
    <w:rsid w:val="00E534CF"/>
    <w:rsid w:val="00E54880"/>
    <w:rsid w:val="00E54BB6"/>
    <w:rsid w:val="00E56080"/>
    <w:rsid w:val="00E56928"/>
    <w:rsid w:val="00E5724F"/>
    <w:rsid w:val="00E60D28"/>
    <w:rsid w:val="00E62FA5"/>
    <w:rsid w:val="00E63E5A"/>
    <w:rsid w:val="00E6549A"/>
    <w:rsid w:val="00E660BD"/>
    <w:rsid w:val="00E67571"/>
    <w:rsid w:val="00E67A9F"/>
    <w:rsid w:val="00E7168A"/>
    <w:rsid w:val="00E71BAA"/>
    <w:rsid w:val="00E71D32"/>
    <w:rsid w:val="00E72598"/>
    <w:rsid w:val="00E751AC"/>
    <w:rsid w:val="00E768EC"/>
    <w:rsid w:val="00E806A0"/>
    <w:rsid w:val="00E80DC1"/>
    <w:rsid w:val="00E822B5"/>
    <w:rsid w:val="00E8399D"/>
    <w:rsid w:val="00E84990"/>
    <w:rsid w:val="00E86530"/>
    <w:rsid w:val="00E87470"/>
    <w:rsid w:val="00E91FB2"/>
    <w:rsid w:val="00E929F5"/>
    <w:rsid w:val="00E93A92"/>
    <w:rsid w:val="00E96D4C"/>
    <w:rsid w:val="00E97117"/>
    <w:rsid w:val="00EA0752"/>
    <w:rsid w:val="00EA1B76"/>
    <w:rsid w:val="00EA471F"/>
    <w:rsid w:val="00EA4A44"/>
    <w:rsid w:val="00EA71E8"/>
    <w:rsid w:val="00EB137F"/>
    <w:rsid w:val="00EB2450"/>
    <w:rsid w:val="00EB256C"/>
    <w:rsid w:val="00EB373C"/>
    <w:rsid w:val="00EB37BE"/>
    <w:rsid w:val="00EB5BDC"/>
    <w:rsid w:val="00EB5E0B"/>
    <w:rsid w:val="00EB6B06"/>
    <w:rsid w:val="00EB7106"/>
    <w:rsid w:val="00EC25D8"/>
    <w:rsid w:val="00EC2917"/>
    <w:rsid w:val="00EC4044"/>
    <w:rsid w:val="00EC4D6D"/>
    <w:rsid w:val="00EC7750"/>
    <w:rsid w:val="00ED2AF3"/>
    <w:rsid w:val="00ED2BE3"/>
    <w:rsid w:val="00ED385B"/>
    <w:rsid w:val="00ED514A"/>
    <w:rsid w:val="00ED55C6"/>
    <w:rsid w:val="00ED6FBF"/>
    <w:rsid w:val="00ED782F"/>
    <w:rsid w:val="00ED7F05"/>
    <w:rsid w:val="00EE0523"/>
    <w:rsid w:val="00EE1284"/>
    <w:rsid w:val="00EE21FC"/>
    <w:rsid w:val="00EE2E6E"/>
    <w:rsid w:val="00EE2EFB"/>
    <w:rsid w:val="00EE3D3B"/>
    <w:rsid w:val="00EE3EA3"/>
    <w:rsid w:val="00EE48C6"/>
    <w:rsid w:val="00EE5170"/>
    <w:rsid w:val="00EE77CE"/>
    <w:rsid w:val="00EF1A72"/>
    <w:rsid w:val="00EF25BC"/>
    <w:rsid w:val="00EF38F6"/>
    <w:rsid w:val="00EF55A4"/>
    <w:rsid w:val="00EF59A6"/>
    <w:rsid w:val="00EF7207"/>
    <w:rsid w:val="00EF751F"/>
    <w:rsid w:val="00EF79B9"/>
    <w:rsid w:val="00F0017D"/>
    <w:rsid w:val="00F01D99"/>
    <w:rsid w:val="00F0393C"/>
    <w:rsid w:val="00F04930"/>
    <w:rsid w:val="00F057C7"/>
    <w:rsid w:val="00F0759E"/>
    <w:rsid w:val="00F076F4"/>
    <w:rsid w:val="00F077F6"/>
    <w:rsid w:val="00F11E48"/>
    <w:rsid w:val="00F15DE3"/>
    <w:rsid w:val="00F20106"/>
    <w:rsid w:val="00F20C4E"/>
    <w:rsid w:val="00F212B8"/>
    <w:rsid w:val="00F225AF"/>
    <w:rsid w:val="00F24347"/>
    <w:rsid w:val="00F2456F"/>
    <w:rsid w:val="00F259BF"/>
    <w:rsid w:val="00F304FA"/>
    <w:rsid w:val="00F314C2"/>
    <w:rsid w:val="00F3163A"/>
    <w:rsid w:val="00F33E2F"/>
    <w:rsid w:val="00F33E94"/>
    <w:rsid w:val="00F34157"/>
    <w:rsid w:val="00F34194"/>
    <w:rsid w:val="00F4135E"/>
    <w:rsid w:val="00F4192E"/>
    <w:rsid w:val="00F41E77"/>
    <w:rsid w:val="00F424E7"/>
    <w:rsid w:val="00F43F61"/>
    <w:rsid w:val="00F442DD"/>
    <w:rsid w:val="00F44731"/>
    <w:rsid w:val="00F47951"/>
    <w:rsid w:val="00F51E3D"/>
    <w:rsid w:val="00F53088"/>
    <w:rsid w:val="00F53D63"/>
    <w:rsid w:val="00F54393"/>
    <w:rsid w:val="00F5695C"/>
    <w:rsid w:val="00F5776A"/>
    <w:rsid w:val="00F57E6A"/>
    <w:rsid w:val="00F61A01"/>
    <w:rsid w:val="00F64630"/>
    <w:rsid w:val="00F6568B"/>
    <w:rsid w:val="00F656EA"/>
    <w:rsid w:val="00F65D02"/>
    <w:rsid w:val="00F67F44"/>
    <w:rsid w:val="00F71EA3"/>
    <w:rsid w:val="00F72288"/>
    <w:rsid w:val="00F722CA"/>
    <w:rsid w:val="00F727C7"/>
    <w:rsid w:val="00F73531"/>
    <w:rsid w:val="00F73F2C"/>
    <w:rsid w:val="00F743E7"/>
    <w:rsid w:val="00F74864"/>
    <w:rsid w:val="00F767B8"/>
    <w:rsid w:val="00F767CA"/>
    <w:rsid w:val="00F82339"/>
    <w:rsid w:val="00F839AB"/>
    <w:rsid w:val="00F84530"/>
    <w:rsid w:val="00F85E27"/>
    <w:rsid w:val="00F90FD0"/>
    <w:rsid w:val="00F91D79"/>
    <w:rsid w:val="00F92AAF"/>
    <w:rsid w:val="00F930D4"/>
    <w:rsid w:val="00F94DB6"/>
    <w:rsid w:val="00F94FEB"/>
    <w:rsid w:val="00F96AB7"/>
    <w:rsid w:val="00F96EC0"/>
    <w:rsid w:val="00FA0B92"/>
    <w:rsid w:val="00FA0D66"/>
    <w:rsid w:val="00FA12E2"/>
    <w:rsid w:val="00FA1533"/>
    <w:rsid w:val="00FA2779"/>
    <w:rsid w:val="00FA27A4"/>
    <w:rsid w:val="00FA28B5"/>
    <w:rsid w:val="00FA2E6C"/>
    <w:rsid w:val="00FA3038"/>
    <w:rsid w:val="00FA3575"/>
    <w:rsid w:val="00FB0507"/>
    <w:rsid w:val="00FB087C"/>
    <w:rsid w:val="00FB44F1"/>
    <w:rsid w:val="00FB483F"/>
    <w:rsid w:val="00FB4DF5"/>
    <w:rsid w:val="00FB5427"/>
    <w:rsid w:val="00FB562A"/>
    <w:rsid w:val="00FB65FA"/>
    <w:rsid w:val="00FB6D31"/>
    <w:rsid w:val="00FB75BA"/>
    <w:rsid w:val="00FC0400"/>
    <w:rsid w:val="00FC0DDC"/>
    <w:rsid w:val="00FC3A71"/>
    <w:rsid w:val="00FC3C80"/>
    <w:rsid w:val="00FC55A7"/>
    <w:rsid w:val="00FC58EF"/>
    <w:rsid w:val="00FC65B2"/>
    <w:rsid w:val="00FC697D"/>
    <w:rsid w:val="00FD0570"/>
    <w:rsid w:val="00FD1664"/>
    <w:rsid w:val="00FD2225"/>
    <w:rsid w:val="00FD2445"/>
    <w:rsid w:val="00FD3F8F"/>
    <w:rsid w:val="00FD51AE"/>
    <w:rsid w:val="00FD5EA1"/>
    <w:rsid w:val="00FD76B6"/>
    <w:rsid w:val="00FE027C"/>
    <w:rsid w:val="00FE0FDD"/>
    <w:rsid w:val="00FE2EB4"/>
    <w:rsid w:val="00FE553A"/>
    <w:rsid w:val="00FE5B4D"/>
    <w:rsid w:val="00FE60A3"/>
    <w:rsid w:val="00FE714F"/>
    <w:rsid w:val="00FE72A8"/>
    <w:rsid w:val="00FF07FD"/>
    <w:rsid w:val="00FF12E1"/>
    <w:rsid w:val="00FF28CA"/>
    <w:rsid w:val="00FF355A"/>
    <w:rsid w:val="00FF39C7"/>
    <w:rsid w:val="00FF41E1"/>
    <w:rsid w:val="00FF4A6D"/>
    <w:rsid w:val="00FF54B4"/>
    <w:rsid w:val="00FF7392"/>
    <w:rsid w:val="0110846A"/>
    <w:rsid w:val="0131A41C"/>
    <w:rsid w:val="01ED77FA"/>
    <w:rsid w:val="02024D3A"/>
    <w:rsid w:val="0212593C"/>
    <w:rsid w:val="021E0151"/>
    <w:rsid w:val="0224057D"/>
    <w:rsid w:val="0225EED7"/>
    <w:rsid w:val="02302A54"/>
    <w:rsid w:val="0244AAC5"/>
    <w:rsid w:val="02620BD1"/>
    <w:rsid w:val="02818C86"/>
    <w:rsid w:val="02E499D2"/>
    <w:rsid w:val="031E1F2E"/>
    <w:rsid w:val="034A1D7C"/>
    <w:rsid w:val="03CFB63B"/>
    <w:rsid w:val="040A0947"/>
    <w:rsid w:val="043474C5"/>
    <w:rsid w:val="043B6ADB"/>
    <w:rsid w:val="0452E583"/>
    <w:rsid w:val="04647395"/>
    <w:rsid w:val="050F273D"/>
    <w:rsid w:val="05424145"/>
    <w:rsid w:val="060EBEA6"/>
    <w:rsid w:val="064FF5B1"/>
    <w:rsid w:val="0652EB09"/>
    <w:rsid w:val="065ECB3A"/>
    <w:rsid w:val="070E68F5"/>
    <w:rsid w:val="07FB19F0"/>
    <w:rsid w:val="0827931E"/>
    <w:rsid w:val="0864578D"/>
    <w:rsid w:val="08C8BE88"/>
    <w:rsid w:val="09BE79B9"/>
    <w:rsid w:val="09CC28BB"/>
    <w:rsid w:val="0A568D73"/>
    <w:rsid w:val="0B16FB49"/>
    <w:rsid w:val="0B9470AE"/>
    <w:rsid w:val="0BA257AD"/>
    <w:rsid w:val="0BF6B626"/>
    <w:rsid w:val="0C19F6A6"/>
    <w:rsid w:val="0D1A4423"/>
    <w:rsid w:val="0D238E9F"/>
    <w:rsid w:val="0D2410B0"/>
    <w:rsid w:val="0D2E9003"/>
    <w:rsid w:val="0D4FB0D8"/>
    <w:rsid w:val="0E4CD261"/>
    <w:rsid w:val="0E50CC21"/>
    <w:rsid w:val="0E9EA520"/>
    <w:rsid w:val="0EAFE8E0"/>
    <w:rsid w:val="0EFB605B"/>
    <w:rsid w:val="0F2E109C"/>
    <w:rsid w:val="0F350347"/>
    <w:rsid w:val="0FAA63EE"/>
    <w:rsid w:val="0FB04D71"/>
    <w:rsid w:val="0FC667F2"/>
    <w:rsid w:val="0FFFC19C"/>
    <w:rsid w:val="101C7ED8"/>
    <w:rsid w:val="11025B10"/>
    <w:rsid w:val="116C0E94"/>
    <w:rsid w:val="11A9A5A6"/>
    <w:rsid w:val="11B8D0C8"/>
    <w:rsid w:val="1222EA44"/>
    <w:rsid w:val="1240A2CE"/>
    <w:rsid w:val="127A7DCB"/>
    <w:rsid w:val="1316AD37"/>
    <w:rsid w:val="139FE07C"/>
    <w:rsid w:val="13A2D4D9"/>
    <w:rsid w:val="13D99512"/>
    <w:rsid w:val="13ED4936"/>
    <w:rsid w:val="140E17A5"/>
    <w:rsid w:val="14F26069"/>
    <w:rsid w:val="14FDE255"/>
    <w:rsid w:val="156E5133"/>
    <w:rsid w:val="156FF13A"/>
    <w:rsid w:val="157332CC"/>
    <w:rsid w:val="159EEF63"/>
    <w:rsid w:val="16B4D4A2"/>
    <w:rsid w:val="16DDB238"/>
    <w:rsid w:val="172EA757"/>
    <w:rsid w:val="1778C647"/>
    <w:rsid w:val="178DCA5C"/>
    <w:rsid w:val="17955D0A"/>
    <w:rsid w:val="17C473EE"/>
    <w:rsid w:val="17EAED89"/>
    <w:rsid w:val="187C307A"/>
    <w:rsid w:val="1B2FB61F"/>
    <w:rsid w:val="1B37431B"/>
    <w:rsid w:val="1B63C041"/>
    <w:rsid w:val="1B992C67"/>
    <w:rsid w:val="1C153AE5"/>
    <w:rsid w:val="1C646EE4"/>
    <w:rsid w:val="1C73173A"/>
    <w:rsid w:val="1C9E40FD"/>
    <w:rsid w:val="1CDA8FCD"/>
    <w:rsid w:val="1D4819B9"/>
    <w:rsid w:val="1D4E12CE"/>
    <w:rsid w:val="1D9BF351"/>
    <w:rsid w:val="1E7F9468"/>
    <w:rsid w:val="1EBFE687"/>
    <w:rsid w:val="1ED0E3F5"/>
    <w:rsid w:val="1F486741"/>
    <w:rsid w:val="1FE75F9B"/>
    <w:rsid w:val="200A6929"/>
    <w:rsid w:val="200D6163"/>
    <w:rsid w:val="20347F83"/>
    <w:rsid w:val="20646D14"/>
    <w:rsid w:val="20A4624A"/>
    <w:rsid w:val="20CBD4A7"/>
    <w:rsid w:val="20CD7888"/>
    <w:rsid w:val="20D159AB"/>
    <w:rsid w:val="20D81B4F"/>
    <w:rsid w:val="215889C3"/>
    <w:rsid w:val="21F78749"/>
    <w:rsid w:val="22456AFF"/>
    <w:rsid w:val="226EA970"/>
    <w:rsid w:val="22909C3A"/>
    <w:rsid w:val="2290A195"/>
    <w:rsid w:val="22918BA6"/>
    <w:rsid w:val="22DB6F5F"/>
    <w:rsid w:val="22E1C190"/>
    <w:rsid w:val="22FF73BE"/>
    <w:rsid w:val="2313C8E4"/>
    <w:rsid w:val="239E65B1"/>
    <w:rsid w:val="23D4590D"/>
    <w:rsid w:val="23DCCBF5"/>
    <w:rsid w:val="23EAB1B3"/>
    <w:rsid w:val="23F7DA82"/>
    <w:rsid w:val="24D2AA49"/>
    <w:rsid w:val="2572A531"/>
    <w:rsid w:val="25789C56"/>
    <w:rsid w:val="25881EF9"/>
    <w:rsid w:val="25B421D8"/>
    <w:rsid w:val="25C4BB68"/>
    <w:rsid w:val="25CCF261"/>
    <w:rsid w:val="25DA88CB"/>
    <w:rsid w:val="25EFB9DA"/>
    <w:rsid w:val="25F965D8"/>
    <w:rsid w:val="26E785EA"/>
    <w:rsid w:val="2721BAFD"/>
    <w:rsid w:val="27981787"/>
    <w:rsid w:val="282F754D"/>
    <w:rsid w:val="28A26C74"/>
    <w:rsid w:val="28AF1D3C"/>
    <w:rsid w:val="28BE341B"/>
    <w:rsid w:val="28CED27E"/>
    <w:rsid w:val="2963D8E0"/>
    <w:rsid w:val="29B178B9"/>
    <w:rsid w:val="29B1F70E"/>
    <w:rsid w:val="2B176A5C"/>
    <w:rsid w:val="2B7FB33D"/>
    <w:rsid w:val="2BD0B5C5"/>
    <w:rsid w:val="2BE60576"/>
    <w:rsid w:val="2BE7DDDA"/>
    <w:rsid w:val="2C300F2E"/>
    <w:rsid w:val="2C4FDFA4"/>
    <w:rsid w:val="2C52604D"/>
    <w:rsid w:val="2CA038D1"/>
    <w:rsid w:val="2CB5FD44"/>
    <w:rsid w:val="2D0A09AD"/>
    <w:rsid w:val="2D2D2683"/>
    <w:rsid w:val="2D3108AE"/>
    <w:rsid w:val="2D334BC8"/>
    <w:rsid w:val="2D485C4E"/>
    <w:rsid w:val="2D83AE3B"/>
    <w:rsid w:val="2D9763EC"/>
    <w:rsid w:val="2E0571F7"/>
    <w:rsid w:val="2E0C720F"/>
    <w:rsid w:val="2E14D486"/>
    <w:rsid w:val="2E33B5B2"/>
    <w:rsid w:val="2E7587A5"/>
    <w:rsid w:val="2E856831"/>
    <w:rsid w:val="2E99008B"/>
    <w:rsid w:val="2EB8E033"/>
    <w:rsid w:val="2F031234"/>
    <w:rsid w:val="2F06FD67"/>
    <w:rsid w:val="2F1F7E9C"/>
    <w:rsid w:val="2F2C683B"/>
    <w:rsid w:val="2FDEBC35"/>
    <w:rsid w:val="3002A21B"/>
    <w:rsid w:val="3006E145"/>
    <w:rsid w:val="301A0410"/>
    <w:rsid w:val="3049BF33"/>
    <w:rsid w:val="304CE8DB"/>
    <w:rsid w:val="30A1C6DF"/>
    <w:rsid w:val="30BB4EFD"/>
    <w:rsid w:val="31769B13"/>
    <w:rsid w:val="31EC7DFF"/>
    <w:rsid w:val="327B9DC3"/>
    <w:rsid w:val="32DCB6B9"/>
    <w:rsid w:val="32E44DB7"/>
    <w:rsid w:val="330C166B"/>
    <w:rsid w:val="3324DA21"/>
    <w:rsid w:val="33D8EB1A"/>
    <w:rsid w:val="343629EE"/>
    <w:rsid w:val="344D227A"/>
    <w:rsid w:val="357477E7"/>
    <w:rsid w:val="357BBB5E"/>
    <w:rsid w:val="358EC020"/>
    <w:rsid w:val="35C51686"/>
    <w:rsid w:val="35E64E4C"/>
    <w:rsid w:val="35EE8C50"/>
    <w:rsid w:val="36695AB6"/>
    <w:rsid w:val="3669BE37"/>
    <w:rsid w:val="36F3E744"/>
    <w:rsid w:val="37025D42"/>
    <w:rsid w:val="3713A95E"/>
    <w:rsid w:val="371666E9"/>
    <w:rsid w:val="37EDAD32"/>
    <w:rsid w:val="37F560B6"/>
    <w:rsid w:val="37FD3D91"/>
    <w:rsid w:val="3805C775"/>
    <w:rsid w:val="382C4A77"/>
    <w:rsid w:val="387C1773"/>
    <w:rsid w:val="388CBFFB"/>
    <w:rsid w:val="39212B15"/>
    <w:rsid w:val="392D570D"/>
    <w:rsid w:val="396CDF9F"/>
    <w:rsid w:val="3976644D"/>
    <w:rsid w:val="3980BCD6"/>
    <w:rsid w:val="3981ACF8"/>
    <w:rsid w:val="39DF9E59"/>
    <w:rsid w:val="3A22B769"/>
    <w:rsid w:val="3A623143"/>
    <w:rsid w:val="3AB2E2E1"/>
    <w:rsid w:val="3AE93461"/>
    <w:rsid w:val="3B26B190"/>
    <w:rsid w:val="3B40A03E"/>
    <w:rsid w:val="3BC537D0"/>
    <w:rsid w:val="3BE252DA"/>
    <w:rsid w:val="3BE878CA"/>
    <w:rsid w:val="3C32BEC1"/>
    <w:rsid w:val="3C4C8E06"/>
    <w:rsid w:val="3C553F07"/>
    <w:rsid w:val="3C9CE0DB"/>
    <w:rsid w:val="3CD0AEB4"/>
    <w:rsid w:val="3D13E934"/>
    <w:rsid w:val="3D625C2D"/>
    <w:rsid w:val="3D6E5315"/>
    <w:rsid w:val="3D8FF127"/>
    <w:rsid w:val="3DF3841E"/>
    <w:rsid w:val="3DF3D1EF"/>
    <w:rsid w:val="3E55D078"/>
    <w:rsid w:val="3E9E1536"/>
    <w:rsid w:val="3EA60D3B"/>
    <w:rsid w:val="3EDBC6CB"/>
    <w:rsid w:val="3F51CE9E"/>
    <w:rsid w:val="3F7C9B25"/>
    <w:rsid w:val="400F1D20"/>
    <w:rsid w:val="403ADC9E"/>
    <w:rsid w:val="4044D212"/>
    <w:rsid w:val="409A2FC0"/>
    <w:rsid w:val="409D4561"/>
    <w:rsid w:val="411BDD15"/>
    <w:rsid w:val="41366C76"/>
    <w:rsid w:val="41773936"/>
    <w:rsid w:val="4204B8CC"/>
    <w:rsid w:val="42249279"/>
    <w:rsid w:val="429FD050"/>
    <w:rsid w:val="42D78E13"/>
    <w:rsid w:val="42FAFF2A"/>
    <w:rsid w:val="4306CAA9"/>
    <w:rsid w:val="43474B2C"/>
    <w:rsid w:val="43D90409"/>
    <w:rsid w:val="4506F859"/>
    <w:rsid w:val="450729CC"/>
    <w:rsid w:val="451A2BC3"/>
    <w:rsid w:val="45362625"/>
    <w:rsid w:val="45E56815"/>
    <w:rsid w:val="45F78EC1"/>
    <w:rsid w:val="461A0F07"/>
    <w:rsid w:val="46320874"/>
    <w:rsid w:val="464707A3"/>
    <w:rsid w:val="4655F44A"/>
    <w:rsid w:val="46943419"/>
    <w:rsid w:val="46AB84C9"/>
    <w:rsid w:val="46FC4DDD"/>
    <w:rsid w:val="47189251"/>
    <w:rsid w:val="4727F676"/>
    <w:rsid w:val="4754F3F8"/>
    <w:rsid w:val="4769C53C"/>
    <w:rsid w:val="4781BEA9"/>
    <w:rsid w:val="479DA63C"/>
    <w:rsid w:val="47AEEEFC"/>
    <w:rsid w:val="47F3E5EB"/>
    <w:rsid w:val="4813346B"/>
    <w:rsid w:val="482333FD"/>
    <w:rsid w:val="48B81AAB"/>
    <w:rsid w:val="48EB9ABE"/>
    <w:rsid w:val="490637DF"/>
    <w:rsid w:val="49163FA9"/>
    <w:rsid w:val="4916D16F"/>
    <w:rsid w:val="4953EE80"/>
    <w:rsid w:val="4988C5E0"/>
    <w:rsid w:val="49D431E3"/>
    <w:rsid w:val="49ED0B4F"/>
    <w:rsid w:val="4A020F64"/>
    <w:rsid w:val="4A32023E"/>
    <w:rsid w:val="4A427B42"/>
    <w:rsid w:val="4A503313"/>
    <w:rsid w:val="4AAAB44A"/>
    <w:rsid w:val="4AE15FD9"/>
    <w:rsid w:val="4B227CE6"/>
    <w:rsid w:val="4B22E67A"/>
    <w:rsid w:val="4B52EFA3"/>
    <w:rsid w:val="4BAA7DCF"/>
    <w:rsid w:val="4BBACBBD"/>
    <w:rsid w:val="4C10E19A"/>
    <w:rsid w:val="4C17CD0A"/>
    <w:rsid w:val="4C7AD83B"/>
    <w:rsid w:val="4C7D303A"/>
    <w:rsid w:val="4D11EE30"/>
    <w:rsid w:val="4D2B1E2C"/>
    <w:rsid w:val="4DC595C0"/>
    <w:rsid w:val="4DCA8E70"/>
    <w:rsid w:val="4DD2E934"/>
    <w:rsid w:val="4EC8FB8F"/>
    <w:rsid w:val="4EE7A30B"/>
    <w:rsid w:val="4F0C7F27"/>
    <w:rsid w:val="4F29D99F"/>
    <w:rsid w:val="4F430317"/>
    <w:rsid w:val="4FAC44EC"/>
    <w:rsid w:val="4FB4D0FC"/>
    <w:rsid w:val="4FD6307C"/>
    <w:rsid w:val="503D8099"/>
    <w:rsid w:val="507F3C8A"/>
    <w:rsid w:val="50A64C3A"/>
    <w:rsid w:val="50E99E4D"/>
    <w:rsid w:val="5188D001"/>
    <w:rsid w:val="51C79DAC"/>
    <w:rsid w:val="51CD872F"/>
    <w:rsid w:val="523C7CAB"/>
    <w:rsid w:val="524A2BAD"/>
    <w:rsid w:val="525EFCF1"/>
    <w:rsid w:val="528F7846"/>
    <w:rsid w:val="529677AF"/>
    <w:rsid w:val="52CB5A4E"/>
    <w:rsid w:val="532CB1A0"/>
    <w:rsid w:val="5388A12A"/>
    <w:rsid w:val="53DDECFC"/>
    <w:rsid w:val="53F71559"/>
    <w:rsid w:val="5420FBBB"/>
    <w:rsid w:val="54959160"/>
    <w:rsid w:val="555BBF59"/>
    <w:rsid w:val="55A0B648"/>
    <w:rsid w:val="55A1251D"/>
    <w:rsid w:val="55B7BCC9"/>
    <w:rsid w:val="55BA7F54"/>
    <w:rsid w:val="55CDB3CA"/>
    <w:rsid w:val="55E2850E"/>
    <w:rsid w:val="55F33850"/>
    <w:rsid w:val="563663BE"/>
    <w:rsid w:val="564E8FFC"/>
    <w:rsid w:val="5673FAD0"/>
    <w:rsid w:val="56B25ABA"/>
    <w:rsid w:val="56BC53E7"/>
    <w:rsid w:val="56C82F72"/>
    <w:rsid w:val="57062364"/>
    <w:rsid w:val="5737C603"/>
    <w:rsid w:val="57A757DD"/>
    <w:rsid w:val="57E95974"/>
    <w:rsid w:val="57F30C67"/>
    <w:rsid w:val="5820A161"/>
    <w:rsid w:val="5846B796"/>
    <w:rsid w:val="584DD1B4"/>
    <w:rsid w:val="5863FFD3"/>
    <w:rsid w:val="5865CB21"/>
    <w:rsid w:val="588084D4"/>
    <w:rsid w:val="58B15E1F"/>
    <w:rsid w:val="58C97918"/>
    <w:rsid w:val="58F60EBB"/>
    <w:rsid w:val="5906B89D"/>
    <w:rsid w:val="5910EEC7"/>
    <w:rsid w:val="59344F06"/>
    <w:rsid w:val="59685394"/>
    <w:rsid w:val="599ADC83"/>
    <w:rsid w:val="5A4700E7"/>
    <w:rsid w:val="5A6EE5BB"/>
    <w:rsid w:val="5A8170CB"/>
    <w:rsid w:val="5AD1E744"/>
    <w:rsid w:val="5AFAC4CB"/>
    <w:rsid w:val="5AFDE278"/>
    <w:rsid w:val="5B095192"/>
    <w:rsid w:val="5B1A1438"/>
    <w:rsid w:val="5B6C3CDA"/>
    <w:rsid w:val="5C12D535"/>
    <w:rsid w:val="5C43AE03"/>
    <w:rsid w:val="5C9C38B1"/>
    <w:rsid w:val="5D0E5AE4"/>
    <w:rsid w:val="5D2875BE"/>
    <w:rsid w:val="5D361EE5"/>
    <w:rsid w:val="5DC25FD9"/>
    <w:rsid w:val="5DF04ADB"/>
    <w:rsid w:val="5E097093"/>
    <w:rsid w:val="5E90BEE3"/>
    <w:rsid w:val="5F15BDC0"/>
    <w:rsid w:val="5F8E918F"/>
    <w:rsid w:val="5F973FD8"/>
    <w:rsid w:val="5FBCA156"/>
    <w:rsid w:val="5FC0B478"/>
    <w:rsid w:val="60526202"/>
    <w:rsid w:val="607B149A"/>
    <w:rsid w:val="60D59861"/>
    <w:rsid w:val="61393BDB"/>
    <w:rsid w:val="627168C2"/>
    <w:rsid w:val="62BC45B0"/>
    <w:rsid w:val="63411BF6"/>
    <w:rsid w:val="63878183"/>
    <w:rsid w:val="6396E819"/>
    <w:rsid w:val="6398E1D6"/>
    <w:rsid w:val="640D3923"/>
    <w:rsid w:val="6427EA10"/>
    <w:rsid w:val="6464261C"/>
    <w:rsid w:val="648E4583"/>
    <w:rsid w:val="64A03BCF"/>
    <w:rsid w:val="64D7B68D"/>
    <w:rsid w:val="64F934F4"/>
    <w:rsid w:val="6534B237"/>
    <w:rsid w:val="65AD95F4"/>
    <w:rsid w:val="66081E42"/>
    <w:rsid w:val="6610E320"/>
    <w:rsid w:val="662493BA"/>
    <w:rsid w:val="6628FB73"/>
    <w:rsid w:val="6690B1B5"/>
    <w:rsid w:val="66B18D71"/>
    <w:rsid w:val="67277CF6"/>
    <w:rsid w:val="673885F7"/>
    <w:rsid w:val="6755D753"/>
    <w:rsid w:val="67AC743B"/>
    <w:rsid w:val="68463A95"/>
    <w:rsid w:val="6929D866"/>
    <w:rsid w:val="692C49CC"/>
    <w:rsid w:val="69FD9EA8"/>
    <w:rsid w:val="6A44828F"/>
    <w:rsid w:val="6A5550FB"/>
    <w:rsid w:val="6B654A72"/>
    <w:rsid w:val="6B7FEDE5"/>
    <w:rsid w:val="6B989C02"/>
    <w:rsid w:val="6B9ED94B"/>
    <w:rsid w:val="6BB698B9"/>
    <w:rsid w:val="6BCDDDD8"/>
    <w:rsid w:val="6BE052F0"/>
    <w:rsid w:val="6C584DE6"/>
    <w:rsid w:val="6CADAB94"/>
    <w:rsid w:val="6CEED103"/>
    <w:rsid w:val="6D39DC10"/>
    <w:rsid w:val="6D7B6837"/>
    <w:rsid w:val="6D8FAC4F"/>
    <w:rsid w:val="6DC518D7"/>
    <w:rsid w:val="6DC5E70B"/>
    <w:rsid w:val="6E0DCD1A"/>
    <w:rsid w:val="6E19F88C"/>
    <w:rsid w:val="6E340D58"/>
    <w:rsid w:val="6E81F884"/>
    <w:rsid w:val="6EFE17EB"/>
    <w:rsid w:val="6EFE1ABA"/>
    <w:rsid w:val="6F3FC7A9"/>
    <w:rsid w:val="6F4FAED1"/>
    <w:rsid w:val="6FA390CE"/>
    <w:rsid w:val="70115E03"/>
    <w:rsid w:val="70316682"/>
    <w:rsid w:val="703958BF"/>
    <w:rsid w:val="70403116"/>
    <w:rsid w:val="70717D7D"/>
    <w:rsid w:val="70BFF874"/>
    <w:rsid w:val="70DCEE03"/>
    <w:rsid w:val="7104ED15"/>
    <w:rsid w:val="71154F64"/>
    <w:rsid w:val="716BAE1A"/>
    <w:rsid w:val="7177A5C8"/>
    <w:rsid w:val="7180526E"/>
    <w:rsid w:val="71BB966A"/>
    <w:rsid w:val="71D49624"/>
    <w:rsid w:val="71D7DBB4"/>
    <w:rsid w:val="7245CA9A"/>
    <w:rsid w:val="726E642F"/>
    <w:rsid w:val="72CD0927"/>
    <w:rsid w:val="72F4E7C4"/>
    <w:rsid w:val="733FDCCF"/>
    <w:rsid w:val="7350438E"/>
    <w:rsid w:val="73CAC630"/>
    <w:rsid w:val="73D1B31B"/>
    <w:rsid w:val="73D95DE0"/>
    <w:rsid w:val="7471D3FE"/>
    <w:rsid w:val="749FA767"/>
    <w:rsid w:val="7537E132"/>
    <w:rsid w:val="756B2781"/>
    <w:rsid w:val="76242998"/>
    <w:rsid w:val="7628ACA4"/>
    <w:rsid w:val="77AA6B2D"/>
    <w:rsid w:val="77B12291"/>
    <w:rsid w:val="788D9D02"/>
    <w:rsid w:val="792F3E40"/>
    <w:rsid w:val="798455ED"/>
    <w:rsid w:val="798879C5"/>
    <w:rsid w:val="79A0A603"/>
    <w:rsid w:val="79BDDD84"/>
    <w:rsid w:val="7A68D4D2"/>
    <w:rsid w:val="7AF96DE4"/>
    <w:rsid w:val="7B533617"/>
    <w:rsid w:val="7B5DCEAD"/>
    <w:rsid w:val="7C2643E3"/>
    <w:rsid w:val="7C595DEB"/>
    <w:rsid w:val="7C60FBFA"/>
    <w:rsid w:val="7C83D09D"/>
    <w:rsid w:val="7D046EC7"/>
    <w:rsid w:val="7DDB1980"/>
    <w:rsid w:val="7DF96B45"/>
    <w:rsid w:val="7E21A36A"/>
    <w:rsid w:val="7E2A23EC"/>
    <w:rsid w:val="7E4FF87F"/>
    <w:rsid w:val="7E8BB16C"/>
    <w:rsid w:val="7E9FECE9"/>
    <w:rsid w:val="7ED6F8D0"/>
    <w:rsid w:val="7EEE4E14"/>
    <w:rsid w:val="7F2E30E5"/>
    <w:rsid w:val="7FF848F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DF5728"/>
  <w15:docId w15:val="{2FC0FC2D-00F6-43B6-9465-26ACB572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link w:val="PiedepginaCar"/>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 w:type="paragraph" w:styleId="Revisin">
    <w:name w:val="Revision"/>
    <w:hidden/>
    <w:uiPriority w:val="99"/>
    <w:semiHidden/>
    <w:rsid w:val="005E673E"/>
    <w:rPr>
      <w:sz w:val="24"/>
      <w:szCs w:val="24"/>
      <w:lang w:val="es-ES" w:eastAsia="es-ES"/>
    </w:rPr>
  </w:style>
  <w:style w:type="character" w:customStyle="1" w:styleId="CharStyle3Exact">
    <w:name w:val="Char Style 3 Exact"/>
    <w:basedOn w:val="Fuentedeprrafopredeter"/>
    <w:uiPriority w:val="99"/>
    <w:rsid w:val="00032331"/>
    <w:rPr>
      <w:rFonts w:ascii="Arial" w:eastAsiaTheme="minorEastAsia" w:hAnsi="Arial" w:cs="Arial"/>
      <w:sz w:val="12"/>
      <w:szCs w:val="12"/>
      <w:u w:val="none"/>
      <w:lang w:val="en-US" w:eastAsia="en-US" w:bidi="ar-SA"/>
    </w:rPr>
  </w:style>
  <w:style w:type="paragraph" w:customStyle="1" w:styleId="paragraph">
    <w:name w:val="paragraph"/>
    <w:basedOn w:val="Normal"/>
    <w:uiPriority w:val="1"/>
    <w:rsid w:val="00032331"/>
    <w:pPr>
      <w:spacing w:beforeAutospacing="1" w:afterAutospacing="1"/>
    </w:pPr>
    <w:rPr>
      <w:lang w:eastAsia="es-CO"/>
    </w:rPr>
  </w:style>
  <w:style w:type="character" w:customStyle="1" w:styleId="normaltextrun">
    <w:name w:val="normaltextrun"/>
    <w:basedOn w:val="Fuentedeprrafopredeter"/>
    <w:uiPriority w:val="1"/>
    <w:rsid w:val="00032331"/>
  </w:style>
  <w:style w:type="character" w:styleId="Mencinsinresolver">
    <w:name w:val="Unresolved Mention"/>
    <w:basedOn w:val="Fuentedeprrafopredeter"/>
    <w:uiPriority w:val="99"/>
    <w:unhideWhenUsed/>
    <w:rsid w:val="00C75571"/>
    <w:rPr>
      <w:color w:val="605E5C"/>
      <w:shd w:val="clear" w:color="auto" w:fill="E1DFDD"/>
    </w:rPr>
  </w:style>
  <w:style w:type="character" w:customStyle="1" w:styleId="PiedepginaCar">
    <w:name w:val="Pie de página Car"/>
    <w:basedOn w:val="Fuentedeprrafopredeter"/>
    <w:link w:val="Piedepgina"/>
    <w:semiHidden/>
    <w:rsid w:val="0086143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177087638">
      <w:bodyDiv w:val="1"/>
      <w:marLeft w:val="0"/>
      <w:marRight w:val="0"/>
      <w:marTop w:val="0"/>
      <w:marBottom w:val="0"/>
      <w:divBdr>
        <w:top w:val="none" w:sz="0" w:space="0" w:color="auto"/>
        <w:left w:val="none" w:sz="0" w:space="0" w:color="auto"/>
        <w:bottom w:val="none" w:sz="0" w:space="0" w:color="auto"/>
        <w:right w:val="none" w:sz="0" w:space="0" w:color="auto"/>
      </w:divBdr>
      <w:divsChild>
        <w:div w:id="375012877">
          <w:marLeft w:val="0"/>
          <w:marRight w:val="0"/>
          <w:marTop w:val="0"/>
          <w:marBottom w:val="0"/>
          <w:divBdr>
            <w:top w:val="none" w:sz="0" w:space="0" w:color="auto"/>
            <w:left w:val="none" w:sz="0" w:space="0" w:color="auto"/>
            <w:bottom w:val="none" w:sz="0" w:space="0" w:color="auto"/>
            <w:right w:val="none" w:sz="0" w:space="0" w:color="auto"/>
          </w:divBdr>
          <w:divsChild>
            <w:div w:id="1129711777">
              <w:marLeft w:val="0"/>
              <w:marRight w:val="0"/>
              <w:marTop w:val="0"/>
              <w:marBottom w:val="0"/>
              <w:divBdr>
                <w:top w:val="none" w:sz="0" w:space="0" w:color="auto"/>
                <w:left w:val="none" w:sz="0" w:space="0" w:color="auto"/>
                <w:bottom w:val="none" w:sz="0" w:space="0" w:color="auto"/>
                <w:right w:val="none" w:sz="0" w:space="0" w:color="auto"/>
              </w:divBdr>
              <w:divsChild>
                <w:div w:id="662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350187772">
      <w:bodyDiv w:val="1"/>
      <w:marLeft w:val="0"/>
      <w:marRight w:val="0"/>
      <w:marTop w:val="0"/>
      <w:marBottom w:val="0"/>
      <w:divBdr>
        <w:top w:val="none" w:sz="0" w:space="0" w:color="auto"/>
        <w:left w:val="none" w:sz="0" w:space="0" w:color="auto"/>
        <w:bottom w:val="none" w:sz="0" w:space="0" w:color="auto"/>
        <w:right w:val="none" w:sz="0" w:space="0" w:color="auto"/>
      </w:divBdr>
      <w:divsChild>
        <w:div w:id="124278309">
          <w:marLeft w:val="0"/>
          <w:marRight w:val="0"/>
          <w:marTop w:val="0"/>
          <w:marBottom w:val="0"/>
          <w:divBdr>
            <w:top w:val="none" w:sz="0" w:space="0" w:color="auto"/>
            <w:left w:val="none" w:sz="0" w:space="0" w:color="auto"/>
            <w:bottom w:val="none" w:sz="0" w:space="0" w:color="auto"/>
            <w:right w:val="none" w:sz="0" w:space="0" w:color="auto"/>
          </w:divBdr>
        </w:div>
        <w:div w:id="396784867">
          <w:marLeft w:val="0"/>
          <w:marRight w:val="0"/>
          <w:marTop w:val="0"/>
          <w:marBottom w:val="0"/>
          <w:divBdr>
            <w:top w:val="none" w:sz="0" w:space="0" w:color="auto"/>
            <w:left w:val="none" w:sz="0" w:space="0" w:color="auto"/>
            <w:bottom w:val="none" w:sz="0" w:space="0" w:color="auto"/>
            <w:right w:val="none" w:sz="0" w:space="0" w:color="auto"/>
          </w:divBdr>
        </w:div>
        <w:div w:id="1157719948">
          <w:marLeft w:val="0"/>
          <w:marRight w:val="0"/>
          <w:marTop w:val="0"/>
          <w:marBottom w:val="0"/>
          <w:divBdr>
            <w:top w:val="none" w:sz="0" w:space="0" w:color="auto"/>
            <w:left w:val="none" w:sz="0" w:space="0" w:color="auto"/>
            <w:bottom w:val="none" w:sz="0" w:space="0" w:color="auto"/>
            <w:right w:val="none" w:sz="0" w:space="0" w:color="auto"/>
          </w:divBdr>
        </w:div>
        <w:div w:id="1508211744">
          <w:marLeft w:val="0"/>
          <w:marRight w:val="0"/>
          <w:marTop w:val="0"/>
          <w:marBottom w:val="0"/>
          <w:divBdr>
            <w:top w:val="none" w:sz="0" w:space="0" w:color="auto"/>
            <w:left w:val="none" w:sz="0" w:space="0" w:color="auto"/>
            <w:bottom w:val="none" w:sz="0" w:space="0" w:color="auto"/>
            <w:right w:val="none" w:sz="0" w:space="0" w:color="auto"/>
          </w:divBdr>
        </w:div>
        <w:div w:id="1659839828">
          <w:marLeft w:val="0"/>
          <w:marRight w:val="0"/>
          <w:marTop w:val="0"/>
          <w:marBottom w:val="0"/>
          <w:divBdr>
            <w:top w:val="none" w:sz="0" w:space="0" w:color="auto"/>
            <w:left w:val="none" w:sz="0" w:space="0" w:color="auto"/>
            <w:bottom w:val="none" w:sz="0" w:space="0" w:color="auto"/>
            <w:right w:val="none" w:sz="0" w:space="0" w:color="auto"/>
          </w:divBdr>
        </w:div>
      </w:divsChild>
    </w:div>
    <w:div w:id="447430438">
      <w:bodyDiv w:val="1"/>
      <w:marLeft w:val="0"/>
      <w:marRight w:val="0"/>
      <w:marTop w:val="0"/>
      <w:marBottom w:val="0"/>
      <w:divBdr>
        <w:top w:val="none" w:sz="0" w:space="0" w:color="auto"/>
        <w:left w:val="none" w:sz="0" w:space="0" w:color="auto"/>
        <w:bottom w:val="none" w:sz="0" w:space="0" w:color="auto"/>
        <w:right w:val="none" w:sz="0" w:space="0" w:color="auto"/>
      </w:divBdr>
      <w:divsChild>
        <w:div w:id="2781986">
          <w:marLeft w:val="547"/>
          <w:marRight w:val="0"/>
          <w:marTop w:val="0"/>
          <w:marBottom w:val="0"/>
          <w:divBdr>
            <w:top w:val="none" w:sz="0" w:space="0" w:color="auto"/>
            <w:left w:val="none" w:sz="0" w:space="0" w:color="auto"/>
            <w:bottom w:val="none" w:sz="0" w:space="0" w:color="auto"/>
            <w:right w:val="none" w:sz="0" w:space="0" w:color="auto"/>
          </w:divBdr>
        </w:div>
      </w:divsChild>
    </w:div>
    <w:div w:id="487593984">
      <w:bodyDiv w:val="1"/>
      <w:marLeft w:val="0"/>
      <w:marRight w:val="0"/>
      <w:marTop w:val="0"/>
      <w:marBottom w:val="0"/>
      <w:divBdr>
        <w:top w:val="none" w:sz="0" w:space="0" w:color="auto"/>
        <w:left w:val="none" w:sz="0" w:space="0" w:color="auto"/>
        <w:bottom w:val="none" w:sz="0" w:space="0" w:color="auto"/>
        <w:right w:val="none" w:sz="0" w:space="0" w:color="auto"/>
      </w:divBdr>
    </w:div>
    <w:div w:id="571429637">
      <w:bodyDiv w:val="1"/>
      <w:marLeft w:val="0"/>
      <w:marRight w:val="0"/>
      <w:marTop w:val="0"/>
      <w:marBottom w:val="0"/>
      <w:divBdr>
        <w:top w:val="none" w:sz="0" w:space="0" w:color="auto"/>
        <w:left w:val="none" w:sz="0" w:space="0" w:color="auto"/>
        <w:bottom w:val="none" w:sz="0" w:space="0" w:color="auto"/>
        <w:right w:val="none" w:sz="0" w:space="0" w:color="auto"/>
      </w:divBdr>
      <w:divsChild>
        <w:div w:id="337080937">
          <w:marLeft w:val="0"/>
          <w:marRight w:val="0"/>
          <w:marTop w:val="0"/>
          <w:marBottom w:val="0"/>
          <w:divBdr>
            <w:top w:val="none" w:sz="0" w:space="0" w:color="auto"/>
            <w:left w:val="none" w:sz="0" w:space="0" w:color="auto"/>
            <w:bottom w:val="none" w:sz="0" w:space="0" w:color="auto"/>
            <w:right w:val="none" w:sz="0" w:space="0" w:color="auto"/>
          </w:divBdr>
        </w:div>
        <w:div w:id="950667661">
          <w:marLeft w:val="0"/>
          <w:marRight w:val="0"/>
          <w:marTop w:val="0"/>
          <w:marBottom w:val="0"/>
          <w:divBdr>
            <w:top w:val="none" w:sz="0" w:space="0" w:color="auto"/>
            <w:left w:val="none" w:sz="0" w:space="0" w:color="auto"/>
            <w:bottom w:val="none" w:sz="0" w:space="0" w:color="auto"/>
            <w:right w:val="none" w:sz="0" w:space="0" w:color="auto"/>
          </w:divBdr>
        </w:div>
        <w:div w:id="1627203035">
          <w:marLeft w:val="0"/>
          <w:marRight w:val="0"/>
          <w:marTop w:val="0"/>
          <w:marBottom w:val="0"/>
          <w:divBdr>
            <w:top w:val="none" w:sz="0" w:space="0" w:color="auto"/>
            <w:left w:val="none" w:sz="0" w:space="0" w:color="auto"/>
            <w:bottom w:val="none" w:sz="0" w:space="0" w:color="auto"/>
            <w:right w:val="none" w:sz="0" w:space="0" w:color="auto"/>
          </w:divBdr>
        </w:div>
        <w:div w:id="1649898953">
          <w:marLeft w:val="0"/>
          <w:marRight w:val="0"/>
          <w:marTop w:val="0"/>
          <w:marBottom w:val="0"/>
          <w:divBdr>
            <w:top w:val="none" w:sz="0" w:space="0" w:color="auto"/>
            <w:left w:val="none" w:sz="0" w:space="0" w:color="auto"/>
            <w:bottom w:val="none" w:sz="0" w:space="0" w:color="auto"/>
            <w:right w:val="none" w:sz="0" w:space="0" w:color="auto"/>
          </w:divBdr>
        </w:div>
        <w:div w:id="1679505569">
          <w:marLeft w:val="0"/>
          <w:marRight w:val="0"/>
          <w:marTop w:val="0"/>
          <w:marBottom w:val="0"/>
          <w:divBdr>
            <w:top w:val="none" w:sz="0" w:space="0" w:color="auto"/>
            <w:left w:val="none" w:sz="0" w:space="0" w:color="auto"/>
            <w:bottom w:val="none" w:sz="0" w:space="0" w:color="auto"/>
            <w:right w:val="none" w:sz="0" w:space="0" w:color="auto"/>
          </w:divBdr>
        </w:div>
      </w:divsChild>
    </w:div>
    <w:div w:id="710114339">
      <w:bodyDiv w:val="1"/>
      <w:marLeft w:val="0"/>
      <w:marRight w:val="0"/>
      <w:marTop w:val="0"/>
      <w:marBottom w:val="0"/>
      <w:divBdr>
        <w:top w:val="none" w:sz="0" w:space="0" w:color="auto"/>
        <w:left w:val="none" w:sz="0" w:space="0" w:color="auto"/>
        <w:bottom w:val="none" w:sz="0" w:space="0" w:color="auto"/>
        <w:right w:val="none" w:sz="0" w:space="0" w:color="auto"/>
      </w:divBdr>
    </w:div>
    <w:div w:id="804274791">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377189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202">
          <w:marLeft w:val="547"/>
          <w:marRight w:val="0"/>
          <w:marTop w:val="0"/>
          <w:marBottom w:val="0"/>
          <w:divBdr>
            <w:top w:val="none" w:sz="0" w:space="0" w:color="auto"/>
            <w:left w:val="none" w:sz="0" w:space="0" w:color="auto"/>
            <w:bottom w:val="none" w:sz="0" w:space="0" w:color="auto"/>
            <w:right w:val="none" w:sz="0" w:space="0" w:color="auto"/>
          </w:divBdr>
        </w:div>
      </w:divsChild>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sChild>
        <w:div w:id="336618575">
          <w:marLeft w:val="547"/>
          <w:marRight w:val="0"/>
          <w:marTop w:val="0"/>
          <w:marBottom w:val="0"/>
          <w:divBdr>
            <w:top w:val="none" w:sz="0" w:space="0" w:color="auto"/>
            <w:left w:val="none" w:sz="0" w:space="0" w:color="auto"/>
            <w:bottom w:val="none" w:sz="0" w:space="0" w:color="auto"/>
            <w:right w:val="none" w:sz="0" w:space="0" w:color="auto"/>
          </w:divBdr>
        </w:div>
      </w:divsChild>
    </w:div>
    <w:div w:id="1287076730">
      <w:bodyDiv w:val="1"/>
      <w:marLeft w:val="0"/>
      <w:marRight w:val="0"/>
      <w:marTop w:val="0"/>
      <w:marBottom w:val="0"/>
      <w:divBdr>
        <w:top w:val="none" w:sz="0" w:space="0" w:color="auto"/>
        <w:left w:val="none" w:sz="0" w:space="0" w:color="auto"/>
        <w:bottom w:val="none" w:sz="0" w:space="0" w:color="auto"/>
        <w:right w:val="none" w:sz="0" w:space="0" w:color="auto"/>
      </w:divBdr>
      <w:divsChild>
        <w:div w:id="1677229557">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563714998">
      <w:bodyDiv w:val="1"/>
      <w:marLeft w:val="0"/>
      <w:marRight w:val="0"/>
      <w:marTop w:val="0"/>
      <w:marBottom w:val="0"/>
      <w:divBdr>
        <w:top w:val="none" w:sz="0" w:space="0" w:color="auto"/>
        <w:left w:val="none" w:sz="0" w:space="0" w:color="auto"/>
        <w:bottom w:val="none" w:sz="0" w:space="0" w:color="auto"/>
        <w:right w:val="none" w:sz="0" w:space="0" w:color="auto"/>
      </w:divBdr>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SharedWithUsers xmlns="309f6219-a73f-4366-a00d-6bacb1e9f8e0">
      <UserInfo>
        <DisplayName>Carlos Andres Castellanos Gamboa</DisplayName>
        <AccountId>9</AccountId>
        <AccountType/>
      </UserInfo>
      <UserInfo>
        <DisplayName>Andrea Paola Ahumada Forigua</DisplayName>
        <AccountId>17</AccountId>
        <AccountType/>
      </UserInfo>
      <UserInfo>
        <DisplayName>Oscar Andres Zabaleta Montenegro</DisplayName>
        <AccountId>18</AccountId>
        <AccountType/>
      </UserInfo>
      <UserInfo>
        <DisplayName>Juan Carlos Bonilla Borda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5" ma:contentTypeDescription="Crear nuevo documento." ma:contentTypeScope="" ma:versionID="6b5bdc1cce74b137d2e69d8153d0a8fb">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5901425aba8cf683fa08dc6686d9dc6d"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ce1057a-84f0-41ef-9c26-068fafd6c4b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28D52-C6AD-4CC0-A6BB-B54527BD791F}">
  <ds:schemaRefs>
    <ds:schemaRef ds:uri="http://schemas.microsoft.com/sharepoint/v3/contenttype/forms"/>
  </ds:schemaRefs>
</ds:datastoreItem>
</file>

<file path=customXml/itemProps2.xml><?xml version="1.0" encoding="utf-8"?>
<ds:datastoreItem xmlns:ds="http://schemas.openxmlformats.org/officeDocument/2006/customXml" ds:itemID="{7BB88821-7DC7-4A70-B419-1C46DFA7D599}">
  <ds:schemaRefs>
    <ds:schemaRef ds:uri="http://schemas.openxmlformats.org/officeDocument/2006/bibliography"/>
  </ds:schemaRefs>
</ds:datastoreItem>
</file>

<file path=customXml/itemProps3.xml><?xml version="1.0" encoding="utf-8"?>
<ds:datastoreItem xmlns:ds="http://schemas.openxmlformats.org/officeDocument/2006/customXml" ds:itemID="{5FDE2197-47FA-4565-9BAD-19733390382E}">
  <ds:schemaRefs>
    <ds:schemaRef ds:uri="http://schemas.microsoft.com/office/2006/metadata/properties"/>
    <ds:schemaRef ds:uri="http://schemas.microsoft.com/office/infopath/2007/PartnerControls"/>
    <ds:schemaRef ds:uri="0f90cc45-9d06-4234-8034-eeec6c0c7cc1"/>
    <ds:schemaRef ds:uri="309f6219-a73f-4366-a00d-6bacb1e9f8e0"/>
  </ds:schemaRefs>
</ds:datastoreItem>
</file>

<file path=customXml/itemProps4.xml><?xml version="1.0" encoding="utf-8"?>
<ds:datastoreItem xmlns:ds="http://schemas.openxmlformats.org/officeDocument/2006/customXml" ds:itemID="{1D1EA291-3B66-445B-BEE7-1A955368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resoluciones</Template>
  <TotalTime>1</TotalTime>
  <Pages>6</Pages>
  <Words>5182</Words>
  <Characters>28507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Ramos;Carlos Castellanos;Andres Hernando Dominguez</dc:creator>
  <cp:keywords/>
  <cp:lastModifiedBy>Luz Stella Rojas Macias</cp:lastModifiedBy>
  <cp:revision>2</cp:revision>
  <cp:lastPrinted>2020-06-19T20:44:00Z</cp:lastPrinted>
  <dcterms:created xsi:type="dcterms:W3CDTF">2022-09-12T20:53:00Z</dcterms:created>
  <dcterms:modified xsi:type="dcterms:W3CDTF">2022-09-12T20:53:00Z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